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45" w:rsidRDefault="00EB2C60">
      <w:bookmarkStart w:id="0" w:name="_GoBack"/>
      <w:bookmarkEnd w:id="0"/>
      <w:r w:rsidRPr="008B5C40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C466F2C" wp14:editId="7523BF47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3951605" cy="1890395"/>
            <wp:effectExtent l="0" t="0" r="10795" b="14605"/>
            <wp:wrapTight wrapText="bothSides">
              <wp:wrapPolygon edited="0">
                <wp:start x="0" y="0"/>
                <wp:lineTo x="0" y="21549"/>
                <wp:lineTo x="21555" y="21549"/>
                <wp:lineTo x="21555" y="0"/>
                <wp:lineTo x="0" y="0"/>
              </wp:wrapPolygon>
            </wp:wrapTight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AE4C78A3-68E3-4F00-B612-19EA20DB8D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0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60"/>
    <w:rsid w:val="0005042B"/>
    <w:rsid w:val="00051C07"/>
    <w:rsid w:val="00112280"/>
    <w:rsid w:val="00211A2D"/>
    <w:rsid w:val="002420B4"/>
    <w:rsid w:val="00281F96"/>
    <w:rsid w:val="002C0FC0"/>
    <w:rsid w:val="002C12FD"/>
    <w:rsid w:val="00304655"/>
    <w:rsid w:val="00431E9D"/>
    <w:rsid w:val="004A3515"/>
    <w:rsid w:val="005015AC"/>
    <w:rsid w:val="00656A33"/>
    <w:rsid w:val="007A29B7"/>
    <w:rsid w:val="00AE2D15"/>
    <w:rsid w:val="00AF0945"/>
    <w:rsid w:val="00BF7D62"/>
    <w:rsid w:val="00E83A27"/>
    <w:rsid w:val="00EB2C60"/>
    <w:rsid w:val="00ED0232"/>
    <w:rsid w:val="00F67016"/>
    <w:rsid w:val="00F867AD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05DE7-6E09-411A-9555-CF380BAD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Gross Public Debt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FFFFFF"/>
              </a:solidFill>
              <a:prstDash val="solid"/>
            </a:ln>
            <a:effectLst/>
          </c:spPr>
          <c:invertIfNegative val="0"/>
          <c:val>
            <c:numRef>
              <c:f>Sheet2!$B$2:$B$92</c:f>
              <c:numCache>
                <c:formatCode>General</c:formatCode>
                <c:ptCount val="91"/>
                <c:pt idx="0">
                  <c:v>290.52999999999997</c:v>
                </c:pt>
                <c:pt idx="1">
                  <c:v>292.64999999999998</c:v>
                </c:pt>
                <c:pt idx="2">
                  <c:v>302.93</c:v>
                </c:pt>
                <c:pt idx="3">
                  <c:v>310.32</c:v>
                </c:pt>
                <c:pt idx="4">
                  <c:v>316.06</c:v>
                </c:pt>
                <c:pt idx="5">
                  <c:v>322.32</c:v>
                </c:pt>
                <c:pt idx="6">
                  <c:v>328.5</c:v>
                </c:pt>
                <c:pt idx="7">
                  <c:v>340.45</c:v>
                </c:pt>
                <c:pt idx="8">
                  <c:v>368.69</c:v>
                </c:pt>
                <c:pt idx="9">
                  <c:v>365.77</c:v>
                </c:pt>
                <c:pt idx="10">
                  <c:v>380.92</c:v>
                </c:pt>
                <c:pt idx="11">
                  <c:v>408.18</c:v>
                </c:pt>
                <c:pt idx="12">
                  <c:v>435.94</c:v>
                </c:pt>
                <c:pt idx="13">
                  <c:v>466.29</c:v>
                </c:pt>
                <c:pt idx="14">
                  <c:v>483.89</c:v>
                </c:pt>
                <c:pt idx="15">
                  <c:v>541.92999999999995</c:v>
                </c:pt>
                <c:pt idx="16">
                  <c:v>628.97</c:v>
                </c:pt>
                <c:pt idx="17">
                  <c:v>706.4</c:v>
                </c:pt>
                <c:pt idx="18">
                  <c:v>776.6</c:v>
                </c:pt>
                <c:pt idx="19">
                  <c:v>829.47</c:v>
                </c:pt>
                <c:pt idx="20">
                  <c:v>909.04</c:v>
                </c:pt>
                <c:pt idx="21">
                  <c:v>994.83</c:v>
                </c:pt>
                <c:pt idx="22">
                  <c:v>1137.32</c:v>
                </c:pt>
                <c:pt idx="23">
                  <c:v>1371.66</c:v>
                </c:pt>
                <c:pt idx="24">
                  <c:v>1564.58</c:v>
                </c:pt>
                <c:pt idx="25">
                  <c:v>1817.42</c:v>
                </c:pt>
                <c:pt idx="26">
                  <c:v>2120.5</c:v>
                </c:pt>
                <c:pt idx="27">
                  <c:v>2345.9499999999998</c:v>
                </c:pt>
                <c:pt idx="28">
                  <c:v>2601.11</c:v>
                </c:pt>
                <c:pt idx="29">
                  <c:v>2867.8</c:v>
                </c:pt>
                <c:pt idx="30">
                  <c:v>3206.29</c:v>
                </c:pt>
                <c:pt idx="31">
                  <c:v>3598.18</c:v>
                </c:pt>
                <c:pt idx="32">
                  <c:v>4001.79</c:v>
                </c:pt>
                <c:pt idx="33">
                  <c:v>4351.04</c:v>
                </c:pt>
                <c:pt idx="34">
                  <c:v>4643.3100000000004</c:v>
                </c:pt>
                <c:pt idx="35">
                  <c:v>4920.58</c:v>
                </c:pt>
                <c:pt idx="36">
                  <c:v>5181.46</c:v>
                </c:pt>
                <c:pt idx="37">
                  <c:v>5369.21</c:v>
                </c:pt>
                <c:pt idx="38">
                  <c:v>5478.19</c:v>
                </c:pt>
                <c:pt idx="39">
                  <c:v>5605.52</c:v>
                </c:pt>
                <c:pt idx="40">
                  <c:v>5628.7</c:v>
                </c:pt>
                <c:pt idx="41">
                  <c:v>5769.89</c:v>
                </c:pt>
                <c:pt idx="42">
                  <c:v>6198.4</c:v>
                </c:pt>
                <c:pt idx="43">
                  <c:v>6760.02</c:v>
                </c:pt>
                <c:pt idx="44">
                  <c:v>7354.65</c:v>
                </c:pt>
                <c:pt idx="45">
                  <c:v>7905.3</c:v>
                </c:pt>
                <c:pt idx="46">
                  <c:v>8451.35</c:v>
                </c:pt>
                <c:pt idx="47">
                  <c:v>8950.75</c:v>
                </c:pt>
                <c:pt idx="48">
                  <c:v>9986.08</c:v>
                </c:pt>
                <c:pt idx="49">
                  <c:v>11875.85</c:v>
                </c:pt>
                <c:pt idx="50">
                  <c:v>13528.81</c:v>
                </c:pt>
                <c:pt idx="51">
                  <c:v>14764.23</c:v>
                </c:pt>
                <c:pt idx="52">
                  <c:v>16050.92</c:v>
                </c:pt>
                <c:pt idx="53">
                  <c:v>16719.43</c:v>
                </c:pt>
                <c:pt idx="54">
                  <c:v>17794.52</c:v>
                </c:pt>
                <c:pt idx="55">
                  <c:v>18120.060000000001</c:v>
                </c:pt>
                <c:pt idx="56">
                  <c:v>19539.490000000002</c:v>
                </c:pt>
                <c:pt idx="57">
                  <c:v>20205.669999999998</c:v>
                </c:pt>
                <c:pt idx="58">
                  <c:v>21478.22</c:v>
                </c:pt>
                <c:pt idx="59">
                  <c:v>22702.84</c:v>
                </c:pt>
                <c:pt idx="60">
                  <c:v>23900.98</c:v>
                </c:pt>
                <c:pt idx="61">
                  <c:v>25020.16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0-4EC3-BCD8-D29885B31097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Forecast(Gross Public Debt)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rgbClr val="FFFFFF"/>
              </a:solidFill>
              <a:prstDash val="solid"/>
            </a:ln>
            <a:effectLst/>
          </c:spPr>
          <c:invertIfNegative val="0"/>
          <c:cat>
            <c:numRef>
              <c:f>Sheet2!$A$2:$A$92</c:f>
              <c:numCache>
                <c:formatCode>General</c:formatCode>
                <c:ptCount val="91"/>
                <c:pt idx="0">
                  <c:v>1960</c:v>
                </c:pt>
                <c:pt idx="1">
                  <c:v>1961</c:v>
                </c:pt>
                <c:pt idx="2">
                  <c:v>1962</c:v>
                </c:pt>
                <c:pt idx="3">
                  <c:v>1963</c:v>
                </c:pt>
                <c:pt idx="4">
                  <c:v>1964</c:v>
                </c:pt>
                <c:pt idx="5">
                  <c:v>1965</c:v>
                </c:pt>
                <c:pt idx="6">
                  <c:v>1966</c:v>
                </c:pt>
                <c:pt idx="7">
                  <c:v>1967</c:v>
                </c:pt>
                <c:pt idx="8">
                  <c:v>1968</c:v>
                </c:pt>
                <c:pt idx="9">
                  <c:v>1969</c:v>
                </c:pt>
                <c:pt idx="10">
                  <c:v>1970</c:v>
                </c:pt>
                <c:pt idx="11">
                  <c:v>1971</c:v>
                </c:pt>
                <c:pt idx="12">
                  <c:v>1972</c:v>
                </c:pt>
                <c:pt idx="13">
                  <c:v>1973</c:v>
                </c:pt>
                <c:pt idx="14">
                  <c:v>1974</c:v>
                </c:pt>
                <c:pt idx="15">
                  <c:v>1975</c:v>
                </c:pt>
                <c:pt idx="16">
                  <c:v>1976</c:v>
                </c:pt>
                <c:pt idx="17">
                  <c:v>1977</c:v>
                </c:pt>
                <c:pt idx="18">
                  <c:v>1978</c:v>
                </c:pt>
                <c:pt idx="19">
                  <c:v>1979</c:v>
                </c:pt>
                <c:pt idx="20">
                  <c:v>1980</c:v>
                </c:pt>
                <c:pt idx="21">
                  <c:v>1981</c:v>
                </c:pt>
                <c:pt idx="22">
                  <c:v>1982</c:v>
                </c:pt>
                <c:pt idx="23">
                  <c:v>1983</c:v>
                </c:pt>
                <c:pt idx="24">
                  <c:v>1984</c:v>
                </c:pt>
                <c:pt idx="25">
                  <c:v>1985</c:v>
                </c:pt>
                <c:pt idx="26">
                  <c:v>1986</c:v>
                </c:pt>
                <c:pt idx="27">
                  <c:v>1987</c:v>
                </c:pt>
                <c:pt idx="28">
                  <c:v>1988</c:v>
                </c:pt>
                <c:pt idx="29">
                  <c:v>1989</c:v>
                </c:pt>
                <c:pt idx="30">
                  <c:v>1990</c:v>
                </c:pt>
                <c:pt idx="31">
                  <c:v>1991</c:v>
                </c:pt>
                <c:pt idx="32">
                  <c:v>1992</c:v>
                </c:pt>
                <c:pt idx="33">
                  <c:v>1993</c:v>
                </c:pt>
                <c:pt idx="34">
                  <c:v>1994</c:v>
                </c:pt>
                <c:pt idx="35">
                  <c:v>1995</c:v>
                </c:pt>
                <c:pt idx="36">
                  <c:v>1996</c:v>
                </c:pt>
                <c:pt idx="37">
                  <c:v>1997</c:v>
                </c:pt>
                <c:pt idx="38">
                  <c:v>1998</c:v>
                </c:pt>
                <c:pt idx="39">
                  <c:v>1999</c:v>
                </c:pt>
                <c:pt idx="40">
                  <c:v>2000</c:v>
                </c:pt>
                <c:pt idx="41">
                  <c:v>2001</c:v>
                </c:pt>
                <c:pt idx="42">
                  <c:v>2002</c:v>
                </c:pt>
                <c:pt idx="43">
                  <c:v>2003</c:v>
                </c:pt>
                <c:pt idx="44">
                  <c:v>2004</c:v>
                </c:pt>
                <c:pt idx="45">
                  <c:v>2005</c:v>
                </c:pt>
                <c:pt idx="46">
                  <c:v>2006</c:v>
                </c:pt>
                <c:pt idx="47">
                  <c:v>2007</c:v>
                </c:pt>
                <c:pt idx="48">
                  <c:v>2008</c:v>
                </c:pt>
                <c:pt idx="49">
                  <c:v>2009</c:v>
                </c:pt>
                <c:pt idx="50">
                  <c:v>2010</c:v>
                </c:pt>
                <c:pt idx="51">
                  <c:v>2011</c:v>
                </c:pt>
                <c:pt idx="52">
                  <c:v>2012</c:v>
                </c:pt>
                <c:pt idx="53">
                  <c:v>2013</c:v>
                </c:pt>
                <c:pt idx="54">
                  <c:v>2014</c:v>
                </c:pt>
                <c:pt idx="55">
                  <c:v>2015</c:v>
                </c:pt>
                <c:pt idx="56">
                  <c:v>2016</c:v>
                </c:pt>
                <c:pt idx="57">
                  <c:v>2017</c:v>
                </c:pt>
                <c:pt idx="58">
                  <c:v>2018</c:v>
                </c:pt>
                <c:pt idx="59">
                  <c:v>2019</c:v>
                </c:pt>
                <c:pt idx="60">
                  <c:v>2020</c:v>
                </c:pt>
                <c:pt idx="61">
                  <c:v>2021</c:v>
                </c:pt>
                <c:pt idx="62">
                  <c:v>2022</c:v>
                </c:pt>
                <c:pt idx="63">
                  <c:v>2023</c:v>
                </c:pt>
                <c:pt idx="64">
                  <c:v>2024</c:v>
                </c:pt>
                <c:pt idx="65">
                  <c:v>2025</c:v>
                </c:pt>
                <c:pt idx="66">
                  <c:v>2026</c:v>
                </c:pt>
                <c:pt idx="67">
                  <c:v>2027</c:v>
                </c:pt>
                <c:pt idx="68">
                  <c:v>2028</c:v>
                </c:pt>
                <c:pt idx="69">
                  <c:v>2029</c:v>
                </c:pt>
                <c:pt idx="70">
                  <c:v>2030</c:v>
                </c:pt>
                <c:pt idx="71">
                  <c:v>2031</c:v>
                </c:pt>
                <c:pt idx="72">
                  <c:v>2032</c:v>
                </c:pt>
                <c:pt idx="73">
                  <c:v>2033</c:v>
                </c:pt>
                <c:pt idx="74">
                  <c:v>2034</c:v>
                </c:pt>
                <c:pt idx="75">
                  <c:v>2035</c:v>
                </c:pt>
                <c:pt idx="76">
                  <c:v>2036</c:v>
                </c:pt>
                <c:pt idx="77">
                  <c:v>2037</c:v>
                </c:pt>
                <c:pt idx="78">
                  <c:v>2038</c:v>
                </c:pt>
                <c:pt idx="79">
                  <c:v>2039</c:v>
                </c:pt>
                <c:pt idx="80">
                  <c:v>2040</c:v>
                </c:pt>
                <c:pt idx="81">
                  <c:v>2041</c:v>
                </c:pt>
                <c:pt idx="82">
                  <c:v>2042</c:v>
                </c:pt>
                <c:pt idx="83">
                  <c:v>2043</c:v>
                </c:pt>
                <c:pt idx="84">
                  <c:v>2044</c:v>
                </c:pt>
                <c:pt idx="85">
                  <c:v>2045</c:v>
                </c:pt>
                <c:pt idx="86">
                  <c:v>2046</c:v>
                </c:pt>
                <c:pt idx="87">
                  <c:v>2047</c:v>
                </c:pt>
                <c:pt idx="88">
                  <c:v>2048</c:v>
                </c:pt>
                <c:pt idx="89">
                  <c:v>2049</c:v>
                </c:pt>
                <c:pt idx="90">
                  <c:v>2050</c:v>
                </c:pt>
              </c:numCache>
            </c:numRef>
          </c:cat>
          <c:val>
            <c:numRef>
              <c:f>Sheet2!$C$2:$C$92</c:f>
              <c:numCache>
                <c:formatCode>General</c:formatCode>
                <c:ptCount val="91"/>
                <c:pt idx="62">
                  <c:v>26147.704149742473</c:v>
                </c:pt>
                <c:pt idx="63">
                  <c:v>27275.084853688193</c:v>
                </c:pt>
                <c:pt idx="64">
                  <c:v>28402.465557633914</c:v>
                </c:pt>
                <c:pt idx="65">
                  <c:v>29529.846261579631</c:v>
                </c:pt>
                <c:pt idx="66">
                  <c:v>30657.226965525351</c:v>
                </c:pt>
                <c:pt idx="67">
                  <c:v>31784.607669471072</c:v>
                </c:pt>
                <c:pt idx="68">
                  <c:v>32911.988373416789</c:v>
                </c:pt>
                <c:pt idx="69">
                  <c:v>34039.369077362513</c:v>
                </c:pt>
                <c:pt idx="70">
                  <c:v>35166.74978130823</c:v>
                </c:pt>
                <c:pt idx="71">
                  <c:v>36294.130485253947</c:v>
                </c:pt>
                <c:pt idx="72">
                  <c:v>37421.511189199671</c:v>
                </c:pt>
                <c:pt idx="73">
                  <c:v>38548.891893145395</c:v>
                </c:pt>
                <c:pt idx="74">
                  <c:v>39676.272597091112</c:v>
                </c:pt>
                <c:pt idx="75">
                  <c:v>40803.653301036829</c:v>
                </c:pt>
                <c:pt idx="76">
                  <c:v>41931.034004982546</c:v>
                </c:pt>
                <c:pt idx="77">
                  <c:v>43058.414708928271</c:v>
                </c:pt>
                <c:pt idx="78">
                  <c:v>44185.795412873995</c:v>
                </c:pt>
                <c:pt idx="79">
                  <c:v>45313.176116819712</c:v>
                </c:pt>
                <c:pt idx="80">
                  <c:v>46440.556820765429</c:v>
                </c:pt>
                <c:pt idx="81">
                  <c:v>47567.937524711146</c:v>
                </c:pt>
                <c:pt idx="82">
                  <c:v>48695.31822865687</c:v>
                </c:pt>
                <c:pt idx="83">
                  <c:v>49822.698932602594</c:v>
                </c:pt>
                <c:pt idx="84">
                  <c:v>50950.079636548311</c:v>
                </c:pt>
                <c:pt idx="85">
                  <c:v>52077.460340494028</c:v>
                </c:pt>
                <c:pt idx="86">
                  <c:v>53204.841044439745</c:v>
                </c:pt>
                <c:pt idx="87">
                  <c:v>54332.221748385469</c:v>
                </c:pt>
                <c:pt idx="88">
                  <c:v>55459.602452331193</c:v>
                </c:pt>
                <c:pt idx="89">
                  <c:v>56586.98315627691</c:v>
                </c:pt>
                <c:pt idx="90">
                  <c:v>57714.363860222627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0-4EC3-BCD8-D29885B31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23657176"/>
        <c:axId val="323656192"/>
      </c:barChart>
      <c:catAx>
        <c:axId val="323657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656192"/>
        <c:crosses val="autoZero"/>
        <c:auto val="1"/>
        <c:lblAlgn val="ctr"/>
        <c:lblOffset val="100"/>
        <c:noMultiLvlLbl val="0"/>
      </c:catAx>
      <c:valAx>
        <c:axId val="32365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Dollars</a:t>
                </a:r>
                <a:r>
                  <a:rPr lang="en-US" baseline="0"/>
                  <a:t> in Billions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657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Asadul Islam</dc:creator>
  <cp:keywords/>
  <dc:description/>
  <cp:lastModifiedBy>Md. Asadul Islam</cp:lastModifiedBy>
  <cp:revision>1</cp:revision>
  <dcterms:created xsi:type="dcterms:W3CDTF">2019-07-08T14:06:00Z</dcterms:created>
  <dcterms:modified xsi:type="dcterms:W3CDTF">2019-07-08T14:07:00Z</dcterms:modified>
</cp:coreProperties>
</file>