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3575"/>
        <w:gridCol w:w="1647"/>
      </w:tblGrid>
      <w:tr>
        <w:trPr/>
        <w:tc>
          <w:tcPr>
            <w:tcW w:w="13575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49"/>
              <w:gridCol w:w="3859"/>
              <w:gridCol w:w="1616"/>
              <w:gridCol w:w="1616"/>
              <w:gridCol w:w="1616"/>
              <w:gridCol w:w="1616"/>
            </w:tblGrid>
            <w:tr>
              <w:trPr>
                <w:trHeight w:val="282" w:hRule="atLeast"/>
              </w:trPr>
              <w:tc>
                <w:tcPr>
                  <w:tcW w:w="324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 Protocol No. (Document ID):</w:t>
                  </w:r>
                </w:p>
              </w:tc>
              <w:tc>
                <w:tcPr>
                  <w:tcW w:w="38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A5346 (12028)</w:t>
                  </w:r>
                </w:p>
              </w:tc>
              <w:tc>
                <w:tcPr>
                  <w:tcW w:w="161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Version No.:</w:t>
                  </w:r>
                </w:p>
              </w:tc>
              <w:tc>
                <w:tcPr>
                  <w:tcW w:w="1616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1.0 Dated 06/22/2015</w:t>
                  </w:r>
                </w:p>
              </w:tc>
              <w:tc>
                <w:tcPr>
                  <w:tcW w:w="161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1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324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LOA No.:</w:t>
                  </w:r>
                </w:p>
              </w:tc>
              <w:tc>
                <w:tcPr>
                  <w:tcW w:w="38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LOA 1(10/08/2015)</w:t>
                  </w:r>
                </w:p>
              </w:tc>
              <w:tc>
                <w:tcPr>
                  <w:tcW w:w="161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1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1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1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64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135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57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787"/>
              <w:gridCol w:w="6787"/>
            </w:tblGrid>
            <w:tr>
              <w:trPr>
                <w:trHeight w:val="282" w:hRule="atLeast"/>
              </w:trPr>
              <w:tc>
                <w:tcPr>
                  <w:tcW w:w="6787" w:type="dxa"/>
                  <w:h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Study Design:</w:t>
                  </w:r>
                </w:p>
              </w:tc>
              <w:tc>
                <w:tcPr>
                  <w:tcW w:w="6787" w:type="dxa"/>
                  <w:hMerge w:val="continue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6787" w:type="dxa"/>
                  <w:hMerge w:val="restart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A5346 is a phase II, randomized, double-blinded, placebo-controlled trial of a DPP4 inhibitor (sitagliptin; 100 mg/day) to determine whether sitagliptin reduces plasma sCD14 concentrations.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The study population will include HIV-infected men and women &gt;=18 years of age who are continuously treated with cART and have undetectable plasma viremia for the prior &gt;= 48 weeks.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Participants will be stratified by screening CD4+T cell count and statin use and randomized 1:1 to 2 arms such that 43 participants will be enrolled in each arm.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Arm 1: Sitagliptin (Januvia) 100 mg one tablet daily p.o. for 16 weeks, followed by a 4-week post-treatment follow-up.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Arm 2: Placebo for sitagliptin one tablet daily p.o. for 16 weeks, followed by a 4-week post-treatment follow-up.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(Section 3.0)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6787" w:type="dxa"/>
                  <w:h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6787" w:type="dxa"/>
                  <w:hMerge w:val="restart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87" w:type="dxa"/>
                  <w:h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64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57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3"/>
              <w:gridCol w:w="10411"/>
            </w:tblGrid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Study Objectives:</w:t>
                  </w:r>
                </w:p>
              </w:tc>
              <w:tc>
                <w:tcPr>
                  <w:tcW w:w="10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Primary:</w:t>
                  </w:r>
                </w:p>
              </w:tc>
              <w:tc>
                <w:tcPr>
                  <w:tcW w:w="10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To assess the effect of 16 weeks of sitagliptin 100 mg/day on plasma sCD14 concentrations.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(Section 1.2)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Secondary:</w:t>
                  </w:r>
                </w:p>
              </w:tc>
              <w:tc>
                <w:tcPr>
                  <w:tcW w:w="10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1. To assess the effect of 16 weeks of sitagliptin 100 mg/day on plasma concentrations of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CXCL10 (IP-10), sCD163, IL-6, sTNFR1 &amp; 2, hs-CRP, and sCD26.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2. To assess the effect of 16 weeks of sitagliptin 100 mg/day on the percentages of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CD4+CD38+HLA-DR+ and CD8+CD38+HLA-DR+ T-cell subpopulations.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3. To assess the effect of 16 weeks of sitagliptin 100 mg/day on the percentages of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CD14+CD16- (classical), CD14+CD16+ (intermediate), and CD14dimCD16++ (non-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classical) monocyte subpopulations.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4. To assess the effect of 16 weeks of sitagliptin 100 mg/day on the CD4+/CD8+ T-cell 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ratio.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5. To assess the safety of 16 weeks of sitagliptin 100 mg/day in HIV-infected persons on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ART.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6. To assess the durability of the effect of sitagliptin 100 mg/day on plasma sCD14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concentrations 4 weeks after discontinuing sitagliptin or placebo (week 20).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7. To assess the durability of the effect of sitagliptin 100 mg/day on the percentages of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CD4+CD38+HLA-DR+ and CD8+CD38+HLA-DR+ T-cell subpopulations 4 weeks after 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discontinuing sitagliptin or placebo (week 20).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8. To assess the durability of the effect of sitagliptin 100 mg/day on the percentages of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CD14+CD16- (classical), CD14+CD16+ (intermediate), CD14dimCD16++ (non-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classical) monocyte subpopulations 4 weeks after discontinuing sitagliptin or placebo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(week 20).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9. To assess the durability of the effect of sitagliptin 100 mg/day on the CD4+/CD8+ T-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cell ratio 4 weeks after discontinuing sitagliptin or placebo (week 20).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10. In the event that sitagliptin reduces plasma markers of immune activation or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  inflammation, we will assess the effect and durability of sitagliptin 100 mg/day on the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  transcriptional activation of cell-associated HIV-1, the PBMC HIV-1 RNA/DNA ratio.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11. In the event that sitagliptin reduces plasma markers of immune activation or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  inflammation, we will assess the effect and durability of sitagliptin 100 mg/day on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  monocyte mRNA expression for pro-inflammatory cytokine and chemokine markers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  (e.g., TLR-2, TLR-4, CCR2, and TNFalpha).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(Section 1.3)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64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357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84"/>
              <w:gridCol w:w="5195"/>
              <w:gridCol w:w="5195"/>
            </w:tblGrid>
            <w:tr>
              <w:trPr>
                <w:trHeight w:val="282" w:hRule="atLeast"/>
              </w:trPr>
              <w:tc>
                <w:tcPr>
                  <w:tcW w:w="318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Study Endpoints:</w:t>
                  </w:r>
                </w:p>
              </w:tc>
              <w:tc>
                <w:tcPr>
                  <w:tcW w:w="519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19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3184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Primary, Immunogenicity:</w:t>
                  </w:r>
                </w:p>
              </w:tc>
              <w:tc>
                <w:tcPr>
                  <w:tcW w:w="519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Change in sCD14 from baseline to week 16.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(Section 9.2.1) </w:t>
                  </w:r>
                </w:p>
              </w:tc>
              <w:tc>
                <w:tcPr>
                  <w:tcW w:w="519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318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Secondary, Immunogenicity:</w:t>
                  </w:r>
                </w:p>
              </w:tc>
              <w:tc>
                <w:tcPr>
                  <w:tcW w:w="519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 Change from baseline to week 16 in circulating levels of inflammatory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biomarkers CXCL10 (IP-10), sCD163, IL-6, sTNFR1 &amp; 2, hs-CRP, sCD26.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2. Change from baseline to week 16 in the percentage and number of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CD4+CD38+HLA-DR+ and CD8+CD38+HLA-DR+ T-cell subpopulations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3. Change from baseline to week 16 in the percentages and number of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CD14+CD16- (classical), CD14+CD16+ (intermediate) and CD14dim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CD16++ (non-classical) monocyte subpopulations.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4. Change from baseline to week 16 in CD4+/CD8+ T-cell ratio.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5. Occurrence of Grade &gt;=3 AEs and selected Grade &gt;=2 AEs related to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study drug.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6. Change from week 16 to week 20 for: plasma sCD14 levels, plasma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biomarker levels (CXCL10 (IP-10), sCD163, IL-6, sTNFR1 &amp; 2, hs-CRP,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sCD26), percentage and number of T-cell and monocyte subpopulations,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and CD4+/CD8+ T-cell ratio.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7. In the event that sitagliptin reduces plasma markers of immune activation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or inflammation, change from baseline to week 16 and week 16 to week 20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in monocyte mRNA expression for pro-inflammatory cytokine or chemokine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markers (e.g., TLR-2, TLR-4, CCR2, TNFalpha).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8. In the event that sitagliptin reduces plasma markers of immune activation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or inflammation, change from baseline to week 16 and week 16 to week 20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    in monocyte HIV RNA/DNA ratio.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(Section 9.2.2) </w:t>
                  </w:r>
                </w:p>
              </w:tc>
              <w:tc>
                <w:tcPr>
                  <w:tcW w:w="519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647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5840" w:h="12240"/>
      <w:pgMar w:top="144" w:right="144" w:bottom="144" w:left="144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140"/>
      <w:gridCol w:w="4140"/>
      <w:gridCol w:w="2880"/>
      <w:gridCol w:w="209"/>
      <w:gridCol w:w="2205"/>
      <w:gridCol w:w="1647"/>
    </w:tblGrid>
    <w:tr>
      <w:trPr/>
      <w:tc>
        <w:tcPr>
          <w:tcW w:w="414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140"/>
          </w:tblGrid>
          <w:tr>
            <w:trPr>
              <w:trHeight w:val="286" w:hRule="atLeast"/>
            </w:trPr>
            <w:tc>
              <w:tcPr>
                <w:tcW w:w="41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Report Date: 5/2/2016 3:06:17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1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880"/>
          </w:tblGrid>
          <w:tr>
            <w:trPr>
              <w:trHeight w:val="286" w:hRule="atLeast"/>
            </w:trPr>
            <w:tc>
              <w:tcPr>
                <w:tcW w:w="288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Page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0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4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1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  <w:h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962150" cy="514350"/>
                <wp:docPr id="0" name="img4.jpg"/>
                <a:graphic>
                  <a:graphicData uri="http://schemas.openxmlformats.org/drawingml/2006/picture">
                    <pic:pic>
                      <pic:nvPicPr>
                        <pic:cNvPr id="1" name="img4.jpg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9621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4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14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575"/>
          </w:tblGrid>
          <w:tr>
            <w:trPr>
              <w:trHeight w:val="102" w:hRule="atLeast"/>
            </w:trPr>
            <w:tc>
              <w:tcPr>
                <w:tcW w:w="1357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14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0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0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4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1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4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575"/>
      <w:gridCol w:w="1647"/>
    </w:tblGrid>
    <w:tr>
      <w:trPr/>
      <w:tc>
        <w:tcPr>
          <w:tcW w:w="1357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575"/>
          </w:tblGrid>
          <w:tr>
            <w:trPr>
              <w:trHeight w:val="462" w:hRule="atLeast"/>
            </w:trPr>
            <w:tc>
              <w:tcPr>
                <w:tcW w:w="13575" w:type="dxa"/>
                <w:tcBorders>
                  <w:top w:val="nil" w:color="000000" w:sz="7"/>
                  <w:left w:val="nil" w:color="000000" w:sz="7"/>
                  <w:bottom w:val="single" w:color="000000" w:sz="23"/>
                  <w:right w:val="nil" w:color="000000" w:sz="7"/>
                </w:tcBorders>
                <w:shd w:val="clear" w:fill="000066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b/>
                    <w:color w:val="FFFFFF"/>
                    <w:sz w:val="36"/>
                  </w:rPr>
                  <w:t xml:space="preserve">Study Design, Objectives and Endpoints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4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img4.jpg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Study Design</dc:title>
</cp:coreProperties>
</file>