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26" w:type="dxa"/>
        <w:jc w:val="center"/>
        <w:tblLayout w:type="fixed"/>
        <w:tblLook w:val="0000" w:firstRow="0" w:lastRow="0" w:firstColumn="0" w:lastColumn="0" w:noHBand="0" w:noVBand="0"/>
      </w:tblPr>
      <w:tblGrid>
        <w:gridCol w:w="1964"/>
        <w:gridCol w:w="907"/>
        <w:gridCol w:w="1360"/>
        <w:gridCol w:w="1360"/>
        <w:gridCol w:w="1505"/>
        <w:gridCol w:w="1506"/>
        <w:gridCol w:w="1506"/>
        <w:gridCol w:w="1506"/>
        <w:gridCol w:w="1506"/>
        <w:gridCol w:w="1506"/>
      </w:tblGrid>
      <w:tr w:rsidR="00CE6A5A" w:rsidTr="00ED4E92">
        <w:trPr>
          <w:trHeight w:val="750"/>
          <w:jc w:val="center"/>
        </w:trPr>
        <w:tc>
          <w:tcPr>
            <w:tcW w:w="196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07559" w:rsidRPr="00CD5209" w:rsidRDefault="00143471" w:rsidP="00143471">
            <w:pPr>
              <w:pStyle w:val="tablecolhead"/>
              <w:rPr>
                <w:sz w:val="20"/>
                <w:szCs w:val="20"/>
              </w:rPr>
            </w:pPr>
            <w:r w:rsidRPr="00F81B7E">
              <w:rPr>
                <w:sz w:val="22"/>
                <w:szCs w:val="22"/>
              </w:rPr>
              <w:t>Lang</w:t>
            </w:r>
            <w:r w:rsidR="00307559" w:rsidRPr="00F81B7E">
              <w:rPr>
                <w:sz w:val="22"/>
                <w:szCs w:val="22"/>
              </w:rPr>
              <w:t>-Wise</w:t>
            </w:r>
            <w:r w:rsidRPr="00F81B7E">
              <w:rPr>
                <w:sz w:val="22"/>
                <w:szCs w:val="22"/>
              </w:rPr>
              <w:t>-</w:t>
            </w:r>
            <w:proofErr w:type="spellStart"/>
            <w:r w:rsidRPr="00F81B7E">
              <w:rPr>
                <w:sz w:val="22"/>
                <w:szCs w:val="22"/>
              </w:rPr>
              <w:t>Eval</w:t>
            </w:r>
            <w:proofErr w:type="spellEnd"/>
          </w:p>
        </w:tc>
        <w:tc>
          <w:tcPr>
            <w:tcW w:w="12660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307559" w:rsidRPr="00CD5209" w:rsidRDefault="00307559" w:rsidP="00EE1A7C">
            <w:pPr>
              <w:pStyle w:val="tablecolhead"/>
              <w:rPr>
                <w:sz w:val="20"/>
                <w:szCs w:val="20"/>
              </w:rPr>
            </w:pPr>
            <w:r w:rsidRPr="00143471">
              <w:rPr>
                <w:sz w:val="24"/>
                <w:szCs w:val="24"/>
              </w:rPr>
              <w:t xml:space="preserve">Details of Fetched Web Pages &amp; Accuracy of Detector </w:t>
            </w:r>
            <w:r w:rsidR="00EE1A7C">
              <w:rPr>
                <w:sz w:val="24"/>
                <w:szCs w:val="24"/>
              </w:rPr>
              <w:t>Algorithms</w:t>
            </w:r>
          </w:p>
        </w:tc>
      </w:tr>
      <w:tr w:rsidR="006F1AF6" w:rsidRPr="00345CC9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999"/>
          <w:jc w:val="center"/>
        </w:trPr>
        <w:tc>
          <w:tcPr>
            <w:tcW w:w="1964" w:type="dxa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E6A5A" w:rsidRPr="00D216C8" w:rsidRDefault="00CE6A5A" w:rsidP="00C562FE">
            <w:pPr>
              <w:pStyle w:val="tablecolsubhead"/>
              <w:rPr>
                <w:sz w:val="22"/>
                <w:szCs w:val="22"/>
              </w:rPr>
            </w:pPr>
            <w:r w:rsidRPr="00D216C8">
              <w:rPr>
                <w:sz w:val="22"/>
                <w:szCs w:val="22"/>
              </w:rPr>
              <w:t>Language(s)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E6A5A" w:rsidRPr="00D216C8" w:rsidRDefault="00CE6A5A" w:rsidP="00C562FE">
            <w:pPr>
              <w:pStyle w:val="tablecolsubhead"/>
              <w:rPr>
                <w:sz w:val="22"/>
                <w:szCs w:val="22"/>
              </w:rPr>
            </w:pPr>
            <w:r w:rsidRPr="00D216C8">
              <w:rPr>
                <w:sz w:val="22"/>
                <w:szCs w:val="22"/>
              </w:rPr>
              <w:t># URLs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E6A5A" w:rsidRPr="00D216C8" w:rsidRDefault="00CE6A5A" w:rsidP="00422E9F">
            <w:pPr>
              <w:pStyle w:val="tablecolsubhead"/>
              <w:rPr>
                <w:sz w:val="22"/>
                <w:szCs w:val="22"/>
              </w:rPr>
            </w:pPr>
            <w:r w:rsidRPr="00D216C8">
              <w:rPr>
                <w:sz w:val="22"/>
                <w:szCs w:val="22"/>
              </w:rPr>
              <w:t># have valid charset in HTTP header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E6A5A" w:rsidRPr="00D216C8" w:rsidRDefault="00CE6A5A" w:rsidP="003A1604">
            <w:pPr>
              <w:pStyle w:val="tablecolsubhead"/>
              <w:rPr>
                <w:sz w:val="22"/>
                <w:szCs w:val="22"/>
              </w:rPr>
            </w:pPr>
            <w:r w:rsidRPr="00D216C8">
              <w:rPr>
                <w:sz w:val="22"/>
                <w:szCs w:val="22"/>
              </w:rPr>
              <w:t># fetched</w:t>
            </w:r>
            <w:r w:rsidR="003A1604" w:rsidRPr="00D216C8">
              <w:rPr>
                <w:sz w:val="22"/>
                <w:szCs w:val="22"/>
              </w:rPr>
              <w:t xml:space="preserve"> successfully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E6A5A" w:rsidRPr="00D216C8" w:rsidRDefault="00CE6A5A" w:rsidP="00CE6A5A">
            <w:pPr>
              <w:pStyle w:val="tablecolsubhead"/>
              <w:rPr>
                <w:sz w:val="22"/>
                <w:szCs w:val="22"/>
              </w:rPr>
            </w:pPr>
            <w:r w:rsidRPr="00D216C8">
              <w:rPr>
                <w:sz w:val="22"/>
                <w:szCs w:val="22"/>
              </w:rPr>
              <w:t>icu4jStripped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E6A5A" w:rsidRPr="00D216C8" w:rsidRDefault="00CE6A5A" w:rsidP="00CE6A5A">
            <w:pPr>
              <w:pStyle w:val="tablecolsubhead"/>
              <w:rPr>
                <w:sz w:val="22"/>
                <w:szCs w:val="22"/>
              </w:rPr>
            </w:pPr>
            <w:proofErr w:type="spellStart"/>
            <w:r w:rsidRPr="00D216C8">
              <w:rPr>
                <w:sz w:val="22"/>
                <w:szCs w:val="22"/>
              </w:rPr>
              <w:t>jUniCharDet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E6A5A" w:rsidRPr="00D216C8" w:rsidRDefault="00CE6A5A" w:rsidP="00CE6A5A">
            <w:pPr>
              <w:pStyle w:val="tablecolsubhead"/>
              <w:rPr>
                <w:sz w:val="22"/>
                <w:szCs w:val="22"/>
              </w:rPr>
            </w:pPr>
            <w:proofErr w:type="spellStart"/>
            <w:r w:rsidRPr="00D216C8">
              <w:rPr>
                <w:sz w:val="22"/>
                <w:szCs w:val="22"/>
              </w:rPr>
              <w:t>tika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E6A5A" w:rsidRPr="00D216C8" w:rsidRDefault="00CE6A5A" w:rsidP="00CE6A5A">
            <w:pPr>
              <w:pStyle w:val="tablecolsubhead"/>
              <w:rPr>
                <w:sz w:val="22"/>
                <w:szCs w:val="22"/>
              </w:rPr>
            </w:pPr>
            <w:proofErr w:type="spellStart"/>
            <w:r w:rsidRPr="00D216C8">
              <w:rPr>
                <w:sz w:val="22"/>
                <w:szCs w:val="22"/>
              </w:rPr>
              <w:t>iustWith</w:t>
            </w:r>
            <w:proofErr w:type="spellEnd"/>
            <w:r w:rsidR="00E13899" w:rsidRPr="00D216C8">
              <w:rPr>
                <w:sz w:val="22"/>
                <w:szCs w:val="22"/>
              </w:rPr>
              <w:br/>
            </w:r>
            <w:proofErr w:type="spellStart"/>
            <w:r w:rsidRPr="00D216C8">
              <w:rPr>
                <w:sz w:val="22"/>
                <w:szCs w:val="22"/>
              </w:rPr>
              <w:t>JUniChar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bottom w:val="single" w:sz="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E6A5A" w:rsidRPr="00D216C8" w:rsidRDefault="00CE6A5A" w:rsidP="00CE6A5A">
            <w:pPr>
              <w:pStyle w:val="tablecolsubhead"/>
              <w:rPr>
                <w:sz w:val="22"/>
                <w:szCs w:val="22"/>
              </w:rPr>
            </w:pPr>
            <w:proofErr w:type="spellStart"/>
            <w:r w:rsidRPr="00D216C8">
              <w:rPr>
                <w:sz w:val="22"/>
                <w:szCs w:val="22"/>
              </w:rPr>
              <w:t>iustWithout</w:t>
            </w:r>
            <w:proofErr w:type="spellEnd"/>
            <w:r w:rsidR="00E13899" w:rsidRPr="00D216C8">
              <w:rPr>
                <w:sz w:val="22"/>
                <w:szCs w:val="22"/>
              </w:rPr>
              <w:br/>
            </w:r>
            <w:proofErr w:type="spellStart"/>
            <w:r w:rsidRPr="00D216C8">
              <w:rPr>
                <w:sz w:val="22"/>
                <w:szCs w:val="22"/>
              </w:rPr>
              <w:t>MarkupElim</w:t>
            </w:r>
            <w:proofErr w:type="spellEnd"/>
          </w:p>
        </w:tc>
        <w:tc>
          <w:tcPr>
            <w:tcW w:w="1506" w:type="dxa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CE6A5A" w:rsidRPr="00D216C8" w:rsidRDefault="00CE6A5A" w:rsidP="00CE6A5A">
            <w:pPr>
              <w:pStyle w:val="tablecolsubhead"/>
              <w:rPr>
                <w:sz w:val="22"/>
                <w:szCs w:val="22"/>
              </w:rPr>
            </w:pPr>
            <w:proofErr w:type="spellStart"/>
            <w:r w:rsidRPr="00D216C8">
              <w:rPr>
                <w:sz w:val="22"/>
                <w:szCs w:val="22"/>
              </w:rPr>
              <w:t>iust</w:t>
            </w:r>
            <w:proofErr w:type="spellEnd"/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1964" w:type="dxa"/>
            <w:tcBorders>
              <w:top w:val="single" w:sz="12" w:space="0" w:color="auto"/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Arabic (.</w:t>
            </w:r>
            <w:proofErr w:type="spellStart"/>
            <w:r w:rsidRPr="00772C05">
              <w:rPr>
                <w:sz w:val="22"/>
                <w:szCs w:val="22"/>
              </w:rPr>
              <w:t>iq</w:t>
            </w:r>
            <w:proofErr w:type="spellEnd"/>
            <w:r w:rsidRPr="00772C05">
              <w:rPr>
                <w:sz w:val="22"/>
                <w:szCs w:val="22"/>
              </w:rPr>
              <w:t>, ...)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422E9F">
              <w:rPr>
                <w:b w:val="0"/>
                <w:bCs w:val="0"/>
                <w:sz w:val="20"/>
                <w:szCs w:val="20"/>
              </w:rPr>
              <w:t>1904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572C7">
              <w:rPr>
                <w:b w:val="0"/>
                <w:bCs w:val="0"/>
                <w:sz w:val="20"/>
                <w:szCs w:val="20"/>
              </w:rPr>
              <w:t>1175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572C7">
              <w:rPr>
                <w:b w:val="0"/>
                <w:bCs w:val="0"/>
                <w:sz w:val="20"/>
                <w:szCs w:val="20"/>
              </w:rPr>
              <w:t>1168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603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806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743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64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931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1107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95</w:t>
            </w:r>
          </w:p>
        </w:tc>
        <w:tc>
          <w:tcPr>
            <w:tcW w:w="1506" w:type="dxa"/>
            <w:tcBorders>
              <w:top w:val="single" w:sz="12" w:space="0" w:color="auto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1136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855BD5" w:rsidRPr="00E265C2">
              <w:rPr>
                <w:noProof/>
                <w:sz w:val="20"/>
                <w:szCs w:val="20"/>
              </w:rPr>
              <w:t>97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proofErr w:type="spellStart"/>
            <w:r w:rsidRPr="00772C05">
              <w:rPr>
                <w:sz w:val="22"/>
                <w:szCs w:val="22"/>
              </w:rPr>
              <w:t>korean</w:t>
            </w:r>
            <w:proofErr w:type="spellEnd"/>
            <w:r w:rsidRPr="00772C05">
              <w:rPr>
                <w:sz w:val="22"/>
                <w:szCs w:val="22"/>
              </w:rPr>
              <w:t xml:space="preserve"> (.</w:t>
            </w:r>
            <w:proofErr w:type="spellStart"/>
            <w:r w:rsidRPr="00772C05">
              <w:rPr>
                <w:sz w:val="22"/>
                <w:szCs w:val="22"/>
              </w:rPr>
              <w:t>kr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1604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736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735</w:t>
            </w:r>
          </w:p>
        </w:tc>
        <w:tc>
          <w:tcPr>
            <w:tcW w:w="1505" w:type="dxa"/>
            <w:tcBorders>
              <w:left w:val="single" w:sz="18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622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85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616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632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86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655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150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704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855BD5" w:rsidRPr="00E265C2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1506" w:type="dxa"/>
            <w:tcBorders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700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95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68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Turkish (.</w:t>
            </w:r>
            <w:proofErr w:type="spellStart"/>
            <w:r w:rsidRPr="00772C05">
              <w:rPr>
                <w:sz w:val="22"/>
                <w:szCs w:val="22"/>
              </w:rPr>
              <w:t>tr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2545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1569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1561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467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1209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1282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82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1350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1466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94</w:t>
            </w:r>
          </w:p>
        </w:tc>
        <w:tc>
          <w:tcPr>
            <w:tcW w:w="1506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1498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585812" w:rsidRPr="00E265C2">
              <w:rPr>
                <w:noProof/>
                <w:sz w:val="20"/>
                <w:szCs w:val="20"/>
              </w:rPr>
              <w:t>96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Vietnamese (.</w:t>
            </w:r>
            <w:proofErr w:type="spellStart"/>
            <w:r w:rsidRPr="00772C05">
              <w:rPr>
                <w:sz w:val="22"/>
                <w:szCs w:val="22"/>
              </w:rPr>
              <w:t>vn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2721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1467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1463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968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1233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1265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1305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1446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99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1448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855BD5" w:rsidRPr="00E265C2">
              <w:rPr>
                <w:noProof/>
                <w:sz w:val="20"/>
                <w:szCs w:val="20"/>
              </w:rPr>
              <w:t>99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Chinese (.</w:t>
            </w:r>
            <w:proofErr w:type="spellStart"/>
            <w:r w:rsidRPr="00772C05">
              <w:rPr>
                <w:sz w:val="22"/>
                <w:szCs w:val="22"/>
              </w:rPr>
              <w:t>cn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10086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3870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3855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1612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3411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89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3452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90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3555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5BD5">
              <w:rPr>
                <w:b w:val="0"/>
                <w:bCs w:val="0"/>
                <w:sz w:val="20"/>
                <w:szCs w:val="20"/>
              </w:rPr>
              <w:t>92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3748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855BD5" w:rsidRPr="00E265C2">
              <w:rPr>
                <w:noProof/>
                <w:sz w:val="20"/>
                <w:szCs w:val="20"/>
              </w:rPr>
              <w:t>97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BA0B73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3725</w:t>
            </w:r>
            <w:r w:rsidR="00811E80">
              <w:rPr>
                <w:b w:val="0"/>
                <w:bCs w:val="0"/>
                <w:sz w:val="20"/>
                <w:szCs w:val="20"/>
              </w:rPr>
              <w:t>= %</w:t>
            </w:r>
            <w:r>
              <w:rPr>
                <w:b w:val="0"/>
                <w:bCs w:val="0"/>
                <w:sz w:val="20"/>
                <w:szCs w:val="20"/>
              </w:rPr>
              <w:t>97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French (.</w:t>
            </w:r>
            <w:proofErr w:type="spellStart"/>
            <w:r w:rsidRPr="00772C05">
              <w:rPr>
                <w:sz w:val="22"/>
                <w:szCs w:val="22"/>
              </w:rPr>
              <w:t>fr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13156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8730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8713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1889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BA0B73">
              <w:rPr>
                <w:b w:val="0"/>
                <w:bCs w:val="0"/>
                <w:sz w:val="20"/>
                <w:szCs w:val="20"/>
              </w:rPr>
              <w:t>22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6555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BA0B73">
              <w:rPr>
                <w:b w:val="0"/>
                <w:bCs w:val="0"/>
                <w:sz w:val="20"/>
                <w:szCs w:val="20"/>
              </w:rPr>
              <w:t>75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7039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BA0B73">
              <w:rPr>
                <w:b w:val="0"/>
                <w:bCs w:val="0"/>
                <w:sz w:val="20"/>
                <w:szCs w:val="20"/>
              </w:rPr>
              <w:t>81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7197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BA0B73">
              <w:rPr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8266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BA0B73" w:rsidRPr="00E265C2"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8076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BA0B73">
              <w:rPr>
                <w:b w:val="0"/>
                <w:bCs w:val="0"/>
                <w:sz w:val="20"/>
                <w:szCs w:val="20"/>
              </w:rPr>
              <w:t>93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Japanese (.</w:t>
            </w:r>
            <w:proofErr w:type="spellStart"/>
            <w:r w:rsidRPr="00772C05">
              <w:rPr>
                <w:sz w:val="22"/>
                <w:szCs w:val="22"/>
              </w:rPr>
              <w:t>jp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20339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7747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7737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3483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5E3AC7">
              <w:rPr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6455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5E3AC7">
              <w:rPr>
                <w:b w:val="0"/>
                <w:bCs w:val="0"/>
                <w:sz w:val="20"/>
                <w:szCs w:val="20"/>
              </w:rPr>
              <w:t>83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6753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5E3AC7">
              <w:rPr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E13899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13899">
              <w:rPr>
                <w:b w:val="0"/>
                <w:bCs w:val="0"/>
                <w:sz w:val="20"/>
                <w:szCs w:val="20"/>
              </w:rPr>
              <w:t>6771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5E3AC7">
              <w:rPr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7623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5E3AC7" w:rsidRPr="00E265C2">
              <w:rPr>
                <w:noProof/>
                <w:sz w:val="20"/>
                <w:szCs w:val="20"/>
              </w:rPr>
              <w:t>99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E13899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7619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5E3AC7">
              <w:rPr>
                <w:b w:val="0"/>
                <w:bCs w:val="0"/>
                <w:sz w:val="20"/>
                <w:szCs w:val="20"/>
              </w:rPr>
              <w:t>99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Spanish (.</w:t>
            </w:r>
            <w:proofErr w:type="spellStart"/>
            <w:r w:rsidRPr="00772C05">
              <w:rPr>
                <w:sz w:val="22"/>
                <w:szCs w:val="22"/>
              </w:rPr>
              <w:t>es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10208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6304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6287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8508E2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1571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4745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76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4914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5308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6033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8508E2" w:rsidRPr="00E265C2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5956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95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Italian (.it)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11512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7398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7372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1540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5646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4690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64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6201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84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7074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8508E2" w:rsidRPr="00E265C2">
              <w:rPr>
                <w:noProof/>
                <w:sz w:val="20"/>
                <w:szCs w:val="20"/>
              </w:rPr>
              <w:t>96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6970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95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Indian</w:t>
            </w:r>
            <w:r w:rsidR="00B07D5E">
              <w:rPr>
                <w:sz w:val="22"/>
                <w:szCs w:val="22"/>
              </w:rPr>
              <w:t xml:space="preserve">, </w:t>
            </w:r>
            <w:r w:rsidR="00B07D5E" w:rsidRPr="00772C05">
              <w:rPr>
                <w:sz w:val="22"/>
                <w:szCs w:val="22"/>
              </w:rPr>
              <w:t>English</w:t>
            </w:r>
            <w:r w:rsidRPr="00772C05">
              <w:rPr>
                <w:sz w:val="22"/>
                <w:szCs w:val="22"/>
              </w:rPr>
              <w:t xml:space="preserve"> (.in)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12236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6174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6157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995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3190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52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1607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8508E2">
              <w:rPr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3559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E27F5A">
              <w:rPr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5987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E27F5A" w:rsidRPr="00E265C2">
              <w:rPr>
                <w:noProof/>
                <w:sz w:val="20"/>
                <w:szCs w:val="20"/>
              </w:rPr>
              <w:t>97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5973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E27F5A">
              <w:rPr>
                <w:b w:val="0"/>
                <w:bCs w:val="0"/>
                <w:sz w:val="20"/>
                <w:szCs w:val="20"/>
              </w:rPr>
              <w:t>97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Persian (.</w:t>
            </w:r>
            <w:proofErr w:type="spellStart"/>
            <w:r w:rsidRPr="00772C05">
              <w:rPr>
                <w:sz w:val="22"/>
                <w:szCs w:val="22"/>
              </w:rPr>
              <w:t>ir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7396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4014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4000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3752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E27F5A">
              <w:rPr>
                <w:b w:val="0"/>
                <w:bCs w:val="0"/>
                <w:sz w:val="20"/>
                <w:szCs w:val="20"/>
              </w:rPr>
              <w:t>94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3738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E27F5A">
              <w:rPr>
                <w:b w:val="0"/>
                <w:bCs w:val="0"/>
                <w:sz w:val="20"/>
                <w:szCs w:val="20"/>
              </w:rPr>
              <w:t>94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3878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E27F5A">
              <w:rPr>
                <w:b w:val="0"/>
                <w:bCs w:val="0"/>
                <w:sz w:val="20"/>
                <w:szCs w:val="20"/>
              </w:rPr>
              <w:t>97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3899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98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3975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99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3982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163D89" w:rsidRPr="00E265C2">
              <w:rPr>
                <w:noProof/>
                <w:sz w:val="20"/>
                <w:szCs w:val="20"/>
              </w:rPr>
              <w:t>100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English (.</w:t>
            </w:r>
            <w:proofErr w:type="spellStart"/>
            <w:r w:rsidRPr="00772C05">
              <w:rPr>
                <w:sz w:val="22"/>
                <w:szCs w:val="22"/>
              </w:rPr>
              <w:t>uk</w:t>
            </w:r>
            <w:proofErr w:type="spellEnd"/>
            <w:r w:rsidRPr="00772C05">
              <w:rPr>
                <w:sz w:val="22"/>
                <w:szCs w:val="22"/>
              </w:rPr>
              <w:t>, .us)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21565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13610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13583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2653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7551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4870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8886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65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13167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163D89" w:rsidRPr="00E265C2">
              <w:rPr>
                <w:noProof/>
                <w:sz w:val="20"/>
                <w:szCs w:val="20"/>
              </w:rPr>
              <w:t>97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13025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96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Russian (.</w:t>
            </w:r>
            <w:proofErr w:type="spellStart"/>
            <w:r w:rsidRPr="00772C05">
              <w:rPr>
                <w:sz w:val="22"/>
                <w:szCs w:val="22"/>
              </w:rPr>
              <w:t>ru</w:t>
            </w:r>
            <w:proofErr w:type="spellEnd"/>
            <w:r w:rsidRPr="00772C05"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39453</w:t>
            </w:r>
          </w:p>
        </w:tc>
        <w:tc>
          <w:tcPr>
            <w:tcW w:w="136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28289</w:t>
            </w:r>
          </w:p>
        </w:tc>
        <w:tc>
          <w:tcPr>
            <w:tcW w:w="1360" w:type="dxa"/>
            <w:tcBorders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28229</w:t>
            </w:r>
          </w:p>
        </w:tc>
        <w:tc>
          <w:tcPr>
            <w:tcW w:w="1505" w:type="dxa"/>
            <w:tcBorders>
              <w:left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22406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24796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88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25449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90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25638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91</w:t>
            </w:r>
          </w:p>
        </w:tc>
        <w:tc>
          <w:tcPr>
            <w:tcW w:w="1506" w:type="dxa"/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22813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81</w:t>
            </w:r>
          </w:p>
        </w:tc>
        <w:tc>
          <w:tcPr>
            <w:tcW w:w="1506" w:type="dxa"/>
            <w:tcBorders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27563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163D89" w:rsidRPr="00E265C2">
              <w:rPr>
                <w:noProof/>
                <w:sz w:val="20"/>
                <w:szCs w:val="20"/>
              </w:rPr>
              <w:t>98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left w:val="nil"/>
              <w:bottom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CE6A5A" w:rsidP="00772C05">
            <w:pPr>
              <w:pStyle w:val="tablecolsubhead"/>
              <w:rPr>
                <w:sz w:val="22"/>
                <w:szCs w:val="22"/>
              </w:rPr>
            </w:pPr>
            <w:r w:rsidRPr="00772C05">
              <w:rPr>
                <w:sz w:val="22"/>
                <w:szCs w:val="22"/>
              </w:rPr>
              <w:t>German (.de)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35318</w:t>
            </w:r>
          </w:p>
        </w:tc>
        <w:tc>
          <w:tcPr>
            <w:tcW w:w="1360" w:type="dxa"/>
            <w:tcBorders>
              <w:bottom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24914</w:t>
            </w:r>
          </w:p>
        </w:tc>
        <w:tc>
          <w:tcPr>
            <w:tcW w:w="1360" w:type="dxa"/>
            <w:tcBorders>
              <w:bottom w:val="single" w:sz="18" w:space="0" w:color="auto"/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3E5FFE">
              <w:rPr>
                <w:b w:val="0"/>
                <w:bCs w:val="0"/>
                <w:sz w:val="20"/>
                <w:szCs w:val="20"/>
              </w:rPr>
              <w:t>24891</w:t>
            </w:r>
          </w:p>
        </w:tc>
        <w:tc>
          <w:tcPr>
            <w:tcW w:w="150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5618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23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6A5A" w:rsidRPr="00307559" w:rsidRDefault="006306CB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15655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63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6A5A" w:rsidRPr="00307559" w:rsidRDefault="006306CB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17261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E6A5A" w:rsidRPr="00307559" w:rsidRDefault="006306CB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6306CB">
              <w:rPr>
                <w:b w:val="0"/>
                <w:bCs w:val="0"/>
                <w:sz w:val="20"/>
                <w:szCs w:val="20"/>
              </w:rPr>
              <w:t>18321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163D89">
              <w:rPr>
                <w:b w:val="0"/>
                <w:bCs w:val="0"/>
                <w:sz w:val="20"/>
                <w:szCs w:val="20"/>
              </w:rPr>
              <w:t>74</w:t>
            </w:r>
          </w:p>
        </w:tc>
        <w:tc>
          <w:tcPr>
            <w:tcW w:w="1506" w:type="dxa"/>
            <w:tcBorders>
              <w:bottom w:val="single" w:sz="18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noProof/>
                <w:sz w:val="20"/>
                <w:szCs w:val="20"/>
              </w:rPr>
            </w:pPr>
            <w:r w:rsidRPr="00E265C2">
              <w:rPr>
                <w:noProof/>
                <w:sz w:val="20"/>
                <w:szCs w:val="20"/>
              </w:rPr>
              <w:t>23552</w:t>
            </w:r>
            <w:r w:rsidR="00811E80" w:rsidRPr="00E265C2">
              <w:rPr>
                <w:noProof/>
                <w:sz w:val="20"/>
                <w:szCs w:val="20"/>
              </w:rPr>
              <w:t xml:space="preserve"> = %</w:t>
            </w:r>
            <w:r w:rsidR="00163D89" w:rsidRPr="00E265C2">
              <w:rPr>
                <w:noProof/>
                <w:sz w:val="20"/>
                <w:szCs w:val="20"/>
              </w:rPr>
              <w:t>95</w:t>
            </w:r>
          </w:p>
        </w:tc>
        <w:tc>
          <w:tcPr>
            <w:tcW w:w="1506" w:type="dxa"/>
            <w:tcBorders>
              <w:bottom w:val="single" w:sz="18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E265C2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 w:rsidRPr="00E265C2">
              <w:rPr>
                <w:b w:val="0"/>
                <w:bCs w:val="0"/>
                <w:sz w:val="20"/>
                <w:szCs w:val="20"/>
              </w:rPr>
              <w:t>23095</w:t>
            </w:r>
            <w:r w:rsidR="00811E80">
              <w:rPr>
                <w:b w:val="0"/>
                <w:bCs w:val="0"/>
                <w:sz w:val="20"/>
                <w:szCs w:val="20"/>
              </w:rPr>
              <w:t xml:space="preserve"> = %</w:t>
            </w:r>
            <w:r w:rsidR="00C05359">
              <w:rPr>
                <w:b w:val="0"/>
                <w:bCs w:val="0"/>
                <w:sz w:val="20"/>
                <w:szCs w:val="20"/>
              </w:rPr>
              <w:t>93</w:t>
            </w:r>
          </w:p>
        </w:tc>
      </w:tr>
      <w:tr w:rsidR="006F1AF6" w:rsidRPr="00222931" w:rsidTr="0090258F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964" w:type="dxa"/>
            <w:tcBorders>
              <w:top w:val="single" w:sz="18" w:space="0" w:color="auto"/>
              <w:left w:val="nil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</w:tcPr>
          <w:p w:rsidR="00CE6A5A" w:rsidRPr="00772C05" w:rsidRDefault="00435084" w:rsidP="00435084">
            <w:pPr>
              <w:pStyle w:val="tablecolsubhe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Above (.all</w:t>
            </w:r>
            <w:r w:rsidR="00CE6A5A" w:rsidRPr="00772C05">
              <w:rPr>
                <w:sz w:val="22"/>
                <w:szCs w:val="22"/>
              </w:rPr>
              <w:t>!)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190043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auto"/>
              <w:bottom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115997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CE6A5A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115751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48179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65CA1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D26D3">
              <w:rPr>
                <w:b w:val="0"/>
                <w:bCs w:val="0"/>
                <w:sz w:val="20"/>
                <w:szCs w:val="20"/>
              </w:rPr>
              <w:t>=</w:t>
            </w:r>
            <w:r w:rsidR="00D65CA1">
              <w:rPr>
                <w:b w:val="0"/>
                <w:bCs w:val="0"/>
                <w:sz w:val="20"/>
                <w:szCs w:val="20"/>
              </w:rPr>
              <w:t xml:space="preserve"> %</w:t>
            </w:r>
            <w:r w:rsidR="00FD26D3"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85606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65CA1">
              <w:rPr>
                <w:b w:val="0"/>
                <w:bCs w:val="0"/>
                <w:sz w:val="20"/>
                <w:szCs w:val="20"/>
              </w:rPr>
              <w:t xml:space="preserve"> = %74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A5A" w:rsidRPr="00307559" w:rsidRDefault="006306CB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83835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65CA1">
              <w:rPr>
                <w:b w:val="0"/>
                <w:bCs w:val="0"/>
                <w:sz w:val="20"/>
                <w:szCs w:val="20"/>
              </w:rPr>
              <w:t xml:space="preserve"> = %72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6A5A" w:rsidRPr="00307559" w:rsidRDefault="006306CB" w:rsidP="00CE6A5A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93576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65CA1">
              <w:rPr>
                <w:b w:val="0"/>
                <w:bCs w:val="0"/>
                <w:sz w:val="20"/>
                <w:szCs w:val="20"/>
              </w:rPr>
              <w:t xml:space="preserve"> = %81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>
              <w:rPr>
                <w:b w:val="0"/>
                <w:bCs w:val="0"/>
                <w:sz w:val="20"/>
                <w:szCs w:val="20"/>
              </w:rPr>
              <w:instrText xml:space="preserve"> =SUM(ABOVE) 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  <w:szCs w:val="20"/>
              </w:rPr>
              <w:t>106961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r w:rsidR="00D65CA1">
              <w:rPr>
                <w:b w:val="0"/>
                <w:bCs w:val="0"/>
                <w:sz w:val="20"/>
                <w:szCs w:val="20"/>
              </w:rPr>
              <w:t xml:space="preserve"> = %92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:rsidR="00CE6A5A" w:rsidRPr="00307559" w:rsidRDefault="006306CB" w:rsidP="00C562FE">
            <w:pPr>
              <w:pStyle w:val="tablecol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110493</w:t>
            </w:r>
            <w:r>
              <w:rPr>
                <w:sz w:val="20"/>
                <w:szCs w:val="20"/>
              </w:rPr>
              <w:fldChar w:fldCharType="end"/>
            </w:r>
            <w:r w:rsidR="00D65CA1">
              <w:rPr>
                <w:sz w:val="20"/>
                <w:szCs w:val="20"/>
              </w:rPr>
              <w:t xml:space="preserve"> = %96</w:t>
            </w:r>
          </w:p>
        </w:tc>
      </w:tr>
    </w:tbl>
    <w:p w:rsidR="00C562FE" w:rsidRDefault="008026A3" w:rsidP="001F08C4">
      <w:pPr>
        <w:spacing w:after="200" w:line="276" w:lineRule="auto"/>
        <w:ind w:left="-810"/>
        <w:jc w:val="left"/>
      </w:pPr>
      <w:r>
        <w:br w:type="page"/>
      </w:r>
      <w:r w:rsidR="00917A22">
        <w:rPr>
          <w:noProof/>
        </w:rPr>
        <w:lastRenderedPageBreak/>
        <w:drawing>
          <wp:inline distT="0" distB="0" distL="0" distR="0" wp14:anchorId="40CAD7EA" wp14:editId="40CA01BA">
            <wp:extent cx="9353550" cy="4724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16F7F" w:rsidRPr="00C562FE" w:rsidRDefault="00616F7F" w:rsidP="00DE1463">
      <w:pPr>
        <w:tabs>
          <w:tab w:val="left" w:pos="7260"/>
        </w:tabs>
      </w:pPr>
      <w:bookmarkStart w:id="0" w:name="_GoBack"/>
      <w:bookmarkEnd w:id="0"/>
    </w:p>
    <w:sectPr w:rsidR="00616F7F" w:rsidRPr="00C562FE" w:rsidSect="00B743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D2"/>
    <w:rsid w:val="00077A5D"/>
    <w:rsid w:val="000E37DD"/>
    <w:rsid w:val="00143471"/>
    <w:rsid w:val="00163D89"/>
    <w:rsid w:val="001A24ED"/>
    <w:rsid w:val="001C296D"/>
    <w:rsid w:val="001C5225"/>
    <w:rsid w:val="001F08C4"/>
    <w:rsid w:val="00246F92"/>
    <w:rsid w:val="00251EAA"/>
    <w:rsid w:val="00307559"/>
    <w:rsid w:val="00327A81"/>
    <w:rsid w:val="003A0AAF"/>
    <w:rsid w:val="003A1604"/>
    <w:rsid w:val="003E5FFE"/>
    <w:rsid w:val="00422E9F"/>
    <w:rsid w:val="00435084"/>
    <w:rsid w:val="004D50D2"/>
    <w:rsid w:val="00585812"/>
    <w:rsid w:val="005E3AC7"/>
    <w:rsid w:val="00616F7F"/>
    <w:rsid w:val="006306CB"/>
    <w:rsid w:val="006572C7"/>
    <w:rsid w:val="00661469"/>
    <w:rsid w:val="006D33F8"/>
    <w:rsid w:val="006D760F"/>
    <w:rsid w:val="006F1AF6"/>
    <w:rsid w:val="00721442"/>
    <w:rsid w:val="00772C05"/>
    <w:rsid w:val="007B5F96"/>
    <w:rsid w:val="007F535E"/>
    <w:rsid w:val="008026A3"/>
    <w:rsid w:val="00811E80"/>
    <w:rsid w:val="008508E2"/>
    <w:rsid w:val="00855BD5"/>
    <w:rsid w:val="0090258F"/>
    <w:rsid w:val="00917A22"/>
    <w:rsid w:val="00994529"/>
    <w:rsid w:val="009A2676"/>
    <w:rsid w:val="009C793B"/>
    <w:rsid w:val="00A13A67"/>
    <w:rsid w:val="00A51FF0"/>
    <w:rsid w:val="00A81AF5"/>
    <w:rsid w:val="00B07D5E"/>
    <w:rsid w:val="00B7430F"/>
    <w:rsid w:val="00B80BF6"/>
    <w:rsid w:val="00BA0B73"/>
    <w:rsid w:val="00C05359"/>
    <w:rsid w:val="00C1421D"/>
    <w:rsid w:val="00C245E7"/>
    <w:rsid w:val="00C43433"/>
    <w:rsid w:val="00C562FE"/>
    <w:rsid w:val="00CD5209"/>
    <w:rsid w:val="00CE6A5A"/>
    <w:rsid w:val="00D216C8"/>
    <w:rsid w:val="00D65CA1"/>
    <w:rsid w:val="00D921BF"/>
    <w:rsid w:val="00DB0406"/>
    <w:rsid w:val="00DE1463"/>
    <w:rsid w:val="00DE27F4"/>
    <w:rsid w:val="00E13899"/>
    <w:rsid w:val="00E265C2"/>
    <w:rsid w:val="00E27F5A"/>
    <w:rsid w:val="00ED4E92"/>
    <w:rsid w:val="00EE1A7C"/>
    <w:rsid w:val="00F772C7"/>
    <w:rsid w:val="00F81B7E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A3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head">
    <w:name w:val="table col head"/>
    <w:basedOn w:val="Normal"/>
    <w:rsid w:val="008026A3"/>
    <w:pPr>
      <w:spacing w:after="0"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8026A3"/>
    <w:rPr>
      <w:i/>
      <w:i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A3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head">
    <w:name w:val="table col head"/>
    <w:basedOn w:val="Normal"/>
    <w:rsid w:val="008026A3"/>
    <w:pPr>
      <w:spacing w:after="0"/>
      <w:jc w:val="center"/>
    </w:pPr>
    <w:rPr>
      <w:rFonts w:eastAsia="SimSu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8026A3"/>
    <w:rPr>
      <w:i/>
      <w:i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icu4jStripped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Arabic (.iq, ...)</c:v>
                </c:pt>
                <c:pt idx="1">
                  <c:v>korean (.kr)</c:v>
                </c:pt>
                <c:pt idx="2">
                  <c:v>Turkish (.tr)</c:v>
                </c:pt>
                <c:pt idx="3">
                  <c:v>Vietnamese (.vn)</c:v>
                </c:pt>
                <c:pt idx="4">
                  <c:v>Chinese (.cn)</c:v>
                </c:pt>
                <c:pt idx="5">
                  <c:v>French (.fr)</c:v>
                </c:pt>
                <c:pt idx="6">
                  <c:v>Japanese (.jp)</c:v>
                </c:pt>
                <c:pt idx="7">
                  <c:v>Spanish (.es)</c:v>
                </c:pt>
                <c:pt idx="8">
                  <c:v>Italian (.it)</c:v>
                </c:pt>
                <c:pt idx="9">
                  <c:v>Indian (.in)</c:v>
                </c:pt>
                <c:pt idx="10">
                  <c:v>Persian (.ir)</c:v>
                </c:pt>
                <c:pt idx="11">
                  <c:v>English (.uk, .us)</c:v>
                </c:pt>
                <c:pt idx="12">
                  <c:v>Russian (.ru)</c:v>
                </c:pt>
                <c:pt idx="13">
                  <c:v>German (.de)</c:v>
                </c:pt>
                <c:pt idx="14">
                  <c:v>All Above (.all!)+</c:v>
                </c:pt>
                <c:pt idx="15">
                  <c:v>All Above (.all!)*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0.51</c:v>
                </c:pt>
                <c:pt idx="1">
                  <c:v>0.84</c:v>
                </c:pt>
                <c:pt idx="2">
                  <c:v>0.28999999999999998</c:v>
                </c:pt>
                <c:pt idx="3">
                  <c:v>0.66</c:v>
                </c:pt>
                <c:pt idx="4">
                  <c:v>0.41</c:v>
                </c:pt>
                <c:pt idx="5">
                  <c:v>0.21</c:v>
                </c:pt>
                <c:pt idx="6">
                  <c:v>0.45</c:v>
                </c:pt>
                <c:pt idx="7">
                  <c:v>0.24</c:v>
                </c:pt>
                <c:pt idx="8">
                  <c:v>0.2</c:v>
                </c:pt>
                <c:pt idx="9">
                  <c:v>0.16</c:v>
                </c:pt>
                <c:pt idx="10">
                  <c:v>0.93</c:v>
                </c:pt>
                <c:pt idx="11">
                  <c:v>0.19</c:v>
                </c:pt>
                <c:pt idx="12">
                  <c:v>0.79</c:v>
                </c:pt>
                <c:pt idx="13">
                  <c:v>0.22</c:v>
                </c:pt>
                <c:pt idx="14">
                  <c:v>0.43571428571428578</c:v>
                </c:pt>
                <c:pt idx="15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jUniCharDet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Arabic (.iq, ...)</c:v>
                </c:pt>
                <c:pt idx="1">
                  <c:v>korean (.kr)</c:v>
                </c:pt>
                <c:pt idx="2">
                  <c:v>Turkish (.tr)</c:v>
                </c:pt>
                <c:pt idx="3">
                  <c:v>Vietnamese (.vn)</c:v>
                </c:pt>
                <c:pt idx="4">
                  <c:v>Chinese (.cn)</c:v>
                </c:pt>
                <c:pt idx="5">
                  <c:v>French (.fr)</c:v>
                </c:pt>
                <c:pt idx="6">
                  <c:v>Japanese (.jp)</c:v>
                </c:pt>
                <c:pt idx="7">
                  <c:v>Spanish (.es)</c:v>
                </c:pt>
                <c:pt idx="8">
                  <c:v>Italian (.it)</c:v>
                </c:pt>
                <c:pt idx="9">
                  <c:v>Indian (.in)</c:v>
                </c:pt>
                <c:pt idx="10">
                  <c:v>Persian (.ir)</c:v>
                </c:pt>
                <c:pt idx="11">
                  <c:v>English (.uk, .us)</c:v>
                </c:pt>
                <c:pt idx="12">
                  <c:v>Russian (.ru)</c:v>
                </c:pt>
                <c:pt idx="13">
                  <c:v>German (.de)</c:v>
                </c:pt>
                <c:pt idx="14">
                  <c:v>All Above (.all!)+</c:v>
                </c:pt>
                <c:pt idx="15">
                  <c:v>All Above (.all!)*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0.69</c:v>
                </c:pt>
                <c:pt idx="1">
                  <c:v>0.83</c:v>
                </c:pt>
                <c:pt idx="2">
                  <c:v>0.77</c:v>
                </c:pt>
                <c:pt idx="3">
                  <c:v>0.84</c:v>
                </c:pt>
                <c:pt idx="4">
                  <c:v>0.88</c:v>
                </c:pt>
                <c:pt idx="5">
                  <c:v>0.75</c:v>
                </c:pt>
                <c:pt idx="6">
                  <c:v>0.83</c:v>
                </c:pt>
                <c:pt idx="7">
                  <c:v>0.75</c:v>
                </c:pt>
                <c:pt idx="8">
                  <c:v>0.76</c:v>
                </c:pt>
                <c:pt idx="9">
                  <c:v>0.51</c:v>
                </c:pt>
                <c:pt idx="10">
                  <c:v>0.93</c:v>
                </c:pt>
                <c:pt idx="11">
                  <c:v>0.55000000000000004</c:v>
                </c:pt>
                <c:pt idx="12">
                  <c:v>0.87</c:v>
                </c:pt>
                <c:pt idx="13">
                  <c:v>0.62</c:v>
                </c:pt>
                <c:pt idx="14">
                  <c:v>0.75571428571428556</c:v>
                </c:pt>
                <c:pt idx="15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tika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Arabic (.iq, ...)</c:v>
                </c:pt>
                <c:pt idx="1">
                  <c:v>korean (.kr)</c:v>
                </c:pt>
                <c:pt idx="2">
                  <c:v>Turkish (.tr)</c:v>
                </c:pt>
                <c:pt idx="3">
                  <c:v>Vietnamese (.vn)</c:v>
                </c:pt>
                <c:pt idx="4">
                  <c:v>Chinese (.cn)</c:v>
                </c:pt>
                <c:pt idx="5">
                  <c:v>French (.fr)</c:v>
                </c:pt>
                <c:pt idx="6">
                  <c:v>Japanese (.jp)</c:v>
                </c:pt>
                <c:pt idx="7">
                  <c:v>Spanish (.es)</c:v>
                </c:pt>
                <c:pt idx="8">
                  <c:v>Italian (.it)</c:v>
                </c:pt>
                <c:pt idx="9">
                  <c:v>Indian (.in)</c:v>
                </c:pt>
                <c:pt idx="10">
                  <c:v>Persian (.ir)</c:v>
                </c:pt>
                <c:pt idx="11">
                  <c:v>English (.uk, .us)</c:v>
                </c:pt>
                <c:pt idx="12">
                  <c:v>Russian (.ru)</c:v>
                </c:pt>
                <c:pt idx="13">
                  <c:v>German (.de)</c:v>
                </c:pt>
                <c:pt idx="14">
                  <c:v>All Above (.all!)+</c:v>
                </c:pt>
                <c:pt idx="15">
                  <c:v>All Above (.all!)*</c:v>
                </c:pt>
              </c:strCache>
            </c: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0.63</c:v>
                </c:pt>
                <c:pt idx="1">
                  <c:v>0.85</c:v>
                </c:pt>
                <c:pt idx="2">
                  <c:v>0.82</c:v>
                </c:pt>
                <c:pt idx="3">
                  <c:v>0.86</c:v>
                </c:pt>
                <c:pt idx="4">
                  <c:v>0.89</c:v>
                </c:pt>
                <c:pt idx="5">
                  <c:v>0.8</c:v>
                </c:pt>
                <c:pt idx="6">
                  <c:v>0.87</c:v>
                </c:pt>
                <c:pt idx="7">
                  <c:v>0.78</c:v>
                </c:pt>
                <c:pt idx="8">
                  <c:v>0.63</c:v>
                </c:pt>
                <c:pt idx="9">
                  <c:v>0.26</c:v>
                </c:pt>
                <c:pt idx="10">
                  <c:v>0.96</c:v>
                </c:pt>
                <c:pt idx="11">
                  <c:v>0.35</c:v>
                </c:pt>
                <c:pt idx="12">
                  <c:v>0.9</c:v>
                </c:pt>
                <c:pt idx="13">
                  <c:v>0.69</c:v>
                </c:pt>
                <c:pt idx="14">
                  <c:v>0.73499999999999999</c:v>
                </c:pt>
                <c:pt idx="15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iustWithJUniChar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Arabic (.iq, ...)</c:v>
                </c:pt>
                <c:pt idx="1">
                  <c:v>korean (.kr)</c:v>
                </c:pt>
                <c:pt idx="2">
                  <c:v>Turkish (.tr)</c:v>
                </c:pt>
                <c:pt idx="3">
                  <c:v>Vietnamese (.vn)</c:v>
                </c:pt>
                <c:pt idx="4">
                  <c:v>Chinese (.cn)</c:v>
                </c:pt>
                <c:pt idx="5">
                  <c:v>French (.fr)</c:v>
                </c:pt>
                <c:pt idx="6">
                  <c:v>Japanese (.jp)</c:v>
                </c:pt>
                <c:pt idx="7">
                  <c:v>Spanish (.es)</c:v>
                </c:pt>
                <c:pt idx="8">
                  <c:v>Italian (.it)</c:v>
                </c:pt>
                <c:pt idx="9">
                  <c:v>Indian (.in)</c:v>
                </c:pt>
                <c:pt idx="10">
                  <c:v>Persian (.ir)</c:v>
                </c:pt>
                <c:pt idx="11">
                  <c:v>English (.uk, .us)</c:v>
                </c:pt>
                <c:pt idx="12">
                  <c:v>Russian (.ru)</c:v>
                </c:pt>
                <c:pt idx="13">
                  <c:v>German (.de)</c:v>
                </c:pt>
                <c:pt idx="14">
                  <c:v>All Above (.all!)+</c:v>
                </c:pt>
                <c:pt idx="15">
                  <c:v>All Above (.all!)*</c:v>
                </c:pt>
              </c:strCache>
            </c:strRef>
          </c:cat>
          <c:val>
            <c:numRef>
              <c:f>Sheet1!$E$2:$E$17</c:f>
              <c:numCache>
                <c:formatCode>General</c:formatCode>
                <c:ptCount val="16"/>
                <c:pt idx="0">
                  <c:v>0.79</c:v>
                </c:pt>
                <c:pt idx="1">
                  <c:v>0.89</c:v>
                </c:pt>
                <c:pt idx="2">
                  <c:v>0.86</c:v>
                </c:pt>
                <c:pt idx="3">
                  <c:v>0.89</c:v>
                </c:pt>
                <c:pt idx="4">
                  <c:v>0.92</c:v>
                </c:pt>
                <c:pt idx="5">
                  <c:v>0.82</c:v>
                </c:pt>
                <c:pt idx="6">
                  <c:v>0.87</c:v>
                </c:pt>
                <c:pt idx="7">
                  <c:v>0.84</c:v>
                </c:pt>
                <c:pt idx="8">
                  <c:v>0.84</c:v>
                </c:pt>
                <c:pt idx="9">
                  <c:v>0.56999999999999995</c:v>
                </c:pt>
                <c:pt idx="10">
                  <c:v>0.97</c:v>
                </c:pt>
                <c:pt idx="11">
                  <c:v>0.65</c:v>
                </c:pt>
                <c:pt idx="12">
                  <c:v>0.9</c:v>
                </c:pt>
                <c:pt idx="13">
                  <c:v>0.73</c:v>
                </c:pt>
                <c:pt idx="14">
                  <c:v>0.82428571428571451</c:v>
                </c:pt>
                <c:pt idx="15">
                  <c:v>0.81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iustWithoutMarkupElim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Arabic (.iq, ...)</c:v>
                </c:pt>
                <c:pt idx="1">
                  <c:v>korean (.kr)</c:v>
                </c:pt>
                <c:pt idx="2">
                  <c:v>Turkish (.tr)</c:v>
                </c:pt>
                <c:pt idx="3">
                  <c:v>Vietnamese (.vn)</c:v>
                </c:pt>
                <c:pt idx="4">
                  <c:v>Chinese (.cn)</c:v>
                </c:pt>
                <c:pt idx="5">
                  <c:v>French (.fr)</c:v>
                </c:pt>
                <c:pt idx="6">
                  <c:v>Japanese (.jp)</c:v>
                </c:pt>
                <c:pt idx="7">
                  <c:v>Spanish (.es)</c:v>
                </c:pt>
                <c:pt idx="8">
                  <c:v>Italian (.it)</c:v>
                </c:pt>
                <c:pt idx="9">
                  <c:v>Indian (.in)</c:v>
                </c:pt>
                <c:pt idx="10">
                  <c:v>Persian (.ir)</c:v>
                </c:pt>
                <c:pt idx="11">
                  <c:v>English (.uk, .us)</c:v>
                </c:pt>
                <c:pt idx="12">
                  <c:v>Russian (.ru)</c:v>
                </c:pt>
                <c:pt idx="13">
                  <c:v>German (.de)</c:v>
                </c:pt>
                <c:pt idx="14">
                  <c:v>All Above (.all!)+</c:v>
                </c:pt>
                <c:pt idx="15">
                  <c:v>All Above (.all!)*</c:v>
                </c:pt>
              </c:strCache>
            </c:strRef>
          </c:cat>
          <c:val>
            <c:numRef>
              <c:f>Sheet1!$F$2:$F$17</c:f>
              <c:numCache>
                <c:formatCode>General</c:formatCode>
                <c:ptCount val="16"/>
                <c:pt idx="0">
                  <c:v>0.94</c:v>
                </c:pt>
                <c:pt idx="1">
                  <c:v>0.95</c:v>
                </c:pt>
                <c:pt idx="2">
                  <c:v>0.93</c:v>
                </c:pt>
                <c:pt idx="3">
                  <c:v>0.98</c:v>
                </c:pt>
                <c:pt idx="4">
                  <c:v>0.97</c:v>
                </c:pt>
                <c:pt idx="5">
                  <c:v>0.94</c:v>
                </c:pt>
                <c:pt idx="6">
                  <c:v>0.98</c:v>
                </c:pt>
                <c:pt idx="7">
                  <c:v>0.95</c:v>
                </c:pt>
                <c:pt idx="8">
                  <c:v>0.95</c:v>
                </c:pt>
                <c:pt idx="9">
                  <c:v>0.97</c:v>
                </c:pt>
                <c:pt idx="10">
                  <c:v>0.99</c:v>
                </c:pt>
                <c:pt idx="11">
                  <c:v>0.96</c:v>
                </c:pt>
                <c:pt idx="12">
                  <c:v>0.8</c:v>
                </c:pt>
                <c:pt idx="13">
                  <c:v>0.94</c:v>
                </c:pt>
                <c:pt idx="14">
                  <c:v>0.94642857142857151</c:v>
                </c:pt>
                <c:pt idx="15">
                  <c:v>0.92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iust</c:v>
                </c:pt>
              </c:strCache>
            </c:strRef>
          </c:tx>
          <c:invertIfNegative val="0"/>
          <c:cat>
            <c:strRef>
              <c:f>Sheet1!$A$2:$A$17</c:f>
              <c:strCache>
                <c:ptCount val="16"/>
                <c:pt idx="0">
                  <c:v>Arabic (.iq, ...)</c:v>
                </c:pt>
                <c:pt idx="1">
                  <c:v>korean (.kr)</c:v>
                </c:pt>
                <c:pt idx="2">
                  <c:v>Turkish (.tr)</c:v>
                </c:pt>
                <c:pt idx="3">
                  <c:v>Vietnamese (.vn)</c:v>
                </c:pt>
                <c:pt idx="4">
                  <c:v>Chinese (.cn)</c:v>
                </c:pt>
                <c:pt idx="5">
                  <c:v>French (.fr)</c:v>
                </c:pt>
                <c:pt idx="6">
                  <c:v>Japanese (.jp)</c:v>
                </c:pt>
                <c:pt idx="7">
                  <c:v>Spanish (.es)</c:v>
                </c:pt>
                <c:pt idx="8">
                  <c:v>Italian (.it)</c:v>
                </c:pt>
                <c:pt idx="9">
                  <c:v>Indian (.in)</c:v>
                </c:pt>
                <c:pt idx="10">
                  <c:v>Persian (.ir)</c:v>
                </c:pt>
                <c:pt idx="11">
                  <c:v>English (.uk, .us)</c:v>
                </c:pt>
                <c:pt idx="12">
                  <c:v>Russian (.ru)</c:v>
                </c:pt>
                <c:pt idx="13">
                  <c:v>German (.de)</c:v>
                </c:pt>
                <c:pt idx="14">
                  <c:v>All Above (.all!)+</c:v>
                </c:pt>
                <c:pt idx="15">
                  <c:v>All Above (.all!)*</c:v>
                </c:pt>
              </c:strCache>
            </c:strRef>
          </c:cat>
          <c:val>
            <c:numRef>
              <c:f>Sheet1!$G$2:$G$17</c:f>
              <c:numCache>
                <c:formatCode>General</c:formatCode>
                <c:ptCount val="16"/>
                <c:pt idx="0">
                  <c:v>0.97</c:v>
                </c:pt>
                <c:pt idx="1">
                  <c:v>0.95</c:v>
                </c:pt>
                <c:pt idx="2">
                  <c:v>0.95</c:v>
                </c:pt>
                <c:pt idx="3">
                  <c:v>0.98</c:v>
                </c:pt>
                <c:pt idx="4">
                  <c:v>0.96</c:v>
                </c:pt>
                <c:pt idx="5">
                  <c:v>0.92</c:v>
                </c:pt>
                <c:pt idx="6">
                  <c:v>0.98</c:v>
                </c:pt>
                <c:pt idx="7">
                  <c:v>0.94</c:v>
                </c:pt>
                <c:pt idx="8">
                  <c:v>0.94</c:v>
                </c:pt>
                <c:pt idx="9">
                  <c:v>0.97</c:v>
                </c:pt>
                <c:pt idx="10">
                  <c:v>0.99</c:v>
                </c:pt>
                <c:pt idx="11">
                  <c:v>0.95</c:v>
                </c:pt>
                <c:pt idx="12">
                  <c:v>0.97</c:v>
                </c:pt>
                <c:pt idx="13">
                  <c:v>0.92</c:v>
                </c:pt>
                <c:pt idx="14">
                  <c:v>0.95642857142857152</c:v>
                </c:pt>
                <c:pt idx="15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13216"/>
        <c:axId val="146244736"/>
      </c:barChart>
      <c:catAx>
        <c:axId val="143113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l">
                  <a:defRPr/>
                </a:pPr>
                <a:r>
                  <a:rPr lang="en-US" b="0"/>
                  <a:t>+ data are neighter wighted nor rounded</a:t>
                </a:r>
              </a:p>
              <a:p>
                <a:pPr algn="l">
                  <a:defRPr/>
                </a:pPr>
                <a:r>
                  <a:rPr lang="en-US" b="0"/>
                  <a:t>* data are both </a:t>
                </a:r>
                <a:r>
                  <a:rPr lang="en-US" sz="1050" b="0" i="0" u="none" strike="noStrike" baseline="0">
                    <a:effectLst/>
                  </a:rPr>
                  <a:t>wighted and rounded</a:t>
                </a:r>
                <a:endParaRPr lang="en-US" b="0"/>
              </a:p>
            </c:rich>
          </c:tx>
          <c:overlay val="0"/>
        </c:title>
        <c:majorTickMark val="out"/>
        <c:minorTickMark val="none"/>
        <c:tickLblPos val="nextTo"/>
        <c:crossAx val="146244736"/>
        <c:crosses val="autoZero"/>
        <c:auto val="1"/>
        <c:lblAlgn val="ctr"/>
        <c:lblOffset val="100"/>
        <c:noMultiLvlLbl val="0"/>
      </c:catAx>
      <c:valAx>
        <c:axId val="146244736"/>
        <c:scaling>
          <c:orientation val="minMax"/>
          <c:max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11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860357832053066"/>
          <c:y val="0.25248602997205993"/>
          <c:w val="0.16324978216826766"/>
          <c:h val="0.3014795529591059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faghani</dc:creator>
  <cp:keywords/>
  <dc:description/>
  <cp:lastModifiedBy>faghani</cp:lastModifiedBy>
  <cp:revision>52</cp:revision>
  <dcterms:created xsi:type="dcterms:W3CDTF">2016-11-19T21:40:00Z</dcterms:created>
  <dcterms:modified xsi:type="dcterms:W3CDTF">2016-12-19T21:42:00Z</dcterms:modified>
</cp:coreProperties>
</file>