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204"/>
        </w:tabs>
        <w:bidi w:val="0"/>
        <w:spacing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REVIEW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OF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VOCATIONAL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QUALIFICATION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FOR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INCLUSION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IN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THE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 xml:space="preserve">2015 </w:t>
      </w:r>
      <w:r>
        <w:rPr>
          <w:b/>
          <w:bCs/>
          <w:sz w:val="28"/>
          <w:szCs w:val="28"/>
          <w:rtl w:val="0"/>
        </w:rPr>
        <w:t>HEADLINE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PERFORMANCE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TABLES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MEASURES</w:t>
      </w:r>
      <w:r>
        <w:rPr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QUALITY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ASSURANCE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PROCESS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table</w:t>
      </w:r>
      <w:r>
        <w:rPr>
          <w:rtl w:val="0"/>
        </w:rPr>
        <w:t xml:space="preserve"> </w:t>
      </w:r>
      <w:r>
        <w:rPr>
          <w:rtl w:val="0"/>
        </w:rPr>
        <w:t>below</w:t>
      </w:r>
      <w:r>
        <w:rPr>
          <w:rtl w:val="0"/>
        </w:rPr>
        <w:t xml:space="preserve"> </w:t>
      </w:r>
      <w:r>
        <w:rPr>
          <w:rtl w:val="0"/>
        </w:rPr>
        <w:t>contains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Awarding</w:t>
      </w:r>
      <w:r>
        <w:rPr>
          <w:rtl w:val="0"/>
        </w:rPr>
        <w:t xml:space="preserve"> </w:t>
      </w:r>
      <w:r>
        <w:rPr>
          <w:rtl w:val="0"/>
        </w:rPr>
        <w:t>Organisation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entire</w:t>
      </w:r>
      <w:r>
        <w:rPr>
          <w:rtl w:val="0"/>
        </w:rPr>
        <w:t xml:space="preserve"> </w:t>
      </w:r>
      <w:r>
        <w:rPr>
          <w:rtl w:val="0"/>
        </w:rPr>
        <w:t>list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qualifications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will</w:t>
      </w:r>
      <w:r>
        <w:rPr>
          <w:rtl w:val="0"/>
        </w:rPr>
        <w:t xml:space="preserve"> </w:t>
      </w:r>
      <w:r>
        <w:rPr>
          <w:rtl w:val="0"/>
        </w:rPr>
        <w:t>count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2014 </w:t>
      </w:r>
      <w:r>
        <w:rPr>
          <w:rtl w:val="0"/>
        </w:rPr>
        <w:t>Performance</w:t>
      </w:r>
      <w:r>
        <w:rPr>
          <w:rtl w:val="0"/>
        </w:rPr>
        <w:t xml:space="preserve"> </w:t>
      </w:r>
      <w:r>
        <w:rPr>
          <w:rtl w:val="0"/>
        </w:rPr>
        <w:t>Tables</w:t>
      </w:r>
      <w:r>
        <w:rPr>
          <w:rtl w:val="0"/>
        </w:rPr>
        <w:t xml:space="preserve">. 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Please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give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details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any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have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been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-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developed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eligible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be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considered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for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2015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Performance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Tables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,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including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any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have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not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yet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been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submitted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Ofqual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. 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Please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include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details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single"/>
          <w:rtl w:val="0"/>
        </w:rPr>
        <w:t>all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proposed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successor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qualifications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,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using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multiple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lines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necessary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Where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qualification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has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operational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end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date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RITS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no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later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than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31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August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2013,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please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indicate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Comments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box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you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seeking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extend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qualification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withdraw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so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unavailable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September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2013.  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Please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also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include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information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any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qualifications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that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you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propose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-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develop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for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inclusion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in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the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2016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Performance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Tables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(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subject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to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confirmation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of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future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policy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and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process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Please</w:t>
      </w:r>
      <w:r>
        <w:rPr>
          <w:rtl w:val="0"/>
        </w:rPr>
        <w:t xml:space="preserve"> </w:t>
      </w:r>
      <w:r>
        <w:rPr>
          <w:rtl w:val="0"/>
        </w:rPr>
        <w:t>return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completed</w:t>
      </w:r>
      <w:r>
        <w:rPr>
          <w:rtl w:val="0"/>
        </w:rPr>
        <w:t xml:space="preserve"> </w:t>
      </w:r>
      <w:r>
        <w:rPr>
          <w:rtl w:val="0"/>
        </w:rPr>
        <w:t>form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14-16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VQandPT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SUBMISSION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@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education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gsi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gov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"mailto:14-16VQandPT.SUBMISSION@education.gsi.gov.uk"</w:instrText>
      </w:r>
      <w:r>
        <w:fldChar w:fldCharType="separate"/>
      </w:r>
      <w:r>
        <w:rPr>
          <w:color w:val="0000FF"/>
          <w:u w:val="single"/>
          <w:rtl w:val="0"/>
        </w:rPr>
        <w:t>uk</w:t>
      </w:r>
      <w:r>
        <w:fldChar w:fldCharType="end"/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</w:rPr>
        <w:t xml:space="preserve"> 28 </w:t>
      </w:r>
      <w:r>
        <w:rPr>
          <w:rtl w:val="0"/>
        </w:rPr>
        <w:t>September</w:t>
      </w:r>
      <w:r>
        <w:rPr>
          <w:rtl w:val="0"/>
        </w:rPr>
        <w:t xml:space="preserve"> 2012.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70"/>
        <w:gridCol w:w="1965"/>
        <w:gridCol w:w="1950"/>
        <w:gridCol w:w="2670"/>
        <w:gridCol w:w="1515"/>
        <w:gridCol w:w="1950"/>
        <w:gridCol w:w="3915"/>
        <w:gridCol w:w="10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Awarding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Organisation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TLM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QAN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Qualification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Title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Qualification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Title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QAN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RITS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ind w:right="-3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Proposal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ID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submitted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Ofqual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Comments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rtl w:val="0"/>
              </w:rPr>
              <w:t>)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500/8073/8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bookmarkStart w:id="0" w:name="id.gjdgxs"/>
            <w:bookmarkEnd w:id="0"/>
            <w:r>
              <w:rPr>
                <w:rtl w:val="0"/>
              </w:rPr>
              <w:t>TLM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Level</w:t>
            </w:r>
            <w:r>
              <w:rPr>
                <w:rtl w:val="0"/>
              </w:rPr>
              <w:t xml:space="preserve"> 2 </w:t>
            </w:r>
            <w:r>
              <w:rPr>
                <w:rtl w:val="0"/>
              </w:rPr>
              <w:t>Certificate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User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Skills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Open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Systems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Enterprise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ITQ</w:t>
            </w:r>
            <w:r>
              <w:rPr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review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  <w:r>
              <w:rPr>
                <w:rtl w:val="0"/>
              </w:rPr>
              <w:t xml:space="preserve"> 31-</w:t>
            </w:r>
            <w:r>
              <w:rPr>
                <w:rtl w:val="0"/>
              </w:rPr>
              <w:t>Jul</w:t>
            </w:r>
            <w:r>
              <w:rPr>
                <w:rtl w:val="0"/>
              </w:rPr>
              <w:t xml:space="preserve">-2013.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TLM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Level</w:t>
            </w:r>
            <w:r>
              <w:rPr>
                <w:rtl w:val="0"/>
              </w:rPr>
              <w:t xml:space="preserve"> 2 </w:t>
            </w:r>
            <w:r>
              <w:rPr>
                <w:rtl w:val="0"/>
              </w:rPr>
              <w:t>Certificate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User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Skills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Open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Systems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Enterprise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Schools</w:t>
            </w:r>
            <w:r>
              <w:rPr>
                <w:rtl w:val="0"/>
              </w:rPr>
              <w:t>) (</w:t>
            </w:r>
            <w:r>
              <w:rPr>
                <w:rtl w:val="0"/>
              </w:rPr>
              <w:t>QCF</w:t>
            </w:r>
            <w:r>
              <w:rPr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600/6688/</w:t>
            </w:r>
            <w:r>
              <w:rPr>
                <w:rtl w:val="0"/>
              </w:rPr>
              <w:t>X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Accredited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Ofqual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follows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Regulation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Start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19-</w:t>
            </w:r>
            <w:r>
              <w:rPr>
                <w:rtl w:val="0"/>
              </w:rPr>
              <w:t>Sep</w:t>
            </w:r>
            <w:r>
              <w:rPr>
                <w:rtl w:val="0"/>
              </w:rPr>
              <w:t>-2012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Operational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Start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01-</w:t>
            </w:r>
            <w:r>
              <w:rPr>
                <w:rtl w:val="0"/>
              </w:rPr>
              <w:t>Oct</w:t>
            </w:r>
            <w:r>
              <w:rPr>
                <w:rtl w:val="0"/>
              </w:rPr>
              <w:t>-2012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Review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30-</w:t>
            </w:r>
            <w:r>
              <w:rPr>
                <w:rtl w:val="0"/>
              </w:rPr>
              <w:t>Apr</w:t>
            </w:r>
            <w:r>
              <w:rPr>
                <w:rtl w:val="0"/>
              </w:rPr>
              <w:t>-2015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We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definitely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will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extend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life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500/8073/8 </w:t>
            </w:r>
            <w:r>
              <w:rPr>
                <w:rtl w:val="0"/>
              </w:rPr>
              <w:t>beyond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July</w:t>
            </w:r>
            <w:r>
              <w:rPr>
                <w:rtl w:val="0"/>
              </w:rPr>
              <w:t xml:space="preserve"> 2013 </w:t>
            </w:r>
            <w:r>
              <w:rPr>
                <w:rtl w:val="0"/>
              </w:rPr>
              <w:t>review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growing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take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adult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education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well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schools</w:t>
            </w:r>
            <w:r>
              <w:rPr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specification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600/6688/</w:t>
            </w:r>
            <w:r>
              <w:rPr>
                <w:rtl w:val="0"/>
              </w:rPr>
              <w:t>X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uploaded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RITs</w:t>
            </w:r>
            <w:r>
              <w:rPr>
                <w:rtl w:val="0"/>
              </w:rPr>
              <w:t xml:space="preserve"> 19</w:t>
            </w:r>
            <w:r>
              <w:rPr>
                <w:rtl w:val="0"/>
              </w:rPr>
              <w:t>th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September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Can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now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inform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schools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accepted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will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eligible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performance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points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2015?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crucial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decision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makers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schools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reassurance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continuation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their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current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planning</w:t>
            </w:r>
            <w:r>
              <w:rPr>
                <w:rtl w:val="0"/>
              </w:rPr>
              <w:t xml:space="preserve">.  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possible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get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new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count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headline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performance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points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before</w:t>
            </w:r>
            <w:r>
              <w:rPr>
                <w:rtl w:val="0"/>
              </w:rPr>
              <w:t xml:space="preserve"> 2015? 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content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identical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500/8073/8, 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only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difference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grading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test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high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attaining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students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currently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500/8073/8 </w:t>
            </w:r>
            <w:r>
              <w:rPr>
                <w:rtl w:val="0"/>
              </w:rPr>
              <w:t>course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taking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grading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test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enables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get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their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higher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than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average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attainment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recognised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with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* </w:t>
            </w:r>
            <w:r>
              <w:rPr>
                <w:rtl w:val="0"/>
              </w:rPr>
              <w:t>grade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whereas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current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just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pass</w:t>
            </w:r>
            <w:r>
              <w:rPr>
                <w:rtl w:val="0"/>
              </w:rPr>
              <w:t>/</w:t>
            </w:r>
            <w:r>
              <w:rPr>
                <w:rtl w:val="0"/>
              </w:rPr>
              <w:t>fail</w:t>
            </w:r>
            <w:r>
              <w:rPr>
                <w:rtl w:val="0"/>
              </w:rPr>
              <w:t xml:space="preserve">.    </w:t>
            </w:r>
            <w:r>
              <w:rPr>
                <w:rtl w:val="0"/>
              </w:rPr>
              <w:t>We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would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course</w:t>
            </w:r>
            <w:r>
              <w:rPr>
                <w:rtl w:val="0"/>
              </w:rPr>
              <w:t xml:space="preserve">   </w:t>
            </w:r>
            <w:r>
              <w:rPr>
                <w:rtl w:val="0"/>
              </w:rPr>
              <w:t>expect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only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one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two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counted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performance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points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any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individual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candidate</w:t>
            </w:r>
            <w:r>
              <w:rPr>
                <w:rtl w:val="0"/>
              </w:rPr>
              <w:t>.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500/8080/5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TLM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Level</w:t>
            </w:r>
            <w:r>
              <w:rPr>
                <w:rtl w:val="0"/>
              </w:rPr>
              <w:t xml:space="preserve"> 1 </w:t>
            </w:r>
            <w:r>
              <w:rPr>
                <w:rtl w:val="0"/>
              </w:rPr>
              <w:t>Certificate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User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Skills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Open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Systems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Enterprise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ITQ</w:t>
            </w:r>
            <w:r>
              <w:rPr>
                <w:rtl w:val="0"/>
              </w:rPr>
              <w:t>) (</w:t>
            </w:r>
            <w:r>
              <w:rPr>
                <w:rtl w:val="0"/>
              </w:rPr>
              <w:t>QCF</w:t>
            </w:r>
            <w:r>
              <w:rPr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review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  <w:r>
              <w:rPr>
                <w:rtl w:val="0"/>
              </w:rPr>
              <w:t xml:space="preserve"> 31-</w:t>
            </w:r>
            <w:r>
              <w:rPr>
                <w:rtl w:val="0"/>
              </w:rPr>
              <w:t>Jul</w:t>
            </w:r>
            <w:r>
              <w:rPr>
                <w:rtl w:val="0"/>
              </w:rPr>
              <w:t xml:space="preserve">-2013.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proposal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keep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with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same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title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tl w:val="0"/>
              </w:rPr>
              <w:t>We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definitely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will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extend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life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500/8080/5 </w:t>
            </w:r>
            <w:r>
              <w:rPr>
                <w:rtl w:val="0"/>
              </w:rPr>
              <w:t>beyond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July</w:t>
            </w:r>
            <w:r>
              <w:rPr>
                <w:rtl w:val="0"/>
              </w:rPr>
              <w:t xml:space="preserve"> 2013 </w:t>
            </w:r>
            <w:r>
              <w:rPr>
                <w:rtl w:val="0"/>
              </w:rPr>
              <w:t>review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date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growing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take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adult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education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well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schools</w:t>
            </w:r>
            <w:r>
              <w:rPr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level</w:t>
            </w:r>
            <w:r>
              <w:rPr>
                <w:rtl w:val="0"/>
              </w:rPr>
              <w:t xml:space="preserve"> 1 </w:t>
            </w:r>
            <w:r>
              <w:rPr>
                <w:rtl w:val="0"/>
              </w:rPr>
              <w:t>qualification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providing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under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pinning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progression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500/8073/8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600/6688/</w:t>
            </w:r>
            <w:r>
              <w:rPr>
                <w:rtl w:val="0"/>
              </w:rPr>
              <w:t>X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we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propose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keep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 xml:space="preserve">.  </w:t>
            </w:r>
            <w:r>
              <w:rPr>
                <w:rtl w:val="0"/>
              </w:rPr>
              <w:t>If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needs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modification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eligible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performance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points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please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let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know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can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achieved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quite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quickly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without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modifications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content</w:t>
            </w:r>
            <w:r>
              <w:rPr>
                <w:rtl w:val="0"/>
              </w:rPr>
              <w:t>.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2016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have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further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redevelopment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but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have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demand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develop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new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design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technology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based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assessment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model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redeveloped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enables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better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differentiate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attainment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higher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grades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traditional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GCSE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model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while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making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accessible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average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attainers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low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cost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single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tier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exam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new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based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model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has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backing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sector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skills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council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construction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industry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Cskills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Mott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MacDonald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large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company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operating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professional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construction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industry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working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with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Class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Your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Own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specialist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curriculum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development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Design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Construction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industry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aim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shift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emphasis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from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simple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construction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skills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provide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learners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with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taste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professional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side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construction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such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surveying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architecture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planning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building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information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modelling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BIM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).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would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developed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like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supporting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broad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educational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objectives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appropriate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schools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but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with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strong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input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from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employers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motivating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contemporary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contexts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from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real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world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employment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focus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Ebacc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subjects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enables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other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subjects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have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greater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flexibility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development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confident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show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much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50%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reduction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costs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when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compared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GCSE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significantly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some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alternatives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provide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free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cloud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based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support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managing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assessment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progress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tracking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reporting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secure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line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testing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that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includes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everyday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marking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formative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assessment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has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potential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save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schools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all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their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current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spending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eportfolio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software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VLEs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similar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technologies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because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use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open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source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software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development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cost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already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recouped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device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with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standards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compliant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web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browser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used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means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provide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these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facilities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our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clients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additional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cost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beyond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much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lower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usual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fees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support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all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NC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subjects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pscales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special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needs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etc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assessment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model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formal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qualifications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provides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focus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CPD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therefore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enables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empower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teachers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use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similar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methods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support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their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general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work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Once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learnt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will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free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teacher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time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from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administration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teaching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save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lot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trees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Although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Ebacc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subjects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will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be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terminally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tested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some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sort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support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learning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still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needed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our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systems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can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support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that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just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easily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any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other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subject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thus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making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more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likely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that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learners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will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achieve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success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terminal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>exams</w:t>
            </w:r>
            <w:r>
              <w:rPr>
                <w:rFonts w:ascii="Calibri" w:eastAsia="Calibri" w:hAnsi="Calibri" w:cs="Calibri"/>
                <w:sz w:val="22"/>
                <w:szCs w:val="22"/>
                <w:rtl w:val="0"/>
              </w:rPr>
              <w:t xml:space="preserve">.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z w:val="22"/>
          <w:szCs w:val="22"/>
        </w:rPr>
      </w:pPr>
    </w:p>
    <w:sectPr>
      <w:headerReference w:type="default" r:id="rId4"/>
      <w:footerReference w:type="default" r:id="rId5"/>
      <w:pgSz w:w="16838" w:h="11906"/>
      <w:pgMar w:top="851" w:right="851" w:bottom="851" w:left="851" w:header="708" w:footer="708" w:gutter="0"/>
      <w:pgNumType w:fmt="decimal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>Page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 xml:space="preserve"> 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fldChar w:fldCharType="begin"/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instrText>PAGE</w:instrTex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fldChar w:fldCharType="separate"/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fldChar w:fldCharType="end"/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 xml:space="preserve"> 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>of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 xml:space="preserve"> 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fldChar w:fldCharType="begin"/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instrText>NUMPAGES</w:instrTex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fldChar w:fldCharType="separate"/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right"/>
    </w:pP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>FORM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>-2015-</w:t>
    </w:r>
    <w: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  <w:rtl w:val="0"/>
      </w:rPr>
      <w:t>QA</w:t>
    </w: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55.5pt;width:93.75pt" o:allowoverlap="f">
          <v:imagedata r:id="rId1" r:href="rId2" o:title=""/>
        </v:shape>
      </w:pict>
    </w: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tabs>
        <w:tab w:val="left" w:pos="0"/>
      </w:tabs>
      <w:bidi w:val="0"/>
      <w:spacing w:before="240" w:after="240" w:lineRule="auto"/>
      <w:ind w:left="432" w:hanging="432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tabs>
        <w:tab w:val="left" w:pos="0"/>
      </w:tabs>
      <w:bidi w:val="0"/>
      <w:spacing w:before="240" w:after="240" w:lineRule="auto"/>
      <w:ind w:left="432" w:hanging="432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tabs>
        <w:tab w:val="left" w:pos="0"/>
      </w:tabs>
      <w:bidi w:val="0"/>
      <w:spacing w:lineRule="auto"/>
      <w:ind w:left="432" w:hanging="432"/>
    </w:pPr>
  </w:style>
  <w:style w:type="paragraph" w:styleId="Heading4">
    <w:name w:val="heading 4"/>
    <w:basedOn w:val="Normal"/>
    <w:next w:val="Normal"/>
    <w:qFormat/>
    <w:rsid w:val="00EF7B96"/>
    <w:pPr>
      <w:pageBreakBefore w:val="0"/>
      <w:tabs>
        <w:tab w:val="left" w:pos="0"/>
      </w:tabs>
      <w:bidi w:val="0"/>
      <w:spacing w:lineRule="auto"/>
      <w:ind w:left="432" w:hanging="432"/>
    </w:pPr>
  </w:style>
  <w:style w:type="paragraph" w:styleId="Heading5">
    <w:name w:val="heading 5"/>
    <w:basedOn w:val="Normal"/>
    <w:next w:val="Normal"/>
    <w:qFormat/>
    <w:rsid w:val="00EF7B96"/>
    <w:pPr>
      <w:pageBreakBefore w:val="0"/>
      <w:tabs>
        <w:tab w:val="left" w:pos="0"/>
      </w:tabs>
      <w:bidi w:val="0"/>
      <w:spacing w:lineRule="auto"/>
      <w:ind w:left="432" w:hanging="432"/>
    </w:pPr>
  </w:style>
  <w:style w:type="paragraph" w:styleId="Heading6">
    <w:name w:val="heading 6"/>
    <w:basedOn w:val="Normal"/>
    <w:next w:val="Normal"/>
    <w:qFormat/>
    <w:rsid w:val="00EF7B96"/>
    <w:pPr>
      <w:pageBreakBefore w:val="0"/>
      <w:tabs>
        <w:tab w:val="left" w:pos="0"/>
      </w:tabs>
      <w:bidi w:val="0"/>
      <w:spacing w:lineRule="auto"/>
      <w:ind w:left="432" w:hanging="43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Image_0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