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384C">
      <w:pPr>
        <w:pStyle w:val="Heading1"/>
      </w:pPr>
      <w:r>
        <w:t xml:space="preserve">Genetic parameters and QTL analysis of </w:t>
      </w:r>
      <w:r>
        <w:rPr>
          <w:rFonts w:ascii="Symbol" w:hAnsi="Symbol"/>
        </w:rPr>
        <w:t></w:t>
      </w:r>
      <w:r>
        <w:rPr>
          <w:vertAlign w:val="superscript"/>
        </w:rPr>
        <w:t>13</w:t>
      </w:r>
      <w:r>
        <w:t xml:space="preserve">C </w:t>
      </w:r>
      <w:r>
        <w:rPr>
          <w:snapToGrid w:val="0"/>
        </w:rPr>
        <w:t>and ring width in maritime pine</w:t>
      </w:r>
    </w:p>
    <w:p w:rsidR="00000000" w:rsidRDefault="0080384C">
      <w:pPr>
        <w:pStyle w:val="Heading2"/>
      </w:pPr>
      <w:r>
        <w:t>Abstract</w:t>
      </w:r>
    </w:p>
    <w:p w:rsidR="00000000" w:rsidRDefault="0080384C">
      <w:pPr>
        <w:pStyle w:val="normaldist"/>
      </w:pPr>
      <w:r>
        <w:t>cellulose carbon isotope composition (</w:t>
      </w:r>
      <w:r>
        <w:rPr>
          <w:rFonts w:ascii="Symbol" w:hAnsi="Symbol"/>
        </w:rPr>
        <w:t></w:t>
      </w:r>
      <w:r>
        <w:rPr>
          <w:vertAlign w:val="superscript"/>
        </w:rPr>
        <w:t>13</w:t>
      </w:r>
      <w:r>
        <w:t xml:space="preserve">C, a time integrated estimate of water use </w:t>
      </w:r>
    </w:p>
    <w:p w:rsidR="00000000" w:rsidRDefault="0080384C">
      <w:pPr>
        <w:pStyle w:val="normaldist"/>
      </w:pPr>
      <w:r>
        <w:rPr>
          <w:position w:val="-30"/>
        </w:rPr>
        <w:object w:dxaOrig="27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35.25pt" o:ole="">
            <v:imagedata r:id="rId7" o:title=""/>
          </v:shape>
          <o:OLEObject Type="Embed" ProgID="Equation.3" ShapeID="_x0000_i1025" DrawAspect="Content" ObjectID="_1265457692" r:id="rId8"/>
        </w:object>
      </w:r>
      <w:r>
        <w:tab/>
      </w:r>
      <w:r>
        <w:tab/>
        <w:t>(1),</w:t>
      </w:r>
    </w:p>
    <w:p w:rsidR="00000000" w:rsidRDefault="0080384C">
      <w:pPr>
        <w:pStyle w:val="normaldist"/>
      </w:pPr>
      <w:r>
        <w:t xml:space="preserve">where </w:t>
      </w:r>
      <w:r>
        <w:rPr>
          <w:i/>
          <w:iCs/>
        </w:rPr>
        <w:t>R</w:t>
      </w:r>
      <w:r>
        <w:rPr>
          <w:i/>
          <w:iCs/>
          <w:vertAlign w:val="subscript"/>
        </w:rPr>
        <w:t>sa</w:t>
      </w:r>
      <w:r>
        <w:t xml:space="preserve"> and </w:t>
      </w:r>
      <w:r>
        <w:rPr>
          <w:i/>
          <w:iCs/>
        </w:rPr>
        <w:t>R</w:t>
      </w:r>
      <w:r>
        <w:rPr>
          <w:i/>
          <w:iCs/>
          <w:vertAlign w:val="subscript"/>
        </w:rPr>
        <w:t>sd</w:t>
      </w:r>
      <w:r>
        <w:t xml:space="preserve"> are the </w:t>
      </w:r>
      <w:r>
        <w:rPr>
          <w:vertAlign w:val="superscript"/>
        </w:rPr>
        <w:t>13</w:t>
      </w:r>
      <w:r>
        <w:t>C/</w:t>
      </w:r>
      <w:r>
        <w:rPr>
          <w:snapToGrid w:val="0"/>
          <w:vertAlign w:val="superscript"/>
        </w:rPr>
        <w:t>12</w:t>
      </w:r>
      <w:r>
        <w:rPr>
          <w:snapToGrid w:val="0"/>
        </w:rPr>
        <w:t>C</w:t>
      </w:r>
      <w:r>
        <w:t xml:space="preserve"> ratios of the sample a</w:t>
      </w:r>
      <w:r>
        <w:t>nd the standard, respectively.</w:t>
      </w:r>
    </w:p>
    <w:p w:rsidR="00000000" w:rsidRDefault="0080384C">
      <w:pPr>
        <w:pStyle w:val="Heading3"/>
        <w:tabs>
          <w:tab w:val="left" w:pos="1843"/>
        </w:tabs>
      </w:pPr>
      <w:r>
        <w:t>Estimation of genetic parameters</w:t>
      </w:r>
    </w:p>
    <w:p w:rsidR="00000000" w:rsidRDefault="0080384C">
      <w:r>
        <w:t xml:space="preserve">following model derived from the “Henderson III” model (Searle 1971): </w:t>
      </w:r>
    </w:p>
    <w:p w:rsidR="00000000" w:rsidRDefault="0080384C">
      <w:pPr>
        <w:rPr>
          <w:lang w:val="nl-NL"/>
        </w:rPr>
      </w:pPr>
      <w:r>
        <w:rPr>
          <w:lang w:val="nl-NL"/>
        </w:rPr>
        <w:t>Y</w:t>
      </w:r>
      <w:r>
        <w:rPr>
          <w:vertAlign w:val="subscript"/>
          <w:lang w:val="nl-NL"/>
        </w:rPr>
        <w:t>ijk</w:t>
      </w:r>
      <w:r>
        <w:rPr>
          <w:lang w:val="nl-NL"/>
        </w:rPr>
        <w:t>= µ + B</w:t>
      </w:r>
      <w:r>
        <w:rPr>
          <w:vertAlign w:val="subscript"/>
          <w:lang w:val="nl-NL"/>
        </w:rPr>
        <w:t>i</w:t>
      </w:r>
      <w:r>
        <w:rPr>
          <w:lang w:val="nl-NL"/>
        </w:rPr>
        <w:t xml:space="preserve"> + F</w:t>
      </w:r>
      <w:r>
        <w:rPr>
          <w:vertAlign w:val="subscript"/>
          <w:lang w:val="nl-NL"/>
        </w:rPr>
        <w:t>j</w:t>
      </w:r>
      <w:r>
        <w:rPr>
          <w:lang w:val="nl-NL"/>
        </w:rPr>
        <w:t xml:space="preserve"> + </w:t>
      </w:r>
      <w:r>
        <w:sym w:font="Symbol" w:char="F065"/>
      </w:r>
      <w:r>
        <w:rPr>
          <w:vertAlign w:val="subscript"/>
          <w:lang w:val="nl-NL"/>
        </w:rPr>
        <w:t xml:space="preserve">ijk </w:t>
      </w:r>
      <w:r>
        <w:rPr>
          <w:vertAlign w:val="subscript"/>
          <w:lang w:val="nl-NL"/>
        </w:rPr>
        <w:tab/>
      </w:r>
      <w:r>
        <w:rPr>
          <w:lang w:val="nl-NL"/>
        </w:rPr>
        <w:t>(2)</w:t>
      </w:r>
    </w:p>
    <w:p w:rsidR="00000000" w:rsidRDefault="0080384C">
      <w:r>
        <w:t>where Y</w:t>
      </w:r>
      <w:r>
        <w:rPr>
          <w:vertAlign w:val="subscript"/>
        </w:rPr>
        <w:t>ijk</w:t>
      </w:r>
      <w:r>
        <w:t xml:space="preserve"> is the value of the trait for the individual </w:t>
      </w:r>
      <w:r>
        <w:rPr>
          <w:vertAlign w:val="subscript"/>
        </w:rPr>
        <w:t>k</w:t>
      </w:r>
      <w:r>
        <w:t xml:space="preserve"> belonging to the family </w:t>
      </w:r>
      <w:r>
        <w:rPr>
          <w:vertAlign w:val="subscript"/>
        </w:rPr>
        <w:t>j</w:t>
      </w:r>
      <w:r>
        <w:t>, locate</w:t>
      </w:r>
      <w:r>
        <w:t xml:space="preserve">d in the block </w:t>
      </w:r>
      <w:r>
        <w:rPr>
          <w:vertAlign w:val="subscript"/>
        </w:rPr>
        <w:t xml:space="preserve">i, </w:t>
      </w:r>
      <w:r>
        <w:t>B</w:t>
      </w:r>
      <w:r>
        <w:rPr>
          <w:vertAlign w:val="subscript"/>
        </w:rPr>
        <w:t xml:space="preserve">i </w:t>
      </w:r>
      <w:r>
        <w:t>is the fixed effect of the ith block, F</w:t>
      </w:r>
      <w:r>
        <w:rPr>
          <w:vertAlign w:val="subscript"/>
        </w:rPr>
        <w:t>j</w:t>
      </w:r>
      <w:r>
        <w:t xml:space="preserve"> is the random effect of variances are: </w:t>
      </w:r>
      <w:r>
        <w:sym w:font="Symbol" w:char="F073"/>
      </w:r>
      <w:r>
        <w:t>²</w:t>
      </w:r>
      <w:r>
        <w:rPr>
          <w:vertAlign w:val="subscript"/>
        </w:rPr>
        <w:t>A</w:t>
      </w:r>
      <w:r>
        <w:t>=4</w:t>
      </w:r>
      <w:r>
        <w:sym w:font="Symbol" w:char="F073"/>
      </w:r>
      <w:r>
        <w:t>²</w:t>
      </w:r>
      <w:r>
        <w:rPr>
          <w:vertAlign w:val="subscript"/>
        </w:rPr>
        <w:t>a</w:t>
      </w:r>
      <w:r>
        <w:t xml:space="preserve"> and </w:t>
      </w:r>
      <w:r>
        <w:sym w:font="Symbol" w:char="F073"/>
      </w:r>
      <w:r>
        <w:t>²</w:t>
      </w:r>
      <w:r>
        <w:rPr>
          <w:vertAlign w:val="subscript"/>
        </w:rPr>
        <w:t>D</w:t>
      </w:r>
      <w:r>
        <w:t>=4</w:t>
      </w:r>
      <w:r>
        <w:sym w:font="Symbol" w:char="F073"/>
      </w:r>
      <w:r>
        <w:t>²</w:t>
      </w:r>
      <w:r>
        <w:rPr>
          <w:vertAlign w:val="subscript"/>
        </w:rPr>
        <w:t>s</w:t>
      </w:r>
      <w:r>
        <w:t xml:space="preserve"> , whereas the phenotypic variance is : </w:t>
      </w:r>
      <w:r>
        <w:sym w:font="Symbol" w:char="F073"/>
      </w:r>
      <w:r>
        <w:t>²</w:t>
      </w:r>
      <w:r>
        <w:rPr>
          <w:vertAlign w:val="subscript"/>
        </w:rPr>
        <w:t>P</w:t>
      </w:r>
      <w:r>
        <w:t>=</w:t>
      </w:r>
      <w:r>
        <w:sym w:font="Symbol" w:char="F073"/>
      </w:r>
      <w:r>
        <w:t>²(Y</w:t>
      </w:r>
      <w:r>
        <w:rPr>
          <w:vertAlign w:val="subscript"/>
        </w:rPr>
        <w:t>ijk</w:t>
      </w:r>
      <w:r>
        <w:t>)=2</w:t>
      </w:r>
      <w:r>
        <w:sym w:font="Symbol" w:char="F073"/>
      </w:r>
      <w:r>
        <w:t>²</w:t>
      </w:r>
      <w:r>
        <w:rPr>
          <w:vertAlign w:val="subscript"/>
        </w:rPr>
        <w:t>a</w:t>
      </w:r>
      <w:r>
        <w:t>+2</w:t>
      </w:r>
      <w:r>
        <w:sym w:font="Symbol" w:char="F073"/>
      </w:r>
      <w:r>
        <w:t>²</w:t>
      </w:r>
      <w:r>
        <w:rPr>
          <w:vertAlign w:val="subscript"/>
        </w:rPr>
        <w:t>s</w:t>
      </w:r>
      <w:r>
        <w:t>+</w:t>
      </w:r>
      <w:r>
        <w:sym w:font="Symbol" w:char="F073"/>
      </w:r>
      <w:r>
        <w:t>²</w:t>
      </w:r>
      <w:r>
        <w:rPr>
          <w:vertAlign w:val="subscript"/>
        </w:rPr>
        <w:sym w:font="Symbol" w:char="F065"/>
      </w:r>
      <w:r>
        <w:t xml:space="preserve"> .The narrow and broad sense heritabilities were Table 4 </w:t>
      </w:r>
    </w:p>
    <w:p w:rsidR="00000000" w:rsidRDefault="0080384C"/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771"/>
        <w:gridCol w:w="647"/>
        <w:gridCol w:w="567"/>
        <w:gridCol w:w="1559"/>
        <w:gridCol w:w="992"/>
        <w:gridCol w:w="1134"/>
        <w:gridCol w:w="567"/>
        <w:gridCol w:w="709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71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map</w:t>
            </w:r>
          </w:p>
        </w:tc>
        <w:tc>
          <w:tcPr>
            <w:tcW w:w="647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Chr</w:t>
            </w:r>
            <w:r>
              <w:rPr>
                <w:rFonts w:ascii="Arial" w:hAnsi="Arial" w:cs="Arial"/>
                <w:sz w:val="20"/>
                <w:vertAlign w:val="superscript"/>
                <w:lang w:val="nl-NL"/>
              </w:rPr>
              <w:t>a</w:t>
            </w:r>
          </w:p>
        </w:tc>
        <w:tc>
          <w:tcPr>
            <w:tcW w:w="567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N</w:t>
            </w:r>
            <w:r>
              <w:rPr>
                <w:rFonts w:ascii="Arial" w:hAnsi="Arial" w:cs="Arial"/>
                <w:sz w:val="20"/>
                <w:vertAlign w:val="superscript"/>
                <w:lang w:val="nl-NL"/>
              </w:rPr>
              <w:t>b</w:t>
            </w:r>
          </w:p>
        </w:tc>
        <w:tc>
          <w:tcPr>
            <w:tcW w:w="1559" w:type="dxa"/>
          </w:tcPr>
          <w:p w:rsidR="00000000" w:rsidRDefault="0080384C">
            <w:pPr>
              <w:spacing w:line="240" w:lineRule="auto"/>
              <w:ind w:right="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 ± SD</w:t>
            </w:r>
            <w:r>
              <w:rPr>
                <w:rFonts w:ascii="Arial" w:hAnsi="Arial" w:cs="Arial"/>
                <w:sz w:val="20"/>
                <w:vertAlign w:val="superscript"/>
              </w:rPr>
              <w:t>c</w:t>
            </w:r>
          </w:p>
        </w:tc>
        <w:tc>
          <w:tcPr>
            <w:tcW w:w="992" w:type="dxa"/>
          </w:tcPr>
          <w:p w:rsidR="00000000" w:rsidRDefault="0080384C">
            <w:pPr>
              <w:spacing w:line="240" w:lineRule="auto"/>
              <w:ind w:right="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Lod</w:t>
            </w:r>
          </w:p>
        </w:tc>
        <w:tc>
          <w:tcPr>
            <w:tcW w:w="1134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P-value</w:t>
            </w:r>
            <w:r>
              <w:rPr>
                <w:rFonts w:ascii="Arial" w:hAnsi="Arial" w:cs="Arial"/>
                <w:sz w:val="20"/>
                <w:vertAlign w:val="superscript"/>
              </w:rPr>
              <w:t>d</w:t>
            </w:r>
          </w:p>
        </w:tc>
        <w:tc>
          <w:tcPr>
            <w:tcW w:w="567" w:type="dxa"/>
          </w:tcPr>
          <w:p w:rsidR="00000000" w:rsidRDefault="0080384C">
            <w:pPr>
              <w:spacing w:line="240" w:lineRule="auto"/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Dir.</w:t>
            </w:r>
            <w:r>
              <w:rPr>
                <w:rFonts w:ascii="Arial" w:hAnsi="Arial" w:cs="Arial"/>
                <w:sz w:val="20"/>
                <w:vertAlign w:val="superscript"/>
                <w:lang w:val="fr-FR"/>
              </w:rPr>
              <w:t>e</w:t>
            </w:r>
          </w:p>
        </w:tc>
        <w:tc>
          <w:tcPr>
            <w:tcW w:w="709" w:type="dxa"/>
          </w:tcPr>
          <w:p w:rsidR="00000000" w:rsidRDefault="0080384C">
            <w:pPr>
              <w:spacing w:line="240" w:lineRule="auto"/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R²</w:t>
            </w:r>
          </w:p>
        </w:tc>
        <w:tc>
          <w:tcPr>
            <w:tcW w:w="850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vertAlign w:val="subscript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vMerge w:val="restart"/>
            <w:vAlign w:val="center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Symbol" w:hAnsi="Symbol" w:cs="Arial"/>
                <w:sz w:val="20"/>
              </w:rPr>
              <w:t></w:t>
            </w:r>
            <w:r>
              <w:rPr>
                <w:rFonts w:ascii="Arial" w:hAnsi="Arial" w:cs="Arial"/>
                <w:sz w:val="20"/>
                <w:vertAlign w:val="superscript"/>
              </w:rPr>
              <w:t>13</w:t>
            </w: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771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male</w:t>
            </w:r>
          </w:p>
        </w:tc>
        <w:tc>
          <w:tcPr>
            <w:tcW w:w="647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3a</w:t>
            </w:r>
          </w:p>
        </w:tc>
        <w:tc>
          <w:tcPr>
            <w:tcW w:w="567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149</w:t>
            </w:r>
          </w:p>
        </w:tc>
        <w:tc>
          <w:tcPr>
            <w:tcW w:w="1559" w:type="dxa"/>
          </w:tcPr>
          <w:p w:rsidR="00000000" w:rsidRDefault="0080384C">
            <w:pPr>
              <w:spacing w:line="240" w:lineRule="auto"/>
              <w:ind w:right="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4.3±13.2</w:t>
            </w:r>
          </w:p>
        </w:tc>
        <w:tc>
          <w:tcPr>
            <w:tcW w:w="992" w:type="dxa"/>
          </w:tcPr>
          <w:p w:rsidR="00000000" w:rsidRDefault="0080384C">
            <w:pPr>
              <w:spacing w:line="240" w:lineRule="auto"/>
              <w:ind w:right="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1.78</w:t>
            </w:r>
          </w:p>
        </w:tc>
        <w:tc>
          <w:tcPr>
            <w:tcW w:w="1134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0.021*</w:t>
            </w:r>
          </w:p>
        </w:tc>
        <w:tc>
          <w:tcPr>
            <w:tcW w:w="567" w:type="dxa"/>
          </w:tcPr>
          <w:p w:rsidR="00000000" w:rsidRDefault="0080384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</w:p>
        </w:tc>
        <w:tc>
          <w:tcPr>
            <w:tcW w:w="709" w:type="dxa"/>
          </w:tcPr>
          <w:p w:rsidR="00000000" w:rsidRDefault="0080384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0.047</w:t>
            </w:r>
          </w:p>
        </w:tc>
        <w:tc>
          <w:tcPr>
            <w:tcW w:w="850" w:type="dxa"/>
            <w:vMerge w:val="restart"/>
            <w:vAlign w:val="center"/>
          </w:tcPr>
          <w:p w:rsidR="00000000" w:rsidRDefault="0080384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vMerge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male</w:t>
            </w:r>
          </w:p>
        </w:tc>
        <w:tc>
          <w:tcPr>
            <w:tcW w:w="647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67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164</w:t>
            </w:r>
          </w:p>
        </w:tc>
        <w:tc>
          <w:tcPr>
            <w:tcW w:w="1559" w:type="dxa"/>
          </w:tcPr>
          <w:p w:rsidR="00000000" w:rsidRDefault="0080384C">
            <w:pPr>
              <w:spacing w:line="240" w:lineRule="auto"/>
              <w:ind w:right="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102.7±21.6</w:t>
            </w:r>
          </w:p>
        </w:tc>
        <w:tc>
          <w:tcPr>
            <w:tcW w:w="992" w:type="dxa"/>
          </w:tcPr>
          <w:p w:rsidR="00000000" w:rsidRDefault="0080384C">
            <w:pPr>
              <w:spacing w:line="240" w:lineRule="auto"/>
              <w:ind w:right="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4.40</w:t>
            </w:r>
          </w:p>
        </w:tc>
        <w:tc>
          <w:tcPr>
            <w:tcW w:w="1134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0.001***</w:t>
            </w:r>
          </w:p>
        </w:tc>
        <w:tc>
          <w:tcPr>
            <w:tcW w:w="567" w:type="dxa"/>
          </w:tcPr>
          <w:p w:rsidR="00000000" w:rsidRDefault="0080384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</w:p>
        </w:tc>
        <w:tc>
          <w:tcPr>
            <w:tcW w:w="709" w:type="dxa"/>
          </w:tcPr>
          <w:p w:rsidR="00000000" w:rsidRDefault="0080384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0.124</w:t>
            </w:r>
          </w:p>
        </w:tc>
        <w:tc>
          <w:tcPr>
            <w:tcW w:w="850" w:type="dxa"/>
            <w:vMerge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vMerge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male</w:t>
            </w:r>
          </w:p>
        </w:tc>
        <w:tc>
          <w:tcPr>
            <w:tcW w:w="647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67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1559" w:type="dxa"/>
          </w:tcPr>
          <w:p w:rsidR="00000000" w:rsidRDefault="0080384C">
            <w:pPr>
              <w:spacing w:line="240" w:lineRule="auto"/>
              <w:ind w:right="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0.0±15.7</w:t>
            </w:r>
          </w:p>
        </w:tc>
        <w:tc>
          <w:tcPr>
            <w:tcW w:w="992" w:type="dxa"/>
          </w:tcPr>
          <w:p w:rsidR="00000000" w:rsidRDefault="0080384C">
            <w:pPr>
              <w:spacing w:line="240" w:lineRule="auto"/>
              <w:ind w:right="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1.85</w:t>
            </w:r>
          </w:p>
        </w:tc>
        <w:tc>
          <w:tcPr>
            <w:tcW w:w="1134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0.021*</w:t>
            </w:r>
          </w:p>
        </w:tc>
        <w:tc>
          <w:tcPr>
            <w:tcW w:w="567" w:type="dxa"/>
          </w:tcPr>
          <w:p w:rsidR="00000000" w:rsidRDefault="0080384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80384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0.050</w:t>
            </w:r>
          </w:p>
        </w:tc>
        <w:tc>
          <w:tcPr>
            <w:tcW w:w="850" w:type="dxa"/>
            <w:vMerge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vMerge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dxa"/>
            <w:tcBorders>
              <w:bottom w:val="dashSmallGap" w:sz="4" w:space="0" w:color="auto"/>
            </w:tcBorders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male</w:t>
            </w:r>
          </w:p>
        </w:tc>
        <w:tc>
          <w:tcPr>
            <w:tcW w:w="647" w:type="dxa"/>
            <w:tcBorders>
              <w:bottom w:val="dashSmallGap" w:sz="4" w:space="0" w:color="auto"/>
            </w:tcBorders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183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000000" w:rsidRDefault="0080384C">
            <w:pPr>
              <w:spacing w:line="240" w:lineRule="auto"/>
              <w:ind w:right="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104.6±28.5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000000" w:rsidRDefault="0080384C">
            <w:pPr>
              <w:spacing w:line="240" w:lineRule="auto"/>
              <w:ind w:right="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1.90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0.033*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:rsidR="00000000" w:rsidRDefault="0080384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000000" w:rsidRDefault="0080384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0.047</w:t>
            </w:r>
          </w:p>
        </w:tc>
        <w:tc>
          <w:tcPr>
            <w:tcW w:w="850" w:type="dxa"/>
            <w:vMerge/>
            <w:tcBorders>
              <w:bottom w:val="dashSmallGap" w:sz="4" w:space="0" w:color="auto"/>
            </w:tcBorders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vMerge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dxa"/>
            <w:tcBorders>
              <w:top w:val="dashSmallGap" w:sz="4" w:space="0" w:color="auto"/>
            </w:tcBorders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female</w:t>
            </w:r>
          </w:p>
        </w:tc>
        <w:tc>
          <w:tcPr>
            <w:tcW w:w="647" w:type="dxa"/>
            <w:tcBorders>
              <w:top w:val="dashSmallGap" w:sz="4" w:space="0" w:color="auto"/>
            </w:tcBorders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000000" w:rsidRDefault="0080384C">
            <w:pPr>
              <w:spacing w:line="240" w:lineRule="auto"/>
              <w:ind w:right="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209.1±</w:t>
            </w:r>
            <w:r>
              <w:rPr>
                <w:rFonts w:ascii="Arial" w:hAnsi="Arial" w:cs="Arial"/>
                <w:sz w:val="20"/>
              </w:rPr>
              <w:t>56.4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:rsidR="00000000" w:rsidRDefault="0080384C">
            <w:pPr>
              <w:spacing w:line="240" w:lineRule="auto"/>
              <w:ind w:right="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2.30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0.019*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000000" w:rsidRDefault="0080384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:rsidR="00000000" w:rsidRDefault="0080384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0.065</w:t>
            </w:r>
          </w:p>
        </w:tc>
        <w:tc>
          <w:tcPr>
            <w:tcW w:w="850" w:type="dxa"/>
            <w:vMerge w:val="restart"/>
            <w:tcBorders>
              <w:top w:val="dashSmallGap" w:sz="4" w:space="0" w:color="auto"/>
            </w:tcBorders>
            <w:vAlign w:val="center"/>
          </w:tcPr>
          <w:p w:rsidR="00000000" w:rsidRDefault="0080384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vMerge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female</w:t>
            </w:r>
          </w:p>
        </w:tc>
        <w:tc>
          <w:tcPr>
            <w:tcW w:w="647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7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164</w:t>
            </w:r>
          </w:p>
        </w:tc>
        <w:tc>
          <w:tcPr>
            <w:tcW w:w="1559" w:type="dxa"/>
          </w:tcPr>
          <w:p w:rsidR="00000000" w:rsidRDefault="0080384C">
            <w:pPr>
              <w:spacing w:line="240" w:lineRule="auto"/>
              <w:ind w:right="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99.9±22.0</w:t>
            </w:r>
          </w:p>
        </w:tc>
        <w:tc>
          <w:tcPr>
            <w:tcW w:w="992" w:type="dxa"/>
          </w:tcPr>
          <w:p w:rsidR="00000000" w:rsidRDefault="0080384C">
            <w:pPr>
              <w:spacing w:line="240" w:lineRule="auto"/>
              <w:ind w:right="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1.98</w:t>
            </w:r>
          </w:p>
        </w:tc>
        <w:tc>
          <w:tcPr>
            <w:tcW w:w="1134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0.0033***</w:t>
            </w:r>
          </w:p>
        </w:tc>
        <w:tc>
          <w:tcPr>
            <w:tcW w:w="567" w:type="dxa"/>
          </w:tcPr>
          <w:p w:rsidR="00000000" w:rsidRDefault="0080384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80384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0.062</w:t>
            </w:r>
          </w:p>
        </w:tc>
        <w:tc>
          <w:tcPr>
            <w:tcW w:w="850" w:type="dxa"/>
            <w:vMerge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vMerge/>
            <w:tcBorders>
              <w:bottom w:val="double" w:sz="4" w:space="0" w:color="auto"/>
            </w:tcBorders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dxa"/>
            <w:tcBorders>
              <w:bottom w:val="double" w:sz="4" w:space="0" w:color="auto"/>
            </w:tcBorders>
            <w:vAlign w:val="center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female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vAlign w:val="center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153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00000" w:rsidRDefault="0080384C">
            <w:pPr>
              <w:spacing w:line="240" w:lineRule="auto"/>
              <w:ind w:right="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       0.0±36.7</w:t>
            </w:r>
          </w:p>
          <w:p w:rsidR="00000000" w:rsidRDefault="0080384C">
            <w:pPr>
              <w:spacing w:line="240" w:lineRule="auto"/>
              <w:ind w:right="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   135.4±27.1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00000" w:rsidRDefault="0080384C">
            <w:pPr>
              <w:spacing w:line="240" w:lineRule="auto"/>
              <w:ind w:right="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:   4.24</w:t>
            </w:r>
          </w:p>
          <w:p w:rsidR="00000000" w:rsidRDefault="0080384C">
            <w:pPr>
              <w:spacing w:line="240" w:lineRule="auto"/>
              <w:ind w:right="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II:   1.88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: 0.002***</w:t>
            </w:r>
          </w:p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II: 0.036*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000000" w:rsidRDefault="0080384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000000" w:rsidRDefault="0080384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000000" w:rsidRDefault="0080384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0.119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vMerge w:val="restart"/>
            <w:tcBorders>
              <w:top w:val="double" w:sz="4" w:space="0" w:color="auto"/>
            </w:tcBorders>
            <w:vAlign w:val="center"/>
          </w:tcPr>
          <w:p w:rsidR="00000000" w:rsidRDefault="0080384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MRW</w:t>
            </w:r>
          </w:p>
        </w:tc>
        <w:tc>
          <w:tcPr>
            <w:tcW w:w="771" w:type="dxa"/>
            <w:tcBorders>
              <w:top w:val="double" w:sz="4" w:space="0" w:color="auto"/>
            </w:tcBorders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male</w:t>
            </w:r>
          </w:p>
        </w:tc>
        <w:tc>
          <w:tcPr>
            <w:tcW w:w="647" w:type="dxa"/>
            <w:tcBorders>
              <w:top w:val="double" w:sz="4" w:space="0" w:color="auto"/>
            </w:tcBorders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2b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180</w:t>
            </w:r>
          </w:p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00000" w:rsidRDefault="0080384C">
            <w:pPr>
              <w:spacing w:line="240" w:lineRule="auto"/>
              <w:ind w:right="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     47.2±15.9</w:t>
            </w:r>
          </w:p>
          <w:p w:rsidR="00000000" w:rsidRDefault="0080384C">
            <w:pPr>
              <w:spacing w:line="240" w:lineRule="auto"/>
              <w:ind w:right="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     51.8±11.1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00000" w:rsidRDefault="0080384C">
            <w:pPr>
              <w:spacing w:line="240" w:lineRule="auto"/>
              <w:ind w:right="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:   2.49</w:t>
            </w:r>
          </w:p>
          <w:p w:rsidR="00000000" w:rsidRDefault="0080384C">
            <w:pPr>
              <w:spacing w:line="240" w:lineRule="auto"/>
              <w:ind w:right="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II:</w:t>
            </w:r>
            <w:r>
              <w:rPr>
                <w:rFonts w:ascii="Arial" w:hAnsi="Arial" w:cs="Arial"/>
                <w:sz w:val="20"/>
              </w:rPr>
              <w:t xml:space="preserve">   1.57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: 0.048*</w:t>
            </w:r>
          </w:p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II: 0.027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000000" w:rsidRDefault="0080384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000000" w:rsidRDefault="0080384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000000" w:rsidRDefault="0080384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0.181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000000" w:rsidRDefault="0080384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vMerge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male</w:t>
            </w:r>
          </w:p>
        </w:tc>
        <w:tc>
          <w:tcPr>
            <w:tcW w:w="647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7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145</w:t>
            </w:r>
          </w:p>
        </w:tc>
        <w:tc>
          <w:tcPr>
            <w:tcW w:w="1559" w:type="dxa"/>
          </w:tcPr>
          <w:p w:rsidR="00000000" w:rsidRDefault="0080384C">
            <w:pPr>
              <w:spacing w:line="240" w:lineRule="auto"/>
              <w:ind w:right="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56.8±33.4</w:t>
            </w:r>
          </w:p>
        </w:tc>
        <w:tc>
          <w:tcPr>
            <w:tcW w:w="992" w:type="dxa"/>
          </w:tcPr>
          <w:p w:rsidR="00000000" w:rsidRDefault="0080384C">
            <w:pPr>
              <w:spacing w:line="240" w:lineRule="auto"/>
              <w:ind w:right="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2.41</w:t>
            </w:r>
          </w:p>
        </w:tc>
        <w:tc>
          <w:tcPr>
            <w:tcW w:w="1134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0.022*</w:t>
            </w:r>
          </w:p>
        </w:tc>
        <w:tc>
          <w:tcPr>
            <w:tcW w:w="567" w:type="dxa"/>
          </w:tcPr>
          <w:p w:rsidR="00000000" w:rsidRDefault="0080384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80384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0.065</w:t>
            </w:r>
          </w:p>
        </w:tc>
        <w:tc>
          <w:tcPr>
            <w:tcW w:w="850" w:type="dxa"/>
            <w:vMerge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vMerge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male</w:t>
            </w:r>
          </w:p>
        </w:tc>
        <w:tc>
          <w:tcPr>
            <w:tcW w:w="647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67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174</w:t>
            </w:r>
          </w:p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1559" w:type="dxa"/>
          </w:tcPr>
          <w:p w:rsidR="00000000" w:rsidRDefault="0080384C">
            <w:pPr>
              <w:spacing w:line="240" w:lineRule="auto"/>
              <w:ind w:right="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       7.5±31.0</w:t>
            </w:r>
          </w:p>
          <w:p w:rsidR="00000000" w:rsidRDefault="0080384C">
            <w:pPr>
              <w:spacing w:line="240" w:lineRule="auto"/>
              <w:ind w:right="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   133.7±22.0</w:t>
            </w:r>
          </w:p>
        </w:tc>
        <w:tc>
          <w:tcPr>
            <w:tcW w:w="992" w:type="dxa"/>
          </w:tcPr>
          <w:p w:rsidR="00000000" w:rsidRDefault="0080384C">
            <w:pPr>
              <w:spacing w:line="240" w:lineRule="auto"/>
              <w:ind w:right="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:   4.24</w:t>
            </w:r>
          </w:p>
          <w:p w:rsidR="00000000" w:rsidRDefault="0080384C">
            <w:pPr>
              <w:spacing w:line="240" w:lineRule="auto"/>
              <w:ind w:right="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II:   2.68</w:t>
            </w:r>
          </w:p>
        </w:tc>
        <w:tc>
          <w:tcPr>
            <w:tcW w:w="1134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: 0.001***</w:t>
            </w:r>
          </w:p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II: 0.002*</w:t>
            </w:r>
          </w:p>
        </w:tc>
        <w:tc>
          <w:tcPr>
            <w:tcW w:w="567" w:type="dxa"/>
          </w:tcPr>
          <w:p w:rsidR="00000000" w:rsidRDefault="0080384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000000" w:rsidRDefault="0080384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</w:p>
        </w:tc>
        <w:tc>
          <w:tcPr>
            <w:tcW w:w="709" w:type="dxa"/>
          </w:tcPr>
          <w:p w:rsidR="00000000" w:rsidRDefault="0080384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0.124</w:t>
            </w:r>
          </w:p>
        </w:tc>
        <w:tc>
          <w:tcPr>
            <w:tcW w:w="850" w:type="dxa"/>
            <w:vMerge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vMerge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male</w:t>
            </w:r>
          </w:p>
        </w:tc>
        <w:tc>
          <w:tcPr>
            <w:tcW w:w="647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67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</w:t>
            </w:r>
          </w:p>
        </w:tc>
        <w:tc>
          <w:tcPr>
            <w:tcW w:w="1559" w:type="dxa"/>
          </w:tcPr>
          <w:p w:rsidR="00000000" w:rsidRDefault="0080384C">
            <w:pPr>
              <w:spacing w:line="240" w:lineRule="auto"/>
              <w:ind w:right="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11.6±30.9</w:t>
            </w:r>
          </w:p>
        </w:tc>
        <w:tc>
          <w:tcPr>
            <w:tcW w:w="992" w:type="dxa"/>
          </w:tcPr>
          <w:p w:rsidR="00000000" w:rsidRDefault="0080384C">
            <w:pPr>
              <w:spacing w:line="240" w:lineRule="auto"/>
              <w:ind w:right="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1.73</w:t>
            </w:r>
          </w:p>
        </w:tc>
        <w:tc>
          <w:tcPr>
            <w:tcW w:w="1134" w:type="dxa"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0.040*</w:t>
            </w:r>
          </w:p>
        </w:tc>
        <w:tc>
          <w:tcPr>
            <w:tcW w:w="567" w:type="dxa"/>
          </w:tcPr>
          <w:p w:rsidR="00000000" w:rsidRDefault="0080384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</w:p>
        </w:tc>
        <w:tc>
          <w:tcPr>
            <w:tcW w:w="709" w:type="dxa"/>
          </w:tcPr>
          <w:p w:rsidR="00000000" w:rsidRDefault="0080384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0.059</w:t>
            </w:r>
          </w:p>
        </w:tc>
        <w:tc>
          <w:tcPr>
            <w:tcW w:w="850" w:type="dxa"/>
            <w:vMerge/>
          </w:tcPr>
          <w:p w:rsidR="00000000" w:rsidRDefault="0080384C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80384C">
      <w:pPr>
        <w:tabs>
          <w:tab w:val="left" w:pos="1973"/>
          <w:tab w:val="left" w:pos="2943"/>
          <w:tab w:val="left" w:pos="3751"/>
          <w:tab w:val="left" w:pos="5366"/>
          <w:tab w:val="left" w:pos="6820"/>
          <w:tab w:val="left" w:pos="8275"/>
          <w:tab w:val="left" w:pos="9244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  <w:vertAlign w:val="superscript"/>
        </w:rPr>
        <w:t>a</w:t>
      </w:r>
      <w:r>
        <w:rPr>
          <w:rFonts w:ascii="Arial" w:hAnsi="Arial"/>
          <w:color w:val="000000"/>
          <w:sz w:val="20"/>
        </w:rPr>
        <w:t xml:space="preserve"> chromosome </w:t>
      </w:r>
      <w:r>
        <w:rPr>
          <w:rFonts w:ascii="Arial" w:hAnsi="Arial"/>
          <w:color w:val="000000"/>
          <w:sz w:val="20"/>
        </w:rPr>
        <w:t>ID</w:t>
      </w:r>
    </w:p>
    <w:p w:rsidR="00000000" w:rsidRDefault="0080384C">
      <w:pPr>
        <w:pStyle w:val="Heading2"/>
        <w:spacing w:line="240" w:lineRule="auto"/>
      </w:pPr>
      <w:r>
        <w:br w:type="page"/>
      </w:r>
      <w:r>
        <w:lastRenderedPageBreak/>
        <w:t xml:space="preserve">Figure 1 a  </w:t>
      </w:r>
    </w:p>
    <w:p w:rsidR="00000000" w:rsidRDefault="0080384C">
      <w:pPr>
        <w:spacing w:line="240" w:lineRule="auto"/>
        <w:jc w:val="center"/>
      </w:pPr>
      <w:r>
        <w:t>a)</w:t>
      </w:r>
    </w:p>
    <w:p w:rsidR="00000000" w:rsidRDefault="0080384C">
      <w:pPr>
        <w:spacing w:line="240" w:lineRule="auto"/>
        <w:jc w:val="center"/>
      </w:pPr>
      <w:r>
        <w:pict>
          <v:shape id="_x0000_i1026" type="#_x0000_t75" style="width:349.5pt;height:230.25pt" o:allowoverlap="f">
            <v:imagedata r:id="rId9" o:title=""/>
          </v:shape>
        </w:pict>
      </w:r>
    </w:p>
    <w:p w:rsidR="00000000" w:rsidRDefault="0080384C"/>
    <w:sectPr w:rsidR="00000000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418" w:right="1418" w:bottom="1418" w:left="2268" w:header="720" w:footer="720" w:gutter="0"/>
      <w:lnNumType w:countBy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80384C">
      <w:pPr>
        <w:spacing w:line="240" w:lineRule="auto"/>
      </w:pPr>
      <w:r>
        <w:separator/>
      </w:r>
    </w:p>
  </w:endnote>
  <w:endnote w:type="continuationSeparator" w:id="1">
    <w:p w:rsidR="00000000" w:rsidRDefault="00803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38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80384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384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80384C">
      <w:pPr>
        <w:spacing w:line="240" w:lineRule="auto"/>
      </w:pPr>
      <w:r>
        <w:separator/>
      </w:r>
    </w:p>
  </w:footnote>
  <w:footnote w:type="continuationSeparator" w:id="1">
    <w:p w:rsidR="00000000" w:rsidRDefault="008038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38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80384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38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80384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029F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0C4C69"/>
    <w:multiLevelType w:val="hybridMultilevel"/>
    <w:tmpl w:val="14463B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F1CF6"/>
    <w:multiLevelType w:val="hybridMultilevel"/>
    <w:tmpl w:val="665672F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6C9185B"/>
    <w:multiLevelType w:val="hybridMultilevel"/>
    <w:tmpl w:val="07B2AC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611CE9"/>
    <w:multiLevelType w:val="hybridMultilevel"/>
    <w:tmpl w:val="7EC0FF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10779C"/>
    <w:multiLevelType w:val="hybridMultilevel"/>
    <w:tmpl w:val="0776834A"/>
    <w:lvl w:ilvl="0" w:tplc="0A42F2A4">
      <w:start w:val="16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84C"/>
    <w:rsid w:val="0080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  <w:rPr>
      <w:sz w:val="24"/>
      <w:lang w:val="en-GB" w:eastAsia="fr-FR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autoRedefine/>
    <w:pPr>
      <w:spacing w:line="240" w:lineRule="auto"/>
      <w:jc w:val="both"/>
    </w:pPr>
    <w:rPr>
      <w:snapToGrid w:val="0"/>
    </w:rPr>
  </w:style>
  <w:style w:type="character" w:customStyle="1" w:styleId="Comment">
    <w:name w:val="Comment"/>
    <w:basedOn w:val="DefaultParagraphFont"/>
    <w:rPr>
      <w:b/>
      <w:i/>
      <w:bdr w:val="none" w:sz="0" w:space="0" w:color="auto"/>
      <w:shd w:val="clear" w:color="auto" w:fill="FFFF00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character" w:styleId="LineNumber">
    <w:name w:val="line number"/>
    <w:basedOn w:val="DefaultParagraphFont"/>
    <w:semiHidden/>
  </w:style>
  <w:style w:type="paragraph" w:customStyle="1" w:styleId="normaldist">
    <w:name w:val="normaldist"/>
    <w:basedOn w:val="Normal"/>
    <w:pPr>
      <w:spacing w:after="240" w:line="480" w:lineRule="auto"/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Genetic parameters and QTL analysis of d13C and ring width in maritime pine</vt:lpstr>
    </vt:vector>
  </TitlesOfParts>
  <Company>INRA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 parameters and QTL analysis of d13C and ring width in maritime pine</dc:title>
  <dc:subject/>
  <dc:creator>Brendel</dc:creator>
  <cp:keywords/>
  <dc:description/>
  <cp:lastModifiedBy>Michael Rüß</cp:lastModifiedBy>
  <cp:revision>2</cp:revision>
  <dcterms:created xsi:type="dcterms:W3CDTF">2008-02-25T14:09:00Z</dcterms:created>
  <dcterms:modified xsi:type="dcterms:W3CDTF">2008-02-25T14:09:00Z</dcterms:modified>
</cp:coreProperties>
</file>