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tsHeading"/>
        <w:suppressLineNumbers/>
        <w:bidi w:val="0"/>
        <w:spacing w:before="240" w:after="120"/>
        <w:ind w:left="0" w:right="0" w:hanging="0"/>
        <w:jc w:val="center"/>
        <w:rPr/>
      </w:pPr>
      <w:r>
        <w:rPr/>
        <w:t>Chart OOXML (DOCX) Export Test</w:t>
      </w:r>
    </w:p>
    <w:p>
      <w:pPr>
        <w:pStyle w:val="TextBody"/>
        <w:rPr/>
      </w:pPr>
      <w:r>
        <w:rPr/>
        <w:t xml:space="preserve">Default Column Chart </w:t>
      </w:r>
      <w:r>
        <w:rPr/>
        <w:t>with hatch fill</w:t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tsHeading">
    <w:name w:val="TOA Heading"/>
    <w:basedOn w:val="Heading"/>
    <w:pPr>
      <w:suppressLineNumbers/>
      <w:bidi w:val="0"/>
      <w:ind w:left="0" w:right="0" w:hanging="0"/>
      <w:jc w:val="center"/>
    </w:pPr>
    <w:rPr>
      <w:b w:val="false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6117387"/>
        <c:axId val="37757207"/>
      </c:barChart>
      <c:catAx>
        <c:axId val="6117387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37757207"/>
        <c:crosses val="autoZero"/>
        <c:auto val="1"/>
        <c:lblAlgn val="ctr"/>
        <c:lblOffset val="100"/>
      </c:catAx>
      <c:valAx>
        <c:axId val="37757207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6117387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EFBDC-DFE4-4590-A5C2-3A596B609A8B}"/>
</file>

<file path=customXml/itemProps2.xml><?xml version="1.0" encoding="utf-8"?>
<ds:datastoreItem xmlns:ds="http://schemas.openxmlformats.org/officeDocument/2006/customXml" ds:itemID="{C7B127B4-98A7-4D1D-A018-AF8EE3194A27}"/>
</file>

<file path=customXml/itemProps3.xml><?xml version="1.0" encoding="utf-8"?>
<ds:datastoreItem xmlns:ds="http://schemas.openxmlformats.org/officeDocument/2006/customXml" ds:itemID="{82850788-764E-47FC-881C-B6AFFD3A81D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LibreOffice/5.3.3.2$Windows_x86 LibreOffice_project/3d9a8b4b4e538a85e0782bd6c2d430bafe583448</Application>
  <Pages>1</Pages>
  <Words>11</Words>
  <Characters>57</Characters>
  <CharactersWithSpaces>66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</cp:revision>
  <dcterms:created xsi:type="dcterms:W3CDTF">2017-05-25T12:49:17Z</dcterms:created>
  <dcterms:modified xsi:type="dcterms:W3CDTF">2017-05-25T12:58:27Z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