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/>
      </w:pPr>
      <w:r>
        <w:rPr/>
        <w:drawing>
          <wp:inline distT="0" distB="0" distL="0" distR="0">
            <wp:extent cx="5748655" cy="4113530"/>
            <wp:effectExtent l="0" t="0" r="0" b="0"/>
            <wp:docPr id="1" name="Obje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20" w:top="1637" w:footer="720" w:bottom="158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Linux Biolinum O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Century Gothic">
    <w:charset w:val="01"/>
    <w:family w:val="swiss"/>
    <w:pitch w:val="default"/>
  </w:font>
  <w:font w:name="Linux Libertine O">
    <w:charset w:val="01"/>
    <w:family w:val="swiss"/>
    <w:pitch w:val="default"/>
  </w:font>
  <w:font w:name="Inconsolat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 xml:space="preserve">sur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  <w:textAlignment w:val="baseline"/>
    </w:pPr>
    <w:rPr>
      <w:rFonts w:ascii="Liberation Serif" w:hAnsi="Liberation Serif" w:eastAsia="WenQuanYi Zen Hei Sharp" w:cs="Lohit Devanagari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widowControl w:val="false"/>
      <w:numPr>
        <w:ilvl w:val="0"/>
        <w:numId w:val="0"/>
      </w:numPr>
      <w:overflowPunct w:val="false"/>
      <w:bidi w:val="0"/>
      <w:spacing w:before="578" w:after="232"/>
      <w:jc w:val="left"/>
      <w:outlineLvl w:val="0"/>
    </w:pPr>
    <w:rPr>
      <w:rFonts w:ascii="Times New Roman" w:hAnsi="Times New Roman" w:eastAsia="Times New Roman" w:cs="Times New Roman"/>
      <w:b/>
      <w:bCs/>
      <w:color w:val="00000A"/>
      <w:sz w:val="24"/>
      <w:szCs w:val="32"/>
      <w:lang w:val="fr-FR" w:eastAsia="zh-CN" w:bidi="hi-IN"/>
    </w:rPr>
  </w:style>
  <w:style w:type="paragraph" w:styleId="Titre2">
    <w:name w:val="Heading 2"/>
    <w:basedOn w:val="Titre"/>
    <w:qFormat/>
    <w:pPr>
      <w:widowControl w:val="false"/>
      <w:numPr>
        <w:ilvl w:val="0"/>
        <w:numId w:val="0"/>
      </w:numPr>
      <w:overflowPunct w:val="false"/>
      <w:bidi w:val="0"/>
      <w:spacing w:before="352" w:after="119"/>
      <w:jc w:val="left"/>
      <w:outlineLvl w:val="1"/>
    </w:pPr>
    <w:rPr>
      <w:rFonts w:ascii="Times New Roman" w:hAnsi="Times New Roman" w:eastAsia="Times New Roman" w:cs="Times New Roman"/>
      <w:b/>
      <w:bCs/>
      <w:iCs/>
      <w:color w:val="00000A"/>
      <w:sz w:val="22"/>
      <w:szCs w:val="28"/>
      <w:lang w:val="fr-FR" w:eastAsia="zh-CN" w:bidi="hi-IN"/>
    </w:rPr>
  </w:style>
  <w:style w:type="paragraph" w:styleId="Titre3">
    <w:name w:val="Heading 3"/>
    <w:basedOn w:val="Titre"/>
    <w:qFormat/>
    <w:pPr>
      <w:widowControl w:val="false"/>
      <w:numPr>
        <w:ilvl w:val="0"/>
        <w:numId w:val="0"/>
      </w:numPr>
      <w:overflowPunct w:val="false"/>
      <w:bidi w:val="0"/>
      <w:spacing w:before="340" w:after="119"/>
      <w:jc w:val="left"/>
      <w:outlineLvl w:val="2"/>
    </w:pPr>
    <w:rPr>
      <w:rFonts w:ascii="Linux Biolinum O" w:hAnsi="Linux Biolinum O" w:eastAsia="Linux Biolinum O" w:cs="Linux Biolinum O"/>
      <w:b/>
      <w:bCs/>
      <w:color w:val="00000A"/>
      <w:sz w:val="24"/>
      <w:szCs w:val="28"/>
      <w:lang w:val="fr-FR" w:eastAsia="zh-CN" w:bidi="hi-IN"/>
    </w:rPr>
  </w:style>
  <w:style w:type="paragraph" w:styleId="Titre4">
    <w:name w:val="Heading 4"/>
    <w:basedOn w:val="Titre"/>
    <w:qFormat/>
    <w:pPr>
      <w:widowControl w:val="false"/>
      <w:numPr>
        <w:ilvl w:val="0"/>
        <w:numId w:val="0"/>
      </w:numPr>
      <w:overflowPunct w:val="false"/>
      <w:bidi w:val="0"/>
      <w:spacing w:before="120" w:after="120"/>
      <w:jc w:val="left"/>
      <w:outlineLvl w:val="3"/>
    </w:pPr>
    <w:rPr>
      <w:rFonts w:ascii="Liberation Serif" w:hAnsi="Liberation Serif" w:eastAsia="WenQuanYi Zen Hei Sharp" w:cs="Lohit Devanagari"/>
      <w:b/>
      <w:bCs/>
      <w:i/>
      <w:iCs/>
      <w:color w:val="808080"/>
      <w:sz w:val="27"/>
      <w:szCs w:val="27"/>
      <w:lang w:val="fr-FR" w:eastAsia="zh-CN" w:bidi="hi-IN"/>
    </w:rPr>
  </w:style>
  <w:style w:type="paragraph" w:styleId="Titre5">
    <w:name w:val="Heading 5"/>
    <w:basedOn w:val="Titre"/>
    <w:qFormat/>
    <w:pPr>
      <w:widowControl w:val="false"/>
      <w:numPr>
        <w:ilvl w:val="0"/>
        <w:numId w:val="0"/>
      </w:numPr>
      <w:overflowPunct w:val="false"/>
      <w:bidi w:val="0"/>
      <w:jc w:val="left"/>
      <w:outlineLvl w:val="4"/>
    </w:pPr>
    <w:rPr>
      <w:rFonts w:ascii="Liberation Serif" w:hAnsi="Liberation Serif" w:eastAsia="WenQuanYi Zen Hei Sharp" w:cs="Lohit Devanagari"/>
      <w:color w:val="00000A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Caractresdenotedebasdepage">
    <w:name w:val="Caractères de note de bas de page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Internetlink">
    <w:name w:val="Internet link"/>
    <w:qFormat/>
    <w:rPr>
      <w:color w:val="000080"/>
      <w:u w:val="single"/>
    </w:rPr>
  </w:style>
  <w:style w:type="character" w:styleId="VisitedInternetLink">
    <w:name w:val="Visited Internet Link"/>
    <w:qFormat/>
    <w:rPr>
      <w:color w:val="800000"/>
      <w:u w:val="single"/>
    </w:rPr>
  </w:style>
  <w:style w:type="character" w:styleId="EndnoteSymbol">
    <w:name w:val="Endnote Symbol"/>
    <w:qFormat/>
    <w:rPr/>
  </w:style>
  <w:style w:type="character" w:styleId="Endnoteanchor">
    <w:name w:val="Endnote anchor"/>
    <w:qFormat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>
    <w:name w:val="Commentaire Car"/>
    <w:basedOn w:val="DefaultParagraphFont"/>
    <w:qFormat/>
    <w:rPr>
      <w:rFonts w:cs="Mangal"/>
      <w:sz w:val="20"/>
      <w:szCs w:val="18"/>
    </w:rPr>
  </w:style>
  <w:style w:type="character" w:styleId="ObjetducommentaireCar">
    <w:name w:val="Objet du commentaire Car"/>
    <w:basedOn w:val="CommentaireCar"/>
    <w:qFormat/>
    <w:rPr>
      <w:rFonts w:cs="Mangal"/>
      <w:b/>
      <w:bCs/>
      <w:sz w:val="20"/>
      <w:szCs w:val="18"/>
    </w:rPr>
  </w:style>
  <w:style w:type="character" w:styleId="TextedebullesCar">
    <w:name w:val="Texte de bulles Car"/>
    <w:basedOn w:val="DefaultParagraphFont"/>
    <w:qFormat/>
    <w:rPr>
      <w:rFonts w:ascii="Segoe UI" w:hAnsi="Segoe UI" w:eastAsia="Segoe UI" w:cs="Mangal"/>
      <w:sz w:val="18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ncredenotedebasdepage">
    <w:name w:val="Ancre de note de bas de page"/>
    <w:rPr>
      <w:vertAlign w:val="superscript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next w:val="Corpsdetexte"/>
    <w:qFormat/>
    <w:pPr>
      <w:keepNext/>
      <w:widowControl w:val="false"/>
      <w:kinsoku w:val="true"/>
      <w:overflowPunct w:val="true"/>
      <w:autoSpaceDE w:val="true"/>
      <w:bidi w:val="0"/>
      <w:spacing w:before="240" w:after="120"/>
    </w:pPr>
    <w:rPr>
      <w:rFonts w:ascii="Arial" w:hAnsi="Arial" w:eastAsia="Tahoma" w:cs="Lohit Devanagari"/>
      <w:color w:val="auto"/>
      <w:sz w:val="28"/>
      <w:szCs w:val="28"/>
      <w:lang w:val="fr-FR" w:eastAsia="zh-CN" w:bidi="hi-IN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Zen Hei Sharp" w:cs="Lohit Devanagari"/>
      <w:color w:val="auto"/>
      <w:sz w:val="24"/>
      <w:szCs w:val="24"/>
      <w:lang w:val="fr-FR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entury Gothic" w:hAnsi="Century Gothic" w:cs="Lohit Devanagari"/>
      <w:i/>
      <w:iCs/>
      <w:sz w:val="24"/>
      <w:szCs w:val="24"/>
    </w:rPr>
  </w:style>
  <w:style w:type="paragraph" w:styleId="Index">
    <w:name w:val="Index"/>
    <w:qFormat/>
    <w:pPr>
      <w:widowControl w:val="false"/>
      <w:suppressLineNumbers/>
      <w:kinsoku w:val="true"/>
      <w:overflowPunct w:val="true"/>
      <w:autoSpaceDE w:val="true"/>
      <w:bidi w:val="0"/>
    </w:pPr>
    <w:rPr>
      <w:rFonts w:ascii="Liberation Serif" w:hAnsi="Liberation Serif" w:eastAsia="WenQuanYi Zen Hei Sharp" w:cs="Lohit Devanagari"/>
      <w:color w:val="auto"/>
      <w:sz w:val="24"/>
      <w:szCs w:val="24"/>
      <w:lang w:val="fr-FR" w:eastAsia="zh-CN" w:bidi="hi-IN"/>
    </w:rPr>
  </w:style>
  <w:style w:type="paragraph" w:styleId="Standard">
    <w:name w:val="Standard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WenQuanYi Zen Hei Sharp" w:cs="Lohit Devanagari"/>
      <w:color w:val="00000A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widowControl/>
      <w:spacing w:lineRule="auto" w:line="360"/>
      <w:ind w:left="0" w:right="113" w:hanging="0"/>
      <w:jc w:val="both"/>
    </w:pPr>
    <w:rPr>
      <w:rFonts w:ascii="Times New Roman" w:hAnsi="Times New Roman" w:eastAsia="Times New Roman" w:cs="Times New Roman"/>
      <w:sz w:val="22"/>
    </w:rPr>
  </w:style>
  <w:style w:type="paragraph" w:styleId="Caption">
    <w:name w:val="caption"/>
    <w:basedOn w:val="Standard"/>
    <w:qFormat/>
    <w:pPr>
      <w:widowControl/>
      <w:suppressLineNumbers/>
      <w:spacing w:before="120" w:after="120"/>
      <w:jc w:val="both"/>
    </w:pPr>
    <w:rPr>
      <w:rFonts w:ascii="Times New Roman" w:hAnsi="Times New Roman" w:eastAsia="Times New Roman" w:cs="Times New Roman"/>
      <w:iCs/>
      <w:sz w:val="18"/>
    </w:rPr>
  </w:style>
  <w:style w:type="paragraph" w:styleId="Titreprincipal">
    <w:name w:val="Title"/>
    <w:basedOn w:val="Standard"/>
    <w:qFormat/>
    <w:pPr>
      <w:spacing w:before="238" w:after="850"/>
      <w:jc w:val="center"/>
    </w:pPr>
    <w:rPr>
      <w:rFonts w:ascii="Linux Biolinum O" w:hAnsi="Linux Biolinum O" w:eastAsia="Linux Biolinum O" w:cs="Linux Biolinum O"/>
      <w:b/>
      <w:bCs/>
      <w:smallCaps/>
      <w:sz w:val="32"/>
      <w:szCs w:val="36"/>
    </w:rPr>
  </w:style>
  <w:style w:type="paragraph" w:styleId="Quotations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Standard"/>
    <w:qFormat/>
    <w:pPr>
      <w:jc w:val="center"/>
    </w:pPr>
    <w:rPr>
      <w:i/>
      <w:iCs/>
      <w:sz w:val="28"/>
      <w:szCs w:val="28"/>
    </w:rPr>
  </w:style>
  <w:style w:type="paragraph" w:styleId="Footnotetext">
    <w:name w:val="footnote text"/>
    <w:basedOn w:val="Standard"/>
    <w:qFormat/>
    <w:pPr>
      <w:suppressLineNumbers/>
      <w:jc w:val="both"/>
    </w:pPr>
    <w:rPr>
      <w:rFonts w:ascii="Times New Roman" w:hAnsi="Times New Roman" w:eastAsia="Times New Roman" w:cs="Times New Roman"/>
      <w:sz w:val="18"/>
      <w:szCs w:val="20"/>
    </w:rPr>
  </w:style>
  <w:style w:type="paragraph" w:styleId="Pieddepage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>
      <w:rFonts w:ascii="Linux Libertine O" w:hAnsi="Linux Libertine O" w:eastAsia="Linux Libertine O" w:cs="Linux Libertine O"/>
      <w:sz w:val="20"/>
    </w:rPr>
  </w:style>
  <w:style w:type="paragraph" w:styleId="Code">
    <w:name w:val="Code"/>
    <w:basedOn w:val="Textbody"/>
    <w:qFormat/>
    <w:pPr>
      <w:jc w:val="left"/>
    </w:pPr>
    <w:rPr>
      <w:rFonts w:ascii="Inconsolata" w:hAnsi="Inconsolata" w:eastAsia="Inconsolata" w:cs="Inconsolata"/>
      <w:sz w:val="20"/>
    </w:rPr>
  </w:style>
  <w:style w:type="paragraph" w:styleId="Tableau">
    <w:name w:val="Tableau"/>
    <w:basedOn w:val="Caption"/>
    <w:qFormat/>
    <w:pPr>
      <w:keepNext/>
    </w:pPr>
    <w:rPr>
      <w:rFonts w:ascii="Linux Biolinum O" w:hAnsi="Linux Biolinum O" w:eastAsia="Linux Biolinum O" w:cs="Linux Biolinum O"/>
      <w:b/>
    </w:rPr>
  </w:style>
  <w:style w:type="paragraph" w:styleId="Illustration">
    <w:name w:val="Illustration"/>
    <w:basedOn w:val="Caption"/>
    <w:qFormat/>
    <w:pPr>
      <w:keepNext/>
    </w:pPr>
    <w:rPr/>
  </w:style>
  <w:style w:type="paragraph" w:styleId="Contenudetableau">
    <w:name w:val="Contenu de tableau"/>
    <w:basedOn w:val="Standard"/>
    <w:qFormat/>
    <w:pPr>
      <w:suppressLineNumbers/>
    </w:pPr>
    <w:rPr>
      <w:rFonts w:ascii="Linux Libertine O" w:hAnsi="Linux Libertine O" w:eastAsia="Linux Libertine O" w:cs="Linux Libertine O"/>
      <w:sz w:val="20"/>
    </w:rPr>
  </w:style>
  <w:style w:type="paragraph" w:styleId="Figure">
    <w:name w:val="Figure"/>
    <w:basedOn w:val="Caption"/>
    <w:qFormat/>
    <w:pPr>
      <w:keepNext/>
    </w:pPr>
    <w:rPr>
      <w:b/>
      <w:sz w:val="22"/>
    </w:rPr>
  </w:style>
  <w:style w:type="paragraph" w:styleId="Contenudetableaudroite">
    <w:name w:val="Contenu de tableau droite"/>
    <w:basedOn w:val="Contenudetableau"/>
    <w:qFormat/>
    <w:pPr>
      <w:jc w:val="right"/>
    </w:pPr>
    <w:rPr/>
  </w:style>
  <w:style w:type="paragraph" w:styleId="Titredetableaudroite">
    <w:name w:val="Titre de tableau droite"/>
    <w:basedOn w:val="Titredetableau"/>
    <w:qFormat/>
    <w:pPr>
      <w:jc w:val="right"/>
    </w:pPr>
    <w:rPr/>
  </w:style>
  <w:style w:type="paragraph" w:styleId="Titredetableau">
    <w:name w:val="Titre de tableau"/>
    <w:basedOn w:val="Contenudetableau"/>
    <w:qFormat/>
    <w:pPr>
      <w:keepNext/>
      <w:jc w:val="center"/>
    </w:pPr>
    <w:rPr>
      <w:b/>
      <w:bCs/>
    </w:rPr>
  </w:style>
  <w:style w:type="paragraph" w:styleId="Bibliographie1">
    <w:name w:val="Bibliographie 1"/>
    <w:basedOn w:val="Index"/>
    <w:qFormat/>
    <w:pPr>
      <w:widowControl/>
      <w:jc w:val="both"/>
    </w:pPr>
    <w:rPr>
      <w:rFonts w:ascii="Times New Roman" w:hAnsi="Times New Roman" w:eastAsia="Times New Roman" w:cs="Times New Roman"/>
      <w:sz w:val="20"/>
    </w:rPr>
  </w:style>
  <w:style w:type="paragraph" w:styleId="Encadr">
    <w:name w:val="Encadré"/>
    <w:basedOn w:val="Caption"/>
    <w:qFormat/>
    <w:pPr>
      <w:keepNext/>
      <w:spacing w:before="119" w:after="0"/>
    </w:pPr>
    <w:rPr>
      <w:b/>
      <w:sz w:val="22"/>
    </w:rPr>
  </w:style>
  <w:style w:type="paragraph" w:styleId="Contenudencadr">
    <w:name w:val="Contenu d'encadré"/>
    <w:basedOn w:val="Textbody"/>
    <w:qFormat/>
    <w:pPr>
      <w:spacing w:lineRule="auto" w:line="240"/>
    </w:pPr>
    <w:rPr/>
  </w:style>
  <w:style w:type="paragraph" w:styleId="Entte">
    <w:name w:val="Head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exteprformat">
    <w:name w:val="Texte préformaté"/>
    <w:basedOn w:val="Standard"/>
    <w:qFormat/>
    <w:pPr/>
    <w:rPr/>
  </w:style>
  <w:style w:type="paragraph" w:styleId="Endnotetext">
    <w:name w:val="endnote text"/>
    <w:basedOn w:val="Standard"/>
    <w:qFormat/>
    <w:pPr/>
    <w:rPr/>
  </w:style>
  <w:style w:type="paragraph" w:styleId="ArialCenteredBold">
    <w:name w:val="ArialCenteredBold"/>
    <w:qFormat/>
    <w:pPr>
      <w:widowControl/>
      <w:kinsoku w:val="true"/>
      <w:overflowPunct w:val="false"/>
      <w:autoSpaceDE w:val="true"/>
      <w:bidi w:val="0"/>
      <w:jc w:val="center"/>
    </w:pPr>
    <w:rPr>
      <w:rFonts w:ascii="Arial" w:hAnsi="Arial" w:eastAsia="Arial" w:cs="Arial"/>
      <w:b/>
      <w:color w:val="000000"/>
      <w:sz w:val="24"/>
      <w:szCs w:val="24"/>
      <w:lang w:val="fr-FR" w:eastAsia="zh-CN" w:bidi="hi-IN"/>
    </w:rPr>
  </w:style>
  <w:style w:type="paragraph" w:styleId="ArialNormal">
    <w:name w:val="ArialNormal"/>
    <w:qFormat/>
    <w:pPr>
      <w:widowControl/>
      <w:kinsoku w:val="true"/>
      <w:overflowPunct w:val="false"/>
      <w:autoSpaceDE w:val="true"/>
      <w:bidi w:val="0"/>
      <w:jc w:val="left"/>
    </w:pPr>
    <w:rPr>
      <w:rFonts w:ascii="Arial" w:hAnsi="Arial" w:eastAsia="Arial" w:cs="Arial"/>
      <w:color w:val="000000"/>
      <w:sz w:val="24"/>
      <w:szCs w:val="24"/>
      <w:lang w:val="fr-FR" w:eastAsia="zh-CN" w:bidi="hi-IN"/>
    </w:rPr>
  </w:style>
  <w:style w:type="paragraph" w:styleId="ArialCentered">
    <w:name w:val="ArialCentered"/>
    <w:qFormat/>
    <w:pPr>
      <w:widowControl/>
      <w:kinsoku w:val="true"/>
      <w:overflowPunct w:val="false"/>
      <w:autoSpaceDE w:val="true"/>
      <w:bidi w:val="0"/>
      <w:jc w:val="center"/>
    </w:pPr>
    <w:rPr>
      <w:rFonts w:ascii="Arial" w:hAnsi="Arial" w:eastAsia="Arial" w:cs="Arial"/>
      <w:color w:val="000000"/>
      <w:sz w:val="24"/>
      <w:szCs w:val="24"/>
      <w:lang w:val="fr-FR" w:eastAsia="zh-CN" w:bidi="hi-IN"/>
    </w:rPr>
  </w:style>
  <w:style w:type="paragraph" w:styleId="ArialHighlight">
    <w:name w:val="ArialHighlight"/>
    <w:qFormat/>
    <w:pPr>
      <w:widowControl/>
      <w:kinsoku w:val="true"/>
      <w:overflowPunct w:val="false"/>
      <w:autoSpaceDE w:val="true"/>
      <w:bidi w:val="0"/>
      <w:jc w:val="center"/>
    </w:pPr>
    <w:rPr>
      <w:rFonts w:ascii="Arial" w:hAnsi="Arial" w:eastAsia="Arial" w:cs="Arial"/>
      <w:b/>
      <w:color w:val="FF0000"/>
      <w:sz w:val="24"/>
      <w:szCs w:val="24"/>
      <w:lang w:val="fr-FR" w:eastAsia="zh-CN" w:bidi="hi-IN"/>
    </w:rPr>
  </w:style>
  <w:style w:type="paragraph" w:styleId="TtBlue">
    <w:name w:val="ttBlue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WenQuanYi Zen Hei Sharp" w:cs="Lohit Devanagari"/>
      <w:color w:val="000080"/>
      <w:sz w:val="20"/>
      <w:szCs w:val="24"/>
      <w:lang w:val="fr-FR" w:eastAsia="zh-CN" w:bidi="hi-IN"/>
    </w:rPr>
  </w:style>
  <w:style w:type="paragraph" w:styleId="TtRed">
    <w:name w:val="ttRed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WenQuanYi Zen Hei Sharp" w:cs="Lohit Devanagari"/>
      <w:color w:val="800000"/>
      <w:sz w:val="20"/>
      <w:szCs w:val="24"/>
      <w:lang w:val="fr-FR" w:eastAsia="zh-CN" w:bidi="hi-IN"/>
    </w:rPr>
  </w:style>
  <w:style w:type="paragraph" w:styleId="Annotationtext">
    <w:name w:val="annotation text"/>
    <w:basedOn w:val="Standard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WenQuanYi Zen Hei Sharp" w:cs="Mangal"/>
      <w:color w:val="00000A"/>
      <w:sz w:val="24"/>
      <w:szCs w:val="21"/>
      <w:lang w:val="fr-FR" w:eastAsia="zh-CN" w:bidi="hi-IN"/>
    </w:rPr>
  </w:style>
  <w:style w:type="paragraph" w:styleId="BalloonText">
    <w:name w:val="Balloon Text"/>
    <w:basedOn w:val="Standard"/>
    <w:qFormat/>
    <w:pPr/>
    <w:rPr>
      <w:rFonts w:ascii="Segoe UI" w:hAnsi="Segoe UI" w:eastAsia="Segoe UI" w:cs="Mangal"/>
      <w:sz w:val="18"/>
      <w:szCs w:val="16"/>
    </w:rPr>
  </w:style>
  <w:style w:type="paragraph" w:styleId="Footnote">
    <w:name w:val="Footnote"/>
    <w:basedOn w:val="Standard"/>
    <w:qFormat/>
    <w:pPr/>
    <w:rPr/>
  </w:style>
  <w:style w:type="paragraph" w:styleId="Contenudecadre">
    <w:name w:val="Contenu de cadre"/>
    <w:basedOn w:val="Standard"/>
    <w:qFormat/>
    <w:pPr/>
    <w:rPr/>
  </w:style>
  <w:style w:type="paragraph" w:styleId="Notedebasdepage">
    <w:name w:val="Footnote Text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scatterChart>
        <c:scatterStyle val="line"/>
        <c:varyColors val="0"/>
        <c:ser>
          <c:idx val="0"/>
          <c:order val="0"/>
          <c:tx>
            <c:strRef>
              <c:f>label 2</c:f>
              <c:strCache>
                <c:ptCount val="1"/>
                <c:pt idx="0">
                  <c:v>Coefficient de variation des salaires des femmes en couple</c:v>
                </c:pt>
              </c:strCache>
            </c:strRef>
          </c:tx>
          <c:spPr>
            <a:solidFill>
              <a:srgbClr val="000000"/>
            </a:solidFill>
            <a:ln w="25200">
              <a:solidFill>
                <a:srgbClr val="000000"/>
              </a:solidFill>
              <a:custDash/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xVal>
            <c:numRef>
              <c:f>0</c:f>
              <c:numCache>
                <c:formatCode>General</c:formatCode>
                <c:ptCount val="4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  <c:pt idx="22">
                  <c:v>15</c:v>
                </c:pt>
                <c:pt idx="23">
                  <c:v>16</c:v>
                </c:pt>
                <c:pt idx="24">
                  <c:v>17</c:v>
                </c:pt>
                <c:pt idx="25">
                  <c:v>18</c:v>
                </c:pt>
                <c:pt idx="26">
                  <c:v>19</c:v>
                </c:pt>
                <c:pt idx="27">
                  <c:v>20</c:v>
                </c:pt>
                <c:pt idx="28">
                  <c:v>21</c:v>
                </c:pt>
                <c:pt idx="29">
                  <c:v>22</c:v>
                </c:pt>
                <c:pt idx="30">
                  <c:v>23</c:v>
                </c:pt>
                <c:pt idx="31">
                  <c:v>24</c:v>
                </c:pt>
                <c:pt idx="32">
                  <c:v>25</c:v>
                </c:pt>
                <c:pt idx="33">
                  <c:v>26</c:v>
                </c:pt>
                <c:pt idx="34">
                  <c:v>27</c:v>
                </c:pt>
                <c:pt idx="35">
                  <c:v>28</c:v>
                </c:pt>
                <c:pt idx="36">
                  <c:v>29</c:v>
                </c:pt>
                <c:pt idx="37">
                  <c:v>30</c:v>
                </c:pt>
                <c:pt idx="38">
                  <c:v>31</c:v>
                </c:pt>
                <c:pt idx="39">
                  <c:v>32</c:v>
                </c:pt>
                <c:pt idx="40">
                  <c:v>33</c:v>
                </c:pt>
                <c:pt idx="41">
                  <c:v>34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42"/>
                <c:pt idx="0">
                  <c:v>1.20206213342391</c:v>
                </c:pt>
                <c:pt idx="1">
                  <c:v>1.20050847983997</c:v>
                </c:pt>
                <c:pt idx="2">
                  <c:v>1.16640292585746</c:v>
                </c:pt>
                <c:pt idx="3">
                  <c:v>1.14461267299075</c:v>
                </c:pt>
                <c:pt idx="4">
                  <c:v>1.16353460024198</c:v>
                </c:pt>
                <c:pt idx="5">
                  <c:v>1.15210643613093</c:v>
                </c:pt>
                <c:pt idx="6">
                  <c:v>1.11919648905485</c:v>
                </c:pt>
                <c:pt idx="7">
                  <c:v>1.12203622223056</c:v>
                </c:pt>
                <c:pt idx="8">
                  <c:v/>
                </c:pt>
                <c:pt idx="9">
                  <c:v>1.08686558594148</c:v>
                </c:pt>
                <c:pt idx="10">
                  <c:v>1.0545119277496</c:v>
                </c:pt>
                <c:pt idx="11">
                  <c:v>1.05622388140405</c:v>
                </c:pt>
                <c:pt idx="12">
                  <c:v>1.03343500413841</c:v>
                </c:pt>
                <c:pt idx="13">
                  <c:v>1.0342050082884</c:v>
                </c:pt>
                <c:pt idx="14">
                  <c:v>1.02633371399162</c:v>
                </c:pt>
                <c:pt idx="15">
                  <c:v>1.00189670964123</c:v>
                </c:pt>
                <c:pt idx="16">
                  <c:v>0.998566905232464</c:v>
                </c:pt>
                <c:pt idx="17">
                  <c:v>0.990836592567343</c:v>
                </c:pt>
                <c:pt idx="18">
                  <c:v>0.984936223120533</c:v>
                </c:pt>
                <c:pt idx="19">
                  <c:v>0.999260783578625</c:v>
                </c:pt>
                <c:pt idx="20">
                  <c:v>0.951691187940772</c:v>
                </c:pt>
                <c:pt idx="21">
                  <c:v>0.96825500637662</c:v>
                </c:pt>
                <c:pt idx="22">
                  <c:v/>
                </c:pt>
                <c:pt idx="23">
                  <c:v>0.911717793949593</c:v>
                </c:pt>
                <c:pt idx="24">
                  <c:v>0.892373757902164</c:v>
                </c:pt>
                <c:pt idx="25">
                  <c:v>0.882579561060065</c:v>
                </c:pt>
                <c:pt idx="26">
                  <c:v>0.87689351246778</c:v>
                </c:pt>
                <c:pt idx="27">
                  <c:v>0.833590692061851</c:v>
                </c:pt>
                <c:pt idx="28">
                  <c:v>0.81687282042802</c:v>
                </c:pt>
                <c:pt idx="29">
                  <c:v>0.841131903908972</c:v>
                </c:pt>
                <c:pt idx="30">
                  <c:v>0.811197431740346</c:v>
                </c:pt>
                <c:pt idx="31">
                  <c:v>0.815745485426156</c:v>
                </c:pt>
                <c:pt idx="32">
                  <c:v>0.803978752663513</c:v>
                </c:pt>
                <c:pt idx="33">
                  <c:v/>
                </c:pt>
                <c:pt idx="34">
                  <c:v>0.790306486427136</c:v>
                </c:pt>
                <c:pt idx="35">
                  <c:v>0.778846127720511</c:v>
                </c:pt>
                <c:pt idx="36">
                  <c:v/>
                </c:pt>
                <c:pt idx="37">
                  <c:v/>
                </c:pt>
                <c:pt idx="38">
                  <c:v/>
                </c:pt>
                <c:pt idx="39">
                  <c:v/>
                </c:pt>
                <c:pt idx="40">
                  <c:v/>
                </c:pt>
                <c:pt idx="41">
                  <c:v/>
                </c:pt>
              </c:numCache>
            </c:numRef>
          </c:y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Coefficient de variation des salaires des hommes en couple</c:v>
                </c:pt>
              </c:strCache>
            </c:strRef>
          </c:tx>
          <c:spPr>
            <a:solidFill>
              <a:srgbClr val="000000"/>
            </a:solidFill>
            <a:ln w="25200">
              <a:solidFill>
                <a:srgbClr val="000000"/>
              </a:solidFill>
              <a:custDash/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xVal>
            <c:numRef>
              <c:f>0</c:f>
              <c:numCache>
                <c:formatCode>General</c:formatCode>
                <c:ptCount val="4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  <c:pt idx="22">
                  <c:v>15</c:v>
                </c:pt>
                <c:pt idx="23">
                  <c:v>16</c:v>
                </c:pt>
                <c:pt idx="24">
                  <c:v>17</c:v>
                </c:pt>
                <c:pt idx="25">
                  <c:v>18</c:v>
                </c:pt>
                <c:pt idx="26">
                  <c:v>19</c:v>
                </c:pt>
                <c:pt idx="27">
                  <c:v>20</c:v>
                </c:pt>
                <c:pt idx="28">
                  <c:v>21</c:v>
                </c:pt>
                <c:pt idx="29">
                  <c:v>22</c:v>
                </c:pt>
                <c:pt idx="30">
                  <c:v>23</c:v>
                </c:pt>
                <c:pt idx="31">
                  <c:v>24</c:v>
                </c:pt>
                <c:pt idx="32">
                  <c:v>25</c:v>
                </c:pt>
                <c:pt idx="33">
                  <c:v>26</c:v>
                </c:pt>
                <c:pt idx="34">
                  <c:v>27</c:v>
                </c:pt>
                <c:pt idx="35">
                  <c:v>28</c:v>
                </c:pt>
                <c:pt idx="36">
                  <c:v>29</c:v>
                </c:pt>
                <c:pt idx="37">
                  <c:v>30</c:v>
                </c:pt>
                <c:pt idx="38">
                  <c:v>31</c:v>
                </c:pt>
                <c:pt idx="39">
                  <c:v>32</c:v>
                </c:pt>
                <c:pt idx="40">
                  <c:v>33</c:v>
                </c:pt>
                <c:pt idx="41">
                  <c:v>34</c:v>
                </c:pt>
              </c:numCache>
            </c:numRef>
          </c:xVal>
          <c:yVal>
            <c:numRef>
              <c:f>1</c:f>
              <c:numCache>
                <c:formatCode>General</c:formatCode>
                <c:ptCount val="42"/>
                <c:pt idx="0">
                  <c:v>0.633768645273194</c:v>
                </c:pt>
                <c:pt idx="1">
                  <c:v>0.658897915830617</c:v>
                </c:pt>
                <c:pt idx="2">
                  <c:v>0.664813552719683</c:v>
                </c:pt>
                <c:pt idx="3">
                  <c:v>0.675166012439304</c:v>
                </c:pt>
                <c:pt idx="4">
                  <c:v>0.73094155376956</c:v>
                </c:pt>
                <c:pt idx="5">
                  <c:v>0.716945495501821</c:v>
                </c:pt>
                <c:pt idx="6">
                  <c:v>0.692512515835728</c:v>
                </c:pt>
                <c:pt idx="7">
                  <c:v>0.681750717721092</c:v>
                </c:pt>
                <c:pt idx="8">
                  <c:v/>
                </c:pt>
                <c:pt idx="9">
                  <c:v>0.689058730196881</c:v>
                </c:pt>
                <c:pt idx="10">
                  <c:v>0.674067957547916</c:v>
                </c:pt>
                <c:pt idx="11">
                  <c:v>0.726258409394882</c:v>
                </c:pt>
                <c:pt idx="12">
                  <c:v>0.704079591042523</c:v>
                </c:pt>
                <c:pt idx="13">
                  <c:v>0.726190085355253</c:v>
                </c:pt>
                <c:pt idx="14">
                  <c:v>0.709349069488101</c:v>
                </c:pt>
                <c:pt idx="15">
                  <c:v>0.719174102391249</c:v>
                </c:pt>
                <c:pt idx="16">
                  <c:v>0.706812044568404</c:v>
                </c:pt>
                <c:pt idx="17">
                  <c:v>0.691806254595619</c:v>
                </c:pt>
                <c:pt idx="18">
                  <c:v>0.7066044032056</c:v>
                </c:pt>
                <c:pt idx="19">
                  <c:v>0.731470033583116</c:v>
                </c:pt>
                <c:pt idx="20">
                  <c:v>0.721864103174719</c:v>
                </c:pt>
                <c:pt idx="21">
                  <c:v>0.757957741271451</c:v>
                </c:pt>
                <c:pt idx="22">
                  <c:v/>
                </c:pt>
                <c:pt idx="23">
                  <c:v>0.726515595838514</c:v>
                </c:pt>
                <c:pt idx="24">
                  <c:v>0.747787687159649</c:v>
                </c:pt>
                <c:pt idx="25">
                  <c:v>0.727673879099058</c:v>
                </c:pt>
                <c:pt idx="26">
                  <c:v>0.719836103545532</c:v>
                </c:pt>
                <c:pt idx="27">
                  <c:v>0.682215169285268</c:v>
                </c:pt>
                <c:pt idx="28">
                  <c:v>0.673848246004267</c:v>
                </c:pt>
                <c:pt idx="29">
                  <c:v>0.702119015895</c:v>
                </c:pt>
                <c:pt idx="30">
                  <c:v>0.697424431026913</c:v>
                </c:pt>
                <c:pt idx="31">
                  <c:v>0.701508737503563</c:v>
                </c:pt>
                <c:pt idx="32">
                  <c:v>0.695141388450626</c:v>
                </c:pt>
                <c:pt idx="33">
                  <c:v/>
                </c:pt>
                <c:pt idx="34">
                  <c:v>0.680159735638737</c:v>
                </c:pt>
                <c:pt idx="35">
                  <c:v>0.687376467906862</c:v>
                </c:pt>
                <c:pt idx="36">
                  <c:v/>
                </c:pt>
                <c:pt idx="37">
                  <c:v/>
                </c:pt>
                <c:pt idx="38">
                  <c:v/>
                </c:pt>
                <c:pt idx="39">
                  <c:v/>
                </c:pt>
                <c:pt idx="40">
                  <c:v/>
                </c:pt>
                <c:pt idx="41">
                  <c:v/>
                </c:pt>
              </c:numCache>
            </c:numRef>
          </c:yVal>
          <c:smooth val="0"/>
        </c:ser>
        <c:ser>
          <c:idx val="2"/>
          <c:order val="2"/>
          <c:tx>
            <c:strRef>
              <c:f>label 3</c:f>
              <c:strCache>
                <c:ptCount val="1"/>
                <c:pt idx="0">
                  <c:v>Coefficient de variation des salaires des couples</c:v>
                </c:pt>
              </c:strCache>
            </c:strRef>
          </c:tx>
          <c:spPr>
            <a:solidFill>
              <a:srgbClr val="000000"/>
            </a:solidFill>
            <a:ln w="37800">
              <a:solidFill>
                <a:srgbClr val="000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xVal>
            <c:numRef>
              <c:f>0</c:f>
              <c:numCache>
                <c:formatCode>General</c:formatCode>
                <c:ptCount val="4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  <c:pt idx="22">
                  <c:v>15</c:v>
                </c:pt>
                <c:pt idx="23">
                  <c:v>16</c:v>
                </c:pt>
                <c:pt idx="24">
                  <c:v>17</c:v>
                </c:pt>
                <c:pt idx="25">
                  <c:v>18</c:v>
                </c:pt>
                <c:pt idx="26">
                  <c:v>19</c:v>
                </c:pt>
                <c:pt idx="27">
                  <c:v>20</c:v>
                </c:pt>
                <c:pt idx="28">
                  <c:v>21</c:v>
                </c:pt>
                <c:pt idx="29">
                  <c:v>22</c:v>
                </c:pt>
                <c:pt idx="30">
                  <c:v>23</c:v>
                </c:pt>
                <c:pt idx="31">
                  <c:v>24</c:v>
                </c:pt>
                <c:pt idx="32">
                  <c:v>25</c:v>
                </c:pt>
                <c:pt idx="33">
                  <c:v>26</c:v>
                </c:pt>
                <c:pt idx="34">
                  <c:v>27</c:v>
                </c:pt>
                <c:pt idx="35">
                  <c:v>28</c:v>
                </c:pt>
                <c:pt idx="36">
                  <c:v>29</c:v>
                </c:pt>
                <c:pt idx="37">
                  <c:v>30</c:v>
                </c:pt>
                <c:pt idx="38">
                  <c:v>31</c:v>
                </c:pt>
                <c:pt idx="39">
                  <c:v>32</c:v>
                </c:pt>
                <c:pt idx="40">
                  <c:v>33</c:v>
                </c:pt>
                <c:pt idx="41">
                  <c:v>34</c:v>
                </c:pt>
              </c:numCache>
            </c:numRef>
          </c:xVal>
          <c:yVal>
            <c:numRef>
              <c:f>3</c:f>
              <c:numCache>
                <c:formatCode>General</c:formatCode>
                <c:ptCount val="42"/>
                <c:pt idx="0">
                  <c:v>0.608902520805393</c:v>
                </c:pt>
                <c:pt idx="1">
                  <c:v>0.623757216320566</c:v>
                </c:pt>
                <c:pt idx="2">
                  <c:v>0.622749380300001</c:v>
                </c:pt>
                <c:pt idx="3">
                  <c:v>0.632882059462653</c:v>
                </c:pt>
                <c:pt idx="4">
                  <c:v>0.67205972181174</c:v>
                </c:pt>
                <c:pt idx="5">
                  <c:v>0.663953616789791</c:v>
                </c:pt>
                <c:pt idx="6">
                  <c:v>0.645669371359828</c:v>
                </c:pt>
                <c:pt idx="7">
                  <c:v>0.639500525185348</c:v>
                </c:pt>
                <c:pt idx="8">
                  <c:v/>
                </c:pt>
                <c:pt idx="9">
                  <c:v>0.635345091217363</c:v>
                </c:pt>
                <c:pt idx="10">
                  <c:v>0.622730254670915</c:v>
                </c:pt>
                <c:pt idx="11">
                  <c:v>0.644891047864652</c:v>
                </c:pt>
                <c:pt idx="12">
                  <c:v>0.629899866309753</c:v>
                </c:pt>
                <c:pt idx="13">
                  <c:v>0.64518167866201</c:v>
                </c:pt>
                <c:pt idx="14">
                  <c:v>0.642703766527655</c:v>
                </c:pt>
                <c:pt idx="15">
                  <c:v>0.633409402989749</c:v>
                </c:pt>
                <c:pt idx="16">
                  <c:v>0.627374364749952</c:v>
                </c:pt>
                <c:pt idx="17">
                  <c:v>0.620573412005494</c:v>
                </c:pt>
                <c:pt idx="18">
                  <c:v>0.628359448528467</c:v>
                </c:pt>
                <c:pt idx="19">
                  <c:v>0.642292848234053</c:v>
                </c:pt>
                <c:pt idx="20">
                  <c:v>0.639130836209623</c:v>
                </c:pt>
                <c:pt idx="21">
                  <c:v>0.653158961551604</c:v>
                </c:pt>
                <c:pt idx="22">
                  <c:v/>
                </c:pt>
                <c:pt idx="23">
                  <c:v>0.615503370553686</c:v>
                </c:pt>
                <c:pt idx="24">
                  <c:v>0.62720953280169</c:v>
                </c:pt>
                <c:pt idx="25">
                  <c:v>0.614571208760546</c:v>
                </c:pt>
                <c:pt idx="26">
                  <c:v>0.614407278267362</c:v>
                </c:pt>
                <c:pt idx="27">
                  <c:v>0.58694946084302</c:v>
                </c:pt>
                <c:pt idx="28">
                  <c:v>0.571991611810125</c:v>
                </c:pt>
                <c:pt idx="29">
                  <c:v>0.606579568108841</c:v>
                </c:pt>
                <c:pt idx="30">
                  <c:v>0.590060820844234</c:v>
                </c:pt>
                <c:pt idx="31">
                  <c:v>0.594435067710246</c:v>
                </c:pt>
                <c:pt idx="32">
                  <c:v>0.582873059832893</c:v>
                </c:pt>
                <c:pt idx="33">
                  <c:v/>
                </c:pt>
                <c:pt idx="34">
                  <c:v>0.575754672151415</c:v>
                </c:pt>
                <c:pt idx="35">
                  <c:v>0.583415408839367</c:v>
                </c:pt>
                <c:pt idx="36">
                  <c:v/>
                </c:pt>
                <c:pt idx="37">
                  <c:v/>
                </c:pt>
                <c:pt idx="38">
                  <c:v/>
                </c:pt>
                <c:pt idx="39">
                  <c:v/>
                </c:pt>
                <c:pt idx="40">
                  <c:v/>
                </c:pt>
                <c:pt idx="41">
                  <c:v/>
                </c:pt>
              </c:numCache>
            </c:numRef>
          </c:yVal>
          <c:smooth val="0"/>
        </c:ser>
        <c:ser>
          <c:idx val="3"/>
          <c:order val="3"/>
          <c:tx>
            <c:strRef>
              <c:f>label 4</c:f>
              <c:strCache>
                <c:ptCount val="1"/>
                <c:pt idx="0">
                  <c:v>Corrélation entre salaires des conjoints</c:v>
                </c:pt>
              </c:strCache>
            </c:strRef>
          </c:tx>
          <c:spPr>
            <a:solidFill>
              <a:srgbClr val="4c4c4c"/>
            </a:solidFill>
            <a:ln w="25200">
              <a:solidFill>
                <a:srgbClr val="4c4c4c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xVal>
            <c:numRef>
              <c:f>0</c:f>
              <c:numCache>
                <c:formatCode>General</c:formatCode>
                <c:ptCount val="42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  <c:pt idx="22">
                  <c:v>15</c:v>
                </c:pt>
                <c:pt idx="23">
                  <c:v>16</c:v>
                </c:pt>
                <c:pt idx="24">
                  <c:v>17</c:v>
                </c:pt>
                <c:pt idx="25">
                  <c:v>18</c:v>
                </c:pt>
                <c:pt idx="26">
                  <c:v>19</c:v>
                </c:pt>
                <c:pt idx="27">
                  <c:v>20</c:v>
                </c:pt>
                <c:pt idx="28">
                  <c:v>21</c:v>
                </c:pt>
                <c:pt idx="29">
                  <c:v>22</c:v>
                </c:pt>
                <c:pt idx="30">
                  <c:v>23</c:v>
                </c:pt>
                <c:pt idx="31">
                  <c:v>24</c:v>
                </c:pt>
                <c:pt idx="32">
                  <c:v>25</c:v>
                </c:pt>
                <c:pt idx="33">
                  <c:v>26</c:v>
                </c:pt>
                <c:pt idx="34">
                  <c:v>27</c:v>
                </c:pt>
                <c:pt idx="35">
                  <c:v>28</c:v>
                </c:pt>
                <c:pt idx="36">
                  <c:v>29</c:v>
                </c:pt>
                <c:pt idx="37">
                  <c:v>30</c:v>
                </c:pt>
                <c:pt idx="38">
                  <c:v>31</c:v>
                </c:pt>
                <c:pt idx="39">
                  <c:v>32</c:v>
                </c:pt>
                <c:pt idx="40">
                  <c:v>33</c:v>
                </c:pt>
                <c:pt idx="41">
                  <c:v>34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42"/>
                <c:pt idx="0">
                  <c:v>0.17226212190454</c:v>
                </c:pt>
                <c:pt idx="1">
                  <c:v>0.172564024181092</c:v>
                </c:pt>
                <c:pt idx="2">
                  <c:v>0.166884614368909</c:v>
                </c:pt>
                <c:pt idx="3">
                  <c:v>0.193662775460727</c:v>
                </c:pt>
                <c:pt idx="4">
                  <c:v>0.198062633842</c:v>
                </c:pt>
                <c:pt idx="5">
                  <c:v>0.208437133945336</c:v>
                </c:pt>
                <c:pt idx="6">
                  <c:v>0.213777477619804</c:v>
                </c:pt>
                <c:pt idx="7">
                  <c:v>0.216183731466864</c:v>
                </c:pt>
                <c:pt idx="8">
                  <c:v/>
                </c:pt>
                <c:pt idx="9">
                  <c:v>0.204549215788951</c:v>
                </c:pt>
                <c:pt idx="10">
                  <c:v>0.212733365169762</c:v>
                </c:pt>
                <c:pt idx="11">
                  <c:v>0.176046587484549</c:v>
                </c:pt>
                <c:pt idx="12">
                  <c:v>0.185420388164189</c:v>
                </c:pt>
                <c:pt idx="13">
                  <c:v>0.192913830955708</c:v>
                </c:pt>
                <c:pt idx="14">
                  <c:v>0.227143223071031</c:v>
                </c:pt>
                <c:pt idx="15">
                  <c:v>0.188281502668443</c:v>
                </c:pt>
                <c:pt idx="16">
                  <c:v>0.194686274079937</c:v>
                </c:pt>
                <c:pt idx="17">
                  <c:v>0.205607880758952</c:v>
                </c:pt>
                <c:pt idx="18">
                  <c:v>0.210796314409023</c:v>
                </c:pt>
                <c:pt idx="19">
                  <c:v>0.196421592599331</c:v>
                </c:pt>
                <c:pt idx="20">
                  <c:v>0.2481549057487</c:v>
                </c:pt>
                <c:pt idx="21">
                  <c:v>0.206567354226835</c:v>
                </c:pt>
                <c:pt idx="22">
                  <c:v/>
                </c:pt>
                <c:pt idx="23">
                  <c:v>0.179523598477634</c:v>
                </c:pt>
                <c:pt idx="24">
                  <c:v>0.197961222616395</c:v>
                </c:pt>
                <c:pt idx="25">
                  <c:v>0.202548454759947</c:v>
                </c:pt>
                <c:pt idx="26">
                  <c:v>0.225995565305217</c:v>
                </c:pt>
                <c:pt idx="27">
                  <c:v>0.243737720177468</c:v>
                </c:pt>
                <c:pt idx="28">
                  <c:v>0.216881104450175</c:v>
                </c:pt>
                <c:pt idx="29">
                  <c:v>0.274111112985426</c:v>
                </c:pt>
                <c:pt idx="30">
                  <c:v>0.248266101518976</c:v>
                </c:pt>
                <c:pt idx="31">
                  <c:v>0.252616565702594</c:v>
                </c:pt>
                <c:pt idx="32">
                  <c:v>0.229353885931326</c:v>
                </c:pt>
                <c:pt idx="33">
                  <c:v/>
                </c:pt>
                <c:pt idx="34">
                  <c:v>0.251185156922769</c:v>
                </c:pt>
                <c:pt idx="35">
                  <c:v>0.28350172012996</c:v>
                </c:pt>
                <c:pt idx="36">
                  <c:v/>
                </c:pt>
                <c:pt idx="37">
                  <c:v/>
                </c:pt>
                <c:pt idx="38">
                  <c:v/>
                </c:pt>
                <c:pt idx="39">
                  <c:v/>
                </c:pt>
                <c:pt idx="40">
                  <c:v/>
                </c:pt>
                <c:pt idx="41">
                  <c:v/>
                </c:pt>
              </c:numCache>
            </c:numRef>
          </c:yVal>
          <c:smooth val="0"/>
        </c:ser>
        <c:axId val="13006507"/>
        <c:axId val="11254119"/>
      </c:scatterChart>
      <c:valAx>
        <c:axId val="13006507"/>
        <c:scaling>
          <c:orientation val="minMax"/>
          <c:max val="2015"/>
          <c:min val="1980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2e3436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11254119"/>
        <c:crosses val="autoZero"/>
        <c:crossBetween val="midCat"/>
      </c:valAx>
      <c:valAx>
        <c:axId val="1125411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title>
          <c:tx>
            <c:rich>
              <a:bodyPr rot="-5400000"/>
              <a:lstStyle/>
              <a:p>
                <a:pPr>
                  <a:defRPr b="0" sz="900" spc="-1" strike="noStrike">
                    <a:solidFill>
                      <a:srgbClr val="2e3436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defRPr>
                </a:pPr>
                <a:r>
                  <a:rPr b="0" sz="900" spc="-1" strike="noStrike">
                    <a:solidFill>
                      <a:srgbClr val="2e3436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rPr>
                  <a:t>Coefficient de variation ou de corrélation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2e3436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13006507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7F6C19AB</Template>
  <TotalTime>79</TotalTime>
  <Application>LibreOffice/5.2.6.2$Linux_X86_64 LibreOffice_project/20$Build-2</Application>
  <Pages>1</Pages>
  <Words>3</Words>
  <Characters>5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2017-03-28T16:35:00Z</dcterms:created>
  <dc:creator>Milan Bouchet-Valat</dc:creator>
  <dc:description/>
  <dc:language>fr-FR</dc:language>
  <cp:lastModifiedBy>Milan Bouchet-Valat</cp:lastModifiedBy>
  <dcterms:modified xsi:type="dcterms:W3CDTF">2017-04-06T13:30:37Z</dcterms:modified>
  <cp:revision>28</cp:revision>
  <dc:subject/>
  <dc:title>La hausse de l’activité féminine diminue-t-elle les inégalités de salaire entre et au sein des couples 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TexMathsIgnorePreamble">
    <vt:lpwstr>FALSE</vt:lpwstr>
  </property>
  <property fmtid="{D5CDD505-2E9C-101B-9397-08002B2CF9AE}" pid="9" name="TexMathsPreamble">
    <vt:lpwstr>\usepackage{newtxtext} % T1, lining figures so math uses lf§% \usepackage{textcomp} % required for special glyphs§% \usepackage{mathcomp} % pour utiliser textcomp dans les formules math§\usepackage{amsmath}§\usepackage[libertine,varg,cmintegrals,cmbraces]</vt:lpwstr>
  </property>
  <property fmtid="{D5CDD505-2E9C-101B-9397-08002B2CF9AE}" pid="10" name="ZOTERO_PREF_1">
    <vt:lpwstr>&lt;data data-version="3" zotero-version="4.0.29.10"&gt;&lt;session id="uDD9mcyq"/&gt;&lt;style id="apa-perso" locale="fr-FR" hasBibliography="1" bibliographyStyleHasBeenSet="1"/&gt;&lt;prefs&gt;&lt;pref name="fieldType" value="ReferenceMark"/&gt;&lt;pref name="storeReferences" value="tr</vt:lpwstr>
  </property>
  <property fmtid="{D5CDD505-2E9C-101B-9397-08002B2CF9AE}" pid="11" name="ZOTERO_PREF_2">
    <vt:lpwstr>ue"/&gt;&lt;pref name="automaticJournalAbbreviations" value="true"/&gt;&lt;pref name="noteType" value=""/&gt;&lt;/prefs&gt;&lt;/data&gt;</vt:lpwstr>
  </property>
</Properties>
</file>