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04" w:rsidRPr="0024092F" w:rsidRDefault="00331D04" w:rsidP="00331D04">
      <w:pPr>
        <w:spacing w:after="0"/>
        <w:jc w:val="both"/>
        <w:rPr>
          <w:rFonts w:ascii="Arial" w:eastAsia="Times New Roman" w:hAnsi="Arial" w:cs="Arial"/>
          <w:color w:val="339933"/>
          <w:lang w:eastAsia="es-ES"/>
          <w14:textFill>
            <w14:solidFill>
              <w14:srgbClr w14:val="339933">
                <w14:lumMod w14:val="75000"/>
              </w14:srgbClr>
            </w14:solidFill>
          </w14:textFill>
        </w:rPr>
      </w:pPr>
      <w:r w:rsidRPr="0024092F">
        <w:rPr>
          <w:rFonts w:ascii="Arial" w:eastAsia="Times New Roman" w:hAnsi="Arial" w:cs="Arial"/>
          <w:b/>
          <w:color w:val="339933"/>
          <w:lang w:eastAsia="es-ES"/>
          <w14:textFill>
            <w14:solidFill>
              <w14:srgbClr w14:val="339933">
                <w14:lumMod w14:val="75000"/>
              </w14:srgbClr>
            </w14:solidFill>
          </w14:textFill>
        </w:rPr>
        <w:t>Sobre la pregunta 2:</w:t>
      </w:r>
      <w:r w:rsidRPr="0024092F">
        <w:rPr>
          <w:rFonts w:ascii="Arial" w:eastAsia="Times New Roman" w:hAnsi="Arial" w:cs="Arial"/>
          <w:color w:val="339933"/>
          <w:lang w:eastAsia="es-ES"/>
          <w14:textFill>
            <w14:solidFill>
              <w14:srgbClr w14:val="339933">
                <w14:lumMod w14:val="75000"/>
              </w14:srgbClr>
            </w14:solidFill>
          </w14:textFill>
        </w:rPr>
        <w:t xml:space="preserve"> No basta con enumerar las Debilidades, Amenazas, Fortalezas y Oportunidades de Campofrío. Se deben integrar las estrategias según el ejemplo que les envié en Excel. </w:t>
      </w:r>
      <w:r w:rsidR="00076CA6">
        <w:rPr>
          <w:rFonts w:ascii="Arial" w:eastAsia="Times New Roman" w:hAnsi="Arial" w:cs="Arial"/>
          <w:color w:val="339933"/>
          <w:lang w:eastAsia="es-ES"/>
          <w14:textFill>
            <w14:solidFill>
              <w14:srgbClr w14:val="339933">
                <w14:lumMod w14:val="75000"/>
              </w14:srgbClr>
            </w14:solidFill>
          </w14:textFill>
        </w:rPr>
        <w:t>Aprovechando el análisis DAFO del borrador, este s</w:t>
      </w:r>
      <w:r w:rsidRPr="0024092F">
        <w:rPr>
          <w:rFonts w:ascii="Arial" w:eastAsia="Times New Roman" w:hAnsi="Arial" w:cs="Arial"/>
          <w:color w:val="339933"/>
          <w:lang w:eastAsia="es-ES"/>
          <w14:textFill>
            <w14:solidFill>
              <w14:srgbClr w14:val="339933">
                <w14:lumMod w14:val="75000"/>
              </w14:srgbClr>
            </w14:solidFill>
          </w14:textFill>
        </w:rPr>
        <w:t>e podría interpretar de la siguiente forma:</w:t>
      </w:r>
    </w:p>
    <w:p w:rsidR="00331D04" w:rsidRPr="0024092F" w:rsidRDefault="00331D04" w:rsidP="00331D04">
      <w:pPr>
        <w:spacing w:after="0"/>
        <w:jc w:val="both"/>
        <w:rPr>
          <w:rFonts w:ascii="Arial" w:eastAsia="Times New Roman" w:hAnsi="Arial" w:cs="Arial"/>
          <w:color w:val="339933"/>
          <w:lang w:eastAsia="es-ES"/>
          <w14:textFill>
            <w14:solidFill>
              <w14:srgbClr w14:val="339933">
                <w14:lumMod w14:val="75000"/>
              </w14:srgbClr>
            </w14:solidFill>
          </w14:textFill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868"/>
        <w:gridCol w:w="3321"/>
        <w:gridCol w:w="2847"/>
      </w:tblGrid>
      <w:tr w:rsidR="00331D04" w:rsidRPr="00331D04" w:rsidTr="00331D04">
        <w:trPr>
          <w:trHeight w:val="425"/>
          <w:tblHeader/>
        </w:trPr>
        <w:tc>
          <w:tcPr>
            <w:tcW w:w="1776" w:type="pct"/>
            <w:gridSpan w:val="2"/>
            <w:vMerge w:val="restart"/>
            <w:tcBorders>
              <w:top w:val="single" w:sz="12" w:space="0" w:color="948A54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000000" w:fill="9BBB59"/>
            <w:textDirection w:val="btLr"/>
            <w:vAlign w:val="center"/>
          </w:tcPr>
          <w:p w:rsidR="00331D04" w:rsidRPr="0024092F" w:rsidRDefault="00076CA6" w:rsidP="005236F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  <w:r w:rsidRPr="00076CA6">
              <w:rPr>
                <w:rFonts w:ascii="Calibri" w:eastAsia="Times New Roman" w:hAnsi="Calibri" w:cs="Calibri"/>
                <w:b/>
                <w:bCs/>
                <w:color w:val="339933"/>
                <w:sz w:val="36"/>
                <w:szCs w:val="16"/>
                <w:lang w:val="es-CO" w:eastAsia="es-CO"/>
              </w:rPr>
              <w:t>DAFO CAMPOFRIO</w:t>
            </w:r>
          </w:p>
        </w:tc>
        <w:tc>
          <w:tcPr>
            <w:tcW w:w="1736" w:type="pct"/>
            <w:tcBorders>
              <w:top w:val="single" w:sz="12" w:space="0" w:color="948A54"/>
              <w:left w:val="nil"/>
              <w:bottom w:val="single" w:sz="12" w:space="0" w:color="948A54"/>
              <w:right w:val="single" w:sz="12" w:space="0" w:color="948A54"/>
            </w:tcBorders>
            <w:shd w:val="clear" w:color="000000" w:fill="4F81BD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s-CO" w:eastAsia="es-CO"/>
              </w:rPr>
              <w:t>Fortalezas</w:t>
            </w:r>
          </w:p>
        </w:tc>
        <w:tc>
          <w:tcPr>
            <w:tcW w:w="1488" w:type="pct"/>
            <w:tcBorders>
              <w:top w:val="single" w:sz="12" w:space="0" w:color="948A54"/>
              <w:left w:val="nil"/>
              <w:bottom w:val="single" w:sz="12" w:space="0" w:color="948A54"/>
              <w:right w:val="single" w:sz="12" w:space="0" w:color="948A54"/>
            </w:tcBorders>
            <w:shd w:val="clear" w:color="000000" w:fill="4F81BD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s-CO" w:eastAsia="es-CO"/>
              </w:rPr>
              <w:t>Debilidades</w:t>
            </w:r>
          </w:p>
        </w:tc>
      </w:tr>
      <w:tr w:rsidR="00331D04" w:rsidRPr="00331D04" w:rsidTr="00331D04">
        <w:trPr>
          <w:trHeight w:val="894"/>
          <w:tblHeader/>
        </w:trPr>
        <w:tc>
          <w:tcPr>
            <w:tcW w:w="1776" w:type="pct"/>
            <w:gridSpan w:val="2"/>
            <w:vMerge/>
            <w:tcBorders>
              <w:top w:val="single" w:sz="12" w:space="0" w:color="948A54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1. Internacionalización que le propicia un acceso a las economías de escala.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1. Incremento de los gastos de producción, mano de obra y nuevas tecnologías (</w:t>
            </w:r>
            <w:proofErr w:type="spellStart"/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I+d+i</w:t>
            </w:r>
            <w:proofErr w:type="spellEnd"/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)</w:t>
            </w:r>
            <w:proofErr w:type="gramStart"/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,a</w:t>
            </w:r>
            <w:proofErr w:type="gramEnd"/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 xml:space="preserve"> la larga puede convertirse en una amenaza.</w:t>
            </w:r>
          </w:p>
        </w:tc>
      </w:tr>
      <w:tr w:rsidR="00331D04" w:rsidRPr="00331D04" w:rsidTr="00331D04">
        <w:trPr>
          <w:trHeight w:val="459"/>
          <w:tblHeader/>
        </w:trPr>
        <w:tc>
          <w:tcPr>
            <w:tcW w:w="1776" w:type="pct"/>
            <w:gridSpan w:val="2"/>
            <w:vMerge/>
            <w:tcBorders>
              <w:top w:val="single" w:sz="12" w:space="0" w:color="948A54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 xml:space="preserve">2. Dispone de centros tecnológicos y programas de </w:t>
            </w:r>
            <w:proofErr w:type="spellStart"/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I+D+i</w:t>
            </w:r>
            <w:proofErr w:type="spellEnd"/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 xml:space="preserve"> consolidados.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2. Alta dependencia de la fluctuación de costes de productos cárnicos.</w:t>
            </w:r>
          </w:p>
        </w:tc>
        <w:bookmarkStart w:id="0" w:name="_GoBack"/>
        <w:bookmarkEnd w:id="0"/>
      </w:tr>
      <w:tr w:rsidR="00331D04" w:rsidRPr="00331D04" w:rsidTr="00331D04">
        <w:trPr>
          <w:trHeight w:val="459"/>
          <w:tblHeader/>
        </w:trPr>
        <w:tc>
          <w:tcPr>
            <w:tcW w:w="1776" w:type="pct"/>
            <w:gridSpan w:val="2"/>
            <w:vMerge/>
            <w:tcBorders>
              <w:top w:val="single" w:sz="12" w:space="0" w:color="948A54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3. Dispone de una estructura logística y comercial bien desarrollada.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 </w:t>
            </w:r>
          </w:p>
        </w:tc>
      </w:tr>
      <w:tr w:rsidR="00331D04" w:rsidRPr="00331D04" w:rsidTr="00331D04">
        <w:trPr>
          <w:trHeight w:val="459"/>
          <w:tblHeader/>
        </w:trPr>
        <w:tc>
          <w:tcPr>
            <w:tcW w:w="1776" w:type="pct"/>
            <w:gridSpan w:val="2"/>
            <w:vMerge/>
            <w:tcBorders>
              <w:top w:val="single" w:sz="12" w:space="0" w:color="948A54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4. Es propietario de la tecnología de producción y organización principal.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 </w:t>
            </w:r>
          </w:p>
        </w:tc>
      </w:tr>
      <w:tr w:rsidR="00331D04" w:rsidRPr="00331D04" w:rsidTr="00331D04">
        <w:trPr>
          <w:trHeight w:val="459"/>
          <w:tblHeader/>
        </w:trPr>
        <w:tc>
          <w:tcPr>
            <w:tcW w:w="1776" w:type="pct"/>
            <w:gridSpan w:val="2"/>
            <w:vMerge/>
            <w:tcBorders>
              <w:top w:val="single" w:sz="12" w:space="0" w:color="948A54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5. Diversidad de productos respondiendo a la demanda de los consumidores.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 </w:t>
            </w:r>
          </w:p>
        </w:tc>
      </w:tr>
      <w:tr w:rsidR="00331D04" w:rsidRPr="00331D04" w:rsidTr="00331D04">
        <w:trPr>
          <w:trHeight w:val="310"/>
          <w:tblHeader/>
        </w:trPr>
        <w:tc>
          <w:tcPr>
            <w:tcW w:w="1776" w:type="pct"/>
            <w:gridSpan w:val="2"/>
            <w:vMerge/>
            <w:tcBorders>
              <w:top w:val="single" w:sz="12" w:space="0" w:color="948A54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single" w:sz="12" w:space="0" w:color="948A54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6. Potencia la imagen de calidad y producto sano.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12" w:space="0" w:color="948A54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 </w:t>
            </w:r>
          </w:p>
        </w:tc>
      </w:tr>
      <w:tr w:rsidR="00331D04" w:rsidRPr="00331D04" w:rsidTr="00331D04">
        <w:trPr>
          <w:trHeight w:val="310"/>
          <w:tblHeader/>
        </w:trPr>
        <w:tc>
          <w:tcPr>
            <w:tcW w:w="277" w:type="pct"/>
            <w:vMerge w:val="restart"/>
            <w:tcBorders>
              <w:top w:val="nil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000000" w:fill="4F81BD"/>
            <w:noWrap/>
            <w:textDirection w:val="btLr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s-CO" w:eastAsia="es-CO"/>
              </w:rPr>
              <w:t>Oportunidades</w:t>
            </w:r>
          </w:p>
        </w:tc>
        <w:tc>
          <w:tcPr>
            <w:tcW w:w="1499" w:type="pct"/>
            <w:tcBorders>
              <w:top w:val="single" w:sz="12" w:space="0" w:color="948A54"/>
              <w:left w:val="nil"/>
              <w:bottom w:val="single" w:sz="12" w:space="0" w:color="948A54"/>
              <w:right w:val="single" w:sz="12" w:space="0" w:color="948A54"/>
            </w:tcBorders>
            <w:shd w:val="clear" w:color="auto" w:fill="FFFF00"/>
            <w:noWrap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> </w:t>
            </w:r>
          </w:p>
        </w:tc>
        <w:tc>
          <w:tcPr>
            <w:tcW w:w="1736" w:type="pct"/>
            <w:tcBorders>
              <w:top w:val="single" w:sz="12" w:space="0" w:color="948A54"/>
              <w:left w:val="nil"/>
              <w:bottom w:val="single" w:sz="12" w:space="0" w:color="948A54"/>
              <w:right w:val="single" w:sz="12" w:space="0" w:color="948A54"/>
            </w:tcBorders>
            <w:shd w:val="clear" w:color="auto" w:fill="FFFF00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>Estrategias FO -  Ofensivas</w:t>
            </w:r>
          </w:p>
        </w:tc>
        <w:tc>
          <w:tcPr>
            <w:tcW w:w="1488" w:type="pct"/>
            <w:tcBorders>
              <w:top w:val="single" w:sz="12" w:space="0" w:color="948A54"/>
              <w:left w:val="nil"/>
              <w:bottom w:val="single" w:sz="12" w:space="0" w:color="948A54"/>
              <w:right w:val="single" w:sz="12" w:space="0" w:color="948A54"/>
            </w:tcBorders>
            <w:shd w:val="clear" w:color="auto" w:fill="FFFF00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 xml:space="preserve">Estrategias DO </w:t>
            </w:r>
            <w:r w:rsidRPr="00076CA6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>–</w:t>
            </w:r>
            <w:r w:rsidRPr="0024092F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 xml:space="preserve"> Adaptativas</w:t>
            </w:r>
          </w:p>
        </w:tc>
      </w:tr>
      <w:tr w:rsidR="00331D04" w:rsidRPr="00331D04" w:rsidTr="00331D04">
        <w:trPr>
          <w:trHeight w:val="1170"/>
          <w:tblHeader/>
        </w:trPr>
        <w:tc>
          <w:tcPr>
            <w:tcW w:w="277" w:type="pct"/>
            <w:vMerge/>
            <w:tcBorders>
              <w:top w:val="nil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1.</w:t>
            </w:r>
            <w:r w:rsidRPr="0024092F">
              <w:rPr>
                <w:rFonts w:ascii="Times New Roman" w:eastAsia="Times New Roman" w:hAnsi="Times New Roman" w:cs="Times New Roman"/>
                <w:color w:val="339933"/>
                <w:sz w:val="16"/>
                <w:szCs w:val="16"/>
                <w:lang w:eastAsia="es-CO"/>
              </w:rPr>
              <w:t xml:space="preserve">     </w:t>
            </w: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Abrir nuevos mercados en otros países con la posibilidad de ampliar la gama de productos y posicionarse bien en el mercado internacional debido a la falta de competidores potenciales con las características similares.</w:t>
            </w: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000000" w:fill="EBF1DE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Estrategias para Maximizar sus Fortalezas y Oportunidades: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000000" w:fill="EBF1DE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Estrategias para Minimizar Debilidades y Maximizar Oportunidades:</w:t>
            </w:r>
          </w:p>
        </w:tc>
      </w:tr>
      <w:tr w:rsidR="00331D04" w:rsidRPr="00331D04" w:rsidTr="00331D04">
        <w:trPr>
          <w:trHeight w:val="1227"/>
          <w:tblHeader/>
        </w:trPr>
        <w:tc>
          <w:tcPr>
            <w:tcW w:w="277" w:type="pct"/>
            <w:vMerge/>
            <w:tcBorders>
              <w:top w:val="nil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12" w:space="0" w:color="948A54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2.</w:t>
            </w:r>
            <w:r w:rsidRPr="0024092F">
              <w:rPr>
                <w:rFonts w:ascii="Times New Roman" w:eastAsia="Times New Roman" w:hAnsi="Times New Roman" w:cs="Times New Roman"/>
                <w:color w:val="339933"/>
                <w:sz w:val="16"/>
                <w:szCs w:val="16"/>
                <w:lang w:eastAsia="es-CO"/>
              </w:rPr>
              <w:t xml:space="preserve">     </w:t>
            </w: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Buscar mercados en países emergentes que muestran excelente resultados durante la crisis mundial.</w:t>
            </w:r>
          </w:p>
          <w:p w:rsidR="00331D04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</w:p>
          <w:p w:rsidR="00331D04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3.</w:t>
            </w:r>
            <w:r w:rsidRPr="0024092F">
              <w:rPr>
                <w:rFonts w:ascii="Times New Roman" w:eastAsia="Times New Roman" w:hAnsi="Times New Roman" w:cs="Times New Roman"/>
                <w:color w:val="339933"/>
                <w:sz w:val="16"/>
                <w:szCs w:val="16"/>
                <w:lang w:eastAsia="es-CO"/>
              </w:rPr>
              <w:t xml:space="preserve">     </w:t>
            </w: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Beneficios fiscales</w:t>
            </w:r>
          </w:p>
          <w:p w:rsidR="00331D04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</w:pPr>
          </w:p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4.</w:t>
            </w:r>
            <w:r w:rsidRPr="0024092F">
              <w:rPr>
                <w:rFonts w:ascii="Times New Roman" w:eastAsia="Times New Roman" w:hAnsi="Times New Roman" w:cs="Times New Roman"/>
                <w:color w:val="339933"/>
                <w:sz w:val="16"/>
                <w:szCs w:val="16"/>
                <w:lang w:eastAsia="es-CO"/>
              </w:rPr>
              <w:t>     Poca Competencia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12" w:space="0" w:color="948A54"/>
              <w:right w:val="single" w:sz="12" w:space="0" w:color="948A54"/>
            </w:tcBorders>
            <w:shd w:val="clear" w:color="000000" w:fill="EBF1DE"/>
            <w:vAlign w:val="center"/>
            <w:hideMark/>
          </w:tcPr>
          <w:p w:rsidR="00331D04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1. Al estar ya con sus productos en mas de 40 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países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 le facilita incursionar con su alta 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tecnología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, amplio portafolio y uso de las TIC, en 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países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 emergentes que ofrezcan bajos riesgos políticos: F2, F3, F4, O1, 02</w:t>
            </w:r>
          </w:p>
          <w:p w:rsidR="00331D04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</w:p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2. Potencializar la alta demanda de sus productos y su buena imagen internacional, buscando 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integración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 hacia adelante en donde la competencia sea baja y las normas lo permitan: F5, F6, O3, O4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12" w:space="0" w:color="948A54"/>
              <w:right w:val="single" w:sz="12" w:space="0" w:color="948A54"/>
            </w:tcBorders>
            <w:shd w:val="clear" w:color="000000" w:fill="EBF1DE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1. Buscar mercados nuevos, posibilidad de producir su propia materia prima, tercerizando aquellas actividades para las que no es eficiente, disminuyendo costos y gastos:  D1, D2, O3, O4</w:t>
            </w:r>
          </w:p>
        </w:tc>
      </w:tr>
      <w:tr w:rsidR="00331D04" w:rsidRPr="00331D04" w:rsidTr="00331D04">
        <w:trPr>
          <w:trHeight w:val="310"/>
          <w:tblHeader/>
        </w:trPr>
        <w:tc>
          <w:tcPr>
            <w:tcW w:w="277" w:type="pct"/>
            <w:vMerge w:val="restart"/>
            <w:tcBorders>
              <w:top w:val="nil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000000" w:fill="4F81BD"/>
            <w:textDirection w:val="btLr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s-CO" w:eastAsia="es-CO"/>
              </w:rPr>
              <w:t>Amenazas</w:t>
            </w:r>
          </w:p>
        </w:tc>
        <w:tc>
          <w:tcPr>
            <w:tcW w:w="1499" w:type="pct"/>
            <w:tcBorders>
              <w:top w:val="single" w:sz="12" w:space="0" w:color="948A54"/>
              <w:left w:val="nil"/>
              <w:bottom w:val="single" w:sz="12" w:space="0" w:color="948A54"/>
              <w:right w:val="single" w:sz="12" w:space="0" w:color="948A54"/>
            </w:tcBorders>
            <w:shd w:val="clear" w:color="auto" w:fill="FFFF00"/>
            <w:noWrap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> </w:t>
            </w:r>
          </w:p>
        </w:tc>
        <w:tc>
          <w:tcPr>
            <w:tcW w:w="1736" w:type="pct"/>
            <w:tcBorders>
              <w:top w:val="single" w:sz="12" w:space="0" w:color="948A54"/>
              <w:left w:val="nil"/>
              <w:bottom w:val="single" w:sz="12" w:space="0" w:color="948A54"/>
              <w:right w:val="single" w:sz="12" w:space="0" w:color="948A54"/>
            </w:tcBorders>
            <w:shd w:val="clear" w:color="auto" w:fill="FFFF00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 xml:space="preserve">Estrategias FA </w:t>
            </w:r>
            <w:r w:rsidRPr="00076CA6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>–</w:t>
            </w:r>
            <w:r w:rsidRPr="0024092F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 xml:space="preserve"> Defensivas</w:t>
            </w:r>
          </w:p>
        </w:tc>
        <w:tc>
          <w:tcPr>
            <w:tcW w:w="1488" w:type="pct"/>
            <w:tcBorders>
              <w:top w:val="single" w:sz="12" w:space="0" w:color="948A54"/>
              <w:left w:val="nil"/>
              <w:bottom w:val="single" w:sz="12" w:space="0" w:color="948A54"/>
              <w:right w:val="single" w:sz="12" w:space="0" w:color="948A54"/>
            </w:tcBorders>
            <w:shd w:val="clear" w:color="auto" w:fill="FFFF00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 xml:space="preserve">Estrategias DA </w:t>
            </w:r>
            <w:r w:rsidRPr="00076CA6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>–</w:t>
            </w:r>
            <w:r w:rsidRPr="0024092F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 xml:space="preserve"> </w:t>
            </w:r>
            <w:r w:rsidRPr="00076CA6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16"/>
                <w:lang w:val="es-CO" w:eastAsia="es-CO"/>
              </w:rPr>
              <w:t>Supervivencia</w:t>
            </w:r>
          </w:p>
        </w:tc>
      </w:tr>
      <w:tr w:rsidR="00331D04" w:rsidRPr="00331D04" w:rsidTr="00331D04">
        <w:trPr>
          <w:trHeight w:val="649"/>
          <w:tblHeader/>
        </w:trPr>
        <w:tc>
          <w:tcPr>
            <w:tcW w:w="277" w:type="pct"/>
            <w:vMerge/>
            <w:tcBorders>
              <w:top w:val="nil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499" w:type="pct"/>
            <w:vMerge w:val="restart"/>
            <w:tcBorders>
              <w:top w:val="nil"/>
              <w:left w:val="nil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331D04" w:rsidRDefault="00331D04" w:rsidP="00331D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</w:pPr>
            <w:r w:rsidRPr="00331D04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Aparición de oligopolios, monopolios.</w:t>
            </w:r>
          </w:p>
          <w:p w:rsidR="00331D04" w:rsidRDefault="00331D04" w:rsidP="00331D0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</w:p>
          <w:p w:rsidR="00331D04" w:rsidRPr="00331D04" w:rsidRDefault="00331D04" w:rsidP="00331D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Sistema fiscal.</w:t>
            </w:r>
          </w:p>
          <w:p w:rsidR="00331D04" w:rsidRPr="00331D04" w:rsidRDefault="00331D04" w:rsidP="00331D04">
            <w:pPr>
              <w:pStyle w:val="Prrafodelista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</w:p>
          <w:p w:rsidR="00331D04" w:rsidRPr="00331D04" w:rsidRDefault="00331D04" w:rsidP="00331D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Falta de incentivos a las empresas.</w:t>
            </w:r>
          </w:p>
          <w:p w:rsidR="00331D04" w:rsidRPr="00331D04" w:rsidRDefault="00331D04" w:rsidP="00331D04">
            <w:pPr>
              <w:pStyle w:val="Prrafodelista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</w:p>
          <w:p w:rsidR="00331D04" w:rsidRPr="00331D04" w:rsidRDefault="00331D04" w:rsidP="00331D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Arial" w:eastAsia="Times New Roman" w:hAnsi="Arial" w:cs="Arial"/>
                <w:color w:val="339933"/>
                <w:sz w:val="16"/>
                <w:szCs w:val="16"/>
                <w:lang w:eastAsia="es-CO"/>
              </w:rPr>
              <w:t>Competencia en precio de grandes superficies.</w:t>
            </w: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000000" w:fill="EBF1DE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Estrategias para Maximizar Fortalezas y Minimizar Amenazas: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12" w:space="0" w:color="948A54"/>
            </w:tcBorders>
            <w:shd w:val="clear" w:color="000000" w:fill="EBF1DE"/>
            <w:noWrap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Estrategias para Minimizar Debilidades y Amenazas:</w:t>
            </w:r>
          </w:p>
        </w:tc>
      </w:tr>
      <w:tr w:rsidR="00331D04" w:rsidRPr="00331D04" w:rsidTr="00331D04">
        <w:trPr>
          <w:trHeight w:val="2634"/>
          <w:tblHeader/>
        </w:trPr>
        <w:tc>
          <w:tcPr>
            <w:tcW w:w="277" w:type="pct"/>
            <w:vMerge/>
            <w:tcBorders>
              <w:top w:val="nil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499" w:type="pct"/>
            <w:vMerge/>
            <w:tcBorders>
              <w:left w:val="nil"/>
              <w:bottom w:val="single" w:sz="12" w:space="0" w:color="948A54"/>
              <w:right w:val="single" w:sz="12" w:space="0" w:color="948A54"/>
            </w:tcBorders>
            <w:shd w:val="clear" w:color="auto" w:fill="auto"/>
            <w:vAlign w:val="center"/>
            <w:hideMark/>
          </w:tcPr>
          <w:p w:rsidR="00331D04" w:rsidRPr="0024092F" w:rsidRDefault="00331D04" w:rsidP="00523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9933"/>
                <w:sz w:val="16"/>
                <w:szCs w:val="16"/>
                <w:lang w:val="es-CO" w:eastAsia="es-CO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single" w:sz="12" w:space="0" w:color="948A54"/>
              <w:right w:val="single" w:sz="12" w:space="0" w:color="948A54"/>
            </w:tcBorders>
            <w:shd w:val="clear" w:color="000000" w:fill="EBF1DE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1. Apr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o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vechar ventajas propiedad 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tecnología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 e imagen de calidad: F4, A1</w:t>
            </w:r>
          </w:p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2. Buscar 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países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 en donde la parte fiscal sea mas abierta a la 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inversión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 extranjera, integración hacia adelante: F1, F2, A2, A3, A4</w:t>
            </w:r>
          </w:p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000000" w:fill="EBF1DE"/>
            <w:hideMark/>
          </w:tcPr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1. Revisar tod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os los procesos en la cadena de valor que le permita mejorar los tiempos de 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producción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 y 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comercialización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 de los productos, diferenciando, las estrellas y las vacas lecheras, desinvirtiendo en  los pesos muertos y revisando dilemas que generen </w:t>
            </w:r>
            <w:r w:rsidRPr="00331D04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déficit</w:t>
            </w: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 xml:space="preserve"> de caja y alto riesgo: D1, D2, A3, A4</w:t>
            </w:r>
          </w:p>
          <w:p w:rsidR="00331D04" w:rsidRPr="0024092F" w:rsidRDefault="00331D04" w:rsidP="005236F4">
            <w:pPr>
              <w:spacing w:after="0" w:line="240" w:lineRule="auto"/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</w:pPr>
            <w:r w:rsidRPr="0024092F">
              <w:rPr>
                <w:rFonts w:ascii="Calibri" w:eastAsia="Times New Roman" w:hAnsi="Calibri" w:cs="Calibri"/>
                <w:color w:val="339933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985D22" w:rsidRPr="00331D04" w:rsidRDefault="00985D22" w:rsidP="00331D04">
      <w:pPr>
        <w:rPr>
          <w:lang w:val="es-CO"/>
        </w:rPr>
      </w:pPr>
    </w:p>
    <w:sectPr w:rsidR="00985D22" w:rsidRPr="00331D04" w:rsidSect="00331D04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37"/>
    <w:multiLevelType w:val="hybridMultilevel"/>
    <w:tmpl w:val="6C2AF8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D2417"/>
    <w:multiLevelType w:val="hybridMultilevel"/>
    <w:tmpl w:val="6A00E2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04"/>
    <w:rsid w:val="000053F5"/>
    <w:rsid w:val="000204A0"/>
    <w:rsid w:val="00037CFC"/>
    <w:rsid w:val="00076CA6"/>
    <w:rsid w:val="00077629"/>
    <w:rsid w:val="00085012"/>
    <w:rsid w:val="000D3E0F"/>
    <w:rsid w:val="000E34D2"/>
    <w:rsid w:val="000E74A7"/>
    <w:rsid w:val="000F34CE"/>
    <w:rsid w:val="000F3B09"/>
    <w:rsid w:val="0010343E"/>
    <w:rsid w:val="0012523F"/>
    <w:rsid w:val="001332FA"/>
    <w:rsid w:val="00144CE7"/>
    <w:rsid w:val="001655BD"/>
    <w:rsid w:val="00176B27"/>
    <w:rsid w:val="0018098E"/>
    <w:rsid w:val="001C1DB8"/>
    <w:rsid w:val="001C5D1E"/>
    <w:rsid w:val="001D6239"/>
    <w:rsid w:val="001E4597"/>
    <w:rsid w:val="001E50A9"/>
    <w:rsid w:val="001E7F14"/>
    <w:rsid w:val="002078EE"/>
    <w:rsid w:val="002227A4"/>
    <w:rsid w:val="00223E0F"/>
    <w:rsid w:val="00225B2E"/>
    <w:rsid w:val="00231566"/>
    <w:rsid w:val="00247C1A"/>
    <w:rsid w:val="00247EF8"/>
    <w:rsid w:val="002739F1"/>
    <w:rsid w:val="00291C14"/>
    <w:rsid w:val="00297BAC"/>
    <w:rsid w:val="002B64BC"/>
    <w:rsid w:val="002C77A6"/>
    <w:rsid w:val="002D5A28"/>
    <w:rsid w:val="002F3624"/>
    <w:rsid w:val="00303D2F"/>
    <w:rsid w:val="00310BB0"/>
    <w:rsid w:val="00313A26"/>
    <w:rsid w:val="0032482C"/>
    <w:rsid w:val="00331A82"/>
    <w:rsid w:val="00331D04"/>
    <w:rsid w:val="00336068"/>
    <w:rsid w:val="00343C14"/>
    <w:rsid w:val="003468E9"/>
    <w:rsid w:val="00353B61"/>
    <w:rsid w:val="00356C75"/>
    <w:rsid w:val="003651A7"/>
    <w:rsid w:val="00373CBF"/>
    <w:rsid w:val="00380072"/>
    <w:rsid w:val="00391AEE"/>
    <w:rsid w:val="00393BA9"/>
    <w:rsid w:val="0039436C"/>
    <w:rsid w:val="003D5B78"/>
    <w:rsid w:val="003F5E3C"/>
    <w:rsid w:val="004054B8"/>
    <w:rsid w:val="00411FEC"/>
    <w:rsid w:val="004707F0"/>
    <w:rsid w:val="0049385C"/>
    <w:rsid w:val="004A4C83"/>
    <w:rsid w:val="004D00B0"/>
    <w:rsid w:val="004E6B4B"/>
    <w:rsid w:val="004F4A81"/>
    <w:rsid w:val="00511054"/>
    <w:rsid w:val="00525788"/>
    <w:rsid w:val="00533BA8"/>
    <w:rsid w:val="005708C4"/>
    <w:rsid w:val="00571810"/>
    <w:rsid w:val="00576A12"/>
    <w:rsid w:val="00577A27"/>
    <w:rsid w:val="005831BD"/>
    <w:rsid w:val="005B06C7"/>
    <w:rsid w:val="005D0215"/>
    <w:rsid w:val="005D4CFC"/>
    <w:rsid w:val="005D60A7"/>
    <w:rsid w:val="005E1D7E"/>
    <w:rsid w:val="005E3505"/>
    <w:rsid w:val="005E464E"/>
    <w:rsid w:val="005F0B71"/>
    <w:rsid w:val="005F5FB2"/>
    <w:rsid w:val="00604CAD"/>
    <w:rsid w:val="00611D32"/>
    <w:rsid w:val="00635D7F"/>
    <w:rsid w:val="00636A9E"/>
    <w:rsid w:val="00666C80"/>
    <w:rsid w:val="006679EA"/>
    <w:rsid w:val="00671A9E"/>
    <w:rsid w:val="006732C3"/>
    <w:rsid w:val="0067499E"/>
    <w:rsid w:val="006945B7"/>
    <w:rsid w:val="006B0A7A"/>
    <w:rsid w:val="006C1EE0"/>
    <w:rsid w:val="006C66C4"/>
    <w:rsid w:val="006D1D42"/>
    <w:rsid w:val="006F3FDA"/>
    <w:rsid w:val="0070431A"/>
    <w:rsid w:val="0071781F"/>
    <w:rsid w:val="00726BDF"/>
    <w:rsid w:val="007307D4"/>
    <w:rsid w:val="00753068"/>
    <w:rsid w:val="007630BF"/>
    <w:rsid w:val="007750C1"/>
    <w:rsid w:val="0077697A"/>
    <w:rsid w:val="007802E2"/>
    <w:rsid w:val="00780906"/>
    <w:rsid w:val="00790AA4"/>
    <w:rsid w:val="007A0E9C"/>
    <w:rsid w:val="007A6505"/>
    <w:rsid w:val="007E5BD2"/>
    <w:rsid w:val="00800CDA"/>
    <w:rsid w:val="00802D04"/>
    <w:rsid w:val="00812621"/>
    <w:rsid w:val="0081537B"/>
    <w:rsid w:val="00834C30"/>
    <w:rsid w:val="00835F00"/>
    <w:rsid w:val="008472B9"/>
    <w:rsid w:val="00847BA1"/>
    <w:rsid w:val="0085381A"/>
    <w:rsid w:val="00857789"/>
    <w:rsid w:val="008577A5"/>
    <w:rsid w:val="00860EDA"/>
    <w:rsid w:val="008835CB"/>
    <w:rsid w:val="008C36F0"/>
    <w:rsid w:val="008E4010"/>
    <w:rsid w:val="00904670"/>
    <w:rsid w:val="0090748C"/>
    <w:rsid w:val="00926D88"/>
    <w:rsid w:val="00964D12"/>
    <w:rsid w:val="00976893"/>
    <w:rsid w:val="009841C5"/>
    <w:rsid w:val="00985D22"/>
    <w:rsid w:val="009901D1"/>
    <w:rsid w:val="009C1150"/>
    <w:rsid w:val="009E6E59"/>
    <w:rsid w:val="009F21DA"/>
    <w:rsid w:val="009F3086"/>
    <w:rsid w:val="009F5041"/>
    <w:rsid w:val="00A00F42"/>
    <w:rsid w:val="00A05031"/>
    <w:rsid w:val="00A07BA4"/>
    <w:rsid w:val="00A14D83"/>
    <w:rsid w:val="00A227C0"/>
    <w:rsid w:val="00A26F8C"/>
    <w:rsid w:val="00A2783D"/>
    <w:rsid w:val="00A35DE8"/>
    <w:rsid w:val="00A36335"/>
    <w:rsid w:val="00A529E9"/>
    <w:rsid w:val="00A660FC"/>
    <w:rsid w:val="00A941AA"/>
    <w:rsid w:val="00AA628A"/>
    <w:rsid w:val="00AC3F08"/>
    <w:rsid w:val="00AE6BC2"/>
    <w:rsid w:val="00AF2014"/>
    <w:rsid w:val="00AF7623"/>
    <w:rsid w:val="00B06E89"/>
    <w:rsid w:val="00B161D7"/>
    <w:rsid w:val="00B34D1F"/>
    <w:rsid w:val="00B44333"/>
    <w:rsid w:val="00B51B58"/>
    <w:rsid w:val="00B56CD1"/>
    <w:rsid w:val="00B61B74"/>
    <w:rsid w:val="00B632CF"/>
    <w:rsid w:val="00B63CF1"/>
    <w:rsid w:val="00B70E1B"/>
    <w:rsid w:val="00B81EEA"/>
    <w:rsid w:val="00B93864"/>
    <w:rsid w:val="00BA1411"/>
    <w:rsid w:val="00BA704A"/>
    <w:rsid w:val="00BA7779"/>
    <w:rsid w:val="00BC12B7"/>
    <w:rsid w:val="00BC404A"/>
    <w:rsid w:val="00BD6E79"/>
    <w:rsid w:val="00C042F0"/>
    <w:rsid w:val="00C23DAF"/>
    <w:rsid w:val="00C400F9"/>
    <w:rsid w:val="00C4108E"/>
    <w:rsid w:val="00C417FD"/>
    <w:rsid w:val="00C5376F"/>
    <w:rsid w:val="00C669D3"/>
    <w:rsid w:val="00C75214"/>
    <w:rsid w:val="00CC110A"/>
    <w:rsid w:val="00CC6AAB"/>
    <w:rsid w:val="00CC6C9C"/>
    <w:rsid w:val="00CE0ED5"/>
    <w:rsid w:val="00CE3315"/>
    <w:rsid w:val="00CE51E7"/>
    <w:rsid w:val="00CE7EE9"/>
    <w:rsid w:val="00CF4D8A"/>
    <w:rsid w:val="00D005B1"/>
    <w:rsid w:val="00D03D11"/>
    <w:rsid w:val="00D25D7B"/>
    <w:rsid w:val="00D267DE"/>
    <w:rsid w:val="00D2726D"/>
    <w:rsid w:val="00D42EDF"/>
    <w:rsid w:val="00D55078"/>
    <w:rsid w:val="00D74321"/>
    <w:rsid w:val="00D768C2"/>
    <w:rsid w:val="00D80BD5"/>
    <w:rsid w:val="00D81D73"/>
    <w:rsid w:val="00D95C5B"/>
    <w:rsid w:val="00DA3532"/>
    <w:rsid w:val="00DA7333"/>
    <w:rsid w:val="00DB6A39"/>
    <w:rsid w:val="00DD4E81"/>
    <w:rsid w:val="00DD548C"/>
    <w:rsid w:val="00DD73E9"/>
    <w:rsid w:val="00E0662C"/>
    <w:rsid w:val="00E074FE"/>
    <w:rsid w:val="00E11B55"/>
    <w:rsid w:val="00E23A44"/>
    <w:rsid w:val="00E5054F"/>
    <w:rsid w:val="00E50A58"/>
    <w:rsid w:val="00E64113"/>
    <w:rsid w:val="00E67AE0"/>
    <w:rsid w:val="00E753FD"/>
    <w:rsid w:val="00E972A4"/>
    <w:rsid w:val="00EB7A00"/>
    <w:rsid w:val="00EC38B0"/>
    <w:rsid w:val="00EF4C92"/>
    <w:rsid w:val="00F00546"/>
    <w:rsid w:val="00F01900"/>
    <w:rsid w:val="00F156AA"/>
    <w:rsid w:val="00F44467"/>
    <w:rsid w:val="00F57C3C"/>
    <w:rsid w:val="00F732BB"/>
    <w:rsid w:val="00F82070"/>
    <w:rsid w:val="00F90EBE"/>
    <w:rsid w:val="00F954BE"/>
    <w:rsid w:val="00FB36E1"/>
    <w:rsid w:val="00FC1675"/>
    <w:rsid w:val="00F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0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0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WilCa</dc:creator>
  <cp:lastModifiedBy>WilCa</cp:lastModifiedBy>
  <cp:revision>1</cp:revision>
  <dcterms:created xsi:type="dcterms:W3CDTF">2011-12-17T00:53:00Z</dcterms:created>
  <dcterms:modified xsi:type="dcterms:W3CDTF">2011-12-17T01:18:00Z</dcterms:modified>
</cp:coreProperties>
</file>