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 standalone="yes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<w:body><w:p><w:pPr><w:pStyle w:val="Normal"/><w:shd w:val="clear" w:color="auto" w:fill="FFFFFF"/><w:spacing w:lineRule="atLeast" w:line="94" w:before="0" w:after="0"/><w:textAlignment w:val="center"/><w:rPr></w:rPr></w:pPr><w:r><w:rPr><w:rFonts w:eastAsia="Times New Roman" w:cs="Calibri" w:cstheme="minorHAnsi"/><w:b/><w:color w:val="3B4045"/><w:sz w:val="24"/><w:szCs w:val="24"/><w:lang w:eastAsia="el-GR"/></w:rPr><w:t>Θέμα: “</w:t></w:r><w:r><w:rPr><w:rFonts w:eastAsia="Times New Roman" w:cs="Calibri" w:cstheme="minorHAnsi"/><w:b/><w:color w:val="3B4045"/><w:sz w:val="24"/><w:szCs w:val="24"/><w:lang w:eastAsia="el-GR"/></w:rPr><w:t>Παρατηρήσεις σχετικά με τη λειτουργία του έργου «Μικρός Υδροηλεκτρικός Σταθμός Προσοτσάνης» ισχύος 0,78</w:t></w:r><w:r><w:rPr><w:rFonts w:eastAsia="Times New Roman" w:cs="Calibri" w:cstheme="minorHAnsi"/><w:b/><w:color w:val="3B4045"/><w:sz w:val="24"/><w:szCs w:val="24"/><w:lang w:val="en-US" w:eastAsia="el-GR"/></w:rPr><w:t>MW</w:t></w:r><w:r><w:rPr><w:rFonts w:eastAsia="Times New Roman" w:cs="Calibri" w:cstheme="minorHAnsi"/><w:b/><w:color w:val="3B4045"/><w:sz w:val="24"/><w:szCs w:val="24"/><w:lang w:eastAsia="el-GR"/></w:rPr><w:t>, που είναι εγκαταστημένο στο Δήμο</w:t></w:r><w:r><w:rPr><w:rFonts w:eastAsia="Times New Roman" w:cs="Calibri" w:cstheme="minorHAnsi"/><w:b/><w:color w:val="3B4045"/><w:sz w:val="24"/><w:szCs w:val="24"/><w:lang w:val="en-US" w:eastAsia="el-GR"/></w:rPr><w:t> </w:t></w:r><w:r><w:rPr><w:rFonts w:eastAsia="Times New Roman" w:cs="Calibri" w:cstheme="minorHAnsi"/><w:b/><w:color w:val="3B4045"/><w:sz w:val="24"/><w:szCs w:val="24"/><w:lang w:eastAsia="el-GR"/></w:rPr><w:t>Προσοτσάνης ΠΕ Δράμας”</w:t></w:r></w:p><w:p><w:pPr><w:pStyle w:val="Normal"/><w:shd w:val="clear" w:color="auto" w:fill="FFFFFF"/><w:spacing w:lineRule="atLeast" w:line="94" w:before="0" w:after="0"/><w:textAlignment w:val="center"/><w:rPr><w:rFonts w:eastAsia="Times New Roman" w:cs="Calibri" w:cstheme="minorHAnsi"/><w:sz w:val="24"/><w:szCs w:val="24"/><w:lang w:eastAsia="el-GR"/></w:rPr></w:pPr><w:r><w:rPr></w:rPr></w:r></w:p><w:p><w:pPr><w:pStyle w:val="Normal"/><w:shd w:val="clear" w:color="auto" w:fill="FFFFFF"/><w:spacing w:lineRule="atLeast" w:line="94" w:before="0" w:after="0"/><w:textAlignment w:val="center"/><w:rPr></w:rPr></w:pPr><w:r><w:rPr><w:rFonts w:eastAsia="Times New Roman" w:cs="Calibri" w:cstheme="minorHAnsi"/><w:color w:val="3B4045"/><w:sz w:val="24"/><w:szCs w:val="24"/><w:lang w:eastAsia="el-GR"/></w:rPr><w:t xml:space="preserve">Σχετ. : </w:t></w:r><w:r><w:rPr><w:rFonts w:eastAsia="Times New Roman" w:cs="Calibri" w:cstheme="minorHAnsi"/><w:color w:val="3B4045"/><w:sz w:val="24"/><w:szCs w:val="24"/><w:lang w:eastAsia="el-GR"/></w:rPr><w:tab/><w:t xml:space="preserve">1) </w:t></w:r><w:r><w:rPr><w:rFonts w:eastAsia="Times New Roman" w:cs="Calibri" w:cstheme="minorHAnsi"/><w:color w:val="3B4045"/><w:sz w:val="24"/><w:szCs w:val="24"/><w:lang w:eastAsia="el-GR"/></w:rPr><w:t xml:space="preserve">ΑΕΠΟ: </w:t></w:r><w:r><w:rPr><w:rFonts w:eastAsia="Times New Roman" w:cs="Calibri" w:cstheme="minorHAnsi"/><w:color w:val="3B4045"/><w:sz w:val="24"/><w:szCs w:val="24"/><w:lang w:eastAsia="el-GR"/></w:rPr><w:t xml:space="preserve">αριθ. </w:t></w:r><w:r><w:rPr><w:rFonts w:eastAsia="Times New Roman" w:cs="Calibri" w:cstheme="minorHAnsi"/><w:color w:val="3B4045"/><w:sz w:val="24"/><w:szCs w:val="24"/><w:lang w:eastAsia="el-GR"/></w:rPr><w:t>2991/12-7-2006 (έως 12-7-2011)</w:t></w:r></w:p><w:p><w:pPr><w:pStyle w:val="Normal"/><w:shd w:val="clear" w:color="auto" w:fill="FFFFFF"/><w:spacing w:lineRule="atLeast" w:line="94" w:before="0" w:after="0"/><w:textAlignment w:val="center"/><w:rPr><w:rFonts w:cstheme="minorHAnsi"/></w:rPr></w:pPr><w:r><w:rPr><w:rFonts w:eastAsia="Times New Roman" w:cs="Calibri" w:cstheme="minorHAnsi"/><w:color w:val="3B4045"/><w:sz w:val="24"/><w:szCs w:val="24"/><w:lang w:eastAsia="el-GR"/></w:rPr><w:tab/></w:r><w:r><w:rPr><w:rFonts w:eastAsia="Times New Roman" w:cs="Calibri" w:cstheme="minorHAnsi"/><w:color w:val="3B4045"/><w:sz w:val="24"/><w:szCs w:val="24"/><w:lang w:eastAsia="el-GR"/></w:rPr><w:t xml:space="preserve">2) </w:t></w:r><w:r><w:rPr><w:rFonts w:eastAsia="Times New Roman" w:cs="Calibri" w:cstheme="minorHAnsi"/><w:color w:val="3B4045"/><w:sz w:val="24"/><w:szCs w:val="24"/><w:lang w:eastAsia="el-GR"/></w:rPr><w:t xml:space="preserve">Ενιαία Άδεια χρήσης νερού: </w:t></w:r><w:r><w:rPr><w:rFonts w:eastAsia="Times New Roman" w:cs="Calibri" w:cstheme="minorHAnsi"/><w:color w:val="3B4045"/><w:sz w:val="24"/><w:szCs w:val="24"/><w:lang w:eastAsia="el-GR"/></w:rPr><w:t xml:space="preserve">αριθ. </w:t></w:r><w:r><w:rPr><w:rFonts w:eastAsia="Times New Roman" w:cs="Calibri" w:cstheme="minorHAnsi"/><w:color w:val="3B4045"/><w:sz w:val="24"/><w:szCs w:val="24"/><w:lang w:eastAsia="el-GR"/></w:rPr><w:t>2677/17-8-2006</w:t></w:r></w:p><w:p><w:pPr><w:pStyle w:val="ListParagraph"/><w:shd w:val="clear" w:color="auto" w:fill="FFFFFF"/><w:spacing w:lineRule="atLeast" w:line="94" w:before="0" w:after="0"/><w:textAlignment w:val="center"/><w:rPr><w:rFonts w:cstheme="minorHAnsi"/></w:rPr></w:pPr><w:r><w:rPr><w:rFonts w:eastAsia="Times New Roman" w:cs="Calibri" w:cstheme="minorHAnsi"/><w:color w:val="3B4045"/><w:sz w:val="24"/><w:szCs w:val="24"/><w:lang w:eastAsia="el-GR"/></w:rPr><w:t xml:space="preserve">3) </w:t></w:r><w:r><w:rPr><w:rFonts w:eastAsia="Times New Roman" w:cs="Calibri" w:cstheme="minorHAnsi"/><w:color w:val="3B4045"/><w:sz w:val="24"/><w:szCs w:val="24"/><w:lang w:eastAsia="el-GR"/></w:rPr><w:t xml:space="preserve">Τροποποίηση και </w:t></w:r><w:r><w:rPr><w:rFonts w:eastAsia="Times New Roman" w:cs="Calibri" w:cstheme="minorHAnsi"/><w:color w:val="3B4045"/><w:sz w:val="24"/><w:szCs w:val="24"/><w:lang w:eastAsia="el-GR"/></w:rPr><w:t xml:space="preserve">Ανανέωση ΑΕΠΟ: </w:t></w:r><w:r><w:rPr><w:rFonts w:eastAsia="Times New Roman" w:cs="Calibri" w:cstheme="minorHAnsi"/><w:color w:val="3B4045"/><w:sz w:val="24"/><w:szCs w:val="24"/><w:lang w:eastAsia="el-GR"/></w:rPr><w:t xml:space="preserve">αριθ. </w:t></w:r><w:r><w:rPr><w:rFonts w:eastAsia="Times New Roman" w:cs="Calibri" w:cstheme="minorHAnsi"/><w:color w:val="3B4045"/><w:sz w:val="24"/><w:szCs w:val="24"/><w:lang w:eastAsia="el-GR"/></w:rPr><w:t>4743/439/20-5-2010 (έως 20-5-2020)</w:t></w:r></w:p><w:p><w:pPr><w:pStyle w:val="ListParagraph"/><w:shd w:val="clear" w:color="auto" w:fill="FFFFFF"/><w:spacing w:lineRule="atLeast" w:line="94" w:before="0" w:after="0"/><w:textAlignment w:val="center"/><w:rPr><w:rFonts w:cstheme="minorHAnsi"/></w:rPr></w:pPr><w:r><w:rPr><w:rFonts w:eastAsia="Times New Roman" w:cs="Calibri" w:cstheme="minorHAnsi"/><w:color w:val="3B4045"/><w:sz w:val="24"/><w:szCs w:val="24"/><w:lang w:eastAsia="el-GR"/></w:rPr><w:t xml:space="preserve">4) </w:t></w:r><w:r><w:rPr><w:rFonts w:eastAsia="Times New Roman" w:cs="Calibri" w:cstheme="minorHAnsi"/><w:color w:val="3B4045"/><w:sz w:val="24"/><w:szCs w:val="24"/><w:lang w:eastAsia="el-GR"/></w:rPr><w:t xml:space="preserve">Παράταση Άδειας χρήσης νερού: </w:t></w:r><w:r><w:rPr><w:rFonts w:eastAsia="Times New Roman" w:cs="Calibri" w:cstheme="minorHAnsi"/><w:color w:val="3B4045"/><w:sz w:val="24"/><w:szCs w:val="24"/><w:lang w:eastAsia="el-GR"/></w:rPr><w:t xml:space="preserve">αριθ. </w:t></w:r><w:r><w:rPr><w:rFonts w:eastAsia="Times New Roman" w:cs="Calibri" w:cstheme="minorHAnsi"/><w:color w:val="3B4045"/><w:sz w:val="24"/><w:szCs w:val="24"/><w:lang w:eastAsia="el-GR"/></w:rPr><w:t>9850/ΦΥ4/11-7-2011 (έως 20-5-2020)</w:t></w:r></w:p><w:p><w:pPr><w:pStyle w:val="ListParagraph"/><w:shd w:val="clear" w:color="auto" w:fill="FFFFFF"/><w:spacing w:lineRule="atLeast" w:line="94" w:before="0" w:after="0"/><w:ind w:hanging="0"/><w:textAlignment w:val="center"/><w:rPr></w:rPr></w:pPr><w:r><w:rPr></w:rPr></w:r></w:p><w:p><w:pPr><w:pStyle w:val="Normal"/><w:shd w:val="clear" w:color="auto" w:fill="FFFFFF"/><w:spacing w:lineRule="atLeast" w:line="94" w:before="0" w:after="0"/><w:textAlignment w:val="center"/><w:rPr><w:rFonts w:eastAsia="Times New Roman" w:cs="Calibri" w:cstheme="minorHAnsi"/><w:color w:val="3B4045"/><w:sz w:val="24"/><w:szCs w:val="24"/><w:lang w:eastAsia="el-GR"/></w:rPr></w:pPr><w:r><w:rPr><w:rFonts w:eastAsia="Times New Roman" w:cs="Calibri" w:cstheme="minorHAnsi" w:cstheme="minorHAnsi"/><w:color w:val="3B4045"/><w:sz w:val="24"/><w:szCs w:val="24"/><w:lang w:eastAsia="el-GR"/></w:rPr><w:t xml:space="preserve">Η λειτουργία του σταθμού </w:t></w:r><w:r><w:rPr><w:rFonts w:eastAsia="Times New Roman" w:cs="Calibri" w:cstheme="minorHAnsi" w:cstheme="minorHAnsi"/><w:color w:val="3B4045"/><w:sz w:val="24"/><w:szCs w:val="24"/><w:lang w:eastAsia="el-GR"/></w:rPr><w:t>παραγωγής</w:t></w:r><w:r><w:rPr><w:rFonts w:eastAsia="Times New Roman" w:cs="Calibri" w:cstheme="minorHAnsi" w:cstheme="minorHAnsi"/><w:color w:val="3B4045"/><w:sz w:val="24"/><w:szCs w:val="24"/><w:lang w:eastAsia="el-GR"/></w:rPr><w:t xml:space="preserve"> </w:t></w:r><w:r><w:rPr><w:rFonts w:eastAsia="Times New Roman" w:cs="Calibri" w:cstheme="minorHAnsi" w:cstheme="minorHAnsi"/><w:color w:val="3B4045"/><w:sz w:val="24"/><w:szCs w:val="24"/><w:lang w:eastAsia="el-GR"/></w:rPr><w:t xml:space="preserve">(ΜΥΗΕ) </w:t></w:r><w:r><w:rPr><w:rFonts w:eastAsia="Times New Roman" w:cs="Calibri" w:cstheme="minorHAnsi" w:cstheme="minorHAnsi"/><w:color w:val="3B4045"/><w:sz w:val="24"/><w:szCs w:val="24"/><w:lang w:eastAsia="el-GR"/></w:rPr><w:t>είναι από Οκτώβριο-Μάρτιο κάθε έτους</w:t></w:r></w:p><w:p><w:pPr><w:pStyle w:val="Normal"/><w:shd w:val="clear" w:color="auto" w:fill="FFFFFF"/><w:spacing w:lineRule="atLeast" w:line="127" w:before="0" w:after="0"/><w:textAlignment w:val="center"/><w:rPr></w:rPr></w:pPr><w:r><w:rPr><w:rFonts w:eastAsia="Times New Roman" w:cs="Calibri" w:cstheme="minorHAnsi"/><w:color w:val="3B4045"/><w:sz w:val="23"/><w:u w:val="single"/><w:lang w:eastAsia="el-GR"/></w:rPr><w:t xml:space="preserve">Κεφ. Δ αρ. 2 </w:t></w:r><w:r><w:rPr><w:rFonts w:eastAsia="Times New Roman" w:cs="Calibri" w:cstheme="minorHAnsi"/><w:color w:val="3B4045"/><w:sz w:val="23"/><w:u w:val="single"/><w:lang w:eastAsia="el-GR"/></w:rPr><w:t>της αριθ. 2991/12-7-2006 ΑΕΠΟ</w:t></w:r></w:p><w:p><w:pPr><w:pStyle w:val="Normal"/><w:shd w:val="clear" w:color="auto" w:fill="FFFFFF"/><w:spacing w:lineRule="atLeast" w:line="127" w:before="0" w:after="0"/><w:textAlignment w:val="center"/><w:rPr></w:rPr></w:pPr><w:r><w:rPr><w:rFonts w:eastAsia="Times New Roman" w:cs="Calibri" w:cstheme="minorHAnsi"/><w:color w:val="3B4045"/><w:sz w:val="23"/><w:lang w:val="el-GR" w:eastAsia="el-GR"/></w:rPr><w:t xml:space="preserve">Υπάρχουν 2 πλέγματα: ένα στην έξοδο του Αγγίτη από το σπήλαιο που διαχωρίζει τα νερά για το αρδευτικό κανάλι και ένα άλλο πριν την υπογειοποίηση του καναλιού. </w:t></w:r></w:p><w:p><w:pPr><w:pStyle w:val="Normal"/><w:shd w:val="clear" w:color="auto" w:fill="FFFFFF"/><w:spacing w:lineRule="atLeast" w:line="127" w:before="0" w:after="0"/><w:textAlignment w:val="center"/><w:rPr></w:rPr></w:pPr><w:r><w:rPr><w:rFonts w:eastAsia="Times New Roman" w:cs="Calibri" w:cstheme="minorHAnsi"/><w:color w:val="3B4045"/><w:sz w:val="23"/><w:lang w:val="el-GR" w:eastAsia="el-GR"/></w:rPr><w:t>Και τα 2 υπάρχοντα πλέγματα δεν είναι αυτ</w:t></w:r><w:r><w:rPr><w:rFonts w:eastAsia="Times New Roman" w:cs="Calibri" w:cstheme="minorHAnsi"/><w:color w:val="3B4045"/><w:sz w:val="23"/><w:lang w:val="el-GR" w:eastAsia="el-GR"/></w:rPr><w:t>ά</w:t></w:r><w:r><w:rPr><w:rFonts w:eastAsia="Times New Roman" w:cs="Calibri" w:cstheme="minorHAnsi"/><w:color w:val="3B4045"/><w:sz w:val="23"/><w:lang w:val="el-GR" w:eastAsia="el-GR"/></w:rPr><w:t xml:space="preserve"> που προβλέπεται στην ΑΕΠΟ και </w:t></w:r><w:r><w:rPr><w:rFonts w:eastAsia="Times New Roman" w:cs="Calibri" w:cstheme="minorHAnsi"/><w:color w:val="3B4045"/><w:sz w:val="23"/><w:lang w:val="el-GR" w:eastAsia="el-GR"/></w:rPr><w:t>συμφωνήθηκαν</w:t></w:r><w:r><w:rPr><w:rFonts w:eastAsia="Times New Roman" w:cs="Calibri" w:cstheme="minorHAnsi"/><w:color w:val="3B4045"/><w:sz w:val="23"/><w:lang w:val="el-GR" w:eastAsia="el-GR"/></w:rPr><w:t xml:space="preserve"> στην αλληλογραφία με το Τμ. Αλιείας και το ΙΝΑΛΕ_ΕΘΙΑΓΕ, δηλαδή δεν είναι </w:t></w:r><w:r><w:rPr><w:rFonts w:eastAsia="Times New Roman" w:cs="Calibri" w:cstheme="minorHAnsi"/><w:color w:val="3B4045"/><w:sz w:val="23"/><w:lang w:eastAsia="el-GR"/></w:rPr><w:t>πλέγμα μικρής διαμέτρου παρεμπόδισης της εισαγωγής ψαριών στην</w:t></w:r><w:r><w:rPr><w:rFonts w:eastAsia="Times New Roman" w:cs="Calibri" w:cstheme="minorHAnsi"/><w:color w:val="3B4045"/><w:sz w:val="23"/><w:lang w:val="en-US" w:eastAsia="el-GR"/></w:rPr><w:t> </w:t></w:r><w:r><w:rPr><w:rFonts w:eastAsia="Times New Roman" w:cs="Calibri" w:cstheme="minorHAnsi"/><w:color w:val="3B4045"/><w:sz w:val="23"/><w:lang w:eastAsia="el-GR"/></w:rPr><w:t>είσοδο του αρδευτικού καναλιού στο ποταμό ώστε να αποτρέπεται η είσοδος ψαριών (ακόμη και νεαρών ατόμων) εντός του καναλιού καθ’ όλη τη διάρκεια του χρόνου.</w:t></w:r></w:p><w:p><w:pPr><w:pStyle w:val="Normal"/><w:shd w:val="clear" w:color="auto" w:fill="FFFFFF"/><w:spacing w:lineRule="atLeast" w:line="127" w:before="0" w:after="0"/><w:textAlignment w:val="center"/><w:rPr><w:rFonts w:eastAsia="Times New Roman" w:cs="Calibri" w:cstheme="minorHAnsi"/><w:color w:val="3B4045"/><w:sz w:val="23"/><w:lang w:eastAsia="el-GR"/></w:rPr></w:pPr><w:r><w:rPr><w:rFonts w:eastAsia="Times New Roman" w:cs="Calibri" w:cstheme="minorHAnsi"/><w:color w:val="3B4045"/><w:sz w:val="23"/><w:lang w:eastAsia="el-GR"/></w:rPr></w:r></w:p><w:p><w:pPr><w:pStyle w:val="Normal"/><w:shd w:val="clear" w:color="auto" w:fill="FFFFFF"/><w:spacing w:lineRule="atLeast" w:line="127" w:before="0" w:after="0"/><w:textAlignment w:val="center"/><w:rPr><w:rFonts w:eastAsia="Times New Roman" w:cs="Calibri" w:cstheme="minorHAnsi"/><w:color w:val="3B4045"/><w:sz w:val="23"/><w:lang w:eastAsia="el-GR"/></w:rPr></w:pPr><w:r><w:rPr><w:rFonts w:eastAsia="Times New Roman" w:cs="Calibri" w:cstheme="minorHAnsi"/><w:color w:val="3B4045"/><w:sz w:val="23"/><w:u w:val="single"/><w:lang w:eastAsia="el-GR"/></w:rPr><w:t>Κεφ. Δ αρ. 3</w:t></w:r></w:p><w:p><w:pPr><w:pStyle w:val="Normal"/><w:shd w:val="clear" w:color="auto" w:fill="FFFFFF"/><w:spacing w:lineRule="atLeast" w:line="127" w:before="0" w:after="0"/><w:textAlignment w:val="center"/><w:rPr><w:rFonts w:eastAsia="Times New Roman" w:cs="Calibri" w:cstheme="minorHAnsi"/><w:color w:val="3B4045"/><w:sz w:val="23"/><w:lang w:eastAsia="el-GR"/></w:rPr></w:pPr><w:r><w:rPr><w:rFonts w:eastAsia="Times New Roman" w:cs="Calibri" w:cstheme="minorHAnsi"/><w:color w:val="3B4045"/><w:sz w:val="23"/><w:lang w:eastAsia="el-GR"/></w:rPr><w:t>Σύμφωνα με την ΑΕΠΟ, προτείνεται η συνεργασία του</w:t></w:r><w:r><w:rPr><w:rFonts w:eastAsia="Times New Roman" w:cs="Calibri" w:cstheme="minorHAnsi"/><w:color w:val="3B4045"/><w:sz w:val="23"/><w:lang w:val="en-US" w:eastAsia="el-GR"/></w:rPr><w:t> </w:t></w:r><w:r><w:rPr><w:rFonts w:eastAsia="Times New Roman" w:cs="Calibri" w:cstheme="minorHAnsi"/><w:color w:val="3B4045"/><w:sz w:val="23"/><w:lang w:eastAsia="el-GR"/></w:rPr><w:t>φορέα του ΜΥΗΕ</w:t></w:r><w:r><w:rPr><w:rFonts w:eastAsia="Times New Roman" w:cs="Calibri" w:cstheme="minorHAnsi"/><w:color w:val="3B4045"/><w:sz w:val="23"/><w:lang w:val="en-US" w:eastAsia="el-GR"/></w:rPr><w:t> </w:t></w:r><w:r><w:rPr><w:rFonts w:eastAsia="Times New Roman" w:cs="Calibri" w:cstheme="minorHAnsi"/><w:color w:val="3B4045"/><w:sz w:val="23"/><w:lang w:eastAsia="el-GR"/></w:rPr><w:t xml:space="preserve">με </w:t></w:r><w:r><w:rPr><w:rFonts w:eastAsia="Times New Roman" w:cs="Calibri" w:cstheme="minorHAnsi"/><w:b w:val="false"/><w:bCs w:val="false"/><w:color w:val="3B4045"/><w:sz w:val="23"/><w:lang w:eastAsia="el-GR"/></w:rPr><w:t>το</w:t></w:r><w:r><w:rPr><w:rFonts w:eastAsia="Times New Roman" w:cs="Calibri" w:cstheme="minorHAnsi"/><w:b w:val="false"/><w:bCs w:val="false"/><w:color w:val="3B4045"/><w:sz w:val="23"/><w:lang w:val="en-US" w:eastAsia="el-GR"/></w:rPr><w:t> </w:t></w:r><w:r><w:rPr><w:rFonts w:eastAsia="Times New Roman" w:cs="Calibri" w:cstheme="minorHAnsi"/><w:b w:val="false"/><w:bCs w:val="false"/><w:color w:val="3B4045"/><w:spacing w:val="-1"/><w:sz w:val="23"/><w:lang w:eastAsia="el-GR"/></w:rPr><w:t>ΤΟΕΒ</w:t></w:r><w:r><w:rPr><w:rFonts w:eastAsia="Times New Roman" w:cs="Calibri" w:cstheme="minorHAnsi"/><w:b w:val="false"/><w:bCs w:val="false"/><w:color w:val="3B4045"/><w:spacing w:val="-1"/><w:sz w:val="23"/><w:lang w:val="en-US" w:eastAsia="el-GR"/></w:rPr><w:t> </w:t></w:r><w:r><w:rPr><w:rFonts w:eastAsia="Times New Roman" w:cs="Calibri" w:cstheme="minorHAnsi"/><w:b w:val="false"/><w:bCs w:val="false"/><w:color w:val="3B4045"/><w:spacing w:val="-1"/><w:sz w:val="23"/><w:lang w:eastAsia="el-GR"/></w:rPr><w:t xml:space="preserve">της </w:t></w:r><w:r><w:rPr><w:rFonts w:eastAsia="Times New Roman" w:cs="Calibri" w:cstheme="minorHAnsi"/><w:b w:val="false"/><w:bCs w:val="false"/><w:color w:val="3B4045"/><w:sz w:val="23"/><w:lang w:eastAsia="el-GR"/></w:rPr><w:t>περιοχής και τους άλλους συναρμόδιους φορείς όπως</w:t></w:r><w:r><w:rPr><w:rFonts w:eastAsia="Times New Roman" w:cs="Calibri" w:cstheme="minorHAnsi"/><w:b w:val="false"/><w:bCs w:val="false"/><w:color w:val="3B4045"/><w:spacing w:val="-1"/><w:sz w:val="23"/><w:lang w:eastAsia="el-GR"/></w:rPr><w:t xml:space="preserve"> η</w:t></w:r><w:r><w:rPr><w:rFonts w:eastAsia="Times New Roman" w:cs="Calibri" w:cstheme="minorHAnsi"/><w:b w:val="false"/><w:bCs w:val="false"/><w:color w:val="3B4045"/><w:spacing w:val="-1"/><w:sz w:val="23"/><w:lang w:val="en-US" w:eastAsia="el-GR"/></w:rPr><w:t> </w:t></w:r><w:r><w:rPr><w:rFonts w:eastAsia="Times New Roman" w:cs="Calibri" w:cstheme="minorHAnsi"/><w:b w:val="false"/><w:bCs w:val="false"/><w:color w:val="3B4045"/><w:sz w:val="23"/><w:lang w:eastAsia="el-GR"/></w:rPr><w:t xml:space="preserve">Δ/νση Υδάτων-Α.Μ.Θ., το ΙΝΑΛΕ </w:t></w:r><w:r><w:rPr><w:rFonts w:eastAsia="Times New Roman" w:cs="Calibri" w:cstheme="minorHAnsi"/><w:color w:val="3B4045"/><w:sz w:val="23"/><w:lang w:eastAsia="el-GR"/></w:rPr><w:t xml:space="preserve">ώστε </w:t></w:r><w:r><w:rPr><w:rFonts w:eastAsia="Times New Roman" w:cs="Calibri" w:cstheme="minorHAnsi"/><w:b/><w:bCs/><w:color w:val="3B4045"/><w:sz w:val="23"/><w:lang w:eastAsia="el-GR"/></w:rPr><w:t>η στάθμη στον ποταμό μετά την υδροληψία του αρδευτικού καναλιού να διατηρείται καθ’ όλο τον χρόνο σε επίπεδα που να επιτρέπουν την ομαλή ανάπτυξη της ιχθυοπανίδας και της υπόλοιπης υδρόβιας πανίδας</w:t></w:r><w:r><w:rPr><w:rFonts w:eastAsia="Times New Roman" w:cs="Calibri" w:cstheme="minorHAnsi"/><w:color w:val="3B4045"/><w:sz w:val="23"/><w:lang w:eastAsia="el-GR"/></w:rPr><w:t>.</w:t></w:r></w:p><w:p><w:pPr><w:pStyle w:val="Normal"/><w:shd w:val="clear" w:color="auto" w:fill="FFFFFF"/><w:spacing w:lineRule="atLeast" w:line="127" w:before="0" w:after="0"/><w:textAlignment w:val="center"/><w:rPr></w:rPr></w:pPr><w:r><w:rPr><w:rFonts w:eastAsia="Times New Roman" w:cs="Calibri" w:cstheme="minorHAnsi"/><w:color w:val="3B4045"/><w:sz w:val="23"/><w:lang w:eastAsia="el-GR"/></w:rPr><w:t>Σ</w:t></w:r><w:r><w:rPr><w:rFonts w:eastAsia="Times New Roman" w:cs="Calibri" w:cstheme="minorHAnsi"/><w:color w:val="3B4045"/><w:sz w:val="23"/><w:lang w:eastAsia="el-GR"/></w:rPr><w:t xml:space="preserve">τον </w:t></w:r><w:r><w:rPr><w:rFonts w:eastAsia="Times New Roman" w:cs="Calibri" w:cstheme="minorHAnsi"/><w:color w:val="3B4045"/><w:sz w:val="23"/><w:lang w:eastAsia="el-GR"/></w:rPr><w:t xml:space="preserve">π. </w:t></w:r><w:r><w:rPr><w:rFonts w:eastAsia="Times New Roman" w:cs="Calibri" w:cstheme="minorHAnsi"/><w:color w:val="3B4045"/><w:sz w:val="23"/><w:lang w:eastAsia="el-GR"/></w:rPr><w:t>Αγγίτη έχει τεκμηριωθεί η παρουσία και η διαβίωση της Πετροκαραβίδας (</w:t></w:r><w:r><w:rPr><w:rFonts w:eastAsia="Times New Roman" w:cs="Calibri" w:cstheme="minorHAnsi"/><w:i/><w:color w:val="3B4045"/><w:sz w:val="23"/><w:lang w:val="en-US" w:eastAsia="el-GR"/></w:rPr><w:t>Austropotamobius</w:t></w:r><w:r><w:rPr><w:rFonts w:eastAsia="Times New Roman" w:cs="Calibri" w:cstheme="minorHAnsi"/><w:i/><w:color w:val="3B4045"/><w:sz w:val="23"/><w:lang w:eastAsia="el-GR"/></w:rPr><w:t xml:space="preserve"> </w:t></w:r><w:r><w:rPr><w:rFonts w:eastAsia="Times New Roman" w:cs="Calibri" w:cstheme="minorHAnsi"/><w:i/><w:color w:val="3B4045"/><w:sz w:val="23"/><w:lang w:val="en-US" w:eastAsia="el-GR"/></w:rPr><w:t>torrentium</w:t></w:r><w:r><w:rPr><w:rFonts w:eastAsia="Times New Roman" w:cs="Calibri" w:cstheme="minorHAnsi"/><w:color w:val="3B4045"/><w:sz w:val="23"/><w:lang w:eastAsia="el-GR"/></w:rPr><w:t xml:space="preserve">) είδος προτεραιότητας στο Παρ. ΙΙ της Οδηγίας 92/43/ΕΟΚ </w:t></w:r><w:r><w:rPr><w:rFonts w:eastAsia="Times New Roman" w:cs="Calibri" w:cstheme="minorHAnsi"/><w:color w:val="3B4045"/><w:sz w:val="23"/><w:lang w:eastAsia="el-GR"/></w:rPr><w:t>και κατά συνέπεια</w:t></w:r><w:r><w:rPr><w:rFonts w:eastAsia="Times New Roman" w:cs="Calibri" w:cstheme="minorHAnsi"/><w:color w:val="3B4045"/><w:sz w:val="23"/><w:lang w:eastAsia="el-GR"/></w:rPr><w:t xml:space="preserve"> θα πρέπει να εξασφαλισθούν οι κατάλληλες υδρολογικές συνθήκες στον ποταμό κατά την περίοδο αναπαραγωγής του είδους που διαρκεί </w:t></w:r><w:r><w:rPr><w:rFonts w:eastAsia="Times New Roman" w:cs="Calibri" w:cstheme="minorHAnsi"/><w:color w:val="3B4045"/><w:sz w:val="23"/><w:u w:val="single"/><w:lang w:eastAsia="el-GR"/></w:rPr><w:t>από τον Νοέμβριο ως τον Μάιο</w:t></w:r><w:r><w:rPr><w:rFonts w:eastAsia="Times New Roman" w:cs="Calibri" w:cstheme="minorHAnsi"/><w:color w:val="3B4045"/><w:sz w:val="23"/><w:u w:val="none"/><w:lang w:eastAsia="el-GR"/></w:rPr><w:t xml:space="preserve">, </w:t></w:r><w:r><w:rPr><w:rFonts w:eastAsia="Times New Roman" w:cs="Calibri" w:cstheme="minorHAnsi"/><w:color w:val="3B4045"/><w:sz w:val="23"/><w:u w:val="none"/><w:lang w:eastAsia="el-GR"/></w:rPr><w:t>όπως προβλέπεται και στο αρ. 23, Κεφ. Δ</w:t></w:r><w:r><w:rPr><w:rFonts w:eastAsia="Times New Roman" w:cs="Calibri" w:cstheme="minorHAnsi"/><w:color w:val="3B4045"/><w:sz w:val="23"/><w:u w:val="none"/><w:lang w:eastAsia="el-GR"/></w:rPr><w:t>.</w:t></w:r></w:p><w:p><w:pPr><w:pStyle w:val="Normal"/><w:shd w:val="clear" w:color="auto" w:fill="FFFFFF"/><w:spacing w:lineRule="atLeast" w:line="127" w:before="0" w:after="0"/><w:textAlignment w:val="center"/><w:rPr></w:rPr></w:pPr><w:r><w:rPr><w:rFonts w:eastAsia="Times New Roman" w:cs="Calibri" w:cstheme="minorHAnsi"/><w:color w:val="3B4045"/><w:sz w:val="23"/><w:lang w:eastAsia="el-GR"/></w:rPr><w:t xml:space="preserve">Επίσης στον </w:t></w:r><w:r><w:rPr><w:rFonts w:eastAsia="Times New Roman" w:cs="Calibri" w:cstheme="minorHAnsi"/><w:color w:val="3B4045"/><w:sz w:val="23"/><w:lang w:eastAsia="el-GR"/></w:rPr><w:t xml:space="preserve">π. </w:t></w:r><w:r><w:rPr><w:rFonts w:eastAsia="Times New Roman" w:cs="Calibri" w:cstheme="minorHAnsi"/><w:color w:val="3B4045"/><w:sz w:val="23"/><w:lang w:eastAsia="el-GR"/></w:rPr><w:t xml:space="preserve">Αγγίτη έχουν εντοπιστεί δύο προστατευόμενα </w:t></w:r><w:r><w:rPr><w:rFonts w:eastAsia="Times New Roman" w:cs="Calibri" w:cstheme="minorHAnsi"/><w:color w:val="3B4045"/><w:sz w:val="23"/><w:lang w:eastAsia="el-GR"/></w:rPr><w:t xml:space="preserve">ενδημικά </w:t></w:r><w:r><w:rPr><w:rFonts w:eastAsia="Times New Roman" w:cs="Calibri" w:cstheme="minorHAnsi"/><w:color w:val="3B4045"/><w:sz w:val="23"/><w:lang w:eastAsia="el-GR"/></w:rPr><w:t>είδη της ιχθυοπανίδας: η Μουρμουρίτσα (</w:t></w:r><w:r><w:rPr><w:rFonts w:eastAsia="Times New Roman" w:cs="Calibri" w:cstheme="minorHAnsi"/><w:color w:val="3B4045"/><w:sz w:val="23"/><w:lang w:val="en-US" w:eastAsia="el-GR"/></w:rPr><w:t>Rhodeus</w:t></w:r><w:r><w:rPr><w:rFonts w:eastAsia="Times New Roman" w:cs="Calibri" w:cstheme="minorHAnsi"/><w:color w:val="3B4045"/><w:sz w:val="23"/><w:lang w:eastAsia="el-GR"/></w:rPr><w:t xml:space="preserve"> </w:t></w:r><w:r><w:rPr><w:rFonts w:eastAsia="Times New Roman" w:cs="Calibri" w:cstheme="minorHAnsi"/><w:color w:val="3B4045"/><w:sz w:val="23"/><w:lang w:val="en-US" w:eastAsia="el-GR"/></w:rPr><w:t>sericeus</w:t></w:r><w:r><w:rPr><w:rFonts w:eastAsia="Times New Roman" w:cs="Calibri" w:cstheme="minorHAnsi"/><w:color w:val="3B4045"/><w:sz w:val="23"/><w:lang w:eastAsia="el-GR"/></w:rPr><w:t>), και το Τσιρωνάκι (</w:t></w:r><w:r><w:rPr><w:rFonts w:eastAsia="Times New Roman" w:cs="Calibri" w:cstheme="minorHAnsi"/><w:color w:val="3B4045"/><w:sz w:val="23"/><w:lang w:val="en-US" w:eastAsia="el-GR"/></w:rPr><w:t>Alburnoides</w:t></w:r><w:r><w:rPr><w:rFonts w:eastAsia="Times New Roman" w:cs="Calibri" w:cstheme="minorHAnsi"/><w:color w:val="3B4045"/><w:sz w:val="23"/><w:lang w:eastAsia="el-GR"/></w:rPr><w:t xml:space="preserve"> </w:t></w:r><w:r><w:rPr><w:rFonts w:eastAsia="Times New Roman" w:cs="Calibri" w:cstheme="minorHAnsi"/><w:color w:val="3B4045"/><w:sz w:val="23"/><w:lang w:val="en-US" w:eastAsia="el-GR"/></w:rPr><w:t>bipunctatus</w:t></w:r><w:r><w:rPr><w:rFonts w:eastAsia="Times New Roman" w:cs="Calibri" w:cstheme="minorHAnsi"/><w:color w:val="3B4045"/><w:spacing w:val="1"/><w:sz w:val="23"/><w:lang w:eastAsia="el-GR"/></w:rPr><w:t>)</w:t></w:r><w:r><w:rPr><w:rFonts w:eastAsia="Times New Roman" w:cs="Calibri" w:cstheme="minorHAnsi"/><w:color w:val="3B4045"/><w:spacing w:val="1"/><w:sz w:val="23"/><w:lang w:val="en-US" w:eastAsia="el-GR"/></w:rPr><w:t> </w:t></w:r><w:r><w:rPr><w:rFonts w:eastAsia="Times New Roman" w:cs="Calibri" w:cstheme="minorHAnsi"/><w:color w:val="3B4045"/><w:sz w:val="23"/><w:lang w:eastAsia="el-GR"/></w:rPr><w:t>και</w:t></w:r><w:r><w:rPr><w:rFonts w:eastAsia="Times New Roman" w:cs="Calibri" w:cstheme="minorHAnsi"/><w:color w:val="3B4045"/><w:sz w:val="23"/><w:lang w:val="en-US" w:eastAsia="el-GR"/></w:rPr><w:t> </w:t></w:r><w:r><w:rPr><w:rFonts w:eastAsia="Times New Roman" w:cs="Calibri" w:cstheme="minorHAnsi"/><w:color w:val="3B4045"/><w:sz w:val="23"/><w:lang w:eastAsia="el-GR"/></w:rPr><w:t>η χώρα μας έχει υποχρέωση για την διατήρηση των πληθυσμών τους.</w:t></w:r></w:p><w:p><w:pPr><w:pStyle w:val="Normal"/><w:shd w:val="clear" w:color="auto" w:fill="FFFFFF"/><w:spacing w:lineRule="atLeast" w:line="127" w:before="0" w:after="0"/><w:textAlignment w:val="center"/><w:rPr></w:rPr></w:pPr><w:r><w:rPr><w:rFonts w:eastAsia="Times New Roman" w:cs="Calibri" w:cstheme="minorHAnsi"/><w:b/><w:bCs/><w:color w:val="3B4045"/><w:sz w:val="23"/><w:lang w:eastAsia="el-GR"/></w:rPr><w:t>Μέχρι σήμερα η</w:t></w:r><w:r><w:rPr><w:rFonts w:eastAsia="Times New Roman" w:cs="Calibri" w:cstheme="minorHAnsi"/><w:b/><w:bCs/><w:color w:val="3B4045"/><w:sz w:val="23"/><w:lang w:eastAsia="el-GR"/></w:rPr><w:t xml:space="preserve"> στάθμη στον ποταμό δεν έχει μετρηθεί ή δεν έχουν κοινοποιηθεί τα στοιχεία </w:t></w:r><w:r><w:rPr><w:rFonts w:eastAsia="Times New Roman" w:cs="Calibri" w:cstheme="minorHAnsi"/><w:b/><w:bCs/><w:color w:val="3B4045"/><w:sz w:val="23"/><w:lang w:eastAsia="el-GR"/></w:rPr><w:t>στο Τμήμα Αλιείας</w:t></w:r><w:r><w:rPr><w:rFonts w:eastAsia="Times New Roman" w:cs="Calibri" w:cstheme="minorHAnsi"/><w:b/><w:bCs/><w:color w:val="3B4045"/><w:sz w:val="23"/><w:lang w:eastAsia="el-GR"/></w:rPr><w:t>.</w:t></w:r></w:p><w:p><w:pPr><w:pStyle w:val="Normal"/><w:shd w:val="clear" w:color="auto" w:fill="FFFFFF"/><w:spacing w:lineRule="atLeast" w:line="127" w:before="0" w:after="0"/><w:textAlignment w:val="center"/><w:rPr><w:rFonts w:eastAsia="Times New Roman" w:cs="Calibri" w:cstheme="minorHAnsi"/><w:color w:val="3B4045"/><w:sz w:val="23"/><w:lang w:eastAsia="el-GR"/></w:rPr></w:pPr><w:r><w:rPr><w:rFonts w:eastAsia="Times New Roman" w:cs="Calibri" w:cstheme="minorHAnsi"/><w:color w:val="3B4045"/><w:sz w:val="23"/><w:lang w:eastAsia="el-GR"/></w:rPr></w:r></w:p><w:p><w:pPr><w:pStyle w:val="Normal"/><w:shd w:val="clear" w:color="auto" w:fill="FFFFFF"/><w:spacing w:lineRule="atLeast" w:line="127" w:before="0" w:after="0"/><w:textAlignment w:val="center"/><w:rPr><w:rFonts w:eastAsia="Times New Roman" w:cs="Calibri" w:cstheme="minorHAnsi"/><w:color w:val="3B4045"/><w:sz w:val="23"/><w:lang w:eastAsia="el-GR"/></w:rPr></w:pPr><w:r><w:rPr><w:rFonts w:eastAsia="Times New Roman" w:cs="Calibri" w:cstheme="minorHAnsi"/><w:color w:val="3B4045"/><w:sz w:val="23"/><w:u w:val="single"/><w:lang w:eastAsia="el-GR"/></w:rPr><w:t>Κεφ. Δ αρ. 4</w:t></w:r></w:p><w:p><w:pPr><w:pStyle w:val="Normal"/><w:shd w:val="clear" w:color="auto" w:fill="FFFFFF"/><w:spacing w:lineRule="atLeast" w:line="127" w:before="0" w:after="0"/><w:textAlignment w:val="center"/><w:rPr></w:rPr></w:pPr><w:r><w:rPr><w:rFonts w:eastAsia="Times New Roman" w:cs="Calibri" w:cstheme="minorHAnsi"/><w:color w:val="3B4045"/><w:sz w:val="23"/><w:lang w:eastAsia="el-GR"/></w:rPr><w:t>Συμφωνία</w:t></w:r><w:r><w:rPr><w:rFonts w:eastAsia="Times New Roman" w:cs="Calibri" w:cstheme="minorHAnsi"/><w:color w:val="3B4045"/><w:sz w:val="23"/><w:lang w:eastAsia="el-GR"/></w:rPr><w:t xml:space="preserve"> με την αριθ. 9850/ΦΥ4/11-7-2011 Παράταση Άδειας χρήσης νερού προβλέπεται έλεγχος της θερμοκρασίας στο νερό μετά την έξοδο του από τον σταθμό ηλεκτροπαραγωγής του ΜΥΗΕ πριν καταλήξει στο ποτάμι.</w:t></w:r></w:p><w:p><w:pPr><w:pStyle w:val="Normal"/><w:shd w:val="clear" w:color="auto" w:fill="FFFFFF"/><w:spacing w:lineRule="atLeast" w:line="127" w:before="0" w:after="0"/><w:textAlignment w:val="center"/><w:rPr><w:b/><w:b/><w:bCs/></w:rPr></w:pPr><w:r><w:rPr><w:rFonts w:eastAsia="Times New Roman" w:cs="Calibri" w:cstheme="minorHAnsi"/><w:b/><w:bCs/><w:color w:val="3B4045"/><w:sz w:val="23"/><w:lang w:eastAsia="el-GR"/></w:rPr><w:t xml:space="preserve">Μέχρι σήμερα </w:t></w:r><w:r><w:rPr><w:rFonts w:eastAsia="Times New Roman" w:cs="Calibri" w:cstheme="minorHAnsi"/><w:b/><w:bCs/><w:color w:val="3B4045"/><w:sz w:val="23"/><w:lang w:eastAsia="el-GR"/></w:rPr><w:t>δ</w:t></w:r><w:r><w:rPr><w:rFonts w:eastAsia="Times New Roman" w:cs="Calibri" w:cstheme="minorHAnsi"/><w:b/><w:bCs/><w:color w:val="3B4045"/><w:sz w:val="23"/><w:lang w:eastAsia="el-GR"/></w:rPr><w:t xml:space="preserve">εν έχουν κοινοποιηθεί </w:t></w:r><w:r><w:rPr><w:rFonts w:eastAsia="Times New Roman" w:cs="Calibri" w:cstheme="minorHAnsi"/><w:b/><w:bCs/><w:color w:val="3B4045"/><w:sz w:val="23"/><w:lang w:eastAsia="el-GR"/></w:rPr><w:t xml:space="preserve"> στο Τμήμα Αλιείας</w:t></w:r><w:r><w:rPr><w:rFonts w:eastAsia="Times New Roman" w:cs="Calibri" w:cstheme="minorHAnsi"/><w:b/><w:bCs/><w:color w:val="3B4045"/><w:sz w:val="23"/><w:lang w:eastAsia="el-GR"/></w:rPr><w:t xml:space="preserve"> στοιχεία που προβλέπονται από την ΑΕΠΟ όπως </w:t></w:r><w:r><w:rPr><w:rFonts w:eastAsia="Times New Roman" w:cs="Calibri" w:cstheme="minorHAnsi"/><w:b/><w:bCs/><w:color w:val="3B4045"/><w:sz w:val="23"/><w:lang w:eastAsia="el-GR"/></w:rPr><w:t>οι</w:t></w:r><w:r><w:rPr><w:rFonts w:eastAsia="Times New Roman" w:cs="Calibri" w:cstheme="minorHAnsi"/><w:b/><w:bCs/><w:color w:val="3B4045"/><w:sz w:val="23"/><w:lang w:eastAsia="el-GR"/></w:rPr><w:t xml:space="preserve"> </w:t></w:r><w:r><w:rPr><w:rFonts w:eastAsia="Times New Roman" w:cs="Calibri" w:cstheme="minorHAnsi"/><w:b/><w:bCs/><w:color w:val="3B4045"/><w:sz w:val="23"/><w:u w:val="none"/><w:lang w:eastAsia="el-GR"/></w:rPr><w:t>μετρήσεις θερμοκρασία</w:t></w:r><w:r><w:rPr><w:rFonts w:eastAsia="Times New Roman" w:cs="Calibri" w:cstheme="minorHAnsi"/><w:b/><w:bCs/><w:color w:val="3B4045"/><w:sz w:val="23"/><w:u w:val="none"/><w:lang w:eastAsia="el-GR"/></w:rPr><w:t xml:space="preserve">ς ώστε να τεκμηριώνεται η αποφυγή θερμοκρασιακού σοκ στην υδρόβια πανίδα. </w:t></w:r></w:p><w:p><w:pPr><w:pStyle w:val="Normal"/><w:shd w:val="clear" w:color="auto" w:fill="FFFFFF"/><w:spacing w:lineRule="atLeast" w:line="127" w:before="0" w:after="0"/><w:textAlignment w:val="center"/><w:rPr><w:rFonts w:eastAsia="Times New Roman" w:cs="Calibri" w:cstheme="minorHAnsi"/><w:color w:val="3B4045"/><w:sz w:val="23"/><w:lang w:eastAsia="el-GR"/></w:rPr></w:pPr><w:r><w:rPr><w:rFonts w:eastAsia="Times New Roman" w:cs="Calibri" w:cstheme="minorHAnsi"/><w:color w:val="3B4045"/><w:sz w:val="23"/><w:lang w:eastAsia="el-GR"/></w:rPr></w:r></w:p><w:p><w:pPr><w:pStyle w:val="Normal"/><w:shd w:val="clear" w:color="auto" w:fill="FFFFFF"/><w:spacing w:lineRule="atLeast" w:line="127" w:before="0" w:after="0"/><w:textAlignment w:val="center"/><w:rPr></w:rPr></w:pPr><w:r><w:rPr><w:rFonts w:eastAsia="Times New Roman" w:cs="Calibri" w:cstheme="minorHAnsi"/><w:color w:val="3B4045"/><w:sz w:val="23"/><w:lang w:eastAsia="el-GR"/></w:rPr><w:t>Τέλος, σ</w:t></w:r><w:r><w:rPr><w:rFonts w:eastAsia="Times New Roman" w:cs="Calibri" w:cstheme="minorHAnsi"/><w:color w:val="3B4045"/><w:sz w:val="23"/><w:lang w:eastAsia="el-GR"/></w:rPr><w:t xml:space="preserve">ύμφωνα με την Ενιαία Άδεια χρήσης νερού </w:t></w:r><w:r><w:rPr><w:rFonts w:eastAsia="Times New Roman" w:cs="Calibri" w:cstheme="minorHAnsi"/><w:color w:val="3B4045"/><w:sz w:val="23"/><w:lang w:eastAsia="el-GR"/></w:rPr><w:t xml:space="preserve">αριθ. 2677/17-8-2006 θα πρέπει </w:t></w:r><w:r><w:rPr><w:rFonts w:eastAsia="Times New Roman" w:cs="Calibri" w:cstheme="minorHAnsi"/><w:color w:val="3B4045"/><w:sz w:val="23"/><w:lang w:eastAsia="el-GR"/></w:rPr><w:t xml:space="preserve">να εξασφαλίζεται σταθερή παροχή εντός της κοίτης του Αγγίτη υψηλότερης του 30% της μέσης θερινής παροχής του Αγγίτη. </w:t></w:r><w:r><w:rPr><w:rFonts w:eastAsia="Times New Roman" w:cs="Calibri" w:cstheme="minorHAnsi"/><w:color w:val="3B4045"/><w:sz w:val="23"/><w:lang w:eastAsia="el-GR"/></w:rPr><w:t>Τα στοιχεία αυτά δεν μας έχουν κοινοποιηθεί.</w:t></w:r></w:p><w:p><w:pPr><w:pStyle w:val="Normal"/><w:shd w:val="clear" w:color="auto" w:fill="FFFFFF"/><w:spacing w:lineRule="atLeast" w:line="127" w:before="0" w:after="0"/><w:textAlignment w:val="center"/><w:rPr><w:rFonts w:eastAsia="Times New Roman" w:cs="Calibri" w:cstheme="minorHAnsi"/><w:color w:val="3B4045"/><w:sz w:val="23"/><w:lang w:eastAsia="el-GR"/></w:rPr></w:pPr><w:r><w:rPr></w:rPr></w:r></w:p><w:p><w:pPr><w:pStyle w:val="Normal"/><w:shd w:val="clear" w:color="auto" w:fill="FFFFFF"/><w:spacing w:lineRule="atLeast" w:line="127" w:before="0" w:after="0"/><w:textAlignment w:val="center"/><w:rPr><w:i/><w:i/><w:iCs/><w:color w:val="800000"/></w:rPr></w:pPr><w:r><w:rPr><w:rFonts w:eastAsia="Times New Roman" w:cs="Calibri" w:cstheme="minorHAnsi"/><w:i/><w:iCs/><w:color w:val="800000"/><w:sz w:val="23"/><w:lang w:eastAsia="el-GR"/></w:rPr><w:t>Σύμφωνα με την Ενιαία Άδεια χρήσης νερού αριθ. 2677/17-8-2006:</w:t></w:r></w:p><w:p><w:pPr><w:pStyle w:val="ListParagraph"/><w:numPr><w:ilvl w:val="0"/><w:numId w:val="1"/></w:numPr><w:shd w:val="clear" w:color="auto" w:fill="FFFFFF"/><w:spacing w:lineRule="atLeast" w:line="127" w:before="0" w:after="0"/><w:ind w:left="360" w:hanging="360"/><w:textAlignment w:val="center"/><w:rPr><w:i/><w:i/><w:iCs/><w:color w:val="800000"/></w:rPr></w:pPr><w:r><w:rPr><w:rFonts w:eastAsia="Times New Roman" w:cs="Calibri" w:cstheme="minorHAnsi"/><w:i/><w:iCs/><w:color w:val="800000"/><w:sz w:val="23"/><w:lang w:eastAsia="el-GR"/></w:rPr><w:t>θα αξιοποιεί τα 4/5 της παροχής υδάτων του αρδευτικού καναλιού</w:t></w:r></w:p><w:p><w:pPr><w:pStyle w:val="ListParagraph"/><w:numPr><w:ilvl w:val="0"/><w:numId w:val="1"/></w:numPr><w:shd w:val="clear" w:color="auto" w:fill="FFFFFF"/><w:spacing w:lineRule="atLeast" w:line="127" w:before="0" w:after="0"/><w:ind w:left="360" w:hanging="360"/><w:textAlignment w:val="center"/><w:rPr><w:i/><w:i/><w:iCs/><w:color w:val="800000"/></w:rPr></w:pPr><w:r><w:rPr><w:rFonts w:eastAsia="Times New Roman" w:cs="Calibri" w:cstheme="minorHAnsi"/><w:i/><w:iCs/><w:color w:val="800000"/><w:sz w:val="23"/><w:lang w:eastAsia="el-GR"/></w:rPr><w:t>ο φορέας θα πρέπει να συμμορφωθεί με την ισχύουσα νομοθεσία για την προστασία των υδάτων από ρύπους. Έχει διαπιστωθεί σε αυτοψία στις …/…/…….. ότι χρησιμοποιούσε σε μεγάλες ποσότητες raudap και έγινε σύσταση εγγράφως να σταματήσει: Α.Π. ……………………</w:t></w:r><w:r><w:br w:type="page"/></w:r></w:p><w:p><w:pPr><w:pStyle w:val="ListParagraph"/><w:shd w:val="clear" w:color="auto" w:fill="FFFFFF"/><w:spacing w:lineRule="atLeast" w:line="127" w:before="0" w:after="0"/><w:ind w:left="360" w:hanging="360"/><w:textAlignment w:val="center"/><w:rPr><w:rFonts w:eastAsia="Times New Roman" w:cs="Calibri" w:cstheme="minorHAnsi"/><w:sz w:val="23"/><w:lang w:eastAsia="el-GR"/></w:rPr></w:pPr><w:r><w:rPr><w:i/><w:iCs/><w:color w:val="800000"/></w:rPr><w:drawing><wp:anchor behindDoc="0" distT="0" distB="0" distL="0" distR="0" simplePos="0" locked="0" layoutInCell="1" allowOverlap="1" relativeHeight="2"><wp:simplePos x="0" y="0"/><wp:positionH relativeFrom="column"><wp:align>center</wp:align></wp:positionH><wp:positionV relativeFrom="paragraph"><wp:posOffset>635</wp:posOffset></wp:positionV><wp:extent cx="6117590" cy="3441065"/><wp:effectExtent l="0" t="0" r="0" b="0"/><wp:wrapSquare wrapText="largest"/><wp:docPr id="1" name="Εικόνα1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Εικόνα1" descr=""></pic:cNvPr><pic:cNvPicPr><a:picLocks noChangeAspect="1" noChangeArrowheads="1"/></pic:cNvPicPr></pic:nvPicPr><pic:blipFill><a:blip r:embed="rId2"></a:blip><a:stretch><a:fillRect/></a:stretch></pic:blipFill><pic:spPr bwMode="auto"><a:xfrm><a:off x="0" y="0"/><a:ext cx="6117590" cy="3441065"/></a:xfrm><a:prstGeom prst="rect"><a:avLst/></a:prstGeom></pic:spPr></pic:pic></a:graphicData></a:graphic></wp:anchor></w:drawing></w:r></w:p><w:p><w:pPr><w:pStyle w:val="ListParagraph"/><w:shd w:val="clear" w:color="auto" w:fill="FFFFFF"/><w:spacing w:lineRule="atLeast" w:line="127" w:before="0" w:after="0"/><w:ind w:left="360" w:hanging="360"/><w:textAlignment w:val="center"/><w:rPr><w:rFonts w:eastAsia="Times New Roman" w:cs="Calibri" w:cstheme="minorHAnsi"/><w:sz w:val="23"/><w:lang w:eastAsia="el-GR"/></w:rPr></w:pPr><w:r><w:rPr><w:i/><w:iCs/><w:color w:val="800000"/></w:rPr></w:r></w:p><w:p><w:pPr><w:pStyle w:val="ListParagraph"/><w:shd w:val="clear" w:color="auto" w:fill="FFFFFF"/><w:spacing w:lineRule="atLeast" w:line="127" w:before="0" w:after="0"/><w:ind w:left="360" w:hanging="360"/><w:textAlignment w:val="center"/><w:rPr><w:rFonts w:eastAsia="Times New Roman" w:cs="Calibri" w:cstheme="minorHAnsi"/><w:sz w:val="23"/><w:lang w:eastAsia="el-GR"/></w:rPr></w:pPr><w:r><w:rPr><w:i/><w:iCs/><w:color w:val="800000"/></w:rPr><w:drawing><wp:anchor behindDoc="0" distT="0" distB="0" distL="0" distR="0" simplePos="0" locked="0" layoutInCell="1" allowOverlap="1" relativeHeight="3"><wp:simplePos x="0" y="0"/><wp:positionH relativeFrom="column"><wp:align>center</wp:align></wp:positionH><wp:positionV relativeFrom="paragraph"><wp:posOffset>635</wp:posOffset></wp:positionV><wp:extent cx="3089275" cy="5492750"/><wp:effectExtent l="0" t="0" r="0" b="0"/><wp:wrapSquare wrapText="largest"/><wp:docPr id="2" name="Εικόνα2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2" name="Εικόνα2" descr=""></pic:cNvPr><pic:cNvPicPr><a:picLocks noChangeAspect="1" noChangeArrowheads="1"/></pic:cNvPicPr></pic:nvPicPr><pic:blipFill><a:blip r:embed="rId3"></a:blip><a:stretch><a:fillRect/></a:stretch></pic:blipFill><pic:spPr bwMode="auto"><a:xfrm><a:off x="0" y="0"/><a:ext cx="3089275" cy="5492750"/></a:xfrm><a:prstGeom prst="rect"><a:avLst/></a:prstGeom></pic:spPr></pic:pic></a:graphicData></a:graphic></wp:anchor></w:drawing></w:r></w:p><w:sectPr><w:type w:val="nextPage"/><w:pgSz w:w="11906" w:h="16838"/><w:pgMar w:left="1136" w:right="1136" w:header="0" w:top="1136" w:footer="0" w:bottom="1136" w:gutter="0"/><w:pgNumType w:fmt="decimal"/><w:formProt w:val="false"/><w:textDirection w:val="lrTb"/><w:docGrid w:type="default" w:linePitch="360" w:charSpace="4294965247"/></w:sectPr></w:body>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Calibri">
    <w:charset w:val="a1"/>
    <w:family w:val="roman"/>
    <w:pitch w:val="variable"/>
  </w:font>
  <w:font w:name="Liberation Sans">
    <w:altName w:val="Arial"/>
    <w:charset w:val="a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9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20"/>
  <w:compat/>
  <w:themeFontLang w:val="el-G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l-G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02a9f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l-G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x2" w:customStyle="1">
    <w:name w:val="tx2"/>
    <w:basedOn w:val="DefaultParagraphFont"/>
    <w:qFormat/>
    <w:rsid w:val="003973d8"/>
    <w:rPr/>
  </w:style>
  <w:style w:type="character" w:styleId="Previewcontrolsdocumentcurrentpage" w:customStyle="1">
    <w:name w:val="preview-controls-document-current-page"/>
    <w:basedOn w:val="DefaultParagraphFont"/>
    <w:qFormat/>
    <w:rsid w:val="003973d8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Symbol"/>
      <w:sz w:val="24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  <w:sz w:val="9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>
      <w:rFonts w:cs="Symbol"/>
      <w:sz w:val="24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Wingdings"/>
    </w:rPr>
  </w:style>
  <w:style w:type="character" w:styleId="ListLabel28">
    <w:name w:val="ListLabel 28"/>
    <w:qFormat/>
    <w:rPr>
      <w:rFonts w:cs="Symbol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Wingdings"/>
    </w:rPr>
  </w:style>
  <w:style w:type="character" w:styleId="ListLabel31">
    <w:name w:val="ListLabel 31"/>
    <w:qFormat/>
    <w:rPr>
      <w:rFonts w:cs="Symbol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Wingdings"/>
    </w:rPr>
  </w:style>
  <w:style w:type="character" w:styleId="ListLabel34">
    <w:name w:val="ListLabel 34"/>
    <w:qFormat/>
    <w:rPr>
      <w:rFonts w:cs="Symbol"/>
      <w:sz w:val="9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Wingdings"/>
    </w:rPr>
  </w:style>
  <w:style w:type="character" w:styleId="ListLabel37">
    <w:name w:val="ListLabel 37"/>
    <w:qFormat/>
    <w:rPr>
      <w:rFonts w:cs="Symbol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Wingdings"/>
    </w:rPr>
  </w:style>
  <w:style w:type="character" w:styleId="ListLabel40">
    <w:name w:val="ListLabel 40"/>
    <w:qFormat/>
    <w:rPr>
      <w:rFonts w:cs="Symbol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Wingdings"/>
    </w:rPr>
  </w:style>
  <w:style w:type="character" w:styleId="ListLabel43">
    <w:name w:val="ListLabel 43"/>
    <w:qFormat/>
    <w:rPr>
      <w:rFonts w:cs="Symbol"/>
      <w:sz w:val="24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Wingdings"/>
    </w:rPr>
  </w:style>
  <w:style w:type="character" w:styleId="ListLabel46">
    <w:name w:val="ListLabel 46"/>
    <w:qFormat/>
    <w:rPr>
      <w:rFonts w:cs="Symbol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Wingdings"/>
    </w:rPr>
  </w:style>
  <w:style w:type="character" w:styleId="ListLabel49">
    <w:name w:val="ListLabel 49"/>
    <w:qFormat/>
    <w:rPr>
      <w:rFonts w:cs="Symbol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Wingdings"/>
    </w:rPr>
  </w:style>
  <w:style w:type="character" w:styleId="ListLabel52">
    <w:name w:val="ListLabel 52"/>
    <w:qFormat/>
    <w:rPr>
      <w:rFonts w:cs="Symbol"/>
      <w:sz w:val="9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Wingdings"/>
    </w:rPr>
  </w:style>
  <w:style w:type="character" w:styleId="ListLabel55">
    <w:name w:val="ListLabel 55"/>
    <w:qFormat/>
    <w:rPr>
      <w:rFonts w:cs="Symbol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Wingdings"/>
    </w:rPr>
  </w:style>
  <w:style w:type="character" w:styleId="ListLabel58">
    <w:name w:val="ListLabel 58"/>
    <w:qFormat/>
    <w:rPr>
      <w:rFonts w:cs="Symbol"/>
    </w:rPr>
  </w:style>
  <w:style w:type="character" w:styleId="ListLabel59">
    <w:name w:val="ListLabel 59"/>
    <w:qFormat/>
    <w:rPr>
      <w:rFonts w:cs="Courier New"/>
    </w:rPr>
  </w:style>
  <w:style w:type="character" w:styleId="ListLabel60">
    <w:name w:val="ListLabel 60"/>
    <w:qFormat/>
    <w:rPr>
      <w:rFonts w:cs="Wingdings"/>
    </w:rPr>
  </w:style>
  <w:style w:type="character" w:styleId="ListLabel61">
    <w:name w:val="ListLabel 61"/>
    <w:qFormat/>
    <w:rPr>
      <w:rFonts w:cs="Symbol"/>
      <w:sz w:val="24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cs="Wingdings"/>
    </w:rPr>
  </w:style>
  <w:style w:type="character" w:styleId="ListLabel64">
    <w:name w:val="ListLabel 64"/>
    <w:qFormat/>
    <w:rPr>
      <w:rFonts w:cs="Symbol"/>
    </w:rPr>
  </w:style>
  <w:style w:type="character" w:styleId="ListLabel65">
    <w:name w:val="ListLabel 65"/>
    <w:qFormat/>
    <w:rPr>
      <w:rFonts w:cs="Courier New"/>
    </w:rPr>
  </w:style>
  <w:style w:type="character" w:styleId="ListLabel66">
    <w:name w:val="ListLabel 66"/>
    <w:qFormat/>
    <w:rPr>
      <w:rFonts w:cs="Wingdings"/>
    </w:rPr>
  </w:style>
  <w:style w:type="character" w:styleId="ListLabel67">
    <w:name w:val="ListLabel 67"/>
    <w:qFormat/>
    <w:rPr>
      <w:rFonts w:cs="Symbol"/>
    </w:rPr>
  </w:style>
  <w:style w:type="character" w:styleId="ListLabel68">
    <w:name w:val="ListLabel 68"/>
    <w:qFormat/>
    <w:rPr>
      <w:rFonts w:cs="Courier New"/>
    </w:rPr>
  </w:style>
  <w:style w:type="character" w:styleId="ListLabel69">
    <w:name w:val="ListLabel 69"/>
    <w:qFormat/>
    <w:rPr>
      <w:rFonts w:cs="Wingdings"/>
    </w:rPr>
  </w:style>
  <w:style w:type="character" w:styleId="ListLabel70">
    <w:name w:val="ListLabel 70"/>
    <w:qFormat/>
    <w:rPr>
      <w:rFonts w:cs="Symbol"/>
      <w:sz w:val="9"/>
    </w:rPr>
  </w:style>
  <w:style w:type="character" w:styleId="ListLabel71">
    <w:name w:val="ListLabel 71"/>
    <w:qFormat/>
    <w:rPr>
      <w:rFonts w:cs="Courier New"/>
    </w:rPr>
  </w:style>
  <w:style w:type="character" w:styleId="ListLabel72">
    <w:name w:val="ListLabel 72"/>
    <w:qFormat/>
    <w:rPr>
      <w:rFonts w:cs="Wingdings"/>
    </w:rPr>
  </w:style>
  <w:style w:type="character" w:styleId="ListLabel73">
    <w:name w:val="ListLabel 73"/>
    <w:qFormat/>
    <w:rPr>
      <w:rFonts w:cs="Symbol"/>
    </w:rPr>
  </w:style>
  <w:style w:type="character" w:styleId="ListLabel74">
    <w:name w:val="ListLabel 74"/>
    <w:qFormat/>
    <w:rPr>
      <w:rFonts w:cs="Courier New"/>
    </w:rPr>
  </w:style>
  <w:style w:type="character" w:styleId="ListLabel75">
    <w:name w:val="ListLabel 75"/>
    <w:qFormat/>
    <w:rPr>
      <w:rFonts w:cs="Wingdings"/>
    </w:rPr>
  </w:style>
  <w:style w:type="character" w:styleId="ListLabel76">
    <w:name w:val="ListLabel 76"/>
    <w:qFormat/>
    <w:rPr>
      <w:rFonts w:cs="Symbol"/>
    </w:rPr>
  </w:style>
  <w:style w:type="character" w:styleId="ListLabel77">
    <w:name w:val="ListLabel 77"/>
    <w:qFormat/>
    <w:rPr>
      <w:rFonts w:cs="Courier New"/>
    </w:rPr>
  </w:style>
  <w:style w:type="character" w:styleId="ListLabel78">
    <w:name w:val="ListLabel 78"/>
    <w:qFormat/>
    <w:rPr>
      <w:rFonts w:cs="Wingdings"/>
    </w:rPr>
  </w:style>
  <w:style w:type="character" w:styleId="ListLabel79">
    <w:name w:val="ListLabel 79"/>
    <w:qFormat/>
    <w:rPr>
      <w:rFonts w:cs="Symbol"/>
      <w:sz w:val="24"/>
    </w:rPr>
  </w:style>
  <w:style w:type="character" w:styleId="ListLabel80">
    <w:name w:val="ListLabel 80"/>
    <w:qFormat/>
    <w:rPr>
      <w:rFonts w:cs="Courier New"/>
    </w:rPr>
  </w:style>
  <w:style w:type="character" w:styleId="ListLabel81">
    <w:name w:val="ListLabel 81"/>
    <w:qFormat/>
    <w:rPr>
      <w:rFonts w:cs="Wingdings"/>
    </w:rPr>
  </w:style>
  <w:style w:type="character" w:styleId="ListLabel82">
    <w:name w:val="ListLabel 82"/>
    <w:qFormat/>
    <w:rPr>
      <w:rFonts w:cs="Symbol"/>
    </w:rPr>
  </w:style>
  <w:style w:type="character" w:styleId="ListLabel83">
    <w:name w:val="ListLabel 83"/>
    <w:qFormat/>
    <w:rPr>
      <w:rFonts w:cs="Courier New"/>
    </w:rPr>
  </w:style>
  <w:style w:type="character" w:styleId="ListLabel84">
    <w:name w:val="ListLabel 84"/>
    <w:qFormat/>
    <w:rPr>
      <w:rFonts w:cs="Wingdings"/>
    </w:rPr>
  </w:style>
  <w:style w:type="character" w:styleId="ListLabel85">
    <w:name w:val="ListLabel 85"/>
    <w:qFormat/>
    <w:rPr>
      <w:rFonts w:cs="Symbol"/>
    </w:rPr>
  </w:style>
  <w:style w:type="character" w:styleId="ListLabel86">
    <w:name w:val="ListLabel 86"/>
    <w:qFormat/>
    <w:rPr>
      <w:rFonts w:cs="Courier New"/>
    </w:rPr>
  </w:style>
  <w:style w:type="character" w:styleId="ListLabel87">
    <w:name w:val="ListLabel 87"/>
    <w:qFormat/>
    <w:rPr>
      <w:rFonts w:cs="Wingdings"/>
    </w:rPr>
  </w:style>
  <w:style w:type="character" w:styleId="ListLabel88">
    <w:name w:val="ListLabel 88"/>
    <w:qFormat/>
    <w:rPr>
      <w:rFonts w:cs="Symbol"/>
      <w:sz w:val="9"/>
    </w:rPr>
  </w:style>
  <w:style w:type="character" w:styleId="ListLabel89">
    <w:name w:val="ListLabel 89"/>
    <w:qFormat/>
    <w:rPr>
      <w:rFonts w:cs="Courier New"/>
    </w:rPr>
  </w:style>
  <w:style w:type="character" w:styleId="ListLabel90">
    <w:name w:val="ListLabel 90"/>
    <w:qFormat/>
    <w:rPr>
      <w:rFonts w:cs="Wingdings"/>
    </w:rPr>
  </w:style>
  <w:style w:type="character" w:styleId="ListLabel91">
    <w:name w:val="ListLabel 91"/>
    <w:qFormat/>
    <w:rPr>
      <w:rFonts w:cs="Symbol"/>
    </w:rPr>
  </w:style>
  <w:style w:type="character" w:styleId="ListLabel92">
    <w:name w:val="ListLabel 92"/>
    <w:qFormat/>
    <w:rPr>
      <w:rFonts w:cs="Courier New"/>
    </w:rPr>
  </w:style>
  <w:style w:type="character" w:styleId="ListLabel93">
    <w:name w:val="ListLabel 93"/>
    <w:qFormat/>
    <w:rPr>
      <w:rFonts w:cs="Wingdings"/>
    </w:rPr>
  </w:style>
  <w:style w:type="character" w:styleId="ListLabel94">
    <w:name w:val="ListLabel 94"/>
    <w:qFormat/>
    <w:rPr>
      <w:rFonts w:cs="Symbol"/>
    </w:rPr>
  </w:style>
  <w:style w:type="character" w:styleId="ListLabel95">
    <w:name w:val="ListLabel 95"/>
    <w:qFormat/>
    <w:rPr>
      <w:rFonts w:cs="Courier New"/>
    </w:rPr>
  </w:style>
  <w:style w:type="character" w:styleId="ListLabel96">
    <w:name w:val="ListLabel 96"/>
    <w:qFormat/>
    <w:rPr>
      <w:rFonts w:cs="Wingdings"/>
    </w:rPr>
  </w:style>
  <w:style w:type="character" w:styleId="Style14">
    <w:name w:val="Χαρακτήρες αρίθμησης"/>
    <w:qFormat/>
    <w:rPr/>
  </w:style>
  <w:style w:type="paragraph" w:styleId="Style15">
    <w:name w:val="Επικεφαλίδα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Ευρετήριο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f77919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5AF651-D6C9-4C97-8207-09CBFF470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Application>LibreOffice/5.1.5.2$Windows_x86 LibreOffice_project/7a864d8825610a8c07cfc3bc01dd4fce6a9447e5</Application>
  <Pages>2</Pages>
  <Words>487</Words>
  <Characters>2728</Characters>
  <CharactersWithSpaces>3197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2016-09-08T19:46:00Z</dcterms:created>
  <dc:creator>Kosmas</dc:creator>
  <dc:description/>
  <dc:language>el-GR</dc:language>
  <cp:lastModifiedBy>ΚΟΣΜΑΣ ΣΩΦΡΟΝΙΔΗΣ</cp:lastModifiedBy>
  <cp:lastPrinted>2016-09-30T11:33:01Z</cp:lastPrinted>
  <dcterms:modified xsi:type="dcterms:W3CDTF">2016-09-30T14:25:08Z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