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exact" w:line="480"/>
        <w:jc w:val="center"/>
        <w:rPr>
          <w:rFonts w:ascii="標楷體" w:hAnsi="標楷體" w:eastAsia="標楷體"/>
          <w:b/>
          <w:b/>
          <w:sz w:val="44"/>
          <w:szCs w:val="32"/>
        </w:rPr>
      </w:pPr>
      <w:r>
        <w:rPr>
          <w:rFonts w:ascii="標楷體" w:hAnsi="標楷體" w:eastAsia="標楷體"/>
          <w:b/>
          <w:sz w:val="44"/>
          <w:szCs w:val="32"/>
        </w:rPr>
        <w:t>教育部國中小行動學習推動計畫</w:t>
      </w:r>
    </w:p>
    <w:p>
      <w:pPr>
        <w:pStyle w:val="Style19"/>
        <w:spacing w:lineRule="exact" w:line="480"/>
        <w:jc w:val="center"/>
        <w:rPr>
          <w:rFonts w:ascii="標楷體" w:hAnsi="標楷體" w:eastAsia="標楷體"/>
          <w:b/>
          <w:b/>
          <w:sz w:val="44"/>
          <w:szCs w:val="32"/>
        </w:rPr>
      </w:pPr>
      <w:r>
        <w:rPr>
          <w:rFonts w:eastAsia="標楷體" w:ascii="標楷體" w:hAnsi="標楷體"/>
          <w:b/>
          <w:sz w:val="44"/>
          <w:szCs w:val="32"/>
        </w:rPr>
        <w:t>-</w:t>
      </w:r>
      <w:r>
        <w:rPr>
          <w:rFonts w:ascii="標楷體" w:hAnsi="標楷體" w:eastAsia="標楷體"/>
          <w:b/>
          <w:sz w:val="44"/>
          <w:szCs w:val="32"/>
        </w:rPr>
        <w:t>行動學習教案</w:t>
      </w:r>
      <w:r>
        <w:rPr>
          <w:rFonts w:eastAsia="標楷體" w:ascii="標楷體" w:hAnsi="標楷體"/>
          <w:b/>
          <w:sz w:val="44"/>
          <w:szCs w:val="32"/>
        </w:rPr>
        <w:t>-</w:t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壹、基本資料</w:t>
      </w:r>
    </w:p>
    <w:tbl>
      <w:tblPr>
        <w:tblW w:w="8386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679"/>
        <w:gridCol w:w="5707"/>
      </w:tblGrid>
      <w:tr>
        <w:trPr/>
        <w:tc>
          <w:tcPr>
            <w:tcW w:w="26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一、設計者</w:t>
            </w:r>
          </w:p>
        </w:tc>
        <w:tc>
          <w:tcPr>
            <w:tcW w:w="570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二、服務學校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三、主要領域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四、統整領域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五、單元名稱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六、適用年級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七、行動載具作業系統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Windows</w:t>
            </w:r>
            <w:r>
              <w:rPr>
                <w:rFonts w:ascii="標楷體" w:hAnsi="標楷體" w:eastAsia="標楷體"/>
              </w:rPr>
              <w:t>系統  □</w:t>
            </w:r>
            <w:r>
              <w:rPr>
                <w:rFonts w:eastAsia="標楷體" w:ascii="標楷體" w:hAnsi="標楷體"/>
              </w:rPr>
              <w:t>Android</w:t>
            </w:r>
            <w:r>
              <w:rPr>
                <w:rFonts w:ascii="標楷體" w:hAnsi="標楷體" w:eastAsia="標楷體"/>
              </w:rPr>
              <w:t>系統  □</w:t>
            </w:r>
            <w:r>
              <w:rPr>
                <w:rFonts w:eastAsia="標楷體" w:ascii="標楷體" w:hAnsi="標楷體"/>
              </w:rPr>
              <w:t>iOS</w:t>
            </w:r>
            <w:r>
              <w:rPr>
                <w:rFonts w:ascii="標楷體" w:hAnsi="標楷體" w:eastAsia="標楷體"/>
              </w:rPr>
              <w:t>系統</w:t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八、行動學習教學策略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圖形輔助策略        □測驗輔助策略</w:t>
            </w:r>
          </w:p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同儕互評策略        □遊戲學習策略</w:t>
            </w:r>
          </w:p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即時回饋策略        □互動討論策略</w:t>
            </w:r>
          </w:p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簡報發表策略        □動畫輔助策略</w:t>
            </w:r>
          </w:p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資料蒐集策略        □影片教學策略</w:t>
            </w:r>
          </w:p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心智繪圖策略        □歷程記錄策略</w:t>
            </w:r>
          </w:p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其他</w:t>
            </w:r>
            <w:r>
              <w:rPr>
                <w:rFonts w:eastAsia="標楷體" w:ascii="標楷體" w:hAnsi="標楷體"/>
              </w:rPr>
              <w:t>________________(</w:t>
            </w:r>
            <w:r>
              <w:rPr>
                <w:rFonts w:ascii="標楷體" w:hAnsi="標楷體" w:eastAsia="標楷體"/>
              </w:rPr>
              <w:t>上述未選擇亦請填寫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九、行動學習教學方法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數位說故事學習法    □網路探究學習法</w:t>
            </w:r>
          </w:p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問題導向學習法      □探究式教學法</w:t>
            </w:r>
          </w:p>
          <w:p>
            <w:pPr>
              <w:pStyle w:val="Style19"/>
              <w:spacing w:lineRule="exact" w:line="480"/>
              <w:rPr/>
            </w:pPr>
            <w:r>
              <w:rPr>
                <w:rStyle w:val="Style11"/>
                <w:rFonts w:ascii="標楷體" w:hAnsi="標楷體" w:eastAsia="標楷體"/>
              </w:rPr>
              <w:t>□</w:t>
            </w:r>
            <w:r>
              <w:rPr>
                <w:rStyle w:val="Style11"/>
                <w:rFonts w:ascii="標楷體" w:hAnsi="標楷體" w:eastAsia="標楷體"/>
              </w:rPr>
              <w:t xml:space="preserve">專題導向學習法      </w:t>
            </w:r>
          </w:p>
          <w:p>
            <w:pPr>
              <w:pStyle w:val="Style19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其他</w:t>
            </w:r>
            <w:r>
              <w:rPr>
                <w:rFonts w:eastAsia="標楷體" w:ascii="標楷體" w:hAnsi="標楷體"/>
              </w:rPr>
              <w:t>________________(</w:t>
            </w:r>
            <w:r>
              <w:rPr>
                <w:rFonts w:ascii="標楷體" w:hAnsi="標楷體" w:eastAsia="標楷體"/>
              </w:rPr>
              <w:t>上述未選擇亦請填寫</w:t>
            </w:r>
            <w:r>
              <w:rPr>
                <w:rFonts w:eastAsia="標楷體" w:ascii="標楷體" w:hAnsi="標楷體"/>
              </w:rPr>
              <w:t>)</w:t>
            </w:r>
          </w:p>
        </w:tc>
      </w:tr>
    </w:tbl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貳、設計理念</w:t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參</w:t>
      </w:r>
      <w:r>
        <w:rPr>
          <w:rFonts w:ascii="標楷體" w:hAnsi="標楷體" w:eastAsia="標楷體"/>
          <w:b/>
          <w:sz w:val="28"/>
          <w:szCs w:val="28"/>
        </w:rPr>
        <w:t>、教學活動設計</w:t>
      </w:r>
    </w:p>
    <w:tbl>
      <w:tblPr>
        <w:tblW w:w="8458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410"/>
        <w:gridCol w:w="2486"/>
        <w:gridCol w:w="1843"/>
        <w:gridCol w:w="1719"/>
      </w:tblGrid>
      <w:tr>
        <w:trPr/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9CC2E5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種類</w:t>
            </w:r>
          </w:p>
        </w:tc>
        <w:tc>
          <w:tcPr>
            <w:tcW w:w="24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9CC2E5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教學設計與流程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9CC2E5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4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使用軟體、數位資源或</w:t>
            </w:r>
            <w:r>
              <w:rPr>
                <w:rFonts w:eastAsia="標楷體" w:ascii="標楷體" w:hAnsi="標楷體"/>
                <w:b/>
              </w:rPr>
              <w:t>APP</w:t>
            </w:r>
            <w:r>
              <w:rPr>
                <w:rFonts w:ascii="標楷體" w:hAnsi="標楷體" w:eastAsia="標楷體"/>
                <w:b/>
              </w:rPr>
              <w:t>內容</w:t>
            </w:r>
          </w:p>
        </w:tc>
        <w:tc>
          <w:tcPr>
            <w:tcW w:w="17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9CC2E5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4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行動載具</w:t>
            </w:r>
          </w:p>
          <w:p>
            <w:pPr>
              <w:pStyle w:val="Style19"/>
              <w:spacing w:lineRule="exact" w:line="44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使用情境</w:t>
            </w:r>
          </w:p>
        </w:tc>
      </w:tr>
      <w:tr>
        <w:trPr/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一、課前備課</w:t>
            </w:r>
          </w:p>
        </w:tc>
        <w:tc>
          <w:tcPr>
            <w:tcW w:w="2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7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二、引起動機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三、教學過程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四、形成性評量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五、總結性評量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FFC000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六、其他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</w:tbl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肆、教學歷程說明</w:t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伍、省思與討論</w:t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  <w:r>
        <w:br w:type="page"/>
      </w:r>
    </w:p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spacing w:lineRule="exact" w:line="480"/>
        <w:ind w:left="480" w:hanging="0"/>
        <w:jc w:val="center"/>
        <w:rPr/>
      </w:pPr>
      <w:r>
        <w:rPr>
          <w:rStyle w:val="Style11"/>
          <w:rFonts w:ascii="標楷體" w:hAnsi="標楷體" w:eastAsia="標楷體"/>
          <w:b/>
          <w:sz w:val="28"/>
          <w:szCs w:val="28"/>
        </w:rPr>
        <w:t>教育雲服務簡介</w: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5381625</wp:posOffset>
                </wp:positionH>
                <wp:positionV relativeFrom="paragraph">
                  <wp:posOffset>-228600</wp:posOffset>
                </wp:positionV>
                <wp:extent cx="522605" cy="32956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32956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附件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1.15pt;height:25.95pt;margin-top:-18pt;mso-position-vertical-relative:text;margin-left:423.75pt;mso-position-horizontal-relative:text">
                <v:textbox>
                  <w:txbxContent>
                    <w:p>
                      <w:pPr>
                        <w:pStyle w:val="Style19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9"/>
        <w:snapToGrid w:val="false"/>
        <w:spacing w:lineRule="exact" w:line="400" w:before="0" w:after="180"/>
        <w:ind w:firstLine="566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為迎接雲端學習時代來臨，教育部自</w:t>
      </w:r>
      <w:r>
        <w:rPr>
          <w:rFonts w:eastAsia="標楷體" w:ascii="標楷體" w:hAnsi="標楷體"/>
          <w:sz w:val="28"/>
          <w:szCs w:val="28"/>
        </w:rPr>
        <w:t>101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8</w:t>
      </w:r>
      <w:r>
        <w:rPr>
          <w:rFonts w:ascii="標楷體" w:hAnsi="標楷體" w:eastAsia="標楷體"/>
          <w:sz w:val="28"/>
          <w:szCs w:val="28"/>
        </w:rPr>
        <w:t>月經行政院核定實施「教育雲端應用及平臺服務推動計畫」，建置教育雲端的基礎平臺環境及雲端化服務。</w:t>
      </w:r>
      <w:r>
        <w:rPr>
          <w:rFonts w:eastAsia="標楷體" w:ascii="標楷體" w:hAnsi="標楷體"/>
          <w:sz w:val="28"/>
          <w:szCs w:val="28"/>
        </w:rPr>
        <w:t>103</w:t>
      </w:r>
      <w:r>
        <w:rPr>
          <w:rFonts w:ascii="標楷體" w:hAnsi="標楷體" w:eastAsia="標楷體"/>
          <w:sz w:val="28"/>
          <w:szCs w:val="28"/>
        </w:rPr>
        <w:t>年起擴大應用服務，整合教育體系雲端學習資源與服務，建構以服務全國學生、教師、家長及教育行政人員需求為主的「教育雲」服務。</w:t>
      </w:r>
    </w:p>
    <w:p>
      <w:pPr>
        <w:pStyle w:val="Style19"/>
        <w:snapToGrid w:val="false"/>
        <w:spacing w:lineRule="exact" w:line="400" w:before="0" w:after="180"/>
        <w:ind w:firstLine="566"/>
        <w:rPr/>
      </w:pPr>
      <w:r>
        <w:rPr>
          <w:rStyle w:val="Style11"/>
          <w:rFonts w:ascii="標楷體" w:hAnsi="標楷體" w:eastAsia="標楷體"/>
          <w:sz w:val="28"/>
          <w:szCs w:val="28"/>
        </w:rPr>
        <w:t>教育雲整合縣</w:t>
      </w:r>
      <w:r>
        <w:rPr>
          <w:rStyle w:val="Style11"/>
          <w:rFonts w:eastAsia="標楷體" w:ascii="標楷體" w:hAnsi="標楷體"/>
          <w:sz w:val="28"/>
          <w:szCs w:val="28"/>
        </w:rPr>
        <w:t>(</w:t>
      </w:r>
      <w:r>
        <w:rPr>
          <w:rStyle w:val="Style11"/>
          <w:rFonts w:ascii="標楷體" w:hAnsi="標楷體" w:eastAsia="標楷體"/>
          <w:sz w:val="28"/>
          <w:szCs w:val="28"/>
        </w:rPr>
        <w:t>市</w:t>
      </w:r>
      <w:r>
        <w:rPr>
          <w:rStyle w:val="Style11"/>
          <w:rFonts w:eastAsia="標楷體" w:ascii="標楷體" w:hAnsi="標楷體"/>
          <w:sz w:val="28"/>
          <w:szCs w:val="28"/>
        </w:rPr>
        <w:t>)</w:t>
      </w:r>
      <w:r>
        <w:rPr>
          <w:rStyle w:val="Style11"/>
          <w:rFonts w:ascii="標楷體" w:hAnsi="標楷體" w:eastAsia="標楷體"/>
          <w:sz w:val="28"/>
          <w:szCs w:val="28"/>
        </w:rPr>
        <w:t>政府、部屬機關</w:t>
      </w:r>
      <w:r>
        <w:rPr>
          <w:rStyle w:val="Style11"/>
          <w:rFonts w:eastAsia="標楷體" w:ascii="標楷體" w:hAnsi="標楷體"/>
          <w:sz w:val="28"/>
          <w:szCs w:val="28"/>
        </w:rPr>
        <w:t>(</w:t>
      </w:r>
      <w:r>
        <w:rPr>
          <w:rStyle w:val="Style11"/>
          <w:rFonts w:ascii="標楷體" w:hAnsi="標楷體" w:eastAsia="標楷體"/>
          <w:sz w:val="28"/>
          <w:szCs w:val="28"/>
        </w:rPr>
        <w:t>構</w:t>
      </w:r>
      <w:r>
        <w:rPr>
          <w:rStyle w:val="Style11"/>
          <w:rFonts w:eastAsia="標楷體" w:ascii="標楷體" w:hAnsi="標楷體"/>
          <w:sz w:val="28"/>
          <w:szCs w:val="28"/>
        </w:rPr>
        <w:t>)</w:t>
      </w:r>
      <w:r>
        <w:rPr>
          <w:rStyle w:val="Style11"/>
          <w:rFonts w:ascii="標楷體" w:hAnsi="標楷體" w:eastAsia="標楷體"/>
          <w:sz w:val="28"/>
          <w:szCs w:val="28"/>
        </w:rPr>
        <w:t>、大學及民間的數位資源與服務，依類型不同，分別匯集於「教育大市集」、「教育百科」、「教育媒體影音」、「學習拍立得」、「學習工具」及「線上學習」等雲端應用服務，串聯各項雲端數位資源與服務為一個單一入口，並提供跨平臺整合查詢服務，便利師生檢索及使用教學與學習所需之各項雲端教育學習資源。（入口網網址：</w:t>
      </w:r>
      <w:hyperlink r:id="rId2" w:tgtFrame="_top">
        <w:r>
          <w:rPr>
            <w:rStyle w:val="Style14"/>
            <w:rFonts w:eastAsia="標楷體" w:ascii="標楷體" w:hAnsi="標楷體"/>
            <w:color w:val="auto"/>
            <w:sz w:val="28"/>
            <w:szCs w:val="28"/>
          </w:rPr>
          <w:t>https://cloud.edu.tw</w:t>
        </w:r>
      </w:hyperlink>
      <w:r>
        <w:rPr>
          <w:rStyle w:val="Style11"/>
          <w:rFonts w:ascii="標楷體" w:hAnsi="標楷體" w:eastAsia="標楷體"/>
          <w:sz w:val="28"/>
          <w:szCs w:val="28"/>
        </w:rPr>
        <w:t>）</w:t>
      </w:r>
    </w:p>
    <w:tbl>
      <w:tblPr>
        <w:tblW w:w="102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43"/>
        <w:gridCol w:w="4546"/>
        <w:gridCol w:w="3716"/>
      </w:tblGrid>
      <w:tr>
        <w:trPr>
          <w:tblHeader w:val="true"/>
          <w:trHeight w:val="409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599" w:val="clear"/>
            <w:tcMar>
              <w:left w:w="103" w:type="dxa"/>
            </w:tcMar>
          </w:tcPr>
          <w:p>
            <w:pPr>
              <w:pStyle w:val="Style19"/>
              <w:spacing w:lineRule="exact" w:line="480"/>
              <w:ind w:right="1120" w:hanging="0"/>
              <w:jc w:val="right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名稱</w:t>
            </w:r>
          </w:p>
          <w:p>
            <w:pPr>
              <w:pStyle w:val="Style19"/>
              <w:spacing w:lineRule="exact" w:line="480"/>
              <w:jc w:val="right"/>
              <w:rPr/>
            </w:pPr>
            <w:r>
              <w:rPr>
                <w:rStyle w:val="Style11"/>
                <w:rFonts w:ascii="標楷體" w:hAnsi="標楷體" w:eastAsia="標楷體"/>
                <w:b/>
                <w:sz w:val="28"/>
                <w:szCs w:val="28"/>
              </w:rPr>
              <w:t>內容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599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說明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599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推廣聯絡窗口</w:t>
            </w:r>
          </w:p>
        </w:tc>
      </w:tr>
      <w:tr>
        <w:trPr>
          <w:trHeight w:val="1211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教育雲入口網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整合教育部、部屬機構、各縣市政府等各項雲端數位資源與服務，提供單一入口跨平臺搜尋服務，並支援教育體系單一帳號認證機制。使用者在完成註冊程序後，即可透過單一帳號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(Single Sign-On, SSO) </w:t>
            </w:r>
            <w:r>
              <w:rPr>
                <w:rFonts w:ascii="標楷體" w:hAnsi="標楷體" w:eastAsia="標楷體"/>
                <w:sz w:val="28"/>
                <w:szCs w:val="28"/>
              </w:rPr>
              <w:t>取用教育體系單位所建置的雲端數位教學服務與資源，另提供教職員工使用由原縣市政府教育局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處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hAnsi="標楷體" w:eastAsia="標楷體"/>
                <w:sz w:val="28"/>
                <w:szCs w:val="28"/>
              </w:rPr>
              <w:t>認證之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OpenID </w:t>
            </w:r>
            <w:r>
              <w:rPr>
                <w:rFonts w:ascii="標楷體" w:hAnsi="標楷體" w:eastAsia="標楷體"/>
                <w:sz w:val="28"/>
                <w:szCs w:val="28"/>
              </w:rPr>
              <w:t>帳號登入教育雲方式。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凌網科技 羅仁均經理</w:t>
            </w:r>
          </w:p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02-23956966#2517</w:t>
            </w:r>
          </w:p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0920-070-215</w:t>
            </w:r>
          </w:p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patrick@hyweb.com.tw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教育大市集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整合全國</w:t>
            </w:r>
            <w:r>
              <w:rPr>
                <w:rFonts w:eastAsia="標楷體" w:ascii="標楷體" w:hAnsi="標楷體"/>
                <w:sz w:val="28"/>
                <w:szCs w:val="28"/>
              </w:rPr>
              <w:t>22</w:t>
            </w:r>
            <w:r>
              <w:rPr>
                <w:rFonts w:ascii="標楷體" w:hAnsi="標楷體" w:eastAsia="標楷體"/>
                <w:sz w:val="28"/>
                <w:szCs w:val="28"/>
              </w:rPr>
              <w:t>縣市教育單位、教育部部屬機構及民間單位多元數位教學資源，形式包含</w:t>
            </w:r>
            <w:r>
              <w:rPr>
                <w:rFonts w:eastAsia="標楷體" w:ascii="標楷體" w:hAnsi="標楷體"/>
                <w:sz w:val="28"/>
                <w:szCs w:val="28"/>
              </w:rPr>
              <w:t>Web</w:t>
            </w:r>
            <w:r>
              <w:rPr>
                <w:rFonts w:ascii="標楷體" w:hAnsi="標楷體" w:eastAsia="標楷體"/>
                <w:sz w:val="28"/>
                <w:szCs w:val="28"/>
              </w:rPr>
              <w:t>教學資源、教育電子書及教育</w:t>
            </w:r>
            <w:r>
              <w:rPr>
                <w:rFonts w:eastAsia="標楷體" w:ascii="標楷體" w:hAnsi="標楷體"/>
                <w:sz w:val="28"/>
                <w:szCs w:val="28"/>
              </w:rPr>
              <w:t>APP</w:t>
            </w:r>
            <w:r>
              <w:rPr>
                <w:rFonts w:ascii="標楷體" w:hAnsi="標楷體" w:eastAsia="標楷體"/>
                <w:sz w:val="28"/>
                <w:szCs w:val="28"/>
              </w:rPr>
              <w:t>，彙整超過</w:t>
            </w:r>
            <w:r>
              <w:rPr>
                <w:rFonts w:eastAsia="標楷體" w:ascii="標楷體" w:hAnsi="標楷體"/>
                <w:sz w:val="28"/>
                <w:szCs w:val="28"/>
              </w:rPr>
              <w:t>15</w:t>
            </w:r>
            <w:r>
              <w:rPr>
                <w:rFonts w:ascii="標楷體" w:hAnsi="標楷體" w:eastAsia="標楷體"/>
                <w:sz w:val="28"/>
                <w:szCs w:val="28"/>
              </w:rPr>
              <w:t>萬筆資源。提供十二年國教各學習領域課程綱要教學輔助資源，老師可依學制及資源類型進行整合檢索，將搜尋到的適用資源進行融入教學。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中央研究院 林怡秀小姐 </w:t>
            </w:r>
            <w:r>
              <w:rPr>
                <w:rFonts w:eastAsia="標楷體" w:ascii="標楷體" w:hAnsi="標楷體"/>
                <w:sz w:val="28"/>
                <w:szCs w:val="28"/>
              </w:rPr>
              <w:t>(02)2788-3799#1675  2014edumarket@gmail.com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教育百科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整合國家教育研究院的國語辭典簡編本、重編本、成語典與教育部的教育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Wiki </w:t>
            </w:r>
            <w:r>
              <w:rPr>
                <w:rFonts w:ascii="標楷體" w:hAnsi="標楷體" w:eastAsia="標楷體"/>
                <w:sz w:val="28"/>
                <w:szCs w:val="28"/>
              </w:rPr>
              <w:t>等</w:t>
            </w:r>
            <w:r>
              <w:rPr>
                <w:rFonts w:eastAsia="標楷體" w:ascii="標楷體" w:hAnsi="標楷體"/>
                <w:sz w:val="28"/>
                <w:szCs w:val="28"/>
              </w:rPr>
              <w:t>26</w:t>
            </w:r>
            <w:r>
              <w:rPr>
                <w:rFonts w:ascii="標楷體" w:hAnsi="標楷體" w:eastAsia="標楷體"/>
                <w:sz w:val="28"/>
                <w:szCs w:val="28"/>
              </w:rPr>
              <w:t>萬多筆詞條知識內容，是專門為教育學習量身打造的知識百科服務，提供學生在課程學習時，查找相關詞語解釋與知識。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卡米爾公司 陳宜秀小姐   </w:t>
            </w:r>
            <w:r>
              <w:rPr>
                <w:rFonts w:eastAsia="標楷體" w:ascii="標楷體" w:hAnsi="標楷體"/>
                <w:sz w:val="28"/>
                <w:szCs w:val="28"/>
              </w:rPr>
              <w:t>0975-029-919   cherry@cameo.tw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教育媒體影音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匯整以國家教育研究院「愛學網」資源及「</w:t>
            </w:r>
            <w:r>
              <w:rPr>
                <w:rFonts w:eastAsia="標楷體" w:ascii="標楷體" w:hAnsi="標楷體"/>
                <w:sz w:val="28"/>
                <w:szCs w:val="28"/>
              </w:rPr>
              <w:t>MOD</w:t>
            </w:r>
            <w:r>
              <w:rPr>
                <w:rFonts w:ascii="標楷體" w:hAnsi="標楷體" w:eastAsia="標楷體"/>
                <w:sz w:val="28"/>
                <w:szCs w:val="28"/>
              </w:rPr>
              <w:t>教學網」資源為基礎並加入全國各縣市政府、部屬館所（機構）及民間單位等影音資源，總數約有</w:t>
            </w:r>
            <w:r>
              <w:rPr>
                <w:rFonts w:eastAsia="標楷體" w:ascii="標楷體" w:hAnsi="標楷體"/>
                <w:sz w:val="28"/>
                <w:szCs w:val="28"/>
              </w:rPr>
              <w:t>6</w:t>
            </w:r>
            <w:r>
              <w:rPr>
                <w:rFonts w:ascii="標楷體" w:hAnsi="標楷體" w:eastAsia="標楷體"/>
                <w:sz w:val="28"/>
                <w:szCs w:val="28"/>
              </w:rPr>
              <w:t>千多筆，提供豐富多元的教學影音服務。可透過系統搜尋得到相關影音資源，並記錄使用者學習歷程。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國家教育研究院 馬汶汶小姐  </w:t>
            </w:r>
            <w:r>
              <w:rPr>
                <w:rFonts w:eastAsia="標楷體" w:ascii="標楷體" w:hAnsi="標楷體"/>
                <w:sz w:val="28"/>
                <w:szCs w:val="28"/>
              </w:rPr>
              <w:t>(02)3322-5558#127   ma912105@mail.naer.edu.tw</w:t>
            </w:r>
          </w:p>
        </w:tc>
      </w:tr>
      <w:tr>
        <w:trPr>
          <w:trHeight w:val="1496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學習拍立得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「學習拍立得」是以雲端服務為基礎，為師生打造的學習管理系統，提供全國中小學之課前、課中與課後學習的多元應用服務。本系統支援跨平臺、跨裝置的登入使用，提供親師生隨時、隨地取得所需要的教學與資源。此外，教師與學生的所有教學活動，都可以被記錄於本系統的資料庫中，讓教師可針對不同學習情境及個別學生，進行不同層次的學習差異化分析，實現適性化的教學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華碩雲端股份有限公司</w:t>
            </w:r>
          </w:p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陳俞廷</w:t>
            </w:r>
          </w:p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(02)2947-3898#320</w:t>
            </w:r>
          </w:p>
          <w:p>
            <w:pPr>
              <w:pStyle w:val="Style19"/>
              <w:snapToGrid w:val="false"/>
              <w:spacing w:lineRule="exact" w:line="360"/>
              <w:jc w:val="both"/>
              <w:rPr/>
            </w:pPr>
            <w:r>
              <w:rPr>
                <w:rStyle w:val="Style11"/>
                <w:rFonts w:eastAsia="標楷體" w:ascii="標楷體" w:hAnsi="標楷體"/>
                <w:sz w:val="28"/>
                <w:szCs w:val="28"/>
              </w:rPr>
              <w:t>vincent.chen@ecareme.com</w:t>
            </w:r>
          </w:p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教育部資訊及科技教育司</w:t>
            </w:r>
          </w:p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陳旭閔先生</w:t>
            </w:r>
          </w:p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(02)7712-9049</w:t>
            </w:r>
          </w:p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magicia@mail.moe.gov.tw</w:t>
            </w:r>
          </w:p>
        </w:tc>
      </w:tr>
      <w:tr>
        <w:trPr>
          <w:trHeight w:val="1149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線上學習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整合教育部、縣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市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政府、大學及民間等自行發展具特色的雲端課程服務平臺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詳如網站內容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依各服務平臺網頁公告資訊</w:t>
            </w:r>
          </w:p>
        </w:tc>
      </w:tr>
      <w:tr>
        <w:trPr>
          <w:trHeight w:val="1211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pacing w:lineRule="exact" w:line="4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學習工具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整合教育部或各直轄市政府教育局、縣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市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政府自行發展之各項學習工具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詳如網站內容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，支援師生雲端學習。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依各學習工具網頁公告資訊</w:t>
            </w:r>
          </w:p>
        </w:tc>
      </w:tr>
    </w:tbl>
    <w:p>
      <w:pPr>
        <w:pStyle w:val="Style19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footerReference w:type="default" r:id="rId3"/>
      <w:type w:val="nextPage"/>
      <w:pgSz w:w="11906" w:h="16838"/>
      <w:pgMar w:left="1800" w:right="1800" w:header="0" w:top="851" w:footer="992" w:bottom="1440" w:gutter="0"/>
      <w:pgNumType w:fmt="decimal"/>
      <w:formProt w:val="false"/>
      <w:textDirection w:val="lrTb"/>
      <w:docGrid w:type="default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標楷體">
    <w:charset w:val="01"/>
    <w:family w:val="script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新細明體">
    <w:charset w:val="01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2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.05pt;height:11.5pt;margin-top:0.05pt;mso-position-vertical-relative:text;margin-left:205.15pt;mso-position-horizontal:center;mso-position-horizontal-relative:margin">
              <v:textbox inset="0in,0in,0in,0in"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bullet"/>
      <w:lvlText w:val=""/>
      <w:lvlJc w:val="left"/>
      <w:pPr>
        <w:ind w:left="132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"/>
      <w:lvlJc w:val="left"/>
      <w:pPr>
        <w:ind w:left="36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1">
    <w:name w:val="Heading 1"/>
    <w:basedOn w:val="Style19"/>
    <w:next w:val="Style19"/>
    <w:qFormat/>
    <w:pPr>
      <w:keepNext/>
      <w:numPr>
        <w:ilvl w:val="0"/>
        <w:numId w:val="1"/>
      </w:numPr>
      <w:suppressAutoHyphens w:val="true"/>
      <w:spacing w:lineRule="auto" w:line="720" w:before="180" w:after="180"/>
      <w:outlineLvl w:val="0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Style19"/>
    <w:next w:val="Style19"/>
    <w:qFormat/>
    <w:pPr>
      <w:keepNext/>
      <w:numPr>
        <w:ilvl w:val="1"/>
        <w:numId w:val="1"/>
      </w:numPr>
      <w:suppressAutoHyphens w:val="true"/>
      <w:spacing w:lineRule="auto" w:line="720"/>
      <w:outlineLvl w:val="1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Style19"/>
    <w:next w:val="Style19"/>
    <w:qFormat/>
    <w:pPr>
      <w:keepNext/>
      <w:numPr>
        <w:ilvl w:val="2"/>
        <w:numId w:val="1"/>
      </w:numPr>
      <w:suppressAutoHyphens w:val="true"/>
      <w:spacing w:lineRule="auto" w:line="720"/>
      <w:outlineLvl w:val="2"/>
      <w:outlineLvl w:val="2"/>
    </w:pPr>
    <w:rPr>
      <w:rFonts w:ascii="Arial" w:hAnsi="Arial"/>
      <w:b/>
      <w:bCs/>
      <w:sz w:val="36"/>
      <w:szCs w:val="36"/>
    </w:rPr>
  </w:style>
  <w:style w:type="character" w:styleId="Style11">
    <w:name w:val="預設段落字型"/>
    <w:qFormat/>
    <w:rPr/>
  </w:style>
  <w:style w:type="character" w:styleId="31">
    <w:name w:val="3 字元"/>
    <w:qFormat/>
    <w:rPr>
      <w:rFonts w:ascii="標楷體" w:hAnsi="標楷體" w:eastAsia="標楷體" w:cs="新細明體"/>
      <w:sz w:val="28"/>
      <w:szCs w:val="28"/>
      <w:lang w:val="en-US" w:eastAsia="zh-TW" w:bidi="ar-SA"/>
    </w:rPr>
  </w:style>
  <w:style w:type="character" w:styleId="Style12">
    <w:name w:val="頁碼"/>
    <w:basedOn w:val="Style11"/>
    <w:rPr/>
  </w:style>
  <w:style w:type="character" w:styleId="Style13">
    <w:name w:val="強調粗體"/>
    <w:qFormat/>
    <w:rPr>
      <w:b/>
      <w:bCs/>
    </w:rPr>
  </w:style>
  <w:style w:type="character" w:styleId="Style14">
    <w:name w:val="超連結"/>
    <w:qFormat/>
    <w:rPr>
      <w:color w:val="0000FF"/>
      <w:u w:val="single"/>
    </w:rPr>
  </w:style>
  <w:style w:type="character" w:styleId="Style15">
    <w:name w:val="註解參照"/>
    <w:qFormat/>
    <w:rPr>
      <w:sz w:val="18"/>
      <w:szCs w:val="18"/>
    </w:rPr>
  </w:style>
  <w:style w:type="character" w:styleId="Style16">
    <w:name w:val="已查閱的超連結"/>
    <w:qFormat/>
    <w:rPr>
      <w:color w:val="800080"/>
      <w:u w:val="single"/>
    </w:rPr>
  </w:style>
  <w:style w:type="character" w:styleId="S1">
    <w:name w:val="s1"/>
    <w:basedOn w:val="Style11"/>
    <w:qFormat/>
    <w:rPr/>
  </w:style>
  <w:style w:type="character" w:styleId="WWCharLFO2LVL1">
    <w:name w:val="WW_CharLFO2LVL1"/>
    <w:qFormat/>
    <w:rPr>
      <w:rFonts w:ascii="Wingdings" w:hAnsi="Wingdings"/>
    </w:rPr>
  </w:style>
  <w:style w:type="character" w:styleId="WWCharLFO3LVL1">
    <w:name w:val="WW_CharLFO3LVL1"/>
    <w:qFormat/>
    <w:rPr>
      <w:b/>
      <w:i w:val="false"/>
      <w:lang w:val="en-US"/>
    </w:rPr>
  </w:style>
  <w:style w:type="character" w:styleId="WWCharLFO3LVL2">
    <w:name w:val="WW_CharLFO3LVL2"/>
    <w:qFormat/>
    <w:rPr>
      <w:b w:val="false"/>
      <w:lang w:val="en-US"/>
    </w:rPr>
  </w:style>
  <w:style w:type="character" w:styleId="WWCharLFO3LVL6">
    <w:name w:val="WW_CharLFO3LVL6"/>
    <w:qFormat/>
    <w:rPr>
      <w:b w:val="false"/>
      <w:i w:val="false"/>
      <w:sz w:val="28"/>
      <w:szCs w:val="24"/>
      <w:lang w:val="en-US"/>
    </w:rPr>
  </w:style>
  <w:style w:type="character" w:styleId="WWCharLFO3LVL9">
    <w:name w:val="WW_CharLFO3LVL9"/>
    <w:qFormat/>
    <w:rPr>
      <w:rFonts w:ascii="Times New Roman" w:hAnsi="Times New Roman"/>
      <w:sz w:val="28"/>
    </w:rPr>
  </w:style>
  <w:style w:type="character" w:styleId="WWCharLFO6LVL1">
    <w:name w:val="WW_CharLFO6LVL1"/>
    <w:qFormat/>
    <w:rPr>
      <w:b/>
    </w:rPr>
  </w:style>
  <w:style w:type="character" w:styleId="WWCharLFO13LVL1">
    <w:name w:val="WW_CharLFO13LVL1"/>
    <w:qFormat/>
    <w:rPr>
      <w:rFonts w:ascii="Wingdings" w:hAnsi="Wingdings"/>
    </w:rPr>
  </w:style>
  <w:style w:type="character" w:styleId="WWCharLFO17LVL1">
    <w:name w:val="WW_CharLFO17LVL1"/>
    <w:qFormat/>
    <w:rPr>
      <w:b w:val="false"/>
      <w:lang w:val="en-US"/>
    </w:rPr>
  </w:style>
  <w:style w:type="character" w:styleId="Style17">
    <w:name w:val="網際網路連結"/>
    <w:rPr>
      <w:color w:val="000080"/>
      <w:u w:val="single"/>
      <w:lang w:val="zxx" w:eastAsia="zxx" w:bidi="zxx"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文泉驛微米黑" w:cs="Droid Sans Fallback"/>
      <w:sz w:val="28"/>
      <w:szCs w:val="28"/>
    </w:rPr>
  </w:style>
  <w:style w:type="paragraph" w:styleId="Style19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32">
    <w:name w:val="3"/>
    <w:basedOn w:val="Style19"/>
    <w:qFormat/>
    <w:pPr>
      <w:suppressAutoHyphens w:val="true"/>
      <w:spacing w:lineRule="auto"/>
      <w:ind w:left="1618" w:right="684" w:hanging="358"/>
      <w:jc w:val="both"/>
    </w:pPr>
    <w:rPr>
      <w:rFonts w:ascii="標楷體" w:hAnsi="標楷體" w:eastAsia="標楷體" w:cs="新細明體"/>
      <w:sz w:val="28"/>
      <w:szCs w:val="28"/>
    </w:rPr>
  </w:style>
  <w:style w:type="paragraph" w:styleId="Style20">
    <w:name w:val="Foot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本文"/>
    <w:basedOn w:val="Style19"/>
    <w:qFormat/>
    <w:pPr>
      <w:suppressAutoHyphens w:val="true"/>
    </w:pPr>
    <w:rPr>
      <w:rFonts w:ascii="標楷體" w:hAnsi="標楷體" w:eastAsia="標楷體"/>
      <w:b/>
      <w:color w:val="000000"/>
      <w:sz w:val="36"/>
      <w:szCs w:val="20"/>
    </w:rPr>
  </w:style>
  <w:style w:type="paragraph" w:styleId="Style22">
    <w:name w:val="本文縮排"/>
    <w:basedOn w:val="Style19"/>
    <w:qFormat/>
    <w:pPr>
      <w:suppressAutoHyphens w:val="true"/>
      <w:spacing w:lineRule="exact" w:line="400"/>
      <w:ind w:left="238" w:hanging="0"/>
      <w:outlineLvl w:val="0"/>
    </w:pPr>
    <w:rPr>
      <w:rFonts w:ascii="標楷體" w:hAnsi="標楷體" w:eastAsia="標楷體"/>
      <w:sz w:val="28"/>
      <w:szCs w:val="20"/>
    </w:rPr>
  </w:style>
  <w:style w:type="paragraph" w:styleId="21">
    <w:name w:val="本文 2"/>
    <w:basedOn w:val="Style19"/>
    <w:qFormat/>
    <w:pPr>
      <w:suppressAutoHyphens w:val="true"/>
      <w:spacing w:lineRule="auto" w:line="480" w:before="0" w:after="120"/>
    </w:pPr>
    <w:rPr/>
  </w:style>
  <w:style w:type="paragraph" w:styleId="33">
    <w:name w:val="本文縮排 3"/>
    <w:basedOn w:val="Style19"/>
    <w:qFormat/>
    <w:pPr>
      <w:suppressAutoHyphens w:val="true"/>
      <w:snapToGrid w:val="false"/>
      <w:spacing w:lineRule="exact" w:line="400"/>
      <w:ind w:left="1260" w:hanging="720"/>
    </w:pPr>
    <w:rPr>
      <w:rFonts w:ascii="標楷體" w:hAnsi="標楷體"/>
    </w:rPr>
  </w:style>
  <w:style w:type="paragraph" w:styleId="22">
    <w:name w:val="本文縮排 2"/>
    <w:basedOn w:val="Style19"/>
    <w:qFormat/>
    <w:pPr>
      <w:suppressAutoHyphens w:val="true"/>
      <w:spacing w:lineRule="auto" w:line="480" w:before="0" w:after="120"/>
      <w:ind w:left="480" w:hanging="0"/>
    </w:pPr>
    <w:rPr/>
  </w:style>
  <w:style w:type="paragraph" w:styleId="Style23">
    <w:name w:val="List"/>
    <w:basedOn w:val="Style19"/>
    <w:pPr/>
    <w:rPr/>
  </w:style>
  <w:style w:type="paragraph" w:styleId="34">
    <w:name w:val="List Bullet 4"/>
    <w:basedOn w:val="Style19"/>
    <w:pPr>
      <w:numPr>
        <w:ilvl w:val="0"/>
        <w:numId w:val="3"/>
      </w:numPr>
      <w:suppressAutoHyphens w:val="true"/>
    </w:pPr>
    <w:rPr/>
  </w:style>
  <w:style w:type="paragraph" w:styleId="Style24">
    <w:name w:val="()()"/>
    <w:basedOn w:val="Style19"/>
    <w:qFormat/>
    <w:pPr>
      <w:suppressAutoHyphens w:val="true"/>
      <w:snapToGrid w:val="false"/>
      <w:spacing w:lineRule="auto" w:before="0" w:after="180"/>
      <w:ind w:left="3053" w:hanging="533"/>
      <w:jc w:val="both"/>
    </w:pPr>
    <w:rPr>
      <w:rFonts w:eastAsia="標楷體"/>
      <w:sz w:val="28"/>
    </w:rPr>
  </w:style>
  <w:style w:type="paragraph" w:styleId="Style25">
    <w:name w:val="Body Text Indent"/>
    <w:basedOn w:val="Style19"/>
    <w:pPr>
      <w:suppressAutoHyphens w:val="true"/>
      <w:spacing w:before="50" w:after="50"/>
      <w:ind w:left="1985" w:firstLine="567"/>
    </w:pPr>
    <w:rPr>
      <w:rFonts w:ascii="Arial" w:hAnsi="Arial" w:eastAsia="標楷體"/>
      <w:sz w:val="28"/>
      <w:szCs w:val="20"/>
    </w:rPr>
  </w:style>
  <w:style w:type="paragraph" w:styleId="23">
    <w:name w:val="目錄 2"/>
    <w:basedOn w:val="Style19"/>
    <w:next w:val="Style19"/>
    <w:autoRedefine/>
    <w:qFormat/>
    <w:pPr>
      <w:suppressAutoHyphens w:val="true"/>
      <w:snapToGrid w:val="false"/>
      <w:spacing w:lineRule="auto" w:line="360"/>
      <w:ind w:left="480" w:hanging="0"/>
    </w:pPr>
    <w:rPr>
      <w:rFonts w:eastAsia="標楷體"/>
      <w:sz w:val="28"/>
    </w:rPr>
  </w:style>
  <w:style w:type="paragraph" w:styleId="Web">
    <w:name w:val="內文 (Web)"/>
    <w:basedOn w:val="Style19"/>
    <w:qFormat/>
    <w:pPr>
      <w:widowControl/>
      <w:suppressAutoHyphens w:val="true"/>
      <w:spacing w:before="100" w:after="100"/>
    </w:pPr>
    <w:rPr>
      <w:rFonts w:ascii="新細明體" w:hAnsi="新細明體" w:cs="新細明體"/>
    </w:rPr>
  </w:style>
  <w:style w:type="paragraph" w:styleId="35">
    <w:name w:val="本文 3"/>
    <w:basedOn w:val="Style19"/>
    <w:qFormat/>
    <w:pPr>
      <w:suppressAutoHyphens w:val="true"/>
      <w:spacing w:before="0" w:after="120"/>
    </w:pPr>
    <w:rPr>
      <w:sz w:val="16"/>
      <w:szCs w:val="16"/>
    </w:rPr>
  </w:style>
  <w:style w:type="paragraph" w:styleId="11">
    <w:name w:val="標題1"/>
    <w:basedOn w:val="Style19"/>
    <w:qFormat/>
    <w:pPr>
      <w:numPr>
        <w:ilvl w:val="0"/>
        <w:numId w:val="2"/>
      </w:numPr>
      <w:suppressAutoHyphens w:val="true"/>
      <w:spacing w:before="180" w:after="180"/>
    </w:pPr>
    <w:rPr>
      <w:rFonts w:eastAsia="標楷體"/>
      <w:sz w:val="20"/>
      <w:szCs w:val="20"/>
    </w:rPr>
  </w:style>
  <w:style w:type="paragraph" w:styleId="Style26">
    <w:name w:val="Head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註解文字"/>
    <w:basedOn w:val="Style19"/>
    <w:qFormat/>
    <w:pPr>
      <w:suppressAutoHyphens w:val="true"/>
    </w:pPr>
    <w:rPr/>
  </w:style>
  <w:style w:type="paragraph" w:styleId="Style28">
    <w:name w:val="註解主旨"/>
    <w:basedOn w:val="Style27"/>
    <w:next w:val="Style27"/>
    <w:qFormat/>
    <w:pPr>
      <w:suppressAutoHyphens w:val="true"/>
    </w:pPr>
    <w:rPr>
      <w:b/>
      <w:bCs/>
    </w:rPr>
  </w:style>
  <w:style w:type="paragraph" w:styleId="Style29">
    <w:name w:val="註解方塊文字"/>
    <w:basedOn w:val="Style19"/>
    <w:qFormat/>
    <w:pPr>
      <w:suppressAutoHyphens w:val="true"/>
    </w:pPr>
    <w:rPr>
      <w:rFonts w:ascii="Arial" w:hAnsi="Arial"/>
      <w:sz w:val="18"/>
      <w:szCs w:val="18"/>
    </w:rPr>
  </w:style>
  <w:style w:type="paragraph" w:styleId="Style30">
    <w:name w:val="清單段落"/>
    <w:basedOn w:val="Style19"/>
    <w:qFormat/>
    <w:pPr>
      <w:suppressAutoHyphens w:val="true"/>
      <w:ind w:left="480" w:hanging="0"/>
    </w:pPr>
    <w:rPr>
      <w:rFonts w:ascii="Calibri" w:hAnsi="Calibri"/>
      <w:szCs w:val="22"/>
    </w:rPr>
  </w:style>
  <w:style w:type="paragraph" w:styleId="Style31">
    <w:name w:val="項目符號"/>
    <w:basedOn w:val="Style19"/>
    <w:qFormat/>
    <w:pPr>
      <w:numPr>
        <w:ilvl w:val="0"/>
        <w:numId w:val="4"/>
      </w:numPr>
      <w:suppressAutoHyphens w:val="true"/>
    </w:pPr>
    <w:rPr/>
  </w:style>
  <w:style w:type="paragraph" w:styleId="Style32">
    <w:name w:val="框架內容"/>
    <w:basedOn w:val="Normal"/>
    <w:qFormat/>
    <w:pPr/>
    <w:rPr/>
  </w:style>
  <w:style w:type="paragraph" w:styleId="Style33">
    <w:name w:val="表格內容"/>
    <w:basedOn w:val="Normal"/>
    <w:qFormat/>
    <w:pPr>
      <w:suppressLineNumbers/>
    </w:pPr>
    <w:rPr/>
  </w:style>
  <w:style w:type="numbering" w:styleId="LFO1">
    <w:name w:val="LFO1"/>
    <w:qFormat/>
  </w:style>
  <w:style w:type="numbering" w:styleId="LFO2">
    <w:name w:val="LFO2"/>
    <w:qFormat/>
  </w:style>
  <w:style w:type="numbering" w:styleId="LFO13">
    <w:name w:val="LFO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edu.tw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LibreOffice/5.1.5.2$Linux_X86_64 LibreOffice_project/10m0$Build-2</Application>
  <Pages>4</Pages>
  <Words>1531</Words>
  <Characters>1860</Characters>
  <CharactersWithSpaces>1952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2016-06-29T08:02:00Z</dcterms:created>
  <dc:creator>AA0371</dc:creator>
  <dc:description/>
  <dc:language>zh-TW</dc:language>
  <cp:lastModifiedBy/>
  <cp:lastPrinted>2015-06-24T01:12:00Z</cp:lastPrinted>
  <dcterms:modified xsi:type="dcterms:W3CDTF">2016-10-01T11:01:11Z</dcterms:modified>
  <cp:revision>3</cp:revision>
  <dc:subject/>
  <dc:title>96年補助縣市辦理資訊教育推動細部計畫</dc:title>
</cp:coreProperties>
</file>