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Arial" w:ascii="Arial" w:hAnsi="Arial"/>
          <w:b/>
          <w:szCs w:val="22"/>
        </w:rPr>
        <w:t>Modul 1.2</w:t>
        <w:tab/>
        <w:tab/>
        <w:t>Kurs A 147</w:t>
        <w:tab/>
        <w:t>Fotografie</w:t>
        <w:tab/>
        <w:tab/>
        <w:t xml:space="preserve">                 </w:t>
        <w:tab/>
        <w:tab/>
        <w:tab/>
        <w:t xml:space="preserve">           </w:t>
        <w:tab/>
        <w:t xml:space="preserve">            </w:t>
        <w:tab/>
        <w:tab/>
        <w:t xml:space="preserve">      Winter 2015/16</w:t>
      </w:r>
    </w:p>
    <w:tbl>
      <w:tblPr>
        <w:tblStyle w:val="Tabellenraster"/>
        <w:tblW w:w="14339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</w:tblPr>
      <w:tblGrid>
        <w:gridCol w:w="858"/>
        <w:gridCol w:w="842"/>
        <w:gridCol w:w="12639"/>
      </w:tblGrid>
      <w:tr>
        <w:trPr>
          <w:tblHeader w:val="true"/>
        </w:trPr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atum</w:t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08:00-12:00</w:t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Präsentation des Seminars </w:t>
            </w:r>
            <w:r>
              <w:rPr>
                <w:sz w:val="22"/>
                <w:szCs w:val="22"/>
              </w:rPr>
              <w:t>(Handout)</w:t>
            </w:r>
            <w:r>
              <w:rPr>
                <w:sz w:val="22"/>
                <w:szCs w:val="22"/>
              </w:rPr>
              <w:t>; Vorkenntnisse/</w:t>
            </w:r>
            <w:r>
              <w:rPr>
                <w:sz w:val="22"/>
                <w:szCs w:val="22"/>
              </w:rPr>
              <w:t>Vorstellungen</w:t>
            </w:r>
            <w:r>
              <w:rPr>
                <w:sz w:val="22"/>
                <w:szCs w:val="22"/>
              </w:rPr>
              <w:t xml:space="preserve"> der TN; </w:t>
              <w:br/>
            </w:r>
            <w:r>
              <w:rPr>
                <w:sz w:val="22"/>
                <w:szCs w:val="22"/>
              </w:rPr>
              <w:t xml:space="preserve">Einführung in Gattung „Portrait“ durch Text </w:t>
            </w:r>
            <w:r>
              <w:rPr>
                <w:sz w:val="22"/>
                <w:szCs w:val="22"/>
              </w:rPr>
              <w:t>M.Schuster „</w:t>
            </w:r>
            <w:r>
              <w:rPr>
                <w:sz w:val="22"/>
                <w:szCs w:val="22"/>
              </w:rPr>
              <w:t xml:space="preserve">Das </w:t>
            </w:r>
            <w:r>
              <w:rPr>
                <w:sz w:val="22"/>
                <w:szCs w:val="22"/>
              </w:rPr>
              <w:t>Portrait</w:t>
            </w:r>
            <w:r>
              <w:rPr>
                <w:sz w:val="22"/>
                <w:szCs w:val="22"/>
              </w:rPr>
              <w:t>footo“ und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andout „Porträtfotogr.“  </w:t>
              <w:br/>
              <w:t xml:space="preserve">→ </w:t>
            </w:r>
            <w:r>
              <w:rPr>
                <w:sz w:val="22"/>
                <w:szCs w:val="22"/>
              </w:rPr>
              <w:t xml:space="preserve">fotogr. </w:t>
            </w:r>
            <w:r>
              <w:rPr>
                <w:sz w:val="22"/>
                <w:szCs w:val="22"/>
              </w:rPr>
              <w:t>Übungen (Perspektive, Brennweite...)</w:t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i/>
                <w:iCs/>
                <w:color w:val="00000A"/>
                <w:sz w:val="22"/>
                <w:szCs w:val="22"/>
                <w:lang w:val="de-DE" w:eastAsia="de-DE" w:bidi="ar-SA"/>
              </w:rPr>
              <w:t>Medialität und Gestaltung -</w:t>
            </w:r>
            <w:r>
              <w:rPr>
                <w:rFonts w:eastAsia="ＭＳ 明朝" w:cs="" w:cstheme="minorBidi" w:eastAsiaTheme="minorEastAsia"/>
                <w:i/>
                <w:iCs/>
                <w:color w:val="00000A"/>
                <w:sz w:val="22"/>
                <w:szCs w:val="22"/>
                <w:lang w:val="de-DE" w:eastAsia="de-DE" w:bidi="ar-SA"/>
              </w:rPr>
              <w:t>Bild als Medium, Eigenschaften des Medium</w:t>
            </w:r>
            <w:r>
              <w:rPr>
                <w:rFonts w:eastAsia="ＭＳ 明朝" w:cs="" w:cstheme="minorBidi" w:eastAsiaTheme="minorEastAsia"/>
                <w:i/>
                <w:iCs/>
                <w:color w:val="00000A"/>
                <w:sz w:val="22"/>
                <w:szCs w:val="22"/>
                <w:lang w:val="de-DE" w:eastAsia="de-DE" w:bidi="ar-SA"/>
              </w:rPr>
              <w:t>s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Text Auszug aus R.Barthes „Die helle Kammer“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Fotografie als 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Lichtbildnerei; </w:t>
              <w:br/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Bau einer </w:t>
            </w:r>
            <w:r>
              <w:rPr>
                <w:rFonts w:eastAsia="ＭＳ 明朝" w:cs="" w:cstheme="minorBidi" w:eastAsiaTheme="minorEastAsia"/>
                <w:i/>
                <w:iCs/>
                <w:color w:val="00000A"/>
                <w:sz w:val="22"/>
                <w:szCs w:val="22"/>
                <w:lang w:val="de-DE" w:eastAsia="de-DE" w:bidi="ar-SA"/>
              </w:rPr>
              <w:t>camera obscura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-&gt; Kameraaufbau; Belichtung, Verschluss, Brennweite,  Perspektive </w:t>
              <w:br/>
              <w:t>→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 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fotogr. Übungen dazu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Kataloge A.Sander, C.Cahun, D.Arbus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br/>
              <w:t xml:space="preserve">tablet 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PCs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 u. Plattform</w:t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Resümee (PPP mit 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anderem 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Bildmaterial)</w:t>
              <w:br/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Fotografie als Übermittlung von Informationen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br/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Ikonografie u. Ikonologie; Organisation der Informationen im Bild, zwischen Bildern und zwischen Bildern und Text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→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 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Übungen dazu</w:t>
              <w:br/>
              <w:t>online Beispiele (screengrab, KensukeKoike; OneIn8Million…)</w:t>
              <w:br/>
              <w:t>Buchbeispiele (</w:t>
            </w:r>
          </w:p>
        </w:tc>
      </w:tr>
      <w:tr>
        <w:trPr/>
        <w:tc>
          <w:tcPr>
            <w:tcW w:w="85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57" w:after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2" w:type="dxa"/>
            <w:tcBorders>
              <w:top w:val="nil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26.10.</w:t>
            </w:r>
          </w:p>
        </w:tc>
        <w:tc>
          <w:tcPr>
            <w:tcW w:w="12639" w:type="dxa"/>
            <w:tcBorders>
              <w:top w:val="nil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 xml:space="preserve">HOMEWORK </w:t>
            </w:r>
            <w:r>
              <w:rPr>
                <w:sz w:val="22"/>
                <w:szCs w:val="22"/>
                <w:shd w:fill="FFFFFF" w:val="clear"/>
              </w:rPr>
              <w:t>(Bilder zu Emotionen wie zB Wut, Ruhe…; s/w; ohne Personen)</w:t>
            </w:r>
          </w:p>
        </w:tc>
      </w:tr>
      <w:tr>
        <w:trPr>
          <w:trHeight w:val="811" w:hRule="atLeast"/>
        </w:trPr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i/>
                <w:iCs/>
                <w:color w:val="00000A"/>
                <w:sz w:val="22"/>
                <w:szCs w:val="22"/>
                <w:lang w:val="de-DE" w:eastAsia="de-DE" w:bidi="ar-SA"/>
              </w:rPr>
              <w:t>Bildrezeption -Bilder lesen üben und Wirkungsweisen kennen lernen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Fotografie als Mittel zwischenmenschlicher Kommunikation, als Medium zur (Mit-)Gestaltung der Welt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Beisp. 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eigene Bilder (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Besprechung der freien Arbeiten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); 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Beisp. Theorien über Bilder (S.Sontag)</w:t>
              <w:br/>
              <w:t>Beisp. A.Heinlein (Der dritte Blick)</w:t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Ausstellungsbesuch (G.Krull – Martin Gropius Bau)</w:t>
            </w:r>
          </w:p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 xml:space="preserve">                                       </w:t>
            </w: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(Der dritte Blick/ B.Köppe -WillyBrandt Haus)</w:t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i/>
                <w:iCs/>
                <w:color w:val="00000A"/>
                <w:sz w:val="22"/>
                <w:szCs w:val="22"/>
                <w:lang w:val="de-DE" w:eastAsia="de-DE" w:bidi="ar-SA"/>
              </w:rPr>
              <w:t>Bildrezeption → Authentizität</w:t>
              <w:br/>
            </w: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 xml:space="preserve">Beisp. Ausstellungsbesuch: </w:t>
            </w:r>
            <w:r>
              <w:rPr>
                <w:sz w:val="22"/>
                <w:szCs w:val="22"/>
              </w:rPr>
              <w:t xml:space="preserve">Organisation der Informationen im Raum </w:t>
            </w:r>
            <w:r>
              <w:rPr>
                <w:sz w:val="22"/>
                <w:szCs w:val="22"/>
              </w:rPr>
              <w:t xml:space="preserve">und </w:t>
            </w: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>im geschichtl. Kontext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 xml:space="preserve">Fotografie als Sichtbarmachung des Wesentlichen, </w:t>
            </w: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>Spiel mit Inszenierung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 xml:space="preserve">online Beisp. (facebook fake, </w:t>
            </w: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>Foto-Ikonen)</w:t>
            </w:r>
          </w:p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i w:val="false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>Text T.Enim „Your whole existence is a lie“</w:t>
            </w:r>
          </w:p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arte edition PHOTO „Inszenierte Fotografie“</w:t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57" w:after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</w:t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eastAsia="ＭＳ 明朝" w:cs="" w:cstheme="minorBidi" w:eastAsiaTheme="minorEastAsia"/>
                <w:color w:val="auto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auto"/>
                <w:sz w:val="22"/>
                <w:szCs w:val="22"/>
                <w:lang w:val="de-DE" w:eastAsia="de-DE" w:bidi="ar-SA"/>
              </w:rPr>
              <w:t>Digitaler workflow und Bildbearbeitung am PC</w:t>
            </w:r>
          </w:p>
        </w:tc>
      </w:tr>
      <w:tr>
        <w:trPr>
          <w:trHeight w:val="309" w:hRule="atLeast"/>
        </w:trPr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top w:w="55" w:type="dxa"/>
              <w:left w:w="20" w:type="dxa"/>
              <w:bottom w:w="55" w:type="dxa"/>
              <w:right w:w="55" w:type="dxa"/>
            </w:tcMar>
          </w:tcPr>
          <w:p>
            <w:pPr>
              <w:pStyle w:val="Textkrper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2" w:type="dxa"/>
            <w:tcBorders>
              <w:right w:val="nil"/>
              <w:insideV w:val="nil"/>
            </w:tcBorders>
            <w:shd w:fill="auto" w:val="clear"/>
            <w:tcMar>
              <w:top w:w="55" w:type="dxa"/>
              <w:left w:w="20" w:type="dxa"/>
              <w:bottom w:w="55" w:type="dxa"/>
              <w:right w:w="55" w:type="dxa"/>
            </w:tcMar>
          </w:tcPr>
          <w:p>
            <w:pPr>
              <w:pStyle w:val="Textkrper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</w:t>
            </w:r>
          </w:p>
        </w:tc>
        <w:tc>
          <w:tcPr>
            <w:tcW w:w="12639" w:type="dxa"/>
            <w:tcBorders/>
            <w:shd w:fill="auto" w:val="clear"/>
            <w:tcMar>
              <w:top w:w="55" w:type="dxa"/>
              <w:left w:w="20" w:type="dxa"/>
              <w:bottom w:w="55" w:type="dxa"/>
              <w:right w:w="55" w:type="dxa"/>
            </w:tcMar>
          </w:tcPr>
          <w:p>
            <w:pPr>
              <w:pStyle w:val="Textkrper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a. (Krankheit)</w:t>
            </w:r>
          </w:p>
        </w:tc>
      </w:tr>
      <w:tr>
        <w:trPr/>
        <w:tc>
          <w:tcPr>
            <w:tcW w:w="85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842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>Einfangen (Re-Konstruktion) des Moments, der die Essenz des vorbeifließenden Leben sichtbar werden läßt</w:t>
            </w:r>
          </w:p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>Wirkungsmacht durch Autonomie am eigenen Bild</w:t>
            </w:r>
          </w:p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i w:val="false"/>
                <w:iCs w:val="false"/>
                <w:color w:val="00000A"/>
                <w:sz w:val="22"/>
                <w:szCs w:val="22"/>
                <w:lang w:val="de-DE" w:eastAsia="de-DE" w:bidi="ar-SA"/>
              </w:rPr>
              <w:t>Beisp. Analyse an W.Ballhause, L.Jeffries, S.Salgado, H.Koelbl, R.Dijkstra, Loretta Lux; AnjaLehmann (Roma),    (Migrantenkinder in GS), Carsten Sander (Flüchtlingskinder),</w:t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CCCCCC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2" w:type="dxa"/>
            <w:tcBorders>
              <w:right w:val="nil"/>
              <w:insideV w:val="nil"/>
            </w:tcBorders>
            <w:shd w:fill="CCCCCC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shd w:fill="FFFFFF" w:val="clear"/>
                <w:lang w:val="de-DE" w:eastAsia="de-DE" w:bidi="ar-SA"/>
              </w:rPr>
              <w:t>21.12.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shd w:fill="FFFFFF" w:val="clear"/>
                <w:lang w:val="de-DE" w:eastAsia="de-DE" w:bidi="ar-SA"/>
              </w:rPr>
              <w:t xml:space="preserve">28.12. </w:t>
            </w:r>
          </w:p>
        </w:tc>
        <w:tc>
          <w:tcPr>
            <w:tcW w:w="12639" w:type="dxa"/>
            <w:tcBorders>
              <w:left w:val="nil"/>
            </w:tcBorders>
            <w:shd w:fill="CCCCCC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shd w:fill="FFFFFF" w:val="clear"/>
                <w:lang w:val="de-DE" w:eastAsia="de-DE" w:bidi="ar-SA"/>
              </w:rPr>
              <w:t>WEIHNACHTSFERIEN    (23.10. - 3.1.  )</w:t>
            </w:r>
          </w:p>
        </w:tc>
      </w:tr>
      <w:tr>
        <w:trPr/>
        <w:tc>
          <w:tcPr>
            <w:tcW w:w="85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42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rFonts w:ascii="Cambria" w:hAnsi="Cambria" w:eastAsia="ＭＳ 明朝" w:cs="" w:asciiTheme="minorHAnsi" w:cstheme="minorBidi" w:eastAsiaTheme="minorEastAsia" w:hAnsiTheme="minorHAnsi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</w:r>
          </w:p>
        </w:tc>
      </w:tr>
      <w:tr>
        <w:trPr/>
        <w:tc>
          <w:tcPr>
            <w:tcW w:w="858" w:type="dxa"/>
            <w:tcBorders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4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ＭＳ 明朝" w:cs="" w:cstheme="minorBidi" w:eastAsiaTheme="minorEastAsia"/>
                <w:color w:val="00000A"/>
                <w:sz w:val="22"/>
                <w:szCs w:val="22"/>
                <w:lang w:val="de-DE" w:eastAsia="de-DE" w:bidi="ar-SA"/>
              </w:rPr>
              <w:t>kleine Abschluss-Runde mit Präsentation, Feedback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20" w:h="11906"/>
      <w:pgMar w:left="1417" w:right="1134" w:header="0" w:top="919" w:footer="0" w:bottom="14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qFormat/>
    <w:rsid w:val="004f606c"/>
    <w:rPr>
      <w:color w:val="0000FF" w:themeColor="hyperlink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14b70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cs="Courier New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Textkörper"/>
    <w:basedOn w:val="Normal"/>
    <w:qFormat/>
    <w:pPr>
      <w:spacing w:lineRule="auto" w:line="288" w:before="0" w:after="140"/>
    </w:pPr>
    <w:rPr/>
  </w:style>
  <w:style w:type="paragraph" w:styleId="Liste">
    <w:name w:val="Liste"/>
    <w:basedOn w:val="Textkrper"/>
    <w:qFormat/>
    <w:pPr/>
    <w:rPr/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uiPriority w:val="34"/>
    <w:qFormat/>
    <w:rsid w:val="00776c8f"/>
    <w:pPr>
      <w:spacing w:before="0" w:after="0"/>
      <w:ind w:left="720" w:hanging="0"/>
      <w:contextualSpacing/>
    </w:pPr>
    <w:rPr/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8801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41178</TotalTime>
  <Application>LibreOffice/5.0.2.2$MacOSX_X86_64 LibreOffice_project/ab9e2a14cfa5edd30bd74f156cfba09bfd5be3a0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2015-03-03T16:23:00Z</dcterms:created>
  <dc:creator>Juliane Karakayali</dc:creator>
  <dc:language>de-DE</dc:language>
  <cp:lastPrinted>2015-11-27T11:42:41Z</cp:lastPrinted>
  <dcterms:modified xsi:type="dcterms:W3CDTF">2015-12-13T17:39:42Z</dcterms:modified>
  <cp:revision>47</cp:revision>
</cp:coreProperties>
</file>