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eastAsia="Times New Roman" w:cs="Cambria"/>
          <w:color w:val="auto"/>
          <w:sz w:val="24"/>
          <w:szCs w:val="24"/>
          <w:lang w:val="en-US" w:eastAsia="en-US"/>
        </w:rPr>
      </w:pPr>
      <w:r>
        <w:rPr>
          <w:rFonts w:eastAsia="Times New Roman" w:cs="Cambria" w:ascii="Cambria" w:hAnsi="Cambria"/>
          <w:color w:val="auto"/>
          <w:sz w:val="24"/>
          <w:szCs w:val="24"/>
          <w:lang w:val="en-US" w:eastAsia="en-US"/>
        </w:rPr>
      </w:r>
    </w:p>
    <w:p>
      <w:pPr>
        <w:pStyle w:val="Normal"/>
        <w:rPr>
          <w:rFonts w:ascii="Cambria" w:hAnsi="Cambria" w:eastAsia="Times New Roman" w:cs="Cambria"/>
          <w:color w:val="FF6600"/>
          <w:sz w:val="24"/>
          <w:szCs w:val="24"/>
          <w:lang w:val="en-US" w:eastAsia="en-US"/>
        </w:rPr>
      </w:pPr>
      <w:r>
        <w:rPr>
          <w:rFonts w:eastAsia="Times New Roman" w:cs="Cambria" w:ascii="Cambria" w:hAnsi="Cambria"/>
          <w:color w:val="FF6600"/>
          <w:sz w:val="24"/>
          <w:szCs w:val="24"/>
          <w:lang w:val="en-US" w:eastAsia="en-US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line">
                  <wp:align>top</wp:align>
                </wp:positionV>
                <wp:extent cx="6660515" cy="4755515"/>
                <wp:effectExtent l="0" t="0" r="0" b="0"/>
                <wp:wrapTopAndBottom/>
                <wp:docPr id="1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515" cy="4755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gure"/>
                              <w:rPr/>
                            </w:pPr>
                            <w:r>
                              <w:rPr/>
                              <w:t xml:space="preserve">Figure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instrText> SEQ Figure \* ARABIC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rPr/>
                              <w:t xml:space="preserve">: </w:t>
                            </w:r>
                            <w:r>
                              <w:rPr/>
                              <w:t>Wiggly graph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255000</wp14:pctHeight>
                </wp14:sizeRelV>
              </wp:anchor>
            </w:drawing>
          </mc:Choice>
          <mc:Fallback>
            <w:pict>
              <v:rect style="position:absolute;rotation:0;width:524.45pt;height:374.45pt;mso-wrap-distance-left:0pt;mso-wrap-distance-right:0pt;mso-wrap-distance-top:0pt;mso-wrap-distance-bottom:0pt;margin-top:0pt;mso-position-vertical:top;mso-position-vertical-relative:text;margin-left:-35.45pt;mso-position-horizontal:center;mso-position-horizontal-relative:text">
                <v:textbox inset="0in,0in,0in,0in">
                  <w:txbxContent>
                    <w:p>
                      <w:pPr>
                        <w:pStyle w:val="Figure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660515" cy="4603115"/>
                            <wp:effectExtent l="0" t="0" r="0" b="0"/>
                            <wp:docPr id="2" name="Object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"/>
                              </a:graphicData>
                            </a:graphic>
                          </wp:inline>
                        </w:drawing>
                        <w:t xml:space="preserve">Figure </w:t>
                      </w:r>
                      <w:r>
                        <w:rPr/>
                        <w:fldChar w:fldCharType="begin"/>
                      </w:r>
                      <w:r>
                        <w:instrText> SEQ Figure \* ARABIC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rPr/>
                        <w:t xml:space="preserve">: </w:t>
                      </w:r>
                      <w:r>
                        <w:rPr/>
                        <w:t>Wiggly graph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Heading3"/>
        <w:numPr>
          <w:ilvl w:val="0"/>
          <w:numId w:val="0"/>
        </w:numPr>
        <w:spacing w:before="120" w:after="120"/>
        <w:rPr>
          <w:rFonts w:ascii="Cambria" w:hAnsi="Cambria" w:eastAsia="Times New Roman" w:cs="Cambria"/>
          <w:sz w:val="24"/>
          <w:szCs w:val="24"/>
          <w:lang w:val="en-US" w:eastAsia="en-US"/>
        </w:rPr>
      </w:pPr>
      <w:r>
        <w:rPr>
          <w:rFonts w:eastAsia="Times New Roman" w:cs="Cambria" w:ascii="Cambria" w:hAnsi="Cambria"/>
          <w:sz w:val="24"/>
          <w:szCs w:val="24"/>
          <w:lang w:val="en-US" w:eastAsia="en-US"/>
        </w:rPr>
        <w:drawing>
          <wp:inline distT="0" distB="0" distL="0" distR="0">
            <wp:extent cx="6660515" cy="4603115"/>
            <wp:effectExtent l="0" t="0" r="0" b="0"/>
            <wp:docPr id="3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1906" w:h="16838"/>
      <w:pgMar w:left="1418" w:right="1418" w:header="709" w:top="1418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FreeSans"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Cambria">
    <w:charset w:val="01"/>
    <w:family w:val="roman"/>
    <w:pitch w:val="variable"/>
  </w:font>
  <w:font w:name="Consolas">
    <w:charset w:val="01"/>
    <w:family w:val="modern"/>
    <w:pitch w:val="default"/>
  </w:font>
  <w:font w:name="Calibri">
    <w:charset w:val="01"/>
    <w:family w:val="swiss"/>
    <w:pitch w:val="variable"/>
  </w:font>
  <w:font w:name="Verdana">
    <w:charset w:val="01"/>
    <w:family w:val="swiss"/>
    <w:pitch w:val="variable"/>
  </w:font>
  <w:font w:name="Calibri Light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Tahoma">
    <w:charset w:val="01"/>
    <w:family w:val="swiss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single" w:sz="2" w:space="1" w:color="000000"/>
      </w:pBdr>
      <w:rPr/>
    </w:pPr>
    <w:r>
      <w:rPr>
        <w:sz w:val="20"/>
      </w:rPr>
      <w:t>frob</w:t>
      <w:tab/>
      <w:tab/>
    </w:r>
    <w:r>
      <w:rPr>
        <w:rStyle w:val="PageNumber"/>
        <w:sz w:val="20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87" w:type="dxa"/>
      <w:jc w:val="left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insideH w:val="single" w:sz="6" w:space="0" w:color="000000"/>
      </w:tblBorders>
      <w:tblCellMar>
        <w:top w:w="0" w:type="dxa"/>
        <w:left w:w="100" w:type="dxa"/>
        <w:bottom w:w="0" w:type="dxa"/>
        <w:right w:w="108" w:type="dxa"/>
      </w:tblCellMar>
    </w:tblPr>
    <w:tblGrid>
      <w:gridCol w:w="3000"/>
      <w:gridCol w:w="6087"/>
    </w:tblGrid>
    <w:tr>
      <w:trPr>
        <w:trHeight w:val="159" w:hRule="atLeast"/>
      </w:trPr>
      <w:tc>
        <w:tcPr>
          <w:tcW w:w="30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insideH w:val="single" w:sz="6" w:space="0" w:color="000000"/>
          </w:tcBorders>
          <w:shd w:fill="auto" w:val="clear"/>
          <w:tcMar>
            <w:left w:w="100" w:type="dxa"/>
          </w:tcMar>
        </w:tcPr>
        <w:p>
          <w:pPr>
            <w:pStyle w:val="Normal"/>
            <w:rPr>
              <w:rFonts w:ascii="Calibri Light" w:hAnsi="Calibri Light" w:cs="Calibri Light"/>
              <w:b/>
              <w:b/>
              <w:sz w:val="20"/>
              <w:szCs w:val="20"/>
            </w:rPr>
          </w:pPr>
          <w:r>
            <w:rPr>
              <w:rFonts w:cs="Calibri Light" w:ascii="Calibri Light" w:hAnsi="Calibri Light"/>
              <w:b/>
              <w:sz w:val="20"/>
              <w:szCs w:val="20"/>
            </w:rPr>
            <w:t>ORBIT</w:t>
          </w:r>
        </w:p>
      </w:tc>
      <w:tc>
        <w:tcPr>
          <w:tcW w:w="60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cBorders>
          <w:shd w:fill="auto" w:val="clear"/>
          <w:tcMar>
            <w:left w:w="100" w:type="dxa"/>
          </w:tcMar>
        </w:tcPr>
        <w:p>
          <w:pPr>
            <w:pStyle w:val="Normal"/>
            <w:tabs>
              <w:tab w:val="left" w:pos="1135" w:leader="none"/>
            </w:tabs>
            <w:ind w:left="0" w:right="68" w:hanging="0"/>
            <w:jc w:val="right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cs="Calibri Light" w:ascii="Calibri Light" w:hAnsi="Calibri Light"/>
              <w:sz w:val="20"/>
              <w:szCs w:val="20"/>
            </w:rPr>
            <w:t>ORBIT_D</w:t>
          </w:r>
          <w:r>
            <w:rPr>
              <w:rFonts w:cs="Calibri Light" w:ascii="Calibri Light" w:hAnsi="Calibri Light"/>
              <w:sz w:val="20"/>
              <w:szCs w:val="20"/>
            </w:rPr>
            <w:t>4</w:t>
          </w:r>
          <w:r>
            <w:rPr>
              <w:rFonts w:cs="Calibri Light" w:ascii="Calibri Light" w:hAnsi="Calibri Light"/>
              <w:sz w:val="20"/>
              <w:szCs w:val="20"/>
            </w:rPr>
            <w:t>.</w:t>
          </w:r>
          <w:r>
            <w:rPr>
              <w:rFonts w:cs="Calibri Light" w:ascii="Calibri Light" w:hAnsi="Calibri Light"/>
              <w:sz w:val="20"/>
              <w:szCs w:val="20"/>
            </w:rPr>
            <w:t>3</w:t>
          </w:r>
          <w:r>
            <w:rPr>
              <w:rFonts w:cs="Calibri Light" w:ascii="Calibri Light" w:hAnsi="Calibri Light"/>
              <w:sz w:val="20"/>
              <w:szCs w:val="20"/>
            </w:rPr>
            <w:t>.1_RCLDesignAndOpenSpecification_v</w:t>
          </w:r>
          <w:r>
            <w:rPr>
              <w:rFonts w:cs="Calibri Light" w:ascii="Calibri Light" w:hAnsi="Calibri Light"/>
              <w:sz w:val="20"/>
              <w:szCs w:val="20"/>
            </w:rPr>
            <w:t>0.1</w:t>
          </w:r>
        </w:p>
      </w:tc>
    </w:tr>
    <w:tr>
      <w:trPr/>
      <w:tc>
        <w:tcPr>
          <w:tcW w:w="30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insideH w:val="single" w:sz="6" w:space="0" w:color="000000"/>
          </w:tcBorders>
          <w:shd w:fill="auto" w:val="clear"/>
          <w:tcMar>
            <w:left w:w="100" w:type="dxa"/>
          </w:tcMar>
        </w:tcPr>
        <w:p>
          <w:pPr>
            <w:pStyle w:val="Normal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cs="Calibri Light" w:ascii="Calibri Light" w:hAnsi="Calibri Light"/>
              <w:sz w:val="20"/>
              <w:szCs w:val="20"/>
            </w:rPr>
            <w:t>Business Continuity as a Service</w:t>
          </w:r>
        </w:p>
      </w:tc>
      <w:tc>
        <w:tcPr>
          <w:tcW w:w="60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cBorders>
          <w:shd w:fill="auto" w:val="clear"/>
          <w:tcMar>
            <w:left w:w="100" w:type="dxa"/>
          </w:tcMar>
        </w:tcPr>
        <w:p>
          <w:pPr>
            <w:pStyle w:val="Normal"/>
            <w:jc w:val="right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cs="Calibri Light" w:ascii="Calibri Light" w:hAnsi="Calibri Light"/>
              <w:sz w:val="20"/>
              <w:szCs w:val="20"/>
            </w:rPr>
            <w:t>30</w:t>
          </w:r>
          <w:r>
            <w:rPr>
              <w:rFonts w:cs="Calibri Light" w:ascii="Calibri Light" w:hAnsi="Calibri Light"/>
              <w:sz w:val="20"/>
              <w:szCs w:val="20"/>
            </w:rPr>
            <w:t>.</w:t>
          </w:r>
          <w:r>
            <w:rPr>
              <w:rFonts w:cs="Calibri Light" w:ascii="Calibri Light" w:hAnsi="Calibri Light"/>
              <w:sz w:val="20"/>
              <w:szCs w:val="20"/>
            </w:rPr>
            <w:t>9</w:t>
          </w:r>
          <w:r>
            <w:rPr>
              <w:rFonts w:cs="Calibri Light" w:ascii="Calibri Light" w:hAnsi="Calibri Light"/>
              <w:sz w:val="20"/>
              <w:szCs w:val="20"/>
            </w:rPr>
            <w:t>.201</w:t>
          </w:r>
          <w:r>
            <w:rPr>
              <w:rFonts w:cs="Calibri Light" w:ascii="Calibri Light" w:hAnsi="Calibri Light"/>
              <w:sz w:val="20"/>
              <w:szCs w:val="20"/>
            </w:rPr>
            <w:t>5</w:t>
          </w:r>
        </w:p>
      </w:tc>
    </w:tr>
    <w:tr>
      <w:trPr/>
      <w:tc>
        <w:tcPr>
          <w:tcW w:w="9087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cBorders>
          <w:shd w:fill="auto" w:val="clear"/>
          <w:tcMar>
            <w:left w:w="100" w:type="dxa"/>
          </w:tcMar>
        </w:tcPr>
        <w:p>
          <w:pPr>
            <w:pStyle w:val="Normal"/>
            <w:rPr>
              <w:rFonts w:ascii="Calibri Light" w:hAnsi="Calibri Light" w:cs="Calibri Light"/>
              <w:b/>
              <w:b/>
              <w:sz w:val="20"/>
              <w:szCs w:val="20"/>
            </w:rPr>
          </w:pPr>
          <w:r>
            <w:rPr>
              <w:rFonts w:cs="Calibri Light" w:ascii="Calibri Light" w:hAnsi="Calibri Light"/>
              <w:b/>
              <w:sz w:val="20"/>
              <w:szCs w:val="20"/>
            </w:rPr>
            <w:t>D.</w:t>
          </w:r>
          <w:r>
            <w:rPr>
              <w:rFonts w:cs="Calibri Light" w:ascii="Calibri Light" w:hAnsi="Calibri Light"/>
              <w:b/>
              <w:sz w:val="20"/>
              <w:szCs w:val="20"/>
            </w:rPr>
            <w:t>4</w:t>
          </w:r>
          <w:r>
            <w:rPr>
              <w:rFonts w:cs="Calibri Light" w:ascii="Calibri Light" w:hAnsi="Calibri Light"/>
              <w:b/>
              <w:sz w:val="20"/>
              <w:szCs w:val="20"/>
            </w:rPr>
            <w:t>.</w:t>
          </w:r>
          <w:r>
            <w:rPr>
              <w:rFonts w:cs="Calibri Light" w:ascii="Calibri Light" w:hAnsi="Calibri Light"/>
              <w:b/>
              <w:sz w:val="20"/>
              <w:szCs w:val="20"/>
            </w:rPr>
            <w:t>3</w:t>
          </w:r>
          <w:r>
            <w:rPr>
              <w:rFonts w:cs="Calibri Light" w:ascii="Calibri Light" w:hAnsi="Calibri Light"/>
              <w:b/>
              <w:sz w:val="20"/>
              <w:szCs w:val="20"/>
            </w:rPr>
            <w:t xml:space="preserve">.1  - </w:t>
          </w:r>
          <w:r>
            <w:rPr>
              <w:rFonts w:cs="Calibri Light" w:ascii="Calibri Light" w:hAnsi="Calibri Light"/>
              <w:b/>
              <w:sz w:val="20"/>
              <w:szCs w:val="20"/>
            </w:rPr>
            <w:t>FT</w:t>
          </w:r>
          <w:r>
            <w:rPr>
              <w:rFonts w:cs="Calibri Light" w:ascii="Calibri Light" w:hAnsi="Calibri Light"/>
              <w:b/>
              <w:sz w:val="20"/>
              <w:szCs w:val="20"/>
            </w:rPr>
            <w:t xml:space="preserve">:  </w:t>
          </w:r>
          <w:r>
            <w:rPr>
              <w:rFonts w:cs="Calibri Light" w:ascii="Calibri Light" w:hAnsi="Calibri Light"/>
              <w:b/>
              <w:sz w:val="20"/>
              <w:szCs w:val="20"/>
            </w:rPr>
            <w:t>Software prototype &amp; scientific report</w:t>
          </w:r>
        </w:p>
      </w:tc>
    </w:tr>
  </w:tbl>
  <w:p>
    <w:pPr>
      <w:pStyle w:val="Header"/>
      <w:rPr>
        <w:rFonts w:ascii="Calibri Light" w:hAnsi="Calibri Light" w:cs="Calibri Light"/>
      </w:rPr>
    </w:pPr>
    <w:r>
      <w:rPr>
        <w:rFonts w:cs="Calibri Light" w:ascii="Calibri Light" w:hAnsi="Calibri Light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/>
    </w:lvl>
    <w:lvl w:ilvl="1">
      <w:start w:val="1"/>
      <w:numFmt w:val="decimal"/>
      <w:lvlText w:val="%1.%2."/>
      <w:lvlJc w:val="left"/>
      <w:pPr>
        <w:tabs>
          <w:tab w:val="num" w:pos="2836"/>
        </w:tabs>
        <w:ind w:left="2836" w:hanging="1418"/>
      </w:pPr>
      <w:rPr/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18" w:hanging="1418"/>
      </w:pPr>
      <w:rPr/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18" w:hanging="141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418" w:hanging="1418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/>
    </w:lvl>
    <w:lvl w:ilvl="1">
      <w:start w:val="1"/>
      <w:numFmt w:val="decimal"/>
      <w:lvlText w:val="%1.%2."/>
      <w:lvlJc w:val="left"/>
      <w:pPr>
        <w:ind w:left="0" w:hanging="0"/>
      </w:pPr>
      <w:rPr/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18" w:hanging="1418"/>
      </w:pPr>
      <w:rPr/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18" w:hanging="141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418" w:hanging="1418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08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08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1800"/>
      </w:pPr>
      <w:rPr/>
    </w:lvl>
  </w:abstractNum>
  <w:abstractNum w:abstractNumId="5"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 Unicode"/>
        <w:szCs w:val="24"/>
        <w:lang w:val="en-US" w:eastAsia="zh-CN" w:bidi="he-IL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FreeSans" w:hAnsi="FreeSans" w:eastAsia="Times New Roman" w:cs="Calibri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/>
      <w:pageBreakBefore/>
      <w:numPr>
        <w:ilvl w:val="0"/>
        <w:numId w:val="3"/>
      </w:numPr>
      <w:spacing w:before="240" w:after="60"/>
      <w:outlineLvl w:val="0"/>
    </w:pPr>
    <w:rPr>
      <w:rFonts w:cs="Arial"/>
      <w:b/>
      <w:bCs/>
      <w:color w:val="474747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false"/>
      <w:numPr>
        <w:ilvl w:val="0"/>
        <w:numId w:val="3"/>
      </w:numPr>
      <w:tabs>
        <w:tab w:val="left" w:pos="851" w:leader="none"/>
      </w:tabs>
      <w:spacing w:before="120" w:after="120"/>
      <w:ind w:left="0" w:right="0" w:hanging="0"/>
      <w:outlineLvl w:val="1"/>
    </w:pPr>
    <w:rPr>
      <w:b/>
      <w:color w:val="474747"/>
      <w:sz w:val="40"/>
      <w:szCs w:val="22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3"/>
      </w:numPr>
      <w:tabs>
        <w:tab w:val="left" w:pos="851" w:leader="none"/>
      </w:tabs>
      <w:spacing w:before="120" w:after="120"/>
      <w:jc w:val="both"/>
      <w:outlineLvl w:val="2"/>
    </w:pPr>
    <w:rPr>
      <w:b/>
      <w:color w:val="474747"/>
      <w:sz w:val="32"/>
      <w:szCs w:val="22"/>
    </w:rPr>
  </w:style>
  <w:style w:type="paragraph" w:styleId="Heading4">
    <w:name w:val="Heading 4"/>
    <w:basedOn w:val="Normal"/>
    <w:next w:val="Normal"/>
    <w:qFormat/>
    <w:pPr>
      <w:keepNext/>
      <w:numPr>
        <w:ilvl w:val="0"/>
        <w:numId w:val="3"/>
      </w:numPr>
      <w:tabs>
        <w:tab w:val="left" w:pos="851" w:leader="none"/>
      </w:tabs>
      <w:spacing w:before="120" w:after="120"/>
      <w:outlineLvl w:val="3"/>
    </w:pPr>
    <w:rPr>
      <w:rFonts w:ascii="Arial" w:hAnsi="Arial" w:cs="Arial"/>
      <w:i/>
      <w:sz w:val="22"/>
      <w:szCs w:val="20"/>
      <w:lang w:val="en-GB"/>
    </w:rPr>
  </w:style>
  <w:style w:type="paragraph" w:styleId="Heading5">
    <w:name w:val="Heading 5"/>
    <w:basedOn w:val="Normal"/>
    <w:next w:val="Normal"/>
    <w:qFormat/>
    <w:pPr>
      <w:tabs>
        <w:tab w:val="left" w:pos="0" w:leader="none"/>
        <w:tab w:val="left" w:pos="851" w:leader="none"/>
      </w:tabs>
      <w:spacing w:before="120" w:after="120"/>
      <w:jc w:val="both"/>
    </w:pPr>
    <w:rPr>
      <w:rFonts w:ascii="Arial" w:hAnsi="Arial" w:cs="Arial"/>
      <w:bCs/>
      <w:i/>
      <w:iCs/>
      <w:sz w:val="22"/>
      <w:szCs w:val="26"/>
    </w:rPr>
  </w:style>
  <w:style w:type="paragraph" w:styleId="Heading6">
    <w:name w:val="Heading 6"/>
    <w:basedOn w:val="Normal"/>
    <w:next w:val="Normal"/>
    <w:qFormat/>
    <w:pPr>
      <w:tabs>
        <w:tab w:val="left" w:pos="0" w:leader="none"/>
        <w:tab w:val="left" w:pos="851" w:leader="none"/>
      </w:tabs>
      <w:spacing w:before="120" w:after="120"/>
      <w:jc w:val="both"/>
    </w:pPr>
    <w:rPr>
      <w:rFonts w:ascii="Arial" w:hAnsi="Arial" w:cs="Arial"/>
      <w:bCs/>
      <w:i/>
      <w:sz w:val="22"/>
      <w:szCs w:val="22"/>
    </w:rPr>
  </w:style>
  <w:style w:type="paragraph" w:styleId="Heading7">
    <w:name w:val="Heading 7"/>
    <w:basedOn w:val="Normal"/>
    <w:next w:val="Normal"/>
    <w:qFormat/>
    <w:pPr>
      <w:tabs>
        <w:tab w:val="left" w:pos="0" w:leader="none"/>
      </w:tabs>
      <w:spacing w:before="120" w:after="120"/>
      <w:jc w:val="both"/>
    </w:pPr>
    <w:rPr>
      <w:rFonts w:ascii="Arial" w:hAnsi="Arial" w:cs="Arial"/>
      <w:i/>
      <w:sz w:val="22"/>
      <w:szCs w:val="22"/>
    </w:rPr>
  </w:style>
  <w:style w:type="paragraph" w:styleId="Heading8">
    <w:name w:val="Heading 8"/>
    <w:basedOn w:val="Normal"/>
    <w:next w:val="Normal"/>
    <w:qFormat/>
    <w:pPr>
      <w:tabs>
        <w:tab w:val="left" w:pos="0" w:leader="none"/>
        <w:tab w:val="left" w:pos="851" w:leader="none"/>
      </w:tabs>
      <w:spacing w:before="120" w:after="120"/>
      <w:jc w:val="both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qFormat/>
    <w:pPr>
      <w:tabs>
        <w:tab w:val="left" w:pos="0" w:leader="none"/>
        <w:tab w:val="left" w:pos="851" w:leader="none"/>
      </w:tabs>
      <w:spacing w:before="120" w:after="120"/>
      <w:jc w:val="both"/>
    </w:pPr>
    <w:rPr>
      <w:rFonts w:ascii="Arial" w:hAnsi="Arial" w:cs="Arial"/>
      <w:i/>
      <w:sz w:val="22"/>
      <w:szCs w:val="2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sz w:val="20"/>
      <w:szCs w:val="22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4">
    <w:name w:val="WW8Num14z4"/>
    <w:qFormat/>
    <w:rPr>
      <w:rFonts w:ascii="Courier New" w:hAnsi="Courier New" w:cs="Courier New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sz w:val="48"/>
      <w:szCs w:val="4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b w:val="false"/>
      <w:i w:val="false"/>
      <w:color w:val="0000FF"/>
      <w:u w:val="single"/>
    </w:rPr>
  </w:style>
  <w:style w:type="character" w:styleId="PageNumber">
    <w:name w:val="Page Number"/>
    <w:basedOn w:val="DefaultParagraphFont"/>
    <w:rPr/>
  </w:style>
  <w:style w:type="character" w:styleId="CommentReference">
    <w:name w:val="Comment Reference"/>
    <w:qFormat/>
    <w:rPr>
      <w:sz w:val="16"/>
      <w:szCs w:val="16"/>
    </w:rPr>
  </w:style>
  <w:style w:type="character" w:styleId="VisitedInternetLink">
    <w:name w:val="Visited Internet Link"/>
    <w:rPr>
      <w:color w:val="800080"/>
      <w:u w:val="single"/>
    </w:rPr>
  </w:style>
  <w:style w:type="character" w:styleId="FootnoteCharacters">
    <w:name w:val="Footnote Characters"/>
    <w:qFormat/>
    <w:rPr>
      <w:vertAlign w:val="superscript"/>
    </w:rPr>
  </w:style>
  <w:style w:type="character" w:styleId="CommentTextChar">
    <w:name w:val="Comment Text Char"/>
    <w:qFormat/>
    <w:rPr>
      <w:rFonts w:ascii="Cambria" w:hAnsi="Cambria" w:cs="Cambria"/>
    </w:rPr>
  </w:style>
  <w:style w:type="character" w:styleId="PlainTextChar">
    <w:name w:val="Plain Text Char"/>
    <w:qFormat/>
    <w:rPr>
      <w:rFonts w:ascii="Consolas" w:hAnsi="Consolas" w:eastAsia="Calibri" w:cs="Times New Roman"/>
      <w:sz w:val="21"/>
      <w:szCs w:val="21"/>
    </w:rPr>
  </w:style>
  <w:style w:type="character" w:styleId="BodyTextChar">
    <w:name w:val="Body Text Char"/>
    <w:qFormat/>
    <w:rPr>
      <w:rFonts w:ascii="Calibri" w:hAnsi="Calibri" w:cs="Calibri"/>
      <w:b/>
      <w:bCs/>
      <w:sz w:val="24"/>
      <w:lang w:bidi="en-US"/>
    </w:rPr>
  </w:style>
  <w:style w:type="character" w:styleId="StrongEmphasis">
    <w:name w:val="Strong Emphasis"/>
    <w:rPr>
      <w:b/>
      <w:bCs/>
    </w:rPr>
  </w:style>
  <w:style w:type="character" w:styleId="EndnoteTextChar">
    <w:name w:val="Endnote Text Char"/>
    <w:qFormat/>
    <w:rPr>
      <w:rFonts w:ascii="Cambria" w:hAnsi="Cambria" w:cs="Cambria"/>
    </w:rPr>
  </w:style>
  <w:style w:type="character" w:styleId="EndnoteCharacters">
    <w:name w:val="Endnote Characters"/>
    <w:qFormat/>
    <w:rPr>
      <w:vertAlign w:val="superscript"/>
    </w:rPr>
  </w:style>
  <w:style w:type="character" w:styleId="StyleHeading1BoldCustomColorRGB126Char">
    <w:name w:val="Style Heading 1 + Bold Custom Color(RGB(126 Char"/>
    <w:qFormat/>
    <w:rPr>
      <w:rFonts w:ascii="Verdana" w:hAnsi="Verdana" w:eastAsia="Times" w:cs="Verdana"/>
      <w:b/>
      <w:bCs/>
      <w:color w:val="993366"/>
      <w:sz w:val="72"/>
      <w:lang w:val="nl-BE"/>
    </w:rPr>
  </w:style>
  <w:style w:type="character" w:styleId="NoSpacingChar">
    <w:name w:val="No Spacing Char"/>
    <w:qFormat/>
    <w:rPr>
      <w:rFonts w:ascii="Calibri" w:hAnsi="Calibri" w:eastAsia="MS Mincho;ＭＳ 明朝" w:cs="Arial"/>
      <w:sz w:val="22"/>
      <w:szCs w:val="22"/>
      <w:lang w:eastAsia="ja-JP"/>
    </w:rPr>
  </w:style>
  <w:style w:type="character" w:styleId="TitleChar">
    <w:name w:val="Title Char"/>
    <w:qFormat/>
    <w:rPr>
      <w:rFonts w:ascii="Calibri Light" w:hAnsi="Calibri Light" w:cs="Calibri Light"/>
      <w:color w:val="404040"/>
      <w:spacing w:val="-10"/>
      <w:sz w:val="56"/>
      <w:szCs w:val="56"/>
      <w:lang w:val="en-US"/>
    </w:rPr>
  </w:style>
  <w:style w:type="character" w:styleId="SubtitleChar">
    <w:name w:val="Subtitle Char"/>
    <w:qFormat/>
    <w:rPr>
      <w:rFonts w:ascii="Calibri" w:hAnsi="Calibri" w:cs="Calibri"/>
      <w:color w:val="5A5A5A"/>
      <w:spacing w:val="15"/>
      <w:sz w:val="22"/>
      <w:szCs w:val="22"/>
      <w:lang w:val="en-US"/>
    </w:rPr>
  </w:style>
  <w:style w:type="character" w:styleId="IndexLink">
    <w:name w:val="Index Link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neNumbering">
    <w:name w:val="Line Numbering"/>
    <w:rPr/>
  </w:style>
  <w:style w:type="character" w:styleId="NumberingSymbolsBold">
    <w:name w:val="Numbering Symbols (Bold)"/>
    <w:basedOn w:val="NumberingSymbols"/>
    <w:qFormat/>
    <w:rPr>
      <w:b/>
    </w:rPr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Normal"/>
    <w:qFormat/>
    <w:pPr>
      <w:spacing w:lineRule="auto" w:line="216" w:before="0" w:after="0"/>
      <w:contextualSpacing/>
    </w:pPr>
    <w:rPr>
      <w:rFonts w:ascii="Calibri Light" w:hAnsi="Calibri Light" w:eastAsia="Times New Roman" w:cs="Times New Roman"/>
      <w:color w:val="404040"/>
      <w:spacing w:val="-10"/>
      <w:sz w:val="56"/>
      <w:szCs w:val="56"/>
      <w:lang w:val="en-US"/>
    </w:rPr>
  </w:style>
  <w:style w:type="paragraph" w:styleId="TextBody">
    <w:name w:val="Text Body"/>
    <w:basedOn w:val="Normal"/>
    <w:pPr/>
    <w:rPr>
      <w:rFonts w:ascii="Calibri" w:hAnsi="Calibri" w:cs="Calibri"/>
      <w:b/>
      <w:bCs/>
      <w:szCs w:val="20"/>
      <w:lang w:bidi="en-US"/>
    </w:rPr>
  </w:style>
  <w:style w:type="paragraph" w:styleId="List">
    <w:name w:val="List"/>
    <w:basedOn w:val="TextBody"/>
    <w:pPr/>
    <w:rPr>
      <w:rFonts w:cs="Lucida Sans Unicode"/>
    </w:rPr>
  </w:style>
  <w:style w:type="paragraph" w:styleId="Caption">
    <w:name w:val="Caption"/>
    <w:basedOn w:val="Normal"/>
    <w:next w:val="Normal"/>
    <w:qFormat/>
    <w:pPr/>
    <w:rPr>
      <w:b/>
      <w:b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Lucida Sans Unicode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ontents1">
    <w:name w:val="Contents 1"/>
    <w:basedOn w:val="Normal"/>
    <w:next w:val="Normal"/>
    <w:pPr/>
    <w:rPr/>
  </w:style>
  <w:style w:type="paragraph" w:styleId="Contents2">
    <w:name w:val="Contents 2"/>
    <w:basedOn w:val="Normal"/>
    <w:next w:val="Normal"/>
    <w:pPr>
      <w:ind w:left="240" w:right="0" w:hanging="0"/>
    </w:pPr>
    <w:rPr>
      <w:rFonts w:ascii="Cambria" w:hAnsi="Cambria" w:cs="Cambria"/>
    </w:rPr>
  </w:style>
  <w:style w:type="paragraph" w:styleId="Contents3">
    <w:name w:val="Contents 3"/>
    <w:basedOn w:val="Normal"/>
    <w:next w:val="Normal"/>
    <w:pPr>
      <w:ind w:left="480" w:right="0" w:hanging="0"/>
    </w:pPr>
    <w:rPr>
      <w:rFonts w:ascii="Cambria" w:hAnsi="Cambria" w:cs="Cambria"/>
    </w:rPr>
  </w:style>
  <w:style w:type="paragraph" w:styleId="TableofFigures">
    <w:name w:val="Table of Figures"/>
    <w:basedOn w:val="Normal"/>
    <w:next w:val="Normal"/>
    <w:qFormat/>
    <w:pPr/>
    <w:rPr/>
  </w:style>
  <w:style w:type="paragraph" w:styleId="Comment">
    <w:name w:val="Comment"/>
    <w:basedOn w:val="Normal"/>
    <w:next w:val="Normal"/>
    <w:qFormat/>
    <w:pPr/>
    <w:rPr>
      <w:rFonts w:ascii="Cambria" w:hAnsi="Cambria" w:cs="Cambria"/>
      <w:i/>
      <w:vanish/>
      <w:color w:val="3366FF"/>
      <w:lang w:val="en-GB"/>
    </w:rPr>
  </w:style>
  <w:style w:type="paragraph" w:styleId="References">
    <w:name w:val="References"/>
    <w:basedOn w:val="Normal"/>
    <w:qFormat/>
    <w:pPr>
      <w:numPr>
        <w:ilvl w:val="0"/>
        <w:numId w:val="5"/>
      </w:numPr>
      <w:tabs>
        <w:tab w:val="left" w:pos="851" w:leader="none"/>
      </w:tabs>
      <w:ind w:left="851" w:right="0" w:hanging="851"/>
    </w:pPr>
    <w:rPr/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ex1">
    <w:name w:val="Annex 1"/>
    <w:basedOn w:val="Heading1"/>
    <w:next w:val="Normal"/>
    <w:qFormat/>
    <w:pPr>
      <w:numPr>
        <w:ilvl w:val="0"/>
        <w:numId w:val="4"/>
      </w:numPr>
    </w:pPr>
    <w:rPr/>
  </w:style>
  <w:style w:type="paragraph" w:styleId="Contents5">
    <w:name w:val="Contents 5"/>
    <w:basedOn w:val="Normal"/>
    <w:next w:val="Normal"/>
    <w:pPr>
      <w:ind w:left="960" w:right="0" w:hanging="0"/>
    </w:pPr>
    <w:rPr/>
  </w:style>
  <w:style w:type="paragraph" w:styleId="Footnote">
    <w:name w:val="Footnote"/>
    <w:basedOn w:val="Normal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NormalIndent">
    <w:name w:val="Normal Indent"/>
    <w:basedOn w:val="Normal"/>
    <w:qFormat/>
    <w:pPr>
      <w:ind w:left="720" w:right="0" w:hanging="0"/>
      <w:jc w:val="both"/>
    </w:pPr>
    <w:rPr>
      <w:rFonts w:ascii="Times New Roman" w:hAnsi="Times New Roman" w:cs="Times New Roman"/>
      <w:sz w:val="22"/>
      <w:szCs w:val="22"/>
    </w:rPr>
  </w:style>
  <w:style w:type="paragraph" w:styleId="Formatvorlage3">
    <w:name w:val="Formatvorlage3"/>
    <w:basedOn w:val="Normal"/>
    <w:qFormat/>
    <w:pPr>
      <w:numPr>
        <w:ilvl w:val="0"/>
        <w:numId w:val="2"/>
      </w:numPr>
    </w:pPr>
    <w:rPr/>
  </w:style>
  <w:style w:type="paragraph" w:styleId="PlainText">
    <w:name w:val="Plain Text"/>
    <w:basedOn w:val="Normal"/>
    <w:qFormat/>
    <w:pPr>
      <w:keepNext/>
    </w:pPr>
    <w:rPr>
      <w:rFonts w:ascii="FreeSans" w:hAnsi="FreeSans"/>
    </w:rPr>
  </w:style>
  <w:style w:type="paragraph" w:styleId="NoSpacing1">
    <w:name w:val="No Spacing1"/>
    <w:basedOn w:val="Normal"/>
    <w:qFormat/>
    <w:pPr/>
    <w:rPr>
      <w:rFonts w:ascii="Calibri" w:hAnsi="Calibri" w:cs="Calibri"/>
      <w:szCs w:val="32"/>
      <w:lang w:bidi="en-US"/>
    </w:rPr>
  </w:style>
  <w:style w:type="paragraph" w:styleId="ListParagraph1">
    <w:name w:val="List Paragraph1"/>
    <w:basedOn w:val="Normal"/>
    <w:qFormat/>
    <w:pPr>
      <w:spacing w:before="0" w:after="0"/>
      <w:ind w:left="720" w:right="0" w:hanging="0"/>
      <w:contextualSpacing/>
    </w:pPr>
    <w:rPr>
      <w:rFonts w:ascii="Calibri" w:hAnsi="Calibri" w:cs="Calibri"/>
      <w:lang w:bidi="en-US"/>
    </w:rPr>
  </w:style>
  <w:style w:type="paragraph" w:styleId="Endnote">
    <w:name w:val="Endnote"/>
    <w:basedOn w:val="Normal"/>
    <w:pPr/>
    <w:rPr>
      <w:sz w:val="20"/>
      <w:szCs w:val="20"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</w:pPr>
    <w:rPr>
      <w:rFonts w:ascii="Cambria" w:hAnsi="Cambria" w:eastAsia="Times New Roman" w:cs="Cambria"/>
      <w:color w:val="auto"/>
      <w:sz w:val="24"/>
      <w:szCs w:val="24"/>
      <w:lang w:val="en-GB" w:bidi="ar-SA" w:eastAsia="zh-CN"/>
    </w:rPr>
  </w:style>
  <w:style w:type="paragraph" w:styleId="StyleHeading1BoldCustomColorRGB126">
    <w:name w:val="Style Heading 1 + Bold Custom Color(RGB(126"/>
    <w:basedOn w:val="Heading1"/>
    <w:qFormat/>
    <w:pPr>
      <w:pageBreakBefore w:val="false"/>
      <w:numPr>
        <w:ilvl w:val="0"/>
        <w:numId w:val="0"/>
      </w:numPr>
      <w:tabs>
        <w:tab w:val="left" w:pos="284" w:leader="none"/>
        <w:tab w:val="left" w:pos="567" w:leader="none"/>
      </w:tabs>
      <w:spacing w:before="0" w:after="0"/>
      <w:ind w:left="0" w:right="0" w:hanging="0"/>
      <w:jc w:val="right"/>
    </w:pPr>
    <w:rPr>
      <w:rFonts w:ascii="Verdana" w:hAnsi="Verdana" w:eastAsia="Times" w:cs="Times New Roman"/>
      <w:color w:val="993366"/>
      <w:sz w:val="72"/>
      <w:szCs w:val="20"/>
      <w:lang w:val="nl-BE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</w:pPr>
    <w:rPr>
      <w:rFonts w:ascii="Calibri" w:hAnsi="Calibri" w:eastAsia="MS Mincho;ＭＳ 明朝" w:cs="Arial"/>
      <w:color w:val="auto"/>
      <w:sz w:val="22"/>
      <w:szCs w:val="22"/>
      <w:lang w:val="en-US" w:eastAsia="ja-JP" w:bidi="ar-SA"/>
    </w:rPr>
  </w:style>
  <w:style w:type="paragraph" w:styleId="Subtitle">
    <w:name w:val="Subtitle"/>
    <w:basedOn w:val="Normal"/>
    <w:next w:val="Normal"/>
    <w:qFormat/>
    <w:pPr>
      <w:numPr>
        <w:ilvl w:val="0"/>
        <w:numId w:val="0"/>
      </w:numPr>
      <w:spacing w:lineRule="auto" w:line="256" w:before="0" w:after="160"/>
      <w:ind w:left="0" w:right="0" w:hanging="0"/>
    </w:pPr>
    <w:rPr>
      <w:rFonts w:ascii="Calibri" w:hAnsi="Calibri" w:eastAsia="Times New Roman" w:cs="Calibri"/>
      <w:color w:val="5A5A5A"/>
      <w:spacing w:val="15"/>
      <w:sz w:val="22"/>
      <w:szCs w:val="22"/>
      <w:lang w:val="en-US"/>
    </w:rPr>
  </w:style>
  <w:style w:type="paragraph" w:styleId="TOCHeading">
    <w:name w:val="TOC Heading"/>
    <w:basedOn w:val="Heading1"/>
    <w:next w:val="Normal"/>
    <w:qFormat/>
    <w:pPr>
      <w:keepLines/>
      <w:pageBreakBefore w:val="false"/>
      <w:numPr>
        <w:ilvl w:val="0"/>
        <w:numId w:val="0"/>
      </w:numPr>
      <w:spacing w:lineRule="auto" w:line="256" w:before="240" w:after="0"/>
      <w:ind w:left="0" w:right="0" w:hanging="0"/>
    </w:pPr>
    <w:rPr>
      <w:rFonts w:ascii="Calibri Light" w:hAnsi="Calibri Light" w:eastAsia="Times New Roman" w:cs="Times New Roman"/>
      <w:b w:val="false"/>
      <w:bCs w:val="false"/>
      <w:color w:val="2E74B5"/>
      <w:sz w:val="32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Contents4">
    <w:name w:val="Contents 4"/>
    <w:basedOn w:val="Index"/>
    <w:pPr>
      <w:tabs>
        <w:tab w:val="right" w:pos="9123" w:leader="dot"/>
      </w:tabs>
      <w:ind w:left="849" w:right="0" w:hanging="0"/>
    </w:pPr>
    <w:rPr/>
  </w:style>
  <w:style w:type="paragraph" w:styleId="Contents6">
    <w:name w:val="Contents 6"/>
    <w:basedOn w:val="Index"/>
    <w:pPr>
      <w:tabs>
        <w:tab w:val="right" w:pos="8557" w:leader="dot"/>
      </w:tabs>
      <w:ind w:left="1415" w:right="0" w:hanging="0"/>
    </w:pPr>
    <w:rPr/>
  </w:style>
  <w:style w:type="paragraph" w:styleId="Contents7">
    <w:name w:val="Contents 7"/>
    <w:basedOn w:val="Index"/>
    <w:pPr>
      <w:tabs>
        <w:tab w:val="right" w:pos="8274" w:leader="dot"/>
      </w:tabs>
      <w:ind w:left="1698" w:right="0" w:hanging="0"/>
    </w:pPr>
    <w:rPr/>
  </w:style>
  <w:style w:type="paragraph" w:styleId="Contents8">
    <w:name w:val="Contents 8"/>
    <w:basedOn w:val="Index"/>
    <w:pPr>
      <w:tabs>
        <w:tab w:val="right" w:pos="7991" w:leader="dot"/>
      </w:tabs>
      <w:ind w:left="1981" w:right="0" w:hanging="0"/>
    </w:pPr>
    <w:rPr/>
  </w:style>
  <w:style w:type="paragraph" w:styleId="Contents9">
    <w:name w:val="Contents 9"/>
    <w:basedOn w:val="Index"/>
    <w:pPr>
      <w:tabs>
        <w:tab w:val="right" w:pos="7708" w:leader="dot"/>
      </w:tabs>
      <w:ind w:left="2264" w:right="0" w:hanging="0"/>
    </w:pPr>
    <w:rPr/>
  </w:style>
  <w:style w:type="paragraph" w:styleId="Contents10">
    <w:name w:val="Contents 10"/>
    <w:basedOn w:val="Index"/>
    <w:qFormat/>
    <w:pPr>
      <w:tabs>
        <w:tab w:val="right" w:pos="7425" w:leader="dot"/>
      </w:tabs>
      <w:ind w:left="2547" w:right="0" w:hanging="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FrameContents">
    <w:name w:val="Frame Contents"/>
    <w:basedOn w:val="Normal"/>
    <w:qFormat/>
    <w:pPr/>
    <w:rPr/>
  </w:style>
  <w:style w:type="paragraph" w:styleId="ListContents">
    <w:name w:val="List Contents"/>
    <w:basedOn w:val="Normal"/>
    <w:qFormat/>
    <w:pPr>
      <w:ind w:left="567" w:right="0" w:hanging="0"/>
    </w:pPr>
    <w:rPr/>
  </w:style>
  <w:style w:type="paragraph" w:styleId="Davelist">
    <w:name w:val="davelist"/>
    <w:basedOn w:val="PlainText"/>
    <w:qFormat/>
    <w:pPr>
      <w:keepNext/>
      <w:ind w:left="624" w:right="0" w:hanging="624"/>
    </w:pPr>
    <w:rPr/>
  </w:style>
  <w:style w:type="paragraph" w:styleId="Table">
    <w:name w:val="Table"/>
    <w:basedOn w:val="Caption"/>
    <w:qFormat/>
    <w:pPr/>
    <w:rPr/>
  </w:style>
  <w:style w:type="paragraph" w:styleId="Figure">
    <w:name w:val="Figure"/>
    <w:basedOn w:val="Caption"/>
    <w:qFormat/>
    <w:pPr/>
    <w:rPr/>
  </w:style>
  <w:style w:type="numbering" w:styleId="Numbering2">
    <w:name w:val="Numbering 2"/>
  </w:style>
  <w:style w:type="numbering" w:styleId="Numbering4">
    <w:name w:val="Numbering 4"/>
  </w:style>
  <w:style w:type="numbering" w:styleId="Numbering5">
    <w:name w:val="Numbering 5"/>
  </w:style>
  <w:style w:type="numbering" w:styleId="List1">
    <w:name w:val="List 1"/>
  </w:style>
  <w:style w:type="numbering" w:styleId="List2">
    <w:name w:val="List 2"/>
  </w:style>
  <w:style w:type="numbering" w:styleId="List3">
    <w:name w:val="List 3"/>
  </w:style>
  <w:style w:type="numbering" w:styleId="List4">
    <w:name w:val="List 4"/>
  </w:style>
  <w:style w:type="numbering" w:styleId="List5">
    <w:name w:val="List 5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HLlist">
    <w:name w:val="HL-list"/>
  </w:style>
  <w:style w:type="numbering" w:styleId="Openstacklist">
    <w:name w:val="openstack-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ineChart>
        <c:grouping val="standard"/>
        <c:ser>
          <c:idx val="0"/>
          <c:order val="0"/>
          <c:tx>
            <c:strRef>
              <c:f>label 0</c:f>
              <c:strCache>
                <c:ptCount val="1"/>
                <c:pt idx="0">
                  <c:v>secondary CPU</c:v>
                </c:pt>
              </c:strCache>
            </c:strRef>
          </c:tx>
          <c:spPr>
            <a:solidFill>
              <a:srgbClr val="004586"/>
            </a:solidFill>
            <a:ln w="28800">
              <a:solidFill>
                <a:srgbClr val="004586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1"/>
                <c:pt idx="0">
                  <c:v/>
                </c:pt>
                <c:pt idx="1">
                  <c:v>10</c:v>
                </c:pt>
                <c:pt idx="2">
                  <c:v>10</c:v>
                </c:pt>
                <c:pt idx="3">
                  <c:v>20</c:v>
                </c:pt>
                <c:pt idx="4">
                  <c:v>20</c:v>
                </c:pt>
                <c:pt idx="5">
                  <c:v>30</c:v>
                </c:pt>
                <c:pt idx="6">
                  <c:v>30</c:v>
                </c:pt>
                <c:pt idx="7">
                  <c:v>40</c:v>
                </c:pt>
                <c:pt idx="8">
                  <c:v>40</c:v>
                </c:pt>
                <c:pt idx="9">
                  <c:v>50</c:v>
                </c:pt>
                <c:pt idx="10">
                  <c:v>50</c:v>
                </c:pt>
                <c:pt idx="11">
                  <c:v>60</c:v>
                </c:pt>
                <c:pt idx="12">
                  <c:v>60</c:v>
                </c:pt>
                <c:pt idx="13">
                  <c:v>70</c:v>
                </c:pt>
                <c:pt idx="14">
                  <c:v>70</c:v>
                </c:pt>
                <c:pt idx="15">
                  <c:v>80</c:v>
                </c:pt>
                <c:pt idx="16">
                  <c:v>80</c:v>
                </c:pt>
                <c:pt idx="17">
                  <c:v>90</c:v>
                </c:pt>
                <c:pt idx="18">
                  <c:v>90</c:v>
                </c:pt>
                <c:pt idx="19">
                  <c:v>100</c:v>
                </c:pt>
                <c:pt idx="20">
                  <c:v>100</c:v>
                </c:pt>
                <c:pt idx="21">
                  <c:v>110</c:v>
                </c:pt>
                <c:pt idx="22">
                  <c:v>110</c:v>
                </c:pt>
                <c:pt idx="23">
                  <c:v>120</c:v>
                </c:pt>
                <c:pt idx="24">
                  <c:v>120</c:v>
                </c:pt>
                <c:pt idx="25">
                  <c:v>130</c:v>
                </c:pt>
                <c:pt idx="26">
                  <c:v>130</c:v>
                </c:pt>
                <c:pt idx="27">
                  <c:v>140</c:v>
                </c:pt>
                <c:pt idx="28">
                  <c:v>140</c:v>
                </c:pt>
                <c:pt idx="29">
                  <c:v>150</c:v>
                </c:pt>
                <c:pt idx="30">
                  <c:v>150</c:v>
                </c:pt>
                <c:pt idx="31">
                  <c:v>160</c:v>
                </c:pt>
                <c:pt idx="32">
                  <c:v>160</c:v>
                </c:pt>
                <c:pt idx="33">
                  <c:v>170</c:v>
                </c:pt>
                <c:pt idx="34">
                  <c:v>170</c:v>
                </c:pt>
                <c:pt idx="35">
                  <c:v>180</c:v>
                </c:pt>
                <c:pt idx="36">
                  <c:v>180</c:v>
                </c:pt>
                <c:pt idx="37">
                  <c:v>190</c:v>
                </c:pt>
                <c:pt idx="38">
                  <c:v>190</c:v>
                </c:pt>
                <c:pt idx="39">
                  <c:v>200</c:v>
                </c:pt>
                <c:pt idx="40">
                  <c:v>200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1"/>
                <c:pt idx="0">
                  <c:v>0.01</c:v>
                </c:pt>
                <c:pt idx="1">
                  <c:v>0.12</c:v>
                </c:pt>
                <c:pt idx="2">
                  <c:v>0.05</c:v>
                </c:pt>
                <c:pt idx="3">
                  <c:v>4.28</c:v>
                </c:pt>
                <c:pt idx="4">
                  <c:v>4.95</c:v>
                </c:pt>
                <c:pt idx="5">
                  <c:v>4.84</c:v>
                </c:pt>
                <c:pt idx="6">
                  <c:v>5.28</c:v>
                </c:pt>
                <c:pt idx="7">
                  <c:v>4.58</c:v>
                </c:pt>
                <c:pt idx="8">
                  <c:v>4.19</c:v>
                </c:pt>
                <c:pt idx="9">
                  <c:v>4.79</c:v>
                </c:pt>
                <c:pt idx="10">
                  <c:v>5.14</c:v>
                </c:pt>
                <c:pt idx="11">
                  <c:v>4.97</c:v>
                </c:pt>
                <c:pt idx="12">
                  <c:v>4.65</c:v>
                </c:pt>
                <c:pt idx="13">
                  <c:v>5.23</c:v>
                </c:pt>
                <c:pt idx="14">
                  <c:v>4.9</c:v>
                </c:pt>
                <c:pt idx="15">
                  <c:v>5.15</c:v>
                </c:pt>
                <c:pt idx="16">
                  <c:v>4.85</c:v>
                </c:pt>
                <c:pt idx="17">
                  <c:v>5.03</c:v>
                </c:pt>
                <c:pt idx="18">
                  <c:v>4.27</c:v>
                </c:pt>
                <c:pt idx="19">
                  <c:v>4.5</c:v>
                </c:pt>
                <c:pt idx="20">
                  <c:v>4.24</c:v>
                </c:pt>
                <c:pt idx="21">
                  <c:v>1.13</c:v>
                </c:pt>
                <c:pt idx="22">
                  <c:v>0.52</c:v>
                </c:pt>
                <c:pt idx="23">
                  <c:v>0.57</c:v>
                </c:pt>
                <c:pt idx="24">
                  <c:v>0.59</c:v>
                </c:pt>
                <c:pt idx="25">
                  <c:v>0.61</c:v>
                </c:pt>
                <c:pt idx="26">
                  <c:v>0.44</c:v>
                </c:pt>
                <c:pt idx="27">
                  <c:v>0.5</c:v>
                </c:pt>
                <c:pt idx="28">
                  <c:v>4.06</c:v>
                </c:pt>
                <c:pt idx="29">
                  <c:v>5.66</c:v>
                </c:pt>
                <c:pt idx="30">
                  <c:v>5.08</c:v>
                </c:pt>
                <c:pt idx="31">
                  <c:v>4.79</c:v>
                </c:pt>
                <c:pt idx="32">
                  <c:v>4.25</c:v>
                </c:pt>
                <c:pt idx="33">
                  <c:v>4.85</c:v>
                </c:pt>
                <c:pt idx="34">
                  <c:v>5.41</c:v>
                </c:pt>
                <c:pt idx="35">
                  <c:v>4.55</c:v>
                </c:pt>
                <c:pt idx="36">
                  <c:v>4.16</c:v>
                </c:pt>
                <c:pt idx="37">
                  <c:v>5.27</c:v>
                </c:pt>
                <c:pt idx="38">
                  <c:v>5.27</c:v>
                </c:pt>
                <c:pt idx="39">
                  <c:v>4.57</c:v>
                </c:pt>
                <c:pt idx="40">
                  <c:v>4.37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primary CPU</c:v>
                </c:pt>
              </c:strCache>
            </c:strRef>
          </c:tx>
          <c:spPr>
            <a:solidFill>
              <a:srgbClr val="ff420e"/>
            </a:solidFill>
            <a:ln w="28800">
              <a:solidFill>
                <a:srgbClr val="ff420e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1"/>
                <c:pt idx="0">
                  <c:v/>
                </c:pt>
                <c:pt idx="1">
                  <c:v>10</c:v>
                </c:pt>
                <c:pt idx="2">
                  <c:v>10</c:v>
                </c:pt>
                <c:pt idx="3">
                  <c:v>20</c:v>
                </c:pt>
                <c:pt idx="4">
                  <c:v>20</c:v>
                </c:pt>
                <c:pt idx="5">
                  <c:v>30</c:v>
                </c:pt>
                <c:pt idx="6">
                  <c:v>30</c:v>
                </c:pt>
                <c:pt idx="7">
                  <c:v>40</c:v>
                </c:pt>
                <c:pt idx="8">
                  <c:v>40</c:v>
                </c:pt>
                <c:pt idx="9">
                  <c:v>50</c:v>
                </c:pt>
                <c:pt idx="10">
                  <c:v>50</c:v>
                </c:pt>
                <c:pt idx="11">
                  <c:v>60</c:v>
                </c:pt>
                <c:pt idx="12">
                  <c:v>60</c:v>
                </c:pt>
                <c:pt idx="13">
                  <c:v>70</c:v>
                </c:pt>
                <c:pt idx="14">
                  <c:v>70</c:v>
                </c:pt>
                <c:pt idx="15">
                  <c:v>80</c:v>
                </c:pt>
                <c:pt idx="16">
                  <c:v>80</c:v>
                </c:pt>
                <c:pt idx="17">
                  <c:v>90</c:v>
                </c:pt>
                <c:pt idx="18">
                  <c:v>90</c:v>
                </c:pt>
                <c:pt idx="19">
                  <c:v>100</c:v>
                </c:pt>
                <c:pt idx="20">
                  <c:v>100</c:v>
                </c:pt>
                <c:pt idx="21">
                  <c:v>110</c:v>
                </c:pt>
                <c:pt idx="22">
                  <c:v>110</c:v>
                </c:pt>
                <c:pt idx="23">
                  <c:v>120</c:v>
                </c:pt>
                <c:pt idx="24">
                  <c:v>120</c:v>
                </c:pt>
                <c:pt idx="25">
                  <c:v>130</c:v>
                </c:pt>
                <c:pt idx="26">
                  <c:v>130</c:v>
                </c:pt>
                <c:pt idx="27">
                  <c:v>140</c:v>
                </c:pt>
                <c:pt idx="28">
                  <c:v>140</c:v>
                </c:pt>
                <c:pt idx="29">
                  <c:v>150</c:v>
                </c:pt>
                <c:pt idx="30">
                  <c:v>150</c:v>
                </c:pt>
                <c:pt idx="31">
                  <c:v>160</c:v>
                </c:pt>
                <c:pt idx="32">
                  <c:v>160</c:v>
                </c:pt>
                <c:pt idx="33">
                  <c:v>170</c:v>
                </c:pt>
                <c:pt idx="34">
                  <c:v>170</c:v>
                </c:pt>
                <c:pt idx="35">
                  <c:v>180</c:v>
                </c:pt>
                <c:pt idx="36">
                  <c:v>180</c:v>
                </c:pt>
                <c:pt idx="37">
                  <c:v>190</c:v>
                </c:pt>
                <c:pt idx="38">
                  <c:v>190</c:v>
                </c:pt>
                <c:pt idx="39">
                  <c:v>200</c:v>
                </c:pt>
                <c:pt idx="40">
                  <c:v>200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1"/>
                <c:pt idx="0">
                  <c:v>0.31</c:v>
                </c:pt>
                <c:pt idx="1">
                  <c:v>0.06</c:v>
                </c:pt>
                <c:pt idx="2">
                  <c:v>3.19</c:v>
                </c:pt>
                <c:pt idx="3">
                  <c:v>4.32</c:v>
                </c:pt>
                <c:pt idx="4">
                  <c:v>4.29</c:v>
                </c:pt>
                <c:pt idx="5">
                  <c:v>4.34</c:v>
                </c:pt>
                <c:pt idx="6">
                  <c:v>4.48</c:v>
                </c:pt>
                <c:pt idx="7">
                  <c:v>4.31</c:v>
                </c:pt>
                <c:pt idx="8">
                  <c:v>4.3</c:v>
                </c:pt>
                <c:pt idx="9">
                  <c:v>4.37</c:v>
                </c:pt>
                <c:pt idx="10">
                  <c:v>4.45</c:v>
                </c:pt>
                <c:pt idx="11">
                  <c:v>4.01</c:v>
                </c:pt>
                <c:pt idx="12">
                  <c:v>4.18</c:v>
                </c:pt>
                <c:pt idx="13">
                  <c:v>4.21</c:v>
                </c:pt>
                <c:pt idx="14">
                  <c:v>4.26</c:v>
                </c:pt>
                <c:pt idx="15">
                  <c:v>4.23</c:v>
                </c:pt>
                <c:pt idx="16">
                  <c:v>4.23</c:v>
                </c:pt>
                <c:pt idx="17">
                  <c:v>4.15</c:v>
                </c:pt>
                <c:pt idx="18">
                  <c:v>4.31</c:v>
                </c:pt>
                <c:pt idx="19">
                  <c:v>4.16</c:v>
                </c:pt>
                <c:pt idx="20">
                  <c:v>3.93</c:v>
                </c:pt>
                <c:pt idx="21">
                  <c:v>3.98</c:v>
                </c:pt>
                <c:pt idx="22">
                  <c:v>3.98</c:v>
                </c:pt>
                <c:pt idx="23">
                  <c:v>3.84</c:v>
                </c:pt>
                <c:pt idx="24">
                  <c:v>3.84</c:v>
                </c:pt>
                <c:pt idx="25">
                  <c:v>3.87</c:v>
                </c:pt>
                <c:pt idx="26">
                  <c:v>3.81</c:v>
                </c:pt>
                <c:pt idx="27">
                  <c:v>4</c:v>
                </c:pt>
                <c:pt idx="28">
                  <c:v>4.21</c:v>
                </c:pt>
                <c:pt idx="29">
                  <c:v>4.64</c:v>
                </c:pt>
                <c:pt idx="30">
                  <c:v>4.24</c:v>
                </c:pt>
                <c:pt idx="31">
                  <c:v>4.34</c:v>
                </c:pt>
                <c:pt idx="32">
                  <c:v>4.23</c:v>
                </c:pt>
                <c:pt idx="33">
                  <c:v>4.23</c:v>
                </c:pt>
                <c:pt idx="34">
                  <c:v>4.58</c:v>
                </c:pt>
                <c:pt idx="35">
                  <c:v>4.55</c:v>
                </c:pt>
                <c:pt idx="36">
                  <c:v>4.34</c:v>
                </c:pt>
                <c:pt idx="37">
                  <c:v>4.62</c:v>
                </c:pt>
                <c:pt idx="38">
                  <c:v>4.23</c:v>
                </c:pt>
                <c:pt idx="39">
                  <c:v>4.34</c:v>
                </c:pt>
                <c:pt idx="40">
                  <c:v>4.39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74056426"/>
        <c:axId val="16336084"/>
      </c:lineChart>
      <c:lineChart>
        <c:grouping val="standard"/>
        <c:ser>
          <c:idx val="2"/>
          <c:order val="2"/>
          <c:tx>
            <c:strRef>
              <c:f>label 2</c:f>
              <c:strCache>
                <c:ptCount val="1"/>
                <c:pt idx="0">
                  <c:v>sync channel bandwidth</c:v>
                </c:pt>
              </c:strCache>
            </c:strRef>
          </c:tx>
          <c:spPr>
            <a:solidFill>
              <a:srgbClr val="ffd320"/>
            </a:solidFill>
            <a:ln w="28800">
              <a:solidFill>
                <a:srgbClr val="ffd32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1"/>
                <c:pt idx="0">
                  <c:v/>
                </c:pt>
                <c:pt idx="1">
                  <c:v>10</c:v>
                </c:pt>
                <c:pt idx="2">
                  <c:v>10</c:v>
                </c:pt>
                <c:pt idx="3">
                  <c:v>20</c:v>
                </c:pt>
                <c:pt idx="4">
                  <c:v>20</c:v>
                </c:pt>
                <c:pt idx="5">
                  <c:v>30</c:v>
                </c:pt>
                <c:pt idx="6">
                  <c:v>30</c:v>
                </c:pt>
                <c:pt idx="7">
                  <c:v>40</c:v>
                </c:pt>
                <c:pt idx="8">
                  <c:v>40</c:v>
                </c:pt>
                <c:pt idx="9">
                  <c:v>50</c:v>
                </c:pt>
                <c:pt idx="10">
                  <c:v>50</c:v>
                </c:pt>
                <c:pt idx="11">
                  <c:v>60</c:v>
                </c:pt>
                <c:pt idx="12">
                  <c:v>60</c:v>
                </c:pt>
                <c:pt idx="13">
                  <c:v>70</c:v>
                </c:pt>
                <c:pt idx="14">
                  <c:v>70</c:v>
                </c:pt>
                <c:pt idx="15">
                  <c:v>80</c:v>
                </c:pt>
                <c:pt idx="16">
                  <c:v>80</c:v>
                </c:pt>
                <c:pt idx="17">
                  <c:v>90</c:v>
                </c:pt>
                <c:pt idx="18">
                  <c:v>90</c:v>
                </c:pt>
                <c:pt idx="19">
                  <c:v>100</c:v>
                </c:pt>
                <c:pt idx="20">
                  <c:v>100</c:v>
                </c:pt>
                <c:pt idx="21">
                  <c:v>110</c:v>
                </c:pt>
                <c:pt idx="22">
                  <c:v>110</c:v>
                </c:pt>
                <c:pt idx="23">
                  <c:v>120</c:v>
                </c:pt>
                <c:pt idx="24">
                  <c:v>120</c:v>
                </c:pt>
                <c:pt idx="25">
                  <c:v>130</c:v>
                </c:pt>
                <c:pt idx="26">
                  <c:v>130</c:v>
                </c:pt>
                <c:pt idx="27">
                  <c:v>140</c:v>
                </c:pt>
                <c:pt idx="28">
                  <c:v>140</c:v>
                </c:pt>
                <c:pt idx="29">
                  <c:v>150</c:v>
                </c:pt>
                <c:pt idx="30">
                  <c:v>150</c:v>
                </c:pt>
                <c:pt idx="31">
                  <c:v>160</c:v>
                </c:pt>
                <c:pt idx="32">
                  <c:v>160</c:v>
                </c:pt>
                <c:pt idx="33">
                  <c:v>170</c:v>
                </c:pt>
                <c:pt idx="34">
                  <c:v>170</c:v>
                </c:pt>
                <c:pt idx="35">
                  <c:v>180</c:v>
                </c:pt>
                <c:pt idx="36">
                  <c:v>180</c:v>
                </c:pt>
                <c:pt idx="37">
                  <c:v>190</c:v>
                </c:pt>
                <c:pt idx="38">
                  <c:v>190</c:v>
                </c:pt>
                <c:pt idx="39">
                  <c:v>200</c:v>
                </c:pt>
                <c:pt idx="40">
                  <c:v>200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1"/>
                <c:pt idx="0">
                  <c:v>15.24</c:v>
                </c:pt>
                <c:pt idx="1">
                  <c:v>4923.32</c:v>
                </c:pt>
                <c:pt idx="2">
                  <c:v>0</c:v>
                </c:pt>
                <c:pt idx="3">
                  <c:v>1679.01</c:v>
                </c:pt>
                <c:pt idx="4">
                  <c:v>7.62</c:v>
                </c:pt>
                <c:pt idx="5">
                  <c:v>2541.24</c:v>
                </c:pt>
                <c:pt idx="6">
                  <c:v>16.27</c:v>
                </c:pt>
                <c:pt idx="7">
                  <c:v>1821.71</c:v>
                </c:pt>
                <c:pt idx="8">
                  <c:v>0</c:v>
                </c:pt>
                <c:pt idx="9">
                  <c:v>1591.14</c:v>
                </c:pt>
                <c:pt idx="10">
                  <c:v>0</c:v>
                </c:pt>
                <c:pt idx="11">
                  <c:v>1421.58</c:v>
                </c:pt>
                <c:pt idx="12">
                  <c:v>4094.79</c:v>
                </c:pt>
                <c:pt idx="13">
                  <c:v>2312.6</c:v>
                </c:pt>
                <c:pt idx="14">
                  <c:v>3419.44</c:v>
                </c:pt>
                <c:pt idx="15">
                  <c:v>2610.06</c:v>
                </c:pt>
                <c:pt idx="16">
                  <c:v>2400.87</c:v>
                </c:pt>
                <c:pt idx="17">
                  <c:v>3396.81</c:v>
                </c:pt>
                <c:pt idx="18">
                  <c:v>0</c:v>
                </c:pt>
                <c:pt idx="19">
                  <c:v>1359.02</c:v>
                </c:pt>
                <c:pt idx="20">
                  <c:v>10321.27</c:v>
                </c:pt>
                <c:pt idx="21">
                  <c:v>12742.14</c:v>
                </c:pt>
                <c:pt idx="22">
                  <c:v>10785.47</c:v>
                </c:pt>
                <c:pt idx="23">
                  <c:v>11372.25</c:v>
                </c:pt>
                <c:pt idx="24">
                  <c:v>11488.71</c:v>
                </c:pt>
                <c:pt idx="25">
                  <c:v>10220.8</c:v>
                </c:pt>
                <c:pt idx="26">
                  <c:v>2132</c:v>
                </c:pt>
                <c:pt idx="27">
                  <c:v>3639.54</c:v>
                </c:pt>
                <c:pt idx="28">
                  <c:v>580.3</c:v>
                </c:pt>
                <c:pt idx="29">
                  <c:v>3.43</c:v>
                </c:pt>
                <c:pt idx="30">
                  <c:v>3843.49</c:v>
                </c:pt>
                <c:pt idx="31">
                  <c:v>0</c:v>
                </c:pt>
                <c:pt idx="32">
                  <c:v>1511.81</c:v>
                </c:pt>
                <c:pt idx="33">
                  <c:v>0</c:v>
                </c:pt>
                <c:pt idx="34">
                  <c:v>2429.64</c:v>
                </c:pt>
                <c:pt idx="35">
                  <c:v>0</c:v>
                </c:pt>
                <c:pt idx="36">
                  <c:v>3219.59</c:v>
                </c:pt>
                <c:pt idx="37">
                  <c:v>0</c:v>
                </c:pt>
                <c:pt idx="38">
                  <c:v>3291.96</c:v>
                </c:pt>
                <c:pt idx="39">
                  <c:v>0.06</c:v>
                </c:pt>
                <c:pt idx="40">
                  <c:v>3244.4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69404252"/>
        <c:axId val="3091957"/>
      </c:lineChart>
      <c:catAx>
        <c:axId val="7405642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spc="-1">
                    <a:latin typeface="Arial"/>
                  </a:defRPr>
                </a:pPr>
                <a:r>
                  <a:rPr sz="900" spc="-1">
                    <a:latin typeface="Arial"/>
                  </a:rPr>
                  <a:t>Time (seconds)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16336084"/>
        <c:crosses val="autoZero"/>
        <c:auto val="1"/>
        <c:lblAlgn val="ctr"/>
        <c:lblOffset val="100"/>
      </c:catAx>
      <c:valAx>
        <c:axId val="16336084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title>
          <c:tx>
            <c:rich>
              <a:bodyPr rot="-5400000"/>
              <a:lstStyle/>
              <a:p>
                <a:pPr>
                  <a:defRPr sz="900" spc="-1">
                    <a:latin typeface="Arial"/>
                  </a:defRPr>
                </a:pPr>
                <a:r>
                  <a:rPr sz="900" spc="-1">
                    <a:latin typeface="Arial"/>
                  </a:rPr>
                  <a:t>CPU load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74056426"/>
        <c:crosses val="autoZero"/>
      </c:valAx>
      <c:catAx>
        <c:axId val="6940425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900" spc="-1">
                    <a:latin typeface="Arial"/>
                  </a:defRPr>
                </a:pPr>
                <a:r>
                  <a:rPr sz="900" spc="-1">
                    <a:latin typeface="Arial"/>
                  </a:rPr>
                  <a:t>Time (seconds)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3091957"/>
        <c:crosses val="autoZero"/>
        <c:auto val="1"/>
        <c:lblAlgn val="ctr"/>
        <c:lblOffset val="100"/>
      </c:catAx>
      <c:valAx>
        <c:axId val="3091957"/>
        <c:scaling>
          <c:orientation val="minMax"/>
        </c:scaling>
        <c:delete val="0"/>
        <c:axPos val="r"/>
        <c:title>
          <c:tx>
            <c:rich>
              <a:bodyPr rot="-5400000"/>
              <a:lstStyle/>
              <a:p>
                <a:pPr>
                  <a:defRPr sz="900" spc="-1">
                    <a:latin typeface="Arial"/>
                  </a:defRPr>
                </a:pPr>
                <a:r>
                  <a:rPr sz="900" spc="-1">
                    <a:latin typeface="Arial"/>
                  </a:rPr>
                  <a:t>Yellow line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69404252"/>
        <c:crosses val="max"/>
      </c:valAx>
      <c:spPr>
        <a:noFill/>
        <a:ln>
          <a:solidFill>
            <a:srgbClr val="b3b3b3"/>
          </a:solidFill>
        </a:ln>
      </c:spPr>
    </c:plotArea>
    <c:plotVisOnly val="1"/>
    <c:dispBlanksAs val="gap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lineChart>
        <c:grouping val="standard"/>
        <c:ser>
          <c:idx val="0"/>
          <c:order val="0"/>
          <c:tx>
            <c:strRef>
              <c:f>label 0</c:f>
              <c:strCache>
                <c:ptCount val="1"/>
                <c:pt idx="0">
                  <c:v>secondary CPU</c:v>
                </c:pt>
              </c:strCache>
            </c:strRef>
          </c:tx>
          <c:spPr>
            <a:solidFill>
              <a:srgbClr val="004586"/>
            </a:solidFill>
            <a:ln w="28800">
              <a:solidFill>
                <a:srgbClr val="004586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1"/>
                <c:pt idx="0">
                  <c:v/>
                </c:pt>
                <c:pt idx="1">
                  <c:v>10</c:v>
                </c:pt>
                <c:pt idx="2">
                  <c:v>10</c:v>
                </c:pt>
                <c:pt idx="3">
                  <c:v>20</c:v>
                </c:pt>
                <c:pt idx="4">
                  <c:v>20</c:v>
                </c:pt>
                <c:pt idx="5">
                  <c:v>30</c:v>
                </c:pt>
                <c:pt idx="6">
                  <c:v>30</c:v>
                </c:pt>
                <c:pt idx="7">
                  <c:v>40</c:v>
                </c:pt>
                <c:pt idx="8">
                  <c:v>40</c:v>
                </c:pt>
                <c:pt idx="9">
                  <c:v>50</c:v>
                </c:pt>
                <c:pt idx="10">
                  <c:v>50</c:v>
                </c:pt>
                <c:pt idx="11">
                  <c:v>60</c:v>
                </c:pt>
                <c:pt idx="12">
                  <c:v>60</c:v>
                </c:pt>
                <c:pt idx="13">
                  <c:v>70</c:v>
                </c:pt>
                <c:pt idx="14">
                  <c:v>70</c:v>
                </c:pt>
                <c:pt idx="15">
                  <c:v>80</c:v>
                </c:pt>
                <c:pt idx="16">
                  <c:v>80</c:v>
                </c:pt>
                <c:pt idx="17">
                  <c:v>90</c:v>
                </c:pt>
                <c:pt idx="18">
                  <c:v>90</c:v>
                </c:pt>
                <c:pt idx="19">
                  <c:v>100</c:v>
                </c:pt>
                <c:pt idx="20">
                  <c:v>100</c:v>
                </c:pt>
                <c:pt idx="21">
                  <c:v>110</c:v>
                </c:pt>
                <c:pt idx="22">
                  <c:v>110</c:v>
                </c:pt>
                <c:pt idx="23">
                  <c:v>120</c:v>
                </c:pt>
                <c:pt idx="24">
                  <c:v>120</c:v>
                </c:pt>
                <c:pt idx="25">
                  <c:v>130</c:v>
                </c:pt>
                <c:pt idx="26">
                  <c:v>130</c:v>
                </c:pt>
                <c:pt idx="27">
                  <c:v>140</c:v>
                </c:pt>
                <c:pt idx="28">
                  <c:v>140</c:v>
                </c:pt>
                <c:pt idx="29">
                  <c:v>150</c:v>
                </c:pt>
                <c:pt idx="30">
                  <c:v>150</c:v>
                </c:pt>
                <c:pt idx="31">
                  <c:v>160</c:v>
                </c:pt>
                <c:pt idx="32">
                  <c:v>160</c:v>
                </c:pt>
                <c:pt idx="33">
                  <c:v>170</c:v>
                </c:pt>
                <c:pt idx="34">
                  <c:v>170</c:v>
                </c:pt>
                <c:pt idx="35">
                  <c:v>180</c:v>
                </c:pt>
                <c:pt idx="36">
                  <c:v>180</c:v>
                </c:pt>
                <c:pt idx="37">
                  <c:v>190</c:v>
                </c:pt>
                <c:pt idx="38">
                  <c:v>190</c:v>
                </c:pt>
                <c:pt idx="39">
                  <c:v>200</c:v>
                </c:pt>
                <c:pt idx="40">
                  <c:v>200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1"/>
                <c:pt idx="0">
                  <c:v>0.01</c:v>
                </c:pt>
                <c:pt idx="1">
                  <c:v>0.12</c:v>
                </c:pt>
                <c:pt idx="2">
                  <c:v>0.05</c:v>
                </c:pt>
                <c:pt idx="3">
                  <c:v>4.28</c:v>
                </c:pt>
                <c:pt idx="4">
                  <c:v>4.95</c:v>
                </c:pt>
                <c:pt idx="5">
                  <c:v>4.84</c:v>
                </c:pt>
                <c:pt idx="6">
                  <c:v>5.28</c:v>
                </c:pt>
                <c:pt idx="7">
                  <c:v>4.58</c:v>
                </c:pt>
                <c:pt idx="8">
                  <c:v>4.19</c:v>
                </c:pt>
                <c:pt idx="9">
                  <c:v>4.79</c:v>
                </c:pt>
                <c:pt idx="10">
                  <c:v>5.14</c:v>
                </c:pt>
                <c:pt idx="11">
                  <c:v>4.97</c:v>
                </c:pt>
                <c:pt idx="12">
                  <c:v>4.65</c:v>
                </c:pt>
                <c:pt idx="13">
                  <c:v>5.23</c:v>
                </c:pt>
                <c:pt idx="14">
                  <c:v>4.9</c:v>
                </c:pt>
                <c:pt idx="15">
                  <c:v>5.15</c:v>
                </c:pt>
                <c:pt idx="16">
                  <c:v>4.85</c:v>
                </c:pt>
                <c:pt idx="17">
                  <c:v>5.03</c:v>
                </c:pt>
                <c:pt idx="18">
                  <c:v>4.27</c:v>
                </c:pt>
                <c:pt idx="19">
                  <c:v>4.5</c:v>
                </c:pt>
                <c:pt idx="20">
                  <c:v>4.24</c:v>
                </c:pt>
                <c:pt idx="21">
                  <c:v>1.13</c:v>
                </c:pt>
                <c:pt idx="22">
                  <c:v>0.52</c:v>
                </c:pt>
                <c:pt idx="23">
                  <c:v>0.57</c:v>
                </c:pt>
                <c:pt idx="24">
                  <c:v>0.59</c:v>
                </c:pt>
                <c:pt idx="25">
                  <c:v>0.61</c:v>
                </c:pt>
                <c:pt idx="26">
                  <c:v>0.44</c:v>
                </c:pt>
                <c:pt idx="27">
                  <c:v>0.5</c:v>
                </c:pt>
                <c:pt idx="28">
                  <c:v>4.06</c:v>
                </c:pt>
                <c:pt idx="29">
                  <c:v>5.66</c:v>
                </c:pt>
                <c:pt idx="30">
                  <c:v>5.08</c:v>
                </c:pt>
                <c:pt idx="31">
                  <c:v>4.79</c:v>
                </c:pt>
                <c:pt idx="32">
                  <c:v>4.25</c:v>
                </c:pt>
                <c:pt idx="33">
                  <c:v>4.85</c:v>
                </c:pt>
                <c:pt idx="34">
                  <c:v>5.41</c:v>
                </c:pt>
                <c:pt idx="35">
                  <c:v>4.55</c:v>
                </c:pt>
                <c:pt idx="36">
                  <c:v>4.16</c:v>
                </c:pt>
                <c:pt idx="37">
                  <c:v>5.27</c:v>
                </c:pt>
                <c:pt idx="38">
                  <c:v>5.27</c:v>
                </c:pt>
                <c:pt idx="39">
                  <c:v>4.57</c:v>
                </c:pt>
                <c:pt idx="40">
                  <c:v>4.37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primary CPU</c:v>
                </c:pt>
              </c:strCache>
            </c:strRef>
          </c:tx>
          <c:spPr>
            <a:solidFill>
              <a:srgbClr val="ff420e"/>
            </a:solidFill>
            <a:ln w="28800">
              <a:solidFill>
                <a:srgbClr val="ff420e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1"/>
                <c:pt idx="0">
                  <c:v/>
                </c:pt>
                <c:pt idx="1">
                  <c:v>10</c:v>
                </c:pt>
                <c:pt idx="2">
                  <c:v>10</c:v>
                </c:pt>
                <c:pt idx="3">
                  <c:v>20</c:v>
                </c:pt>
                <c:pt idx="4">
                  <c:v>20</c:v>
                </c:pt>
                <c:pt idx="5">
                  <c:v>30</c:v>
                </c:pt>
                <c:pt idx="6">
                  <c:v>30</c:v>
                </c:pt>
                <c:pt idx="7">
                  <c:v>40</c:v>
                </c:pt>
                <c:pt idx="8">
                  <c:v>40</c:v>
                </c:pt>
                <c:pt idx="9">
                  <c:v>50</c:v>
                </c:pt>
                <c:pt idx="10">
                  <c:v>50</c:v>
                </c:pt>
                <c:pt idx="11">
                  <c:v>60</c:v>
                </c:pt>
                <c:pt idx="12">
                  <c:v>60</c:v>
                </c:pt>
                <c:pt idx="13">
                  <c:v>70</c:v>
                </c:pt>
                <c:pt idx="14">
                  <c:v>70</c:v>
                </c:pt>
                <c:pt idx="15">
                  <c:v>80</c:v>
                </c:pt>
                <c:pt idx="16">
                  <c:v>80</c:v>
                </c:pt>
                <c:pt idx="17">
                  <c:v>90</c:v>
                </c:pt>
                <c:pt idx="18">
                  <c:v>90</c:v>
                </c:pt>
                <c:pt idx="19">
                  <c:v>100</c:v>
                </c:pt>
                <c:pt idx="20">
                  <c:v>100</c:v>
                </c:pt>
                <c:pt idx="21">
                  <c:v>110</c:v>
                </c:pt>
                <c:pt idx="22">
                  <c:v>110</c:v>
                </c:pt>
                <c:pt idx="23">
                  <c:v>120</c:v>
                </c:pt>
                <c:pt idx="24">
                  <c:v>120</c:v>
                </c:pt>
                <c:pt idx="25">
                  <c:v>130</c:v>
                </c:pt>
                <c:pt idx="26">
                  <c:v>130</c:v>
                </c:pt>
                <c:pt idx="27">
                  <c:v>140</c:v>
                </c:pt>
                <c:pt idx="28">
                  <c:v>140</c:v>
                </c:pt>
                <c:pt idx="29">
                  <c:v>150</c:v>
                </c:pt>
                <c:pt idx="30">
                  <c:v>150</c:v>
                </c:pt>
                <c:pt idx="31">
                  <c:v>160</c:v>
                </c:pt>
                <c:pt idx="32">
                  <c:v>160</c:v>
                </c:pt>
                <c:pt idx="33">
                  <c:v>170</c:v>
                </c:pt>
                <c:pt idx="34">
                  <c:v>170</c:v>
                </c:pt>
                <c:pt idx="35">
                  <c:v>180</c:v>
                </c:pt>
                <c:pt idx="36">
                  <c:v>180</c:v>
                </c:pt>
                <c:pt idx="37">
                  <c:v>190</c:v>
                </c:pt>
                <c:pt idx="38">
                  <c:v>190</c:v>
                </c:pt>
                <c:pt idx="39">
                  <c:v>200</c:v>
                </c:pt>
                <c:pt idx="40">
                  <c:v>200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1"/>
                <c:pt idx="0">
                  <c:v>0.31</c:v>
                </c:pt>
                <c:pt idx="1">
                  <c:v>0.06</c:v>
                </c:pt>
                <c:pt idx="2">
                  <c:v>3.19</c:v>
                </c:pt>
                <c:pt idx="3">
                  <c:v>4.32</c:v>
                </c:pt>
                <c:pt idx="4">
                  <c:v>4.29</c:v>
                </c:pt>
                <c:pt idx="5">
                  <c:v>4.34</c:v>
                </c:pt>
                <c:pt idx="6">
                  <c:v>4.48</c:v>
                </c:pt>
                <c:pt idx="7">
                  <c:v>4.31</c:v>
                </c:pt>
                <c:pt idx="8">
                  <c:v>4.3</c:v>
                </c:pt>
                <c:pt idx="9">
                  <c:v>4.37</c:v>
                </c:pt>
                <c:pt idx="10">
                  <c:v>4.45</c:v>
                </c:pt>
                <c:pt idx="11">
                  <c:v>4.01</c:v>
                </c:pt>
                <c:pt idx="12">
                  <c:v>4.18</c:v>
                </c:pt>
                <c:pt idx="13">
                  <c:v>4.21</c:v>
                </c:pt>
                <c:pt idx="14">
                  <c:v>4.26</c:v>
                </c:pt>
                <c:pt idx="15">
                  <c:v>4.23</c:v>
                </c:pt>
                <c:pt idx="16">
                  <c:v>4.23</c:v>
                </c:pt>
                <c:pt idx="17">
                  <c:v>4.15</c:v>
                </c:pt>
                <c:pt idx="18">
                  <c:v>4.31</c:v>
                </c:pt>
                <c:pt idx="19">
                  <c:v>4.16</c:v>
                </c:pt>
                <c:pt idx="20">
                  <c:v>3.93</c:v>
                </c:pt>
                <c:pt idx="21">
                  <c:v>3.98</c:v>
                </c:pt>
                <c:pt idx="22">
                  <c:v>3.98</c:v>
                </c:pt>
                <c:pt idx="23">
                  <c:v>3.84</c:v>
                </c:pt>
                <c:pt idx="24">
                  <c:v>3.84</c:v>
                </c:pt>
                <c:pt idx="25">
                  <c:v>3.87</c:v>
                </c:pt>
                <c:pt idx="26">
                  <c:v>3.81</c:v>
                </c:pt>
                <c:pt idx="27">
                  <c:v>4</c:v>
                </c:pt>
                <c:pt idx="28">
                  <c:v>4.21</c:v>
                </c:pt>
                <c:pt idx="29">
                  <c:v>4.64</c:v>
                </c:pt>
                <c:pt idx="30">
                  <c:v>4.24</c:v>
                </c:pt>
                <c:pt idx="31">
                  <c:v>4.34</c:v>
                </c:pt>
                <c:pt idx="32">
                  <c:v>4.23</c:v>
                </c:pt>
                <c:pt idx="33">
                  <c:v>4.23</c:v>
                </c:pt>
                <c:pt idx="34">
                  <c:v>4.58</c:v>
                </c:pt>
                <c:pt idx="35">
                  <c:v>4.55</c:v>
                </c:pt>
                <c:pt idx="36">
                  <c:v>4.34</c:v>
                </c:pt>
                <c:pt idx="37">
                  <c:v>4.62</c:v>
                </c:pt>
                <c:pt idx="38">
                  <c:v>4.23</c:v>
                </c:pt>
                <c:pt idx="39">
                  <c:v>4.34</c:v>
                </c:pt>
                <c:pt idx="40">
                  <c:v>4.39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1054937"/>
        <c:axId val="86997966"/>
      </c:lineChart>
      <c:lineChart>
        <c:grouping val="standard"/>
        <c:ser>
          <c:idx val="2"/>
          <c:order val="2"/>
          <c:tx>
            <c:strRef>
              <c:f>label 2</c:f>
              <c:strCache>
                <c:ptCount val="1"/>
                <c:pt idx="0">
                  <c:v>sync channel bandwidth</c:v>
                </c:pt>
              </c:strCache>
            </c:strRef>
          </c:tx>
          <c:spPr>
            <a:solidFill>
              <a:srgbClr val="ffd320"/>
            </a:solidFill>
            <a:ln w="28800">
              <a:solidFill>
                <a:srgbClr val="ffd320"/>
              </a:solidFill>
              <a:round/>
            </a:ln>
          </c:spPr>
          <c:marker>
            <c:symbol val="none"/>
          </c:marker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1"/>
                <c:pt idx="0">
                  <c:v/>
                </c:pt>
                <c:pt idx="1">
                  <c:v>10</c:v>
                </c:pt>
                <c:pt idx="2">
                  <c:v>10</c:v>
                </c:pt>
                <c:pt idx="3">
                  <c:v>20</c:v>
                </c:pt>
                <c:pt idx="4">
                  <c:v>20</c:v>
                </c:pt>
                <c:pt idx="5">
                  <c:v>30</c:v>
                </c:pt>
                <c:pt idx="6">
                  <c:v>30</c:v>
                </c:pt>
                <c:pt idx="7">
                  <c:v>40</c:v>
                </c:pt>
                <c:pt idx="8">
                  <c:v>40</c:v>
                </c:pt>
                <c:pt idx="9">
                  <c:v>50</c:v>
                </c:pt>
                <c:pt idx="10">
                  <c:v>50</c:v>
                </c:pt>
                <c:pt idx="11">
                  <c:v>60</c:v>
                </c:pt>
                <c:pt idx="12">
                  <c:v>60</c:v>
                </c:pt>
                <c:pt idx="13">
                  <c:v>70</c:v>
                </c:pt>
                <c:pt idx="14">
                  <c:v>70</c:v>
                </c:pt>
                <c:pt idx="15">
                  <c:v>80</c:v>
                </c:pt>
                <c:pt idx="16">
                  <c:v>80</c:v>
                </c:pt>
                <c:pt idx="17">
                  <c:v>90</c:v>
                </c:pt>
                <c:pt idx="18">
                  <c:v>90</c:v>
                </c:pt>
                <c:pt idx="19">
                  <c:v>100</c:v>
                </c:pt>
                <c:pt idx="20">
                  <c:v>100</c:v>
                </c:pt>
                <c:pt idx="21">
                  <c:v>110</c:v>
                </c:pt>
                <c:pt idx="22">
                  <c:v>110</c:v>
                </c:pt>
                <c:pt idx="23">
                  <c:v>120</c:v>
                </c:pt>
                <c:pt idx="24">
                  <c:v>120</c:v>
                </c:pt>
                <c:pt idx="25">
                  <c:v>130</c:v>
                </c:pt>
                <c:pt idx="26">
                  <c:v>130</c:v>
                </c:pt>
                <c:pt idx="27">
                  <c:v>140</c:v>
                </c:pt>
                <c:pt idx="28">
                  <c:v>140</c:v>
                </c:pt>
                <c:pt idx="29">
                  <c:v>150</c:v>
                </c:pt>
                <c:pt idx="30">
                  <c:v>150</c:v>
                </c:pt>
                <c:pt idx="31">
                  <c:v>160</c:v>
                </c:pt>
                <c:pt idx="32">
                  <c:v>160</c:v>
                </c:pt>
                <c:pt idx="33">
                  <c:v>170</c:v>
                </c:pt>
                <c:pt idx="34">
                  <c:v>170</c:v>
                </c:pt>
                <c:pt idx="35">
                  <c:v>180</c:v>
                </c:pt>
                <c:pt idx="36">
                  <c:v>180</c:v>
                </c:pt>
                <c:pt idx="37">
                  <c:v>190</c:v>
                </c:pt>
                <c:pt idx="38">
                  <c:v>190</c:v>
                </c:pt>
                <c:pt idx="39">
                  <c:v>200</c:v>
                </c:pt>
                <c:pt idx="40">
                  <c:v>200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1"/>
                <c:pt idx="0">
                  <c:v>15.24</c:v>
                </c:pt>
                <c:pt idx="1">
                  <c:v>4923.32</c:v>
                </c:pt>
                <c:pt idx="2">
                  <c:v>0</c:v>
                </c:pt>
                <c:pt idx="3">
                  <c:v>1679.01</c:v>
                </c:pt>
                <c:pt idx="4">
                  <c:v>7.62</c:v>
                </c:pt>
                <c:pt idx="5">
                  <c:v>2541.24</c:v>
                </c:pt>
                <c:pt idx="6">
                  <c:v>16.27</c:v>
                </c:pt>
                <c:pt idx="7">
                  <c:v>1821.71</c:v>
                </c:pt>
                <c:pt idx="8">
                  <c:v>0</c:v>
                </c:pt>
                <c:pt idx="9">
                  <c:v>1591.14</c:v>
                </c:pt>
                <c:pt idx="10">
                  <c:v>0</c:v>
                </c:pt>
                <c:pt idx="11">
                  <c:v>1421.58</c:v>
                </c:pt>
                <c:pt idx="12">
                  <c:v>4094.79</c:v>
                </c:pt>
                <c:pt idx="13">
                  <c:v>2312.6</c:v>
                </c:pt>
                <c:pt idx="14">
                  <c:v>3419.44</c:v>
                </c:pt>
                <c:pt idx="15">
                  <c:v>2610.06</c:v>
                </c:pt>
                <c:pt idx="16">
                  <c:v>2400.87</c:v>
                </c:pt>
                <c:pt idx="17">
                  <c:v>3396.81</c:v>
                </c:pt>
                <c:pt idx="18">
                  <c:v>0</c:v>
                </c:pt>
                <c:pt idx="19">
                  <c:v>1359.02</c:v>
                </c:pt>
                <c:pt idx="20">
                  <c:v>10321.27</c:v>
                </c:pt>
                <c:pt idx="21">
                  <c:v>12742.14</c:v>
                </c:pt>
                <c:pt idx="22">
                  <c:v>10785.47</c:v>
                </c:pt>
                <c:pt idx="23">
                  <c:v>11372.25</c:v>
                </c:pt>
                <c:pt idx="24">
                  <c:v>11488.71</c:v>
                </c:pt>
                <c:pt idx="25">
                  <c:v>10220.8</c:v>
                </c:pt>
                <c:pt idx="26">
                  <c:v>2132</c:v>
                </c:pt>
                <c:pt idx="27">
                  <c:v>3639.54</c:v>
                </c:pt>
                <c:pt idx="28">
                  <c:v>580.3</c:v>
                </c:pt>
                <c:pt idx="29">
                  <c:v>3.43</c:v>
                </c:pt>
                <c:pt idx="30">
                  <c:v>3843.49</c:v>
                </c:pt>
                <c:pt idx="31">
                  <c:v>0</c:v>
                </c:pt>
                <c:pt idx="32">
                  <c:v>1511.81</c:v>
                </c:pt>
                <c:pt idx="33">
                  <c:v>0</c:v>
                </c:pt>
                <c:pt idx="34">
                  <c:v>2429.64</c:v>
                </c:pt>
                <c:pt idx="35">
                  <c:v>0</c:v>
                </c:pt>
                <c:pt idx="36">
                  <c:v>3219.59</c:v>
                </c:pt>
                <c:pt idx="37">
                  <c:v>0</c:v>
                </c:pt>
                <c:pt idx="38">
                  <c:v>3291.96</c:v>
                </c:pt>
                <c:pt idx="39">
                  <c:v>0.06</c:v>
                </c:pt>
                <c:pt idx="40">
                  <c:v>3244.4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923303"/>
        <c:axId val="57927472"/>
      </c:lineChart>
      <c:catAx>
        <c:axId val="1054937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spc="-1">
                    <a:latin typeface="Arial"/>
                  </a:defRPr>
                </a:pPr>
                <a:r>
                  <a:rPr sz="900" spc="-1">
                    <a:latin typeface="Arial"/>
                  </a:rPr>
                  <a:t>Time (seconds)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86997966"/>
        <c:crosses val="autoZero"/>
        <c:auto val="1"/>
        <c:lblAlgn val="ctr"/>
        <c:lblOffset val="100"/>
      </c:catAx>
      <c:valAx>
        <c:axId val="86997966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title>
          <c:tx>
            <c:rich>
              <a:bodyPr rot="-5400000"/>
              <a:lstStyle/>
              <a:p>
                <a:pPr>
                  <a:defRPr sz="900" spc="-1">
                    <a:latin typeface="Arial"/>
                  </a:defRPr>
                </a:pPr>
                <a:r>
                  <a:rPr sz="900" spc="-1">
                    <a:latin typeface="Arial"/>
                  </a:rPr>
                  <a:t>CPU load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1054937"/>
        <c:crosses val="autoZero"/>
      </c:valAx>
      <c:catAx>
        <c:axId val="923303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900" spc="-1">
                    <a:latin typeface="Arial"/>
                  </a:defRPr>
                </a:pPr>
                <a:r>
                  <a:rPr sz="900" spc="-1">
                    <a:latin typeface="Arial"/>
                  </a:rPr>
                  <a:t>Time (seconds)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57927472"/>
        <c:crosses val="autoZero"/>
        <c:auto val="1"/>
        <c:lblAlgn val="ctr"/>
        <c:lblOffset val="100"/>
      </c:catAx>
      <c:valAx>
        <c:axId val="57927472"/>
        <c:scaling>
          <c:orientation val="minMax"/>
        </c:scaling>
        <c:delete val="0"/>
        <c:axPos val="r"/>
        <c:title>
          <c:tx>
            <c:rich>
              <a:bodyPr rot="-5400000"/>
              <a:lstStyle/>
              <a:p>
                <a:pPr>
                  <a:defRPr sz="900" spc="-1">
                    <a:latin typeface="Arial"/>
                  </a:defRPr>
                </a:pPr>
                <a:r>
                  <a:rPr sz="900" spc="-1">
                    <a:latin typeface="Arial"/>
                  </a:rPr>
                  <a:t>Yellow line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p>
            <a:pPr>
              <a:defRPr sz="1000" spc="-1">
                <a:latin typeface="Arial"/>
              </a:defRPr>
            </a:pPr>
          </a:p>
        </c:txPr>
        <c:crossAx val="923303"/>
        <c:crosses val="max"/>
      </c:valAx>
      <c:spPr>
        <a:noFill/>
        <a:ln>
          <a:solidFill>
            <a:srgbClr val="b3b3b3"/>
          </a:solidFill>
        </a:ln>
      </c:spPr>
    </c:plotArea>
    <c:plotVisOnly val="1"/>
    <c:dispBlanksAs val="gap"/>
  </c:chart>
  <c:spPr>
    <a:solidFill>
      <a:srgbClr val="ffffff"/>
    </a:solidFill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1883</TotalTime>
  <Application>LibreOffice/5.0.1.1$Linux_X86_64 LibreOffice_project/13f702ca819ea5b9f8605782c852d5bb513b3891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2014-03-05T22:14:33Z</dcterms:created>
  <dc:language>en-GB</dc:language>
  <dcterms:modified xsi:type="dcterms:W3CDTF">2015-08-26T09:38:11Z</dcterms:modified>
  <cp:revision>161</cp:revision>
</cp:coreProperties>
</file>