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97E" w:rsidRDefault="00953AFA">
      <w:bookmarkStart w:id="0" w:name="_GoBack"/>
      <w:r>
        <w:rPr>
          <w:noProof/>
          <w:lang w:eastAsia="hu-HU"/>
        </w:rPr>
        <w:drawing>
          <wp:inline distT="0" distB="0" distL="0" distR="0" wp14:anchorId="18E3638C" wp14:editId="666EA3FC">
            <wp:extent cx="4901142" cy="2952750"/>
            <wp:effectExtent l="0" t="0" r="0" b="0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End w:id="0"/>
    </w:p>
    <w:sectPr w:rsidR="00E23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AFA"/>
    <w:rsid w:val="008F3FC6"/>
    <w:rsid w:val="00953AFA"/>
    <w:rsid w:val="00E2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3BDAA6-DC07-4DB2-9EE5-FF1C940FF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WMNTFP\Group\_Maori%20Health%20Directorate\Strategic%20Projects%20Section\HealthStat\Reporting%20on%20Outcomes\March%202015\Indicator%20reporting%20for%20March%202015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'CVD 1'!$D$37</c:f>
              <c:strCache>
                <c:ptCount val="1"/>
                <c:pt idx="0">
                  <c:v>Whānau Ora sample</c:v>
                </c:pt>
              </c:strCache>
            </c:strRef>
          </c:tx>
          <c:spPr>
            <a:ln w="22225">
              <a:solidFill>
                <a:srgbClr val="0070C0"/>
              </a:solidFill>
              <a:prstDash val="solid"/>
            </a:ln>
          </c:spPr>
          <c:marker>
            <c:symbol val="none"/>
          </c:marker>
          <c:cat>
            <c:strRef>
              <c:f>'CVD 1'!$E$36:$AC$36</c:f>
              <c:strCache>
                <c:ptCount val="25"/>
                <c:pt idx="0">
                  <c:v>2013-03</c:v>
                </c:pt>
                <c:pt idx="1">
                  <c:v>2013-04</c:v>
                </c:pt>
                <c:pt idx="2">
                  <c:v>2013-05</c:v>
                </c:pt>
                <c:pt idx="3">
                  <c:v>2013-06</c:v>
                </c:pt>
                <c:pt idx="4">
                  <c:v>2013-07</c:v>
                </c:pt>
                <c:pt idx="5">
                  <c:v>2013-08</c:v>
                </c:pt>
                <c:pt idx="6">
                  <c:v>2013-09</c:v>
                </c:pt>
                <c:pt idx="7">
                  <c:v>2013-10</c:v>
                </c:pt>
                <c:pt idx="8">
                  <c:v>2013-11</c:v>
                </c:pt>
                <c:pt idx="9">
                  <c:v>2013-12</c:v>
                </c:pt>
                <c:pt idx="10">
                  <c:v>2014-01</c:v>
                </c:pt>
                <c:pt idx="11">
                  <c:v>2014-02</c:v>
                </c:pt>
                <c:pt idx="12">
                  <c:v>2014-03</c:v>
                </c:pt>
                <c:pt idx="13">
                  <c:v>2014-04</c:v>
                </c:pt>
                <c:pt idx="14">
                  <c:v>2014-05</c:v>
                </c:pt>
                <c:pt idx="15">
                  <c:v>2014-06</c:v>
                </c:pt>
                <c:pt idx="16">
                  <c:v>2014-07</c:v>
                </c:pt>
                <c:pt idx="17">
                  <c:v>2014-08</c:v>
                </c:pt>
                <c:pt idx="18">
                  <c:v>2014-09</c:v>
                </c:pt>
                <c:pt idx="19">
                  <c:v>2014-10</c:v>
                </c:pt>
                <c:pt idx="20">
                  <c:v>2014-11</c:v>
                </c:pt>
                <c:pt idx="21">
                  <c:v>2014-12</c:v>
                </c:pt>
                <c:pt idx="22">
                  <c:v>2015-01</c:v>
                </c:pt>
                <c:pt idx="23">
                  <c:v>2015-02</c:v>
                </c:pt>
                <c:pt idx="24">
                  <c:v>2015-03</c:v>
                </c:pt>
              </c:strCache>
            </c:strRef>
          </c:cat>
          <c:val>
            <c:numRef>
              <c:f>'CVD 1'!$E$37:$AC$37</c:f>
              <c:numCache>
                <c:formatCode>0.00%</c:formatCode>
                <c:ptCount val="25"/>
                <c:pt idx="0">
                  <c:v>0.60529999999999995</c:v>
                </c:pt>
                <c:pt idx="1">
                  <c:v>0.61809999999999998</c:v>
                </c:pt>
                <c:pt idx="2">
                  <c:v>0.64400000000000002</c:v>
                </c:pt>
                <c:pt idx="3">
                  <c:v>0.66049999999999998</c:v>
                </c:pt>
                <c:pt idx="4">
                  <c:v>0.6694</c:v>
                </c:pt>
                <c:pt idx="5">
                  <c:v>0.67930000000000001</c:v>
                </c:pt>
                <c:pt idx="6">
                  <c:v>0.68359999999999999</c:v>
                </c:pt>
                <c:pt idx="7">
                  <c:v>0.68459999999999999</c:v>
                </c:pt>
                <c:pt idx="8">
                  <c:v>0.71289999999999998</c:v>
                </c:pt>
                <c:pt idx="9">
                  <c:v>0.73329999999999995</c:v>
                </c:pt>
                <c:pt idx="10">
                  <c:v>0.74580000000000002</c:v>
                </c:pt>
                <c:pt idx="11">
                  <c:v>0.76429999999999998</c:v>
                </c:pt>
                <c:pt idx="12">
                  <c:v>0.77639999999999998</c:v>
                </c:pt>
                <c:pt idx="13">
                  <c:v>0.78959999999999997</c:v>
                </c:pt>
                <c:pt idx="14">
                  <c:v>0.80640000000000001</c:v>
                </c:pt>
                <c:pt idx="15">
                  <c:v>0.84340000000000004</c:v>
                </c:pt>
                <c:pt idx="16">
                  <c:v>0.83579999999999999</c:v>
                </c:pt>
                <c:pt idx="17">
                  <c:v>0.84599999999999997</c:v>
                </c:pt>
                <c:pt idx="18">
                  <c:v>0.85960000000000003</c:v>
                </c:pt>
                <c:pt idx="19">
                  <c:v>0.85580000000000001</c:v>
                </c:pt>
                <c:pt idx="20">
                  <c:v>0.86160000000000003</c:v>
                </c:pt>
                <c:pt idx="21">
                  <c:v>0.86619999999999997</c:v>
                </c:pt>
                <c:pt idx="22">
                  <c:v>0.86709999999999998</c:v>
                </c:pt>
                <c:pt idx="23">
                  <c:v>0.87219999999999998</c:v>
                </c:pt>
                <c:pt idx="24">
                  <c:v>0.87590000000000001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'CVD 1'!$D$38</c:f>
              <c:strCache>
                <c:ptCount val="1"/>
                <c:pt idx="0">
                  <c:v>National sample</c:v>
                </c:pt>
              </c:strCache>
            </c:strRef>
          </c:tx>
          <c:spPr>
            <a:ln w="22225" cap="flat" cmpd="sng">
              <a:solidFill>
                <a:srgbClr val="FF0000"/>
              </a:solidFill>
              <a:prstDash val="sysDot"/>
              <a:bevel/>
            </a:ln>
          </c:spPr>
          <c:marker>
            <c:symbol val="none"/>
          </c:marker>
          <c:cat>
            <c:strRef>
              <c:f>'CVD 1'!$E$36:$AC$36</c:f>
              <c:strCache>
                <c:ptCount val="25"/>
                <c:pt idx="0">
                  <c:v>2013-03</c:v>
                </c:pt>
                <c:pt idx="1">
                  <c:v>2013-04</c:v>
                </c:pt>
                <c:pt idx="2">
                  <c:v>2013-05</c:v>
                </c:pt>
                <c:pt idx="3">
                  <c:v>2013-06</c:v>
                </c:pt>
                <c:pt idx="4">
                  <c:v>2013-07</c:v>
                </c:pt>
                <c:pt idx="5">
                  <c:v>2013-08</c:v>
                </c:pt>
                <c:pt idx="6">
                  <c:v>2013-09</c:v>
                </c:pt>
                <c:pt idx="7">
                  <c:v>2013-10</c:v>
                </c:pt>
                <c:pt idx="8">
                  <c:v>2013-11</c:v>
                </c:pt>
                <c:pt idx="9">
                  <c:v>2013-12</c:v>
                </c:pt>
                <c:pt idx="10">
                  <c:v>2014-01</c:v>
                </c:pt>
                <c:pt idx="11">
                  <c:v>2014-02</c:v>
                </c:pt>
                <c:pt idx="12">
                  <c:v>2014-03</c:v>
                </c:pt>
                <c:pt idx="13">
                  <c:v>2014-04</c:v>
                </c:pt>
                <c:pt idx="14">
                  <c:v>2014-05</c:v>
                </c:pt>
                <c:pt idx="15">
                  <c:v>2014-06</c:v>
                </c:pt>
                <c:pt idx="16">
                  <c:v>2014-07</c:v>
                </c:pt>
                <c:pt idx="17">
                  <c:v>2014-08</c:v>
                </c:pt>
                <c:pt idx="18">
                  <c:v>2014-09</c:v>
                </c:pt>
                <c:pt idx="19">
                  <c:v>2014-10</c:v>
                </c:pt>
                <c:pt idx="20">
                  <c:v>2014-11</c:v>
                </c:pt>
                <c:pt idx="21">
                  <c:v>2014-12</c:v>
                </c:pt>
                <c:pt idx="22">
                  <c:v>2015-01</c:v>
                </c:pt>
                <c:pt idx="23">
                  <c:v>2015-02</c:v>
                </c:pt>
                <c:pt idx="24">
                  <c:v>2015-03</c:v>
                </c:pt>
              </c:strCache>
            </c:strRef>
          </c:cat>
          <c:val>
            <c:numRef>
              <c:f>'CVD 1'!$E$38:$AC$38</c:f>
              <c:numCache>
                <c:formatCode>0.00%</c:formatCode>
                <c:ptCount val="25"/>
                <c:pt idx="0">
                  <c:v>0.60499999999999998</c:v>
                </c:pt>
                <c:pt idx="1">
                  <c:v>0.62019999999999997</c:v>
                </c:pt>
                <c:pt idx="2">
                  <c:v>0.64439999999999997</c:v>
                </c:pt>
                <c:pt idx="3">
                  <c:v>0.66180000000000005</c:v>
                </c:pt>
                <c:pt idx="4">
                  <c:v>0.67230000000000001</c:v>
                </c:pt>
                <c:pt idx="5">
                  <c:v>0.68230000000000002</c:v>
                </c:pt>
                <c:pt idx="6">
                  <c:v>0.68779999999999997</c:v>
                </c:pt>
                <c:pt idx="7">
                  <c:v>0.69679999999999997</c:v>
                </c:pt>
                <c:pt idx="8">
                  <c:v>0.71519999999999995</c:v>
                </c:pt>
                <c:pt idx="9">
                  <c:v>0.72519999999999996</c:v>
                </c:pt>
                <c:pt idx="10">
                  <c:v>0.73260000000000003</c:v>
                </c:pt>
                <c:pt idx="11">
                  <c:v>0.75349999999999995</c:v>
                </c:pt>
                <c:pt idx="12">
                  <c:v>0.77170000000000005</c:v>
                </c:pt>
                <c:pt idx="13">
                  <c:v>0.7853</c:v>
                </c:pt>
                <c:pt idx="14">
                  <c:v>0.80940000000000001</c:v>
                </c:pt>
                <c:pt idx="15">
                  <c:v>0.83169999999999999</c:v>
                </c:pt>
                <c:pt idx="16">
                  <c:v>0.83199999999999996</c:v>
                </c:pt>
                <c:pt idx="17">
                  <c:v>0.84079999999999999</c:v>
                </c:pt>
                <c:pt idx="18">
                  <c:v>0.84989999999999999</c:v>
                </c:pt>
                <c:pt idx="19">
                  <c:v>0.84760000000000002</c:v>
                </c:pt>
                <c:pt idx="20">
                  <c:v>0.85370000000000001</c:v>
                </c:pt>
                <c:pt idx="21">
                  <c:v>0.85870000000000002</c:v>
                </c:pt>
                <c:pt idx="22">
                  <c:v>0.85560000000000003</c:v>
                </c:pt>
                <c:pt idx="23">
                  <c:v>0.86140000000000005</c:v>
                </c:pt>
                <c:pt idx="24">
                  <c:v>0.86809999999999998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84174312"/>
        <c:axId val="284173136"/>
      </c:lineChart>
      <c:catAx>
        <c:axId val="2841743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hu-HU"/>
          </a:p>
        </c:txPr>
        <c:crossAx val="284173136"/>
        <c:crosses val="autoZero"/>
        <c:auto val="1"/>
        <c:lblAlgn val="ctr"/>
        <c:lblOffset val="100"/>
        <c:tickLblSkip val="3"/>
        <c:noMultiLvlLbl val="0"/>
      </c:catAx>
      <c:valAx>
        <c:axId val="284173136"/>
        <c:scaling>
          <c:orientation val="minMax"/>
          <c:max val="0.9"/>
          <c:min val="0.30000000000000004"/>
        </c:scaling>
        <c:delete val="0"/>
        <c:axPos val="l"/>
        <c:majorGridlines/>
        <c:numFmt formatCode="0%" sourceLinked="0"/>
        <c:majorTickMark val="out"/>
        <c:minorTickMark val="none"/>
        <c:tickLblPos val="nextTo"/>
        <c:crossAx val="284174312"/>
        <c:crosses val="autoZero"/>
        <c:crossBetween val="between"/>
        <c:majorUnit val="0.1"/>
        <c:minorUnit val="2.0000000000000004E-2"/>
      </c:valAx>
    </c:plotArea>
    <c:legend>
      <c:legendPos val="b"/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0.52926</cdr:x>
      <cdr:y>0.04695</cdr:y>
    </cdr:from>
    <cdr:to>
      <cdr:x>0.53033</cdr:x>
      <cdr:y>0.69354</cdr:y>
    </cdr:to>
    <cdr:cxnSp macro="">
      <cdr:nvCxnSpPr>
        <cdr:cNvPr id="3" name="Straight Connector 2"/>
        <cdr:cNvCxnSpPr/>
      </cdr:nvCxnSpPr>
      <cdr:spPr>
        <a:xfrm xmlns:a="http://schemas.openxmlformats.org/drawingml/2006/main">
          <a:off x="2593975" y="138642"/>
          <a:ext cx="5250" cy="1909208"/>
        </a:xfrm>
        <a:prstGeom xmlns:a="http://schemas.openxmlformats.org/drawingml/2006/main" prst="line">
          <a:avLst/>
        </a:prstGeom>
        <a:ln xmlns:a="http://schemas.openxmlformats.org/drawingml/2006/main" w="6350" cmpd="thickThin">
          <a:prstDash val="solid"/>
        </a:ln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0.16407</cdr:x>
      <cdr:y>0.51066</cdr:y>
    </cdr:from>
    <cdr:to>
      <cdr:x>0.50067</cdr:x>
      <cdr:y>0.62524</cdr:y>
    </cdr:to>
    <cdr:sp macro="" textlink="">
      <cdr:nvSpPr>
        <cdr:cNvPr id="9" name="TextBox 1"/>
        <cdr:cNvSpPr txBox="1"/>
      </cdr:nvSpPr>
      <cdr:spPr>
        <a:xfrm xmlns:a="http://schemas.openxmlformats.org/drawingml/2006/main">
          <a:off x="804137" y="1507860"/>
          <a:ext cx="1649725" cy="33832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marL="0" marR="0" lvl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kumimoji="0" lang="en-NZ" sz="1000" b="1" i="0" u="none" strike="noStrike" kern="0" cap="none" spc="0" normalizeH="0" baseline="0">
              <a:ln>
                <a:noFill/>
              </a:ln>
              <a:solidFill>
                <a:prstClr val="white">
                  <a:lumMod val="50000"/>
                </a:prstClr>
              </a:solidFill>
              <a:effectLst/>
              <a:uLnTx/>
              <a:uFillTx/>
              <a:latin typeface="+mn-lt"/>
              <a:ea typeface="+mn-ea"/>
              <a:cs typeface="+mn-cs"/>
            </a:rPr>
            <a:t>Year to March 2014</a:t>
          </a:r>
        </a:p>
      </cdr:txBody>
    </cdr:sp>
  </cdr:relSizeAnchor>
  <cdr:relSizeAnchor xmlns:cdr="http://schemas.openxmlformats.org/drawingml/2006/chartDrawing">
    <cdr:from>
      <cdr:x>0.62313</cdr:x>
      <cdr:y>0.51361</cdr:y>
    </cdr:from>
    <cdr:to>
      <cdr:x>0.96951</cdr:x>
      <cdr:y>0.62819</cdr:y>
    </cdr:to>
    <cdr:sp macro="" textlink="">
      <cdr:nvSpPr>
        <cdr:cNvPr id="10" name="TextBox 1"/>
        <cdr:cNvSpPr txBox="1"/>
      </cdr:nvSpPr>
      <cdr:spPr>
        <a:xfrm xmlns:a="http://schemas.openxmlformats.org/drawingml/2006/main">
          <a:off x="3054045" y="1516571"/>
          <a:ext cx="1697658" cy="33832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NZ" sz="1000" b="1">
              <a:solidFill>
                <a:srgbClr val="4D4D4D"/>
              </a:solidFill>
            </a:rPr>
            <a:t>Year to March 2015</a:t>
          </a:r>
        </a:p>
        <a:p xmlns:a="http://schemas.openxmlformats.org/drawingml/2006/main">
          <a:endParaRPr lang="en-NZ" sz="1100" b="1">
            <a:solidFill>
              <a:srgbClr val="4D4D4D"/>
            </a:solidFill>
          </a:endParaRPr>
        </a:p>
        <a:p xmlns:a="http://schemas.openxmlformats.org/drawingml/2006/main">
          <a:endParaRPr lang="en-NZ" sz="1100" b="1">
            <a:solidFill>
              <a:srgbClr val="4D4D4D"/>
            </a:solidFill>
          </a:endParaRPr>
        </a:p>
      </cdr:txBody>
    </cdr:sp>
  </cdr:relSizeAnchor>
  <cdr:relSizeAnchor xmlns:cdr="http://schemas.openxmlformats.org/drawingml/2006/chartDrawing">
    <cdr:from>
      <cdr:x>0.12122</cdr:x>
      <cdr:y>0.59196</cdr:y>
    </cdr:from>
    <cdr:to>
      <cdr:x>0.52121</cdr:x>
      <cdr:y>0.59196</cdr:y>
    </cdr:to>
    <cdr:cxnSp macro="">
      <cdr:nvCxnSpPr>
        <cdr:cNvPr id="11" name="Straight Arrow Connector 10"/>
        <cdr:cNvCxnSpPr/>
      </cdr:nvCxnSpPr>
      <cdr:spPr>
        <a:xfrm xmlns:a="http://schemas.openxmlformats.org/drawingml/2006/main">
          <a:off x="594114" y="1747919"/>
          <a:ext cx="1960408" cy="0"/>
        </a:xfrm>
        <a:prstGeom xmlns:a="http://schemas.openxmlformats.org/drawingml/2006/main" prst="straightConnector1">
          <a:avLst/>
        </a:prstGeom>
        <a:ln xmlns:a="http://schemas.openxmlformats.org/drawingml/2006/main" w="15875" cap="rnd" cmpd="sng">
          <a:solidFill>
            <a:schemeClr val="bg1">
              <a:lumMod val="50000"/>
            </a:schemeClr>
          </a:solidFill>
          <a:prstDash val="solid"/>
          <a:headEnd type="arrow"/>
          <a:tailEnd type="arrow" w="med" len="med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0.55245</cdr:x>
      <cdr:y>0.59068</cdr:y>
    </cdr:from>
    <cdr:to>
      <cdr:x>0.95245</cdr:x>
      <cdr:y>0.59068</cdr:y>
    </cdr:to>
    <cdr:cxnSp macro="">
      <cdr:nvCxnSpPr>
        <cdr:cNvPr id="12" name="Straight Arrow Connector 11"/>
        <cdr:cNvCxnSpPr/>
      </cdr:nvCxnSpPr>
      <cdr:spPr>
        <a:xfrm xmlns:a="http://schemas.openxmlformats.org/drawingml/2006/main">
          <a:off x="2707638" y="1744128"/>
          <a:ext cx="1960457" cy="0"/>
        </a:xfrm>
        <a:prstGeom xmlns:a="http://schemas.openxmlformats.org/drawingml/2006/main" prst="straightConnector1">
          <a:avLst/>
        </a:prstGeom>
        <a:ln xmlns:a="http://schemas.openxmlformats.org/drawingml/2006/main" w="15875" cap="rnd" cmpd="sng">
          <a:solidFill>
            <a:srgbClr val="4D4D4D"/>
          </a:solidFill>
          <a:prstDash val="solid"/>
          <a:headEnd type="arrow"/>
          <a:tailEnd type="arrow" w="med" len="med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</cdr:x>
      <cdr:y>0.65161</cdr:y>
    </cdr:from>
    <cdr:to>
      <cdr:x>0.06888</cdr:x>
      <cdr:y>0.72079</cdr:y>
    </cdr:to>
    <cdr:sp macro="" textlink="">
      <cdr:nvSpPr>
        <cdr:cNvPr id="8" name="TextBox 1"/>
        <cdr:cNvSpPr txBox="1"/>
      </cdr:nvSpPr>
      <cdr:spPr>
        <a:xfrm xmlns:a="http://schemas.openxmlformats.org/drawingml/2006/main">
          <a:off x="0" y="1924050"/>
          <a:ext cx="337607" cy="204258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wrap="square" lIns="36000" tIns="36000" rIns="18000" bIns="18000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r"/>
          <a:r>
            <a:rPr lang="en-NZ" sz="1000"/>
            <a:t> 0%</a:t>
          </a:r>
        </a:p>
        <a:p xmlns:a="http://schemas.openxmlformats.org/drawingml/2006/main">
          <a:pPr algn="r"/>
          <a:endParaRPr lang="en-NZ" sz="1000"/>
        </a:p>
        <a:p xmlns:a="http://schemas.openxmlformats.org/drawingml/2006/main">
          <a:pPr algn="r"/>
          <a:endParaRPr lang="en-NZ" sz="1000"/>
        </a:p>
      </cdr:txBody>
    </cdr:sp>
  </cdr:relSizeAnchor>
  <cdr:relSizeAnchor xmlns:cdr="http://schemas.openxmlformats.org/drawingml/2006/chartDrawing">
    <cdr:from>
      <cdr:x>0.07299</cdr:x>
      <cdr:y>0.63728</cdr:y>
    </cdr:from>
    <cdr:to>
      <cdr:x>0.09156</cdr:x>
      <cdr:y>0.68226</cdr:y>
    </cdr:to>
    <cdr:sp macro="" textlink="">
      <cdr:nvSpPr>
        <cdr:cNvPr id="13" name="Freeform 12"/>
        <cdr:cNvSpPr/>
      </cdr:nvSpPr>
      <cdr:spPr>
        <a:xfrm xmlns:a="http://schemas.openxmlformats.org/drawingml/2006/main">
          <a:off x="357716" y="1881717"/>
          <a:ext cx="91043" cy="132813"/>
        </a:xfrm>
        <a:custGeom xmlns:a="http://schemas.openxmlformats.org/drawingml/2006/main">
          <a:avLst/>
          <a:gdLst>
            <a:gd name="connsiteX0" fmla="*/ 0 w 957792"/>
            <a:gd name="connsiteY0" fmla="*/ 0 h 809625"/>
            <a:gd name="connsiteX1" fmla="*/ 957792 w 957792"/>
            <a:gd name="connsiteY1" fmla="*/ 158750 h 809625"/>
            <a:gd name="connsiteX2" fmla="*/ 957792 w 957792"/>
            <a:gd name="connsiteY2" fmla="*/ 158750 h 809625"/>
            <a:gd name="connsiteX3" fmla="*/ 0 w 957792"/>
            <a:gd name="connsiteY3" fmla="*/ 328084 h 809625"/>
            <a:gd name="connsiteX4" fmla="*/ 0 w 957792"/>
            <a:gd name="connsiteY4" fmla="*/ 328084 h 809625"/>
            <a:gd name="connsiteX5" fmla="*/ 952500 w 957792"/>
            <a:gd name="connsiteY5" fmla="*/ 481542 h 809625"/>
            <a:gd name="connsiteX6" fmla="*/ 952500 w 957792"/>
            <a:gd name="connsiteY6" fmla="*/ 481542 h 809625"/>
            <a:gd name="connsiteX7" fmla="*/ 5292 w 957792"/>
            <a:gd name="connsiteY7" fmla="*/ 650875 h 809625"/>
            <a:gd name="connsiteX8" fmla="*/ 5292 w 957792"/>
            <a:gd name="connsiteY8" fmla="*/ 650875 h 809625"/>
            <a:gd name="connsiteX9" fmla="*/ 952500 w 957792"/>
            <a:gd name="connsiteY9" fmla="*/ 809625 h 809625"/>
          </a:gdLst>
          <a:ahLst/>
          <a:cxnLst>
            <a:cxn ang="0">
              <a:pos x="connsiteX0" y="connsiteY0"/>
            </a:cxn>
            <a:cxn ang="0">
              <a:pos x="connsiteX1" y="connsiteY1"/>
            </a:cxn>
            <a:cxn ang="0">
              <a:pos x="connsiteX2" y="connsiteY2"/>
            </a:cxn>
            <a:cxn ang="0">
              <a:pos x="connsiteX3" y="connsiteY3"/>
            </a:cxn>
            <a:cxn ang="0">
              <a:pos x="connsiteX4" y="connsiteY4"/>
            </a:cxn>
            <a:cxn ang="0">
              <a:pos x="connsiteX5" y="connsiteY5"/>
            </a:cxn>
            <a:cxn ang="0">
              <a:pos x="connsiteX6" y="connsiteY6"/>
            </a:cxn>
            <a:cxn ang="0">
              <a:pos x="connsiteX7" y="connsiteY7"/>
            </a:cxn>
            <a:cxn ang="0">
              <a:pos x="connsiteX8" y="connsiteY8"/>
            </a:cxn>
            <a:cxn ang="0">
              <a:pos x="connsiteX9" y="connsiteY9"/>
            </a:cxn>
          </a:cxnLst>
          <a:rect l="l" t="t" r="r" b="b"/>
          <a:pathLst>
            <a:path w="957792" h="809625">
              <a:moveTo>
                <a:pt x="0" y="0"/>
              </a:moveTo>
              <a:lnTo>
                <a:pt x="957792" y="158750"/>
              </a:lnTo>
              <a:lnTo>
                <a:pt x="957792" y="158750"/>
              </a:lnTo>
              <a:lnTo>
                <a:pt x="0" y="328084"/>
              </a:lnTo>
              <a:lnTo>
                <a:pt x="0" y="328084"/>
              </a:lnTo>
              <a:lnTo>
                <a:pt x="952500" y="481542"/>
              </a:lnTo>
              <a:lnTo>
                <a:pt x="952500" y="481542"/>
              </a:lnTo>
              <a:lnTo>
                <a:pt x="5292" y="650875"/>
              </a:lnTo>
              <a:lnTo>
                <a:pt x="5292" y="650875"/>
              </a:lnTo>
              <a:cubicBezTo>
                <a:pt x="163160" y="677333"/>
                <a:pt x="794632" y="804333"/>
                <a:pt x="952500" y="809625"/>
              </a:cubicBezTo>
            </a:path>
          </a:pathLst>
        </a:custGeom>
        <a:noFill xmlns:a="http://schemas.openxmlformats.org/drawingml/2006/main"/>
        <a:ln xmlns:a="http://schemas.openxmlformats.org/drawingml/2006/main" w="6350">
          <a:solidFill>
            <a:schemeClr val="tx1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rtlCol="0" anchor="t"/>
        <a:lstStyle xmlns:a="http://schemas.openxmlformats.org/drawingml/2006/main">
          <a:lvl1pPr marL="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l"/>
          <a:endParaRPr lang="en-NZ" sz="1100"/>
        </a:p>
      </cdr:txBody>
    </cdr:sp>
  </cdr:relSizeAnchor>
</c:userShape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 Nemzeti Infokommunikációs Szolgáltató Zrt.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Kelemen Gábor 2</dc:creator>
  <cp:keywords/>
  <dc:description/>
  <cp:lastModifiedBy>Kelemen Gábor 2</cp:lastModifiedBy>
  <cp:revision>1</cp:revision>
  <dcterms:created xsi:type="dcterms:W3CDTF">2019-01-22T08:57:00Z</dcterms:created>
  <dcterms:modified xsi:type="dcterms:W3CDTF">2019-01-22T08:57:00Z</dcterms:modified>
</cp:coreProperties>
</file>