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457B04" w:rsidP="00D54D50">
      <w:pPr>
        <w:pStyle w:val="Title"/>
      </w:pPr>
      <w:r>
        <w:t>Report on the Performance of General Practices in Whānau Ora Collectives</w:t>
      </w:r>
    </w:p>
    <w:p w:rsidR="00343365" w:rsidRDefault="00457B04" w:rsidP="00343365">
      <w:pPr>
        <w:pStyle w:val="Year"/>
      </w:pPr>
      <w:proofErr w:type="gramStart"/>
      <w:r>
        <w:t>as</w:t>
      </w:r>
      <w:proofErr w:type="gramEnd"/>
      <w:r>
        <w:t xml:space="preserve"> at </w:t>
      </w:r>
      <w:r w:rsidR="0019454B">
        <w:t>March 2015</w:t>
      </w:r>
    </w:p>
    <w:p w:rsidR="00C86248" w:rsidRDefault="00C86248" w:rsidP="00343365">
      <w:pPr>
        <w:pStyle w:val="Subhead"/>
      </w:pP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457B04">
        <w:t>2015</w:t>
      </w:r>
      <w:r w:rsidR="00442C1C">
        <w:t xml:space="preserve">. </w:t>
      </w:r>
      <w:r w:rsidR="00457B04">
        <w:rPr>
          <w:i/>
        </w:rPr>
        <w:t xml:space="preserve">Report on the Performance of General Practices in Whānau Ora Collectives as at </w:t>
      </w:r>
      <w:r w:rsidR="0019454B">
        <w:rPr>
          <w:i/>
        </w:rPr>
        <w:t xml:space="preserve">March </w:t>
      </w:r>
      <w:r w:rsidR="00457B04">
        <w:rPr>
          <w:i/>
        </w:rPr>
        <w:t>201</w:t>
      </w:r>
      <w:r w:rsidR="0019454B">
        <w:rPr>
          <w:i/>
        </w:rPr>
        <w:t>5</w:t>
      </w:r>
      <w:r w:rsidR="00442C1C">
        <w:t>. Wellington: Ministry of Health.</w:t>
      </w:r>
    </w:p>
    <w:p w:rsidR="00C86248" w:rsidRDefault="00C86248">
      <w:pPr>
        <w:pStyle w:val="Imprint"/>
      </w:pPr>
      <w:r>
        <w:t xml:space="preserve">Published in </w:t>
      </w:r>
      <w:r w:rsidR="0059071E">
        <w:t xml:space="preserve">August </w:t>
      </w:r>
      <w:r w:rsidR="00DB3CF8">
        <w:t>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rsidRPr="00DB3CF8">
        <w:t>ISBN</w:t>
      </w:r>
      <w:r w:rsidR="00442C1C" w:rsidRPr="00DB3CF8">
        <w:t xml:space="preserve"> </w:t>
      </w:r>
      <w:r w:rsidR="0059071E">
        <w:t xml:space="preserve">978-0-478-44850-4 </w:t>
      </w:r>
      <w:r w:rsidRPr="00DB3CF8">
        <w:t>(</w:t>
      </w:r>
      <w:r w:rsidR="00442C1C" w:rsidRPr="00DB3CF8">
        <w:t>online</w:t>
      </w:r>
      <w:proofErr w:type="gramStart"/>
      <w:r w:rsidRPr="00DB3CF8">
        <w:t>)</w:t>
      </w:r>
      <w:proofErr w:type="gramEnd"/>
      <w:r w:rsidR="00082CD6" w:rsidRPr="00DB3CF8">
        <w:br/>
        <w:t xml:space="preserve">HP </w:t>
      </w:r>
      <w:r w:rsidR="0059071E">
        <w:t>6229</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121AA7C7" wp14:editId="23A32FF2">
            <wp:extent cx="1670685" cy="681355"/>
            <wp:effectExtent l="0" t="0" r="5715" b="4445"/>
            <wp:docPr id="2" name="Picture 2"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E137EB"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E137EB">
        <w:rPr>
          <w:noProof/>
        </w:rPr>
        <w:t>Background</w:t>
      </w:r>
      <w:r w:rsidR="00E137EB">
        <w:rPr>
          <w:noProof/>
        </w:rPr>
        <w:tab/>
      </w:r>
      <w:r w:rsidR="00E137EB">
        <w:rPr>
          <w:noProof/>
        </w:rPr>
        <w:fldChar w:fldCharType="begin"/>
      </w:r>
      <w:r w:rsidR="00E137EB">
        <w:rPr>
          <w:noProof/>
        </w:rPr>
        <w:instrText xml:space="preserve"> PAGEREF _Toc421710349 \h </w:instrText>
      </w:r>
      <w:r w:rsidR="00E137EB">
        <w:rPr>
          <w:noProof/>
        </w:rPr>
      </w:r>
      <w:r w:rsidR="00E137EB">
        <w:rPr>
          <w:noProof/>
        </w:rPr>
        <w:fldChar w:fldCharType="separate"/>
      </w:r>
      <w:r w:rsidR="00E2376C">
        <w:rPr>
          <w:noProof/>
        </w:rPr>
        <w:t>1</w:t>
      </w:r>
      <w:r w:rsidR="00E137EB">
        <w:rPr>
          <w:noProof/>
        </w:rPr>
        <w:fldChar w:fldCharType="end"/>
      </w:r>
    </w:p>
    <w:p w:rsidR="00E137EB" w:rsidRDefault="00E137EB">
      <w:pPr>
        <w:pStyle w:val="TOC2"/>
        <w:rPr>
          <w:rFonts w:asciiTheme="minorHAnsi" w:eastAsiaTheme="minorEastAsia" w:hAnsiTheme="minorHAnsi" w:cstheme="minorBidi"/>
          <w:noProof/>
          <w:szCs w:val="22"/>
          <w:lang w:eastAsia="en-NZ"/>
        </w:rPr>
      </w:pPr>
      <w:r>
        <w:rPr>
          <w:noProof/>
        </w:rPr>
        <w:t>Sample methodology</w:t>
      </w:r>
      <w:r>
        <w:rPr>
          <w:noProof/>
        </w:rPr>
        <w:tab/>
      </w:r>
      <w:r>
        <w:rPr>
          <w:noProof/>
        </w:rPr>
        <w:fldChar w:fldCharType="begin"/>
      </w:r>
      <w:r>
        <w:rPr>
          <w:noProof/>
        </w:rPr>
        <w:instrText xml:space="preserve"> PAGEREF _Toc421710350 \h </w:instrText>
      </w:r>
      <w:r>
        <w:rPr>
          <w:noProof/>
        </w:rPr>
      </w:r>
      <w:r>
        <w:rPr>
          <w:noProof/>
        </w:rPr>
        <w:fldChar w:fldCharType="separate"/>
      </w:r>
      <w:r w:rsidR="00E2376C">
        <w:rPr>
          <w:noProof/>
        </w:rPr>
        <w:t>1</w:t>
      </w:r>
      <w:r>
        <w:rPr>
          <w:noProof/>
        </w:rPr>
        <w:fldChar w:fldCharType="end"/>
      </w:r>
    </w:p>
    <w:p w:rsidR="00E137EB" w:rsidRDefault="00E137EB">
      <w:pPr>
        <w:pStyle w:val="TOC2"/>
        <w:rPr>
          <w:rFonts w:asciiTheme="minorHAnsi" w:eastAsiaTheme="minorEastAsia" w:hAnsiTheme="minorHAnsi" w:cstheme="minorBidi"/>
          <w:noProof/>
          <w:szCs w:val="22"/>
          <w:lang w:eastAsia="en-NZ"/>
        </w:rPr>
      </w:pPr>
      <w:r>
        <w:rPr>
          <w:noProof/>
        </w:rPr>
        <w:t>Data analysis</w:t>
      </w:r>
      <w:r>
        <w:rPr>
          <w:noProof/>
        </w:rPr>
        <w:tab/>
      </w:r>
      <w:r w:rsidR="00B8774B">
        <w:rPr>
          <w:noProof/>
        </w:rPr>
        <w:tab/>
      </w:r>
      <w:r>
        <w:rPr>
          <w:noProof/>
        </w:rPr>
        <w:fldChar w:fldCharType="begin"/>
      </w:r>
      <w:r>
        <w:rPr>
          <w:noProof/>
        </w:rPr>
        <w:instrText xml:space="preserve"> PAGEREF _Toc421710351 \h </w:instrText>
      </w:r>
      <w:r>
        <w:rPr>
          <w:noProof/>
        </w:rPr>
      </w:r>
      <w:r>
        <w:rPr>
          <w:noProof/>
        </w:rPr>
        <w:fldChar w:fldCharType="separate"/>
      </w:r>
      <w:r w:rsidR="00E2376C">
        <w:rPr>
          <w:noProof/>
        </w:rPr>
        <w:t>2</w:t>
      </w:r>
      <w:r>
        <w:rPr>
          <w:noProof/>
        </w:rPr>
        <w:fldChar w:fldCharType="end"/>
      </w:r>
    </w:p>
    <w:p w:rsidR="00E137EB" w:rsidRDefault="00E137EB">
      <w:pPr>
        <w:pStyle w:val="TOC1"/>
        <w:rPr>
          <w:rFonts w:asciiTheme="minorHAnsi" w:eastAsiaTheme="minorEastAsia" w:hAnsiTheme="minorHAnsi" w:cstheme="minorBidi"/>
          <w:b w:val="0"/>
          <w:noProof/>
          <w:szCs w:val="22"/>
          <w:lang w:eastAsia="en-NZ"/>
        </w:rPr>
      </w:pPr>
      <w:r>
        <w:rPr>
          <w:noProof/>
        </w:rPr>
        <w:t>Highlights</w:t>
      </w:r>
      <w:r>
        <w:rPr>
          <w:noProof/>
        </w:rPr>
        <w:tab/>
      </w:r>
      <w:r>
        <w:rPr>
          <w:noProof/>
        </w:rPr>
        <w:fldChar w:fldCharType="begin"/>
      </w:r>
      <w:r>
        <w:rPr>
          <w:noProof/>
        </w:rPr>
        <w:instrText xml:space="preserve"> PAGEREF _Toc421710352 \h </w:instrText>
      </w:r>
      <w:r>
        <w:rPr>
          <w:noProof/>
        </w:rPr>
      </w:r>
      <w:r>
        <w:rPr>
          <w:noProof/>
        </w:rPr>
        <w:fldChar w:fldCharType="separate"/>
      </w:r>
      <w:r w:rsidR="00E2376C">
        <w:rPr>
          <w:noProof/>
        </w:rPr>
        <w:t>3</w:t>
      </w:r>
      <w:r>
        <w:rPr>
          <w:noProof/>
        </w:rPr>
        <w:fldChar w:fldCharType="end"/>
      </w:r>
    </w:p>
    <w:p w:rsidR="00E137EB" w:rsidRDefault="00E137EB">
      <w:pPr>
        <w:pStyle w:val="TOC1"/>
        <w:rPr>
          <w:rFonts w:asciiTheme="minorHAnsi" w:eastAsiaTheme="minorEastAsia" w:hAnsiTheme="minorHAnsi" w:cstheme="minorBidi"/>
          <w:b w:val="0"/>
          <w:noProof/>
          <w:szCs w:val="22"/>
          <w:lang w:eastAsia="en-NZ"/>
        </w:rPr>
      </w:pPr>
      <w:r>
        <w:rPr>
          <w:noProof/>
        </w:rPr>
        <w:t>Report by individual indicator</w:t>
      </w:r>
      <w:r>
        <w:rPr>
          <w:noProof/>
        </w:rPr>
        <w:tab/>
      </w:r>
      <w:r>
        <w:rPr>
          <w:noProof/>
        </w:rPr>
        <w:fldChar w:fldCharType="begin"/>
      </w:r>
      <w:r>
        <w:rPr>
          <w:noProof/>
        </w:rPr>
        <w:instrText xml:space="preserve"> PAGEREF _Toc421710353 \h </w:instrText>
      </w:r>
      <w:r>
        <w:rPr>
          <w:noProof/>
        </w:rPr>
      </w:r>
      <w:r>
        <w:rPr>
          <w:noProof/>
        </w:rPr>
        <w:fldChar w:fldCharType="separate"/>
      </w:r>
      <w:r w:rsidR="00E2376C">
        <w:rPr>
          <w:noProof/>
        </w:rPr>
        <w:t>4</w:t>
      </w:r>
      <w:r>
        <w:rPr>
          <w:noProof/>
        </w:rPr>
        <w:fldChar w:fldCharType="end"/>
      </w:r>
    </w:p>
    <w:p w:rsidR="00E137EB" w:rsidRPr="00E137EB" w:rsidRDefault="00E137EB" w:rsidP="00E137EB">
      <w:pPr>
        <w:pStyle w:val="TOC2"/>
        <w:rPr>
          <w:noProof/>
        </w:rPr>
      </w:pPr>
      <w:r>
        <w:rPr>
          <w:noProof/>
        </w:rPr>
        <w:t xml:space="preserve">Indicator 1: </w:t>
      </w:r>
      <w:r>
        <w:rPr>
          <w:noProof/>
        </w:rPr>
        <w:tab/>
        <w:t>CVD risk recorded – up 10.0 percent over the year March 2014 to March 2015</w:t>
      </w:r>
      <w:r>
        <w:rPr>
          <w:noProof/>
        </w:rPr>
        <w:tab/>
      </w:r>
      <w:r>
        <w:rPr>
          <w:noProof/>
        </w:rPr>
        <w:fldChar w:fldCharType="begin"/>
      </w:r>
      <w:r>
        <w:rPr>
          <w:noProof/>
        </w:rPr>
        <w:instrText xml:space="preserve"> PAGEREF _Toc421710354 \h </w:instrText>
      </w:r>
      <w:r>
        <w:rPr>
          <w:noProof/>
        </w:rPr>
      </w:r>
      <w:r>
        <w:rPr>
          <w:noProof/>
        </w:rPr>
        <w:fldChar w:fldCharType="separate"/>
      </w:r>
      <w:r w:rsidR="00E2376C">
        <w:rPr>
          <w:noProof/>
        </w:rPr>
        <w:t>4</w:t>
      </w:r>
      <w:r>
        <w:rPr>
          <w:noProof/>
        </w:rPr>
        <w:fldChar w:fldCharType="end"/>
      </w:r>
    </w:p>
    <w:p w:rsidR="00E137EB" w:rsidRPr="00E137EB" w:rsidRDefault="00E137EB" w:rsidP="00E137EB">
      <w:pPr>
        <w:pStyle w:val="TOC2"/>
        <w:rPr>
          <w:noProof/>
        </w:rPr>
      </w:pPr>
      <w:r>
        <w:rPr>
          <w:noProof/>
        </w:rPr>
        <w:t xml:space="preserve">Indicator 2:    </w:t>
      </w:r>
      <w:r w:rsidR="00B92FC1">
        <w:rPr>
          <w:noProof/>
        </w:rPr>
        <w:t xml:space="preserve"> </w:t>
      </w:r>
      <w:r>
        <w:rPr>
          <w:noProof/>
        </w:rPr>
        <w:t>Diabetes patient review – little change over the year March 2014 to March 2015</w:t>
      </w:r>
      <w:r>
        <w:rPr>
          <w:noProof/>
        </w:rPr>
        <w:tab/>
      </w:r>
      <w:r>
        <w:rPr>
          <w:noProof/>
        </w:rPr>
        <w:fldChar w:fldCharType="begin"/>
      </w:r>
      <w:r>
        <w:rPr>
          <w:noProof/>
        </w:rPr>
        <w:instrText xml:space="preserve"> PAGEREF _Toc421710355 \h </w:instrText>
      </w:r>
      <w:r>
        <w:rPr>
          <w:noProof/>
        </w:rPr>
      </w:r>
      <w:r>
        <w:rPr>
          <w:noProof/>
        </w:rPr>
        <w:fldChar w:fldCharType="separate"/>
      </w:r>
      <w:r w:rsidR="00E2376C">
        <w:rPr>
          <w:noProof/>
        </w:rPr>
        <w:t>5</w:t>
      </w:r>
      <w:r>
        <w:rPr>
          <w:noProof/>
        </w:rPr>
        <w:fldChar w:fldCharType="end"/>
      </w:r>
    </w:p>
    <w:p w:rsidR="00E137EB" w:rsidRPr="00E137EB" w:rsidRDefault="00E137EB" w:rsidP="00E137EB">
      <w:pPr>
        <w:pStyle w:val="TOC2"/>
        <w:rPr>
          <w:noProof/>
        </w:rPr>
      </w:pPr>
      <w:r>
        <w:rPr>
          <w:noProof/>
        </w:rPr>
        <w:t>Indicator 3:     Diabetes management – little change over the year March 2014 to March 2015</w:t>
      </w:r>
      <w:r>
        <w:rPr>
          <w:noProof/>
        </w:rPr>
        <w:tab/>
      </w:r>
      <w:r>
        <w:rPr>
          <w:noProof/>
        </w:rPr>
        <w:fldChar w:fldCharType="begin"/>
      </w:r>
      <w:r>
        <w:rPr>
          <w:noProof/>
        </w:rPr>
        <w:instrText xml:space="preserve"> PAGEREF _Toc421710356 \h </w:instrText>
      </w:r>
      <w:r>
        <w:rPr>
          <w:noProof/>
        </w:rPr>
      </w:r>
      <w:r>
        <w:rPr>
          <w:noProof/>
        </w:rPr>
        <w:fldChar w:fldCharType="separate"/>
      </w:r>
      <w:r w:rsidR="00E2376C">
        <w:rPr>
          <w:noProof/>
        </w:rPr>
        <w:t>6</w:t>
      </w:r>
      <w:r>
        <w:rPr>
          <w:noProof/>
        </w:rPr>
        <w:fldChar w:fldCharType="end"/>
      </w:r>
    </w:p>
    <w:p w:rsidR="00E137EB" w:rsidRPr="00E137EB" w:rsidRDefault="00E137EB" w:rsidP="00E137EB">
      <w:pPr>
        <w:pStyle w:val="TOC2"/>
        <w:rPr>
          <w:noProof/>
        </w:rPr>
      </w:pPr>
      <w:r>
        <w:rPr>
          <w:noProof/>
        </w:rPr>
        <w:t>Indicator 4:     Smoking cessation advice – up 8.1 percent over the year March 2014 to March 2015</w:t>
      </w:r>
      <w:r>
        <w:rPr>
          <w:noProof/>
        </w:rPr>
        <w:tab/>
      </w:r>
      <w:r>
        <w:rPr>
          <w:noProof/>
        </w:rPr>
        <w:fldChar w:fldCharType="begin"/>
      </w:r>
      <w:r>
        <w:rPr>
          <w:noProof/>
        </w:rPr>
        <w:instrText xml:space="preserve"> PAGEREF _Toc421710357 \h </w:instrText>
      </w:r>
      <w:r>
        <w:rPr>
          <w:noProof/>
        </w:rPr>
      </w:r>
      <w:r>
        <w:rPr>
          <w:noProof/>
        </w:rPr>
        <w:fldChar w:fldCharType="separate"/>
      </w:r>
      <w:r w:rsidR="00E2376C">
        <w:rPr>
          <w:noProof/>
        </w:rPr>
        <w:t>7</w:t>
      </w:r>
      <w:r>
        <w:rPr>
          <w:noProof/>
        </w:rPr>
        <w:fldChar w:fldCharType="end"/>
      </w:r>
    </w:p>
    <w:p w:rsidR="00E137EB" w:rsidRPr="00E137EB" w:rsidRDefault="00E137EB" w:rsidP="00E137EB">
      <w:pPr>
        <w:pStyle w:val="TOC2"/>
        <w:rPr>
          <w:noProof/>
        </w:rPr>
      </w:pPr>
      <w:r>
        <w:rPr>
          <w:noProof/>
        </w:rPr>
        <w:t>Indicator 5:     Cervical smear recorded – little change over the year March 2014 to March 2015</w:t>
      </w:r>
      <w:r>
        <w:rPr>
          <w:noProof/>
        </w:rPr>
        <w:tab/>
      </w:r>
      <w:r>
        <w:rPr>
          <w:noProof/>
        </w:rPr>
        <w:fldChar w:fldCharType="begin"/>
      </w:r>
      <w:r>
        <w:rPr>
          <w:noProof/>
        </w:rPr>
        <w:instrText xml:space="preserve"> PAGEREF _Toc421710358 \h </w:instrText>
      </w:r>
      <w:r>
        <w:rPr>
          <w:noProof/>
        </w:rPr>
      </w:r>
      <w:r>
        <w:rPr>
          <w:noProof/>
        </w:rPr>
        <w:fldChar w:fldCharType="separate"/>
      </w:r>
      <w:r w:rsidR="00E2376C">
        <w:rPr>
          <w:noProof/>
        </w:rPr>
        <w:t>8</w:t>
      </w:r>
      <w:r>
        <w:rPr>
          <w:noProof/>
        </w:rPr>
        <w:fldChar w:fldCharType="end"/>
      </w:r>
    </w:p>
    <w:p w:rsidR="00E137EB" w:rsidRPr="00E137EB" w:rsidRDefault="00E137EB" w:rsidP="00E137EB">
      <w:pPr>
        <w:pStyle w:val="TOC2"/>
        <w:rPr>
          <w:noProof/>
        </w:rPr>
      </w:pPr>
      <w:r>
        <w:rPr>
          <w:noProof/>
        </w:rPr>
        <w:t>Indicator 6:     Mammography for high needs – little change over the year March 2014 to March 2015</w:t>
      </w:r>
      <w:r>
        <w:rPr>
          <w:noProof/>
        </w:rPr>
        <w:tab/>
      </w:r>
      <w:r>
        <w:rPr>
          <w:noProof/>
        </w:rPr>
        <w:fldChar w:fldCharType="begin"/>
      </w:r>
      <w:r>
        <w:rPr>
          <w:noProof/>
        </w:rPr>
        <w:instrText xml:space="preserve"> PAGEREF _Toc421710359 \h </w:instrText>
      </w:r>
      <w:r>
        <w:rPr>
          <w:noProof/>
        </w:rPr>
      </w:r>
      <w:r>
        <w:rPr>
          <w:noProof/>
        </w:rPr>
        <w:fldChar w:fldCharType="separate"/>
      </w:r>
      <w:r w:rsidR="00E2376C">
        <w:rPr>
          <w:noProof/>
        </w:rPr>
        <w:t>9</w:t>
      </w:r>
      <w:r>
        <w:rPr>
          <w:noProof/>
        </w:rPr>
        <w:fldChar w:fldCharType="end"/>
      </w:r>
    </w:p>
    <w:p w:rsidR="00E137EB" w:rsidRPr="00E137EB" w:rsidRDefault="00E137EB" w:rsidP="00E137EB">
      <w:pPr>
        <w:pStyle w:val="TOC2"/>
        <w:rPr>
          <w:noProof/>
        </w:rPr>
      </w:pPr>
      <w:r>
        <w:rPr>
          <w:noProof/>
        </w:rPr>
        <w:t>Indicator 7:     Flu vaccination 65+ – down 27.0 percent between March 2014 and March 2015</w:t>
      </w:r>
      <w:r>
        <w:rPr>
          <w:noProof/>
        </w:rPr>
        <w:tab/>
      </w:r>
      <w:r>
        <w:rPr>
          <w:noProof/>
        </w:rPr>
        <w:fldChar w:fldCharType="begin"/>
      </w:r>
      <w:r>
        <w:rPr>
          <w:noProof/>
        </w:rPr>
        <w:instrText xml:space="preserve"> PAGEREF _Toc421710360 \h </w:instrText>
      </w:r>
      <w:r>
        <w:rPr>
          <w:noProof/>
        </w:rPr>
      </w:r>
      <w:r>
        <w:rPr>
          <w:noProof/>
        </w:rPr>
        <w:fldChar w:fldCharType="separate"/>
      </w:r>
      <w:r w:rsidR="00E2376C">
        <w:rPr>
          <w:noProof/>
        </w:rPr>
        <w:t>10</w:t>
      </w:r>
      <w:r>
        <w:rPr>
          <w:noProof/>
        </w:rPr>
        <w:fldChar w:fldCharType="end"/>
      </w:r>
    </w:p>
    <w:p w:rsidR="00E137EB" w:rsidRPr="00E137EB" w:rsidRDefault="00E137EB" w:rsidP="00E137EB">
      <w:pPr>
        <w:pStyle w:val="TOC2"/>
        <w:rPr>
          <w:noProof/>
        </w:rPr>
      </w:pPr>
      <w:r>
        <w:rPr>
          <w:noProof/>
        </w:rPr>
        <w:t>Indicator 8:    Percentage of enrolled patients with prescriptions for conditions and diagnosis – overall better results for the Whānau Ora sample over the year March 2014 to March 2015</w:t>
      </w:r>
      <w:r>
        <w:rPr>
          <w:noProof/>
        </w:rPr>
        <w:tab/>
      </w:r>
      <w:r>
        <w:rPr>
          <w:noProof/>
        </w:rPr>
        <w:fldChar w:fldCharType="begin"/>
      </w:r>
      <w:r>
        <w:rPr>
          <w:noProof/>
        </w:rPr>
        <w:instrText xml:space="preserve"> PAGEREF _Toc421710361 \h </w:instrText>
      </w:r>
      <w:r>
        <w:rPr>
          <w:noProof/>
        </w:rPr>
      </w:r>
      <w:r>
        <w:rPr>
          <w:noProof/>
        </w:rPr>
        <w:fldChar w:fldCharType="separate"/>
      </w:r>
      <w:r w:rsidR="00E2376C">
        <w:rPr>
          <w:noProof/>
        </w:rPr>
        <w:t>11</w:t>
      </w:r>
      <w:r>
        <w:rPr>
          <w:noProof/>
        </w:rPr>
        <w:fldChar w:fldCharType="end"/>
      </w:r>
    </w:p>
    <w:p w:rsidR="00E137EB" w:rsidRPr="00E137EB" w:rsidRDefault="00E137EB" w:rsidP="00E137EB">
      <w:pPr>
        <w:pStyle w:val="TOC2"/>
        <w:rPr>
          <w:noProof/>
        </w:rPr>
      </w:pPr>
      <w:r>
        <w:rPr>
          <w:noProof/>
        </w:rPr>
        <w:t>Indicator 9:     Mental health – increasing prevalence over the year March 2014 to March 2015</w:t>
      </w:r>
      <w:r>
        <w:rPr>
          <w:noProof/>
        </w:rPr>
        <w:tab/>
      </w:r>
      <w:r>
        <w:rPr>
          <w:noProof/>
        </w:rPr>
        <w:fldChar w:fldCharType="begin"/>
      </w:r>
      <w:r>
        <w:rPr>
          <w:noProof/>
        </w:rPr>
        <w:instrText xml:space="preserve"> PAGEREF _Toc421710362 \h </w:instrText>
      </w:r>
      <w:r>
        <w:rPr>
          <w:noProof/>
        </w:rPr>
      </w:r>
      <w:r>
        <w:rPr>
          <w:noProof/>
        </w:rPr>
        <w:fldChar w:fldCharType="separate"/>
      </w:r>
      <w:r w:rsidR="00E2376C">
        <w:rPr>
          <w:noProof/>
        </w:rPr>
        <w:t>12</w:t>
      </w:r>
      <w:r>
        <w:rPr>
          <w:noProof/>
        </w:rPr>
        <w:fldChar w:fldCharType="end"/>
      </w:r>
    </w:p>
    <w:p w:rsidR="00E137EB" w:rsidRPr="00E137EB" w:rsidRDefault="00E137EB" w:rsidP="00E137EB">
      <w:pPr>
        <w:pStyle w:val="TOC2"/>
        <w:rPr>
          <w:noProof/>
        </w:rPr>
      </w:pPr>
      <w:r>
        <w:rPr>
          <w:noProof/>
        </w:rPr>
        <w:t>Indicator 10:   Mean fee charged for enrolled patients – less fees paid by enrolled patients in the Whānau Ora sample</w:t>
      </w:r>
      <w:r>
        <w:rPr>
          <w:noProof/>
        </w:rPr>
        <w:tab/>
      </w:r>
      <w:r>
        <w:rPr>
          <w:noProof/>
        </w:rPr>
        <w:fldChar w:fldCharType="begin"/>
      </w:r>
      <w:r>
        <w:rPr>
          <w:noProof/>
        </w:rPr>
        <w:instrText xml:space="preserve"> PAGEREF _Toc421710363 \h </w:instrText>
      </w:r>
      <w:r>
        <w:rPr>
          <w:noProof/>
        </w:rPr>
      </w:r>
      <w:r>
        <w:rPr>
          <w:noProof/>
        </w:rPr>
        <w:fldChar w:fldCharType="separate"/>
      </w:r>
      <w:r w:rsidR="00E2376C">
        <w:rPr>
          <w:noProof/>
        </w:rPr>
        <w:t>13</w:t>
      </w:r>
      <w:r>
        <w:rPr>
          <w:noProof/>
        </w:rPr>
        <w:fldChar w:fldCharType="end"/>
      </w:r>
    </w:p>
    <w:p w:rsidR="00E137EB" w:rsidRDefault="00E137EB" w:rsidP="00E137EB">
      <w:pPr>
        <w:pStyle w:val="TOC2"/>
        <w:rPr>
          <w:rFonts w:asciiTheme="minorHAnsi" w:eastAsiaTheme="minorEastAsia" w:hAnsiTheme="minorHAnsi" w:cstheme="minorBidi"/>
          <w:noProof/>
          <w:szCs w:val="22"/>
          <w:lang w:eastAsia="en-NZ"/>
        </w:rPr>
      </w:pPr>
      <w:r>
        <w:rPr>
          <w:noProof/>
        </w:rPr>
        <w:t xml:space="preserve">Indicator 11:   </w:t>
      </w:r>
      <w:r w:rsidR="00B92FC1">
        <w:rPr>
          <w:noProof/>
        </w:rPr>
        <w:t xml:space="preserve"> </w:t>
      </w:r>
      <w:r>
        <w:rPr>
          <w:noProof/>
        </w:rPr>
        <w:t xml:space="preserve">Median BMI of enrolled patients – little </w:t>
      </w:r>
      <w:r w:rsidR="00B92FC1">
        <w:rPr>
          <w:noProof/>
        </w:rPr>
        <w:t xml:space="preserve">change over the year March 2014 </w:t>
      </w:r>
      <w:r>
        <w:rPr>
          <w:noProof/>
        </w:rPr>
        <w:t>to March 2015</w:t>
      </w:r>
      <w:r>
        <w:rPr>
          <w:noProof/>
        </w:rPr>
        <w:tab/>
      </w:r>
      <w:r>
        <w:rPr>
          <w:noProof/>
        </w:rPr>
        <w:fldChar w:fldCharType="begin"/>
      </w:r>
      <w:r>
        <w:rPr>
          <w:noProof/>
        </w:rPr>
        <w:instrText xml:space="preserve"> PAGEREF _Toc421710364 \h </w:instrText>
      </w:r>
      <w:r>
        <w:rPr>
          <w:noProof/>
        </w:rPr>
      </w:r>
      <w:r>
        <w:rPr>
          <w:noProof/>
        </w:rPr>
        <w:fldChar w:fldCharType="separate"/>
      </w:r>
      <w:r w:rsidR="00E2376C">
        <w:rPr>
          <w:noProof/>
        </w:rPr>
        <w:t>14</w:t>
      </w:r>
      <w:r>
        <w:rPr>
          <w:noProof/>
        </w:rPr>
        <w:fldChar w:fldCharType="end"/>
      </w:r>
    </w:p>
    <w:p w:rsidR="00E137EB" w:rsidRDefault="00E137EB">
      <w:pPr>
        <w:pStyle w:val="TOC1"/>
        <w:rPr>
          <w:rFonts w:asciiTheme="minorHAnsi" w:eastAsiaTheme="minorEastAsia" w:hAnsiTheme="minorHAnsi" w:cstheme="minorBidi"/>
          <w:b w:val="0"/>
          <w:noProof/>
          <w:szCs w:val="22"/>
          <w:lang w:eastAsia="en-NZ"/>
        </w:rPr>
      </w:pPr>
      <w:r>
        <w:rPr>
          <w:noProof/>
        </w:rPr>
        <w:t>Patient profiles – Whānau Ora and national samples</w:t>
      </w:r>
      <w:r>
        <w:rPr>
          <w:noProof/>
        </w:rPr>
        <w:tab/>
      </w:r>
      <w:r>
        <w:rPr>
          <w:noProof/>
        </w:rPr>
        <w:fldChar w:fldCharType="begin"/>
      </w:r>
      <w:r>
        <w:rPr>
          <w:noProof/>
        </w:rPr>
        <w:instrText xml:space="preserve"> PAGEREF _Toc421710365 \h </w:instrText>
      </w:r>
      <w:r>
        <w:rPr>
          <w:noProof/>
        </w:rPr>
      </w:r>
      <w:r>
        <w:rPr>
          <w:noProof/>
        </w:rPr>
        <w:fldChar w:fldCharType="separate"/>
      </w:r>
      <w:r w:rsidR="00E2376C">
        <w:rPr>
          <w:noProof/>
        </w:rPr>
        <w:t>15</w:t>
      </w:r>
      <w:r>
        <w:rPr>
          <w:noProof/>
        </w:rPr>
        <w:fldChar w:fldCharType="end"/>
      </w:r>
    </w:p>
    <w:p w:rsidR="00C86248" w:rsidRDefault="00C86248">
      <w:r>
        <w:rPr>
          <w:b/>
        </w:rPr>
        <w:fldChar w:fldCharType="end"/>
      </w:r>
    </w:p>
    <w:p w:rsidR="00C86248" w:rsidRDefault="00C86248"/>
    <w:p w:rsidR="00B8774B" w:rsidRDefault="00B8774B">
      <w:pPr>
        <w:spacing w:line="240" w:lineRule="auto"/>
        <w:rPr>
          <w:b/>
        </w:rPr>
      </w:pPr>
      <w:r>
        <w:br w:type="page"/>
      </w:r>
    </w:p>
    <w:p w:rsidR="00C86248" w:rsidRDefault="00C86248" w:rsidP="003B1D10">
      <w:pPr>
        <w:pStyle w:val="TOC1"/>
        <w:keepNext/>
      </w:pPr>
      <w:r>
        <w:lastRenderedPageBreak/>
        <w:t>List of Tables</w:t>
      </w:r>
    </w:p>
    <w:p w:rsidR="00F4776F" w:rsidRDefault="00C86248">
      <w:pPr>
        <w:pStyle w:val="TOC3"/>
        <w:rPr>
          <w:rFonts w:asciiTheme="minorHAnsi" w:eastAsiaTheme="minorEastAsia" w:hAnsiTheme="minorHAnsi" w:cstheme="minorBidi"/>
          <w:noProof/>
          <w:szCs w:val="22"/>
          <w:lang w:eastAsia="en-NZ"/>
        </w:rPr>
      </w:pPr>
      <w:r>
        <w:rPr>
          <w:sz w:val="20"/>
        </w:rPr>
        <w:fldChar w:fldCharType="begin"/>
      </w:r>
      <w:r>
        <w:instrText xml:space="preserve"> TOC \t "Table,3" </w:instrText>
      </w:r>
      <w:r>
        <w:rPr>
          <w:sz w:val="20"/>
        </w:rPr>
        <w:fldChar w:fldCharType="separate"/>
      </w:r>
      <w:r w:rsidR="00F4776F">
        <w:rPr>
          <w:noProof/>
        </w:rPr>
        <w:t>Table 1: Performance against the ‘CVD risk recorded’ indicator</w:t>
      </w:r>
      <w:r w:rsidR="00F4776F">
        <w:rPr>
          <w:noProof/>
        </w:rPr>
        <w:tab/>
      </w:r>
      <w:r w:rsidR="00F4776F">
        <w:rPr>
          <w:noProof/>
        </w:rPr>
        <w:fldChar w:fldCharType="begin"/>
      </w:r>
      <w:r w:rsidR="00F4776F">
        <w:rPr>
          <w:noProof/>
        </w:rPr>
        <w:instrText xml:space="preserve"> PAGEREF _Toc421535716 \h </w:instrText>
      </w:r>
      <w:r w:rsidR="00F4776F">
        <w:rPr>
          <w:noProof/>
        </w:rPr>
      </w:r>
      <w:r w:rsidR="00F4776F">
        <w:rPr>
          <w:noProof/>
        </w:rPr>
        <w:fldChar w:fldCharType="separate"/>
      </w:r>
      <w:r w:rsidR="00E2376C">
        <w:rPr>
          <w:noProof/>
        </w:rPr>
        <w:t>4</w:t>
      </w:r>
      <w:r w:rsidR="00F4776F">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2: Performance against the ‘Diabetes patient review’ indicator</w:t>
      </w:r>
      <w:r>
        <w:rPr>
          <w:noProof/>
        </w:rPr>
        <w:tab/>
      </w:r>
      <w:r>
        <w:rPr>
          <w:noProof/>
        </w:rPr>
        <w:fldChar w:fldCharType="begin"/>
      </w:r>
      <w:r>
        <w:rPr>
          <w:noProof/>
        </w:rPr>
        <w:instrText xml:space="preserve"> PAGEREF _Toc421535717 \h </w:instrText>
      </w:r>
      <w:r>
        <w:rPr>
          <w:noProof/>
        </w:rPr>
      </w:r>
      <w:r>
        <w:rPr>
          <w:noProof/>
        </w:rPr>
        <w:fldChar w:fldCharType="separate"/>
      </w:r>
      <w:r w:rsidR="00E2376C">
        <w:rPr>
          <w:noProof/>
        </w:rPr>
        <w:t>5</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3: Performance against the ‘Diabetes management’ indicator</w:t>
      </w:r>
      <w:r>
        <w:rPr>
          <w:noProof/>
        </w:rPr>
        <w:tab/>
      </w:r>
      <w:r>
        <w:rPr>
          <w:noProof/>
        </w:rPr>
        <w:fldChar w:fldCharType="begin"/>
      </w:r>
      <w:r>
        <w:rPr>
          <w:noProof/>
        </w:rPr>
        <w:instrText xml:space="preserve"> PAGEREF _Toc421535718 \h </w:instrText>
      </w:r>
      <w:r>
        <w:rPr>
          <w:noProof/>
        </w:rPr>
      </w:r>
      <w:r>
        <w:rPr>
          <w:noProof/>
        </w:rPr>
        <w:fldChar w:fldCharType="separate"/>
      </w:r>
      <w:r w:rsidR="00E2376C">
        <w:rPr>
          <w:noProof/>
        </w:rPr>
        <w:t>6</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4: Performance against the ‘Smoking cessation advice’ indicator</w:t>
      </w:r>
      <w:r>
        <w:rPr>
          <w:noProof/>
        </w:rPr>
        <w:tab/>
      </w:r>
      <w:r>
        <w:rPr>
          <w:noProof/>
        </w:rPr>
        <w:fldChar w:fldCharType="begin"/>
      </w:r>
      <w:r>
        <w:rPr>
          <w:noProof/>
        </w:rPr>
        <w:instrText xml:space="preserve"> PAGEREF _Toc421535719 \h </w:instrText>
      </w:r>
      <w:r>
        <w:rPr>
          <w:noProof/>
        </w:rPr>
      </w:r>
      <w:r>
        <w:rPr>
          <w:noProof/>
        </w:rPr>
        <w:fldChar w:fldCharType="separate"/>
      </w:r>
      <w:r w:rsidR="00E2376C">
        <w:rPr>
          <w:noProof/>
        </w:rPr>
        <w:t>7</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5: Performance against the ‘Cervical smear recorded’ indicator</w:t>
      </w:r>
      <w:r>
        <w:rPr>
          <w:noProof/>
        </w:rPr>
        <w:tab/>
      </w:r>
      <w:r>
        <w:rPr>
          <w:noProof/>
        </w:rPr>
        <w:fldChar w:fldCharType="begin"/>
      </w:r>
      <w:r>
        <w:rPr>
          <w:noProof/>
        </w:rPr>
        <w:instrText xml:space="preserve"> PAGEREF _Toc421535720 \h </w:instrText>
      </w:r>
      <w:r>
        <w:rPr>
          <w:noProof/>
        </w:rPr>
      </w:r>
      <w:r>
        <w:rPr>
          <w:noProof/>
        </w:rPr>
        <w:fldChar w:fldCharType="separate"/>
      </w:r>
      <w:r w:rsidR="00E2376C">
        <w:rPr>
          <w:noProof/>
        </w:rPr>
        <w:t>8</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6: Performance against the ‘Mammography for high needs’ indicator</w:t>
      </w:r>
      <w:r>
        <w:rPr>
          <w:noProof/>
        </w:rPr>
        <w:tab/>
      </w:r>
      <w:r>
        <w:rPr>
          <w:noProof/>
        </w:rPr>
        <w:fldChar w:fldCharType="begin"/>
      </w:r>
      <w:r>
        <w:rPr>
          <w:noProof/>
        </w:rPr>
        <w:instrText xml:space="preserve"> PAGEREF _Toc421535721 \h </w:instrText>
      </w:r>
      <w:r>
        <w:rPr>
          <w:noProof/>
        </w:rPr>
      </w:r>
      <w:r>
        <w:rPr>
          <w:noProof/>
        </w:rPr>
        <w:fldChar w:fldCharType="separate"/>
      </w:r>
      <w:r w:rsidR="00E2376C">
        <w:rPr>
          <w:noProof/>
        </w:rPr>
        <w:t>9</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7: Performance against the ‘Flu vaccination 65+’ indicator</w:t>
      </w:r>
      <w:r>
        <w:rPr>
          <w:noProof/>
        </w:rPr>
        <w:tab/>
      </w:r>
      <w:r>
        <w:rPr>
          <w:noProof/>
        </w:rPr>
        <w:fldChar w:fldCharType="begin"/>
      </w:r>
      <w:r>
        <w:rPr>
          <w:noProof/>
        </w:rPr>
        <w:instrText xml:space="preserve"> PAGEREF _Toc421535722 \h </w:instrText>
      </w:r>
      <w:r>
        <w:rPr>
          <w:noProof/>
        </w:rPr>
      </w:r>
      <w:r>
        <w:rPr>
          <w:noProof/>
        </w:rPr>
        <w:fldChar w:fldCharType="separate"/>
      </w:r>
      <w:r w:rsidR="00E2376C">
        <w:rPr>
          <w:noProof/>
        </w:rPr>
        <w:t>10</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8: Performance against the ‘Coding’ indicators</w:t>
      </w:r>
      <w:r>
        <w:rPr>
          <w:noProof/>
        </w:rPr>
        <w:tab/>
      </w:r>
      <w:r>
        <w:rPr>
          <w:noProof/>
        </w:rPr>
        <w:fldChar w:fldCharType="begin"/>
      </w:r>
      <w:r>
        <w:rPr>
          <w:noProof/>
        </w:rPr>
        <w:instrText xml:space="preserve"> PAGEREF _Toc421535723 \h </w:instrText>
      </w:r>
      <w:r>
        <w:rPr>
          <w:noProof/>
        </w:rPr>
      </w:r>
      <w:r>
        <w:rPr>
          <w:noProof/>
        </w:rPr>
        <w:fldChar w:fldCharType="separate"/>
      </w:r>
      <w:r w:rsidR="00E2376C">
        <w:rPr>
          <w:noProof/>
        </w:rPr>
        <w:t>11</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9: Performance against the ‘Mental health’ indicator</w:t>
      </w:r>
      <w:r>
        <w:rPr>
          <w:noProof/>
        </w:rPr>
        <w:tab/>
      </w:r>
      <w:r>
        <w:rPr>
          <w:noProof/>
        </w:rPr>
        <w:fldChar w:fldCharType="begin"/>
      </w:r>
      <w:r>
        <w:rPr>
          <w:noProof/>
        </w:rPr>
        <w:instrText xml:space="preserve"> PAGEREF _Toc421535724 \h </w:instrText>
      </w:r>
      <w:r>
        <w:rPr>
          <w:noProof/>
        </w:rPr>
      </w:r>
      <w:r>
        <w:rPr>
          <w:noProof/>
        </w:rPr>
        <w:fldChar w:fldCharType="separate"/>
      </w:r>
      <w:r w:rsidR="00E2376C">
        <w:rPr>
          <w:noProof/>
        </w:rPr>
        <w:t>12</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10: Performance against the ‘Mean fee charged for enrolled patients’ indicator</w:t>
      </w:r>
      <w:r>
        <w:rPr>
          <w:noProof/>
        </w:rPr>
        <w:tab/>
      </w:r>
      <w:r>
        <w:rPr>
          <w:noProof/>
        </w:rPr>
        <w:fldChar w:fldCharType="begin"/>
      </w:r>
      <w:r>
        <w:rPr>
          <w:noProof/>
        </w:rPr>
        <w:instrText xml:space="preserve"> PAGEREF _Toc421535725 \h </w:instrText>
      </w:r>
      <w:r>
        <w:rPr>
          <w:noProof/>
        </w:rPr>
      </w:r>
      <w:r>
        <w:rPr>
          <w:noProof/>
        </w:rPr>
        <w:fldChar w:fldCharType="separate"/>
      </w:r>
      <w:r w:rsidR="00E2376C">
        <w:rPr>
          <w:noProof/>
        </w:rPr>
        <w:t>13</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11: Performance against the ‘Median BMI of enrolled patients’ indicator</w:t>
      </w:r>
      <w:r>
        <w:rPr>
          <w:noProof/>
        </w:rPr>
        <w:tab/>
      </w:r>
      <w:r>
        <w:rPr>
          <w:noProof/>
        </w:rPr>
        <w:fldChar w:fldCharType="begin"/>
      </w:r>
      <w:r>
        <w:rPr>
          <w:noProof/>
        </w:rPr>
        <w:instrText xml:space="preserve"> PAGEREF _Toc421535726 \h </w:instrText>
      </w:r>
      <w:r>
        <w:rPr>
          <w:noProof/>
        </w:rPr>
      </w:r>
      <w:r>
        <w:rPr>
          <w:noProof/>
        </w:rPr>
        <w:fldChar w:fldCharType="separate"/>
      </w:r>
      <w:r w:rsidR="00E2376C">
        <w:rPr>
          <w:noProof/>
        </w:rPr>
        <w:t>14</w:t>
      </w:r>
      <w:r>
        <w:rPr>
          <w:noProof/>
        </w:rPr>
        <w:fldChar w:fldCharType="end"/>
      </w:r>
    </w:p>
    <w:p w:rsidR="00F4776F" w:rsidRDefault="00F4776F">
      <w:pPr>
        <w:pStyle w:val="TOC3"/>
        <w:rPr>
          <w:rFonts w:asciiTheme="minorHAnsi" w:eastAsiaTheme="minorEastAsia" w:hAnsiTheme="minorHAnsi" w:cstheme="minorBidi"/>
          <w:noProof/>
          <w:szCs w:val="22"/>
          <w:lang w:eastAsia="en-NZ"/>
        </w:rPr>
      </w:pPr>
      <w:r>
        <w:rPr>
          <w:noProof/>
        </w:rPr>
        <w:t>Table 12: Whānau Ora and national samples’ patient profiles</w:t>
      </w:r>
      <w:r>
        <w:rPr>
          <w:noProof/>
        </w:rPr>
        <w:tab/>
      </w:r>
      <w:r>
        <w:rPr>
          <w:noProof/>
        </w:rPr>
        <w:fldChar w:fldCharType="begin"/>
      </w:r>
      <w:r>
        <w:rPr>
          <w:noProof/>
        </w:rPr>
        <w:instrText xml:space="preserve"> PAGEREF _Toc421535727 \h </w:instrText>
      </w:r>
      <w:r>
        <w:rPr>
          <w:noProof/>
        </w:rPr>
      </w:r>
      <w:r>
        <w:rPr>
          <w:noProof/>
        </w:rPr>
        <w:fldChar w:fldCharType="separate"/>
      </w:r>
      <w:r w:rsidR="00E2376C">
        <w:rPr>
          <w:noProof/>
        </w:rPr>
        <w:t>15</w:t>
      </w:r>
      <w:r>
        <w:rPr>
          <w:noProof/>
        </w:rPr>
        <w:fldChar w:fldCharType="end"/>
      </w:r>
    </w:p>
    <w:p w:rsidR="00C86248" w:rsidRDefault="00C86248" w:rsidP="0030382F">
      <w:r>
        <w:fldChar w:fldCharType="end"/>
      </w:r>
    </w:p>
    <w:p w:rsidR="003A5FEA" w:rsidRDefault="003A5FEA" w:rsidP="003A5FEA">
      <w:pPr>
        <w:pStyle w:val="TOC1"/>
      </w:pPr>
      <w:r>
        <w:t>List of Figures</w:t>
      </w:r>
    </w:p>
    <w:p w:rsidR="00806301"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806301">
        <w:rPr>
          <w:noProof/>
        </w:rPr>
        <w:t>Figure 1:</w:t>
      </w:r>
      <w:r w:rsidR="00806301">
        <w:rPr>
          <w:noProof/>
        </w:rPr>
        <w:tab/>
        <w:t>Performance against the ‘CVD risk recorded’ indicator</w:t>
      </w:r>
      <w:r w:rsidR="00806301">
        <w:rPr>
          <w:noProof/>
        </w:rPr>
        <w:tab/>
      </w:r>
      <w:r w:rsidR="00806301">
        <w:rPr>
          <w:noProof/>
        </w:rPr>
        <w:fldChar w:fldCharType="begin"/>
      </w:r>
      <w:r w:rsidR="00806301">
        <w:rPr>
          <w:noProof/>
        </w:rPr>
        <w:instrText xml:space="preserve"> PAGEREF _Toc417980818 \h </w:instrText>
      </w:r>
      <w:r w:rsidR="00806301">
        <w:rPr>
          <w:noProof/>
        </w:rPr>
      </w:r>
      <w:r w:rsidR="00806301">
        <w:rPr>
          <w:noProof/>
        </w:rPr>
        <w:fldChar w:fldCharType="separate"/>
      </w:r>
      <w:r w:rsidR="00E2376C">
        <w:rPr>
          <w:noProof/>
        </w:rPr>
        <w:t>4</w:t>
      </w:r>
      <w:r w:rsidR="00806301">
        <w:rPr>
          <w:noProof/>
        </w:rPr>
        <w:fldChar w:fldCharType="end"/>
      </w:r>
    </w:p>
    <w:p w:rsidR="00806301" w:rsidRDefault="00806301">
      <w:pPr>
        <w:pStyle w:val="TOC3"/>
        <w:rPr>
          <w:rFonts w:asciiTheme="minorHAnsi" w:eastAsiaTheme="minorEastAsia" w:hAnsiTheme="minorHAnsi" w:cstheme="minorBidi"/>
          <w:noProof/>
          <w:szCs w:val="22"/>
          <w:lang w:eastAsia="en-NZ"/>
        </w:rPr>
      </w:pPr>
      <w:r>
        <w:rPr>
          <w:noProof/>
        </w:rPr>
        <w:t>Figure 2:</w:t>
      </w:r>
      <w:r>
        <w:rPr>
          <w:noProof/>
        </w:rPr>
        <w:tab/>
        <w:t>Performance against the ‘Diabetes patient review’ indicator</w:t>
      </w:r>
      <w:r>
        <w:rPr>
          <w:noProof/>
        </w:rPr>
        <w:tab/>
      </w:r>
      <w:r>
        <w:rPr>
          <w:noProof/>
        </w:rPr>
        <w:fldChar w:fldCharType="begin"/>
      </w:r>
      <w:r>
        <w:rPr>
          <w:noProof/>
        </w:rPr>
        <w:instrText xml:space="preserve"> PAGEREF _Toc417980819 \h </w:instrText>
      </w:r>
      <w:r>
        <w:rPr>
          <w:noProof/>
        </w:rPr>
      </w:r>
      <w:r>
        <w:rPr>
          <w:noProof/>
        </w:rPr>
        <w:fldChar w:fldCharType="separate"/>
      </w:r>
      <w:r w:rsidR="00E2376C">
        <w:rPr>
          <w:noProof/>
        </w:rPr>
        <w:t>5</w:t>
      </w:r>
      <w:r>
        <w:rPr>
          <w:noProof/>
        </w:rPr>
        <w:fldChar w:fldCharType="end"/>
      </w:r>
    </w:p>
    <w:p w:rsidR="00806301" w:rsidRDefault="00806301">
      <w:pPr>
        <w:pStyle w:val="TOC3"/>
        <w:rPr>
          <w:rFonts w:asciiTheme="minorHAnsi" w:eastAsiaTheme="minorEastAsia" w:hAnsiTheme="minorHAnsi" w:cstheme="minorBidi"/>
          <w:noProof/>
          <w:szCs w:val="22"/>
          <w:lang w:eastAsia="en-NZ"/>
        </w:rPr>
      </w:pPr>
      <w:r>
        <w:rPr>
          <w:noProof/>
        </w:rPr>
        <w:t>Figure 3:</w:t>
      </w:r>
      <w:r>
        <w:rPr>
          <w:noProof/>
        </w:rPr>
        <w:tab/>
        <w:t>Performance against the ‘Diabetes management’ indicator</w:t>
      </w:r>
      <w:r>
        <w:rPr>
          <w:noProof/>
        </w:rPr>
        <w:tab/>
      </w:r>
      <w:r>
        <w:rPr>
          <w:noProof/>
        </w:rPr>
        <w:fldChar w:fldCharType="begin"/>
      </w:r>
      <w:r>
        <w:rPr>
          <w:noProof/>
        </w:rPr>
        <w:instrText xml:space="preserve"> PAGEREF _Toc417980820 \h </w:instrText>
      </w:r>
      <w:r>
        <w:rPr>
          <w:noProof/>
        </w:rPr>
      </w:r>
      <w:r>
        <w:rPr>
          <w:noProof/>
        </w:rPr>
        <w:fldChar w:fldCharType="separate"/>
      </w:r>
      <w:r w:rsidR="00E2376C">
        <w:rPr>
          <w:noProof/>
        </w:rPr>
        <w:t>6</w:t>
      </w:r>
      <w:r>
        <w:rPr>
          <w:noProof/>
        </w:rPr>
        <w:fldChar w:fldCharType="end"/>
      </w:r>
    </w:p>
    <w:p w:rsidR="00806301" w:rsidRDefault="00806301">
      <w:pPr>
        <w:pStyle w:val="TOC3"/>
        <w:rPr>
          <w:rFonts w:asciiTheme="minorHAnsi" w:eastAsiaTheme="minorEastAsia" w:hAnsiTheme="minorHAnsi" w:cstheme="minorBidi"/>
          <w:noProof/>
          <w:szCs w:val="22"/>
          <w:lang w:eastAsia="en-NZ"/>
        </w:rPr>
      </w:pPr>
      <w:r>
        <w:rPr>
          <w:noProof/>
        </w:rPr>
        <w:t>Figure 4:</w:t>
      </w:r>
      <w:r>
        <w:rPr>
          <w:noProof/>
        </w:rPr>
        <w:tab/>
        <w:t>Performance against the ‘Smoking cessation advice’ indicator</w:t>
      </w:r>
      <w:r>
        <w:rPr>
          <w:noProof/>
        </w:rPr>
        <w:tab/>
      </w:r>
      <w:r>
        <w:rPr>
          <w:noProof/>
        </w:rPr>
        <w:fldChar w:fldCharType="begin"/>
      </w:r>
      <w:r>
        <w:rPr>
          <w:noProof/>
        </w:rPr>
        <w:instrText xml:space="preserve"> PAGEREF _Toc417980821 \h </w:instrText>
      </w:r>
      <w:r>
        <w:rPr>
          <w:noProof/>
        </w:rPr>
      </w:r>
      <w:r>
        <w:rPr>
          <w:noProof/>
        </w:rPr>
        <w:fldChar w:fldCharType="separate"/>
      </w:r>
      <w:r w:rsidR="00E2376C">
        <w:rPr>
          <w:noProof/>
        </w:rPr>
        <w:t>7</w:t>
      </w:r>
      <w:r>
        <w:rPr>
          <w:noProof/>
        </w:rPr>
        <w:fldChar w:fldCharType="end"/>
      </w:r>
    </w:p>
    <w:p w:rsidR="00806301" w:rsidRDefault="00806301">
      <w:pPr>
        <w:pStyle w:val="TOC3"/>
        <w:rPr>
          <w:rFonts w:asciiTheme="minorHAnsi" w:eastAsiaTheme="minorEastAsia" w:hAnsiTheme="minorHAnsi" w:cstheme="minorBidi"/>
          <w:noProof/>
          <w:szCs w:val="22"/>
          <w:lang w:eastAsia="en-NZ"/>
        </w:rPr>
      </w:pPr>
      <w:r>
        <w:rPr>
          <w:noProof/>
        </w:rPr>
        <w:t>Figure 5:</w:t>
      </w:r>
      <w:r>
        <w:rPr>
          <w:noProof/>
        </w:rPr>
        <w:tab/>
        <w:t>Performance against the ‘Cervical smear recorded’ indicator</w:t>
      </w:r>
      <w:r>
        <w:rPr>
          <w:noProof/>
        </w:rPr>
        <w:tab/>
      </w:r>
      <w:r>
        <w:rPr>
          <w:noProof/>
        </w:rPr>
        <w:fldChar w:fldCharType="begin"/>
      </w:r>
      <w:r>
        <w:rPr>
          <w:noProof/>
        </w:rPr>
        <w:instrText xml:space="preserve"> PAGEREF _Toc417980822 \h </w:instrText>
      </w:r>
      <w:r>
        <w:rPr>
          <w:noProof/>
        </w:rPr>
      </w:r>
      <w:r>
        <w:rPr>
          <w:noProof/>
        </w:rPr>
        <w:fldChar w:fldCharType="separate"/>
      </w:r>
      <w:r w:rsidR="00E2376C">
        <w:rPr>
          <w:noProof/>
        </w:rPr>
        <w:t>8</w:t>
      </w:r>
      <w:r>
        <w:rPr>
          <w:noProof/>
        </w:rPr>
        <w:fldChar w:fldCharType="end"/>
      </w:r>
    </w:p>
    <w:p w:rsidR="00806301" w:rsidRDefault="00806301">
      <w:pPr>
        <w:pStyle w:val="TOC3"/>
        <w:rPr>
          <w:rFonts w:asciiTheme="minorHAnsi" w:eastAsiaTheme="minorEastAsia" w:hAnsiTheme="minorHAnsi" w:cstheme="minorBidi"/>
          <w:noProof/>
          <w:szCs w:val="22"/>
          <w:lang w:eastAsia="en-NZ"/>
        </w:rPr>
      </w:pPr>
      <w:r>
        <w:rPr>
          <w:noProof/>
        </w:rPr>
        <w:t>Figure 6:</w:t>
      </w:r>
      <w:r>
        <w:rPr>
          <w:noProof/>
        </w:rPr>
        <w:tab/>
        <w:t>Performance against the ‘Mammography for high needs’ indicator</w:t>
      </w:r>
      <w:r>
        <w:rPr>
          <w:noProof/>
        </w:rPr>
        <w:tab/>
      </w:r>
      <w:r>
        <w:rPr>
          <w:noProof/>
        </w:rPr>
        <w:fldChar w:fldCharType="begin"/>
      </w:r>
      <w:r>
        <w:rPr>
          <w:noProof/>
        </w:rPr>
        <w:instrText xml:space="preserve"> PAGEREF _Toc417980823 \h </w:instrText>
      </w:r>
      <w:r>
        <w:rPr>
          <w:noProof/>
        </w:rPr>
      </w:r>
      <w:r>
        <w:rPr>
          <w:noProof/>
        </w:rPr>
        <w:fldChar w:fldCharType="separate"/>
      </w:r>
      <w:r w:rsidR="00E2376C">
        <w:rPr>
          <w:noProof/>
        </w:rPr>
        <w:t>9</w:t>
      </w:r>
      <w:r>
        <w:rPr>
          <w:noProof/>
        </w:rPr>
        <w:fldChar w:fldCharType="end"/>
      </w:r>
    </w:p>
    <w:p w:rsidR="00806301" w:rsidRDefault="00806301">
      <w:pPr>
        <w:pStyle w:val="TOC3"/>
        <w:rPr>
          <w:rFonts w:asciiTheme="minorHAnsi" w:eastAsiaTheme="minorEastAsia" w:hAnsiTheme="minorHAnsi" w:cstheme="minorBidi"/>
          <w:noProof/>
          <w:szCs w:val="22"/>
          <w:lang w:eastAsia="en-NZ"/>
        </w:rPr>
      </w:pPr>
      <w:r>
        <w:rPr>
          <w:noProof/>
        </w:rPr>
        <w:t>Figure 7:</w:t>
      </w:r>
      <w:r>
        <w:rPr>
          <w:noProof/>
        </w:rPr>
        <w:tab/>
        <w:t>Performance against the ‘Mental Health’ indicator</w:t>
      </w:r>
      <w:r>
        <w:rPr>
          <w:noProof/>
        </w:rPr>
        <w:tab/>
      </w:r>
      <w:r>
        <w:rPr>
          <w:noProof/>
        </w:rPr>
        <w:fldChar w:fldCharType="begin"/>
      </w:r>
      <w:r>
        <w:rPr>
          <w:noProof/>
        </w:rPr>
        <w:instrText xml:space="preserve"> PAGEREF _Toc417980824 \h </w:instrText>
      </w:r>
      <w:r>
        <w:rPr>
          <w:noProof/>
        </w:rPr>
      </w:r>
      <w:r>
        <w:rPr>
          <w:noProof/>
        </w:rPr>
        <w:fldChar w:fldCharType="separate"/>
      </w:r>
      <w:r w:rsidR="00E2376C">
        <w:rPr>
          <w:noProof/>
        </w:rPr>
        <w:t>12</w:t>
      </w:r>
      <w:r>
        <w:rPr>
          <w:noProof/>
        </w:rPr>
        <w:fldChar w:fldCharType="end"/>
      </w:r>
    </w:p>
    <w:p w:rsidR="003A5FEA" w:rsidRDefault="003A5FEA" w:rsidP="003A5FEA">
      <w:r>
        <w:fldChar w:fldCharType="end"/>
      </w:r>
    </w:p>
    <w:p w:rsidR="00C86248" w:rsidRDefault="00C86248"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457B04" w:rsidP="0086388B">
      <w:pPr>
        <w:pStyle w:val="Heading1"/>
      </w:pPr>
      <w:bookmarkStart w:id="2" w:name="_Toc421710349"/>
      <w:r>
        <w:lastRenderedPageBreak/>
        <w:t>Background</w:t>
      </w:r>
      <w:bookmarkEnd w:id="2"/>
    </w:p>
    <w:p w:rsidR="00457B04" w:rsidRPr="008B09E3" w:rsidRDefault="00457B04" w:rsidP="00457B04">
      <w:bookmarkStart w:id="3" w:name="_Toc350162553"/>
      <w:bookmarkStart w:id="4" w:name="_Toc353959527"/>
      <w:r w:rsidRPr="008B09E3">
        <w:t>Whānau Ora is an inclusive interagency approach to providing health and social services to build the capacity of all New Zealand families in need.</w:t>
      </w:r>
      <w:r>
        <w:t xml:space="preserve"> </w:t>
      </w:r>
      <w:r w:rsidRPr="008B09E3">
        <w:t>It empowers whānau as a whole rather than focusing separately on individual family members and the challenges they face in isolation.</w:t>
      </w:r>
    </w:p>
    <w:p w:rsidR="00457B04" w:rsidRPr="008B09E3" w:rsidRDefault="00457B04" w:rsidP="00457B04"/>
    <w:p w:rsidR="00457B04" w:rsidRDefault="00457B04" w:rsidP="00457B04">
      <w:r w:rsidRPr="008B09E3">
        <w:t>This report focuses on the performance of general practices in Whānau Ora collectives – using results from the software package HealthStat, which collects an anonymous summary of patient health information from general practices in Whānau Ora collectives.</w:t>
      </w:r>
      <w:r>
        <w:t xml:space="preserve"> </w:t>
      </w:r>
      <w:r w:rsidRPr="008B09E3">
        <w:t xml:space="preserve">Although not all </w:t>
      </w:r>
      <w:r>
        <w:t xml:space="preserve">Whānau Ora </w:t>
      </w:r>
      <w:r w:rsidRPr="008B09E3">
        <w:t>collectives include general practice providers, the data collected for this report can help highlight any changes in performance over time for health providers in the collectives.</w:t>
      </w:r>
    </w:p>
    <w:p w:rsidR="00457B04" w:rsidRDefault="00457B04" w:rsidP="00457B04"/>
    <w:p w:rsidR="00457B04" w:rsidRDefault="00457B04" w:rsidP="00457B04">
      <w:r w:rsidRPr="002420E9">
        <w:t xml:space="preserve">This report includes results for 11 </w:t>
      </w:r>
      <w:r w:rsidRPr="008B09E3">
        <w:t>HealthStat indicators</w:t>
      </w:r>
      <w:r w:rsidRPr="00F65F07">
        <w:t xml:space="preserve"> selected by representatives from the Ministry of Health</w:t>
      </w:r>
      <w:r>
        <w:t xml:space="preserve"> (the Ministry)</w:t>
      </w:r>
      <w:r w:rsidRPr="00F65F07">
        <w:t xml:space="preserve">, Te </w:t>
      </w:r>
      <w:proofErr w:type="spellStart"/>
      <w:r w:rsidRPr="00F65F07">
        <w:t>Puni</w:t>
      </w:r>
      <w:proofErr w:type="spellEnd"/>
      <w:r w:rsidRPr="00F65F07">
        <w:t xml:space="preserve"> </w:t>
      </w:r>
      <w:proofErr w:type="spellStart"/>
      <w:r w:rsidRPr="00F65F07">
        <w:t>Kōkiri</w:t>
      </w:r>
      <w:proofErr w:type="spellEnd"/>
      <w:r w:rsidRPr="00F65F07">
        <w:t xml:space="preserve"> and </w:t>
      </w:r>
      <w:proofErr w:type="spellStart"/>
      <w:r w:rsidRPr="00F65F07">
        <w:t>Tumu</w:t>
      </w:r>
      <w:proofErr w:type="spellEnd"/>
      <w:r w:rsidRPr="00F65F07">
        <w:t xml:space="preserve"> </w:t>
      </w:r>
      <w:proofErr w:type="spellStart"/>
      <w:r w:rsidRPr="00F65F07">
        <w:t>Whakarae</w:t>
      </w:r>
      <w:proofErr w:type="spellEnd"/>
      <w:r w:rsidRPr="00F65F07">
        <w:t xml:space="preserve"> (National Reference Group of Māori Health Strategy Managers within DHBs</w:t>
      </w:r>
      <w:r w:rsidR="007A1E11">
        <w:t>)</w:t>
      </w:r>
      <w:r w:rsidR="00165D06">
        <w:t>.</w:t>
      </w:r>
    </w:p>
    <w:p w:rsidR="00457B04" w:rsidRDefault="00457B04" w:rsidP="00457B04"/>
    <w:p w:rsidR="00457B04" w:rsidRDefault="00457B04" w:rsidP="00457B04">
      <w:r w:rsidRPr="00F65F07">
        <w:t>The indicators were chosen as a framework for analysis because they link to major causes of morbidity and mortality for Māori and support the Whānau Ora Outcomes Framework developed by Te Puni Kōkiri.</w:t>
      </w:r>
    </w:p>
    <w:p w:rsidR="00457B04" w:rsidRDefault="00457B04" w:rsidP="00457B04"/>
    <w:p w:rsidR="00457B04" w:rsidRDefault="00457B04" w:rsidP="00457B04">
      <w:r w:rsidRPr="00F65F07">
        <w:t>The Ministry reports on the Whānau Ora sample every three months.</w:t>
      </w:r>
    </w:p>
    <w:p w:rsidR="00457B04" w:rsidRDefault="00457B04" w:rsidP="00457B04"/>
    <w:p w:rsidR="00457B04" w:rsidRPr="00F65F07" w:rsidRDefault="00457B04" w:rsidP="00457B04">
      <w:pPr>
        <w:pStyle w:val="Heading2"/>
      </w:pPr>
      <w:bookmarkStart w:id="5" w:name="_Toc362600460"/>
      <w:bookmarkStart w:id="6" w:name="_Toc411433967"/>
      <w:bookmarkStart w:id="7" w:name="_Toc421710350"/>
      <w:bookmarkEnd w:id="3"/>
      <w:bookmarkEnd w:id="4"/>
      <w:r w:rsidRPr="00F65F07">
        <w:t>Sample methodology</w:t>
      </w:r>
      <w:bookmarkEnd w:id="5"/>
      <w:bookmarkEnd w:id="6"/>
      <w:bookmarkEnd w:id="7"/>
    </w:p>
    <w:p w:rsidR="00457B04" w:rsidRDefault="00457B04" w:rsidP="00457B04">
      <w:r>
        <w:t>The report compares two samples: a Whānau Ora sample</w:t>
      </w:r>
      <w:r w:rsidRPr="00A71C13">
        <w:t xml:space="preserve"> </w:t>
      </w:r>
      <w:r>
        <w:t>and a national sample, with the national sample acting as a benchmark.</w:t>
      </w:r>
    </w:p>
    <w:p w:rsidR="00457B04" w:rsidRDefault="00457B04" w:rsidP="00F563E2"/>
    <w:p w:rsidR="00457B04" w:rsidRPr="00F65F07" w:rsidRDefault="00457B04" w:rsidP="00F563E2">
      <w:r w:rsidRPr="00F65F07">
        <w:t xml:space="preserve">The Ministry formed the Whānau Ora sample, comprising a selection of Māori and Pacific </w:t>
      </w:r>
      <w:r>
        <w:t xml:space="preserve">providers with </w:t>
      </w:r>
      <w:r w:rsidRPr="00F65F07">
        <w:t>practices belonging to Whānau Ora collectives, by drawing on existing agreements with Māori provider practices and then recruiting seven Pacific provider practices also</w:t>
      </w:r>
      <w:r w:rsidR="007A1E11">
        <w:t>,</w:t>
      </w:r>
      <w:r w:rsidRPr="00F65F07">
        <w:t xml:space="preserve"> </w:t>
      </w:r>
      <w:r>
        <w:t xml:space="preserve">as </w:t>
      </w:r>
      <w:r w:rsidRPr="00F65F07">
        <w:t>part of Whānau Ora collectives.</w:t>
      </w:r>
    </w:p>
    <w:p w:rsidR="00457B04" w:rsidRPr="00F65F07" w:rsidRDefault="00457B04" w:rsidP="00F563E2"/>
    <w:p w:rsidR="00457B04" w:rsidRPr="00F65F07" w:rsidRDefault="00457B04" w:rsidP="00F563E2">
      <w:r w:rsidRPr="00F65F07">
        <w:t>The national sample was selected from a list of all practices providing general primary care services that use Med-Tech (patient management software).</w:t>
      </w:r>
      <w:r>
        <w:t xml:space="preserve"> </w:t>
      </w:r>
      <w:r w:rsidRPr="00F65F07">
        <w:t>The sampling methodology was designed to deliver a geographically representative sample of 100 practices</w:t>
      </w:r>
      <w:r w:rsidRPr="002420E9">
        <w:t>. The overall response rate was 84 percent. The</w:t>
      </w:r>
      <w:r w:rsidRPr="00F65F07">
        <w:t xml:space="preserve"> response rate from low-</w:t>
      </w:r>
      <w:proofErr w:type="spellStart"/>
      <w:r w:rsidRPr="00F65F07">
        <w:t>decile</w:t>
      </w:r>
      <w:proofErr w:type="spellEnd"/>
      <w:r w:rsidRPr="00F65F07">
        <w:t xml:space="preserve"> high Māori and Pacific population practices that appeared in the random sample was 100 percent; therefore, the national sample is slightly biased in favour of these populations.</w:t>
      </w:r>
      <w:r>
        <w:t xml:space="preserve"> Also, because the national sample is randomly selected, practices may belong to both samples.</w:t>
      </w:r>
    </w:p>
    <w:p w:rsidR="00457B04" w:rsidRPr="00F65F07" w:rsidRDefault="00457B04" w:rsidP="00F563E2"/>
    <w:p w:rsidR="00457B04" w:rsidRDefault="00457B04" w:rsidP="00F563E2">
      <w:r w:rsidRPr="00F65F07">
        <w:t>The number of practices in each sample is subject to change because of practice closures and mergers.</w:t>
      </w:r>
      <w:r>
        <w:t xml:space="preserve"> </w:t>
      </w:r>
      <w:r w:rsidRPr="00F65F07">
        <w:t>The number of practices in the national sample is maintained near 100, while the focus of the Whānau Ora sample is to reflect the populations served in the Whānau Ora initiative.</w:t>
      </w:r>
    </w:p>
    <w:p w:rsidR="00457B04" w:rsidRPr="00F65F07" w:rsidRDefault="00457B04" w:rsidP="00F563E2"/>
    <w:p w:rsidR="00457B04" w:rsidRDefault="00457B04" w:rsidP="00F563E2">
      <w:pPr>
        <w:pStyle w:val="Heading2"/>
      </w:pPr>
      <w:bookmarkStart w:id="8" w:name="_Toc362600461"/>
      <w:bookmarkStart w:id="9" w:name="_Toc411433968"/>
      <w:bookmarkStart w:id="10" w:name="_Toc421710351"/>
      <w:r>
        <w:lastRenderedPageBreak/>
        <w:t>Data analysis</w:t>
      </w:r>
      <w:bookmarkEnd w:id="8"/>
      <w:bookmarkEnd w:id="9"/>
      <w:bookmarkEnd w:id="10"/>
    </w:p>
    <w:p w:rsidR="00457B04" w:rsidRDefault="00457B04" w:rsidP="00F563E2">
      <w:pPr>
        <w:keepNext/>
      </w:pPr>
      <w:r>
        <w:t>The data used in this report is not adjusted in any way. This is because we are measuring the performance of practices</w:t>
      </w:r>
      <w:r w:rsidR="007A1E11">
        <w:t>,</w:t>
      </w:r>
      <w:r>
        <w:t xml:space="preserve"> which is dependent on practice characteristics and</w:t>
      </w:r>
      <w:r w:rsidR="007A1E11">
        <w:t xml:space="preserve"> largely not the age, ethnicity</w:t>
      </w:r>
      <w:r>
        <w:t xml:space="preserve"> or deprivation of its clients.</w:t>
      </w:r>
    </w:p>
    <w:p w:rsidR="00457B04" w:rsidRDefault="00457B04" w:rsidP="00F563E2"/>
    <w:p w:rsidR="00457B04" w:rsidRDefault="00457B04" w:rsidP="00F563E2">
      <w:r w:rsidRPr="000A0D5C">
        <w:t>To show how performance has changed over time</w:t>
      </w:r>
      <w:r w:rsidR="007A1E11">
        <w:t>,</w:t>
      </w:r>
      <w:r w:rsidRPr="000A0D5C">
        <w:t xml:space="preserve"> current results are compared to the same month</w:t>
      </w:r>
      <w:r w:rsidR="00634870">
        <w:t>’</w:t>
      </w:r>
      <w:r w:rsidRPr="000A0D5C">
        <w:t>s results from the previous year.</w:t>
      </w:r>
      <w:r>
        <w:t xml:space="preserve"> </w:t>
      </w:r>
      <w:r w:rsidRPr="000A0D5C">
        <w:t>The graphs show data for two years</w:t>
      </w:r>
      <w:r w:rsidR="007A1E11">
        <w:t>,</w:t>
      </w:r>
      <w:r w:rsidRPr="000A0D5C">
        <w:t xml:space="preserve"> which enables readers to gain a better understanding of the results.</w:t>
      </w:r>
    </w:p>
    <w:p w:rsidR="00F563E2" w:rsidRDefault="00F563E2" w:rsidP="00F563E2"/>
    <w:p w:rsidR="00634870" w:rsidRDefault="001F02EF" w:rsidP="00F563E2">
      <w:r>
        <w:t xml:space="preserve">Also, this report states if the Whānau Ora sample performed </w:t>
      </w:r>
      <w:r w:rsidR="00DB3CF8">
        <w:rPr>
          <w:i/>
        </w:rPr>
        <w:t>‘</w:t>
      </w:r>
      <w:r w:rsidRPr="001F02EF">
        <w:rPr>
          <w:i/>
        </w:rPr>
        <w:t>better</w:t>
      </w:r>
      <w:r w:rsidR="00873B01">
        <w:rPr>
          <w:i/>
        </w:rPr>
        <w:t xml:space="preserve"> than</w:t>
      </w:r>
      <w:r w:rsidR="00DB3CF8">
        <w:rPr>
          <w:i/>
        </w:rPr>
        <w:t>’</w:t>
      </w:r>
      <w:r w:rsidR="00694851">
        <w:rPr>
          <w:i/>
        </w:rPr>
        <w:t xml:space="preserve">, </w:t>
      </w:r>
      <w:r w:rsidR="00694851">
        <w:t>‘</w:t>
      </w:r>
      <w:r w:rsidR="00694851">
        <w:rPr>
          <w:i/>
        </w:rPr>
        <w:t>as well as’,</w:t>
      </w:r>
      <w:r w:rsidR="00DB3CF8">
        <w:rPr>
          <w:i/>
        </w:rPr>
        <w:t xml:space="preserve"> </w:t>
      </w:r>
      <w:r>
        <w:t xml:space="preserve">or </w:t>
      </w:r>
      <w:r w:rsidR="00DB3CF8">
        <w:t>‘</w:t>
      </w:r>
      <w:r w:rsidRPr="001F02EF">
        <w:rPr>
          <w:i/>
        </w:rPr>
        <w:t>did not perform as well as</w:t>
      </w:r>
      <w:r w:rsidR="00DB3CF8">
        <w:rPr>
          <w:i/>
        </w:rPr>
        <w:t xml:space="preserve">’ </w:t>
      </w:r>
      <w:r>
        <w:t xml:space="preserve">the national sample. These statements are based on statistical tests </w:t>
      </w:r>
      <w:r w:rsidR="0019454B">
        <w:t xml:space="preserve">performed on the results as at March </w:t>
      </w:r>
      <w:r>
        <w:t>201</w:t>
      </w:r>
      <w:r w:rsidR="0019454B">
        <w:t>5</w:t>
      </w:r>
      <w:r>
        <w:t>.</w:t>
      </w:r>
    </w:p>
    <w:p w:rsidR="00457B04" w:rsidRPr="000A0D5C" w:rsidRDefault="00457B04" w:rsidP="00F563E2">
      <w:pPr>
        <w:pStyle w:val="Heading1"/>
      </w:pPr>
      <w:r w:rsidRPr="000A0D5C">
        <w:br w:type="page"/>
      </w:r>
      <w:bookmarkStart w:id="11" w:name="_Toc353959528"/>
      <w:bookmarkStart w:id="12" w:name="_Toc362600462"/>
      <w:bookmarkStart w:id="13" w:name="_Toc411433969"/>
      <w:bookmarkStart w:id="14" w:name="_Toc421710352"/>
      <w:r w:rsidRPr="000A0D5C">
        <w:lastRenderedPageBreak/>
        <w:t>Highlights</w:t>
      </w:r>
      <w:bookmarkEnd w:id="11"/>
      <w:bookmarkEnd w:id="12"/>
      <w:bookmarkEnd w:id="13"/>
      <w:bookmarkEnd w:id="14"/>
    </w:p>
    <w:p w:rsidR="00457B04" w:rsidRDefault="00457B04" w:rsidP="00F563E2">
      <w:bookmarkStart w:id="15" w:name="_Toc405298171"/>
      <w:r>
        <w:t>G</w:t>
      </w:r>
      <w:r w:rsidRPr="00CC5805">
        <w:t>e</w:t>
      </w:r>
      <w:r>
        <w:t>ne</w:t>
      </w:r>
      <w:r w:rsidRPr="00CC5805">
        <w:t>ral practices in the Whānau Ora sample showed improving performances across a number of indicators in the year ended 3</w:t>
      </w:r>
      <w:r w:rsidR="007C4344">
        <w:t>1</w:t>
      </w:r>
      <w:r w:rsidRPr="00CC5805">
        <w:t xml:space="preserve"> </w:t>
      </w:r>
      <w:r w:rsidR="0019454B">
        <w:t xml:space="preserve">March </w:t>
      </w:r>
      <w:r w:rsidRPr="00CC5805">
        <w:t>201</w:t>
      </w:r>
      <w:r w:rsidR="0019454B">
        <w:t>5</w:t>
      </w:r>
      <w:r w:rsidRPr="00CC5805">
        <w:t>.</w:t>
      </w:r>
      <w:bookmarkEnd w:id="15"/>
    </w:p>
    <w:p w:rsidR="00457B04" w:rsidRPr="00610DE1" w:rsidRDefault="00457B04" w:rsidP="00F563E2"/>
    <w:p w:rsidR="00457B04" w:rsidRPr="003337C5" w:rsidRDefault="00457B04" w:rsidP="00F563E2">
      <w:r w:rsidRPr="003337C5">
        <w:t xml:space="preserve">The improvements </w:t>
      </w:r>
      <w:r>
        <w:t xml:space="preserve">in the year ended </w:t>
      </w:r>
      <w:r w:rsidR="0019454B">
        <w:t>March 2015</w:t>
      </w:r>
      <w:r w:rsidRPr="003337C5">
        <w:t xml:space="preserve"> include</w:t>
      </w:r>
      <w:r>
        <w:t>:</w:t>
      </w:r>
    </w:p>
    <w:p w:rsidR="00457B04" w:rsidRDefault="00F563E2" w:rsidP="00F563E2">
      <w:pPr>
        <w:pStyle w:val="Bullet"/>
      </w:pPr>
      <w:proofErr w:type="gramStart"/>
      <w:r>
        <w:t>i</w:t>
      </w:r>
      <w:r w:rsidR="00457B04" w:rsidRPr="00610DE1">
        <w:t>ncreased</w:t>
      </w:r>
      <w:proofErr w:type="gramEnd"/>
      <w:r w:rsidR="00457B04" w:rsidRPr="00610DE1">
        <w:t xml:space="preserve"> </w:t>
      </w:r>
      <w:r w:rsidR="00BA57E1">
        <w:t xml:space="preserve">performance </w:t>
      </w:r>
      <w:r w:rsidR="00457B04" w:rsidRPr="00610DE1">
        <w:t xml:space="preserve">against the </w:t>
      </w:r>
      <w:r w:rsidR="00634870">
        <w:t>‘</w:t>
      </w:r>
      <w:r w:rsidR="00457B04" w:rsidRPr="00610DE1">
        <w:t>Cardiovascular disease (CVD) risk recorded</w:t>
      </w:r>
      <w:r w:rsidR="00634870">
        <w:t>’</w:t>
      </w:r>
      <w:r w:rsidR="00457B04">
        <w:t xml:space="preserve"> indicator: increased from </w:t>
      </w:r>
      <w:r w:rsidR="007C4344">
        <w:t>7</w:t>
      </w:r>
      <w:r w:rsidR="0019454B">
        <w:t>7.6</w:t>
      </w:r>
      <w:r w:rsidR="007C4344">
        <w:t xml:space="preserve"> percent to 8</w:t>
      </w:r>
      <w:r w:rsidR="0019454B">
        <w:t>7</w:t>
      </w:r>
      <w:r w:rsidR="007C4344">
        <w:t>.6 percent (1</w:t>
      </w:r>
      <w:r w:rsidR="00BA57E1">
        <w:t>0.0</w:t>
      </w:r>
      <w:r w:rsidR="0019454B">
        <w:t>%</w:t>
      </w:r>
      <w:r w:rsidR="00457B04">
        <w:t>)</w:t>
      </w:r>
      <w:r w:rsidR="00457B04" w:rsidRPr="00F563E2">
        <w:rPr>
          <w:rStyle w:val="FootnoteReference"/>
        </w:rPr>
        <w:footnoteReference w:id="1"/>
      </w:r>
    </w:p>
    <w:p w:rsidR="00457B04" w:rsidRPr="00610DE1" w:rsidRDefault="00F563E2" w:rsidP="00F563E2">
      <w:pPr>
        <w:pStyle w:val="Bullet"/>
      </w:pPr>
      <w:proofErr w:type="gramStart"/>
      <w:r>
        <w:t>i</w:t>
      </w:r>
      <w:r w:rsidR="00457B04" w:rsidRPr="00610DE1">
        <w:t>ncreased</w:t>
      </w:r>
      <w:proofErr w:type="gramEnd"/>
      <w:r w:rsidR="00457B04" w:rsidRPr="00610DE1">
        <w:t xml:space="preserve"> </w:t>
      </w:r>
      <w:r w:rsidR="00BA57E1">
        <w:t xml:space="preserve">performance </w:t>
      </w:r>
      <w:r w:rsidR="00457B04" w:rsidRPr="00610DE1">
        <w:t xml:space="preserve">against the </w:t>
      </w:r>
      <w:r w:rsidR="00634870">
        <w:t>‘</w:t>
      </w:r>
      <w:r w:rsidR="00457B04" w:rsidRPr="00610DE1">
        <w:t>Smoking cessation advice</w:t>
      </w:r>
      <w:r w:rsidR="00634870">
        <w:t>’</w:t>
      </w:r>
      <w:r w:rsidR="00457B04" w:rsidRPr="00610DE1">
        <w:t xml:space="preserve"> indicator: </w:t>
      </w:r>
      <w:r w:rsidR="007C4344">
        <w:t xml:space="preserve">increase from </w:t>
      </w:r>
      <w:r w:rsidR="00BA57E1">
        <w:t xml:space="preserve">81.1 </w:t>
      </w:r>
      <w:r w:rsidR="00457B04">
        <w:t>percent</w:t>
      </w:r>
      <w:r w:rsidR="00457B04" w:rsidRPr="00610DE1">
        <w:t xml:space="preserve"> to </w:t>
      </w:r>
      <w:r w:rsidR="00BA57E1">
        <w:t xml:space="preserve">89.2 </w:t>
      </w:r>
      <w:r w:rsidR="007C4344">
        <w:t>percent (</w:t>
      </w:r>
      <w:r w:rsidR="00BA57E1">
        <w:t>8.1</w:t>
      </w:r>
      <w:r w:rsidR="00457B04">
        <w:t>%).</w:t>
      </w:r>
    </w:p>
    <w:p w:rsidR="00457B04" w:rsidRPr="00FD77BE" w:rsidRDefault="00457B04" w:rsidP="00F563E2">
      <w:pPr>
        <w:rPr>
          <w:highlight w:val="yellow"/>
        </w:rPr>
      </w:pPr>
    </w:p>
    <w:p w:rsidR="00457B04" w:rsidRDefault="00BA57E1" w:rsidP="00F563E2">
      <w:r>
        <w:t>T</w:t>
      </w:r>
      <w:r w:rsidR="00457B04" w:rsidRPr="002B377C">
        <w:t>he Whānau Ora sampl</w:t>
      </w:r>
      <w:r>
        <w:t xml:space="preserve">e performed </w:t>
      </w:r>
      <w:r w:rsidR="00457B04" w:rsidRPr="00A07A05">
        <w:rPr>
          <w:b/>
        </w:rPr>
        <w:t>better</w:t>
      </w:r>
      <w:r>
        <w:rPr>
          <w:b/>
        </w:rPr>
        <w:t xml:space="preserve"> than</w:t>
      </w:r>
      <w:r w:rsidR="00457B04" w:rsidRPr="002B377C">
        <w:t xml:space="preserve"> the </w:t>
      </w:r>
      <w:r>
        <w:t xml:space="preserve">national sample in the </w:t>
      </w:r>
      <w:r w:rsidR="00457B04" w:rsidRPr="002B377C">
        <w:t>following indicators:</w:t>
      </w:r>
    </w:p>
    <w:p w:rsidR="00457B04" w:rsidRDefault="00457B04" w:rsidP="00F563E2">
      <w:pPr>
        <w:pStyle w:val="Bullet"/>
      </w:pPr>
      <w:r w:rsidRPr="002B377C">
        <w:t>CVD risk recorded</w:t>
      </w:r>
    </w:p>
    <w:p w:rsidR="00457B04" w:rsidRDefault="00F563E2" w:rsidP="00F563E2">
      <w:pPr>
        <w:pStyle w:val="Bullet"/>
      </w:pPr>
      <w:r>
        <w:t>d</w:t>
      </w:r>
      <w:r w:rsidR="00457B04">
        <w:t>iabetes patient review</w:t>
      </w:r>
    </w:p>
    <w:p w:rsidR="00457B04" w:rsidRDefault="00F563E2" w:rsidP="00F563E2">
      <w:pPr>
        <w:pStyle w:val="Bullet"/>
      </w:pPr>
      <w:r>
        <w:t>f</w:t>
      </w:r>
      <w:r w:rsidR="00457B04" w:rsidRPr="009C043A">
        <w:t>lu vaccination 65+</w:t>
      </w:r>
    </w:p>
    <w:p w:rsidR="00457B04" w:rsidRPr="00444DEA" w:rsidRDefault="00F563E2" w:rsidP="00F563E2">
      <w:pPr>
        <w:pStyle w:val="Bullet"/>
      </w:pPr>
      <w:r>
        <w:t>p</w:t>
      </w:r>
      <w:r w:rsidR="00457B04">
        <w:t xml:space="preserve">ercentage of enrolled patients with prescriptions for conditions and diagnosis </w:t>
      </w:r>
      <w:r w:rsidR="00F74D3E">
        <w:t xml:space="preserve">– three of four indicators </w:t>
      </w:r>
      <w:r w:rsidR="00457B04">
        <w:t>(asthma, depression and diabetes)</w:t>
      </w:r>
    </w:p>
    <w:p w:rsidR="00457B04" w:rsidRDefault="00F563E2" w:rsidP="00F563E2">
      <w:pPr>
        <w:pStyle w:val="Bullet"/>
      </w:pPr>
      <w:proofErr w:type="gramStart"/>
      <w:r>
        <w:t>m</w:t>
      </w:r>
      <w:r w:rsidR="00457B04" w:rsidRPr="002B377C">
        <w:t>ean</w:t>
      </w:r>
      <w:proofErr w:type="gramEnd"/>
      <w:r w:rsidR="00457B04" w:rsidRPr="002B377C">
        <w:t xml:space="preserve"> fee charged</w:t>
      </w:r>
      <w:r w:rsidR="00BA57E1">
        <w:t>.</w:t>
      </w:r>
    </w:p>
    <w:p w:rsidR="00BA57E1" w:rsidRDefault="00BA57E1" w:rsidP="00BA57E1">
      <w:pPr>
        <w:pStyle w:val="Bullet"/>
        <w:numPr>
          <w:ilvl w:val="0"/>
          <w:numId w:val="0"/>
        </w:numPr>
        <w:ind w:left="284"/>
      </w:pPr>
    </w:p>
    <w:p w:rsidR="00BA57E1" w:rsidRDefault="00BA57E1" w:rsidP="00BA57E1">
      <w:pPr>
        <w:pStyle w:val="Bullet"/>
        <w:numPr>
          <w:ilvl w:val="0"/>
          <w:numId w:val="0"/>
        </w:numPr>
        <w:ind w:left="284" w:hanging="284"/>
      </w:pPr>
      <w:r>
        <w:t>T</w:t>
      </w:r>
      <w:r w:rsidRPr="002B377C">
        <w:t>he Whānau Ora sampl</w:t>
      </w:r>
      <w:r>
        <w:t>e perform</w:t>
      </w:r>
      <w:r w:rsidRPr="002B377C">
        <w:t>e</w:t>
      </w:r>
      <w:r>
        <w:t xml:space="preserve">d </w:t>
      </w:r>
      <w:r>
        <w:rPr>
          <w:b/>
        </w:rPr>
        <w:t xml:space="preserve">as well as </w:t>
      </w:r>
      <w:r w:rsidRPr="002B377C">
        <w:t xml:space="preserve">the </w:t>
      </w:r>
      <w:r>
        <w:t xml:space="preserve">national sample in the </w:t>
      </w:r>
      <w:r w:rsidRPr="002B377C">
        <w:t>following indicators:</w:t>
      </w:r>
    </w:p>
    <w:p w:rsidR="00BA57E1" w:rsidRDefault="00BA57E1" w:rsidP="00BA57E1">
      <w:pPr>
        <w:pStyle w:val="Bullet"/>
      </w:pPr>
      <w:r>
        <w:t>s</w:t>
      </w:r>
      <w:r w:rsidRPr="002B377C">
        <w:t>moking cessation advice</w:t>
      </w:r>
    </w:p>
    <w:p w:rsidR="00BA57E1" w:rsidRDefault="00BA57E1" w:rsidP="00BA57E1">
      <w:pPr>
        <w:pStyle w:val="Bullet"/>
      </w:pPr>
      <w:r>
        <w:t>m</w:t>
      </w:r>
      <w:r w:rsidRPr="009C043A">
        <w:t>ammography for high needs</w:t>
      </w:r>
    </w:p>
    <w:p w:rsidR="00BA57E1" w:rsidRDefault="00BA57E1" w:rsidP="00BA57E1">
      <w:pPr>
        <w:pStyle w:val="Bullet"/>
      </w:pPr>
      <w:r>
        <w:t xml:space="preserve">percentage of enrolled patients with prescriptions for conditions and diagnosis indicators </w:t>
      </w:r>
      <w:r w:rsidR="00F74D3E">
        <w:t xml:space="preserve"> - one of four indicators </w:t>
      </w:r>
      <w:r>
        <w:t>(ischaemic heart disease)</w:t>
      </w:r>
    </w:p>
    <w:p w:rsidR="00BA57E1" w:rsidRDefault="00BA57E1" w:rsidP="00BA57E1">
      <w:pPr>
        <w:pStyle w:val="Bullet"/>
      </w:pPr>
      <w:proofErr w:type="gramStart"/>
      <w:r>
        <w:t>median</w:t>
      </w:r>
      <w:proofErr w:type="gramEnd"/>
      <w:r w:rsidRPr="002B377C">
        <w:t xml:space="preserve"> BMI</w:t>
      </w:r>
      <w:r>
        <w:t>.</w:t>
      </w:r>
    </w:p>
    <w:p w:rsidR="00457B04" w:rsidRPr="00FD77BE" w:rsidRDefault="00457B04" w:rsidP="00F563E2">
      <w:pPr>
        <w:rPr>
          <w:highlight w:val="yellow"/>
        </w:rPr>
      </w:pPr>
    </w:p>
    <w:p w:rsidR="00457B04" w:rsidRDefault="00457B04" w:rsidP="00F563E2">
      <w:r w:rsidRPr="009C043A">
        <w:t xml:space="preserve">The Whānau Ora sample </w:t>
      </w:r>
      <w:r w:rsidRPr="00A07A05">
        <w:rPr>
          <w:b/>
        </w:rPr>
        <w:t>did not perform as well</w:t>
      </w:r>
      <w:r w:rsidRPr="009C043A">
        <w:t xml:space="preserve"> in the following indicators:</w:t>
      </w:r>
    </w:p>
    <w:p w:rsidR="00457B04" w:rsidRDefault="00F563E2" w:rsidP="00F563E2">
      <w:pPr>
        <w:pStyle w:val="Bullet"/>
      </w:pPr>
      <w:r>
        <w:t>d</w:t>
      </w:r>
      <w:r w:rsidR="00457B04">
        <w:t>iabetes management</w:t>
      </w:r>
    </w:p>
    <w:p w:rsidR="00457B04" w:rsidRDefault="00F563E2" w:rsidP="00F563E2">
      <w:pPr>
        <w:pStyle w:val="Bullet"/>
      </w:pPr>
      <w:r>
        <w:t>c</w:t>
      </w:r>
      <w:r w:rsidR="00457B04" w:rsidRPr="009C043A">
        <w:t>ervical smear recorded</w:t>
      </w:r>
    </w:p>
    <w:p w:rsidR="00457B04" w:rsidRDefault="00F563E2" w:rsidP="00F563E2">
      <w:pPr>
        <w:pStyle w:val="Bullet"/>
      </w:pPr>
      <w:proofErr w:type="gramStart"/>
      <w:r>
        <w:t>m</w:t>
      </w:r>
      <w:r w:rsidR="00457B04" w:rsidRPr="009C043A">
        <w:t>ental</w:t>
      </w:r>
      <w:proofErr w:type="gramEnd"/>
      <w:r w:rsidR="00457B04" w:rsidRPr="009C043A">
        <w:t xml:space="preserve"> </w:t>
      </w:r>
      <w:r w:rsidR="00457B04" w:rsidRPr="00380ADE">
        <w:t>health</w:t>
      </w:r>
      <w:r w:rsidR="00457B04">
        <w:t>.</w:t>
      </w:r>
    </w:p>
    <w:p w:rsidR="00F563E2" w:rsidRDefault="00F563E2" w:rsidP="00F563E2">
      <w:pPr>
        <w:rPr>
          <w:lang w:eastAsia="en-NZ"/>
        </w:rPr>
      </w:pPr>
    </w:p>
    <w:p w:rsidR="00457B04" w:rsidRPr="008D341D" w:rsidRDefault="00457B04" w:rsidP="00F563E2">
      <w:r w:rsidRPr="008D341D">
        <w:rPr>
          <w:lang w:eastAsia="en-NZ"/>
        </w:rPr>
        <w:t>Overall, the Whānau Ora sample results are positive, par</w:t>
      </w:r>
      <w:r>
        <w:rPr>
          <w:lang w:eastAsia="en-NZ"/>
        </w:rPr>
        <w:t>ti</w:t>
      </w:r>
      <w:r w:rsidR="007C4344">
        <w:rPr>
          <w:lang w:eastAsia="en-NZ"/>
        </w:rPr>
        <w:t>cularly given the fact that 59.</w:t>
      </w:r>
      <w:r w:rsidR="00E8343D">
        <w:rPr>
          <w:lang w:eastAsia="en-NZ"/>
        </w:rPr>
        <w:t>1</w:t>
      </w:r>
      <w:r>
        <w:rPr>
          <w:lang w:eastAsia="en-NZ"/>
        </w:rPr>
        <w:t xml:space="preserve"> percent</w:t>
      </w:r>
      <w:r w:rsidRPr="008D341D">
        <w:rPr>
          <w:lang w:eastAsia="en-NZ"/>
        </w:rPr>
        <w:t xml:space="preserve"> of patients enrolled in practices in the Whānau Ora sample are high health</w:t>
      </w:r>
      <w:r w:rsidR="007A1E11">
        <w:rPr>
          <w:lang w:eastAsia="en-NZ"/>
        </w:rPr>
        <w:t>-</w:t>
      </w:r>
      <w:r w:rsidRPr="008D341D">
        <w:rPr>
          <w:lang w:eastAsia="en-NZ"/>
        </w:rPr>
        <w:t>needs patients (Māori, Pacific and/or people living in areas of high socioeconomic deprivation).</w:t>
      </w:r>
      <w:r w:rsidR="007C4344">
        <w:rPr>
          <w:lang w:eastAsia="en-NZ"/>
        </w:rPr>
        <w:t xml:space="preserve"> By comparison only 25.6</w:t>
      </w:r>
      <w:r>
        <w:rPr>
          <w:lang w:eastAsia="en-NZ"/>
        </w:rPr>
        <w:t xml:space="preserve"> percent</w:t>
      </w:r>
      <w:r w:rsidRPr="008D341D">
        <w:rPr>
          <w:lang w:eastAsia="en-NZ"/>
        </w:rPr>
        <w:t xml:space="preserve"> of the population enrolled in practi</w:t>
      </w:r>
      <w:r>
        <w:rPr>
          <w:lang w:eastAsia="en-NZ"/>
        </w:rPr>
        <w:t>ces in the national sample have</w:t>
      </w:r>
      <w:r w:rsidRPr="008D341D">
        <w:rPr>
          <w:lang w:eastAsia="en-NZ"/>
        </w:rPr>
        <w:t xml:space="preserve"> high health needs.</w:t>
      </w:r>
    </w:p>
    <w:p w:rsidR="00457B04" w:rsidRPr="0042386F" w:rsidRDefault="00457B04" w:rsidP="00F563E2"/>
    <w:p w:rsidR="00457B04" w:rsidRDefault="00457B04" w:rsidP="00F563E2">
      <w:r w:rsidRPr="0042386F">
        <w:t xml:space="preserve">The </w:t>
      </w:r>
      <w:r>
        <w:t xml:space="preserve">highlights </w:t>
      </w:r>
      <w:r w:rsidRPr="0042386F">
        <w:t>seen in the Whānau Ora sample results cannot be directly attributed to any one particular programme or initiative; they are indicative of positive changes to service delivery as a whole.</w:t>
      </w:r>
    </w:p>
    <w:p w:rsidR="00457B04" w:rsidRDefault="00457B04" w:rsidP="0070527F">
      <w:pPr>
        <w:pStyle w:val="Heading1"/>
        <w:rPr>
          <w:color w:val="000000"/>
        </w:rPr>
      </w:pPr>
      <w:bookmarkStart w:id="16" w:name="_Toc350162540"/>
      <w:r w:rsidRPr="00F65F07">
        <w:br w:type="page"/>
      </w:r>
      <w:bookmarkStart w:id="17" w:name="_Toc353959529"/>
      <w:bookmarkStart w:id="18" w:name="_Toc362600463"/>
      <w:bookmarkStart w:id="19" w:name="_Toc411433970"/>
      <w:bookmarkStart w:id="20" w:name="_Toc421710353"/>
      <w:r w:rsidRPr="00CD3C15">
        <w:lastRenderedPageBreak/>
        <w:t>Report by individual indicator</w:t>
      </w:r>
      <w:bookmarkEnd w:id="16"/>
      <w:bookmarkEnd w:id="17"/>
      <w:bookmarkEnd w:id="18"/>
      <w:bookmarkEnd w:id="19"/>
      <w:bookmarkEnd w:id="20"/>
    </w:p>
    <w:p w:rsidR="00457B04" w:rsidRPr="00CD3C15" w:rsidRDefault="00457B04" w:rsidP="0070527F">
      <w:pPr>
        <w:pStyle w:val="Heading2"/>
      </w:pPr>
      <w:bookmarkStart w:id="21" w:name="_Toc350162541"/>
      <w:bookmarkStart w:id="22" w:name="_Toc353959530"/>
      <w:bookmarkStart w:id="23" w:name="_Toc362600464"/>
      <w:bookmarkStart w:id="24" w:name="_Toc411433971"/>
      <w:bookmarkStart w:id="25" w:name="_Toc421710354"/>
      <w:r w:rsidRPr="00CD3C15">
        <w:t>Indicator 1:</w:t>
      </w:r>
      <w:r>
        <w:t xml:space="preserve"> </w:t>
      </w:r>
      <w:r w:rsidRPr="00CD3C15">
        <w:t>CVD risk recorded</w:t>
      </w:r>
      <w:r>
        <w:t xml:space="preserve"> </w:t>
      </w:r>
      <w:bookmarkEnd w:id="21"/>
      <w:r w:rsidRPr="00CD3C15">
        <w:t xml:space="preserve">– up </w:t>
      </w:r>
      <w:r w:rsidR="00B7668E">
        <w:t>1</w:t>
      </w:r>
      <w:r w:rsidR="00CF494A">
        <w:t>0.0</w:t>
      </w:r>
      <w:r w:rsidR="0070527F">
        <w:t> </w:t>
      </w:r>
      <w:r>
        <w:t>percent</w:t>
      </w:r>
      <w:r w:rsidRPr="00CD3C15">
        <w:t xml:space="preserve"> </w:t>
      </w:r>
      <w:r>
        <w:t>over the</w:t>
      </w:r>
      <w:r w:rsidRPr="00CD3C15">
        <w:t xml:space="preserve"> year</w:t>
      </w:r>
      <w:bookmarkEnd w:id="22"/>
      <w:bookmarkEnd w:id="23"/>
      <w:r>
        <w:t xml:space="preserve"> </w:t>
      </w:r>
      <w:r w:rsidR="0019454B">
        <w:t>March 2014 to March 2015</w:t>
      </w:r>
      <w:bookmarkEnd w:id="24"/>
      <w:bookmarkEnd w:id="25"/>
    </w:p>
    <w:p w:rsidR="00457B04" w:rsidRPr="00F65F07" w:rsidRDefault="00457B04" w:rsidP="0070527F">
      <w:pPr>
        <w:rPr>
          <w:sz w:val="24"/>
        </w:rPr>
      </w:pPr>
      <w:r w:rsidRPr="00BD781F">
        <w:t>Definition: Percentage of eligible registered patients who have had a CVD risk assessment completed.</w:t>
      </w:r>
    </w:p>
    <w:p w:rsidR="00457B04" w:rsidRPr="00F65F07" w:rsidRDefault="00457B04" w:rsidP="0070527F"/>
    <w:p w:rsidR="00457B04" w:rsidRPr="00F65F07" w:rsidRDefault="00457B04" w:rsidP="0070527F">
      <w:r w:rsidRPr="00F65F07">
        <w:t>The eligible population is:</w:t>
      </w:r>
    </w:p>
    <w:p w:rsidR="00457B04" w:rsidRDefault="00457B04" w:rsidP="0070527F">
      <w:pPr>
        <w:pStyle w:val="Bullet"/>
      </w:pPr>
      <w:r w:rsidRPr="00F65F07">
        <w:t>Māori, Pacific, Indian and Asian men aged 35–74</w:t>
      </w:r>
      <w:r>
        <w:t xml:space="preserve"> years</w:t>
      </w:r>
    </w:p>
    <w:p w:rsidR="00457B04" w:rsidRPr="00F65F07" w:rsidRDefault="00457B04" w:rsidP="0070527F">
      <w:pPr>
        <w:pStyle w:val="Bullet"/>
      </w:pPr>
      <w:r w:rsidRPr="00F65F07">
        <w:t>Māori, Pacific, Indian and Asian women aged 45–74</w:t>
      </w:r>
      <w:r>
        <w:t xml:space="preserve"> years</w:t>
      </w:r>
    </w:p>
    <w:p w:rsidR="00457B04" w:rsidRPr="00F65F07" w:rsidRDefault="00457B04" w:rsidP="0070527F">
      <w:pPr>
        <w:pStyle w:val="Bullet"/>
      </w:pPr>
      <w:r w:rsidRPr="00F65F07">
        <w:t>men of all other ethnicities aged 45–74</w:t>
      </w:r>
      <w:r>
        <w:t xml:space="preserve"> years</w:t>
      </w:r>
    </w:p>
    <w:p w:rsidR="00457B04" w:rsidRPr="00F65F07" w:rsidRDefault="00457B04" w:rsidP="0070527F">
      <w:pPr>
        <w:pStyle w:val="Bullet"/>
      </w:pPr>
      <w:proofErr w:type="gramStart"/>
      <w:r w:rsidRPr="00F65F07">
        <w:t>women</w:t>
      </w:r>
      <w:proofErr w:type="gramEnd"/>
      <w:r w:rsidRPr="00F65F07">
        <w:t xml:space="preserve"> of all other ethnicities aged 55–74</w:t>
      </w:r>
      <w:r>
        <w:t xml:space="preserve"> years</w:t>
      </w:r>
      <w:r w:rsidRPr="00F65F07">
        <w:t>.</w:t>
      </w:r>
    </w:p>
    <w:p w:rsidR="00457B04" w:rsidRPr="00F65F07" w:rsidRDefault="00457B04" w:rsidP="0070527F"/>
    <w:p w:rsidR="00457B04" w:rsidRPr="00F65F07" w:rsidRDefault="00457B04" w:rsidP="0070527F">
      <w:pPr>
        <w:pStyle w:val="Table"/>
      </w:pPr>
      <w:bookmarkStart w:id="26" w:name="_Toc353959545"/>
      <w:bookmarkStart w:id="27" w:name="_Toc379540121"/>
      <w:bookmarkStart w:id="28" w:name="_Toc421535716"/>
      <w:r w:rsidRPr="00F65F07">
        <w:t xml:space="preserve">Table </w:t>
      </w:r>
      <w:r w:rsidR="00E2376C">
        <w:fldChar w:fldCharType="begin"/>
      </w:r>
      <w:r w:rsidR="00E2376C">
        <w:instrText xml:space="preserve"> SEQ Table \* ARABIC </w:instrText>
      </w:r>
      <w:r w:rsidR="00E2376C">
        <w:fldChar w:fldCharType="separate"/>
      </w:r>
      <w:r w:rsidR="00E2376C">
        <w:rPr>
          <w:noProof/>
        </w:rPr>
        <w:t>1</w:t>
      </w:r>
      <w:r w:rsidR="00E2376C">
        <w:rPr>
          <w:noProof/>
        </w:rPr>
        <w:fldChar w:fldCharType="end"/>
      </w:r>
      <w:r w:rsidRPr="00F65F07">
        <w:t>:</w:t>
      </w:r>
      <w:r>
        <w:t xml:space="preserve"> </w:t>
      </w:r>
      <w:r w:rsidRPr="00F65F07">
        <w:t xml:space="preserve">Performance </w:t>
      </w:r>
      <w:r>
        <w:t xml:space="preserve">against the </w:t>
      </w:r>
      <w:r w:rsidR="00634870">
        <w:t>‘</w:t>
      </w:r>
      <w:r>
        <w:t>CVD risk recorded</w:t>
      </w:r>
      <w:r w:rsidR="00634870">
        <w:t>’</w:t>
      </w:r>
      <w:r>
        <w:t xml:space="preserve"> indicator</w:t>
      </w:r>
      <w:bookmarkEnd w:id="26"/>
      <w:bookmarkEnd w:id="27"/>
      <w:bookmarkEnd w:id="28"/>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07"/>
        <w:gridCol w:w="1737"/>
        <w:gridCol w:w="1737"/>
        <w:gridCol w:w="1736"/>
        <w:gridCol w:w="1738"/>
      </w:tblGrid>
      <w:tr w:rsidR="00457B04" w:rsidRPr="009C5A6A" w:rsidTr="007A1E11">
        <w:trPr>
          <w:cantSplit/>
        </w:trPr>
        <w:tc>
          <w:tcPr>
            <w:tcW w:w="1286" w:type="pct"/>
            <w:tcBorders>
              <w:top w:val="single" w:sz="4" w:space="0" w:color="auto"/>
              <w:bottom w:val="single" w:sz="4" w:space="0" w:color="auto"/>
            </w:tcBorders>
            <w:shd w:val="clear" w:color="auto" w:fill="auto"/>
          </w:tcPr>
          <w:p w:rsidR="00457B04" w:rsidRPr="009C5A6A" w:rsidRDefault="00457B04" w:rsidP="007A1E11">
            <w:pPr>
              <w:pStyle w:val="TableText"/>
              <w:rPr>
                <w:b/>
              </w:rPr>
            </w:pPr>
          </w:p>
        </w:tc>
        <w:tc>
          <w:tcPr>
            <w:tcW w:w="928"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2014</w:t>
            </w:r>
          </w:p>
        </w:tc>
        <w:tc>
          <w:tcPr>
            <w:tcW w:w="928"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2015</w:t>
            </w:r>
          </w:p>
        </w:tc>
        <w:tc>
          <w:tcPr>
            <w:tcW w:w="928" w:type="pct"/>
            <w:tcBorders>
              <w:top w:val="single" w:sz="4" w:space="0" w:color="auto"/>
              <w:bottom w:val="single" w:sz="4" w:space="0" w:color="auto"/>
            </w:tcBorders>
            <w:shd w:val="clear" w:color="auto" w:fill="auto"/>
          </w:tcPr>
          <w:p w:rsidR="00457B04" w:rsidRPr="009C5A6A" w:rsidRDefault="00457B04" w:rsidP="007A1E11">
            <w:pPr>
              <w:pStyle w:val="TableText"/>
              <w:jc w:val="center"/>
              <w:rPr>
                <w:b/>
              </w:rPr>
            </w:pPr>
            <w:r>
              <w:rPr>
                <w:b/>
              </w:rPr>
              <w:t>Difference</w:t>
            </w:r>
          </w:p>
        </w:tc>
        <w:tc>
          <w:tcPr>
            <w:tcW w:w="929" w:type="pct"/>
            <w:tcBorders>
              <w:top w:val="single" w:sz="4" w:space="0" w:color="auto"/>
              <w:bottom w:val="single" w:sz="4" w:space="0" w:color="auto"/>
            </w:tcBorders>
            <w:shd w:val="clear" w:color="auto" w:fill="auto"/>
          </w:tcPr>
          <w:p w:rsidR="00457B04" w:rsidRPr="009C5A6A" w:rsidRDefault="00457B04" w:rsidP="007A1E11">
            <w:pPr>
              <w:pStyle w:val="TableText"/>
              <w:jc w:val="center"/>
              <w:rPr>
                <w:b/>
              </w:rPr>
            </w:pPr>
            <w:r w:rsidRPr="009C5A6A">
              <w:rPr>
                <w:b/>
              </w:rPr>
              <w:t>Trend last year</w:t>
            </w:r>
          </w:p>
        </w:tc>
      </w:tr>
      <w:tr w:rsidR="00B7668E" w:rsidRPr="00784E38" w:rsidTr="00B7668E">
        <w:trPr>
          <w:cantSplit/>
        </w:trPr>
        <w:tc>
          <w:tcPr>
            <w:tcW w:w="1286" w:type="pct"/>
            <w:tcBorders>
              <w:top w:val="single" w:sz="4" w:space="0" w:color="auto"/>
            </w:tcBorders>
            <w:shd w:val="clear" w:color="auto" w:fill="auto"/>
          </w:tcPr>
          <w:p w:rsidR="00B7668E" w:rsidRPr="00784E38" w:rsidRDefault="00B7668E" w:rsidP="007A1E11">
            <w:pPr>
              <w:pStyle w:val="TableText"/>
              <w:rPr>
                <w:rFonts w:cs="Arial"/>
                <w:szCs w:val="18"/>
              </w:rPr>
            </w:pPr>
            <w:r w:rsidRPr="00784E38">
              <w:rPr>
                <w:rFonts w:cs="Arial"/>
                <w:szCs w:val="18"/>
              </w:rPr>
              <w:t>Whānau Ora sample</w:t>
            </w:r>
          </w:p>
        </w:tc>
        <w:tc>
          <w:tcPr>
            <w:tcW w:w="928" w:type="pct"/>
            <w:tcBorders>
              <w:top w:val="single" w:sz="4" w:space="0" w:color="auto"/>
            </w:tcBorders>
            <w:shd w:val="clear" w:color="auto" w:fill="auto"/>
            <w:vAlign w:val="center"/>
          </w:tcPr>
          <w:p w:rsidR="00B7668E" w:rsidRPr="00B7668E" w:rsidRDefault="00B7668E" w:rsidP="0019454B">
            <w:pPr>
              <w:jc w:val="center"/>
              <w:rPr>
                <w:rFonts w:ascii="Arial" w:hAnsi="Arial" w:cs="Arial"/>
                <w:color w:val="000000"/>
                <w:sz w:val="18"/>
                <w:szCs w:val="22"/>
              </w:rPr>
            </w:pPr>
            <w:r w:rsidRPr="00B7668E">
              <w:rPr>
                <w:rFonts w:ascii="Arial" w:hAnsi="Arial" w:cs="Arial"/>
                <w:color w:val="000000"/>
                <w:sz w:val="18"/>
                <w:szCs w:val="22"/>
              </w:rPr>
              <w:t>7</w:t>
            </w:r>
            <w:r w:rsidR="0019454B">
              <w:rPr>
                <w:rFonts w:ascii="Arial" w:hAnsi="Arial" w:cs="Arial"/>
                <w:color w:val="000000"/>
                <w:sz w:val="18"/>
                <w:szCs w:val="22"/>
              </w:rPr>
              <w:t>7.6</w:t>
            </w:r>
            <w:r w:rsidRPr="00B7668E">
              <w:rPr>
                <w:rFonts w:ascii="Arial" w:hAnsi="Arial" w:cs="Arial"/>
                <w:color w:val="000000"/>
                <w:sz w:val="18"/>
                <w:szCs w:val="22"/>
              </w:rPr>
              <w:t>%</w:t>
            </w:r>
          </w:p>
        </w:tc>
        <w:tc>
          <w:tcPr>
            <w:tcW w:w="928" w:type="pct"/>
            <w:tcBorders>
              <w:top w:val="single" w:sz="4" w:space="0" w:color="auto"/>
            </w:tcBorders>
            <w:shd w:val="clear" w:color="auto" w:fill="auto"/>
            <w:vAlign w:val="center"/>
          </w:tcPr>
          <w:p w:rsidR="00B7668E" w:rsidRPr="00B7668E" w:rsidRDefault="00B7668E" w:rsidP="0019454B">
            <w:pPr>
              <w:jc w:val="center"/>
              <w:rPr>
                <w:rFonts w:ascii="Arial" w:hAnsi="Arial" w:cs="Arial"/>
                <w:color w:val="000000"/>
                <w:sz w:val="18"/>
                <w:szCs w:val="22"/>
              </w:rPr>
            </w:pPr>
            <w:r w:rsidRPr="00B7668E">
              <w:rPr>
                <w:rFonts w:ascii="Arial" w:hAnsi="Arial" w:cs="Arial"/>
                <w:color w:val="000000"/>
                <w:sz w:val="18"/>
                <w:szCs w:val="22"/>
              </w:rPr>
              <w:t>8</w:t>
            </w:r>
            <w:r w:rsidR="0019454B">
              <w:rPr>
                <w:rFonts w:ascii="Arial" w:hAnsi="Arial" w:cs="Arial"/>
                <w:color w:val="000000"/>
                <w:sz w:val="18"/>
                <w:szCs w:val="22"/>
              </w:rPr>
              <w:t>7</w:t>
            </w:r>
            <w:r w:rsidRPr="00B7668E">
              <w:rPr>
                <w:rFonts w:ascii="Arial" w:hAnsi="Arial" w:cs="Arial"/>
                <w:color w:val="000000"/>
                <w:sz w:val="18"/>
                <w:szCs w:val="22"/>
              </w:rPr>
              <w:t>.6%</w:t>
            </w:r>
          </w:p>
        </w:tc>
        <w:tc>
          <w:tcPr>
            <w:tcW w:w="928" w:type="pct"/>
            <w:tcBorders>
              <w:top w:val="single" w:sz="4" w:space="0" w:color="auto"/>
            </w:tcBorders>
            <w:shd w:val="clear" w:color="auto" w:fill="auto"/>
            <w:vAlign w:val="center"/>
          </w:tcPr>
          <w:p w:rsidR="00B7668E" w:rsidRPr="00B7668E" w:rsidRDefault="00B7668E" w:rsidP="00CF494A">
            <w:pPr>
              <w:jc w:val="center"/>
              <w:rPr>
                <w:rFonts w:ascii="Arial" w:hAnsi="Arial" w:cs="Arial"/>
                <w:color w:val="000000"/>
                <w:sz w:val="18"/>
                <w:szCs w:val="22"/>
              </w:rPr>
            </w:pPr>
            <w:r w:rsidRPr="00B7668E">
              <w:rPr>
                <w:rFonts w:ascii="Arial" w:hAnsi="Arial" w:cs="Arial"/>
                <w:color w:val="000000"/>
                <w:sz w:val="18"/>
                <w:szCs w:val="22"/>
              </w:rPr>
              <w:t>1</w:t>
            </w:r>
            <w:r w:rsidR="00CF494A">
              <w:rPr>
                <w:rFonts w:ascii="Arial" w:hAnsi="Arial" w:cs="Arial"/>
                <w:color w:val="000000"/>
                <w:sz w:val="18"/>
                <w:szCs w:val="22"/>
              </w:rPr>
              <w:t>0.0</w:t>
            </w:r>
            <w:r w:rsidRPr="00B7668E">
              <w:rPr>
                <w:rFonts w:ascii="Arial" w:hAnsi="Arial" w:cs="Arial"/>
                <w:color w:val="000000"/>
                <w:sz w:val="18"/>
                <w:szCs w:val="22"/>
              </w:rPr>
              <w:t>%</w:t>
            </w:r>
          </w:p>
        </w:tc>
        <w:tc>
          <w:tcPr>
            <w:tcW w:w="929" w:type="pct"/>
            <w:tcBorders>
              <w:top w:val="single" w:sz="4" w:space="0" w:color="auto"/>
            </w:tcBorders>
            <w:shd w:val="clear" w:color="auto" w:fill="auto"/>
            <w:vAlign w:val="center"/>
          </w:tcPr>
          <w:p w:rsidR="00B7668E" w:rsidRPr="00B7668E" w:rsidRDefault="00B7668E" w:rsidP="00B7668E">
            <w:pPr>
              <w:jc w:val="center"/>
              <w:rPr>
                <w:rFonts w:ascii="Arial" w:hAnsi="Arial" w:cs="Arial"/>
                <w:color w:val="000000"/>
                <w:sz w:val="18"/>
                <w:szCs w:val="22"/>
              </w:rPr>
            </w:pPr>
            <w:r w:rsidRPr="00B7668E">
              <w:rPr>
                <w:rFonts w:ascii="Arial" w:hAnsi="Arial" w:cs="Arial"/>
                <w:color w:val="000000"/>
                <w:sz w:val="18"/>
                <w:szCs w:val="22"/>
              </w:rPr>
              <w:t>Increasing</w:t>
            </w:r>
          </w:p>
        </w:tc>
      </w:tr>
      <w:tr w:rsidR="00B7668E" w:rsidRPr="00784E38" w:rsidTr="00B7668E">
        <w:trPr>
          <w:cantSplit/>
        </w:trPr>
        <w:tc>
          <w:tcPr>
            <w:tcW w:w="1286" w:type="pct"/>
            <w:shd w:val="clear" w:color="auto" w:fill="auto"/>
          </w:tcPr>
          <w:p w:rsidR="00B7668E" w:rsidRPr="00784E38" w:rsidRDefault="00B7668E" w:rsidP="001141A0">
            <w:pPr>
              <w:pStyle w:val="TableText"/>
              <w:spacing w:before="0"/>
              <w:rPr>
                <w:rFonts w:cs="Arial"/>
                <w:szCs w:val="18"/>
              </w:rPr>
            </w:pPr>
            <w:r w:rsidRPr="00784E38">
              <w:rPr>
                <w:rFonts w:cs="Arial"/>
                <w:szCs w:val="18"/>
              </w:rPr>
              <w:t>National sample</w:t>
            </w:r>
          </w:p>
        </w:tc>
        <w:tc>
          <w:tcPr>
            <w:tcW w:w="928" w:type="pct"/>
            <w:shd w:val="clear" w:color="auto" w:fill="auto"/>
            <w:vAlign w:val="center"/>
          </w:tcPr>
          <w:p w:rsidR="00B7668E" w:rsidRPr="00B7668E" w:rsidRDefault="00B7668E" w:rsidP="0019454B">
            <w:pPr>
              <w:jc w:val="center"/>
              <w:rPr>
                <w:rFonts w:ascii="Arial" w:hAnsi="Arial" w:cs="Arial"/>
                <w:color w:val="000000"/>
                <w:sz w:val="18"/>
                <w:szCs w:val="22"/>
              </w:rPr>
            </w:pPr>
            <w:r w:rsidRPr="00B7668E">
              <w:rPr>
                <w:rFonts w:ascii="Arial" w:hAnsi="Arial" w:cs="Arial"/>
                <w:color w:val="000000"/>
                <w:sz w:val="18"/>
                <w:szCs w:val="22"/>
              </w:rPr>
              <w:t>7</w:t>
            </w:r>
            <w:r w:rsidR="0019454B">
              <w:rPr>
                <w:rFonts w:ascii="Arial" w:hAnsi="Arial" w:cs="Arial"/>
                <w:color w:val="000000"/>
                <w:sz w:val="18"/>
                <w:szCs w:val="22"/>
              </w:rPr>
              <w:t>7.2</w:t>
            </w:r>
            <w:r w:rsidRPr="00B7668E">
              <w:rPr>
                <w:rFonts w:ascii="Arial" w:hAnsi="Arial" w:cs="Arial"/>
                <w:color w:val="000000"/>
                <w:sz w:val="18"/>
                <w:szCs w:val="22"/>
              </w:rPr>
              <w:t>%</w:t>
            </w:r>
          </w:p>
        </w:tc>
        <w:tc>
          <w:tcPr>
            <w:tcW w:w="928" w:type="pct"/>
            <w:shd w:val="clear" w:color="auto" w:fill="auto"/>
            <w:vAlign w:val="center"/>
          </w:tcPr>
          <w:p w:rsidR="00B7668E" w:rsidRPr="00B7668E" w:rsidRDefault="00B7668E" w:rsidP="0019454B">
            <w:pPr>
              <w:jc w:val="center"/>
              <w:rPr>
                <w:rFonts w:ascii="Arial" w:hAnsi="Arial" w:cs="Arial"/>
                <w:color w:val="000000"/>
                <w:sz w:val="18"/>
                <w:szCs w:val="22"/>
              </w:rPr>
            </w:pPr>
            <w:r w:rsidRPr="00B7668E">
              <w:rPr>
                <w:rFonts w:ascii="Arial" w:hAnsi="Arial" w:cs="Arial"/>
                <w:color w:val="000000"/>
                <w:sz w:val="18"/>
                <w:szCs w:val="22"/>
              </w:rPr>
              <w:t>8</w:t>
            </w:r>
            <w:r w:rsidR="0019454B">
              <w:rPr>
                <w:rFonts w:ascii="Arial" w:hAnsi="Arial" w:cs="Arial"/>
                <w:color w:val="000000"/>
                <w:sz w:val="18"/>
                <w:szCs w:val="22"/>
              </w:rPr>
              <w:t>6.8</w:t>
            </w:r>
            <w:r w:rsidRPr="00B7668E">
              <w:rPr>
                <w:rFonts w:ascii="Arial" w:hAnsi="Arial" w:cs="Arial"/>
                <w:color w:val="000000"/>
                <w:sz w:val="18"/>
                <w:szCs w:val="22"/>
              </w:rPr>
              <w:t>%</w:t>
            </w:r>
          </w:p>
        </w:tc>
        <w:tc>
          <w:tcPr>
            <w:tcW w:w="928" w:type="pct"/>
            <w:shd w:val="clear" w:color="auto" w:fill="auto"/>
            <w:vAlign w:val="center"/>
          </w:tcPr>
          <w:p w:rsidR="00B7668E" w:rsidRPr="00B7668E" w:rsidRDefault="00CF494A" w:rsidP="00CF494A">
            <w:pPr>
              <w:jc w:val="center"/>
              <w:rPr>
                <w:rFonts w:ascii="Arial" w:hAnsi="Arial" w:cs="Arial"/>
                <w:color w:val="000000"/>
                <w:sz w:val="18"/>
                <w:szCs w:val="22"/>
              </w:rPr>
            </w:pPr>
            <w:r>
              <w:rPr>
                <w:rFonts w:ascii="Arial" w:hAnsi="Arial" w:cs="Arial"/>
                <w:color w:val="000000"/>
                <w:sz w:val="18"/>
                <w:szCs w:val="22"/>
              </w:rPr>
              <w:t>9.6</w:t>
            </w:r>
            <w:r w:rsidR="00B7668E" w:rsidRPr="00B7668E">
              <w:rPr>
                <w:rFonts w:ascii="Arial" w:hAnsi="Arial" w:cs="Arial"/>
                <w:color w:val="000000"/>
                <w:sz w:val="18"/>
                <w:szCs w:val="22"/>
              </w:rPr>
              <w:t>%</w:t>
            </w:r>
          </w:p>
        </w:tc>
        <w:tc>
          <w:tcPr>
            <w:tcW w:w="929" w:type="pct"/>
            <w:shd w:val="clear" w:color="auto" w:fill="auto"/>
            <w:vAlign w:val="center"/>
          </w:tcPr>
          <w:p w:rsidR="00B7668E" w:rsidRPr="00B7668E" w:rsidRDefault="00B7668E" w:rsidP="00B7668E">
            <w:pPr>
              <w:jc w:val="center"/>
              <w:rPr>
                <w:rFonts w:ascii="Arial" w:hAnsi="Arial" w:cs="Arial"/>
                <w:color w:val="000000"/>
                <w:sz w:val="18"/>
                <w:szCs w:val="22"/>
              </w:rPr>
            </w:pPr>
            <w:r w:rsidRPr="00B7668E">
              <w:rPr>
                <w:rFonts w:ascii="Arial" w:hAnsi="Arial" w:cs="Arial"/>
                <w:color w:val="000000"/>
                <w:sz w:val="18"/>
                <w:szCs w:val="22"/>
              </w:rPr>
              <w:t>Increasing</w:t>
            </w:r>
          </w:p>
        </w:tc>
      </w:tr>
    </w:tbl>
    <w:p w:rsidR="00457B04" w:rsidRDefault="00457B04" w:rsidP="0070527F"/>
    <w:p w:rsidR="00457B04" w:rsidRDefault="00457B04" w:rsidP="0070527F">
      <w:r w:rsidRPr="00BD781F">
        <w:t xml:space="preserve">During the last year, good gains have been made against the indicator </w:t>
      </w:r>
      <w:r w:rsidR="00634870">
        <w:t>‘</w:t>
      </w:r>
      <w:r w:rsidRPr="00BD781F">
        <w:t>CVD risk recorded</w:t>
      </w:r>
      <w:r w:rsidR="00634870">
        <w:t>’</w:t>
      </w:r>
      <w:r w:rsidRPr="00BD781F">
        <w:t xml:space="preserve">. The completion of a CVD risk assessment in registered patients in the Whānau Ora sample increased from </w:t>
      </w:r>
      <w:r w:rsidR="00B7668E">
        <w:t>7</w:t>
      </w:r>
      <w:r w:rsidR="00CF494A">
        <w:t>7.6</w:t>
      </w:r>
      <w:r w:rsidRPr="00BD781F">
        <w:t xml:space="preserve"> percent to </w:t>
      </w:r>
      <w:r w:rsidR="00B7668E">
        <w:t>8</w:t>
      </w:r>
      <w:r w:rsidR="00CF494A">
        <w:t>7</w:t>
      </w:r>
      <w:r w:rsidR="00B7668E">
        <w:t>.6</w:t>
      </w:r>
      <w:r w:rsidRPr="00BD781F">
        <w:t xml:space="preserve"> percent, an increase of </w:t>
      </w:r>
      <w:r w:rsidR="00B7668E">
        <w:t>1</w:t>
      </w:r>
      <w:r w:rsidR="00CF494A">
        <w:t>0.0</w:t>
      </w:r>
      <w:r>
        <w:t xml:space="preserve"> </w:t>
      </w:r>
      <w:r w:rsidRPr="00BD781F">
        <w:t>percent.</w:t>
      </w:r>
    </w:p>
    <w:p w:rsidR="00457B04" w:rsidRDefault="00457B04" w:rsidP="0070527F"/>
    <w:p w:rsidR="00457B04" w:rsidRDefault="00457B04" w:rsidP="0070527F">
      <w:r>
        <w:t xml:space="preserve">The Whānau Ora sample performed </w:t>
      </w:r>
      <w:r w:rsidR="00CF494A">
        <w:rPr>
          <w:b/>
        </w:rPr>
        <w:t xml:space="preserve">better than </w:t>
      </w:r>
      <w:r>
        <w:t xml:space="preserve">the national sample in the </w:t>
      </w:r>
      <w:r w:rsidR="00634870">
        <w:t>‘</w:t>
      </w:r>
      <w:r>
        <w:t>CVD risk recorded</w:t>
      </w:r>
      <w:r w:rsidR="00634870">
        <w:t>’</w:t>
      </w:r>
      <w:r>
        <w:t xml:space="preserve"> indicator.</w:t>
      </w:r>
    </w:p>
    <w:p w:rsidR="00457B04" w:rsidRDefault="00457B04" w:rsidP="0070527F"/>
    <w:p w:rsidR="00457B04" w:rsidRDefault="00457B04" w:rsidP="0070527F">
      <w:pPr>
        <w:pStyle w:val="Figure"/>
      </w:pPr>
      <w:bookmarkStart w:id="29" w:name="_Toc353868272"/>
      <w:bookmarkStart w:id="30" w:name="_Toc411429622"/>
      <w:bookmarkStart w:id="31" w:name="_Toc417980818"/>
      <w:r>
        <w:t xml:space="preserve">Figure </w:t>
      </w:r>
      <w:r w:rsidR="00E2376C">
        <w:fldChar w:fldCharType="begin"/>
      </w:r>
      <w:r w:rsidR="00E2376C">
        <w:instrText xml:space="preserve"> SEQ Graph \* ARABIC </w:instrText>
      </w:r>
      <w:r w:rsidR="00E2376C">
        <w:fldChar w:fldCharType="separate"/>
      </w:r>
      <w:r w:rsidR="00E2376C">
        <w:rPr>
          <w:noProof/>
        </w:rPr>
        <w:t>1</w:t>
      </w:r>
      <w:r w:rsidR="00E2376C">
        <w:rPr>
          <w:noProof/>
        </w:rPr>
        <w:fldChar w:fldCharType="end"/>
      </w:r>
      <w:r w:rsidRPr="00F65F07">
        <w:t>:</w:t>
      </w:r>
      <w:r>
        <w:t xml:space="preserve"> </w:t>
      </w:r>
      <w:r w:rsidRPr="00F65F07">
        <w:t xml:space="preserve">Performance against the </w:t>
      </w:r>
      <w:r w:rsidR="00634870">
        <w:t>‘</w:t>
      </w:r>
      <w:r w:rsidRPr="00F65F07">
        <w:t>CVD risk recorded</w:t>
      </w:r>
      <w:r w:rsidR="00634870">
        <w:t>’</w:t>
      </w:r>
      <w:r w:rsidRPr="00F65F07">
        <w:t xml:space="preserve"> indicator</w:t>
      </w:r>
      <w:bookmarkEnd w:id="29"/>
      <w:bookmarkEnd w:id="30"/>
      <w:bookmarkEnd w:id="31"/>
    </w:p>
    <w:p w:rsidR="00457B04" w:rsidRPr="002D7B07" w:rsidRDefault="003A10A7" w:rsidP="0070527F">
      <w:r>
        <w:rPr>
          <w:noProof/>
          <w:lang w:eastAsia="en-NZ"/>
        </w:rPr>
        <w:drawing>
          <wp:inline distT="0" distB="0" distL="0" distR="0" wp14:anchorId="0D1F88A2" wp14:editId="0DC962C8">
            <wp:extent cx="4901142" cy="29527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F7C" w:rsidRDefault="009C3F7C" w:rsidP="009C3F7C">
      <w:bookmarkStart w:id="32" w:name="_Toc350162542"/>
      <w:bookmarkStart w:id="33" w:name="_Toc353959531"/>
      <w:bookmarkStart w:id="34" w:name="_Toc362600465"/>
      <w:bookmarkStart w:id="35" w:name="_Toc411433972"/>
    </w:p>
    <w:p w:rsidR="00457B04" w:rsidRDefault="00457B04" w:rsidP="009C3F7C">
      <w:pPr>
        <w:pStyle w:val="Heading2"/>
      </w:pPr>
      <w:bookmarkStart w:id="36" w:name="_Toc421710355"/>
      <w:r w:rsidRPr="00CD3C15">
        <w:t>Indicator 2:</w:t>
      </w:r>
      <w:r>
        <w:t xml:space="preserve"> </w:t>
      </w:r>
      <w:r w:rsidRPr="00CD3C15">
        <w:t>Diabetes patient review</w:t>
      </w:r>
      <w:r>
        <w:t xml:space="preserve"> </w:t>
      </w:r>
      <w:bookmarkEnd w:id="32"/>
      <w:r w:rsidRPr="00CD3C15">
        <w:t xml:space="preserve">– </w:t>
      </w:r>
      <w:r w:rsidR="00216780">
        <w:t>little change</w:t>
      </w:r>
      <w:r w:rsidRPr="00CD3C15">
        <w:t xml:space="preserve"> </w:t>
      </w:r>
      <w:r>
        <w:t>over the</w:t>
      </w:r>
      <w:r w:rsidRPr="00CD3C15">
        <w:t xml:space="preserve"> year</w:t>
      </w:r>
      <w:r>
        <w:t xml:space="preserve"> </w:t>
      </w:r>
      <w:r w:rsidR="0019454B">
        <w:t>March 2014 to March 2015</w:t>
      </w:r>
      <w:bookmarkEnd w:id="33"/>
      <w:bookmarkEnd w:id="34"/>
      <w:bookmarkEnd w:id="35"/>
      <w:bookmarkEnd w:id="36"/>
    </w:p>
    <w:p w:rsidR="00457B04" w:rsidRPr="00F65F07" w:rsidRDefault="00457B04" w:rsidP="0070527F">
      <w:r w:rsidRPr="00F65F07">
        <w:t>Definition:</w:t>
      </w:r>
      <w:r>
        <w:t xml:space="preserve"> </w:t>
      </w:r>
      <w:r w:rsidRPr="00F65F07">
        <w:t xml:space="preserve">Percentage of all registered patients aged 15–79 </w:t>
      </w:r>
      <w:r>
        <w:t xml:space="preserve">years </w:t>
      </w:r>
      <w:r w:rsidRPr="00F65F07">
        <w:t>with diabetes mellitus who have had a diabetes review co</w:t>
      </w:r>
      <w:r>
        <w:t>mpleted in the last 13 months.</w:t>
      </w:r>
    </w:p>
    <w:p w:rsidR="00457B04" w:rsidRPr="00F65F07" w:rsidRDefault="00457B04" w:rsidP="0070527F"/>
    <w:p w:rsidR="00457B04" w:rsidRDefault="00457B04" w:rsidP="0070527F">
      <w:pPr>
        <w:pStyle w:val="Table"/>
      </w:pPr>
      <w:bookmarkStart w:id="37" w:name="_Toc353959546"/>
      <w:bookmarkStart w:id="38" w:name="_Toc379540122"/>
      <w:bookmarkStart w:id="39" w:name="_Toc421535717"/>
      <w:r w:rsidRPr="00F65F07">
        <w:t xml:space="preserve">Table </w:t>
      </w:r>
      <w:r w:rsidR="00E2376C">
        <w:fldChar w:fldCharType="begin"/>
      </w:r>
      <w:r w:rsidR="00E2376C">
        <w:instrText xml:space="preserve"> SEQ Table \* ARABIC </w:instrText>
      </w:r>
      <w:r w:rsidR="00E2376C">
        <w:fldChar w:fldCharType="separate"/>
      </w:r>
      <w:r w:rsidR="00E2376C">
        <w:rPr>
          <w:noProof/>
        </w:rPr>
        <w:t>2</w:t>
      </w:r>
      <w:r w:rsidR="00E2376C">
        <w:rPr>
          <w:noProof/>
        </w:rPr>
        <w:fldChar w:fldCharType="end"/>
      </w:r>
      <w:r w:rsidRPr="00F65F07">
        <w:t>:</w:t>
      </w:r>
      <w:r>
        <w:t xml:space="preserve"> </w:t>
      </w:r>
      <w:r w:rsidRPr="00F65F07">
        <w:t xml:space="preserve">Performance against </w:t>
      </w:r>
      <w:r>
        <w:t xml:space="preserve">the </w:t>
      </w:r>
      <w:r w:rsidR="00634870">
        <w:t>‘</w:t>
      </w:r>
      <w:r>
        <w:t>Diabetes patient review</w:t>
      </w:r>
      <w:r w:rsidR="00634870">
        <w:t>’</w:t>
      </w:r>
      <w:r>
        <w:t xml:space="preserve"> indicator</w:t>
      </w:r>
      <w:bookmarkEnd w:id="37"/>
      <w:bookmarkEnd w:id="38"/>
      <w:bookmarkEnd w:id="39"/>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07"/>
        <w:gridCol w:w="1737"/>
        <w:gridCol w:w="1737"/>
        <w:gridCol w:w="1736"/>
        <w:gridCol w:w="1738"/>
      </w:tblGrid>
      <w:tr w:rsidR="00457B04" w:rsidRPr="009C5A6A" w:rsidTr="007A1E11">
        <w:trPr>
          <w:cantSplit/>
        </w:trPr>
        <w:tc>
          <w:tcPr>
            <w:tcW w:w="1286" w:type="pct"/>
            <w:tcBorders>
              <w:top w:val="single" w:sz="4" w:space="0" w:color="auto"/>
              <w:bottom w:val="single" w:sz="4" w:space="0" w:color="auto"/>
            </w:tcBorders>
            <w:shd w:val="clear" w:color="auto" w:fill="auto"/>
          </w:tcPr>
          <w:p w:rsidR="00457B04" w:rsidRPr="009C5A6A" w:rsidRDefault="00457B04" w:rsidP="007A1E11">
            <w:pPr>
              <w:pStyle w:val="TableText"/>
              <w:rPr>
                <w:b/>
              </w:rPr>
            </w:pPr>
          </w:p>
        </w:tc>
        <w:tc>
          <w:tcPr>
            <w:tcW w:w="928"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2014</w:t>
            </w:r>
          </w:p>
        </w:tc>
        <w:tc>
          <w:tcPr>
            <w:tcW w:w="928"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2015</w:t>
            </w:r>
          </w:p>
        </w:tc>
        <w:tc>
          <w:tcPr>
            <w:tcW w:w="928" w:type="pct"/>
            <w:tcBorders>
              <w:top w:val="single" w:sz="4" w:space="0" w:color="auto"/>
              <w:bottom w:val="single" w:sz="4" w:space="0" w:color="auto"/>
            </w:tcBorders>
            <w:shd w:val="clear" w:color="auto" w:fill="auto"/>
          </w:tcPr>
          <w:p w:rsidR="00457B04" w:rsidRPr="009C5A6A" w:rsidRDefault="00457B04" w:rsidP="007A1E11">
            <w:pPr>
              <w:pStyle w:val="TableText"/>
              <w:jc w:val="center"/>
              <w:rPr>
                <w:b/>
              </w:rPr>
            </w:pPr>
            <w:r>
              <w:rPr>
                <w:b/>
              </w:rPr>
              <w:t>Difference</w:t>
            </w:r>
          </w:p>
        </w:tc>
        <w:tc>
          <w:tcPr>
            <w:tcW w:w="929" w:type="pct"/>
            <w:tcBorders>
              <w:top w:val="single" w:sz="4" w:space="0" w:color="auto"/>
              <w:bottom w:val="single" w:sz="4" w:space="0" w:color="auto"/>
            </w:tcBorders>
            <w:shd w:val="clear" w:color="auto" w:fill="auto"/>
          </w:tcPr>
          <w:p w:rsidR="00457B04" w:rsidRPr="009C5A6A" w:rsidRDefault="00457B04" w:rsidP="007A1E11">
            <w:pPr>
              <w:pStyle w:val="TableText"/>
              <w:jc w:val="center"/>
              <w:rPr>
                <w:b/>
              </w:rPr>
            </w:pPr>
            <w:r w:rsidRPr="009C5A6A">
              <w:rPr>
                <w:b/>
              </w:rPr>
              <w:t>Trend last year</w:t>
            </w:r>
          </w:p>
        </w:tc>
      </w:tr>
      <w:tr w:rsidR="00216780" w:rsidRPr="008E631B" w:rsidTr="00216780">
        <w:trPr>
          <w:cantSplit/>
        </w:trPr>
        <w:tc>
          <w:tcPr>
            <w:tcW w:w="1286" w:type="pct"/>
            <w:tcBorders>
              <w:top w:val="single" w:sz="4" w:space="0" w:color="auto"/>
            </w:tcBorders>
            <w:shd w:val="clear" w:color="auto" w:fill="auto"/>
          </w:tcPr>
          <w:p w:rsidR="00216780" w:rsidRPr="00F65F07" w:rsidRDefault="00216780" w:rsidP="007A1E11">
            <w:pPr>
              <w:pStyle w:val="TableText"/>
            </w:pPr>
            <w:r w:rsidRPr="00F65F07">
              <w:t>Whānau Ora sample</w:t>
            </w:r>
          </w:p>
        </w:tc>
        <w:tc>
          <w:tcPr>
            <w:tcW w:w="928" w:type="pct"/>
            <w:tcBorders>
              <w:top w:val="single" w:sz="4" w:space="0" w:color="auto"/>
            </w:tcBorders>
            <w:shd w:val="clear" w:color="auto" w:fill="auto"/>
            <w:vAlign w:val="center"/>
          </w:tcPr>
          <w:p w:rsidR="00216780" w:rsidRPr="009959ED" w:rsidRDefault="00216780" w:rsidP="00216780">
            <w:pPr>
              <w:jc w:val="center"/>
              <w:rPr>
                <w:rFonts w:ascii="Arial" w:hAnsi="Arial" w:cs="Arial"/>
                <w:sz w:val="18"/>
              </w:rPr>
            </w:pPr>
            <w:r w:rsidRPr="009959ED">
              <w:rPr>
                <w:rFonts w:ascii="Arial" w:hAnsi="Arial" w:cs="Arial"/>
                <w:sz w:val="18"/>
              </w:rPr>
              <w:t>7</w:t>
            </w:r>
            <w:r>
              <w:rPr>
                <w:rFonts w:ascii="Arial" w:hAnsi="Arial" w:cs="Arial"/>
                <w:sz w:val="18"/>
              </w:rPr>
              <w:t>6.1</w:t>
            </w:r>
            <w:r w:rsidRPr="009959ED">
              <w:rPr>
                <w:rFonts w:ascii="Arial" w:hAnsi="Arial" w:cs="Arial"/>
                <w:sz w:val="18"/>
              </w:rPr>
              <w:t>%</w:t>
            </w:r>
          </w:p>
        </w:tc>
        <w:tc>
          <w:tcPr>
            <w:tcW w:w="928" w:type="pct"/>
            <w:tcBorders>
              <w:top w:val="single" w:sz="4" w:space="0" w:color="auto"/>
            </w:tcBorders>
            <w:shd w:val="clear" w:color="auto" w:fill="auto"/>
            <w:vAlign w:val="center"/>
          </w:tcPr>
          <w:p w:rsidR="00216780" w:rsidRPr="009959ED" w:rsidRDefault="00216780" w:rsidP="00216780">
            <w:pPr>
              <w:jc w:val="center"/>
              <w:rPr>
                <w:rFonts w:ascii="Arial" w:hAnsi="Arial" w:cs="Arial"/>
                <w:sz w:val="18"/>
              </w:rPr>
            </w:pPr>
            <w:r w:rsidRPr="009959ED">
              <w:rPr>
                <w:rFonts w:ascii="Arial" w:hAnsi="Arial" w:cs="Arial"/>
                <w:sz w:val="18"/>
              </w:rPr>
              <w:t>77.</w:t>
            </w:r>
            <w:r>
              <w:rPr>
                <w:rFonts w:ascii="Arial" w:hAnsi="Arial" w:cs="Arial"/>
                <w:sz w:val="18"/>
              </w:rPr>
              <w:t>0</w:t>
            </w:r>
            <w:r w:rsidRPr="009959ED">
              <w:rPr>
                <w:rFonts w:ascii="Arial" w:hAnsi="Arial" w:cs="Arial"/>
                <w:sz w:val="18"/>
              </w:rPr>
              <w:t>%</w:t>
            </w:r>
          </w:p>
        </w:tc>
        <w:tc>
          <w:tcPr>
            <w:tcW w:w="928" w:type="pct"/>
            <w:tcBorders>
              <w:top w:val="single" w:sz="4" w:space="0" w:color="auto"/>
            </w:tcBorders>
            <w:shd w:val="clear" w:color="auto" w:fill="auto"/>
            <w:vAlign w:val="center"/>
          </w:tcPr>
          <w:p w:rsidR="00216780" w:rsidRPr="009959ED" w:rsidRDefault="00216780" w:rsidP="00216780">
            <w:pPr>
              <w:jc w:val="center"/>
              <w:rPr>
                <w:rFonts w:ascii="Arial" w:hAnsi="Arial" w:cs="Arial"/>
                <w:sz w:val="18"/>
              </w:rPr>
            </w:pPr>
            <w:r>
              <w:rPr>
                <w:rFonts w:ascii="Arial" w:hAnsi="Arial" w:cs="Arial"/>
                <w:sz w:val="18"/>
              </w:rPr>
              <w:t>0</w:t>
            </w:r>
            <w:r w:rsidRPr="009959ED">
              <w:rPr>
                <w:rFonts w:ascii="Arial" w:hAnsi="Arial" w:cs="Arial"/>
                <w:sz w:val="18"/>
              </w:rPr>
              <w:t>.</w:t>
            </w:r>
            <w:r>
              <w:rPr>
                <w:rFonts w:ascii="Arial" w:hAnsi="Arial" w:cs="Arial"/>
                <w:sz w:val="18"/>
              </w:rPr>
              <w:t>9</w:t>
            </w:r>
            <w:r w:rsidRPr="009959ED">
              <w:rPr>
                <w:rFonts w:ascii="Arial" w:hAnsi="Arial" w:cs="Arial"/>
                <w:sz w:val="18"/>
              </w:rPr>
              <w:t>%</w:t>
            </w:r>
          </w:p>
        </w:tc>
        <w:tc>
          <w:tcPr>
            <w:tcW w:w="929" w:type="pct"/>
            <w:tcBorders>
              <w:top w:val="single" w:sz="4" w:space="0" w:color="auto"/>
            </w:tcBorders>
            <w:shd w:val="clear" w:color="auto" w:fill="auto"/>
          </w:tcPr>
          <w:p w:rsidR="00216780" w:rsidRPr="0050403C" w:rsidRDefault="00216780" w:rsidP="00216780">
            <w:pPr>
              <w:pStyle w:val="TableText"/>
              <w:jc w:val="center"/>
            </w:pPr>
            <w:r>
              <w:t>Little change</w:t>
            </w:r>
          </w:p>
        </w:tc>
      </w:tr>
      <w:tr w:rsidR="00216780" w:rsidRPr="008E631B" w:rsidTr="00216780">
        <w:trPr>
          <w:cantSplit/>
        </w:trPr>
        <w:tc>
          <w:tcPr>
            <w:tcW w:w="1286" w:type="pct"/>
            <w:shd w:val="clear" w:color="auto" w:fill="auto"/>
          </w:tcPr>
          <w:p w:rsidR="00216780" w:rsidRPr="00F65F07" w:rsidRDefault="00216780" w:rsidP="001141A0">
            <w:pPr>
              <w:pStyle w:val="TableText"/>
              <w:spacing w:before="0"/>
            </w:pPr>
            <w:r w:rsidRPr="00F65F07">
              <w:t>National sample</w:t>
            </w:r>
          </w:p>
        </w:tc>
        <w:tc>
          <w:tcPr>
            <w:tcW w:w="928" w:type="pct"/>
            <w:shd w:val="clear" w:color="auto" w:fill="auto"/>
            <w:vAlign w:val="center"/>
          </w:tcPr>
          <w:p w:rsidR="00216780" w:rsidRPr="009959ED" w:rsidRDefault="00216780" w:rsidP="00216780">
            <w:pPr>
              <w:jc w:val="center"/>
              <w:rPr>
                <w:rFonts w:ascii="Arial" w:hAnsi="Arial" w:cs="Arial"/>
                <w:sz w:val="18"/>
              </w:rPr>
            </w:pPr>
            <w:r w:rsidRPr="009959ED">
              <w:rPr>
                <w:rFonts w:ascii="Arial" w:hAnsi="Arial" w:cs="Arial"/>
                <w:sz w:val="18"/>
              </w:rPr>
              <w:t>7</w:t>
            </w:r>
            <w:r>
              <w:rPr>
                <w:rFonts w:ascii="Arial" w:hAnsi="Arial" w:cs="Arial"/>
                <w:sz w:val="18"/>
              </w:rPr>
              <w:t>1.4</w:t>
            </w:r>
            <w:r w:rsidRPr="009959ED">
              <w:rPr>
                <w:rFonts w:ascii="Arial" w:hAnsi="Arial" w:cs="Arial"/>
                <w:sz w:val="18"/>
              </w:rPr>
              <w:t>%</w:t>
            </w:r>
          </w:p>
        </w:tc>
        <w:tc>
          <w:tcPr>
            <w:tcW w:w="928" w:type="pct"/>
            <w:shd w:val="clear" w:color="auto" w:fill="auto"/>
            <w:vAlign w:val="center"/>
          </w:tcPr>
          <w:p w:rsidR="00216780" w:rsidRPr="009959ED" w:rsidRDefault="00216780" w:rsidP="00216780">
            <w:pPr>
              <w:jc w:val="center"/>
              <w:rPr>
                <w:rFonts w:ascii="Arial" w:hAnsi="Arial" w:cs="Arial"/>
                <w:sz w:val="18"/>
              </w:rPr>
            </w:pPr>
            <w:r w:rsidRPr="009959ED">
              <w:rPr>
                <w:rFonts w:ascii="Arial" w:hAnsi="Arial" w:cs="Arial"/>
                <w:sz w:val="18"/>
              </w:rPr>
              <w:t>73.</w:t>
            </w:r>
            <w:r>
              <w:rPr>
                <w:rFonts w:ascii="Arial" w:hAnsi="Arial" w:cs="Arial"/>
                <w:sz w:val="18"/>
              </w:rPr>
              <w:t>1</w:t>
            </w:r>
            <w:r w:rsidRPr="009959ED">
              <w:rPr>
                <w:rFonts w:ascii="Arial" w:hAnsi="Arial" w:cs="Arial"/>
                <w:sz w:val="18"/>
              </w:rPr>
              <w:t>%</w:t>
            </w:r>
          </w:p>
        </w:tc>
        <w:tc>
          <w:tcPr>
            <w:tcW w:w="928" w:type="pct"/>
            <w:shd w:val="clear" w:color="auto" w:fill="auto"/>
            <w:vAlign w:val="center"/>
          </w:tcPr>
          <w:p w:rsidR="00216780" w:rsidRPr="009959ED" w:rsidRDefault="00D93973" w:rsidP="00D93973">
            <w:pPr>
              <w:jc w:val="center"/>
              <w:rPr>
                <w:rFonts w:ascii="Arial" w:hAnsi="Arial" w:cs="Arial"/>
                <w:sz w:val="18"/>
              </w:rPr>
            </w:pPr>
            <w:r>
              <w:rPr>
                <w:rFonts w:ascii="Arial" w:hAnsi="Arial" w:cs="Arial"/>
                <w:sz w:val="18"/>
              </w:rPr>
              <w:t>1.7</w:t>
            </w:r>
            <w:r w:rsidR="00216780" w:rsidRPr="009959ED">
              <w:rPr>
                <w:rFonts w:ascii="Arial" w:hAnsi="Arial" w:cs="Arial"/>
                <w:sz w:val="18"/>
              </w:rPr>
              <w:t>%</w:t>
            </w:r>
          </w:p>
        </w:tc>
        <w:tc>
          <w:tcPr>
            <w:tcW w:w="929" w:type="pct"/>
            <w:shd w:val="clear" w:color="auto" w:fill="auto"/>
          </w:tcPr>
          <w:p w:rsidR="00216780" w:rsidRPr="0050403C" w:rsidRDefault="00216780" w:rsidP="00216780">
            <w:pPr>
              <w:pStyle w:val="TableText"/>
              <w:spacing w:before="0"/>
              <w:jc w:val="center"/>
            </w:pPr>
            <w:r>
              <w:t>Little change</w:t>
            </w:r>
          </w:p>
        </w:tc>
      </w:tr>
    </w:tbl>
    <w:p w:rsidR="00457B04" w:rsidRDefault="00457B04" w:rsidP="0070527F"/>
    <w:p w:rsidR="00457B04" w:rsidRDefault="00216780" w:rsidP="0070527F">
      <w:bookmarkStart w:id="40" w:name="_Toc353868273"/>
      <w:r>
        <w:t xml:space="preserve">Over the last year March 2014 to March 2015, there has been little change in the </w:t>
      </w:r>
      <w:r w:rsidR="00457B04">
        <w:t xml:space="preserve">indicator </w:t>
      </w:r>
      <w:r w:rsidR="00634870">
        <w:t>‘</w:t>
      </w:r>
      <w:r w:rsidR="00457B04">
        <w:t>Diabetes patient review</w:t>
      </w:r>
      <w:r w:rsidR="00634870">
        <w:t>’</w:t>
      </w:r>
      <w:r w:rsidR="00457B04">
        <w:t xml:space="preserve"> </w:t>
      </w:r>
      <w:r>
        <w:t xml:space="preserve">for both the </w:t>
      </w:r>
      <w:r w:rsidR="00457B04">
        <w:t xml:space="preserve">Whānau Ora sample </w:t>
      </w:r>
      <w:r>
        <w:t>and National sample, although the Whānau Ora sample results continue to be hi</w:t>
      </w:r>
      <w:r w:rsidR="00F74D3E">
        <w:t>gher than the national sample.</w:t>
      </w:r>
    </w:p>
    <w:p w:rsidR="00216780" w:rsidRDefault="00216780" w:rsidP="0070527F"/>
    <w:p w:rsidR="00457B04" w:rsidRDefault="00457B04" w:rsidP="0070527F">
      <w:bookmarkStart w:id="41" w:name="_Toc411429623"/>
      <w:r w:rsidRPr="00C87452">
        <w:t xml:space="preserve">The Whānau Ora sample performed </w:t>
      </w:r>
      <w:r w:rsidRPr="000652DC">
        <w:rPr>
          <w:b/>
        </w:rPr>
        <w:t>better than</w:t>
      </w:r>
      <w:r w:rsidRPr="00C87452">
        <w:t xml:space="preserve"> the national </w:t>
      </w:r>
      <w:r>
        <w:t xml:space="preserve">sample </w:t>
      </w:r>
      <w:r w:rsidRPr="00C87452">
        <w:t>i</w:t>
      </w:r>
      <w:r>
        <w:t xml:space="preserve">n the </w:t>
      </w:r>
      <w:r w:rsidR="00634870">
        <w:t>‘</w:t>
      </w:r>
      <w:r>
        <w:t>Diabetes patient review</w:t>
      </w:r>
      <w:r w:rsidR="00634870">
        <w:t>’</w:t>
      </w:r>
      <w:r w:rsidRPr="00C87452">
        <w:t xml:space="preserve"> indicator.</w:t>
      </w:r>
      <w:bookmarkEnd w:id="41"/>
    </w:p>
    <w:p w:rsidR="00457B04" w:rsidRPr="00396C69" w:rsidRDefault="00457B04" w:rsidP="0070527F"/>
    <w:p w:rsidR="00457B04" w:rsidRPr="008E631B" w:rsidRDefault="00457B04" w:rsidP="0070527F">
      <w:pPr>
        <w:pStyle w:val="Figure"/>
      </w:pPr>
      <w:bookmarkStart w:id="42" w:name="_Toc411429624"/>
      <w:bookmarkStart w:id="43" w:name="_Toc417980819"/>
      <w:r w:rsidRPr="008E631B">
        <w:t xml:space="preserve">Figure </w:t>
      </w:r>
      <w:r w:rsidR="00E2376C">
        <w:fldChar w:fldCharType="begin"/>
      </w:r>
      <w:r w:rsidR="00E2376C">
        <w:instrText xml:space="preserve"> SEQ Graph \* ARABIC </w:instrText>
      </w:r>
      <w:r w:rsidR="00E2376C">
        <w:fldChar w:fldCharType="separate"/>
      </w:r>
      <w:r w:rsidR="00E2376C">
        <w:rPr>
          <w:noProof/>
        </w:rPr>
        <w:t>2</w:t>
      </w:r>
      <w:r w:rsidR="00E2376C">
        <w:rPr>
          <w:noProof/>
        </w:rPr>
        <w:fldChar w:fldCharType="end"/>
      </w:r>
      <w:r w:rsidRPr="008E631B">
        <w:t xml:space="preserve">: Performance against the </w:t>
      </w:r>
      <w:r w:rsidR="00634870">
        <w:t>‘</w:t>
      </w:r>
      <w:r w:rsidRPr="008E631B">
        <w:t>Diabetes patient review</w:t>
      </w:r>
      <w:r w:rsidR="00634870">
        <w:t>’</w:t>
      </w:r>
      <w:r w:rsidRPr="008E631B">
        <w:t xml:space="preserve"> indicator</w:t>
      </w:r>
      <w:bookmarkEnd w:id="40"/>
      <w:bookmarkEnd w:id="42"/>
      <w:bookmarkEnd w:id="43"/>
    </w:p>
    <w:p w:rsidR="00457B04" w:rsidRPr="008E631B" w:rsidRDefault="0024771C" w:rsidP="0070527F">
      <w:r>
        <w:rPr>
          <w:noProof/>
          <w:lang w:eastAsia="en-NZ"/>
        </w:rPr>
        <w:drawing>
          <wp:inline distT="0" distB="0" distL="0" distR="0" wp14:anchorId="55A75A7E" wp14:editId="104764B3">
            <wp:extent cx="4555374" cy="2859578"/>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7B04" w:rsidRPr="008E631B" w:rsidRDefault="00457B04" w:rsidP="0070527F">
      <w:bookmarkStart w:id="44" w:name="_Toc350162543"/>
    </w:p>
    <w:p w:rsidR="00457B04" w:rsidRDefault="00457B04" w:rsidP="0070527F">
      <w:pPr>
        <w:pStyle w:val="Heading2"/>
      </w:pPr>
      <w:bookmarkStart w:id="45" w:name="_Toc411433973"/>
      <w:bookmarkStart w:id="46" w:name="_Toc421710356"/>
      <w:bookmarkStart w:id="47" w:name="_Toc353959532"/>
      <w:bookmarkStart w:id="48" w:name="_Toc362600466"/>
      <w:r w:rsidRPr="00CD3C15">
        <w:lastRenderedPageBreak/>
        <w:t xml:space="preserve">Indicator </w:t>
      </w:r>
      <w:r>
        <w:t>3</w:t>
      </w:r>
      <w:r w:rsidRPr="00CD3C15">
        <w:t>:</w:t>
      </w:r>
      <w:r>
        <w:t xml:space="preserve"> </w:t>
      </w:r>
      <w:r w:rsidRPr="00CD3C15">
        <w:t>Diabetes management</w:t>
      </w:r>
      <w:r>
        <w:t xml:space="preserve"> </w:t>
      </w:r>
      <w:r w:rsidRPr="00CD3C15">
        <w:t xml:space="preserve">– </w:t>
      </w:r>
      <w:r w:rsidRPr="006568F0">
        <w:t xml:space="preserve">little change </w:t>
      </w:r>
      <w:r>
        <w:t>over the</w:t>
      </w:r>
      <w:r w:rsidRPr="00CD3C15">
        <w:t xml:space="preserve"> year</w:t>
      </w:r>
      <w:r>
        <w:t xml:space="preserve"> </w:t>
      </w:r>
      <w:r w:rsidR="0019454B">
        <w:t>March 2014 to March 2015</w:t>
      </w:r>
      <w:bookmarkEnd w:id="45"/>
      <w:bookmarkEnd w:id="46"/>
    </w:p>
    <w:p w:rsidR="00457B04" w:rsidRPr="00F65F07" w:rsidRDefault="00457B04" w:rsidP="0070527F">
      <w:pPr>
        <w:keepNext/>
      </w:pPr>
      <w:r w:rsidRPr="00F65F07">
        <w:t>Definition:</w:t>
      </w:r>
      <w:r>
        <w:t xml:space="preserve"> </w:t>
      </w:r>
      <w:r w:rsidRPr="006568F0">
        <w:t xml:space="preserve">Median of latest </w:t>
      </w:r>
      <w:proofErr w:type="spellStart"/>
      <w:r w:rsidRPr="006568F0">
        <w:t>mmol</w:t>
      </w:r>
      <w:proofErr w:type="spellEnd"/>
      <w:r w:rsidRPr="006568F0">
        <w:t>/</w:t>
      </w:r>
      <w:proofErr w:type="spellStart"/>
      <w:r w:rsidRPr="006568F0">
        <w:t>mol</w:t>
      </w:r>
      <w:proofErr w:type="spellEnd"/>
      <w:r w:rsidRPr="006568F0">
        <w:t xml:space="preserve"> HbA1c of funded patients with </w:t>
      </w:r>
      <w:r>
        <w:t xml:space="preserve">a </w:t>
      </w:r>
      <w:r w:rsidRPr="006568F0">
        <w:t xml:space="preserve">measure in the last year. </w:t>
      </w:r>
      <w:r w:rsidR="00634870">
        <w:t>‘</w:t>
      </w:r>
      <w:r w:rsidRPr="006568F0">
        <w:t>Other</w:t>
      </w:r>
      <w:r w:rsidR="00634870">
        <w:t>’</w:t>
      </w:r>
      <w:r w:rsidRPr="006568F0">
        <w:t xml:space="preserve"> includes patients with no ethnicity recorded.</w:t>
      </w:r>
    </w:p>
    <w:p w:rsidR="00457B04" w:rsidRPr="00F65F07" w:rsidRDefault="00457B04" w:rsidP="0070527F">
      <w:pPr>
        <w:keepNext/>
      </w:pPr>
    </w:p>
    <w:p w:rsidR="00457B04" w:rsidRPr="00F65F07" w:rsidRDefault="00457B04" w:rsidP="0070527F">
      <w:pPr>
        <w:keepNext/>
      </w:pPr>
      <w:r w:rsidRPr="00F65F07">
        <w:t>Target HbA1c levels vary from person to person, but as a general guide:</w:t>
      </w:r>
    </w:p>
    <w:p w:rsidR="00457B04" w:rsidRPr="00F65F07" w:rsidRDefault="00457B04" w:rsidP="001141A0">
      <w:pPr>
        <w:pStyle w:val="Bullet"/>
        <w:keepNext/>
        <w:spacing w:before="60"/>
      </w:pPr>
      <w:r w:rsidRPr="00F65F07">
        <w:t>a level of &lt; 50 indicates exceptional glycaemic control</w:t>
      </w:r>
    </w:p>
    <w:p w:rsidR="00457B04" w:rsidRPr="00F65F07" w:rsidRDefault="00457B04" w:rsidP="001141A0">
      <w:pPr>
        <w:pStyle w:val="Bullet"/>
        <w:keepNext/>
        <w:spacing w:before="60"/>
      </w:pPr>
      <w:r w:rsidRPr="00F65F07">
        <w:t>a level of 50–54 indicates very good glycaemic control</w:t>
      </w:r>
    </w:p>
    <w:p w:rsidR="00457B04" w:rsidRPr="00F65F07" w:rsidRDefault="00457B04" w:rsidP="001141A0">
      <w:pPr>
        <w:pStyle w:val="Bullet"/>
        <w:spacing w:before="60"/>
      </w:pPr>
      <w:r w:rsidRPr="00F65F07">
        <w:t>a level of 55–64 indicates glycaemic control that is acceptable in many individuals but higher than recommended</w:t>
      </w:r>
    </w:p>
    <w:p w:rsidR="00457B04" w:rsidRPr="00F65F07" w:rsidRDefault="00457B04" w:rsidP="001141A0">
      <w:pPr>
        <w:pStyle w:val="Bullet"/>
        <w:spacing w:before="60"/>
      </w:pPr>
      <w:r w:rsidRPr="00F65F07">
        <w:t>a level of 65–79 indicates suboptimal glycaemic control</w:t>
      </w:r>
    </w:p>
    <w:p w:rsidR="00457B04" w:rsidRPr="00F65F07" w:rsidRDefault="00457B04" w:rsidP="001141A0">
      <w:pPr>
        <w:pStyle w:val="Bullet"/>
        <w:spacing w:before="60"/>
      </w:pPr>
      <w:r w:rsidRPr="00F65F07">
        <w:t>a level of 80–99 indicates poor glycaemic control</w:t>
      </w:r>
    </w:p>
    <w:p w:rsidR="00457B04" w:rsidRPr="00F65F07" w:rsidRDefault="00457B04" w:rsidP="001141A0">
      <w:pPr>
        <w:pStyle w:val="Bullet"/>
        <w:spacing w:before="60"/>
      </w:pPr>
      <w:proofErr w:type="gramStart"/>
      <w:r w:rsidRPr="00F65F07">
        <w:t>a</w:t>
      </w:r>
      <w:proofErr w:type="gramEnd"/>
      <w:r w:rsidRPr="00F65F07">
        <w:t xml:space="preserve"> level of ≥ 100 indicates extremely poor glycaemic control.</w:t>
      </w:r>
    </w:p>
    <w:p w:rsidR="00457B04" w:rsidRPr="00F65F07" w:rsidRDefault="00457B04" w:rsidP="0070527F">
      <w:pPr>
        <w:rPr>
          <w:lang w:eastAsia="en-NZ"/>
        </w:rPr>
      </w:pPr>
    </w:p>
    <w:p w:rsidR="00457B04" w:rsidRPr="00F65F07" w:rsidRDefault="00457B04" w:rsidP="0070527F">
      <w:pPr>
        <w:pStyle w:val="Table"/>
      </w:pPr>
      <w:bookmarkStart w:id="49" w:name="_Toc379540123"/>
      <w:bookmarkStart w:id="50" w:name="_Toc421535718"/>
      <w:r w:rsidRPr="00F65F07">
        <w:t xml:space="preserve">Table </w:t>
      </w:r>
      <w:r>
        <w:t>3</w:t>
      </w:r>
      <w:r w:rsidRPr="00F65F07">
        <w:t>:</w:t>
      </w:r>
      <w:r>
        <w:t xml:space="preserve"> </w:t>
      </w:r>
      <w:r w:rsidRPr="00F65F07">
        <w:t xml:space="preserve">Performance against </w:t>
      </w:r>
      <w:r>
        <w:t xml:space="preserve">the </w:t>
      </w:r>
      <w:r w:rsidR="00634870">
        <w:t>‘</w:t>
      </w:r>
      <w:r>
        <w:t>Diabetes management</w:t>
      </w:r>
      <w:r w:rsidR="00634870">
        <w:t>’</w:t>
      </w:r>
      <w:r>
        <w:t xml:space="preserve"> indicator</w:t>
      </w:r>
      <w:bookmarkEnd w:id="49"/>
      <w:bookmarkEnd w:id="50"/>
    </w:p>
    <w:tbl>
      <w:tblPr>
        <w:tblW w:w="493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07"/>
        <w:gridCol w:w="1738"/>
        <w:gridCol w:w="1736"/>
        <w:gridCol w:w="1736"/>
        <w:gridCol w:w="1736"/>
      </w:tblGrid>
      <w:tr w:rsidR="00457B04" w:rsidRPr="009C5A6A" w:rsidTr="0070527F">
        <w:trPr>
          <w:cantSplit/>
        </w:trPr>
        <w:tc>
          <w:tcPr>
            <w:tcW w:w="1287" w:type="pct"/>
            <w:tcBorders>
              <w:top w:val="single" w:sz="4" w:space="0" w:color="auto"/>
              <w:bottom w:val="single" w:sz="4" w:space="0" w:color="auto"/>
            </w:tcBorders>
            <w:shd w:val="clear" w:color="auto" w:fill="auto"/>
          </w:tcPr>
          <w:p w:rsidR="00457B04" w:rsidRPr="009C5A6A" w:rsidRDefault="00457B04" w:rsidP="0070527F">
            <w:pPr>
              <w:pStyle w:val="TableText"/>
              <w:jc w:val="center"/>
              <w:rPr>
                <w:b/>
              </w:rPr>
            </w:pPr>
          </w:p>
        </w:tc>
        <w:tc>
          <w:tcPr>
            <w:tcW w:w="929" w:type="pct"/>
            <w:tcBorders>
              <w:top w:val="single" w:sz="4" w:space="0" w:color="auto"/>
              <w:bottom w:val="single" w:sz="4" w:space="0" w:color="auto"/>
            </w:tcBorders>
            <w:shd w:val="clear" w:color="auto" w:fill="auto"/>
          </w:tcPr>
          <w:p w:rsidR="00457B04" w:rsidRPr="009C5A6A" w:rsidRDefault="0019454B" w:rsidP="0070527F">
            <w:pPr>
              <w:pStyle w:val="TableText"/>
              <w:jc w:val="center"/>
              <w:rPr>
                <w:b/>
              </w:rPr>
            </w:pPr>
            <w:r>
              <w:rPr>
                <w:b/>
              </w:rPr>
              <w:t>March 2014</w:t>
            </w:r>
          </w:p>
        </w:tc>
        <w:tc>
          <w:tcPr>
            <w:tcW w:w="928" w:type="pct"/>
            <w:tcBorders>
              <w:top w:val="single" w:sz="4" w:space="0" w:color="auto"/>
              <w:bottom w:val="single" w:sz="4" w:space="0" w:color="auto"/>
            </w:tcBorders>
            <w:shd w:val="clear" w:color="auto" w:fill="auto"/>
          </w:tcPr>
          <w:p w:rsidR="00457B04" w:rsidRPr="009C5A6A" w:rsidRDefault="0019454B" w:rsidP="0070527F">
            <w:pPr>
              <w:pStyle w:val="TableText"/>
              <w:jc w:val="center"/>
              <w:rPr>
                <w:b/>
              </w:rPr>
            </w:pPr>
            <w:r>
              <w:rPr>
                <w:b/>
              </w:rPr>
              <w:t>March 2015</w:t>
            </w:r>
          </w:p>
        </w:tc>
        <w:tc>
          <w:tcPr>
            <w:tcW w:w="928" w:type="pct"/>
            <w:tcBorders>
              <w:top w:val="single" w:sz="4" w:space="0" w:color="auto"/>
              <w:bottom w:val="single" w:sz="4" w:space="0" w:color="auto"/>
            </w:tcBorders>
            <w:shd w:val="clear" w:color="auto" w:fill="auto"/>
          </w:tcPr>
          <w:p w:rsidR="00457B04" w:rsidRPr="009C5A6A" w:rsidRDefault="00457B04" w:rsidP="0070527F">
            <w:pPr>
              <w:pStyle w:val="TableText"/>
              <w:jc w:val="center"/>
              <w:rPr>
                <w:b/>
              </w:rPr>
            </w:pPr>
            <w:r>
              <w:rPr>
                <w:b/>
              </w:rPr>
              <w:t>Difference</w:t>
            </w:r>
          </w:p>
        </w:tc>
        <w:tc>
          <w:tcPr>
            <w:tcW w:w="928" w:type="pct"/>
            <w:tcBorders>
              <w:top w:val="single" w:sz="4" w:space="0" w:color="auto"/>
              <w:bottom w:val="single" w:sz="4" w:space="0" w:color="auto"/>
            </w:tcBorders>
          </w:tcPr>
          <w:p w:rsidR="00457B04" w:rsidRPr="009C5A6A" w:rsidRDefault="00457B04" w:rsidP="0070527F">
            <w:pPr>
              <w:pStyle w:val="TableText"/>
              <w:jc w:val="center"/>
              <w:rPr>
                <w:b/>
              </w:rPr>
            </w:pPr>
            <w:r w:rsidRPr="009C5A6A">
              <w:rPr>
                <w:b/>
              </w:rPr>
              <w:t>Trend last year</w:t>
            </w:r>
          </w:p>
        </w:tc>
      </w:tr>
      <w:tr w:rsidR="009959ED" w:rsidRPr="00983B8F" w:rsidTr="009959ED">
        <w:trPr>
          <w:cantSplit/>
        </w:trPr>
        <w:tc>
          <w:tcPr>
            <w:tcW w:w="1287" w:type="pct"/>
            <w:tcBorders>
              <w:top w:val="single" w:sz="4" w:space="0" w:color="auto"/>
            </w:tcBorders>
            <w:shd w:val="clear" w:color="auto" w:fill="auto"/>
          </w:tcPr>
          <w:p w:rsidR="009959ED" w:rsidRPr="00F65F07" w:rsidRDefault="009959ED" w:rsidP="001141A0">
            <w:pPr>
              <w:pStyle w:val="TableText"/>
            </w:pPr>
            <w:r w:rsidRPr="00F65F07">
              <w:t>Whānau Ora sample</w:t>
            </w:r>
          </w:p>
        </w:tc>
        <w:tc>
          <w:tcPr>
            <w:tcW w:w="929" w:type="pct"/>
            <w:tcBorders>
              <w:top w:val="single" w:sz="4" w:space="0" w:color="auto"/>
            </w:tcBorders>
            <w:shd w:val="clear" w:color="auto" w:fill="auto"/>
            <w:vAlign w:val="center"/>
          </w:tcPr>
          <w:p w:rsidR="009959ED" w:rsidRPr="009959ED" w:rsidRDefault="009959ED" w:rsidP="00853EF2">
            <w:pPr>
              <w:jc w:val="center"/>
              <w:rPr>
                <w:rFonts w:ascii="Arial" w:hAnsi="Arial" w:cs="Arial"/>
                <w:color w:val="000000"/>
                <w:sz w:val="18"/>
                <w:szCs w:val="22"/>
              </w:rPr>
            </w:pPr>
            <w:r w:rsidRPr="009959ED">
              <w:rPr>
                <w:rFonts w:ascii="Arial" w:hAnsi="Arial" w:cs="Arial"/>
                <w:color w:val="000000"/>
                <w:sz w:val="18"/>
                <w:szCs w:val="22"/>
              </w:rPr>
              <w:t>5</w:t>
            </w:r>
            <w:r w:rsidR="00853EF2">
              <w:rPr>
                <w:rFonts w:ascii="Arial" w:hAnsi="Arial" w:cs="Arial"/>
                <w:color w:val="000000"/>
                <w:sz w:val="18"/>
                <w:szCs w:val="22"/>
              </w:rPr>
              <w:t>6</w:t>
            </w:r>
            <w:r w:rsidRPr="009959ED">
              <w:rPr>
                <w:rFonts w:ascii="Arial" w:hAnsi="Arial" w:cs="Arial"/>
                <w:color w:val="000000"/>
                <w:sz w:val="18"/>
                <w:szCs w:val="22"/>
              </w:rPr>
              <w:t>.0</w:t>
            </w:r>
          </w:p>
        </w:tc>
        <w:tc>
          <w:tcPr>
            <w:tcW w:w="928" w:type="pct"/>
            <w:tcBorders>
              <w:top w:val="single" w:sz="4" w:space="0" w:color="auto"/>
            </w:tcBorders>
            <w:shd w:val="clear" w:color="auto" w:fill="auto"/>
            <w:vAlign w:val="center"/>
          </w:tcPr>
          <w:p w:rsidR="009959ED" w:rsidRPr="009959ED" w:rsidRDefault="009959ED" w:rsidP="00853EF2">
            <w:pPr>
              <w:jc w:val="center"/>
              <w:rPr>
                <w:rFonts w:ascii="Arial" w:hAnsi="Arial" w:cs="Arial"/>
                <w:color w:val="000000"/>
                <w:sz w:val="18"/>
                <w:szCs w:val="22"/>
              </w:rPr>
            </w:pPr>
            <w:r w:rsidRPr="009959ED">
              <w:rPr>
                <w:rFonts w:ascii="Arial" w:hAnsi="Arial" w:cs="Arial"/>
                <w:color w:val="000000"/>
                <w:sz w:val="18"/>
                <w:szCs w:val="22"/>
              </w:rPr>
              <w:t>5</w:t>
            </w:r>
            <w:r w:rsidR="00853EF2">
              <w:rPr>
                <w:rFonts w:ascii="Arial" w:hAnsi="Arial" w:cs="Arial"/>
                <w:color w:val="000000"/>
                <w:sz w:val="18"/>
                <w:szCs w:val="22"/>
              </w:rPr>
              <w:t>7</w:t>
            </w:r>
            <w:r w:rsidRPr="009959ED">
              <w:rPr>
                <w:rFonts w:ascii="Arial" w:hAnsi="Arial" w:cs="Arial"/>
                <w:color w:val="000000"/>
                <w:sz w:val="18"/>
                <w:szCs w:val="22"/>
              </w:rPr>
              <w:t>.0</w:t>
            </w:r>
          </w:p>
        </w:tc>
        <w:tc>
          <w:tcPr>
            <w:tcW w:w="928" w:type="pct"/>
            <w:tcBorders>
              <w:top w:val="single" w:sz="4" w:space="0" w:color="auto"/>
            </w:tcBorders>
            <w:shd w:val="clear" w:color="auto" w:fill="auto"/>
            <w:vAlign w:val="center"/>
          </w:tcPr>
          <w:p w:rsidR="009959ED" w:rsidRPr="009959ED" w:rsidRDefault="009959ED" w:rsidP="009959ED">
            <w:pPr>
              <w:jc w:val="center"/>
              <w:rPr>
                <w:rFonts w:ascii="Arial" w:hAnsi="Arial" w:cs="Arial"/>
                <w:color w:val="000000"/>
                <w:sz w:val="18"/>
                <w:szCs w:val="22"/>
              </w:rPr>
            </w:pPr>
            <w:r w:rsidRPr="009959ED">
              <w:rPr>
                <w:rFonts w:ascii="Arial" w:hAnsi="Arial" w:cs="Arial"/>
                <w:color w:val="000000"/>
                <w:sz w:val="18"/>
                <w:szCs w:val="22"/>
              </w:rPr>
              <w:t>1.0</w:t>
            </w:r>
          </w:p>
        </w:tc>
        <w:tc>
          <w:tcPr>
            <w:tcW w:w="928" w:type="pct"/>
            <w:tcBorders>
              <w:top w:val="single" w:sz="4" w:space="0" w:color="auto"/>
            </w:tcBorders>
          </w:tcPr>
          <w:p w:rsidR="009959ED" w:rsidRPr="0050403C" w:rsidRDefault="009959ED" w:rsidP="001141A0">
            <w:pPr>
              <w:pStyle w:val="TableText"/>
              <w:jc w:val="center"/>
            </w:pPr>
            <w:r>
              <w:t>Little change</w:t>
            </w:r>
          </w:p>
        </w:tc>
      </w:tr>
      <w:tr w:rsidR="009959ED" w:rsidRPr="00983B8F" w:rsidTr="009959ED">
        <w:trPr>
          <w:cantSplit/>
        </w:trPr>
        <w:tc>
          <w:tcPr>
            <w:tcW w:w="1287" w:type="pct"/>
            <w:shd w:val="clear" w:color="auto" w:fill="auto"/>
          </w:tcPr>
          <w:p w:rsidR="009959ED" w:rsidRPr="00F65F07" w:rsidRDefault="009959ED" w:rsidP="001141A0">
            <w:pPr>
              <w:pStyle w:val="TableText"/>
              <w:spacing w:before="0"/>
            </w:pPr>
            <w:r w:rsidRPr="00F65F07">
              <w:t>National sample</w:t>
            </w:r>
          </w:p>
        </w:tc>
        <w:tc>
          <w:tcPr>
            <w:tcW w:w="929" w:type="pct"/>
            <w:shd w:val="clear" w:color="auto" w:fill="auto"/>
            <w:vAlign w:val="center"/>
          </w:tcPr>
          <w:p w:rsidR="009959ED" w:rsidRPr="009959ED" w:rsidRDefault="009959ED" w:rsidP="009959ED">
            <w:pPr>
              <w:jc w:val="center"/>
              <w:rPr>
                <w:rFonts w:ascii="Arial" w:hAnsi="Arial" w:cs="Arial"/>
                <w:color w:val="000000"/>
                <w:sz w:val="18"/>
                <w:szCs w:val="22"/>
              </w:rPr>
            </w:pPr>
            <w:r w:rsidRPr="009959ED">
              <w:rPr>
                <w:rFonts w:ascii="Arial" w:hAnsi="Arial" w:cs="Arial"/>
                <w:color w:val="000000"/>
                <w:sz w:val="18"/>
                <w:szCs w:val="22"/>
              </w:rPr>
              <w:t>53.0</w:t>
            </w:r>
          </w:p>
        </w:tc>
        <w:tc>
          <w:tcPr>
            <w:tcW w:w="928" w:type="pct"/>
            <w:shd w:val="clear" w:color="auto" w:fill="auto"/>
            <w:vAlign w:val="center"/>
          </w:tcPr>
          <w:p w:rsidR="009959ED" w:rsidRPr="009959ED" w:rsidRDefault="009959ED" w:rsidP="00853EF2">
            <w:pPr>
              <w:jc w:val="center"/>
              <w:rPr>
                <w:rFonts w:ascii="Arial" w:hAnsi="Arial" w:cs="Arial"/>
                <w:color w:val="000000"/>
                <w:sz w:val="18"/>
                <w:szCs w:val="22"/>
              </w:rPr>
            </w:pPr>
            <w:r w:rsidRPr="009959ED">
              <w:rPr>
                <w:rFonts w:ascii="Arial" w:hAnsi="Arial" w:cs="Arial"/>
                <w:color w:val="000000"/>
                <w:sz w:val="18"/>
                <w:szCs w:val="22"/>
              </w:rPr>
              <w:t>5</w:t>
            </w:r>
            <w:r w:rsidR="00853EF2">
              <w:rPr>
                <w:rFonts w:ascii="Arial" w:hAnsi="Arial" w:cs="Arial"/>
                <w:color w:val="000000"/>
                <w:sz w:val="18"/>
                <w:szCs w:val="22"/>
              </w:rPr>
              <w:t>4</w:t>
            </w:r>
            <w:r w:rsidRPr="009959ED">
              <w:rPr>
                <w:rFonts w:ascii="Arial" w:hAnsi="Arial" w:cs="Arial"/>
                <w:color w:val="000000"/>
                <w:sz w:val="18"/>
                <w:szCs w:val="22"/>
              </w:rPr>
              <w:t>.0</w:t>
            </w:r>
          </w:p>
        </w:tc>
        <w:tc>
          <w:tcPr>
            <w:tcW w:w="928" w:type="pct"/>
            <w:shd w:val="clear" w:color="auto" w:fill="auto"/>
            <w:vAlign w:val="center"/>
          </w:tcPr>
          <w:p w:rsidR="009959ED" w:rsidRPr="009959ED" w:rsidRDefault="00853EF2" w:rsidP="00853EF2">
            <w:pPr>
              <w:jc w:val="center"/>
              <w:rPr>
                <w:rFonts w:ascii="Arial" w:hAnsi="Arial" w:cs="Arial"/>
                <w:color w:val="000000"/>
                <w:sz w:val="18"/>
                <w:szCs w:val="22"/>
              </w:rPr>
            </w:pPr>
            <w:r>
              <w:rPr>
                <w:rFonts w:ascii="Arial" w:hAnsi="Arial" w:cs="Arial"/>
                <w:color w:val="000000"/>
                <w:sz w:val="18"/>
                <w:szCs w:val="22"/>
              </w:rPr>
              <w:t>1</w:t>
            </w:r>
            <w:r w:rsidR="009959ED" w:rsidRPr="009959ED">
              <w:rPr>
                <w:rFonts w:ascii="Arial" w:hAnsi="Arial" w:cs="Arial"/>
                <w:color w:val="000000"/>
                <w:sz w:val="18"/>
                <w:szCs w:val="22"/>
              </w:rPr>
              <w:t>.0</w:t>
            </w:r>
          </w:p>
        </w:tc>
        <w:tc>
          <w:tcPr>
            <w:tcW w:w="928" w:type="pct"/>
          </w:tcPr>
          <w:p w:rsidR="009959ED" w:rsidRPr="0050403C" w:rsidRDefault="009959ED" w:rsidP="001141A0">
            <w:pPr>
              <w:pStyle w:val="TableText"/>
              <w:spacing w:before="0"/>
              <w:jc w:val="center"/>
            </w:pPr>
            <w:r>
              <w:t>Little change</w:t>
            </w:r>
          </w:p>
        </w:tc>
      </w:tr>
    </w:tbl>
    <w:p w:rsidR="00457B04" w:rsidRPr="00F65F07" w:rsidRDefault="00457B04" w:rsidP="001141A0"/>
    <w:p w:rsidR="00457B04" w:rsidRDefault="00457B04" w:rsidP="001141A0">
      <w:r w:rsidRPr="00B0301F">
        <w:t xml:space="preserve">This indicator </w:t>
      </w:r>
      <w:r>
        <w:t xml:space="preserve">measures </w:t>
      </w:r>
      <w:r w:rsidRPr="00B0301F">
        <w:t xml:space="preserve">the management of diabetes by </w:t>
      </w:r>
      <w:r>
        <w:t>showing changes to the m</w:t>
      </w:r>
      <w:r w:rsidRPr="006568F0">
        <w:t xml:space="preserve">edian of latest </w:t>
      </w:r>
      <w:proofErr w:type="spellStart"/>
      <w:r w:rsidRPr="006568F0">
        <w:t>mmol</w:t>
      </w:r>
      <w:proofErr w:type="spellEnd"/>
      <w:r w:rsidRPr="006568F0">
        <w:t>/</w:t>
      </w:r>
      <w:proofErr w:type="spellStart"/>
      <w:r w:rsidRPr="006568F0">
        <w:t>mol</w:t>
      </w:r>
      <w:proofErr w:type="spellEnd"/>
      <w:r w:rsidRPr="006568F0">
        <w:t xml:space="preserve"> HbA1c of funded patients</w:t>
      </w:r>
      <w:r>
        <w:t>,</w:t>
      </w:r>
      <w:r w:rsidRPr="006568F0">
        <w:t xml:space="preserve"> with measure</w:t>
      </w:r>
      <w:r>
        <w:t>ment taking place</w:t>
      </w:r>
      <w:r w:rsidRPr="006568F0">
        <w:t xml:space="preserve"> in the last year</w:t>
      </w:r>
      <w:r>
        <w:t xml:space="preserve">. A </w:t>
      </w:r>
      <w:r w:rsidRPr="00B0301F">
        <w:t>downwards median trend is considered good management.</w:t>
      </w:r>
      <w:r w:rsidRPr="001141A0">
        <w:rPr>
          <w:rStyle w:val="FootnoteReference"/>
        </w:rPr>
        <w:footnoteReference w:id="2"/>
      </w:r>
    </w:p>
    <w:p w:rsidR="00457B04" w:rsidRPr="00B0301F" w:rsidRDefault="00457B04" w:rsidP="001141A0"/>
    <w:p w:rsidR="00457B04" w:rsidRDefault="00457B04" w:rsidP="001141A0">
      <w:bookmarkStart w:id="51" w:name="_Toc411429625"/>
      <w:r w:rsidRPr="00117907">
        <w:t xml:space="preserve">The Whānau Ora sample </w:t>
      </w:r>
      <w:r w:rsidRPr="0085202B">
        <w:rPr>
          <w:b/>
        </w:rPr>
        <w:t>did not perform as well as</w:t>
      </w:r>
      <w:r>
        <w:t xml:space="preserve"> </w:t>
      </w:r>
      <w:r w:rsidRPr="00117907">
        <w:t xml:space="preserve">the national sample in the </w:t>
      </w:r>
      <w:r w:rsidR="00634870">
        <w:t>‘</w:t>
      </w:r>
      <w:r w:rsidRPr="00117907">
        <w:t xml:space="preserve">Diabetes </w:t>
      </w:r>
      <w:r>
        <w:t>management</w:t>
      </w:r>
      <w:r w:rsidR="00634870">
        <w:t>’</w:t>
      </w:r>
      <w:r>
        <w:t xml:space="preserve"> </w:t>
      </w:r>
      <w:r w:rsidRPr="00117907">
        <w:t>indicator.</w:t>
      </w:r>
      <w:bookmarkEnd w:id="51"/>
    </w:p>
    <w:p w:rsidR="00457B04" w:rsidRDefault="00457B04" w:rsidP="003A10A7">
      <w:pPr>
        <w:pStyle w:val="Figure"/>
        <w:spacing w:before="240"/>
      </w:pPr>
      <w:bookmarkStart w:id="52" w:name="_Toc411429626"/>
      <w:bookmarkStart w:id="53" w:name="_Toc417980820"/>
      <w:r>
        <w:t>Figure 3</w:t>
      </w:r>
      <w:r w:rsidRPr="00F65F07">
        <w:t>:</w:t>
      </w:r>
      <w:r>
        <w:t xml:space="preserve"> </w:t>
      </w:r>
      <w:r w:rsidRPr="00B0301F">
        <w:t xml:space="preserve">Performance against the </w:t>
      </w:r>
      <w:r w:rsidR="00634870">
        <w:t>‘</w:t>
      </w:r>
      <w:r w:rsidRPr="00B0301F">
        <w:t>Diabetes management</w:t>
      </w:r>
      <w:r w:rsidR="00634870">
        <w:t>’</w:t>
      </w:r>
      <w:r w:rsidRPr="00B0301F">
        <w:t xml:space="preserve"> indicator</w:t>
      </w:r>
      <w:bookmarkEnd w:id="52"/>
      <w:bookmarkEnd w:id="53"/>
    </w:p>
    <w:p w:rsidR="001141A0" w:rsidRDefault="003A10A7" w:rsidP="001141A0">
      <w:bookmarkStart w:id="54" w:name="_Toc411433974"/>
      <w:r>
        <w:rPr>
          <w:noProof/>
          <w:lang w:eastAsia="en-NZ"/>
        </w:rPr>
        <w:drawing>
          <wp:inline distT="0" distB="0" distL="0" distR="0" wp14:anchorId="53305F24" wp14:editId="01BECB83">
            <wp:extent cx="4289368" cy="2784764"/>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57B04" w:rsidRDefault="00457B04" w:rsidP="009C3F7C">
      <w:pPr>
        <w:pStyle w:val="Heading2"/>
        <w:spacing w:before="360"/>
      </w:pPr>
      <w:bookmarkStart w:id="55" w:name="_Toc421710357"/>
      <w:r w:rsidRPr="00CD3C15">
        <w:lastRenderedPageBreak/>
        <w:t xml:space="preserve">Indicator </w:t>
      </w:r>
      <w:r>
        <w:t>4</w:t>
      </w:r>
      <w:r w:rsidRPr="00CD3C15">
        <w:t>: Smoking cessation advice</w:t>
      </w:r>
      <w:bookmarkEnd w:id="44"/>
      <w:r>
        <w:t xml:space="preserve"> </w:t>
      </w:r>
      <w:r w:rsidRPr="00CD3C15">
        <w:t xml:space="preserve">– up </w:t>
      </w:r>
      <w:r w:rsidR="00A23B59">
        <w:t>8.1</w:t>
      </w:r>
      <w:r>
        <w:t> percent</w:t>
      </w:r>
      <w:r w:rsidRPr="00CD3C15">
        <w:t xml:space="preserve"> </w:t>
      </w:r>
      <w:r>
        <w:t>over the</w:t>
      </w:r>
      <w:r w:rsidRPr="00CD3C15">
        <w:t xml:space="preserve"> year</w:t>
      </w:r>
      <w:r>
        <w:t xml:space="preserve"> </w:t>
      </w:r>
      <w:r w:rsidR="0019454B">
        <w:t>March 2014 to March 2015</w:t>
      </w:r>
      <w:bookmarkEnd w:id="47"/>
      <w:bookmarkEnd w:id="48"/>
      <w:bookmarkEnd w:id="54"/>
      <w:bookmarkEnd w:id="55"/>
    </w:p>
    <w:p w:rsidR="00457B04" w:rsidRDefault="00457B04" w:rsidP="001141A0">
      <w:r w:rsidRPr="00F65F07">
        <w:t>Definition:</w:t>
      </w:r>
      <w:r>
        <w:t xml:space="preserve"> </w:t>
      </w:r>
      <w:r w:rsidRPr="00F65F07">
        <w:t>Pe</w:t>
      </w:r>
      <w:r>
        <w:t>rcentage of registered patients</w:t>
      </w:r>
      <w:r w:rsidRPr="00F65F07">
        <w:t xml:space="preserve"> </w:t>
      </w:r>
      <w:r>
        <w:t xml:space="preserve">aged 15–75 years </w:t>
      </w:r>
      <w:r w:rsidRPr="00F65F07">
        <w:t xml:space="preserve">recorded as </w:t>
      </w:r>
      <w:r>
        <w:t>being</w:t>
      </w:r>
      <w:r w:rsidRPr="00F65F07">
        <w:t xml:space="preserve"> </w:t>
      </w:r>
      <w:r>
        <w:t>smokers in the last 15 months, who</w:t>
      </w:r>
      <w:r w:rsidRPr="00F65F07">
        <w:t xml:space="preserve"> have received smoking cessation advice in the last year.</w:t>
      </w:r>
    </w:p>
    <w:p w:rsidR="00457B04" w:rsidRDefault="00457B04" w:rsidP="001141A0"/>
    <w:p w:rsidR="00457B04" w:rsidRDefault="00457B04" w:rsidP="001141A0">
      <w:pPr>
        <w:pStyle w:val="Table"/>
      </w:pPr>
      <w:bookmarkStart w:id="56" w:name="_Toc353959547"/>
      <w:bookmarkStart w:id="57" w:name="_Toc379540124"/>
      <w:bookmarkStart w:id="58" w:name="_Toc421535719"/>
      <w:r w:rsidRPr="00F65F07">
        <w:t xml:space="preserve">Table </w:t>
      </w:r>
      <w:r>
        <w:t>4</w:t>
      </w:r>
      <w:r w:rsidRPr="00F65F07">
        <w:t>:</w:t>
      </w:r>
      <w:r>
        <w:t xml:space="preserve"> </w:t>
      </w:r>
      <w:r w:rsidRPr="00F65F07">
        <w:t>Performance against</w:t>
      </w:r>
      <w:r>
        <w:t xml:space="preserve"> the</w:t>
      </w:r>
      <w:r w:rsidRPr="00F65F07">
        <w:t xml:space="preserve"> </w:t>
      </w:r>
      <w:r w:rsidR="00634870">
        <w:t>‘</w:t>
      </w:r>
      <w:r>
        <w:t>Smoking cessation advice</w:t>
      </w:r>
      <w:r w:rsidR="00634870">
        <w:t>’</w:t>
      </w:r>
      <w:r>
        <w:t xml:space="preserve"> indicator</w:t>
      </w:r>
      <w:bookmarkEnd w:id="56"/>
      <w:bookmarkEnd w:id="57"/>
      <w:bookmarkEnd w:id="58"/>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07"/>
        <w:gridCol w:w="1737"/>
        <w:gridCol w:w="1737"/>
        <w:gridCol w:w="1736"/>
        <w:gridCol w:w="1738"/>
      </w:tblGrid>
      <w:tr w:rsidR="00457B04" w:rsidRPr="009C5A6A" w:rsidTr="007A1E11">
        <w:trPr>
          <w:cantSplit/>
        </w:trPr>
        <w:tc>
          <w:tcPr>
            <w:tcW w:w="1286" w:type="pct"/>
            <w:tcBorders>
              <w:top w:val="single" w:sz="4" w:space="0" w:color="auto"/>
              <w:bottom w:val="single" w:sz="4" w:space="0" w:color="auto"/>
            </w:tcBorders>
            <w:shd w:val="clear" w:color="auto" w:fill="auto"/>
          </w:tcPr>
          <w:p w:rsidR="00457B04" w:rsidRPr="009C5A6A" w:rsidRDefault="00457B04" w:rsidP="007A1E11">
            <w:pPr>
              <w:pStyle w:val="TableText"/>
              <w:rPr>
                <w:b/>
              </w:rPr>
            </w:pPr>
          </w:p>
        </w:tc>
        <w:tc>
          <w:tcPr>
            <w:tcW w:w="928"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2014</w:t>
            </w:r>
          </w:p>
        </w:tc>
        <w:tc>
          <w:tcPr>
            <w:tcW w:w="928"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2015</w:t>
            </w:r>
          </w:p>
        </w:tc>
        <w:tc>
          <w:tcPr>
            <w:tcW w:w="928" w:type="pct"/>
            <w:tcBorders>
              <w:top w:val="single" w:sz="4" w:space="0" w:color="auto"/>
              <w:bottom w:val="single" w:sz="4" w:space="0" w:color="auto"/>
            </w:tcBorders>
            <w:shd w:val="clear" w:color="auto" w:fill="auto"/>
          </w:tcPr>
          <w:p w:rsidR="00457B04" w:rsidRPr="009C5A6A" w:rsidRDefault="00457B04" w:rsidP="007A1E11">
            <w:pPr>
              <w:pStyle w:val="TableText"/>
              <w:jc w:val="center"/>
              <w:rPr>
                <w:b/>
              </w:rPr>
            </w:pPr>
            <w:r>
              <w:rPr>
                <w:b/>
              </w:rPr>
              <w:t>Difference</w:t>
            </w:r>
          </w:p>
        </w:tc>
        <w:tc>
          <w:tcPr>
            <w:tcW w:w="929" w:type="pct"/>
            <w:tcBorders>
              <w:top w:val="single" w:sz="4" w:space="0" w:color="auto"/>
              <w:bottom w:val="single" w:sz="4" w:space="0" w:color="auto"/>
            </w:tcBorders>
            <w:shd w:val="clear" w:color="auto" w:fill="auto"/>
          </w:tcPr>
          <w:p w:rsidR="00457B04" w:rsidRPr="009C5A6A" w:rsidRDefault="00457B04" w:rsidP="007A1E11">
            <w:pPr>
              <w:pStyle w:val="TableText"/>
              <w:jc w:val="center"/>
              <w:rPr>
                <w:b/>
              </w:rPr>
            </w:pPr>
            <w:r w:rsidRPr="009C5A6A">
              <w:rPr>
                <w:b/>
              </w:rPr>
              <w:t>Trend last year</w:t>
            </w:r>
          </w:p>
        </w:tc>
      </w:tr>
      <w:tr w:rsidR="009959ED" w:rsidRPr="00F65F07" w:rsidTr="009959ED">
        <w:trPr>
          <w:cantSplit/>
        </w:trPr>
        <w:tc>
          <w:tcPr>
            <w:tcW w:w="1286" w:type="pct"/>
            <w:tcBorders>
              <w:top w:val="single" w:sz="4" w:space="0" w:color="auto"/>
            </w:tcBorders>
            <w:shd w:val="clear" w:color="auto" w:fill="auto"/>
          </w:tcPr>
          <w:p w:rsidR="009959ED" w:rsidRPr="00F65F07" w:rsidRDefault="009959ED" w:rsidP="001141A0">
            <w:pPr>
              <w:pStyle w:val="TableText"/>
            </w:pPr>
            <w:r w:rsidRPr="00F65F07">
              <w:t>Whānau Ora sample</w:t>
            </w:r>
          </w:p>
        </w:tc>
        <w:tc>
          <w:tcPr>
            <w:tcW w:w="928" w:type="pct"/>
            <w:tcBorders>
              <w:top w:val="single" w:sz="4" w:space="0" w:color="auto"/>
            </w:tcBorders>
            <w:shd w:val="clear" w:color="auto" w:fill="auto"/>
            <w:vAlign w:val="center"/>
          </w:tcPr>
          <w:p w:rsidR="009959ED" w:rsidRPr="009959ED" w:rsidRDefault="00A23B59" w:rsidP="00A23B59">
            <w:pPr>
              <w:jc w:val="center"/>
              <w:rPr>
                <w:rFonts w:ascii="Arial" w:hAnsi="Arial" w:cs="Arial"/>
                <w:color w:val="000000"/>
                <w:sz w:val="18"/>
                <w:szCs w:val="22"/>
              </w:rPr>
            </w:pPr>
            <w:r>
              <w:rPr>
                <w:rFonts w:ascii="Arial" w:hAnsi="Arial" w:cs="Arial"/>
                <w:color w:val="000000"/>
                <w:sz w:val="18"/>
                <w:szCs w:val="22"/>
              </w:rPr>
              <w:t>81</w:t>
            </w:r>
            <w:r w:rsidR="009959ED" w:rsidRPr="009959ED">
              <w:rPr>
                <w:rFonts w:ascii="Arial" w:hAnsi="Arial" w:cs="Arial"/>
                <w:color w:val="000000"/>
                <w:sz w:val="18"/>
                <w:szCs w:val="22"/>
              </w:rPr>
              <w:t>.</w:t>
            </w:r>
            <w:r>
              <w:rPr>
                <w:rFonts w:ascii="Arial" w:hAnsi="Arial" w:cs="Arial"/>
                <w:color w:val="000000"/>
                <w:sz w:val="18"/>
                <w:szCs w:val="22"/>
              </w:rPr>
              <w:t>1</w:t>
            </w:r>
            <w:r w:rsidR="009959ED" w:rsidRPr="009959ED">
              <w:rPr>
                <w:rFonts w:ascii="Arial" w:hAnsi="Arial" w:cs="Arial"/>
                <w:color w:val="000000"/>
                <w:sz w:val="18"/>
                <w:szCs w:val="22"/>
              </w:rPr>
              <w:t>%</w:t>
            </w:r>
          </w:p>
        </w:tc>
        <w:tc>
          <w:tcPr>
            <w:tcW w:w="928" w:type="pct"/>
            <w:tcBorders>
              <w:top w:val="single" w:sz="4" w:space="0" w:color="auto"/>
            </w:tcBorders>
            <w:shd w:val="clear" w:color="auto" w:fill="auto"/>
            <w:vAlign w:val="center"/>
          </w:tcPr>
          <w:p w:rsidR="009959ED" w:rsidRPr="009959ED" w:rsidRDefault="00A23B59" w:rsidP="00A23B59">
            <w:pPr>
              <w:jc w:val="center"/>
              <w:rPr>
                <w:rFonts w:ascii="Arial" w:hAnsi="Arial" w:cs="Arial"/>
                <w:color w:val="000000"/>
                <w:sz w:val="18"/>
                <w:szCs w:val="22"/>
              </w:rPr>
            </w:pPr>
            <w:r>
              <w:rPr>
                <w:rFonts w:ascii="Arial" w:hAnsi="Arial" w:cs="Arial"/>
                <w:color w:val="000000"/>
                <w:sz w:val="18"/>
                <w:szCs w:val="22"/>
              </w:rPr>
              <w:t>8</w:t>
            </w:r>
            <w:r w:rsidR="009959ED" w:rsidRPr="009959ED">
              <w:rPr>
                <w:rFonts w:ascii="Arial" w:hAnsi="Arial" w:cs="Arial"/>
                <w:color w:val="000000"/>
                <w:sz w:val="18"/>
                <w:szCs w:val="22"/>
              </w:rPr>
              <w:t>9.</w:t>
            </w:r>
            <w:r>
              <w:rPr>
                <w:rFonts w:ascii="Arial" w:hAnsi="Arial" w:cs="Arial"/>
                <w:color w:val="000000"/>
                <w:sz w:val="18"/>
                <w:szCs w:val="22"/>
              </w:rPr>
              <w:t>2</w:t>
            </w:r>
            <w:r w:rsidR="009959ED" w:rsidRPr="009959ED">
              <w:rPr>
                <w:rFonts w:ascii="Arial" w:hAnsi="Arial" w:cs="Arial"/>
                <w:color w:val="000000"/>
                <w:sz w:val="18"/>
                <w:szCs w:val="22"/>
              </w:rPr>
              <w:t>%</w:t>
            </w:r>
          </w:p>
        </w:tc>
        <w:tc>
          <w:tcPr>
            <w:tcW w:w="928" w:type="pct"/>
            <w:tcBorders>
              <w:top w:val="single" w:sz="4" w:space="0" w:color="auto"/>
            </w:tcBorders>
            <w:shd w:val="clear" w:color="auto" w:fill="auto"/>
            <w:vAlign w:val="center"/>
          </w:tcPr>
          <w:p w:rsidR="009959ED" w:rsidRPr="009959ED" w:rsidRDefault="00A23B59" w:rsidP="00A23B59">
            <w:pPr>
              <w:jc w:val="center"/>
              <w:rPr>
                <w:rFonts w:ascii="Arial" w:hAnsi="Arial" w:cs="Arial"/>
                <w:color w:val="000000"/>
                <w:sz w:val="18"/>
                <w:szCs w:val="22"/>
              </w:rPr>
            </w:pPr>
            <w:r>
              <w:rPr>
                <w:rFonts w:ascii="Arial" w:hAnsi="Arial" w:cs="Arial"/>
                <w:color w:val="000000"/>
                <w:sz w:val="18"/>
                <w:szCs w:val="22"/>
              </w:rPr>
              <w:t>8</w:t>
            </w:r>
            <w:r w:rsidR="009959ED" w:rsidRPr="009959ED">
              <w:rPr>
                <w:rFonts w:ascii="Arial" w:hAnsi="Arial" w:cs="Arial"/>
                <w:color w:val="000000"/>
                <w:sz w:val="18"/>
                <w:szCs w:val="22"/>
              </w:rPr>
              <w:t>.</w:t>
            </w:r>
            <w:r>
              <w:rPr>
                <w:rFonts w:ascii="Arial" w:hAnsi="Arial" w:cs="Arial"/>
                <w:color w:val="000000"/>
                <w:sz w:val="18"/>
                <w:szCs w:val="22"/>
              </w:rPr>
              <w:t>1</w:t>
            </w:r>
            <w:r w:rsidR="009959ED" w:rsidRPr="009959ED">
              <w:rPr>
                <w:rFonts w:ascii="Arial" w:hAnsi="Arial" w:cs="Arial"/>
                <w:color w:val="000000"/>
                <w:sz w:val="18"/>
                <w:szCs w:val="22"/>
              </w:rPr>
              <w:t>%</w:t>
            </w:r>
          </w:p>
        </w:tc>
        <w:tc>
          <w:tcPr>
            <w:tcW w:w="929" w:type="pct"/>
            <w:tcBorders>
              <w:top w:val="single" w:sz="4" w:space="0" w:color="auto"/>
            </w:tcBorders>
            <w:shd w:val="clear" w:color="auto" w:fill="auto"/>
          </w:tcPr>
          <w:p w:rsidR="009959ED" w:rsidRPr="005127A4" w:rsidRDefault="009959ED" w:rsidP="001141A0">
            <w:pPr>
              <w:pStyle w:val="TableText"/>
              <w:jc w:val="center"/>
            </w:pPr>
            <w:r w:rsidRPr="005127A4">
              <w:t>Increasing</w:t>
            </w:r>
          </w:p>
        </w:tc>
      </w:tr>
      <w:tr w:rsidR="009959ED" w:rsidRPr="00F65F07" w:rsidTr="009959ED">
        <w:trPr>
          <w:cantSplit/>
        </w:trPr>
        <w:tc>
          <w:tcPr>
            <w:tcW w:w="1286" w:type="pct"/>
            <w:shd w:val="clear" w:color="auto" w:fill="auto"/>
          </w:tcPr>
          <w:p w:rsidR="009959ED" w:rsidRPr="00F65F07" w:rsidRDefault="009959ED" w:rsidP="001141A0">
            <w:pPr>
              <w:pStyle w:val="TableText"/>
              <w:spacing w:before="0"/>
            </w:pPr>
            <w:r w:rsidRPr="00F65F07">
              <w:t>National sample</w:t>
            </w:r>
          </w:p>
        </w:tc>
        <w:tc>
          <w:tcPr>
            <w:tcW w:w="928" w:type="pct"/>
            <w:shd w:val="clear" w:color="auto" w:fill="auto"/>
            <w:vAlign w:val="center"/>
          </w:tcPr>
          <w:p w:rsidR="009959ED" w:rsidRPr="009959ED" w:rsidRDefault="009959ED" w:rsidP="00A23B59">
            <w:pPr>
              <w:jc w:val="center"/>
              <w:rPr>
                <w:rFonts w:ascii="Arial" w:hAnsi="Arial" w:cs="Arial"/>
                <w:color w:val="000000"/>
                <w:sz w:val="18"/>
                <w:szCs w:val="22"/>
              </w:rPr>
            </w:pPr>
            <w:r w:rsidRPr="009959ED">
              <w:rPr>
                <w:rFonts w:ascii="Arial" w:hAnsi="Arial" w:cs="Arial"/>
                <w:color w:val="000000"/>
                <w:sz w:val="18"/>
                <w:szCs w:val="22"/>
              </w:rPr>
              <w:t>7</w:t>
            </w:r>
            <w:r w:rsidR="00A23B59">
              <w:rPr>
                <w:rFonts w:ascii="Arial" w:hAnsi="Arial" w:cs="Arial"/>
                <w:color w:val="000000"/>
                <w:sz w:val="18"/>
                <w:szCs w:val="22"/>
              </w:rPr>
              <w:t>7</w:t>
            </w:r>
            <w:r w:rsidRPr="009959ED">
              <w:rPr>
                <w:rFonts w:ascii="Arial" w:hAnsi="Arial" w:cs="Arial"/>
                <w:color w:val="000000"/>
                <w:sz w:val="18"/>
                <w:szCs w:val="22"/>
              </w:rPr>
              <w:t>.1%</w:t>
            </w:r>
          </w:p>
        </w:tc>
        <w:tc>
          <w:tcPr>
            <w:tcW w:w="928" w:type="pct"/>
            <w:shd w:val="clear" w:color="auto" w:fill="auto"/>
            <w:vAlign w:val="center"/>
          </w:tcPr>
          <w:p w:rsidR="009959ED" w:rsidRPr="009959ED" w:rsidRDefault="009959ED" w:rsidP="00A23B59">
            <w:pPr>
              <w:jc w:val="center"/>
              <w:rPr>
                <w:rFonts w:ascii="Arial" w:hAnsi="Arial" w:cs="Arial"/>
                <w:color w:val="000000"/>
                <w:sz w:val="18"/>
                <w:szCs w:val="22"/>
              </w:rPr>
            </w:pPr>
            <w:r w:rsidRPr="009959ED">
              <w:rPr>
                <w:rFonts w:ascii="Arial" w:hAnsi="Arial" w:cs="Arial"/>
                <w:color w:val="000000"/>
                <w:sz w:val="18"/>
                <w:szCs w:val="22"/>
              </w:rPr>
              <w:t>8</w:t>
            </w:r>
            <w:r w:rsidR="00A23B59">
              <w:rPr>
                <w:rFonts w:ascii="Arial" w:hAnsi="Arial" w:cs="Arial"/>
                <w:color w:val="000000"/>
                <w:sz w:val="18"/>
                <w:szCs w:val="22"/>
              </w:rPr>
              <w:t>9.0%</w:t>
            </w:r>
          </w:p>
        </w:tc>
        <w:tc>
          <w:tcPr>
            <w:tcW w:w="928" w:type="pct"/>
            <w:shd w:val="clear" w:color="auto" w:fill="auto"/>
            <w:vAlign w:val="center"/>
          </w:tcPr>
          <w:p w:rsidR="009959ED" w:rsidRPr="009959ED" w:rsidRDefault="009959ED" w:rsidP="00A23B59">
            <w:pPr>
              <w:jc w:val="center"/>
              <w:rPr>
                <w:rFonts w:ascii="Arial" w:hAnsi="Arial" w:cs="Arial"/>
                <w:color w:val="000000"/>
                <w:sz w:val="18"/>
                <w:szCs w:val="22"/>
              </w:rPr>
            </w:pPr>
            <w:r w:rsidRPr="009959ED">
              <w:rPr>
                <w:rFonts w:ascii="Arial" w:hAnsi="Arial" w:cs="Arial"/>
                <w:color w:val="000000"/>
                <w:sz w:val="18"/>
                <w:szCs w:val="22"/>
              </w:rPr>
              <w:t>1</w:t>
            </w:r>
            <w:r w:rsidR="00A23B59">
              <w:rPr>
                <w:rFonts w:ascii="Arial" w:hAnsi="Arial" w:cs="Arial"/>
                <w:color w:val="000000"/>
                <w:sz w:val="18"/>
                <w:szCs w:val="22"/>
              </w:rPr>
              <w:t>1</w:t>
            </w:r>
            <w:r w:rsidRPr="009959ED">
              <w:rPr>
                <w:rFonts w:ascii="Arial" w:hAnsi="Arial" w:cs="Arial"/>
                <w:color w:val="000000"/>
                <w:sz w:val="18"/>
                <w:szCs w:val="22"/>
              </w:rPr>
              <w:t>.</w:t>
            </w:r>
            <w:r w:rsidR="00A23B59">
              <w:rPr>
                <w:rFonts w:ascii="Arial" w:hAnsi="Arial" w:cs="Arial"/>
                <w:color w:val="000000"/>
                <w:sz w:val="18"/>
                <w:szCs w:val="22"/>
              </w:rPr>
              <w:t>9</w:t>
            </w:r>
            <w:r w:rsidRPr="009959ED">
              <w:rPr>
                <w:rFonts w:ascii="Arial" w:hAnsi="Arial" w:cs="Arial"/>
                <w:color w:val="000000"/>
                <w:sz w:val="18"/>
                <w:szCs w:val="22"/>
              </w:rPr>
              <w:t>%</w:t>
            </w:r>
          </w:p>
        </w:tc>
        <w:tc>
          <w:tcPr>
            <w:tcW w:w="929" w:type="pct"/>
            <w:shd w:val="clear" w:color="auto" w:fill="auto"/>
          </w:tcPr>
          <w:p w:rsidR="009959ED" w:rsidRPr="005127A4" w:rsidRDefault="009959ED" w:rsidP="001141A0">
            <w:pPr>
              <w:pStyle w:val="TableText"/>
              <w:spacing w:before="0"/>
              <w:jc w:val="center"/>
            </w:pPr>
            <w:r w:rsidRPr="005127A4">
              <w:t>Increasing</w:t>
            </w:r>
          </w:p>
        </w:tc>
      </w:tr>
    </w:tbl>
    <w:p w:rsidR="00457B04" w:rsidRDefault="00457B04" w:rsidP="0078019B"/>
    <w:p w:rsidR="00457B04" w:rsidRDefault="00457B04" w:rsidP="0078019B">
      <w:r w:rsidRPr="00EA58C9">
        <w:t xml:space="preserve">During the last year, good gains have been made against the indicator </w:t>
      </w:r>
      <w:r w:rsidR="00634870">
        <w:t>‘</w:t>
      </w:r>
      <w:r>
        <w:t>Smoking cessation advice</w:t>
      </w:r>
      <w:r w:rsidR="00634870">
        <w:t>’</w:t>
      </w:r>
      <w:r w:rsidRPr="00983B8F">
        <w:t>. Over this time</w:t>
      </w:r>
      <w:r>
        <w:t>,</w:t>
      </w:r>
      <w:r w:rsidRPr="00983B8F">
        <w:t xml:space="preserve"> the percentage of registered patients receiving smoking cessation advice </w:t>
      </w:r>
      <w:r>
        <w:t xml:space="preserve">in the Whānau Ora sample </w:t>
      </w:r>
      <w:r w:rsidRPr="00983B8F">
        <w:t xml:space="preserve">increased from </w:t>
      </w:r>
      <w:r w:rsidR="00A23B59">
        <w:t>81.1</w:t>
      </w:r>
      <w:r w:rsidR="004D1DB4">
        <w:t xml:space="preserve"> percent to </w:t>
      </w:r>
      <w:r w:rsidR="00A23B59">
        <w:t>8</w:t>
      </w:r>
      <w:r w:rsidR="004D1DB4">
        <w:t>9.</w:t>
      </w:r>
      <w:r w:rsidR="00A23B59">
        <w:t>2</w:t>
      </w:r>
      <w:r w:rsidR="004D1DB4">
        <w:t xml:space="preserve"> percent, an increase of </w:t>
      </w:r>
      <w:r w:rsidR="00A23B59">
        <w:t>8.1</w:t>
      </w:r>
      <w:r>
        <w:t> </w:t>
      </w:r>
      <w:r w:rsidRPr="00983B8F">
        <w:t>percent.</w:t>
      </w:r>
    </w:p>
    <w:p w:rsidR="00457B04" w:rsidRDefault="00457B04" w:rsidP="0078019B"/>
    <w:p w:rsidR="00457B04" w:rsidRDefault="00D87D6D" w:rsidP="0078019B">
      <w:r>
        <w:t>The Whānau Ora sample performed</w:t>
      </w:r>
      <w:r w:rsidR="00457B04" w:rsidRPr="0029133D">
        <w:rPr>
          <w:b/>
        </w:rPr>
        <w:t xml:space="preserve"> </w:t>
      </w:r>
      <w:r w:rsidR="00A23B59">
        <w:rPr>
          <w:b/>
        </w:rPr>
        <w:t xml:space="preserve">as well as </w:t>
      </w:r>
      <w:r w:rsidR="00457B04" w:rsidRPr="003545AB">
        <w:t xml:space="preserve">the national sample in the </w:t>
      </w:r>
      <w:r w:rsidR="00634870">
        <w:t>‘</w:t>
      </w:r>
      <w:r w:rsidR="00457B04">
        <w:t>Smoking cessation advice</w:t>
      </w:r>
      <w:r w:rsidR="00634870">
        <w:t>’</w:t>
      </w:r>
      <w:r w:rsidR="00457B04" w:rsidRPr="003545AB">
        <w:t xml:space="preserve"> indicator.</w:t>
      </w:r>
    </w:p>
    <w:p w:rsidR="00457B04" w:rsidRDefault="00457B04" w:rsidP="0078019B"/>
    <w:p w:rsidR="00457B04" w:rsidRPr="00F65F07" w:rsidRDefault="00457B04" w:rsidP="0078019B">
      <w:pPr>
        <w:pStyle w:val="Figure"/>
      </w:pPr>
      <w:bookmarkStart w:id="59" w:name="_Toc353868274"/>
      <w:bookmarkStart w:id="60" w:name="_Toc411429627"/>
      <w:bookmarkStart w:id="61" w:name="_Toc417980821"/>
      <w:r>
        <w:t>Figure 4</w:t>
      </w:r>
      <w:r w:rsidRPr="00F65F07">
        <w:t>:</w:t>
      </w:r>
      <w:r>
        <w:t xml:space="preserve"> </w:t>
      </w:r>
      <w:r w:rsidRPr="00F65F07">
        <w:t xml:space="preserve">Performance against the </w:t>
      </w:r>
      <w:r w:rsidR="00634870">
        <w:t>‘</w:t>
      </w:r>
      <w:r w:rsidRPr="00F65F07">
        <w:t>Smoking cessation advice</w:t>
      </w:r>
      <w:r w:rsidR="00634870">
        <w:t>’</w:t>
      </w:r>
      <w:r w:rsidRPr="00F65F07">
        <w:t xml:space="preserve"> indicator</w:t>
      </w:r>
      <w:bookmarkEnd w:id="59"/>
      <w:bookmarkEnd w:id="60"/>
      <w:bookmarkEnd w:id="61"/>
    </w:p>
    <w:p w:rsidR="00457B04" w:rsidRDefault="003A10A7" w:rsidP="0078019B">
      <w:pPr>
        <w:rPr>
          <w:noProof/>
          <w:lang w:eastAsia="en-NZ"/>
        </w:rPr>
      </w:pPr>
      <w:bookmarkStart w:id="62" w:name="_Toc350162544"/>
      <w:r>
        <w:rPr>
          <w:noProof/>
          <w:lang w:eastAsia="en-NZ"/>
        </w:rPr>
        <w:drawing>
          <wp:inline distT="0" distB="0" distL="0" distR="0" wp14:anchorId="32A01A32" wp14:editId="4319BB3E">
            <wp:extent cx="4901142" cy="2963333"/>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019B" w:rsidRDefault="0078019B" w:rsidP="0078019B">
      <w:pPr>
        <w:rPr>
          <w:noProof/>
          <w:lang w:eastAsia="en-NZ"/>
        </w:rPr>
      </w:pPr>
    </w:p>
    <w:p w:rsidR="00457B04" w:rsidRDefault="00457B04" w:rsidP="0078019B">
      <w:pPr>
        <w:pStyle w:val="Heading2"/>
      </w:pPr>
      <w:bookmarkStart w:id="63" w:name="_Toc353959533"/>
      <w:bookmarkStart w:id="64" w:name="_Toc362600467"/>
      <w:bookmarkStart w:id="65" w:name="_Toc411433975"/>
      <w:bookmarkStart w:id="66" w:name="_Toc421710358"/>
      <w:r w:rsidRPr="00CD3C15">
        <w:lastRenderedPageBreak/>
        <w:t xml:space="preserve">Indicator </w:t>
      </w:r>
      <w:r>
        <w:t>5</w:t>
      </w:r>
      <w:r w:rsidRPr="00CD3C15">
        <w:t>:</w:t>
      </w:r>
      <w:r>
        <w:t xml:space="preserve"> </w:t>
      </w:r>
      <w:r w:rsidRPr="00CD3C15">
        <w:t>Cervical smear recorded</w:t>
      </w:r>
      <w:r>
        <w:t xml:space="preserve"> </w:t>
      </w:r>
      <w:bookmarkEnd w:id="62"/>
      <w:r w:rsidRPr="00CD3C15">
        <w:t xml:space="preserve">– </w:t>
      </w:r>
      <w:r w:rsidR="0039179B">
        <w:t>little change</w:t>
      </w:r>
      <w:r>
        <w:t xml:space="preserve"> over the</w:t>
      </w:r>
      <w:r w:rsidRPr="00CD3C15">
        <w:t xml:space="preserve"> year</w:t>
      </w:r>
      <w:r>
        <w:t xml:space="preserve"> </w:t>
      </w:r>
      <w:r w:rsidR="0019454B">
        <w:t>March 2014 to March 2015</w:t>
      </w:r>
      <w:bookmarkEnd w:id="63"/>
      <w:bookmarkEnd w:id="64"/>
      <w:bookmarkEnd w:id="65"/>
      <w:bookmarkEnd w:id="66"/>
    </w:p>
    <w:p w:rsidR="00457B04" w:rsidRPr="00F65F07" w:rsidRDefault="00457B04" w:rsidP="0078019B">
      <w:pPr>
        <w:keepNext/>
      </w:pPr>
      <w:r w:rsidRPr="00F65F07">
        <w:t>Definition:</w:t>
      </w:r>
      <w:r>
        <w:t xml:space="preserve"> </w:t>
      </w:r>
      <w:r w:rsidRPr="00F65F07">
        <w:t>Percentage of registered female patients aged 20–69 years who have received a cervical smear in the last three years.</w:t>
      </w:r>
    </w:p>
    <w:p w:rsidR="00457B04" w:rsidRPr="00F65F07" w:rsidRDefault="00457B04" w:rsidP="0078019B">
      <w:pPr>
        <w:keepNext/>
      </w:pPr>
    </w:p>
    <w:p w:rsidR="00457B04" w:rsidRDefault="00457B04" w:rsidP="0078019B">
      <w:pPr>
        <w:pStyle w:val="Table"/>
      </w:pPr>
      <w:bookmarkStart w:id="67" w:name="_Toc353959548"/>
      <w:bookmarkStart w:id="68" w:name="_Toc379540125"/>
      <w:bookmarkStart w:id="69" w:name="_Toc421535720"/>
      <w:r w:rsidRPr="00F65F07">
        <w:t xml:space="preserve">Table </w:t>
      </w:r>
      <w:r>
        <w:t>5</w:t>
      </w:r>
      <w:r w:rsidRPr="00F65F07">
        <w:t>:</w:t>
      </w:r>
      <w:r>
        <w:t xml:space="preserve"> </w:t>
      </w:r>
      <w:r w:rsidRPr="00F65F07">
        <w:t xml:space="preserve">Performance against </w:t>
      </w:r>
      <w:r>
        <w:t xml:space="preserve">the </w:t>
      </w:r>
      <w:r w:rsidR="00634870">
        <w:t>‘</w:t>
      </w:r>
      <w:r>
        <w:t>Cervical smear recorded</w:t>
      </w:r>
      <w:r w:rsidR="00634870">
        <w:t>’</w:t>
      </w:r>
      <w:r>
        <w:t xml:space="preserve"> indicator</w:t>
      </w:r>
      <w:bookmarkEnd w:id="67"/>
      <w:bookmarkEnd w:id="68"/>
      <w:bookmarkEnd w:id="69"/>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07"/>
        <w:gridCol w:w="1737"/>
        <w:gridCol w:w="1737"/>
        <w:gridCol w:w="1736"/>
        <w:gridCol w:w="1738"/>
      </w:tblGrid>
      <w:tr w:rsidR="00457B04" w:rsidRPr="009C5A6A" w:rsidTr="007A1E11">
        <w:trPr>
          <w:cantSplit/>
        </w:trPr>
        <w:tc>
          <w:tcPr>
            <w:tcW w:w="1286" w:type="pct"/>
            <w:tcBorders>
              <w:top w:val="single" w:sz="4" w:space="0" w:color="auto"/>
              <w:bottom w:val="single" w:sz="4" w:space="0" w:color="auto"/>
            </w:tcBorders>
            <w:shd w:val="clear" w:color="auto" w:fill="auto"/>
          </w:tcPr>
          <w:p w:rsidR="00457B04" w:rsidRPr="009C5A6A" w:rsidRDefault="00457B04" w:rsidP="009C3F7C">
            <w:pPr>
              <w:pStyle w:val="TableText"/>
              <w:keepNext/>
              <w:rPr>
                <w:b/>
              </w:rPr>
            </w:pPr>
          </w:p>
        </w:tc>
        <w:tc>
          <w:tcPr>
            <w:tcW w:w="928" w:type="pct"/>
            <w:tcBorders>
              <w:top w:val="single" w:sz="4" w:space="0" w:color="auto"/>
              <w:bottom w:val="single" w:sz="4" w:space="0" w:color="auto"/>
            </w:tcBorders>
            <w:shd w:val="clear" w:color="auto" w:fill="auto"/>
          </w:tcPr>
          <w:p w:rsidR="00457B04" w:rsidRPr="009C5A6A" w:rsidRDefault="0019454B" w:rsidP="009C3F7C">
            <w:pPr>
              <w:pStyle w:val="TableText"/>
              <w:keepNext/>
              <w:jc w:val="center"/>
              <w:rPr>
                <w:b/>
              </w:rPr>
            </w:pPr>
            <w:r>
              <w:rPr>
                <w:b/>
              </w:rPr>
              <w:t>March 2014</w:t>
            </w:r>
          </w:p>
        </w:tc>
        <w:tc>
          <w:tcPr>
            <w:tcW w:w="928" w:type="pct"/>
            <w:tcBorders>
              <w:top w:val="single" w:sz="4" w:space="0" w:color="auto"/>
              <w:bottom w:val="single" w:sz="4" w:space="0" w:color="auto"/>
            </w:tcBorders>
            <w:shd w:val="clear" w:color="auto" w:fill="auto"/>
          </w:tcPr>
          <w:p w:rsidR="00457B04" w:rsidRPr="009C5A6A" w:rsidRDefault="0019454B" w:rsidP="009C3F7C">
            <w:pPr>
              <w:pStyle w:val="TableText"/>
              <w:keepNext/>
              <w:jc w:val="center"/>
              <w:rPr>
                <w:b/>
              </w:rPr>
            </w:pPr>
            <w:r>
              <w:rPr>
                <w:b/>
              </w:rPr>
              <w:t>March 2015</w:t>
            </w:r>
          </w:p>
        </w:tc>
        <w:tc>
          <w:tcPr>
            <w:tcW w:w="928" w:type="pct"/>
            <w:tcBorders>
              <w:top w:val="single" w:sz="4" w:space="0" w:color="auto"/>
              <w:bottom w:val="single" w:sz="4" w:space="0" w:color="auto"/>
            </w:tcBorders>
            <w:shd w:val="clear" w:color="auto" w:fill="auto"/>
          </w:tcPr>
          <w:p w:rsidR="00457B04" w:rsidRPr="009C5A6A" w:rsidRDefault="00457B04" w:rsidP="009C3F7C">
            <w:pPr>
              <w:pStyle w:val="TableText"/>
              <w:keepNext/>
              <w:jc w:val="center"/>
              <w:rPr>
                <w:b/>
              </w:rPr>
            </w:pPr>
            <w:r>
              <w:rPr>
                <w:b/>
              </w:rPr>
              <w:t>Difference</w:t>
            </w:r>
          </w:p>
        </w:tc>
        <w:tc>
          <w:tcPr>
            <w:tcW w:w="929" w:type="pct"/>
            <w:tcBorders>
              <w:top w:val="single" w:sz="4" w:space="0" w:color="auto"/>
              <w:bottom w:val="single" w:sz="4" w:space="0" w:color="auto"/>
            </w:tcBorders>
            <w:shd w:val="clear" w:color="auto" w:fill="auto"/>
          </w:tcPr>
          <w:p w:rsidR="00457B04" w:rsidRPr="009C5A6A" w:rsidRDefault="00457B04" w:rsidP="009C3F7C">
            <w:pPr>
              <w:pStyle w:val="TableText"/>
              <w:keepNext/>
              <w:jc w:val="center"/>
              <w:rPr>
                <w:b/>
              </w:rPr>
            </w:pPr>
            <w:r w:rsidRPr="009C5A6A">
              <w:rPr>
                <w:b/>
              </w:rPr>
              <w:t>Trend last year</w:t>
            </w:r>
          </w:p>
        </w:tc>
      </w:tr>
      <w:tr w:rsidR="00EE13BF" w:rsidRPr="004D1368" w:rsidTr="00EE13BF">
        <w:trPr>
          <w:cantSplit/>
        </w:trPr>
        <w:tc>
          <w:tcPr>
            <w:tcW w:w="1286" w:type="pct"/>
            <w:tcBorders>
              <w:top w:val="single" w:sz="4" w:space="0" w:color="auto"/>
            </w:tcBorders>
            <w:shd w:val="clear" w:color="auto" w:fill="auto"/>
          </w:tcPr>
          <w:p w:rsidR="00EE13BF" w:rsidRPr="00F65F07" w:rsidRDefault="00EE13BF" w:rsidP="0078019B">
            <w:pPr>
              <w:pStyle w:val="TableText"/>
            </w:pPr>
            <w:r w:rsidRPr="00F65F07">
              <w:t>Whānau Ora sample</w:t>
            </w:r>
          </w:p>
        </w:tc>
        <w:tc>
          <w:tcPr>
            <w:tcW w:w="928" w:type="pct"/>
            <w:tcBorders>
              <w:top w:val="single" w:sz="4" w:space="0" w:color="auto"/>
            </w:tcBorders>
            <w:shd w:val="clear" w:color="auto" w:fill="auto"/>
            <w:vAlign w:val="center"/>
          </w:tcPr>
          <w:p w:rsidR="00EE13BF" w:rsidRPr="00EE13BF" w:rsidRDefault="00EE13BF" w:rsidP="008C24D4">
            <w:pPr>
              <w:jc w:val="center"/>
              <w:rPr>
                <w:rFonts w:ascii="Arial" w:hAnsi="Arial" w:cs="Arial"/>
                <w:color w:val="000000"/>
                <w:sz w:val="18"/>
                <w:szCs w:val="22"/>
              </w:rPr>
            </w:pPr>
            <w:r w:rsidRPr="00EE13BF">
              <w:rPr>
                <w:rFonts w:ascii="Arial" w:hAnsi="Arial" w:cs="Arial"/>
                <w:color w:val="000000"/>
                <w:sz w:val="18"/>
                <w:szCs w:val="22"/>
              </w:rPr>
              <w:t>5</w:t>
            </w:r>
            <w:r w:rsidR="008C24D4">
              <w:rPr>
                <w:rFonts w:ascii="Arial" w:hAnsi="Arial" w:cs="Arial"/>
                <w:color w:val="000000"/>
                <w:sz w:val="18"/>
                <w:szCs w:val="22"/>
              </w:rPr>
              <w:t>8.5</w:t>
            </w:r>
            <w:r w:rsidRPr="00EE13BF">
              <w:rPr>
                <w:rFonts w:ascii="Arial" w:hAnsi="Arial" w:cs="Arial"/>
                <w:color w:val="000000"/>
                <w:sz w:val="18"/>
                <w:szCs w:val="22"/>
              </w:rPr>
              <w:t>%</w:t>
            </w:r>
          </w:p>
        </w:tc>
        <w:tc>
          <w:tcPr>
            <w:tcW w:w="928" w:type="pct"/>
            <w:tcBorders>
              <w:top w:val="single" w:sz="4" w:space="0" w:color="auto"/>
            </w:tcBorders>
            <w:shd w:val="clear" w:color="auto" w:fill="auto"/>
            <w:vAlign w:val="center"/>
          </w:tcPr>
          <w:p w:rsidR="00EE13BF" w:rsidRPr="00EE13BF" w:rsidRDefault="00EE13BF" w:rsidP="008C24D4">
            <w:pPr>
              <w:jc w:val="center"/>
              <w:rPr>
                <w:rFonts w:ascii="Arial" w:hAnsi="Arial" w:cs="Arial"/>
                <w:color w:val="000000"/>
                <w:sz w:val="18"/>
                <w:szCs w:val="22"/>
              </w:rPr>
            </w:pPr>
            <w:r w:rsidRPr="00EE13BF">
              <w:rPr>
                <w:rFonts w:ascii="Arial" w:hAnsi="Arial" w:cs="Arial"/>
                <w:color w:val="000000"/>
                <w:sz w:val="18"/>
                <w:szCs w:val="22"/>
              </w:rPr>
              <w:t>5</w:t>
            </w:r>
            <w:r w:rsidR="008C24D4">
              <w:rPr>
                <w:rFonts w:ascii="Arial" w:hAnsi="Arial" w:cs="Arial"/>
                <w:color w:val="000000"/>
                <w:sz w:val="18"/>
                <w:szCs w:val="22"/>
              </w:rPr>
              <w:t>8.1</w:t>
            </w:r>
            <w:r w:rsidRPr="00EE13BF">
              <w:rPr>
                <w:rFonts w:ascii="Arial" w:hAnsi="Arial" w:cs="Arial"/>
                <w:color w:val="000000"/>
                <w:sz w:val="18"/>
                <w:szCs w:val="22"/>
              </w:rPr>
              <w:t>%</w:t>
            </w:r>
          </w:p>
        </w:tc>
        <w:tc>
          <w:tcPr>
            <w:tcW w:w="928" w:type="pct"/>
            <w:tcBorders>
              <w:top w:val="single" w:sz="4" w:space="0" w:color="auto"/>
            </w:tcBorders>
            <w:shd w:val="clear" w:color="auto" w:fill="auto"/>
            <w:vAlign w:val="center"/>
          </w:tcPr>
          <w:p w:rsidR="00EE13BF" w:rsidRPr="00EE13BF" w:rsidRDefault="008C24D4" w:rsidP="008C24D4">
            <w:pPr>
              <w:jc w:val="center"/>
              <w:rPr>
                <w:rFonts w:ascii="Arial" w:hAnsi="Arial" w:cs="Arial"/>
                <w:color w:val="000000"/>
                <w:sz w:val="18"/>
                <w:szCs w:val="22"/>
              </w:rPr>
            </w:pPr>
            <w:r>
              <w:rPr>
                <w:rFonts w:ascii="Arial" w:hAnsi="Arial" w:cs="Arial"/>
                <w:color w:val="000000"/>
                <w:sz w:val="18"/>
                <w:szCs w:val="22"/>
              </w:rPr>
              <w:t>-</w:t>
            </w:r>
            <w:r w:rsidR="00EE13BF" w:rsidRPr="00EE13BF">
              <w:rPr>
                <w:rFonts w:ascii="Arial" w:hAnsi="Arial" w:cs="Arial"/>
                <w:color w:val="000000"/>
                <w:sz w:val="18"/>
                <w:szCs w:val="22"/>
              </w:rPr>
              <w:t>0.</w:t>
            </w:r>
            <w:r>
              <w:rPr>
                <w:rFonts w:ascii="Arial" w:hAnsi="Arial" w:cs="Arial"/>
                <w:color w:val="000000"/>
                <w:sz w:val="18"/>
                <w:szCs w:val="22"/>
              </w:rPr>
              <w:t>4</w:t>
            </w:r>
            <w:r w:rsidR="00EE13BF" w:rsidRPr="00EE13BF">
              <w:rPr>
                <w:rFonts w:ascii="Arial" w:hAnsi="Arial" w:cs="Arial"/>
                <w:color w:val="000000"/>
                <w:sz w:val="18"/>
                <w:szCs w:val="22"/>
              </w:rPr>
              <w:t>%</w:t>
            </w:r>
          </w:p>
        </w:tc>
        <w:tc>
          <w:tcPr>
            <w:tcW w:w="929" w:type="pct"/>
            <w:tcBorders>
              <w:top w:val="single" w:sz="4" w:space="0" w:color="auto"/>
            </w:tcBorders>
            <w:shd w:val="clear" w:color="auto" w:fill="auto"/>
            <w:vAlign w:val="center"/>
          </w:tcPr>
          <w:p w:rsidR="00EE13BF" w:rsidRPr="00EE13BF" w:rsidRDefault="00EE13BF" w:rsidP="00EE13BF">
            <w:pPr>
              <w:jc w:val="center"/>
              <w:rPr>
                <w:rFonts w:ascii="Arial" w:hAnsi="Arial" w:cs="Arial"/>
                <w:color w:val="000000"/>
                <w:sz w:val="18"/>
                <w:szCs w:val="22"/>
              </w:rPr>
            </w:pPr>
            <w:r w:rsidRPr="00EE13BF">
              <w:rPr>
                <w:rFonts w:ascii="Arial" w:hAnsi="Arial" w:cs="Arial"/>
                <w:color w:val="000000"/>
                <w:sz w:val="18"/>
                <w:szCs w:val="22"/>
              </w:rPr>
              <w:t>Little change</w:t>
            </w:r>
          </w:p>
        </w:tc>
      </w:tr>
      <w:tr w:rsidR="00EE13BF" w:rsidTr="00EE13BF">
        <w:trPr>
          <w:cantSplit/>
        </w:trPr>
        <w:tc>
          <w:tcPr>
            <w:tcW w:w="1286" w:type="pct"/>
            <w:shd w:val="clear" w:color="auto" w:fill="auto"/>
          </w:tcPr>
          <w:p w:rsidR="00EE13BF" w:rsidRPr="00F65F07" w:rsidRDefault="00EE13BF" w:rsidP="0078019B">
            <w:pPr>
              <w:pStyle w:val="TableText"/>
              <w:spacing w:before="0"/>
            </w:pPr>
            <w:r w:rsidRPr="00F65F07">
              <w:t>National sample</w:t>
            </w:r>
          </w:p>
        </w:tc>
        <w:tc>
          <w:tcPr>
            <w:tcW w:w="928" w:type="pct"/>
            <w:shd w:val="clear" w:color="auto" w:fill="auto"/>
            <w:vAlign w:val="center"/>
          </w:tcPr>
          <w:p w:rsidR="00EE13BF" w:rsidRPr="00EE13BF" w:rsidRDefault="00EE13BF" w:rsidP="008C24D4">
            <w:pPr>
              <w:jc w:val="center"/>
              <w:rPr>
                <w:rFonts w:ascii="Arial" w:hAnsi="Arial" w:cs="Arial"/>
                <w:color w:val="000000"/>
                <w:sz w:val="18"/>
                <w:szCs w:val="22"/>
              </w:rPr>
            </w:pPr>
            <w:r w:rsidRPr="00EE13BF">
              <w:rPr>
                <w:rFonts w:ascii="Arial" w:hAnsi="Arial" w:cs="Arial"/>
                <w:color w:val="000000"/>
                <w:sz w:val="18"/>
                <w:szCs w:val="22"/>
              </w:rPr>
              <w:t>7</w:t>
            </w:r>
            <w:r w:rsidR="008C24D4">
              <w:rPr>
                <w:rFonts w:ascii="Arial" w:hAnsi="Arial" w:cs="Arial"/>
                <w:color w:val="000000"/>
                <w:sz w:val="18"/>
                <w:szCs w:val="22"/>
              </w:rPr>
              <w:t>0.9</w:t>
            </w:r>
            <w:r w:rsidRPr="00EE13BF">
              <w:rPr>
                <w:rFonts w:ascii="Arial" w:hAnsi="Arial" w:cs="Arial"/>
                <w:color w:val="000000"/>
                <w:sz w:val="18"/>
                <w:szCs w:val="22"/>
              </w:rPr>
              <w:t>%</w:t>
            </w:r>
          </w:p>
        </w:tc>
        <w:tc>
          <w:tcPr>
            <w:tcW w:w="928" w:type="pct"/>
            <w:shd w:val="clear" w:color="auto" w:fill="auto"/>
            <w:vAlign w:val="center"/>
          </w:tcPr>
          <w:p w:rsidR="00EE13BF" w:rsidRPr="00EE13BF" w:rsidRDefault="00EE13BF" w:rsidP="008C24D4">
            <w:pPr>
              <w:jc w:val="center"/>
              <w:rPr>
                <w:rFonts w:ascii="Arial" w:hAnsi="Arial" w:cs="Arial"/>
                <w:color w:val="000000"/>
                <w:sz w:val="18"/>
                <w:szCs w:val="22"/>
              </w:rPr>
            </w:pPr>
            <w:r w:rsidRPr="00EE13BF">
              <w:rPr>
                <w:rFonts w:ascii="Arial" w:hAnsi="Arial" w:cs="Arial"/>
                <w:color w:val="000000"/>
                <w:sz w:val="18"/>
                <w:szCs w:val="22"/>
              </w:rPr>
              <w:t>69.</w:t>
            </w:r>
            <w:r w:rsidR="008C24D4">
              <w:rPr>
                <w:rFonts w:ascii="Arial" w:hAnsi="Arial" w:cs="Arial"/>
                <w:color w:val="000000"/>
                <w:sz w:val="18"/>
                <w:szCs w:val="22"/>
              </w:rPr>
              <w:t>3</w:t>
            </w:r>
            <w:r w:rsidRPr="00EE13BF">
              <w:rPr>
                <w:rFonts w:ascii="Arial" w:hAnsi="Arial" w:cs="Arial"/>
                <w:color w:val="000000"/>
                <w:sz w:val="18"/>
                <w:szCs w:val="22"/>
              </w:rPr>
              <w:t>%</w:t>
            </w:r>
          </w:p>
        </w:tc>
        <w:tc>
          <w:tcPr>
            <w:tcW w:w="928" w:type="pct"/>
            <w:shd w:val="clear" w:color="auto" w:fill="auto"/>
            <w:vAlign w:val="center"/>
          </w:tcPr>
          <w:p w:rsidR="00EE13BF" w:rsidRPr="00EE13BF" w:rsidRDefault="00EE13BF" w:rsidP="008C24D4">
            <w:pPr>
              <w:jc w:val="center"/>
              <w:rPr>
                <w:rFonts w:ascii="Arial" w:hAnsi="Arial" w:cs="Arial"/>
                <w:color w:val="000000"/>
                <w:sz w:val="18"/>
                <w:szCs w:val="22"/>
              </w:rPr>
            </w:pPr>
            <w:r w:rsidRPr="00EE13BF">
              <w:rPr>
                <w:rFonts w:ascii="Arial" w:hAnsi="Arial" w:cs="Arial"/>
                <w:color w:val="000000"/>
                <w:sz w:val="18"/>
                <w:szCs w:val="22"/>
              </w:rPr>
              <w:t>-1.</w:t>
            </w:r>
            <w:r w:rsidR="008C24D4">
              <w:rPr>
                <w:rFonts w:ascii="Arial" w:hAnsi="Arial" w:cs="Arial"/>
                <w:color w:val="000000"/>
                <w:sz w:val="18"/>
                <w:szCs w:val="22"/>
              </w:rPr>
              <w:t>7</w:t>
            </w:r>
            <w:r w:rsidRPr="00EE13BF">
              <w:rPr>
                <w:rFonts w:ascii="Arial" w:hAnsi="Arial" w:cs="Arial"/>
                <w:color w:val="000000"/>
                <w:sz w:val="18"/>
                <w:szCs w:val="22"/>
              </w:rPr>
              <w:t>%</w:t>
            </w:r>
          </w:p>
        </w:tc>
        <w:tc>
          <w:tcPr>
            <w:tcW w:w="929" w:type="pct"/>
            <w:shd w:val="clear" w:color="auto" w:fill="auto"/>
            <w:vAlign w:val="center"/>
          </w:tcPr>
          <w:p w:rsidR="00EE13BF" w:rsidRPr="00EE13BF" w:rsidRDefault="00EE13BF" w:rsidP="00EE13BF">
            <w:pPr>
              <w:jc w:val="center"/>
              <w:rPr>
                <w:rFonts w:ascii="Arial" w:hAnsi="Arial" w:cs="Arial"/>
                <w:color w:val="000000"/>
                <w:sz w:val="18"/>
                <w:szCs w:val="22"/>
              </w:rPr>
            </w:pPr>
            <w:r w:rsidRPr="00EE13BF">
              <w:rPr>
                <w:rFonts w:ascii="Arial" w:hAnsi="Arial" w:cs="Arial"/>
                <w:color w:val="000000"/>
                <w:sz w:val="18"/>
                <w:szCs w:val="22"/>
              </w:rPr>
              <w:t>Little change</w:t>
            </w:r>
          </w:p>
        </w:tc>
      </w:tr>
    </w:tbl>
    <w:p w:rsidR="00457B04" w:rsidRDefault="00457B04" w:rsidP="0078019B"/>
    <w:p w:rsidR="00634870" w:rsidRDefault="00457B04" w:rsidP="0078019B">
      <w:r w:rsidRPr="00D426EF">
        <w:t xml:space="preserve">During the last year, </w:t>
      </w:r>
      <w:r w:rsidR="001F02EF">
        <w:t xml:space="preserve">there has been little change in </w:t>
      </w:r>
      <w:r w:rsidRPr="00D426EF">
        <w:t xml:space="preserve">the percentage </w:t>
      </w:r>
      <w:r>
        <w:t xml:space="preserve">of </w:t>
      </w:r>
      <w:r w:rsidRPr="00D426EF">
        <w:t xml:space="preserve">registered patients receiving a cervical smear in </w:t>
      </w:r>
      <w:r w:rsidR="001F02EF">
        <w:t xml:space="preserve">both the </w:t>
      </w:r>
      <w:r w:rsidRPr="00D426EF">
        <w:t>Whā</w:t>
      </w:r>
      <w:r w:rsidR="00EE13BF">
        <w:t xml:space="preserve">nau Ora </w:t>
      </w:r>
      <w:r w:rsidR="001F02EF">
        <w:t>and national samples.</w:t>
      </w:r>
    </w:p>
    <w:p w:rsidR="001F02EF" w:rsidRDefault="001F02EF" w:rsidP="0078019B"/>
    <w:p w:rsidR="00457B04" w:rsidRDefault="00457B04" w:rsidP="0078019B">
      <w:r w:rsidRPr="00480D7B">
        <w:t xml:space="preserve">The Whānau Ora sample </w:t>
      </w:r>
      <w:r w:rsidRPr="005F7565">
        <w:rPr>
          <w:b/>
        </w:rPr>
        <w:t xml:space="preserve">did not perform </w:t>
      </w:r>
      <w:r w:rsidRPr="001A658E">
        <w:rPr>
          <w:b/>
        </w:rPr>
        <w:t>as</w:t>
      </w:r>
      <w:r w:rsidRPr="007F75E7">
        <w:rPr>
          <w:b/>
        </w:rPr>
        <w:t xml:space="preserve"> well as</w:t>
      </w:r>
      <w:r w:rsidRPr="00480D7B">
        <w:t xml:space="preserve"> the national sample </w:t>
      </w:r>
      <w:r>
        <w:t xml:space="preserve">in the </w:t>
      </w:r>
      <w:r w:rsidR="00634870">
        <w:t>‘</w:t>
      </w:r>
      <w:r>
        <w:t>Cervical Smear recorded</w:t>
      </w:r>
      <w:r w:rsidR="00634870">
        <w:t>’</w:t>
      </w:r>
      <w:r w:rsidRPr="00480D7B">
        <w:t xml:space="preserve"> indicator.</w:t>
      </w:r>
    </w:p>
    <w:p w:rsidR="00457B04" w:rsidRDefault="00457B04" w:rsidP="0078019B"/>
    <w:p w:rsidR="00457B04" w:rsidRPr="00F65F07" w:rsidRDefault="00457B04" w:rsidP="0078019B">
      <w:pPr>
        <w:pStyle w:val="Figure"/>
      </w:pPr>
      <w:bookmarkStart w:id="70" w:name="_Toc353868275"/>
      <w:bookmarkStart w:id="71" w:name="_Toc411429628"/>
      <w:bookmarkStart w:id="72" w:name="_Toc417980822"/>
      <w:r>
        <w:t>Figure 5</w:t>
      </w:r>
      <w:r w:rsidRPr="00F65F07">
        <w:t>:</w:t>
      </w:r>
      <w:r>
        <w:t xml:space="preserve"> </w:t>
      </w:r>
      <w:r w:rsidRPr="00F65F07">
        <w:t xml:space="preserve">Performance against the </w:t>
      </w:r>
      <w:r w:rsidR="00634870">
        <w:t>‘</w:t>
      </w:r>
      <w:r w:rsidRPr="00F65F07">
        <w:t>Cervical smear recorded</w:t>
      </w:r>
      <w:r w:rsidR="00634870">
        <w:t>’</w:t>
      </w:r>
      <w:r w:rsidRPr="00F65F07">
        <w:t xml:space="preserve"> indicator</w:t>
      </w:r>
      <w:bookmarkEnd w:id="70"/>
      <w:bookmarkEnd w:id="71"/>
      <w:bookmarkEnd w:id="72"/>
    </w:p>
    <w:p w:rsidR="0078019B" w:rsidRDefault="003A10A7" w:rsidP="0078019B">
      <w:bookmarkStart w:id="73" w:name="_Toc350162545"/>
      <w:bookmarkStart w:id="74" w:name="_Toc353959534"/>
      <w:bookmarkStart w:id="75" w:name="_Toc411433976"/>
      <w:r>
        <w:rPr>
          <w:noProof/>
          <w:lang w:eastAsia="en-NZ"/>
        </w:rPr>
        <w:drawing>
          <wp:inline distT="0" distB="0" distL="0" distR="0" wp14:anchorId="790AA936" wp14:editId="290A7CD2">
            <wp:extent cx="5052483" cy="3061228"/>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8019B" w:rsidRDefault="0078019B" w:rsidP="0078019B"/>
    <w:p w:rsidR="00457B04" w:rsidRDefault="00457B04" w:rsidP="0078019B">
      <w:pPr>
        <w:pStyle w:val="Heading2"/>
      </w:pPr>
      <w:bookmarkStart w:id="76" w:name="_Toc362600468"/>
      <w:bookmarkStart w:id="77" w:name="_Toc421710359"/>
      <w:r w:rsidRPr="00CD3C15">
        <w:lastRenderedPageBreak/>
        <w:t xml:space="preserve">Indicator </w:t>
      </w:r>
      <w:r>
        <w:t>6</w:t>
      </w:r>
      <w:r w:rsidRPr="00CD3C15">
        <w:t>:</w:t>
      </w:r>
      <w:r>
        <w:t xml:space="preserve"> </w:t>
      </w:r>
      <w:r w:rsidRPr="00CD3C15">
        <w:t>Mammography for high needs</w:t>
      </w:r>
      <w:r w:rsidR="002149EF">
        <w:rPr>
          <w:rStyle w:val="FootnoteReference"/>
        </w:rPr>
        <w:footnoteReference w:customMarkFollows="1" w:id="3"/>
        <w:t>*</w:t>
      </w:r>
      <w:bookmarkEnd w:id="73"/>
      <w:r>
        <w:t xml:space="preserve"> – little change over the</w:t>
      </w:r>
      <w:r w:rsidRPr="00CD3C15">
        <w:t xml:space="preserve"> year</w:t>
      </w:r>
      <w:r>
        <w:t xml:space="preserve"> </w:t>
      </w:r>
      <w:r w:rsidR="0019454B">
        <w:t>March 2014 to March 2015</w:t>
      </w:r>
      <w:bookmarkEnd w:id="74"/>
      <w:bookmarkEnd w:id="75"/>
      <w:bookmarkEnd w:id="76"/>
      <w:bookmarkEnd w:id="77"/>
    </w:p>
    <w:p w:rsidR="00457B04" w:rsidRPr="00F65F07" w:rsidRDefault="00457B04" w:rsidP="0078019B">
      <w:pPr>
        <w:keepNext/>
      </w:pPr>
      <w:r w:rsidRPr="00F65F07">
        <w:t>Definition:</w:t>
      </w:r>
      <w:r>
        <w:t xml:space="preserve"> </w:t>
      </w:r>
      <w:r w:rsidRPr="00F65F07">
        <w:t>Percentage of non-exempt enrolled high</w:t>
      </w:r>
      <w:r w:rsidR="00BD692C">
        <w:t>-</w:t>
      </w:r>
      <w:r w:rsidRPr="00F65F07">
        <w:t xml:space="preserve">needs female patients aged 50–69 </w:t>
      </w:r>
      <w:r>
        <w:t xml:space="preserve">years </w:t>
      </w:r>
      <w:r w:rsidRPr="00F65F07">
        <w:t>who have received a mammogram in the last two years.</w:t>
      </w:r>
    </w:p>
    <w:p w:rsidR="00457B04" w:rsidRPr="00F65F07" w:rsidRDefault="00457B04" w:rsidP="0078019B">
      <w:pPr>
        <w:keepNext/>
      </w:pPr>
    </w:p>
    <w:p w:rsidR="00457B04" w:rsidRPr="00F65F07" w:rsidRDefault="00457B04" w:rsidP="0078019B">
      <w:pPr>
        <w:keepNext/>
      </w:pPr>
      <w:r>
        <w:t>For this indicator, p</w:t>
      </w:r>
      <w:r w:rsidRPr="00F65F07">
        <w:t xml:space="preserve">atients defined as </w:t>
      </w:r>
      <w:r w:rsidR="00634870">
        <w:t>‘</w:t>
      </w:r>
      <w:r w:rsidRPr="00F65F07">
        <w:t>high needs</w:t>
      </w:r>
      <w:r w:rsidR="00634870">
        <w:t>’</w:t>
      </w:r>
      <w:r w:rsidRPr="00F65F07">
        <w:t xml:space="preserve"> include Māori and Pacific women and women living in </w:t>
      </w:r>
      <w:proofErr w:type="spellStart"/>
      <w:r w:rsidRPr="00F65F07">
        <w:t>NZDep</w:t>
      </w:r>
      <w:proofErr w:type="spellEnd"/>
      <w:r w:rsidRPr="00F65F07">
        <w:t xml:space="preserve"> </w:t>
      </w:r>
      <w:proofErr w:type="spellStart"/>
      <w:r w:rsidRPr="00F65F07">
        <w:t>decile</w:t>
      </w:r>
      <w:proofErr w:type="spellEnd"/>
      <w:r w:rsidRPr="00F65F07">
        <w:t xml:space="preserve"> areas 9 or 10.</w:t>
      </w:r>
    </w:p>
    <w:p w:rsidR="00457B04" w:rsidRPr="00F65F07" w:rsidRDefault="00457B04" w:rsidP="0078019B">
      <w:pPr>
        <w:keepNext/>
      </w:pPr>
    </w:p>
    <w:p w:rsidR="00457B04" w:rsidRDefault="00457B04" w:rsidP="0078019B">
      <w:pPr>
        <w:pStyle w:val="Table"/>
      </w:pPr>
      <w:bookmarkStart w:id="78" w:name="_Toc353959549"/>
      <w:bookmarkStart w:id="79" w:name="_Toc379540126"/>
      <w:bookmarkStart w:id="80" w:name="_Toc421535721"/>
      <w:r w:rsidRPr="00F65F07">
        <w:t xml:space="preserve">Table </w:t>
      </w:r>
      <w:r>
        <w:t>6</w:t>
      </w:r>
      <w:r w:rsidRPr="00F65F07">
        <w:t>:</w:t>
      </w:r>
      <w:r>
        <w:t xml:space="preserve"> </w:t>
      </w:r>
      <w:r w:rsidRPr="00F65F07">
        <w:t xml:space="preserve">Performance against </w:t>
      </w:r>
      <w:r>
        <w:t xml:space="preserve">the </w:t>
      </w:r>
      <w:r w:rsidR="00634870">
        <w:t>‘</w:t>
      </w:r>
      <w:r>
        <w:t>Mammography for high needs</w:t>
      </w:r>
      <w:r w:rsidR="00634870">
        <w:t>’</w:t>
      </w:r>
      <w:r>
        <w:t xml:space="preserve"> indicator</w:t>
      </w:r>
      <w:bookmarkEnd w:id="78"/>
      <w:bookmarkEnd w:id="79"/>
      <w:bookmarkEnd w:id="80"/>
    </w:p>
    <w:tbl>
      <w:tblPr>
        <w:tblW w:w="494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07"/>
        <w:gridCol w:w="1737"/>
        <w:gridCol w:w="1737"/>
        <w:gridCol w:w="1736"/>
        <w:gridCol w:w="1738"/>
      </w:tblGrid>
      <w:tr w:rsidR="00457B04" w:rsidRPr="009C5A6A" w:rsidTr="007A1E11">
        <w:trPr>
          <w:cantSplit/>
        </w:trPr>
        <w:tc>
          <w:tcPr>
            <w:tcW w:w="1286" w:type="pct"/>
            <w:tcBorders>
              <w:top w:val="single" w:sz="4" w:space="0" w:color="auto"/>
              <w:bottom w:val="single" w:sz="4" w:space="0" w:color="auto"/>
            </w:tcBorders>
            <w:shd w:val="clear" w:color="auto" w:fill="auto"/>
          </w:tcPr>
          <w:p w:rsidR="00457B04" w:rsidRPr="009C5A6A" w:rsidRDefault="00457B04" w:rsidP="007A1E11">
            <w:pPr>
              <w:pStyle w:val="TableText"/>
              <w:rPr>
                <w:b/>
              </w:rPr>
            </w:pPr>
          </w:p>
        </w:tc>
        <w:tc>
          <w:tcPr>
            <w:tcW w:w="928"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2014</w:t>
            </w:r>
          </w:p>
        </w:tc>
        <w:tc>
          <w:tcPr>
            <w:tcW w:w="928"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2015</w:t>
            </w:r>
          </w:p>
        </w:tc>
        <w:tc>
          <w:tcPr>
            <w:tcW w:w="928" w:type="pct"/>
            <w:tcBorders>
              <w:top w:val="single" w:sz="4" w:space="0" w:color="auto"/>
              <w:bottom w:val="single" w:sz="4" w:space="0" w:color="auto"/>
            </w:tcBorders>
            <w:shd w:val="clear" w:color="auto" w:fill="auto"/>
          </w:tcPr>
          <w:p w:rsidR="00457B04" w:rsidRPr="009C5A6A" w:rsidRDefault="00457B04" w:rsidP="007A1E11">
            <w:pPr>
              <w:pStyle w:val="TableText"/>
              <w:jc w:val="center"/>
              <w:rPr>
                <w:b/>
              </w:rPr>
            </w:pPr>
            <w:r>
              <w:rPr>
                <w:b/>
              </w:rPr>
              <w:t>Difference</w:t>
            </w:r>
          </w:p>
        </w:tc>
        <w:tc>
          <w:tcPr>
            <w:tcW w:w="929" w:type="pct"/>
            <w:tcBorders>
              <w:top w:val="single" w:sz="4" w:space="0" w:color="auto"/>
              <w:bottom w:val="single" w:sz="4" w:space="0" w:color="auto"/>
            </w:tcBorders>
            <w:shd w:val="clear" w:color="auto" w:fill="auto"/>
          </w:tcPr>
          <w:p w:rsidR="00457B04" w:rsidRPr="009C5A6A" w:rsidRDefault="00457B04" w:rsidP="007A1E11">
            <w:pPr>
              <w:pStyle w:val="TableText"/>
              <w:jc w:val="center"/>
              <w:rPr>
                <w:b/>
              </w:rPr>
            </w:pPr>
            <w:r w:rsidRPr="009C5A6A">
              <w:rPr>
                <w:b/>
              </w:rPr>
              <w:t>Trend last year</w:t>
            </w:r>
          </w:p>
        </w:tc>
      </w:tr>
      <w:tr w:rsidR="00AD1BBC" w:rsidRPr="004D1368" w:rsidTr="00AD1BBC">
        <w:trPr>
          <w:cantSplit/>
        </w:trPr>
        <w:tc>
          <w:tcPr>
            <w:tcW w:w="1286" w:type="pct"/>
            <w:tcBorders>
              <w:top w:val="single" w:sz="4" w:space="0" w:color="auto"/>
            </w:tcBorders>
            <w:shd w:val="clear" w:color="auto" w:fill="auto"/>
          </w:tcPr>
          <w:p w:rsidR="00AD1BBC" w:rsidRPr="00F65F07" w:rsidRDefault="00AD1BBC" w:rsidP="0078019B">
            <w:pPr>
              <w:pStyle w:val="TableText"/>
            </w:pPr>
            <w:r w:rsidRPr="00F65F07">
              <w:t>Whānau Ora sample</w:t>
            </w:r>
          </w:p>
        </w:tc>
        <w:tc>
          <w:tcPr>
            <w:tcW w:w="928" w:type="pct"/>
            <w:tcBorders>
              <w:top w:val="single" w:sz="4" w:space="0" w:color="auto"/>
            </w:tcBorders>
            <w:shd w:val="clear" w:color="auto" w:fill="auto"/>
            <w:vAlign w:val="center"/>
          </w:tcPr>
          <w:p w:rsidR="00AD1BBC" w:rsidRPr="00AD1BBC" w:rsidRDefault="00764BDE" w:rsidP="00764BDE">
            <w:pPr>
              <w:jc w:val="center"/>
              <w:rPr>
                <w:rFonts w:ascii="Arial" w:hAnsi="Arial" w:cs="Arial"/>
                <w:sz w:val="18"/>
              </w:rPr>
            </w:pPr>
            <w:r>
              <w:rPr>
                <w:rFonts w:ascii="Arial" w:hAnsi="Arial" w:cs="Arial"/>
                <w:sz w:val="18"/>
              </w:rPr>
              <w:t>59.3</w:t>
            </w:r>
            <w:r w:rsidR="00AD1BBC" w:rsidRPr="00AD1BBC">
              <w:rPr>
                <w:rFonts w:ascii="Arial" w:hAnsi="Arial" w:cs="Arial"/>
                <w:sz w:val="18"/>
              </w:rPr>
              <w:t>%</w:t>
            </w:r>
          </w:p>
        </w:tc>
        <w:tc>
          <w:tcPr>
            <w:tcW w:w="928" w:type="pct"/>
            <w:tcBorders>
              <w:top w:val="single" w:sz="4" w:space="0" w:color="auto"/>
            </w:tcBorders>
            <w:shd w:val="clear" w:color="auto" w:fill="auto"/>
            <w:vAlign w:val="center"/>
          </w:tcPr>
          <w:p w:rsidR="00AD1BBC" w:rsidRPr="00AD1BBC" w:rsidRDefault="00764BDE" w:rsidP="00764BDE">
            <w:pPr>
              <w:jc w:val="center"/>
              <w:rPr>
                <w:rFonts w:ascii="Arial" w:hAnsi="Arial" w:cs="Arial"/>
                <w:sz w:val="18"/>
              </w:rPr>
            </w:pPr>
            <w:r>
              <w:rPr>
                <w:rFonts w:ascii="Arial" w:hAnsi="Arial" w:cs="Arial"/>
                <w:sz w:val="18"/>
              </w:rPr>
              <w:t>60.1</w:t>
            </w:r>
            <w:r w:rsidR="00AD1BBC" w:rsidRPr="00AD1BBC">
              <w:rPr>
                <w:rFonts w:ascii="Arial" w:hAnsi="Arial" w:cs="Arial"/>
                <w:sz w:val="18"/>
              </w:rPr>
              <w:t>%</w:t>
            </w:r>
          </w:p>
        </w:tc>
        <w:tc>
          <w:tcPr>
            <w:tcW w:w="928" w:type="pct"/>
            <w:tcBorders>
              <w:top w:val="single" w:sz="4" w:space="0" w:color="auto"/>
            </w:tcBorders>
            <w:shd w:val="clear" w:color="auto" w:fill="auto"/>
            <w:vAlign w:val="center"/>
          </w:tcPr>
          <w:p w:rsidR="00AD1BBC" w:rsidRPr="00AD1BBC" w:rsidRDefault="00764BDE" w:rsidP="00764BDE">
            <w:pPr>
              <w:jc w:val="center"/>
              <w:rPr>
                <w:rFonts w:ascii="Arial" w:hAnsi="Arial" w:cs="Arial"/>
                <w:sz w:val="18"/>
              </w:rPr>
            </w:pPr>
            <w:r>
              <w:rPr>
                <w:rFonts w:ascii="Arial" w:hAnsi="Arial" w:cs="Arial"/>
                <w:sz w:val="18"/>
              </w:rPr>
              <w:t>0.8</w:t>
            </w:r>
            <w:r w:rsidR="00AD1BBC" w:rsidRPr="00AD1BBC">
              <w:rPr>
                <w:rFonts w:ascii="Arial" w:hAnsi="Arial" w:cs="Arial"/>
                <w:sz w:val="18"/>
              </w:rPr>
              <w:t>%</w:t>
            </w:r>
          </w:p>
        </w:tc>
        <w:tc>
          <w:tcPr>
            <w:tcW w:w="929" w:type="pct"/>
            <w:tcBorders>
              <w:top w:val="single" w:sz="4" w:space="0" w:color="auto"/>
            </w:tcBorders>
            <w:shd w:val="clear" w:color="auto" w:fill="auto"/>
            <w:vAlign w:val="center"/>
          </w:tcPr>
          <w:p w:rsidR="00AD1BBC" w:rsidRPr="00AD1BBC" w:rsidRDefault="00AD1BBC" w:rsidP="00AD1BBC">
            <w:pPr>
              <w:jc w:val="center"/>
              <w:rPr>
                <w:rFonts w:ascii="Arial" w:hAnsi="Arial" w:cs="Arial"/>
                <w:sz w:val="18"/>
              </w:rPr>
            </w:pPr>
            <w:r w:rsidRPr="00AD1BBC">
              <w:rPr>
                <w:rFonts w:ascii="Arial" w:hAnsi="Arial" w:cs="Arial"/>
                <w:sz w:val="18"/>
              </w:rPr>
              <w:t>Little change</w:t>
            </w:r>
          </w:p>
        </w:tc>
      </w:tr>
      <w:tr w:rsidR="00AD1BBC" w:rsidTr="00AD1BBC">
        <w:trPr>
          <w:cantSplit/>
        </w:trPr>
        <w:tc>
          <w:tcPr>
            <w:tcW w:w="1286" w:type="pct"/>
            <w:shd w:val="clear" w:color="auto" w:fill="auto"/>
          </w:tcPr>
          <w:p w:rsidR="00AD1BBC" w:rsidRPr="00F65F07" w:rsidRDefault="00AD1BBC" w:rsidP="0078019B">
            <w:pPr>
              <w:pStyle w:val="TableText"/>
              <w:spacing w:before="0"/>
            </w:pPr>
            <w:r w:rsidRPr="00F65F07">
              <w:t>National sample</w:t>
            </w:r>
          </w:p>
        </w:tc>
        <w:tc>
          <w:tcPr>
            <w:tcW w:w="928" w:type="pct"/>
            <w:shd w:val="clear" w:color="auto" w:fill="auto"/>
            <w:vAlign w:val="center"/>
          </w:tcPr>
          <w:p w:rsidR="00AD1BBC" w:rsidRPr="00AD1BBC" w:rsidRDefault="00AD1BBC" w:rsidP="00764BDE">
            <w:pPr>
              <w:jc w:val="center"/>
              <w:rPr>
                <w:rFonts w:ascii="Arial" w:hAnsi="Arial" w:cs="Arial"/>
                <w:sz w:val="18"/>
              </w:rPr>
            </w:pPr>
            <w:r w:rsidRPr="00AD1BBC">
              <w:rPr>
                <w:rFonts w:ascii="Arial" w:hAnsi="Arial" w:cs="Arial"/>
                <w:sz w:val="18"/>
              </w:rPr>
              <w:t>6</w:t>
            </w:r>
            <w:r w:rsidR="00764BDE">
              <w:rPr>
                <w:rFonts w:ascii="Arial" w:hAnsi="Arial" w:cs="Arial"/>
                <w:sz w:val="18"/>
              </w:rPr>
              <w:t>3.1</w:t>
            </w:r>
            <w:r w:rsidRPr="00AD1BBC">
              <w:rPr>
                <w:rFonts w:ascii="Arial" w:hAnsi="Arial" w:cs="Arial"/>
                <w:sz w:val="18"/>
              </w:rPr>
              <w:t>%</w:t>
            </w:r>
          </w:p>
        </w:tc>
        <w:tc>
          <w:tcPr>
            <w:tcW w:w="928" w:type="pct"/>
            <w:shd w:val="clear" w:color="auto" w:fill="auto"/>
            <w:vAlign w:val="center"/>
          </w:tcPr>
          <w:p w:rsidR="00AD1BBC" w:rsidRPr="00AD1BBC" w:rsidRDefault="00AD1BBC" w:rsidP="00764BDE">
            <w:pPr>
              <w:jc w:val="center"/>
              <w:rPr>
                <w:rFonts w:ascii="Arial" w:hAnsi="Arial" w:cs="Arial"/>
                <w:sz w:val="18"/>
              </w:rPr>
            </w:pPr>
            <w:r w:rsidRPr="00AD1BBC">
              <w:rPr>
                <w:rFonts w:ascii="Arial" w:hAnsi="Arial" w:cs="Arial"/>
                <w:sz w:val="18"/>
              </w:rPr>
              <w:t>61.</w:t>
            </w:r>
            <w:r w:rsidR="00764BDE">
              <w:rPr>
                <w:rFonts w:ascii="Arial" w:hAnsi="Arial" w:cs="Arial"/>
                <w:sz w:val="18"/>
              </w:rPr>
              <w:t>0</w:t>
            </w:r>
            <w:r w:rsidRPr="00AD1BBC">
              <w:rPr>
                <w:rFonts w:ascii="Arial" w:hAnsi="Arial" w:cs="Arial"/>
                <w:sz w:val="18"/>
              </w:rPr>
              <w:t>%</w:t>
            </w:r>
          </w:p>
        </w:tc>
        <w:tc>
          <w:tcPr>
            <w:tcW w:w="928" w:type="pct"/>
            <w:shd w:val="clear" w:color="auto" w:fill="auto"/>
            <w:vAlign w:val="center"/>
          </w:tcPr>
          <w:p w:rsidR="00AD1BBC" w:rsidRPr="00AD1BBC" w:rsidRDefault="00AD1BBC" w:rsidP="00764BDE">
            <w:pPr>
              <w:jc w:val="center"/>
              <w:rPr>
                <w:rFonts w:ascii="Arial" w:hAnsi="Arial" w:cs="Arial"/>
                <w:sz w:val="18"/>
              </w:rPr>
            </w:pPr>
            <w:r w:rsidRPr="00AD1BBC">
              <w:rPr>
                <w:rFonts w:ascii="Arial" w:hAnsi="Arial" w:cs="Arial"/>
                <w:sz w:val="18"/>
              </w:rPr>
              <w:t>-</w:t>
            </w:r>
            <w:r w:rsidR="00764BDE">
              <w:rPr>
                <w:rFonts w:ascii="Arial" w:hAnsi="Arial" w:cs="Arial"/>
                <w:sz w:val="18"/>
              </w:rPr>
              <w:t>2.1%</w:t>
            </w:r>
          </w:p>
        </w:tc>
        <w:tc>
          <w:tcPr>
            <w:tcW w:w="929" w:type="pct"/>
            <w:shd w:val="clear" w:color="auto" w:fill="auto"/>
            <w:vAlign w:val="center"/>
          </w:tcPr>
          <w:p w:rsidR="00AD1BBC" w:rsidRPr="00AD1BBC" w:rsidRDefault="00764BDE" w:rsidP="00764BDE">
            <w:pPr>
              <w:jc w:val="center"/>
              <w:rPr>
                <w:rFonts w:ascii="Arial" w:hAnsi="Arial" w:cs="Arial"/>
                <w:sz w:val="18"/>
              </w:rPr>
            </w:pPr>
            <w:r w:rsidRPr="00AD1BBC">
              <w:rPr>
                <w:rFonts w:ascii="Arial" w:hAnsi="Arial" w:cs="Arial"/>
                <w:sz w:val="18"/>
              </w:rPr>
              <w:t>Little change</w:t>
            </w:r>
          </w:p>
        </w:tc>
      </w:tr>
    </w:tbl>
    <w:p w:rsidR="00457B04" w:rsidRDefault="00457B04" w:rsidP="0078019B"/>
    <w:p w:rsidR="00457B04" w:rsidRDefault="00457B04" w:rsidP="0078019B">
      <w:r w:rsidRPr="00195A1D">
        <w:t>During the last year</w:t>
      </w:r>
      <w:r>
        <w:t>,</w:t>
      </w:r>
      <w:r w:rsidRPr="00195A1D">
        <w:t xml:space="preserve"> the</w:t>
      </w:r>
      <w:r w:rsidR="00372455">
        <w:t xml:space="preserve">re has been little change in the results for the </w:t>
      </w:r>
      <w:r w:rsidR="00634870">
        <w:t>‘</w:t>
      </w:r>
      <w:r w:rsidR="00372455">
        <w:t>Mammography for high needs</w:t>
      </w:r>
      <w:r w:rsidR="00634870">
        <w:t>’</w:t>
      </w:r>
      <w:r w:rsidR="00372455">
        <w:t xml:space="preserve"> indicator for the Whānau Ora </w:t>
      </w:r>
      <w:r w:rsidR="00764BDE">
        <w:t xml:space="preserve">and national </w:t>
      </w:r>
      <w:r w:rsidR="00372455">
        <w:t>sample</w:t>
      </w:r>
      <w:r w:rsidR="00764BDE">
        <w:t>s</w:t>
      </w:r>
      <w:r w:rsidRPr="00195A1D">
        <w:t>.</w:t>
      </w:r>
    </w:p>
    <w:p w:rsidR="00457B04" w:rsidRDefault="00457B04" w:rsidP="0078019B"/>
    <w:p w:rsidR="00457B04" w:rsidRDefault="00764BDE" w:rsidP="0078019B">
      <w:proofErr w:type="gramStart"/>
      <w:r>
        <w:t>As at March 2015, t</w:t>
      </w:r>
      <w:r w:rsidR="00457B04" w:rsidRPr="00480D7B">
        <w:t>he Whānau Ora sample perform</w:t>
      </w:r>
      <w:r w:rsidR="00457B04">
        <w:t>ed</w:t>
      </w:r>
      <w:r w:rsidR="00457B04" w:rsidRPr="00480D7B">
        <w:t xml:space="preserve"> </w:t>
      </w:r>
      <w:r w:rsidR="00457B04" w:rsidRPr="007F75E7">
        <w:rPr>
          <w:b/>
        </w:rPr>
        <w:t>as well as</w:t>
      </w:r>
      <w:r w:rsidR="00457B04" w:rsidRPr="00480D7B">
        <w:t xml:space="preserve"> the national sample in the </w:t>
      </w:r>
      <w:r w:rsidR="00634870">
        <w:t>‘</w:t>
      </w:r>
      <w:r w:rsidR="00457B04">
        <w:t>Mammography for high needs</w:t>
      </w:r>
      <w:r w:rsidR="00634870">
        <w:t>’</w:t>
      </w:r>
      <w:r w:rsidR="00457B04" w:rsidRPr="00480D7B">
        <w:t xml:space="preserve"> indicator.</w:t>
      </w:r>
      <w:proofErr w:type="gramEnd"/>
    </w:p>
    <w:p w:rsidR="00457B04" w:rsidRPr="00F65F07" w:rsidRDefault="00457B04" w:rsidP="0078019B"/>
    <w:p w:rsidR="00457B04" w:rsidRDefault="00457B04" w:rsidP="0078019B">
      <w:pPr>
        <w:pStyle w:val="Figure"/>
        <w:rPr>
          <w:noProof/>
          <w:lang w:eastAsia="en-NZ"/>
        </w:rPr>
      </w:pPr>
      <w:bookmarkStart w:id="81" w:name="_Toc353868276"/>
      <w:bookmarkStart w:id="82" w:name="_Toc411429629"/>
      <w:bookmarkStart w:id="83" w:name="_Toc417980823"/>
      <w:r>
        <w:t>Figure 6</w:t>
      </w:r>
      <w:r w:rsidRPr="00F65F07">
        <w:t>:</w:t>
      </w:r>
      <w:r>
        <w:t xml:space="preserve"> </w:t>
      </w:r>
      <w:r w:rsidRPr="00F65F07">
        <w:t xml:space="preserve">Performance against the </w:t>
      </w:r>
      <w:r w:rsidR="00634870">
        <w:t>‘</w:t>
      </w:r>
      <w:r w:rsidRPr="00F65F07">
        <w:t>Mammography for high needs</w:t>
      </w:r>
      <w:r w:rsidR="00634870">
        <w:t>’</w:t>
      </w:r>
      <w:r w:rsidRPr="00F65F07">
        <w:t xml:space="preserve"> indicator</w:t>
      </w:r>
      <w:bookmarkEnd w:id="81"/>
      <w:bookmarkEnd w:id="82"/>
      <w:bookmarkEnd w:id="83"/>
    </w:p>
    <w:p w:rsidR="00457B04" w:rsidRDefault="003A10A7" w:rsidP="0078019B">
      <w:r>
        <w:rPr>
          <w:noProof/>
          <w:lang w:eastAsia="en-NZ"/>
        </w:rPr>
        <w:drawing>
          <wp:inline distT="0" distB="0" distL="0" distR="0" wp14:anchorId="7C14DF80" wp14:editId="47CF2A36">
            <wp:extent cx="4901142" cy="30162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760F2" w:rsidRDefault="008760F2" w:rsidP="0078019B"/>
    <w:p w:rsidR="00764BDE" w:rsidRDefault="00764BDE">
      <w:pPr>
        <w:spacing w:line="240" w:lineRule="auto"/>
        <w:rPr>
          <w:b/>
          <w:sz w:val="40"/>
        </w:rPr>
      </w:pPr>
      <w:bookmarkStart w:id="84" w:name="_Toc350162546"/>
      <w:bookmarkStart w:id="85" w:name="_Toc353959535"/>
      <w:bookmarkStart w:id="86" w:name="_Toc362600469"/>
      <w:bookmarkStart w:id="87" w:name="_Toc411433977"/>
      <w:r>
        <w:br w:type="page"/>
      </w:r>
    </w:p>
    <w:p w:rsidR="00457B04" w:rsidRDefault="00457B04" w:rsidP="00457B04">
      <w:pPr>
        <w:pStyle w:val="Heading2"/>
        <w:spacing w:before="0"/>
      </w:pPr>
      <w:bookmarkStart w:id="88" w:name="_Toc421710360"/>
      <w:r w:rsidRPr="00CD3C15">
        <w:lastRenderedPageBreak/>
        <w:t xml:space="preserve">Indicator </w:t>
      </w:r>
      <w:r>
        <w:t>7</w:t>
      </w:r>
      <w:r w:rsidRPr="00CD3C15">
        <w:t>: Flu vaccination 65+</w:t>
      </w:r>
      <w:bookmarkEnd w:id="84"/>
      <w:r>
        <w:t xml:space="preserve"> – </w:t>
      </w:r>
      <w:bookmarkEnd w:id="85"/>
      <w:bookmarkEnd w:id="86"/>
      <w:r w:rsidR="00374D9A">
        <w:t xml:space="preserve">down </w:t>
      </w:r>
      <w:r w:rsidR="00764BDE">
        <w:t xml:space="preserve">27.0 </w:t>
      </w:r>
      <w:r w:rsidR="00374D9A">
        <w:t xml:space="preserve">percent </w:t>
      </w:r>
      <w:r>
        <w:t xml:space="preserve">between </w:t>
      </w:r>
      <w:r w:rsidR="0019454B">
        <w:t>March 2014</w:t>
      </w:r>
      <w:r>
        <w:t xml:space="preserve"> and </w:t>
      </w:r>
      <w:r w:rsidR="0019454B">
        <w:t>March 2015</w:t>
      </w:r>
      <w:bookmarkEnd w:id="87"/>
      <w:bookmarkEnd w:id="88"/>
    </w:p>
    <w:p w:rsidR="00457B04" w:rsidRPr="00F65F07" w:rsidRDefault="00457B04" w:rsidP="0078019B">
      <w:r w:rsidRPr="00F65F07">
        <w:t>Definition:</w:t>
      </w:r>
      <w:r>
        <w:t xml:space="preserve"> </w:t>
      </w:r>
      <w:r w:rsidRPr="00F65F07">
        <w:t>Percentage of enrolled patients aged 65+ who have received a flu vaccination this calendar year.</w:t>
      </w:r>
    </w:p>
    <w:p w:rsidR="00457B04" w:rsidRDefault="00457B04" w:rsidP="0078019B"/>
    <w:p w:rsidR="00457B04" w:rsidRDefault="00457B04" w:rsidP="0078019B">
      <w:pPr>
        <w:pStyle w:val="Table"/>
      </w:pPr>
      <w:bookmarkStart w:id="89" w:name="_Toc353959550"/>
      <w:bookmarkStart w:id="90" w:name="_Toc379540127"/>
      <w:bookmarkStart w:id="91" w:name="_Toc421535722"/>
      <w:r w:rsidRPr="00F65F07">
        <w:t xml:space="preserve">Table </w:t>
      </w:r>
      <w:r>
        <w:t>7</w:t>
      </w:r>
      <w:r w:rsidRPr="00F65F07">
        <w:t>:</w:t>
      </w:r>
      <w:r>
        <w:t xml:space="preserve"> </w:t>
      </w:r>
      <w:r w:rsidRPr="00F65F07">
        <w:t>Performance against</w:t>
      </w:r>
      <w:r>
        <w:t xml:space="preserve"> the </w:t>
      </w:r>
      <w:r w:rsidR="00634870">
        <w:t>‘</w:t>
      </w:r>
      <w:r>
        <w:t>Flu vaccination 65+</w:t>
      </w:r>
      <w:r w:rsidR="00634870">
        <w:t>’</w:t>
      </w:r>
      <w:r>
        <w:t xml:space="preserve"> indicator</w:t>
      </w:r>
      <w:bookmarkEnd w:id="89"/>
      <w:bookmarkEnd w:id="90"/>
      <w:bookmarkEnd w:id="91"/>
    </w:p>
    <w:tbl>
      <w:tblPr>
        <w:tblW w:w="493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07"/>
        <w:gridCol w:w="1738"/>
        <w:gridCol w:w="1736"/>
        <w:gridCol w:w="1736"/>
        <w:gridCol w:w="1736"/>
      </w:tblGrid>
      <w:tr w:rsidR="00457B04" w:rsidRPr="009C5A6A" w:rsidTr="007A1E11">
        <w:trPr>
          <w:cantSplit/>
        </w:trPr>
        <w:tc>
          <w:tcPr>
            <w:tcW w:w="1287" w:type="pct"/>
            <w:tcBorders>
              <w:top w:val="single" w:sz="4" w:space="0" w:color="auto"/>
              <w:bottom w:val="single" w:sz="4" w:space="0" w:color="auto"/>
            </w:tcBorders>
            <w:shd w:val="clear" w:color="auto" w:fill="auto"/>
          </w:tcPr>
          <w:p w:rsidR="00457B04" w:rsidRPr="009C5A6A" w:rsidRDefault="00457B04" w:rsidP="007A1E11">
            <w:pPr>
              <w:pStyle w:val="TableText"/>
              <w:rPr>
                <w:b/>
              </w:rPr>
            </w:pPr>
          </w:p>
        </w:tc>
        <w:tc>
          <w:tcPr>
            <w:tcW w:w="929"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2014</w:t>
            </w:r>
          </w:p>
        </w:tc>
        <w:tc>
          <w:tcPr>
            <w:tcW w:w="928" w:type="pct"/>
            <w:tcBorders>
              <w:top w:val="single" w:sz="4" w:space="0" w:color="auto"/>
              <w:bottom w:val="single" w:sz="4" w:space="0" w:color="auto"/>
            </w:tcBorders>
            <w:shd w:val="clear" w:color="auto" w:fill="auto"/>
          </w:tcPr>
          <w:p w:rsidR="00457B04" w:rsidRPr="009C5A6A" w:rsidRDefault="0019454B" w:rsidP="007A1E11">
            <w:pPr>
              <w:pStyle w:val="TableText"/>
              <w:jc w:val="center"/>
              <w:rPr>
                <w:b/>
              </w:rPr>
            </w:pPr>
            <w:r>
              <w:rPr>
                <w:b/>
              </w:rPr>
              <w:t>March 2015</w:t>
            </w:r>
          </w:p>
        </w:tc>
        <w:tc>
          <w:tcPr>
            <w:tcW w:w="928" w:type="pct"/>
            <w:tcBorders>
              <w:top w:val="single" w:sz="4" w:space="0" w:color="auto"/>
              <w:bottom w:val="single" w:sz="4" w:space="0" w:color="auto"/>
            </w:tcBorders>
            <w:shd w:val="clear" w:color="auto" w:fill="auto"/>
          </w:tcPr>
          <w:p w:rsidR="00457B04" w:rsidRPr="009C5A6A" w:rsidRDefault="00457B04" w:rsidP="007A1E11">
            <w:pPr>
              <w:pStyle w:val="TableText"/>
              <w:jc w:val="center"/>
              <w:rPr>
                <w:b/>
              </w:rPr>
            </w:pPr>
            <w:r>
              <w:rPr>
                <w:b/>
              </w:rPr>
              <w:t>Difference</w:t>
            </w:r>
          </w:p>
        </w:tc>
        <w:tc>
          <w:tcPr>
            <w:tcW w:w="928" w:type="pct"/>
            <w:tcBorders>
              <w:top w:val="single" w:sz="4" w:space="0" w:color="auto"/>
              <w:bottom w:val="single" w:sz="4" w:space="0" w:color="auto"/>
            </w:tcBorders>
          </w:tcPr>
          <w:p w:rsidR="00457B04" w:rsidRPr="009C5A6A" w:rsidRDefault="00457B04" w:rsidP="007A1E11">
            <w:pPr>
              <w:pStyle w:val="TableText"/>
              <w:jc w:val="center"/>
              <w:rPr>
                <w:b/>
              </w:rPr>
            </w:pPr>
            <w:r w:rsidRPr="009C5A6A">
              <w:rPr>
                <w:b/>
              </w:rPr>
              <w:t>Trend last year</w:t>
            </w:r>
          </w:p>
        </w:tc>
      </w:tr>
      <w:tr w:rsidR="00374D9A" w:rsidRPr="004D1368" w:rsidTr="00374D9A">
        <w:trPr>
          <w:cantSplit/>
        </w:trPr>
        <w:tc>
          <w:tcPr>
            <w:tcW w:w="1287" w:type="pct"/>
            <w:tcBorders>
              <w:top w:val="single" w:sz="4" w:space="0" w:color="auto"/>
            </w:tcBorders>
            <w:shd w:val="clear" w:color="auto" w:fill="auto"/>
          </w:tcPr>
          <w:p w:rsidR="00374D9A" w:rsidRPr="00F65F07" w:rsidRDefault="00374D9A" w:rsidP="0078019B">
            <w:pPr>
              <w:pStyle w:val="TableText"/>
            </w:pPr>
            <w:r w:rsidRPr="00F65F07">
              <w:t>Whānau Ora sample</w:t>
            </w:r>
          </w:p>
        </w:tc>
        <w:tc>
          <w:tcPr>
            <w:tcW w:w="929" w:type="pct"/>
            <w:tcBorders>
              <w:top w:val="single" w:sz="4" w:space="0" w:color="auto"/>
            </w:tcBorders>
            <w:shd w:val="clear" w:color="auto" w:fill="auto"/>
            <w:vAlign w:val="center"/>
          </w:tcPr>
          <w:p w:rsidR="00374D9A" w:rsidRPr="00374D9A" w:rsidRDefault="00A4624A" w:rsidP="00A4624A">
            <w:pPr>
              <w:jc w:val="center"/>
              <w:rPr>
                <w:rFonts w:ascii="Arial" w:hAnsi="Arial" w:cs="Arial"/>
                <w:sz w:val="18"/>
              </w:rPr>
            </w:pPr>
            <w:r>
              <w:rPr>
                <w:rFonts w:ascii="Arial" w:hAnsi="Arial" w:cs="Arial"/>
                <w:sz w:val="18"/>
              </w:rPr>
              <w:t>29.4</w:t>
            </w:r>
            <w:r w:rsidR="00374D9A" w:rsidRPr="00374D9A">
              <w:rPr>
                <w:rFonts w:ascii="Arial" w:hAnsi="Arial" w:cs="Arial"/>
                <w:sz w:val="18"/>
              </w:rPr>
              <w:t>%</w:t>
            </w:r>
          </w:p>
        </w:tc>
        <w:tc>
          <w:tcPr>
            <w:tcW w:w="928" w:type="pct"/>
            <w:tcBorders>
              <w:top w:val="single" w:sz="4" w:space="0" w:color="auto"/>
            </w:tcBorders>
            <w:shd w:val="clear" w:color="auto" w:fill="auto"/>
            <w:vAlign w:val="center"/>
          </w:tcPr>
          <w:p w:rsidR="00374D9A" w:rsidRPr="00374D9A" w:rsidRDefault="00A4624A" w:rsidP="00A4624A">
            <w:pPr>
              <w:jc w:val="center"/>
              <w:rPr>
                <w:rFonts w:ascii="Arial" w:hAnsi="Arial" w:cs="Arial"/>
                <w:sz w:val="18"/>
              </w:rPr>
            </w:pPr>
            <w:r>
              <w:rPr>
                <w:rFonts w:ascii="Arial" w:hAnsi="Arial" w:cs="Arial"/>
                <w:sz w:val="18"/>
              </w:rPr>
              <w:t>2.5</w:t>
            </w:r>
            <w:r w:rsidR="00374D9A" w:rsidRPr="00374D9A">
              <w:rPr>
                <w:rFonts w:ascii="Arial" w:hAnsi="Arial" w:cs="Arial"/>
                <w:sz w:val="18"/>
              </w:rPr>
              <w:t>%</w:t>
            </w:r>
          </w:p>
        </w:tc>
        <w:tc>
          <w:tcPr>
            <w:tcW w:w="928" w:type="pct"/>
            <w:tcBorders>
              <w:top w:val="single" w:sz="4" w:space="0" w:color="auto"/>
            </w:tcBorders>
            <w:shd w:val="clear" w:color="auto" w:fill="auto"/>
            <w:vAlign w:val="center"/>
          </w:tcPr>
          <w:p w:rsidR="00374D9A" w:rsidRPr="00374D9A" w:rsidRDefault="00374D9A" w:rsidP="00A4624A">
            <w:pPr>
              <w:jc w:val="center"/>
              <w:rPr>
                <w:rFonts w:ascii="Arial" w:hAnsi="Arial" w:cs="Arial"/>
                <w:sz w:val="18"/>
              </w:rPr>
            </w:pPr>
            <w:r w:rsidRPr="00374D9A">
              <w:rPr>
                <w:rFonts w:ascii="Arial" w:hAnsi="Arial" w:cs="Arial"/>
                <w:sz w:val="18"/>
              </w:rPr>
              <w:t>-</w:t>
            </w:r>
            <w:r w:rsidR="00A4624A">
              <w:rPr>
                <w:rFonts w:ascii="Arial" w:hAnsi="Arial" w:cs="Arial"/>
                <w:sz w:val="18"/>
              </w:rPr>
              <w:t>27.0</w:t>
            </w:r>
            <w:r w:rsidRPr="00374D9A">
              <w:rPr>
                <w:rFonts w:ascii="Arial" w:hAnsi="Arial" w:cs="Arial"/>
                <w:sz w:val="18"/>
              </w:rPr>
              <w:t>%</w:t>
            </w:r>
          </w:p>
        </w:tc>
        <w:tc>
          <w:tcPr>
            <w:tcW w:w="928" w:type="pct"/>
            <w:tcBorders>
              <w:top w:val="single" w:sz="4" w:space="0" w:color="auto"/>
            </w:tcBorders>
            <w:vAlign w:val="center"/>
          </w:tcPr>
          <w:p w:rsidR="00374D9A" w:rsidRPr="00374D9A" w:rsidRDefault="00374D9A" w:rsidP="00374D9A">
            <w:pPr>
              <w:jc w:val="center"/>
              <w:rPr>
                <w:rFonts w:ascii="Arial" w:hAnsi="Arial" w:cs="Arial"/>
                <w:sz w:val="18"/>
              </w:rPr>
            </w:pPr>
            <w:r w:rsidRPr="00374D9A">
              <w:rPr>
                <w:rFonts w:ascii="Arial" w:hAnsi="Arial" w:cs="Arial"/>
                <w:sz w:val="18"/>
              </w:rPr>
              <w:t>Decreasing</w:t>
            </w:r>
          </w:p>
        </w:tc>
      </w:tr>
      <w:tr w:rsidR="00374D9A" w:rsidTr="00374D9A">
        <w:trPr>
          <w:cantSplit/>
        </w:trPr>
        <w:tc>
          <w:tcPr>
            <w:tcW w:w="1287" w:type="pct"/>
            <w:shd w:val="clear" w:color="auto" w:fill="auto"/>
          </w:tcPr>
          <w:p w:rsidR="00374D9A" w:rsidRPr="00F65F07" w:rsidRDefault="00374D9A" w:rsidP="0078019B">
            <w:pPr>
              <w:pStyle w:val="TableText"/>
              <w:spacing w:before="0"/>
            </w:pPr>
            <w:r w:rsidRPr="00F65F07">
              <w:t>National sample</w:t>
            </w:r>
          </w:p>
        </w:tc>
        <w:tc>
          <w:tcPr>
            <w:tcW w:w="929" w:type="pct"/>
            <w:shd w:val="clear" w:color="auto" w:fill="auto"/>
            <w:vAlign w:val="center"/>
          </w:tcPr>
          <w:p w:rsidR="00374D9A" w:rsidRPr="00374D9A" w:rsidRDefault="00A4624A" w:rsidP="00A4624A">
            <w:pPr>
              <w:jc w:val="center"/>
              <w:rPr>
                <w:rFonts w:ascii="Arial" w:hAnsi="Arial" w:cs="Arial"/>
                <w:sz w:val="18"/>
              </w:rPr>
            </w:pPr>
            <w:r>
              <w:rPr>
                <w:rFonts w:ascii="Arial" w:hAnsi="Arial" w:cs="Arial"/>
                <w:sz w:val="18"/>
              </w:rPr>
              <w:t>26.</w:t>
            </w:r>
            <w:r w:rsidR="00374D9A" w:rsidRPr="00374D9A">
              <w:rPr>
                <w:rFonts w:ascii="Arial" w:hAnsi="Arial" w:cs="Arial"/>
                <w:sz w:val="18"/>
              </w:rPr>
              <w:t>6%</w:t>
            </w:r>
          </w:p>
        </w:tc>
        <w:tc>
          <w:tcPr>
            <w:tcW w:w="928" w:type="pct"/>
            <w:shd w:val="clear" w:color="auto" w:fill="auto"/>
            <w:vAlign w:val="center"/>
          </w:tcPr>
          <w:p w:rsidR="00374D9A" w:rsidRPr="00374D9A" w:rsidRDefault="00A4624A" w:rsidP="00A4624A">
            <w:pPr>
              <w:jc w:val="center"/>
              <w:rPr>
                <w:rFonts w:ascii="Arial" w:hAnsi="Arial" w:cs="Arial"/>
                <w:sz w:val="18"/>
              </w:rPr>
            </w:pPr>
            <w:r>
              <w:rPr>
                <w:rFonts w:ascii="Arial" w:hAnsi="Arial" w:cs="Arial"/>
                <w:sz w:val="18"/>
              </w:rPr>
              <w:t>1.6</w:t>
            </w:r>
            <w:r w:rsidR="00374D9A" w:rsidRPr="00374D9A">
              <w:rPr>
                <w:rFonts w:ascii="Arial" w:hAnsi="Arial" w:cs="Arial"/>
                <w:sz w:val="18"/>
              </w:rPr>
              <w:t>%</w:t>
            </w:r>
          </w:p>
        </w:tc>
        <w:tc>
          <w:tcPr>
            <w:tcW w:w="928" w:type="pct"/>
            <w:shd w:val="clear" w:color="auto" w:fill="auto"/>
            <w:vAlign w:val="center"/>
          </w:tcPr>
          <w:p w:rsidR="00374D9A" w:rsidRPr="00374D9A" w:rsidRDefault="00374D9A" w:rsidP="00A4624A">
            <w:pPr>
              <w:jc w:val="center"/>
              <w:rPr>
                <w:rFonts w:ascii="Arial" w:hAnsi="Arial" w:cs="Arial"/>
                <w:sz w:val="18"/>
              </w:rPr>
            </w:pPr>
            <w:r w:rsidRPr="00374D9A">
              <w:rPr>
                <w:rFonts w:ascii="Arial" w:hAnsi="Arial" w:cs="Arial"/>
                <w:sz w:val="18"/>
              </w:rPr>
              <w:t>-</w:t>
            </w:r>
            <w:r w:rsidR="00A4624A">
              <w:rPr>
                <w:rFonts w:ascii="Arial" w:hAnsi="Arial" w:cs="Arial"/>
                <w:sz w:val="18"/>
              </w:rPr>
              <w:t>25.0</w:t>
            </w:r>
            <w:r w:rsidRPr="00374D9A">
              <w:rPr>
                <w:rFonts w:ascii="Arial" w:hAnsi="Arial" w:cs="Arial"/>
                <w:sz w:val="18"/>
              </w:rPr>
              <w:t>%</w:t>
            </w:r>
          </w:p>
        </w:tc>
        <w:tc>
          <w:tcPr>
            <w:tcW w:w="928" w:type="pct"/>
            <w:vAlign w:val="center"/>
          </w:tcPr>
          <w:p w:rsidR="00374D9A" w:rsidRPr="00374D9A" w:rsidRDefault="00374D9A" w:rsidP="00374D9A">
            <w:pPr>
              <w:jc w:val="center"/>
              <w:rPr>
                <w:rFonts w:ascii="Arial" w:hAnsi="Arial" w:cs="Arial"/>
                <w:sz w:val="18"/>
              </w:rPr>
            </w:pPr>
            <w:r w:rsidRPr="00374D9A">
              <w:rPr>
                <w:rFonts w:ascii="Arial" w:hAnsi="Arial" w:cs="Arial"/>
                <w:sz w:val="18"/>
              </w:rPr>
              <w:t>Decreasing</w:t>
            </w:r>
          </w:p>
        </w:tc>
      </w:tr>
    </w:tbl>
    <w:p w:rsidR="00457B04" w:rsidRDefault="00457B04" w:rsidP="0078019B"/>
    <w:p w:rsidR="00457B04" w:rsidRDefault="00584BDC" w:rsidP="0078019B">
      <w:r>
        <w:t>The results for March 2015 are quite different to March 2014. This illustrates the high seasonality of this indicator which makes trend analysis difficult</w:t>
      </w:r>
      <w:r w:rsidR="00457B04">
        <w:t>.</w:t>
      </w:r>
    </w:p>
    <w:p w:rsidR="00457B04" w:rsidRDefault="00457B04" w:rsidP="0078019B">
      <w:pPr>
        <w:rPr>
          <w:highlight w:val="yellow"/>
        </w:rPr>
      </w:pPr>
    </w:p>
    <w:p w:rsidR="00457B04" w:rsidRDefault="00457B04" w:rsidP="0078019B">
      <w:bookmarkStart w:id="92" w:name="_Toc411429630"/>
      <w:r w:rsidRPr="00117907">
        <w:t xml:space="preserve">The Whānau Ora sample performed </w:t>
      </w:r>
      <w:r w:rsidRPr="000652DC">
        <w:rPr>
          <w:b/>
        </w:rPr>
        <w:t>better than</w:t>
      </w:r>
      <w:r w:rsidRPr="00117907">
        <w:t xml:space="preserve"> the national sample in the </w:t>
      </w:r>
      <w:r w:rsidR="00634870">
        <w:t>‘</w:t>
      </w:r>
      <w:r w:rsidRPr="00A3089C">
        <w:t>Flu vaccination 65+</w:t>
      </w:r>
      <w:r w:rsidR="00634870">
        <w:t>’</w:t>
      </w:r>
      <w:r>
        <w:t xml:space="preserve"> </w:t>
      </w:r>
      <w:r w:rsidRPr="00117907">
        <w:t>indicator.</w:t>
      </w:r>
      <w:bookmarkEnd w:id="92"/>
    </w:p>
    <w:p w:rsidR="00457B04" w:rsidRPr="00F65F07" w:rsidRDefault="00457B04" w:rsidP="0078019B"/>
    <w:p w:rsidR="00764BDE" w:rsidRDefault="00764BDE">
      <w:pPr>
        <w:spacing w:line="240" w:lineRule="auto"/>
        <w:rPr>
          <w:b/>
          <w:sz w:val="40"/>
        </w:rPr>
      </w:pPr>
      <w:bookmarkStart w:id="93" w:name="_Toc350162548"/>
      <w:bookmarkStart w:id="94" w:name="_Toc353959537"/>
      <w:bookmarkStart w:id="95" w:name="_Toc362600471"/>
      <w:bookmarkStart w:id="96" w:name="_Toc411433978"/>
      <w:r>
        <w:br w:type="page"/>
      </w:r>
    </w:p>
    <w:p w:rsidR="00457B04" w:rsidRPr="00F65F07" w:rsidRDefault="00457B04" w:rsidP="0078019B">
      <w:pPr>
        <w:pStyle w:val="Heading2"/>
      </w:pPr>
      <w:bookmarkStart w:id="97" w:name="_Toc421710361"/>
      <w:r w:rsidRPr="00534433">
        <w:lastRenderedPageBreak/>
        <w:t>Indicator 8: Percentage of enrolled patients with prescriptions for conditions and diagnosis</w:t>
      </w:r>
      <w:bookmarkEnd w:id="93"/>
      <w:r w:rsidRPr="00534433">
        <w:t xml:space="preserve"> – </w:t>
      </w:r>
      <w:r w:rsidR="00466AC1">
        <w:t xml:space="preserve">overall </w:t>
      </w:r>
      <w:r w:rsidRPr="00534433">
        <w:t xml:space="preserve">better results for the Whānau Ora sample </w:t>
      </w:r>
      <w:bookmarkEnd w:id="94"/>
      <w:bookmarkEnd w:id="95"/>
      <w:r w:rsidR="005E1092">
        <w:t xml:space="preserve">over </w:t>
      </w:r>
      <w:r>
        <w:t>the</w:t>
      </w:r>
      <w:r w:rsidRPr="00CD3C15">
        <w:t xml:space="preserve"> year</w:t>
      </w:r>
      <w:r>
        <w:t xml:space="preserve"> </w:t>
      </w:r>
      <w:r w:rsidR="0019454B">
        <w:t>March 2014 to March 2015</w:t>
      </w:r>
      <w:bookmarkEnd w:id="96"/>
      <w:bookmarkEnd w:id="97"/>
    </w:p>
    <w:p w:rsidR="00457B04" w:rsidRPr="00F65F07" w:rsidRDefault="00457B04" w:rsidP="006D70DB">
      <w:pPr>
        <w:keepNext/>
      </w:pPr>
      <w:r w:rsidRPr="00F65F07">
        <w:t>Definition:</w:t>
      </w:r>
      <w:r>
        <w:t xml:space="preserve"> </w:t>
      </w:r>
      <w:r w:rsidRPr="00F65F07">
        <w:t>Percentage of enrolled patients with</w:t>
      </w:r>
      <w:r>
        <w:t xml:space="preserve"> a</w:t>
      </w:r>
      <w:r w:rsidRPr="00F65F07">
        <w:t xml:space="preserve"> prescription for asthma, depression, diabetes or </w:t>
      </w:r>
      <w:r w:rsidRPr="00765E05">
        <w:t>ischaemic heart disease (IHD</w:t>
      </w:r>
      <w:r>
        <w:t xml:space="preserve">) </w:t>
      </w:r>
      <w:r w:rsidRPr="00F65F07">
        <w:t>who have been diagnosed with that condition. HealthStat uses this indicator as a measure of coding accuracy.</w:t>
      </w:r>
    </w:p>
    <w:p w:rsidR="00457B04" w:rsidRPr="00F65F07" w:rsidRDefault="00457B04" w:rsidP="006D70DB">
      <w:pPr>
        <w:keepNext/>
      </w:pPr>
    </w:p>
    <w:p w:rsidR="00457B04" w:rsidRPr="00F65F07" w:rsidRDefault="00457B04" w:rsidP="006D70DB">
      <w:pPr>
        <w:pStyle w:val="Table"/>
      </w:pPr>
      <w:bookmarkStart w:id="98" w:name="_Toc353959552"/>
      <w:bookmarkStart w:id="99" w:name="_Toc379540128"/>
      <w:bookmarkStart w:id="100" w:name="_Toc421535723"/>
      <w:r w:rsidRPr="00F65F07">
        <w:t xml:space="preserve">Table </w:t>
      </w:r>
      <w:r>
        <w:t>8</w:t>
      </w:r>
      <w:r w:rsidRPr="00F65F07">
        <w:t>:</w:t>
      </w:r>
      <w:r>
        <w:t xml:space="preserve"> </w:t>
      </w:r>
      <w:r w:rsidRPr="00F65F07">
        <w:t xml:space="preserve">Performance against </w:t>
      </w:r>
      <w:r>
        <w:t xml:space="preserve">the </w:t>
      </w:r>
      <w:r w:rsidR="00634870">
        <w:t>‘</w:t>
      </w:r>
      <w:r>
        <w:t>Coding</w:t>
      </w:r>
      <w:r w:rsidR="00634870">
        <w:t>’</w:t>
      </w:r>
      <w:r>
        <w:t xml:space="preserve"> indicator</w:t>
      </w:r>
      <w:bookmarkEnd w:id="98"/>
      <w:r>
        <w:t>s</w:t>
      </w:r>
      <w:bookmarkEnd w:id="99"/>
      <w:bookmarkEnd w:id="100"/>
    </w:p>
    <w:tbl>
      <w:tblPr>
        <w:tblW w:w="4940" w:type="pct"/>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14"/>
        <w:gridCol w:w="1736"/>
        <w:gridCol w:w="1736"/>
        <w:gridCol w:w="1736"/>
        <w:gridCol w:w="1733"/>
      </w:tblGrid>
      <w:tr w:rsidR="00457B04" w:rsidRPr="00F65F07" w:rsidTr="007A1E11">
        <w:trPr>
          <w:cantSplit/>
        </w:trPr>
        <w:tc>
          <w:tcPr>
            <w:tcW w:w="1290" w:type="pct"/>
            <w:tcBorders>
              <w:right w:val="single" w:sz="4" w:space="0" w:color="A6A6A6"/>
            </w:tcBorders>
            <w:shd w:val="clear" w:color="auto" w:fill="auto"/>
          </w:tcPr>
          <w:p w:rsidR="00457B04" w:rsidRPr="00F65F07" w:rsidRDefault="00457B04" w:rsidP="006D70DB">
            <w:pPr>
              <w:pStyle w:val="TableText"/>
              <w:keepNext/>
            </w:pPr>
          </w:p>
        </w:tc>
        <w:tc>
          <w:tcPr>
            <w:tcW w:w="928" w:type="pct"/>
            <w:tcBorders>
              <w:left w:val="single" w:sz="4" w:space="0" w:color="A6A6A6"/>
              <w:right w:val="single" w:sz="4" w:space="0" w:color="A6A6A6"/>
            </w:tcBorders>
            <w:shd w:val="clear" w:color="auto" w:fill="auto"/>
          </w:tcPr>
          <w:p w:rsidR="00457B04" w:rsidRPr="008E6AB7" w:rsidRDefault="0019454B" w:rsidP="006D70DB">
            <w:pPr>
              <w:pStyle w:val="TableText"/>
              <w:keepNext/>
              <w:jc w:val="center"/>
              <w:rPr>
                <w:b/>
              </w:rPr>
            </w:pPr>
            <w:r>
              <w:rPr>
                <w:b/>
              </w:rPr>
              <w:t>March 2014</w:t>
            </w:r>
          </w:p>
        </w:tc>
        <w:tc>
          <w:tcPr>
            <w:tcW w:w="928" w:type="pct"/>
            <w:tcBorders>
              <w:left w:val="single" w:sz="4" w:space="0" w:color="A6A6A6"/>
              <w:right w:val="single" w:sz="4" w:space="0" w:color="A6A6A6"/>
            </w:tcBorders>
            <w:shd w:val="clear" w:color="auto" w:fill="auto"/>
          </w:tcPr>
          <w:p w:rsidR="00457B04" w:rsidRPr="008E6AB7" w:rsidRDefault="0019454B" w:rsidP="006D70DB">
            <w:pPr>
              <w:pStyle w:val="TableText"/>
              <w:keepNext/>
              <w:jc w:val="center"/>
              <w:rPr>
                <w:b/>
              </w:rPr>
            </w:pPr>
            <w:r>
              <w:rPr>
                <w:b/>
              </w:rPr>
              <w:t>March 2015</w:t>
            </w:r>
          </w:p>
        </w:tc>
        <w:tc>
          <w:tcPr>
            <w:tcW w:w="928" w:type="pct"/>
            <w:tcBorders>
              <w:left w:val="single" w:sz="4" w:space="0" w:color="A6A6A6"/>
              <w:right w:val="single" w:sz="4" w:space="0" w:color="A6A6A6"/>
            </w:tcBorders>
            <w:shd w:val="clear" w:color="auto" w:fill="auto"/>
          </w:tcPr>
          <w:p w:rsidR="00457B04" w:rsidRPr="008E6AB7" w:rsidRDefault="00457B04" w:rsidP="006D70DB">
            <w:pPr>
              <w:pStyle w:val="TableText"/>
              <w:keepNext/>
              <w:jc w:val="center"/>
              <w:rPr>
                <w:b/>
              </w:rPr>
            </w:pPr>
            <w:r>
              <w:rPr>
                <w:b/>
              </w:rPr>
              <w:t>Difference</w:t>
            </w:r>
          </w:p>
        </w:tc>
        <w:tc>
          <w:tcPr>
            <w:tcW w:w="926" w:type="pct"/>
            <w:tcBorders>
              <w:left w:val="single" w:sz="4" w:space="0" w:color="A6A6A6"/>
            </w:tcBorders>
            <w:shd w:val="clear" w:color="auto" w:fill="auto"/>
          </w:tcPr>
          <w:p w:rsidR="00457B04" w:rsidRPr="008E6AB7" w:rsidRDefault="00457B04" w:rsidP="006D70DB">
            <w:pPr>
              <w:pStyle w:val="TableText"/>
              <w:keepNext/>
              <w:jc w:val="center"/>
              <w:rPr>
                <w:b/>
              </w:rPr>
            </w:pPr>
            <w:r w:rsidRPr="008E6AB7">
              <w:rPr>
                <w:b/>
              </w:rPr>
              <w:t>Trend last year</w:t>
            </w:r>
          </w:p>
        </w:tc>
      </w:tr>
      <w:tr w:rsidR="00457B04" w:rsidRPr="00F65F07" w:rsidTr="006D70DB">
        <w:trPr>
          <w:cantSplit/>
        </w:trPr>
        <w:tc>
          <w:tcPr>
            <w:tcW w:w="1290" w:type="pct"/>
            <w:tcBorders>
              <w:bottom w:val="nil"/>
              <w:right w:val="single" w:sz="4" w:space="0" w:color="A6A6A6"/>
            </w:tcBorders>
            <w:shd w:val="clear" w:color="auto" w:fill="auto"/>
          </w:tcPr>
          <w:p w:rsidR="00457B04" w:rsidRPr="0055542C" w:rsidRDefault="00457B04" w:rsidP="006D70DB">
            <w:pPr>
              <w:pStyle w:val="TableText"/>
              <w:keepNext/>
            </w:pPr>
            <w:r w:rsidRPr="0055542C">
              <w:t>Asthma</w:t>
            </w:r>
          </w:p>
        </w:tc>
        <w:tc>
          <w:tcPr>
            <w:tcW w:w="928" w:type="pct"/>
            <w:tcBorders>
              <w:left w:val="single" w:sz="4" w:space="0" w:color="A6A6A6"/>
              <w:bottom w:val="nil"/>
              <w:right w:val="single" w:sz="4" w:space="0" w:color="A6A6A6"/>
            </w:tcBorders>
            <w:shd w:val="clear" w:color="auto" w:fill="auto"/>
          </w:tcPr>
          <w:p w:rsidR="00457B04" w:rsidRPr="00F65F07" w:rsidRDefault="00457B04" w:rsidP="006D70DB">
            <w:pPr>
              <w:pStyle w:val="TableText"/>
              <w:jc w:val="center"/>
            </w:pPr>
          </w:p>
        </w:tc>
        <w:tc>
          <w:tcPr>
            <w:tcW w:w="928" w:type="pct"/>
            <w:tcBorders>
              <w:left w:val="single" w:sz="4" w:space="0" w:color="A6A6A6"/>
              <w:bottom w:val="nil"/>
              <w:right w:val="single" w:sz="4" w:space="0" w:color="A6A6A6"/>
            </w:tcBorders>
            <w:shd w:val="clear" w:color="auto" w:fill="auto"/>
          </w:tcPr>
          <w:p w:rsidR="00457B04" w:rsidRPr="00F65F07" w:rsidRDefault="00457B04" w:rsidP="006D70DB">
            <w:pPr>
              <w:pStyle w:val="TableText"/>
              <w:jc w:val="center"/>
            </w:pPr>
          </w:p>
        </w:tc>
        <w:tc>
          <w:tcPr>
            <w:tcW w:w="928" w:type="pct"/>
            <w:tcBorders>
              <w:left w:val="single" w:sz="4" w:space="0" w:color="A6A6A6"/>
              <w:bottom w:val="nil"/>
              <w:right w:val="single" w:sz="4" w:space="0" w:color="A6A6A6"/>
            </w:tcBorders>
            <w:shd w:val="clear" w:color="auto" w:fill="auto"/>
          </w:tcPr>
          <w:p w:rsidR="00457B04" w:rsidRPr="00F65F07" w:rsidRDefault="00457B04" w:rsidP="006D70DB">
            <w:pPr>
              <w:pStyle w:val="TableText"/>
              <w:jc w:val="center"/>
            </w:pPr>
          </w:p>
        </w:tc>
        <w:tc>
          <w:tcPr>
            <w:tcW w:w="926" w:type="pct"/>
            <w:tcBorders>
              <w:left w:val="single" w:sz="4" w:space="0" w:color="A6A6A6"/>
              <w:bottom w:val="nil"/>
            </w:tcBorders>
            <w:shd w:val="clear" w:color="auto" w:fill="auto"/>
          </w:tcPr>
          <w:p w:rsidR="00457B04" w:rsidRPr="00F65F07" w:rsidRDefault="00457B04" w:rsidP="006D70DB">
            <w:pPr>
              <w:pStyle w:val="TableText"/>
              <w:jc w:val="center"/>
            </w:pPr>
          </w:p>
        </w:tc>
      </w:tr>
      <w:tr w:rsidR="00374D9A" w:rsidRPr="00F65F07" w:rsidTr="006D70DB">
        <w:trPr>
          <w:cantSplit/>
        </w:trPr>
        <w:tc>
          <w:tcPr>
            <w:tcW w:w="1290" w:type="pct"/>
            <w:tcBorders>
              <w:top w:val="nil"/>
              <w:bottom w:val="nil"/>
              <w:right w:val="single" w:sz="4" w:space="0" w:color="A6A6A6"/>
            </w:tcBorders>
            <w:shd w:val="clear" w:color="auto" w:fill="auto"/>
          </w:tcPr>
          <w:p w:rsidR="00374D9A" w:rsidRPr="0055542C" w:rsidRDefault="00374D9A" w:rsidP="006D70DB">
            <w:pPr>
              <w:pStyle w:val="TableBullet"/>
              <w:keepNext/>
            </w:pPr>
            <w:r w:rsidRPr="0055542C">
              <w:t>Whānau Ora sample</w:t>
            </w:r>
          </w:p>
        </w:tc>
        <w:tc>
          <w:tcPr>
            <w:tcW w:w="928" w:type="pct"/>
            <w:tcBorders>
              <w:top w:val="nil"/>
              <w:left w:val="single" w:sz="4" w:space="0" w:color="A6A6A6"/>
              <w:bottom w:val="nil"/>
              <w:right w:val="single" w:sz="4" w:space="0" w:color="A6A6A6"/>
            </w:tcBorders>
            <w:shd w:val="clear" w:color="auto" w:fill="auto"/>
          </w:tcPr>
          <w:p w:rsidR="00374D9A" w:rsidRPr="00374D9A" w:rsidRDefault="00596567" w:rsidP="006D70DB">
            <w:pPr>
              <w:pStyle w:val="TableText"/>
              <w:spacing w:before="0"/>
              <w:jc w:val="center"/>
              <w:rPr>
                <w:rFonts w:cs="Arial"/>
              </w:rPr>
            </w:pPr>
            <w:r>
              <w:rPr>
                <w:rFonts w:cs="Arial"/>
              </w:rPr>
              <w:t>77.3</w:t>
            </w:r>
            <w:r w:rsidR="00374D9A" w:rsidRPr="00374D9A">
              <w:rPr>
                <w:rFonts w:cs="Arial"/>
              </w:rPr>
              <w:t>%</w:t>
            </w:r>
          </w:p>
        </w:tc>
        <w:tc>
          <w:tcPr>
            <w:tcW w:w="928" w:type="pct"/>
            <w:tcBorders>
              <w:top w:val="nil"/>
              <w:left w:val="single" w:sz="4" w:space="0" w:color="A6A6A6"/>
              <w:bottom w:val="nil"/>
              <w:right w:val="single" w:sz="4" w:space="0" w:color="A6A6A6"/>
            </w:tcBorders>
            <w:shd w:val="clear" w:color="auto" w:fill="auto"/>
          </w:tcPr>
          <w:p w:rsidR="00374D9A" w:rsidRPr="00374D9A" w:rsidRDefault="00596567" w:rsidP="006D70DB">
            <w:pPr>
              <w:pStyle w:val="TableText"/>
              <w:spacing w:before="0"/>
              <w:jc w:val="center"/>
              <w:rPr>
                <w:rFonts w:cs="Arial"/>
              </w:rPr>
            </w:pPr>
            <w:r>
              <w:rPr>
                <w:rFonts w:cs="Arial"/>
              </w:rPr>
              <w:t>78.6</w:t>
            </w:r>
            <w:r w:rsidR="00374D9A" w:rsidRPr="00374D9A">
              <w:rPr>
                <w:rFonts w:cs="Arial"/>
              </w:rPr>
              <w:t>%</w:t>
            </w:r>
          </w:p>
        </w:tc>
        <w:tc>
          <w:tcPr>
            <w:tcW w:w="928" w:type="pct"/>
            <w:tcBorders>
              <w:top w:val="nil"/>
              <w:left w:val="single" w:sz="4" w:space="0" w:color="A6A6A6"/>
              <w:bottom w:val="nil"/>
              <w:right w:val="single" w:sz="4" w:space="0" w:color="A6A6A6"/>
            </w:tcBorders>
            <w:shd w:val="clear" w:color="auto" w:fill="auto"/>
          </w:tcPr>
          <w:p w:rsidR="00374D9A" w:rsidRPr="00374D9A" w:rsidRDefault="00374D9A" w:rsidP="006D70DB">
            <w:pPr>
              <w:pStyle w:val="TableText"/>
              <w:spacing w:before="0"/>
              <w:jc w:val="center"/>
              <w:rPr>
                <w:rFonts w:cs="Arial"/>
              </w:rPr>
            </w:pPr>
            <w:r w:rsidRPr="00374D9A">
              <w:rPr>
                <w:rFonts w:cs="Arial"/>
              </w:rPr>
              <w:t>1.3%</w:t>
            </w:r>
          </w:p>
        </w:tc>
        <w:tc>
          <w:tcPr>
            <w:tcW w:w="926" w:type="pct"/>
            <w:tcBorders>
              <w:top w:val="nil"/>
              <w:left w:val="single" w:sz="4" w:space="0" w:color="A6A6A6"/>
              <w:bottom w:val="nil"/>
            </w:tcBorders>
            <w:shd w:val="clear" w:color="auto" w:fill="auto"/>
          </w:tcPr>
          <w:p w:rsidR="00374D9A" w:rsidRPr="00374D9A" w:rsidRDefault="00374D9A" w:rsidP="006D70DB">
            <w:pPr>
              <w:pStyle w:val="TableText"/>
              <w:spacing w:before="0"/>
              <w:jc w:val="center"/>
              <w:rPr>
                <w:rFonts w:cs="Arial"/>
              </w:rPr>
            </w:pPr>
            <w:r w:rsidRPr="00374D9A">
              <w:rPr>
                <w:rFonts w:cs="Arial"/>
              </w:rPr>
              <w:t>Little change</w:t>
            </w:r>
          </w:p>
        </w:tc>
      </w:tr>
      <w:tr w:rsidR="00374D9A" w:rsidRPr="00F65F07" w:rsidTr="006D70DB">
        <w:trPr>
          <w:cantSplit/>
        </w:trPr>
        <w:tc>
          <w:tcPr>
            <w:tcW w:w="1290" w:type="pct"/>
            <w:tcBorders>
              <w:top w:val="nil"/>
              <w:bottom w:val="single" w:sz="4" w:space="0" w:color="A6A6A6"/>
              <w:right w:val="single" w:sz="4" w:space="0" w:color="A6A6A6"/>
            </w:tcBorders>
            <w:shd w:val="clear" w:color="auto" w:fill="auto"/>
          </w:tcPr>
          <w:p w:rsidR="00374D9A" w:rsidRPr="0055542C" w:rsidRDefault="00374D9A" w:rsidP="006D70DB">
            <w:pPr>
              <w:pStyle w:val="TableBullet"/>
              <w:keepNext/>
            </w:pPr>
            <w:r w:rsidRPr="0055542C">
              <w:t>National sample</w:t>
            </w:r>
          </w:p>
        </w:tc>
        <w:tc>
          <w:tcPr>
            <w:tcW w:w="928" w:type="pct"/>
            <w:tcBorders>
              <w:top w:val="nil"/>
              <w:left w:val="single" w:sz="4" w:space="0" w:color="A6A6A6"/>
              <w:bottom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7</w:t>
            </w:r>
            <w:r w:rsidR="00596567">
              <w:rPr>
                <w:rFonts w:cs="Arial"/>
              </w:rPr>
              <w:t>2.9</w:t>
            </w:r>
            <w:r w:rsidRPr="00374D9A">
              <w:rPr>
                <w:rFonts w:cs="Arial"/>
              </w:rPr>
              <w:t>%</w:t>
            </w:r>
          </w:p>
        </w:tc>
        <w:tc>
          <w:tcPr>
            <w:tcW w:w="928" w:type="pct"/>
            <w:tcBorders>
              <w:top w:val="nil"/>
              <w:left w:val="single" w:sz="4" w:space="0" w:color="A6A6A6"/>
              <w:bottom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72.</w:t>
            </w:r>
            <w:r w:rsidR="00596567">
              <w:rPr>
                <w:rFonts w:cs="Arial"/>
              </w:rPr>
              <w:t>3</w:t>
            </w:r>
            <w:r w:rsidRPr="00374D9A">
              <w:rPr>
                <w:rFonts w:cs="Arial"/>
              </w:rPr>
              <w:t>%</w:t>
            </w:r>
          </w:p>
        </w:tc>
        <w:tc>
          <w:tcPr>
            <w:tcW w:w="928" w:type="pct"/>
            <w:tcBorders>
              <w:top w:val="nil"/>
              <w:left w:val="single" w:sz="4" w:space="0" w:color="A6A6A6"/>
              <w:bottom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-0.</w:t>
            </w:r>
            <w:r w:rsidR="00596567">
              <w:rPr>
                <w:rFonts w:cs="Arial"/>
              </w:rPr>
              <w:t>6</w:t>
            </w:r>
            <w:r w:rsidRPr="00374D9A">
              <w:rPr>
                <w:rFonts w:cs="Arial"/>
              </w:rPr>
              <w:t>%</w:t>
            </w:r>
          </w:p>
        </w:tc>
        <w:tc>
          <w:tcPr>
            <w:tcW w:w="926" w:type="pct"/>
            <w:tcBorders>
              <w:top w:val="nil"/>
              <w:left w:val="single" w:sz="4" w:space="0" w:color="A6A6A6"/>
              <w:bottom w:val="single" w:sz="4" w:space="0" w:color="A6A6A6"/>
            </w:tcBorders>
            <w:shd w:val="clear" w:color="auto" w:fill="auto"/>
          </w:tcPr>
          <w:p w:rsidR="00374D9A" w:rsidRPr="00374D9A" w:rsidRDefault="00374D9A" w:rsidP="006D70DB">
            <w:pPr>
              <w:pStyle w:val="TableText"/>
              <w:spacing w:before="0"/>
              <w:jc w:val="center"/>
              <w:rPr>
                <w:rFonts w:cs="Arial"/>
              </w:rPr>
            </w:pPr>
            <w:r w:rsidRPr="00374D9A">
              <w:rPr>
                <w:rFonts w:cs="Arial"/>
              </w:rPr>
              <w:t>Little change</w:t>
            </w:r>
          </w:p>
        </w:tc>
      </w:tr>
      <w:tr w:rsidR="00374D9A" w:rsidRPr="00F65F07" w:rsidTr="006D70DB">
        <w:trPr>
          <w:cantSplit/>
        </w:trPr>
        <w:tc>
          <w:tcPr>
            <w:tcW w:w="1290" w:type="pct"/>
            <w:tcBorders>
              <w:top w:val="single" w:sz="4" w:space="0" w:color="A6A6A6"/>
              <w:bottom w:val="nil"/>
              <w:right w:val="single" w:sz="4" w:space="0" w:color="A6A6A6"/>
            </w:tcBorders>
            <w:shd w:val="clear" w:color="auto" w:fill="auto"/>
          </w:tcPr>
          <w:p w:rsidR="00374D9A" w:rsidRPr="0055542C" w:rsidRDefault="00374D9A" w:rsidP="006D70DB">
            <w:pPr>
              <w:pStyle w:val="TableText"/>
              <w:keepNext/>
            </w:pPr>
            <w:r w:rsidRPr="0055542C">
              <w:t>Depression</w:t>
            </w:r>
          </w:p>
        </w:tc>
        <w:tc>
          <w:tcPr>
            <w:tcW w:w="928" w:type="pct"/>
            <w:tcBorders>
              <w:top w:val="single" w:sz="4" w:space="0" w:color="A6A6A6"/>
              <w:left w:val="single" w:sz="4" w:space="0" w:color="A6A6A6"/>
              <w:bottom w:val="nil"/>
              <w:right w:val="single" w:sz="4" w:space="0" w:color="A6A6A6"/>
            </w:tcBorders>
            <w:shd w:val="clear" w:color="auto" w:fill="auto"/>
          </w:tcPr>
          <w:p w:rsidR="00374D9A" w:rsidRPr="00374D9A" w:rsidRDefault="00374D9A" w:rsidP="006D70DB">
            <w:pPr>
              <w:pStyle w:val="TableText"/>
              <w:jc w:val="center"/>
              <w:rPr>
                <w:rFonts w:cs="Arial"/>
              </w:rPr>
            </w:pPr>
          </w:p>
        </w:tc>
        <w:tc>
          <w:tcPr>
            <w:tcW w:w="928" w:type="pct"/>
            <w:tcBorders>
              <w:top w:val="single" w:sz="4" w:space="0" w:color="A6A6A6"/>
              <w:left w:val="single" w:sz="4" w:space="0" w:color="A6A6A6"/>
              <w:bottom w:val="nil"/>
              <w:right w:val="single" w:sz="4" w:space="0" w:color="A6A6A6"/>
            </w:tcBorders>
            <w:shd w:val="clear" w:color="auto" w:fill="auto"/>
          </w:tcPr>
          <w:p w:rsidR="00374D9A" w:rsidRPr="00374D9A" w:rsidRDefault="00374D9A" w:rsidP="006D70DB">
            <w:pPr>
              <w:pStyle w:val="TableText"/>
              <w:jc w:val="center"/>
              <w:rPr>
                <w:rFonts w:cs="Arial"/>
              </w:rPr>
            </w:pPr>
          </w:p>
        </w:tc>
        <w:tc>
          <w:tcPr>
            <w:tcW w:w="928" w:type="pct"/>
            <w:tcBorders>
              <w:top w:val="single" w:sz="4" w:space="0" w:color="A6A6A6"/>
              <w:left w:val="single" w:sz="4" w:space="0" w:color="A6A6A6"/>
              <w:bottom w:val="nil"/>
              <w:right w:val="single" w:sz="4" w:space="0" w:color="A6A6A6"/>
            </w:tcBorders>
            <w:shd w:val="clear" w:color="auto" w:fill="auto"/>
          </w:tcPr>
          <w:p w:rsidR="00374D9A" w:rsidRPr="00374D9A" w:rsidRDefault="00374D9A" w:rsidP="006D70DB">
            <w:pPr>
              <w:pStyle w:val="TableText"/>
              <w:jc w:val="center"/>
              <w:rPr>
                <w:rFonts w:cs="Arial"/>
              </w:rPr>
            </w:pPr>
          </w:p>
        </w:tc>
        <w:tc>
          <w:tcPr>
            <w:tcW w:w="926" w:type="pct"/>
            <w:tcBorders>
              <w:top w:val="single" w:sz="4" w:space="0" w:color="A6A6A6"/>
              <w:left w:val="single" w:sz="4" w:space="0" w:color="A6A6A6"/>
              <w:bottom w:val="nil"/>
            </w:tcBorders>
            <w:shd w:val="clear" w:color="auto" w:fill="auto"/>
          </w:tcPr>
          <w:p w:rsidR="00374D9A" w:rsidRPr="00374D9A" w:rsidRDefault="00374D9A" w:rsidP="006D70DB">
            <w:pPr>
              <w:pStyle w:val="TableText"/>
              <w:jc w:val="center"/>
              <w:rPr>
                <w:rFonts w:cs="Arial"/>
              </w:rPr>
            </w:pPr>
          </w:p>
        </w:tc>
      </w:tr>
      <w:tr w:rsidR="00374D9A" w:rsidRPr="00F65F07" w:rsidTr="006D70DB">
        <w:trPr>
          <w:cantSplit/>
        </w:trPr>
        <w:tc>
          <w:tcPr>
            <w:tcW w:w="1290" w:type="pct"/>
            <w:tcBorders>
              <w:top w:val="nil"/>
              <w:bottom w:val="nil"/>
              <w:right w:val="single" w:sz="4" w:space="0" w:color="A6A6A6"/>
            </w:tcBorders>
            <w:shd w:val="clear" w:color="auto" w:fill="auto"/>
          </w:tcPr>
          <w:p w:rsidR="00374D9A" w:rsidRPr="0055542C" w:rsidRDefault="00374D9A" w:rsidP="006D70DB">
            <w:pPr>
              <w:pStyle w:val="TableBullet"/>
              <w:keepNext/>
            </w:pPr>
            <w:r w:rsidRPr="0055542C">
              <w:t>Whānau Ora sample</w:t>
            </w:r>
          </w:p>
        </w:tc>
        <w:tc>
          <w:tcPr>
            <w:tcW w:w="928" w:type="pct"/>
            <w:tcBorders>
              <w:top w:val="nil"/>
              <w:left w:val="single" w:sz="4" w:space="0" w:color="A6A6A6"/>
              <w:bottom w:val="nil"/>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42.</w:t>
            </w:r>
            <w:r w:rsidR="00596567">
              <w:rPr>
                <w:rFonts w:cs="Arial"/>
              </w:rPr>
              <w:t>4</w:t>
            </w:r>
            <w:r w:rsidRPr="00374D9A">
              <w:rPr>
                <w:rFonts w:cs="Arial"/>
              </w:rPr>
              <w:t>%</w:t>
            </w:r>
          </w:p>
        </w:tc>
        <w:tc>
          <w:tcPr>
            <w:tcW w:w="928" w:type="pct"/>
            <w:tcBorders>
              <w:top w:val="nil"/>
              <w:left w:val="single" w:sz="4" w:space="0" w:color="A6A6A6"/>
              <w:bottom w:val="nil"/>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4</w:t>
            </w:r>
            <w:r w:rsidR="00596567">
              <w:rPr>
                <w:rFonts w:cs="Arial"/>
              </w:rPr>
              <w:t>0.8</w:t>
            </w:r>
            <w:r w:rsidRPr="00374D9A">
              <w:rPr>
                <w:rFonts w:cs="Arial"/>
              </w:rPr>
              <w:t>%</w:t>
            </w:r>
          </w:p>
        </w:tc>
        <w:tc>
          <w:tcPr>
            <w:tcW w:w="928" w:type="pct"/>
            <w:tcBorders>
              <w:top w:val="nil"/>
              <w:left w:val="single" w:sz="4" w:space="0" w:color="A6A6A6"/>
              <w:bottom w:val="nil"/>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-1.</w:t>
            </w:r>
            <w:r w:rsidR="00596567">
              <w:rPr>
                <w:rFonts w:cs="Arial"/>
              </w:rPr>
              <w:t>6</w:t>
            </w:r>
            <w:r w:rsidRPr="00374D9A">
              <w:rPr>
                <w:rFonts w:cs="Arial"/>
              </w:rPr>
              <w:t>%</w:t>
            </w:r>
          </w:p>
        </w:tc>
        <w:tc>
          <w:tcPr>
            <w:tcW w:w="926" w:type="pct"/>
            <w:tcBorders>
              <w:top w:val="nil"/>
              <w:left w:val="single" w:sz="4" w:space="0" w:color="A6A6A6"/>
              <w:bottom w:val="nil"/>
            </w:tcBorders>
            <w:shd w:val="clear" w:color="auto" w:fill="auto"/>
          </w:tcPr>
          <w:p w:rsidR="00374D9A" w:rsidRPr="00374D9A" w:rsidRDefault="00374D9A" w:rsidP="006D70DB">
            <w:pPr>
              <w:pStyle w:val="TableText"/>
              <w:spacing w:before="0"/>
              <w:jc w:val="center"/>
              <w:rPr>
                <w:rFonts w:cs="Arial"/>
              </w:rPr>
            </w:pPr>
            <w:r w:rsidRPr="00374D9A">
              <w:rPr>
                <w:rFonts w:cs="Arial"/>
              </w:rPr>
              <w:t>Little change</w:t>
            </w:r>
          </w:p>
        </w:tc>
      </w:tr>
      <w:tr w:rsidR="00374D9A" w:rsidRPr="00F65F07" w:rsidTr="006D70DB">
        <w:trPr>
          <w:cantSplit/>
        </w:trPr>
        <w:tc>
          <w:tcPr>
            <w:tcW w:w="1290" w:type="pct"/>
            <w:tcBorders>
              <w:top w:val="nil"/>
              <w:bottom w:val="single" w:sz="4" w:space="0" w:color="A6A6A6"/>
              <w:right w:val="single" w:sz="4" w:space="0" w:color="A6A6A6"/>
            </w:tcBorders>
            <w:shd w:val="clear" w:color="auto" w:fill="auto"/>
          </w:tcPr>
          <w:p w:rsidR="00374D9A" w:rsidRPr="0055542C" w:rsidRDefault="00374D9A" w:rsidP="006D70DB">
            <w:pPr>
              <w:pStyle w:val="TableBullet"/>
              <w:keepNext/>
            </w:pPr>
            <w:r w:rsidRPr="0055542C">
              <w:t>National sample</w:t>
            </w:r>
          </w:p>
        </w:tc>
        <w:tc>
          <w:tcPr>
            <w:tcW w:w="928" w:type="pct"/>
            <w:tcBorders>
              <w:top w:val="nil"/>
              <w:left w:val="single" w:sz="4" w:space="0" w:color="A6A6A6"/>
              <w:bottom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37.</w:t>
            </w:r>
            <w:r w:rsidR="00596567">
              <w:rPr>
                <w:rFonts w:cs="Arial"/>
              </w:rPr>
              <w:t>5</w:t>
            </w:r>
            <w:r w:rsidRPr="00374D9A">
              <w:rPr>
                <w:rFonts w:cs="Arial"/>
              </w:rPr>
              <w:t>%</w:t>
            </w:r>
          </w:p>
        </w:tc>
        <w:tc>
          <w:tcPr>
            <w:tcW w:w="928" w:type="pct"/>
            <w:tcBorders>
              <w:top w:val="nil"/>
              <w:left w:val="single" w:sz="4" w:space="0" w:color="A6A6A6"/>
              <w:bottom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3</w:t>
            </w:r>
            <w:r w:rsidR="00596567">
              <w:rPr>
                <w:rFonts w:cs="Arial"/>
              </w:rPr>
              <w:t>8.0</w:t>
            </w:r>
            <w:r w:rsidRPr="00374D9A">
              <w:rPr>
                <w:rFonts w:cs="Arial"/>
              </w:rPr>
              <w:t>%</w:t>
            </w:r>
          </w:p>
        </w:tc>
        <w:tc>
          <w:tcPr>
            <w:tcW w:w="928" w:type="pct"/>
            <w:tcBorders>
              <w:top w:val="nil"/>
              <w:left w:val="single" w:sz="4" w:space="0" w:color="A6A6A6"/>
              <w:bottom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0.</w:t>
            </w:r>
            <w:r w:rsidR="00596567">
              <w:rPr>
                <w:rFonts w:cs="Arial"/>
              </w:rPr>
              <w:t>5</w:t>
            </w:r>
            <w:r w:rsidRPr="00374D9A">
              <w:rPr>
                <w:rFonts w:cs="Arial"/>
              </w:rPr>
              <w:t>%</w:t>
            </w:r>
          </w:p>
        </w:tc>
        <w:tc>
          <w:tcPr>
            <w:tcW w:w="926" w:type="pct"/>
            <w:tcBorders>
              <w:top w:val="nil"/>
              <w:left w:val="single" w:sz="4" w:space="0" w:color="A6A6A6"/>
              <w:bottom w:val="single" w:sz="4" w:space="0" w:color="A6A6A6"/>
            </w:tcBorders>
            <w:shd w:val="clear" w:color="auto" w:fill="auto"/>
          </w:tcPr>
          <w:p w:rsidR="00374D9A" w:rsidRPr="00374D9A" w:rsidRDefault="00374D9A" w:rsidP="006D70DB">
            <w:pPr>
              <w:pStyle w:val="TableText"/>
              <w:spacing w:before="0"/>
              <w:jc w:val="center"/>
              <w:rPr>
                <w:rFonts w:cs="Arial"/>
              </w:rPr>
            </w:pPr>
            <w:r w:rsidRPr="00374D9A">
              <w:rPr>
                <w:rFonts w:cs="Arial"/>
              </w:rPr>
              <w:t>Little change</w:t>
            </w:r>
          </w:p>
        </w:tc>
      </w:tr>
      <w:tr w:rsidR="00374D9A" w:rsidRPr="00F65F07" w:rsidTr="006D70DB">
        <w:trPr>
          <w:cantSplit/>
        </w:trPr>
        <w:tc>
          <w:tcPr>
            <w:tcW w:w="1290" w:type="pct"/>
            <w:tcBorders>
              <w:top w:val="single" w:sz="4" w:space="0" w:color="A6A6A6"/>
              <w:bottom w:val="nil"/>
              <w:right w:val="single" w:sz="4" w:space="0" w:color="A6A6A6"/>
            </w:tcBorders>
            <w:shd w:val="clear" w:color="auto" w:fill="auto"/>
          </w:tcPr>
          <w:p w:rsidR="00374D9A" w:rsidRPr="0055542C" w:rsidRDefault="00374D9A" w:rsidP="006D70DB">
            <w:pPr>
              <w:pStyle w:val="TableText"/>
              <w:keepNext/>
            </w:pPr>
            <w:r w:rsidRPr="0055542C">
              <w:t>Diabetes</w:t>
            </w:r>
          </w:p>
        </w:tc>
        <w:tc>
          <w:tcPr>
            <w:tcW w:w="928" w:type="pct"/>
            <w:tcBorders>
              <w:top w:val="single" w:sz="4" w:space="0" w:color="A6A6A6"/>
              <w:left w:val="single" w:sz="4" w:space="0" w:color="A6A6A6"/>
              <w:bottom w:val="nil"/>
              <w:right w:val="single" w:sz="4" w:space="0" w:color="A6A6A6"/>
            </w:tcBorders>
            <w:shd w:val="clear" w:color="auto" w:fill="auto"/>
          </w:tcPr>
          <w:p w:rsidR="00374D9A" w:rsidRPr="00374D9A" w:rsidRDefault="00374D9A" w:rsidP="006D70DB">
            <w:pPr>
              <w:pStyle w:val="TableText"/>
              <w:jc w:val="center"/>
              <w:rPr>
                <w:rFonts w:cs="Arial"/>
              </w:rPr>
            </w:pPr>
          </w:p>
        </w:tc>
        <w:tc>
          <w:tcPr>
            <w:tcW w:w="928" w:type="pct"/>
            <w:tcBorders>
              <w:top w:val="single" w:sz="4" w:space="0" w:color="A6A6A6"/>
              <w:left w:val="single" w:sz="4" w:space="0" w:color="A6A6A6"/>
              <w:bottom w:val="nil"/>
              <w:right w:val="single" w:sz="4" w:space="0" w:color="A6A6A6"/>
            </w:tcBorders>
            <w:shd w:val="clear" w:color="auto" w:fill="auto"/>
          </w:tcPr>
          <w:p w:rsidR="00374D9A" w:rsidRPr="00374D9A" w:rsidRDefault="00374D9A" w:rsidP="006D70DB">
            <w:pPr>
              <w:pStyle w:val="TableText"/>
              <w:jc w:val="center"/>
              <w:rPr>
                <w:rFonts w:cs="Arial"/>
              </w:rPr>
            </w:pPr>
          </w:p>
        </w:tc>
        <w:tc>
          <w:tcPr>
            <w:tcW w:w="928" w:type="pct"/>
            <w:tcBorders>
              <w:top w:val="single" w:sz="4" w:space="0" w:color="A6A6A6"/>
              <w:left w:val="single" w:sz="4" w:space="0" w:color="A6A6A6"/>
              <w:bottom w:val="nil"/>
              <w:right w:val="single" w:sz="4" w:space="0" w:color="A6A6A6"/>
            </w:tcBorders>
            <w:shd w:val="clear" w:color="auto" w:fill="auto"/>
          </w:tcPr>
          <w:p w:rsidR="00374D9A" w:rsidRPr="00374D9A" w:rsidRDefault="00374D9A" w:rsidP="006D70DB">
            <w:pPr>
              <w:pStyle w:val="TableText"/>
              <w:jc w:val="center"/>
              <w:rPr>
                <w:rFonts w:cs="Arial"/>
              </w:rPr>
            </w:pPr>
          </w:p>
        </w:tc>
        <w:tc>
          <w:tcPr>
            <w:tcW w:w="926" w:type="pct"/>
            <w:tcBorders>
              <w:top w:val="single" w:sz="4" w:space="0" w:color="A6A6A6"/>
              <w:left w:val="single" w:sz="4" w:space="0" w:color="A6A6A6"/>
              <w:bottom w:val="nil"/>
            </w:tcBorders>
            <w:shd w:val="clear" w:color="auto" w:fill="auto"/>
          </w:tcPr>
          <w:p w:rsidR="00374D9A" w:rsidRPr="00374D9A" w:rsidRDefault="00374D9A" w:rsidP="006D70DB">
            <w:pPr>
              <w:pStyle w:val="TableText"/>
              <w:jc w:val="center"/>
              <w:rPr>
                <w:rFonts w:cs="Arial"/>
              </w:rPr>
            </w:pPr>
          </w:p>
        </w:tc>
      </w:tr>
      <w:tr w:rsidR="00374D9A" w:rsidRPr="00F65F07" w:rsidTr="006D70DB">
        <w:trPr>
          <w:cantSplit/>
        </w:trPr>
        <w:tc>
          <w:tcPr>
            <w:tcW w:w="1290" w:type="pct"/>
            <w:tcBorders>
              <w:top w:val="nil"/>
              <w:bottom w:val="nil"/>
              <w:right w:val="single" w:sz="4" w:space="0" w:color="A6A6A6"/>
            </w:tcBorders>
            <w:shd w:val="clear" w:color="auto" w:fill="auto"/>
          </w:tcPr>
          <w:p w:rsidR="00374D9A" w:rsidRPr="0055542C" w:rsidRDefault="00374D9A" w:rsidP="006D70DB">
            <w:pPr>
              <w:pStyle w:val="TableBullet"/>
              <w:keepNext/>
            </w:pPr>
            <w:r w:rsidRPr="0055542C">
              <w:t>Whānau Ora sample</w:t>
            </w:r>
          </w:p>
        </w:tc>
        <w:tc>
          <w:tcPr>
            <w:tcW w:w="928" w:type="pct"/>
            <w:tcBorders>
              <w:top w:val="nil"/>
              <w:left w:val="single" w:sz="4" w:space="0" w:color="A6A6A6"/>
              <w:bottom w:val="nil"/>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97.</w:t>
            </w:r>
            <w:r w:rsidR="00596567">
              <w:rPr>
                <w:rFonts w:cs="Arial"/>
              </w:rPr>
              <w:t>5</w:t>
            </w:r>
            <w:r w:rsidRPr="00374D9A">
              <w:rPr>
                <w:rFonts w:cs="Arial"/>
              </w:rPr>
              <w:t>%</w:t>
            </w:r>
          </w:p>
        </w:tc>
        <w:tc>
          <w:tcPr>
            <w:tcW w:w="928" w:type="pct"/>
            <w:tcBorders>
              <w:top w:val="nil"/>
              <w:left w:val="single" w:sz="4" w:space="0" w:color="A6A6A6"/>
              <w:bottom w:val="nil"/>
              <w:right w:val="single" w:sz="4" w:space="0" w:color="A6A6A6"/>
            </w:tcBorders>
            <w:shd w:val="clear" w:color="auto" w:fill="auto"/>
          </w:tcPr>
          <w:p w:rsidR="00374D9A" w:rsidRPr="00374D9A" w:rsidRDefault="00374D9A" w:rsidP="006D70DB">
            <w:pPr>
              <w:pStyle w:val="TableText"/>
              <w:spacing w:before="0"/>
              <w:jc w:val="center"/>
              <w:rPr>
                <w:rFonts w:cs="Arial"/>
              </w:rPr>
            </w:pPr>
            <w:r w:rsidRPr="00374D9A">
              <w:rPr>
                <w:rFonts w:cs="Arial"/>
              </w:rPr>
              <w:t>97.7%</w:t>
            </w:r>
          </w:p>
        </w:tc>
        <w:tc>
          <w:tcPr>
            <w:tcW w:w="928" w:type="pct"/>
            <w:tcBorders>
              <w:top w:val="nil"/>
              <w:left w:val="single" w:sz="4" w:space="0" w:color="A6A6A6"/>
              <w:bottom w:val="nil"/>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0.</w:t>
            </w:r>
            <w:r w:rsidR="00596567">
              <w:rPr>
                <w:rFonts w:cs="Arial"/>
              </w:rPr>
              <w:t>2</w:t>
            </w:r>
            <w:r w:rsidRPr="00374D9A">
              <w:rPr>
                <w:rFonts w:cs="Arial"/>
              </w:rPr>
              <w:t>%</w:t>
            </w:r>
          </w:p>
        </w:tc>
        <w:tc>
          <w:tcPr>
            <w:tcW w:w="926" w:type="pct"/>
            <w:tcBorders>
              <w:top w:val="nil"/>
              <w:left w:val="single" w:sz="4" w:space="0" w:color="A6A6A6"/>
              <w:bottom w:val="nil"/>
            </w:tcBorders>
            <w:shd w:val="clear" w:color="auto" w:fill="auto"/>
          </w:tcPr>
          <w:p w:rsidR="00374D9A" w:rsidRPr="00374D9A" w:rsidRDefault="00374D9A" w:rsidP="006D70DB">
            <w:pPr>
              <w:pStyle w:val="TableText"/>
              <w:spacing w:before="0"/>
              <w:jc w:val="center"/>
              <w:rPr>
                <w:rFonts w:cs="Arial"/>
              </w:rPr>
            </w:pPr>
            <w:r w:rsidRPr="00374D9A">
              <w:rPr>
                <w:rFonts w:cs="Arial"/>
              </w:rPr>
              <w:t>Little change</w:t>
            </w:r>
          </w:p>
        </w:tc>
      </w:tr>
      <w:tr w:rsidR="00374D9A" w:rsidRPr="00F65F07" w:rsidTr="006D70DB">
        <w:trPr>
          <w:cantSplit/>
        </w:trPr>
        <w:tc>
          <w:tcPr>
            <w:tcW w:w="1290" w:type="pct"/>
            <w:tcBorders>
              <w:top w:val="nil"/>
              <w:bottom w:val="single" w:sz="4" w:space="0" w:color="A6A6A6"/>
              <w:right w:val="single" w:sz="4" w:space="0" w:color="A6A6A6"/>
            </w:tcBorders>
            <w:shd w:val="clear" w:color="auto" w:fill="auto"/>
          </w:tcPr>
          <w:p w:rsidR="00374D9A" w:rsidRPr="0055542C" w:rsidRDefault="00374D9A" w:rsidP="007A1E11">
            <w:pPr>
              <w:pStyle w:val="TableBullet"/>
            </w:pPr>
            <w:r w:rsidRPr="0055542C">
              <w:t>National sample</w:t>
            </w:r>
          </w:p>
        </w:tc>
        <w:tc>
          <w:tcPr>
            <w:tcW w:w="928" w:type="pct"/>
            <w:tcBorders>
              <w:top w:val="nil"/>
              <w:left w:val="single" w:sz="4" w:space="0" w:color="A6A6A6"/>
              <w:bottom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94.</w:t>
            </w:r>
            <w:r w:rsidR="00596567">
              <w:rPr>
                <w:rFonts w:cs="Arial"/>
              </w:rPr>
              <w:t>3</w:t>
            </w:r>
            <w:r w:rsidRPr="00374D9A">
              <w:rPr>
                <w:rFonts w:cs="Arial"/>
              </w:rPr>
              <w:t>%</w:t>
            </w:r>
          </w:p>
        </w:tc>
        <w:tc>
          <w:tcPr>
            <w:tcW w:w="928" w:type="pct"/>
            <w:tcBorders>
              <w:top w:val="nil"/>
              <w:left w:val="single" w:sz="4" w:space="0" w:color="A6A6A6"/>
              <w:bottom w:val="single" w:sz="4" w:space="0" w:color="A6A6A6"/>
              <w:right w:val="single" w:sz="4" w:space="0" w:color="A6A6A6"/>
            </w:tcBorders>
            <w:shd w:val="clear" w:color="auto" w:fill="auto"/>
          </w:tcPr>
          <w:p w:rsidR="00374D9A" w:rsidRPr="00374D9A" w:rsidRDefault="00374D9A" w:rsidP="006D70DB">
            <w:pPr>
              <w:pStyle w:val="TableText"/>
              <w:spacing w:before="0"/>
              <w:jc w:val="center"/>
              <w:rPr>
                <w:rFonts w:cs="Arial"/>
              </w:rPr>
            </w:pPr>
            <w:r w:rsidRPr="00374D9A">
              <w:rPr>
                <w:rFonts w:cs="Arial"/>
              </w:rPr>
              <w:t>94.5%</w:t>
            </w:r>
          </w:p>
        </w:tc>
        <w:tc>
          <w:tcPr>
            <w:tcW w:w="928" w:type="pct"/>
            <w:tcBorders>
              <w:top w:val="nil"/>
              <w:left w:val="single" w:sz="4" w:space="0" w:color="A6A6A6"/>
              <w:bottom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0.</w:t>
            </w:r>
            <w:r w:rsidR="00596567">
              <w:rPr>
                <w:rFonts w:cs="Arial"/>
              </w:rPr>
              <w:t>2</w:t>
            </w:r>
            <w:r w:rsidRPr="00374D9A">
              <w:rPr>
                <w:rFonts w:cs="Arial"/>
              </w:rPr>
              <w:t>%</w:t>
            </w:r>
          </w:p>
        </w:tc>
        <w:tc>
          <w:tcPr>
            <w:tcW w:w="926" w:type="pct"/>
            <w:tcBorders>
              <w:top w:val="nil"/>
              <w:left w:val="single" w:sz="4" w:space="0" w:color="A6A6A6"/>
              <w:bottom w:val="single" w:sz="4" w:space="0" w:color="A6A6A6"/>
            </w:tcBorders>
            <w:shd w:val="clear" w:color="auto" w:fill="auto"/>
          </w:tcPr>
          <w:p w:rsidR="00374D9A" w:rsidRPr="00374D9A" w:rsidRDefault="00374D9A" w:rsidP="006D70DB">
            <w:pPr>
              <w:pStyle w:val="TableText"/>
              <w:spacing w:before="0"/>
              <w:jc w:val="center"/>
              <w:rPr>
                <w:rFonts w:cs="Arial"/>
              </w:rPr>
            </w:pPr>
            <w:r w:rsidRPr="00374D9A">
              <w:rPr>
                <w:rFonts w:cs="Arial"/>
              </w:rPr>
              <w:t>Little change</w:t>
            </w:r>
          </w:p>
        </w:tc>
      </w:tr>
      <w:tr w:rsidR="00374D9A" w:rsidRPr="00F65F07" w:rsidTr="006D70DB">
        <w:trPr>
          <w:cantSplit/>
        </w:trPr>
        <w:tc>
          <w:tcPr>
            <w:tcW w:w="1290" w:type="pct"/>
            <w:tcBorders>
              <w:top w:val="single" w:sz="4" w:space="0" w:color="A6A6A6"/>
              <w:bottom w:val="nil"/>
              <w:right w:val="single" w:sz="4" w:space="0" w:color="A6A6A6"/>
            </w:tcBorders>
            <w:shd w:val="clear" w:color="auto" w:fill="auto"/>
          </w:tcPr>
          <w:p w:rsidR="00374D9A" w:rsidRPr="0055542C" w:rsidRDefault="00374D9A" w:rsidP="007A1E11">
            <w:pPr>
              <w:pStyle w:val="TableText"/>
            </w:pPr>
            <w:r w:rsidRPr="0055542C">
              <w:t>IHD</w:t>
            </w:r>
          </w:p>
        </w:tc>
        <w:tc>
          <w:tcPr>
            <w:tcW w:w="928" w:type="pct"/>
            <w:tcBorders>
              <w:top w:val="single" w:sz="4" w:space="0" w:color="A6A6A6"/>
              <w:left w:val="single" w:sz="4" w:space="0" w:color="A6A6A6"/>
              <w:bottom w:val="nil"/>
              <w:right w:val="single" w:sz="4" w:space="0" w:color="A6A6A6"/>
            </w:tcBorders>
            <w:shd w:val="clear" w:color="auto" w:fill="auto"/>
          </w:tcPr>
          <w:p w:rsidR="00374D9A" w:rsidRPr="00374D9A" w:rsidRDefault="00374D9A" w:rsidP="006D70DB">
            <w:pPr>
              <w:pStyle w:val="TableText"/>
              <w:jc w:val="center"/>
              <w:rPr>
                <w:rFonts w:cs="Arial"/>
              </w:rPr>
            </w:pPr>
          </w:p>
        </w:tc>
        <w:tc>
          <w:tcPr>
            <w:tcW w:w="928" w:type="pct"/>
            <w:tcBorders>
              <w:top w:val="single" w:sz="4" w:space="0" w:color="A6A6A6"/>
              <w:left w:val="single" w:sz="4" w:space="0" w:color="A6A6A6"/>
              <w:bottom w:val="nil"/>
              <w:right w:val="single" w:sz="4" w:space="0" w:color="A6A6A6"/>
            </w:tcBorders>
            <w:shd w:val="clear" w:color="auto" w:fill="auto"/>
          </w:tcPr>
          <w:p w:rsidR="00374D9A" w:rsidRPr="00374D9A" w:rsidRDefault="00374D9A" w:rsidP="006D70DB">
            <w:pPr>
              <w:pStyle w:val="TableText"/>
              <w:jc w:val="center"/>
              <w:rPr>
                <w:rFonts w:cs="Arial"/>
              </w:rPr>
            </w:pPr>
          </w:p>
        </w:tc>
        <w:tc>
          <w:tcPr>
            <w:tcW w:w="928" w:type="pct"/>
            <w:tcBorders>
              <w:top w:val="single" w:sz="4" w:space="0" w:color="A6A6A6"/>
              <w:left w:val="single" w:sz="4" w:space="0" w:color="A6A6A6"/>
              <w:bottom w:val="nil"/>
              <w:right w:val="single" w:sz="4" w:space="0" w:color="A6A6A6"/>
            </w:tcBorders>
            <w:shd w:val="clear" w:color="auto" w:fill="auto"/>
          </w:tcPr>
          <w:p w:rsidR="00374D9A" w:rsidRPr="00374D9A" w:rsidRDefault="00374D9A" w:rsidP="006D70DB">
            <w:pPr>
              <w:pStyle w:val="TableText"/>
              <w:jc w:val="center"/>
              <w:rPr>
                <w:rFonts w:cs="Arial"/>
              </w:rPr>
            </w:pPr>
          </w:p>
        </w:tc>
        <w:tc>
          <w:tcPr>
            <w:tcW w:w="926" w:type="pct"/>
            <w:tcBorders>
              <w:top w:val="single" w:sz="4" w:space="0" w:color="A6A6A6"/>
              <w:left w:val="single" w:sz="4" w:space="0" w:color="A6A6A6"/>
              <w:bottom w:val="nil"/>
            </w:tcBorders>
            <w:shd w:val="clear" w:color="auto" w:fill="auto"/>
          </w:tcPr>
          <w:p w:rsidR="00374D9A" w:rsidRPr="00374D9A" w:rsidRDefault="00374D9A" w:rsidP="006D70DB">
            <w:pPr>
              <w:pStyle w:val="TableText"/>
              <w:jc w:val="center"/>
              <w:rPr>
                <w:rFonts w:cs="Arial"/>
              </w:rPr>
            </w:pPr>
          </w:p>
        </w:tc>
      </w:tr>
      <w:tr w:rsidR="00374D9A" w:rsidRPr="00F65F07" w:rsidTr="006D70DB">
        <w:trPr>
          <w:cantSplit/>
        </w:trPr>
        <w:tc>
          <w:tcPr>
            <w:tcW w:w="1290" w:type="pct"/>
            <w:tcBorders>
              <w:top w:val="nil"/>
              <w:bottom w:val="nil"/>
              <w:right w:val="single" w:sz="4" w:space="0" w:color="A6A6A6"/>
            </w:tcBorders>
            <w:shd w:val="clear" w:color="auto" w:fill="auto"/>
          </w:tcPr>
          <w:p w:rsidR="00374D9A" w:rsidRPr="0055542C" w:rsidRDefault="00374D9A" w:rsidP="007A1E11">
            <w:pPr>
              <w:pStyle w:val="TableBullet"/>
            </w:pPr>
            <w:r w:rsidRPr="0055542C">
              <w:t>Whānau Ora sample</w:t>
            </w:r>
          </w:p>
        </w:tc>
        <w:tc>
          <w:tcPr>
            <w:tcW w:w="928" w:type="pct"/>
            <w:tcBorders>
              <w:top w:val="nil"/>
              <w:left w:val="single" w:sz="4" w:space="0" w:color="A6A6A6"/>
              <w:bottom w:val="nil"/>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5</w:t>
            </w:r>
            <w:r w:rsidR="00596567">
              <w:rPr>
                <w:rFonts w:cs="Arial"/>
              </w:rPr>
              <w:t>4.7</w:t>
            </w:r>
            <w:r w:rsidRPr="00374D9A">
              <w:rPr>
                <w:rFonts w:cs="Arial"/>
              </w:rPr>
              <w:t>%</w:t>
            </w:r>
          </w:p>
        </w:tc>
        <w:tc>
          <w:tcPr>
            <w:tcW w:w="928" w:type="pct"/>
            <w:tcBorders>
              <w:top w:val="nil"/>
              <w:left w:val="single" w:sz="4" w:space="0" w:color="A6A6A6"/>
              <w:bottom w:val="nil"/>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55.</w:t>
            </w:r>
            <w:r w:rsidR="00596567">
              <w:rPr>
                <w:rFonts w:cs="Arial"/>
              </w:rPr>
              <w:t>3</w:t>
            </w:r>
            <w:r w:rsidRPr="00374D9A">
              <w:rPr>
                <w:rFonts w:cs="Arial"/>
              </w:rPr>
              <w:t>%</w:t>
            </w:r>
          </w:p>
        </w:tc>
        <w:tc>
          <w:tcPr>
            <w:tcW w:w="928" w:type="pct"/>
            <w:tcBorders>
              <w:top w:val="nil"/>
              <w:left w:val="single" w:sz="4" w:space="0" w:color="A6A6A6"/>
              <w:bottom w:val="nil"/>
              <w:right w:val="single" w:sz="4" w:space="0" w:color="A6A6A6"/>
            </w:tcBorders>
            <w:shd w:val="clear" w:color="auto" w:fill="auto"/>
          </w:tcPr>
          <w:p w:rsidR="00374D9A" w:rsidRPr="00374D9A" w:rsidRDefault="00596567" w:rsidP="006D70DB">
            <w:pPr>
              <w:pStyle w:val="TableText"/>
              <w:spacing w:before="0"/>
              <w:jc w:val="center"/>
              <w:rPr>
                <w:rFonts w:cs="Arial"/>
              </w:rPr>
            </w:pPr>
            <w:r>
              <w:rPr>
                <w:rFonts w:cs="Arial"/>
              </w:rPr>
              <w:t>0</w:t>
            </w:r>
            <w:r w:rsidR="00374D9A" w:rsidRPr="00374D9A">
              <w:rPr>
                <w:rFonts w:cs="Arial"/>
              </w:rPr>
              <w:t>.7%</w:t>
            </w:r>
          </w:p>
        </w:tc>
        <w:tc>
          <w:tcPr>
            <w:tcW w:w="926" w:type="pct"/>
            <w:tcBorders>
              <w:top w:val="nil"/>
              <w:left w:val="single" w:sz="4" w:space="0" w:color="A6A6A6"/>
              <w:bottom w:val="nil"/>
            </w:tcBorders>
            <w:shd w:val="clear" w:color="auto" w:fill="auto"/>
          </w:tcPr>
          <w:p w:rsidR="00374D9A" w:rsidRPr="00374D9A" w:rsidRDefault="00374D9A" w:rsidP="006D70DB">
            <w:pPr>
              <w:pStyle w:val="TableText"/>
              <w:spacing w:before="0"/>
              <w:jc w:val="center"/>
              <w:rPr>
                <w:rFonts w:cs="Arial"/>
              </w:rPr>
            </w:pPr>
            <w:r w:rsidRPr="00374D9A">
              <w:rPr>
                <w:rFonts w:cs="Arial"/>
              </w:rPr>
              <w:t>Little change</w:t>
            </w:r>
          </w:p>
        </w:tc>
      </w:tr>
      <w:tr w:rsidR="00374D9A" w:rsidRPr="00F65F07" w:rsidTr="006D70DB">
        <w:trPr>
          <w:cantSplit/>
        </w:trPr>
        <w:tc>
          <w:tcPr>
            <w:tcW w:w="1290" w:type="pct"/>
            <w:tcBorders>
              <w:top w:val="nil"/>
              <w:right w:val="single" w:sz="4" w:space="0" w:color="A6A6A6"/>
            </w:tcBorders>
            <w:shd w:val="clear" w:color="auto" w:fill="auto"/>
          </w:tcPr>
          <w:p w:rsidR="00374D9A" w:rsidRPr="0055542C" w:rsidRDefault="00374D9A" w:rsidP="007A1E11">
            <w:pPr>
              <w:pStyle w:val="TableBullet"/>
            </w:pPr>
            <w:r w:rsidRPr="0055542C">
              <w:t>National sample</w:t>
            </w:r>
          </w:p>
        </w:tc>
        <w:tc>
          <w:tcPr>
            <w:tcW w:w="928" w:type="pct"/>
            <w:tcBorders>
              <w:top w:val="nil"/>
              <w:left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57.</w:t>
            </w:r>
            <w:r w:rsidR="00596567">
              <w:rPr>
                <w:rFonts w:cs="Arial"/>
              </w:rPr>
              <w:t>6</w:t>
            </w:r>
            <w:r w:rsidRPr="00374D9A">
              <w:rPr>
                <w:rFonts w:cs="Arial"/>
              </w:rPr>
              <w:t>%</w:t>
            </w:r>
          </w:p>
        </w:tc>
        <w:tc>
          <w:tcPr>
            <w:tcW w:w="928" w:type="pct"/>
            <w:tcBorders>
              <w:top w:val="nil"/>
              <w:left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58.</w:t>
            </w:r>
            <w:r w:rsidR="00596567">
              <w:rPr>
                <w:rFonts w:cs="Arial"/>
              </w:rPr>
              <w:t>6</w:t>
            </w:r>
            <w:r w:rsidRPr="00374D9A">
              <w:rPr>
                <w:rFonts w:cs="Arial"/>
              </w:rPr>
              <w:t>%</w:t>
            </w:r>
          </w:p>
        </w:tc>
        <w:tc>
          <w:tcPr>
            <w:tcW w:w="928" w:type="pct"/>
            <w:tcBorders>
              <w:top w:val="nil"/>
              <w:left w:val="single" w:sz="4" w:space="0" w:color="A6A6A6"/>
              <w:right w:val="single" w:sz="4" w:space="0" w:color="A6A6A6"/>
            </w:tcBorders>
            <w:shd w:val="clear" w:color="auto" w:fill="auto"/>
          </w:tcPr>
          <w:p w:rsidR="00374D9A" w:rsidRPr="00374D9A" w:rsidRDefault="00374D9A" w:rsidP="00596567">
            <w:pPr>
              <w:pStyle w:val="TableText"/>
              <w:spacing w:before="0"/>
              <w:jc w:val="center"/>
              <w:rPr>
                <w:rFonts w:cs="Arial"/>
              </w:rPr>
            </w:pPr>
            <w:r w:rsidRPr="00374D9A">
              <w:rPr>
                <w:rFonts w:cs="Arial"/>
              </w:rPr>
              <w:t>1.</w:t>
            </w:r>
            <w:r w:rsidR="00596567">
              <w:rPr>
                <w:rFonts w:cs="Arial"/>
              </w:rPr>
              <w:t>0</w:t>
            </w:r>
            <w:r w:rsidRPr="00374D9A">
              <w:rPr>
                <w:rFonts w:cs="Arial"/>
              </w:rPr>
              <w:t>%</w:t>
            </w:r>
          </w:p>
        </w:tc>
        <w:tc>
          <w:tcPr>
            <w:tcW w:w="926" w:type="pct"/>
            <w:tcBorders>
              <w:top w:val="nil"/>
              <w:left w:val="single" w:sz="4" w:space="0" w:color="A6A6A6"/>
            </w:tcBorders>
            <w:shd w:val="clear" w:color="auto" w:fill="auto"/>
          </w:tcPr>
          <w:p w:rsidR="00374D9A" w:rsidRPr="00374D9A" w:rsidRDefault="00374D9A" w:rsidP="006D70DB">
            <w:pPr>
              <w:pStyle w:val="TableText"/>
              <w:spacing w:before="0"/>
              <w:jc w:val="center"/>
              <w:rPr>
                <w:rFonts w:cs="Arial"/>
              </w:rPr>
            </w:pPr>
            <w:r w:rsidRPr="00374D9A">
              <w:rPr>
                <w:rFonts w:cs="Arial"/>
              </w:rPr>
              <w:t>Little change</w:t>
            </w:r>
          </w:p>
        </w:tc>
      </w:tr>
    </w:tbl>
    <w:p w:rsidR="00457B04" w:rsidRPr="00F65F07" w:rsidRDefault="00457B04" w:rsidP="00457B04"/>
    <w:p w:rsidR="00457B04" w:rsidRDefault="00457B04" w:rsidP="0078019B">
      <w:bookmarkStart w:id="101" w:name="_Toc350162549"/>
      <w:bookmarkStart w:id="102" w:name="_Toc353959538"/>
      <w:r>
        <w:t>Overall, th</w:t>
      </w:r>
      <w:r w:rsidRPr="00F71C7E">
        <w:t>ese results indicate better coding accuracy among the Whānau Ora sample.</w:t>
      </w:r>
      <w:r>
        <w:t xml:space="preserve"> T</w:t>
      </w:r>
      <w:r w:rsidRPr="00534433">
        <w:t xml:space="preserve">he Whānau Ora sample performed </w:t>
      </w:r>
      <w:r w:rsidRPr="007F75E7">
        <w:rPr>
          <w:b/>
        </w:rPr>
        <w:t>better than</w:t>
      </w:r>
      <w:r w:rsidRPr="00534433">
        <w:t xml:space="preserve"> the national sample against this indicator in the case of enrolled patients with prescriptions for asthma, depression and diabetes matched to an applicable recorded diagnosis. </w:t>
      </w:r>
      <w:r>
        <w:t>I</w:t>
      </w:r>
      <w:r w:rsidRPr="00F71C7E">
        <w:t>n the case of IHD</w:t>
      </w:r>
      <w:r>
        <w:t xml:space="preserve">, the </w:t>
      </w:r>
      <w:r w:rsidRPr="00F71C7E">
        <w:t>Whānau Ora sample</w:t>
      </w:r>
      <w:r w:rsidR="005E1092">
        <w:t xml:space="preserve"> performed </w:t>
      </w:r>
      <w:r w:rsidR="005E1092">
        <w:rPr>
          <w:b/>
        </w:rPr>
        <w:t xml:space="preserve">as well as </w:t>
      </w:r>
      <w:r>
        <w:t>the n</w:t>
      </w:r>
      <w:r w:rsidRPr="00F71C7E">
        <w:t>ational sample.</w:t>
      </w:r>
    </w:p>
    <w:p w:rsidR="0078019B" w:rsidRDefault="0078019B" w:rsidP="0078019B"/>
    <w:p w:rsidR="005E1092" w:rsidRDefault="005E1092">
      <w:pPr>
        <w:spacing w:line="240" w:lineRule="auto"/>
        <w:rPr>
          <w:b/>
          <w:sz w:val="40"/>
        </w:rPr>
      </w:pPr>
      <w:bookmarkStart w:id="103" w:name="_Toc362600472"/>
      <w:bookmarkStart w:id="104" w:name="_Toc411433979"/>
      <w:r>
        <w:br w:type="page"/>
      </w:r>
    </w:p>
    <w:p w:rsidR="00457B04" w:rsidRPr="00534433" w:rsidRDefault="00457B04" w:rsidP="0078019B">
      <w:pPr>
        <w:pStyle w:val="Heading2"/>
      </w:pPr>
      <w:bookmarkStart w:id="105" w:name="_Toc421710362"/>
      <w:r w:rsidRPr="00CD3C15">
        <w:lastRenderedPageBreak/>
        <w:t>Indicator 9:</w:t>
      </w:r>
      <w:r>
        <w:t xml:space="preserve"> </w:t>
      </w:r>
      <w:r w:rsidRPr="00CD3C15">
        <w:t>Mental health</w:t>
      </w:r>
      <w:r>
        <w:t xml:space="preserve"> </w:t>
      </w:r>
      <w:bookmarkEnd w:id="101"/>
      <w:r w:rsidRPr="00CD3C15">
        <w:t>–</w:t>
      </w:r>
      <w:r>
        <w:t xml:space="preserve"> </w:t>
      </w:r>
      <w:bookmarkEnd w:id="102"/>
      <w:bookmarkEnd w:id="103"/>
      <w:r>
        <w:t>i</w:t>
      </w:r>
      <w:r w:rsidRPr="00534433">
        <w:t xml:space="preserve">ncreasing prevalence </w:t>
      </w:r>
      <w:r>
        <w:t>over the</w:t>
      </w:r>
      <w:r w:rsidRPr="00CD3C15">
        <w:t xml:space="preserve"> year</w:t>
      </w:r>
      <w:r>
        <w:t xml:space="preserve"> </w:t>
      </w:r>
      <w:r w:rsidR="0019454B">
        <w:t>March 2014 to March 2015</w:t>
      </w:r>
      <w:bookmarkEnd w:id="104"/>
      <w:bookmarkEnd w:id="105"/>
    </w:p>
    <w:p w:rsidR="00457B04" w:rsidRPr="00F65F07" w:rsidRDefault="00457B04" w:rsidP="00B82417">
      <w:pPr>
        <w:keepNext/>
      </w:pPr>
      <w:r w:rsidRPr="00534433">
        <w:t xml:space="preserve">Definition: Percentage of enrolled patients aged 16 </w:t>
      </w:r>
      <w:r>
        <w:t xml:space="preserve">years or over </w:t>
      </w:r>
      <w:r w:rsidRPr="00534433">
        <w:t>who have</w:t>
      </w:r>
      <w:r w:rsidRPr="00F65F07">
        <w:t xml:space="preserve"> been diagnosed with anxiety, bipolar, depression or schizophrenia.</w:t>
      </w:r>
    </w:p>
    <w:p w:rsidR="00457B04" w:rsidRPr="00F65F07" w:rsidRDefault="00457B04" w:rsidP="00B82417">
      <w:pPr>
        <w:keepNext/>
      </w:pPr>
    </w:p>
    <w:p w:rsidR="00457B04" w:rsidRDefault="00457B04" w:rsidP="00B82417">
      <w:pPr>
        <w:pStyle w:val="Table"/>
      </w:pPr>
      <w:bookmarkStart w:id="106" w:name="_Toc353959553"/>
      <w:bookmarkStart w:id="107" w:name="_Toc379540129"/>
      <w:bookmarkStart w:id="108" w:name="_Toc421535724"/>
      <w:r w:rsidRPr="00F65F07">
        <w:t xml:space="preserve">Table </w:t>
      </w:r>
      <w:r>
        <w:t>9</w:t>
      </w:r>
      <w:r w:rsidRPr="00F65F07">
        <w:t>:</w:t>
      </w:r>
      <w:r>
        <w:t xml:space="preserve"> </w:t>
      </w:r>
      <w:r w:rsidRPr="00F65F07">
        <w:t xml:space="preserve">Performance against </w:t>
      </w:r>
      <w:r>
        <w:t xml:space="preserve">the </w:t>
      </w:r>
      <w:r w:rsidR="00634870">
        <w:t>‘</w:t>
      </w:r>
      <w:r>
        <w:t>Mental health</w:t>
      </w:r>
      <w:r w:rsidR="00634870">
        <w:t>’</w:t>
      </w:r>
      <w:r>
        <w:t xml:space="preserve"> indicator</w:t>
      </w:r>
      <w:bookmarkEnd w:id="106"/>
      <w:bookmarkEnd w:id="107"/>
      <w:bookmarkEnd w:id="108"/>
    </w:p>
    <w:tbl>
      <w:tblPr>
        <w:tblW w:w="493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07"/>
        <w:gridCol w:w="1738"/>
        <w:gridCol w:w="1736"/>
        <w:gridCol w:w="1736"/>
        <w:gridCol w:w="1736"/>
      </w:tblGrid>
      <w:tr w:rsidR="00457B04" w:rsidRPr="009C5A6A" w:rsidTr="007A1E11">
        <w:trPr>
          <w:cantSplit/>
        </w:trPr>
        <w:tc>
          <w:tcPr>
            <w:tcW w:w="1287" w:type="pct"/>
            <w:tcBorders>
              <w:top w:val="single" w:sz="4" w:space="0" w:color="auto"/>
              <w:bottom w:val="single" w:sz="4" w:space="0" w:color="auto"/>
            </w:tcBorders>
            <w:shd w:val="clear" w:color="auto" w:fill="auto"/>
          </w:tcPr>
          <w:p w:rsidR="00457B04" w:rsidRPr="009C5A6A" w:rsidRDefault="00457B04" w:rsidP="00B82417">
            <w:pPr>
              <w:pStyle w:val="TableText"/>
              <w:keepNext/>
              <w:rPr>
                <w:b/>
              </w:rPr>
            </w:pPr>
          </w:p>
        </w:tc>
        <w:tc>
          <w:tcPr>
            <w:tcW w:w="929" w:type="pct"/>
            <w:tcBorders>
              <w:top w:val="single" w:sz="4" w:space="0" w:color="auto"/>
              <w:bottom w:val="single" w:sz="4" w:space="0" w:color="auto"/>
            </w:tcBorders>
            <w:shd w:val="clear" w:color="auto" w:fill="auto"/>
          </w:tcPr>
          <w:p w:rsidR="00457B04" w:rsidRPr="009C5A6A" w:rsidRDefault="0019454B" w:rsidP="00B82417">
            <w:pPr>
              <w:pStyle w:val="TableText"/>
              <w:keepNext/>
              <w:jc w:val="center"/>
              <w:rPr>
                <w:b/>
              </w:rPr>
            </w:pPr>
            <w:r>
              <w:rPr>
                <w:b/>
              </w:rPr>
              <w:t>March 2014</w:t>
            </w:r>
          </w:p>
        </w:tc>
        <w:tc>
          <w:tcPr>
            <w:tcW w:w="928" w:type="pct"/>
            <w:tcBorders>
              <w:top w:val="single" w:sz="4" w:space="0" w:color="auto"/>
              <w:bottom w:val="single" w:sz="4" w:space="0" w:color="auto"/>
            </w:tcBorders>
            <w:shd w:val="clear" w:color="auto" w:fill="auto"/>
          </w:tcPr>
          <w:p w:rsidR="00457B04" w:rsidRPr="009C5A6A" w:rsidRDefault="0019454B" w:rsidP="00B82417">
            <w:pPr>
              <w:pStyle w:val="TableText"/>
              <w:keepNext/>
              <w:jc w:val="center"/>
              <w:rPr>
                <w:b/>
              </w:rPr>
            </w:pPr>
            <w:r>
              <w:rPr>
                <w:b/>
              </w:rPr>
              <w:t>March 2015</w:t>
            </w:r>
          </w:p>
        </w:tc>
        <w:tc>
          <w:tcPr>
            <w:tcW w:w="928" w:type="pct"/>
            <w:tcBorders>
              <w:top w:val="single" w:sz="4" w:space="0" w:color="auto"/>
              <w:bottom w:val="single" w:sz="4" w:space="0" w:color="auto"/>
            </w:tcBorders>
            <w:shd w:val="clear" w:color="auto" w:fill="auto"/>
          </w:tcPr>
          <w:p w:rsidR="00457B04" w:rsidRPr="009C5A6A" w:rsidRDefault="00457B04" w:rsidP="00B82417">
            <w:pPr>
              <w:pStyle w:val="TableText"/>
              <w:keepNext/>
              <w:jc w:val="center"/>
              <w:rPr>
                <w:b/>
              </w:rPr>
            </w:pPr>
            <w:r>
              <w:rPr>
                <w:b/>
              </w:rPr>
              <w:t>Difference</w:t>
            </w:r>
          </w:p>
        </w:tc>
        <w:tc>
          <w:tcPr>
            <w:tcW w:w="928" w:type="pct"/>
            <w:tcBorders>
              <w:top w:val="single" w:sz="4" w:space="0" w:color="auto"/>
              <w:bottom w:val="single" w:sz="4" w:space="0" w:color="auto"/>
            </w:tcBorders>
          </w:tcPr>
          <w:p w:rsidR="00457B04" w:rsidRPr="009C5A6A" w:rsidRDefault="00457B04" w:rsidP="00B82417">
            <w:pPr>
              <w:pStyle w:val="TableText"/>
              <w:keepNext/>
              <w:jc w:val="center"/>
              <w:rPr>
                <w:b/>
              </w:rPr>
            </w:pPr>
            <w:r w:rsidRPr="009C5A6A">
              <w:rPr>
                <w:b/>
              </w:rPr>
              <w:t>Trend last year</w:t>
            </w:r>
          </w:p>
        </w:tc>
      </w:tr>
      <w:tr w:rsidR="00571752" w:rsidRPr="00983B8F" w:rsidTr="00571752">
        <w:trPr>
          <w:cantSplit/>
        </w:trPr>
        <w:tc>
          <w:tcPr>
            <w:tcW w:w="1287" w:type="pct"/>
            <w:tcBorders>
              <w:top w:val="single" w:sz="4" w:space="0" w:color="auto"/>
            </w:tcBorders>
            <w:shd w:val="clear" w:color="auto" w:fill="auto"/>
          </w:tcPr>
          <w:p w:rsidR="00571752" w:rsidRPr="00F65F07" w:rsidRDefault="00571752" w:rsidP="00B82417">
            <w:pPr>
              <w:pStyle w:val="TableText"/>
              <w:keepNext/>
            </w:pPr>
            <w:r w:rsidRPr="00F65F07">
              <w:t>Whānau Ora sample</w:t>
            </w:r>
          </w:p>
        </w:tc>
        <w:tc>
          <w:tcPr>
            <w:tcW w:w="929" w:type="pct"/>
            <w:tcBorders>
              <w:top w:val="single" w:sz="4" w:space="0" w:color="auto"/>
            </w:tcBorders>
            <w:shd w:val="clear" w:color="auto" w:fill="auto"/>
            <w:vAlign w:val="center"/>
          </w:tcPr>
          <w:p w:rsidR="00571752" w:rsidRPr="00571752" w:rsidRDefault="00571752" w:rsidP="00FD1FE4">
            <w:pPr>
              <w:jc w:val="center"/>
              <w:rPr>
                <w:rFonts w:ascii="Arial" w:hAnsi="Arial" w:cs="Arial"/>
                <w:color w:val="000000"/>
                <w:sz w:val="18"/>
                <w:szCs w:val="22"/>
              </w:rPr>
            </w:pPr>
            <w:r w:rsidRPr="00571752">
              <w:rPr>
                <w:rFonts w:ascii="Arial" w:hAnsi="Arial" w:cs="Arial"/>
                <w:color w:val="000000"/>
                <w:sz w:val="18"/>
                <w:szCs w:val="22"/>
              </w:rPr>
              <w:t>17.</w:t>
            </w:r>
            <w:r w:rsidR="00FD1FE4">
              <w:rPr>
                <w:rFonts w:ascii="Arial" w:hAnsi="Arial" w:cs="Arial"/>
                <w:color w:val="000000"/>
                <w:sz w:val="18"/>
                <w:szCs w:val="22"/>
              </w:rPr>
              <w:t>7</w:t>
            </w:r>
            <w:r w:rsidRPr="00571752">
              <w:rPr>
                <w:rFonts w:ascii="Arial" w:hAnsi="Arial" w:cs="Arial"/>
                <w:color w:val="000000"/>
                <w:sz w:val="18"/>
                <w:szCs w:val="22"/>
              </w:rPr>
              <w:t>%</w:t>
            </w:r>
          </w:p>
        </w:tc>
        <w:tc>
          <w:tcPr>
            <w:tcW w:w="928" w:type="pct"/>
            <w:tcBorders>
              <w:top w:val="single" w:sz="4" w:space="0" w:color="auto"/>
            </w:tcBorders>
            <w:shd w:val="clear" w:color="auto" w:fill="auto"/>
            <w:vAlign w:val="center"/>
          </w:tcPr>
          <w:p w:rsidR="00571752" w:rsidRPr="00571752" w:rsidRDefault="00571752" w:rsidP="00FD1FE4">
            <w:pPr>
              <w:jc w:val="center"/>
              <w:rPr>
                <w:rFonts w:ascii="Arial" w:hAnsi="Arial" w:cs="Arial"/>
                <w:color w:val="000000"/>
                <w:sz w:val="18"/>
                <w:szCs w:val="22"/>
              </w:rPr>
            </w:pPr>
            <w:r w:rsidRPr="00571752">
              <w:rPr>
                <w:rFonts w:ascii="Arial" w:hAnsi="Arial" w:cs="Arial"/>
                <w:color w:val="000000"/>
                <w:sz w:val="18"/>
                <w:szCs w:val="22"/>
              </w:rPr>
              <w:t>18.</w:t>
            </w:r>
            <w:r w:rsidR="00FD1FE4">
              <w:rPr>
                <w:rFonts w:ascii="Arial" w:hAnsi="Arial" w:cs="Arial"/>
                <w:color w:val="000000"/>
                <w:sz w:val="18"/>
                <w:szCs w:val="22"/>
              </w:rPr>
              <w:t>4</w:t>
            </w:r>
            <w:r w:rsidRPr="00571752">
              <w:rPr>
                <w:rFonts w:ascii="Arial" w:hAnsi="Arial" w:cs="Arial"/>
                <w:color w:val="000000"/>
                <w:sz w:val="18"/>
                <w:szCs w:val="22"/>
              </w:rPr>
              <w:t>%</w:t>
            </w:r>
          </w:p>
        </w:tc>
        <w:tc>
          <w:tcPr>
            <w:tcW w:w="928" w:type="pct"/>
            <w:tcBorders>
              <w:top w:val="single" w:sz="4" w:space="0" w:color="auto"/>
            </w:tcBorders>
            <w:shd w:val="clear" w:color="auto" w:fill="auto"/>
            <w:vAlign w:val="center"/>
          </w:tcPr>
          <w:p w:rsidR="00571752" w:rsidRPr="00571752" w:rsidRDefault="00571752" w:rsidP="00FD1FE4">
            <w:pPr>
              <w:jc w:val="center"/>
              <w:rPr>
                <w:rFonts w:ascii="Arial" w:hAnsi="Arial" w:cs="Arial"/>
                <w:color w:val="000000"/>
                <w:sz w:val="18"/>
                <w:szCs w:val="22"/>
              </w:rPr>
            </w:pPr>
            <w:r w:rsidRPr="00571752">
              <w:rPr>
                <w:rFonts w:ascii="Arial" w:hAnsi="Arial" w:cs="Arial"/>
                <w:color w:val="000000"/>
                <w:sz w:val="18"/>
                <w:szCs w:val="22"/>
              </w:rPr>
              <w:t>0.</w:t>
            </w:r>
            <w:r w:rsidR="00FD1FE4">
              <w:rPr>
                <w:rFonts w:ascii="Arial" w:hAnsi="Arial" w:cs="Arial"/>
                <w:color w:val="000000"/>
                <w:sz w:val="18"/>
                <w:szCs w:val="22"/>
              </w:rPr>
              <w:t>7</w:t>
            </w:r>
            <w:r w:rsidRPr="00571752">
              <w:rPr>
                <w:rFonts w:ascii="Arial" w:hAnsi="Arial" w:cs="Arial"/>
                <w:color w:val="000000"/>
                <w:sz w:val="18"/>
                <w:szCs w:val="22"/>
              </w:rPr>
              <w:t>%</w:t>
            </w:r>
          </w:p>
        </w:tc>
        <w:tc>
          <w:tcPr>
            <w:tcW w:w="928" w:type="pct"/>
            <w:tcBorders>
              <w:top w:val="single" w:sz="4" w:space="0" w:color="auto"/>
            </w:tcBorders>
            <w:vAlign w:val="center"/>
          </w:tcPr>
          <w:p w:rsidR="00571752" w:rsidRPr="00571752" w:rsidRDefault="00571752" w:rsidP="00571752">
            <w:pPr>
              <w:jc w:val="center"/>
              <w:rPr>
                <w:rFonts w:ascii="Arial" w:hAnsi="Arial" w:cs="Arial"/>
                <w:color w:val="000000"/>
                <w:sz w:val="18"/>
                <w:szCs w:val="22"/>
              </w:rPr>
            </w:pPr>
            <w:r w:rsidRPr="00571752">
              <w:rPr>
                <w:rFonts w:ascii="Arial" w:hAnsi="Arial" w:cs="Arial"/>
                <w:color w:val="000000"/>
                <w:sz w:val="18"/>
                <w:szCs w:val="22"/>
              </w:rPr>
              <w:t>Little change</w:t>
            </w:r>
          </w:p>
        </w:tc>
      </w:tr>
      <w:tr w:rsidR="00571752" w:rsidRPr="00983B8F" w:rsidTr="00571752">
        <w:trPr>
          <w:cantSplit/>
        </w:trPr>
        <w:tc>
          <w:tcPr>
            <w:tcW w:w="1287" w:type="pct"/>
            <w:shd w:val="clear" w:color="auto" w:fill="auto"/>
          </w:tcPr>
          <w:p w:rsidR="00571752" w:rsidRPr="00F65F07" w:rsidRDefault="00571752" w:rsidP="00B82417">
            <w:pPr>
              <w:pStyle w:val="TableText"/>
              <w:keepNext/>
              <w:spacing w:before="0"/>
            </w:pPr>
            <w:r w:rsidRPr="00F65F07">
              <w:t>National sample</w:t>
            </w:r>
          </w:p>
        </w:tc>
        <w:tc>
          <w:tcPr>
            <w:tcW w:w="929" w:type="pct"/>
            <w:shd w:val="clear" w:color="auto" w:fill="auto"/>
            <w:vAlign w:val="center"/>
          </w:tcPr>
          <w:p w:rsidR="00571752" w:rsidRPr="00571752" w:rsidRDefault="00571752" w:rsidP="00FD1FE4">
            <w:pPr>
              <w:jc w:val="center"/>
              <w:rPr>
                <w:rFonts w:ascii="Arial" w:hAnsi="Arial" w:cs="Arial"/>
                <w:color w:val="000000"/>
                <w:sz w:val="18"/>
                <w:szCs w:val="22"/>
              </w:rPr>
            </w:pPr>
            <w:r w:rsidRPr="00571752">
              <w:rPr>
                <w:rFonts w:ascii="Arial" w:hAnsi="Arial" w:cs="Arial"/>
                <w:color w:val="000000"/>
                <w:sz w:val="18"/>
                <w:szCs w:val="22"/>
              </w:rPr>
              <w:t>19.</w:t>
            </w:r>
            <w:r w:rsidR="00FD1FE4">
              <w:rPr>
                <w:rFonts w:ascii="Arial" w:hAnsi="Arial" w:cs="Arial"/>
                <w:color w:val="000000"/>
                <w:sz w:val="18"/>
                <w:szCs w:val="22"/>
              </w:rPr>
              <w:t>8</w:t>
            </w:r>
            <w:r w:rsidRPr="00571752">
              <w:rPr>
                <w:rFonts w:ascii="Arial" w:hAnsi="Arial" w:cs="Arial"/>
                <w:color w:val="000000"/>
                <w:sz w:val="18"/>
                <w:szCs w:val="22"/>
              </w:rPr>
              <w:t>%</w:t>
            </w:r>
          </w:p>
        </w:tc>
        <w:tc>
          <w:tcPr>
            <w:tcW w:w="928" w:type="pct"/>
            <w:shd w:val="clear" w:color="auto" w:fill="auto"/>
            <w:vAlign w:val="center"/>
          </w:tcPr>
          <w:p w:rsidR="00571752" w:rsidRPr="00571752" w:rsidRDefault="00571752" w:rsidP="00FD1FE4">
            <w:pPr>
              <w:jc w:val="center"/>
              <w:rPr>
                <w:rFonts w:ascii="Arial" w:hAnsi="Arial" w:cs="Arial"/>
                <w:color w:val="000000"/>
                <w:sz w:val="18"/>
                <w:szCs w:val="22"/>
              </w:rPr>
            </w:pPr>
            <w:r w:rsidRPr="00571752">
              <w:rPr>
                <w:rFonts w:ascii="Arial" w:hAnsi="Arial" w:cs="Arial"/>
                <w:color w:val="000000"/>
                <w:sz w:val="18"/>
                <w:szCs w:val="22"/>
              </w:rPr>
              <w:t>2</w:t>
            </w:r>
            <w:r w:rsidR="00FD1FE4">
              <w:rPr>
                <w:rFonts w:ascii="Arial" w:hAnsi="Arial" w:cs="Arial"/>
                <w:color w:val="000000"/>
                <w:sz w:val="18"/>
                <w:szCs w:val="22"/>
              </w:rPr>
              <w:t>1.</w:t>
            </w:r>
            <w:r w:rsidRPr="00571752">
              <w:rPr>
                <w:rFonts w:ascii="Arial" w:hAnsi="Arial" w:cs="Arial"/>
                <w:color w:val="000000"/>
                <w:sz w:val="18"/>
                <w:szCs w:val="22"/>
              </w:rPr>
              <w:t>0%</w:t>
            </w:r>
          </w:p>
        </w:tc>
        <w:tc>
          <w:tcPr>
            <w:tcW w:w="928" w:type="pct"/>
            <w:shd w:val="clear" w:color="auto" w:fill="auto"/>
            <w:vAlign w:val="center"/>
          </w:tcPr>
          <w:p w:rsidR="00571752" w:rsidRPr="00571752" w:rsidRDefault="00571752" w:rsidP="00571752">
            <w:pPr>
              <w:jc w:val="center"/>
              <w:rPr>
                <w:rFonts w:ascii="Arial" w:hAnsi="Arial" w:cs="Arial"/>
                <w:color w:val="000000"/>
                <w:sz w:val="18"/>
                <w:szCs w:val="22"/>
              </w:rPr>
            </w:pPr>
            <w:r w:rsidRPr="00571752">
              <w:rPr>
                <w:rFonts w:ascii="Arial" w:hAnsi="Arial" w:cs="Arial"/>
                <w:color w:val="000000"/>
                <w:sz w:val="18"/>
                <w:szCs w:val="22"/>
              </w:rPr>
              <w:t>1.2%</w:t>
            </w:r>
          </w:p>
        </w:tc>
        <w:tc>
          <w:tcPr>
            <w:tcW w:w="928" w:type="pct"/>
            <w:vAlign w:val="center"/>
          </w:tcPr>
          <w:p w:rsidR="00571752" w:rsidRPr="00571752" w:rsidRDefault="00571752" w:rsidP="00571752">
            <w:pPr>
              <w:jc w:val="center"/>
              <w:rPr>
                <w:rFonts w:ascii="Arial" w:hAnsi="Arial" w:cs="Arial"/>
                <w:color w:val="000000"/>
                <w:sz w:val="18"/>
                <w:szCs w:val="22"/>
              </w:rPr>
            </w:pPr>
            <w:r w:rsidRPr="00571752">
              <w:rPr>
                <w:rFonts w:ascii="Arial" w:hAnsi="Arial" w:cs="Arial"/>
                <w:color w:val="000000"/>
                <w:sz w:val="18"/>
                <w:szCs w:val="22"/>
              </w:rPr>
              <w:t>Little change</w:t>
            </w:r>
          </w:p>
        </w:tc>
      </w:tr>
    </w:tbl>
    <w:p w:rsidR="00457B04" w:rsidRDefault="00457B04" w:rsidP="00B82417">
      <w:pPr>
        <w:keepNext/>
      </w:pPr>
    </w:p>
    <w:p w:rsidR="00457B04" w:rsidRPr="00D426EF" w:rsidRDefault="00457B04" w:rsidP="00B82417">
      <w:bookmarkStart w:id="109" w:name="_Toc350162550"/>
      <w:bookmarkStart w:id="110" w:name="_Toc353959539"/>
      <w:r>
        <w:t>General practices find t</w:t>
      </w:r>
      <w:r w:rsidRPr="00D426EF">
        <w:t xml:space="preserve">he </w:t>
      </w:r>
      <w:r w:rsidR="00634870">
        <w:t>‘</w:t>
      </w:r>
      <w:r w:rsidRPr="00D426EF">
        <w:t>Mental health</w:t>
      </w:r>
      <w:r w:rsidR="00634870">
        <w:t>’</w:t>
      </w:r>
      <w:r w:rsidRPr="00D426EF">
        <w:t xml:space="preserve"> measure useful because it shows them how many of their patients have a mental health diagnosis. </w:t>
      </w:r>
      <w:r>
        <w:t>The p</w:t>
      </w:r>
      <w:r w:rsidRPr="00D426EF">
        <w:t>ractices can then apply actions</w:t>
      </w:r>
      <w:r>
        <w:t>,</w:t>
      </w:r>
      <w:r w:rsidRPr="00D426EF">
        <w:t xml:space="preserve"> such as recalls and alerts, and review, correct or update a patient</w:t>
      </w:r>
      <w:r w:rsidR="00634870">
        <w:t>’</w:t>
      </w:r>
      <w:r w:rsidRPr="00D426EF">
        <w:t>s records. They can also examine if mental health issues are being adequately identified.</w:t>
      </w:r>
    </w:p>
    <w:p w:rsidR="00457B04" w:rsidRPr="00D426EF" w:rsidRDefault="00457B04" w:rsidP="00B82417"/>
    <w:p w:rsidR="00457B04" w:rsidRPr="00D426EF" w:rsidRDefault="00457B04" w:rsidP="00B82417">
      <w:r w:rsidRPr="00D426EF">
        <w:t xml:space="preserve">Key results </w:t>
      </w:r>
      <w:r>
        <w:t>from</w:t>
      </w:r>
      <w:r w:rsidRPr="00D426EF">
        <w:t xml:space="preserve"> </w:t>
      </w:r>
      <w:proofErr w:type="spellStart"/>
      <w:r w:rsidRPr="00D426EF">
        <w:t>Te</w:t>
      </w:r>
      <w:proofErr w:type="spellEnd"/>
      <w:r w:rsidRPr="00D426EF">
        <w:t xml:space="preserve"> Rau </w:t>
      </w:r>
      <w:proofErr w:type="spellStart"/>
      <w:r w:rsidRPr="00D426EF">
        <w:t>Hinengaro</w:t>
      </w:r>
      <w:proofErr w:type="spellEnd"/>
      <w:r w:rsidRPr="00D426EF">
        <w:t>: The New Zealand Mental Health Survey (2006)</w:t>
      </w:r>
      <w:r w:rsidRPr="00B82417">
        <w:rPr>
          <w:rStyle w:val="FootnoteReference"/>
        </w:rPr>
        <w:footnoteReference w:id="4"/>
      </w:r>
      <w:r w:rsidRPr="00D426EF">
        <w:t xml:space="preserve"> state</w:t>
      </w:r>
      <w:r>
        <w:t>d</w:t>
      </w:r>
      <w:r w:rsidRPr="00D426EF">
        <w:t xml:space="preserve"> </w:t>
      </w:r>
      <w:r>
        <w:t xml:space="preserve">that </w:t>
      </w:r>
      <w:r w:rsidRPr="00D426EF">
        <w:t xml:space="preserve">Māori and Pacific people had a higher prevalence of </w:t>
      </w:r>
      <w:r>
        <w:t xml:space="preserve">mental </w:t>
      </w:r>
      <w:r w:rsidRPr="00D426EF">
        <w:t>disorder and serious disorder in the previous 12 months than the non-Māori non-Pacific group. Th</w:t>
      </w:r>
      <w:r>
        <w:t>e</w:t>
      </w:r>
      <w:r w:rsidRPr="00D426EF">
        <w:t xml:space="preserve"> survey also state</w:t>
      </w:r>
      <w:r>
        <w:t>d that</w:t>
      </w:r>
      <w:r w:rsidRPr="00D426EF">
        <w:t xml:space="preserve"> Māori and Pacific people were less likely than the non-Māori non-Pacific group to access treatment when severity was taken into account. For these reasons</w:t>
      </w:r>
      <w:r>
        <w:t>,</w:t>
      </w:r>
      <w:r w:rsidRPr="00D426EF">
        <w:t xml:space="preserve"> and because the Whānau Ora sample has a much higher composition of Māori and Pacific pe</w:t>
      </w:r>
      <w:r w:rsidR="00DC3785">
        <w:t>ople than the national sample (77.8% and 31.</w:t>
      </w:r>
      <w:r w:rsidR="00CF5875">
        <w:t>6</w:t>
      </w:r>
      <w:r w:rsidRPr="00D426EF">
        <w:t>% respectively)</w:t>
      </w:r>
      <w:r>
        <w:t xml:space="preserve">, </w:t>
      </w:r>
      <w:r w:rsidRPr="00D426EF">
        <w:t>a higher prevalence in this accessing treatment indicator is seen as a better result.</w:t>
      </w:r>
    </w:p>
    <w:p w:rsidR="00457B04" w:rsidRPr="00FA45A6" w:rsidRDefault="00457B04" w:rsidP="00B82417">
      <w:pPr>
        <w:rPr>
          <w:highlight w:val="yellow"/>
        </w:rPr>
      </w:pPr>
    </w:p>
    <w:p w:rsidR="00457B04" w:rsidRDefault="00457B04" w:rsidP="00B82417">
      <w:pPr>
        <w:rPr>
          <w:lang w:eastAsia="en-NZ"/>
        </w:rPr>
      </w:pPr>
      <w:r w:rsidRPr="00451A71">
        <w:rPr>
          <w:lang w:eastAsia="en-NZ"/>
        </w:rPr>
        <w:t xml:space="preserve">The Whānau Ora sample </w:t>
      </w:r>
      <w:r w:rsidRPr="007F75E7">
        <w:rPr>
          <w:b/>
          <w:lang w:eastAsia="en-NZ"/>
        </w:rPr>
        <w:t>did not perform as well as</w:t>
      </w:r>
      <w:r w:rsidRPr="00451A71">
        <w:rPr>
          <w:lang w:eastAsia="en-NZ"/>
        </w:rPr>
        <w:t xml:space="preserve"> the national sample in the </w:t>
      </w:r>
      <w:r w:rsidR="00634870">
        <w:rPr>
          <w:lang w:eastAsia="en-NZ"/>
        </w:rPr>
        <w:t>‘</w:t>
      </w:r>
      <w:r>
        <w:rPr>
          <w:lang w:eastAsia="en-NZ"/>
        </w:rPr>
        <w:t>Mental health</w:t>
      </w:r>
      <w:r w:rsidR="00634870">
        <w:rPr>
          <w:lang w:eastAsia="en-NZ"/>
        </w:rPr>
        <w:t>’</w:t>
      </w:r>
      <w:r>
        <w:rPr>
          <w:lang w:eastAsia="en-NZ"/>
        </w:rPr>
        <w:t xml:space="preserve"> </w:t>
      </w:r>
      <w:r w:rsidRPr="00451A71">
        <w:rPr>
          <w:lang w:eastAsia="en-NZ"/>
        </w:rPr>
        <w:t xml:space="preserve">indicator. </w:t>
      </w:r>
      <w:r w:rsidRPr="00B9325A">
        <w:rPr>
          <w:lang w:eastAsia="en-NZ"/>
        </w:rPr>
        <w:t>However</w:t>
      </w:r>
      <w:r>
        <w:rPr>
          <w:lang w:eastAsia="en-NZ"/>
        </w:rPr>
        <w:t>,</w:t>
      </w:r>
      <w:r w:rsidRPr="00B9325A">
        <w:rPr>
          <w:lang w:eastAsia="en-NZ"/>
        </w:rPr>
        <w:t xml:space="preserve"> the</w:t>
      </w:r>
      <w:r>
        <w:rPr>
          <w:lang w:eastAsia="en-NZ"/>
        </w:rPr>
        <w:t xml:space="preserve"> growth in the indicator in both samples is positive as it suggests that practices are better identifying those patients who need mental health services.</w:t>
      </w:r>
    </w:p>
    <w:p w:rsidR="00457B04" w:rsidRPr="008D341D" w:rsidRDefault="00457B04" w:rsidP="00B82417"/>
    <w:p w:rsidR="00457B04" w:rsidRDefault="00457B04" w:rsidP="00B82417">
      <w:pPr>
        <w:pStyle w:val="Figure"/>
      </w:pPr>
      <w:bookmarkStart w:id="111" w:name="_Toc411429631"/>
      <w:bookmarkStart w:id="112" w:name="_Toc417980824"/>
      <w:r w:rsidRPr="00A90A81">
        <w:t>Figure 7</w:t>
      </w:r>
      <w:r w:rsidRPr="00F65F07">
        <w:t>:</w:t>
      </w:r>
      <w:r>
        <w:t xml:space="preserve"> </w:t>
      </w:r>
      <w:r w:rsidRPr="00B0301F">
        <w:t xml:space="preserve">Performance against the </w:t>
      </w:r>
      <w:r w:rsidR="00634870">
        <w:t>‘</w:t>
      </w:r>
      <w:r>
        <w:t>Mental Health</w:t>
      </w:r>
      <w:r w:rsidR="00634870">
        <w:t>’</w:t>
      </w:r>
      <w:r>
        <w:t xml:space="preserve"> </w:t>
      </w:r>
      <w:r w:rsidRPr="00B0301F">
        <w:t>indicator</w:t>
      </w:r>
      <w:bookmarkEnd w:id="111"/>
      <w:bookmarkEnd w:id="112"/>
    </w:p>
    <w:p w:rsidR="00457B04" w:rsidRDefault="003A10A7" w:rsidP="00B82417">
      <w:pPr>
        <w:rPr>
          <w:noProof/>
          <w:lang w:eastAsia="en-NZ"/>
        </w:rPr>
      </w:pPr>
      <w:r>
        <w:rPr>
          <w:noProof/>
          <w:lang w:eastAsia="en-NZ"/>
        </w:rPr>
        <w:drawing>
          <wp:inline distT="0" distB="0" distL="0" distR="0" wp14:anchorId="611F6452" wp14:editId="0C588CD6">
            <wp:extent cx="4796443" cy="2801389"/>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113" w:name="_GoBack"/>
      <w:bookmarkEnd w:id="113"/>
    </w:p>
    <w:p w:rsidR="00457B04" w:rsidRPr="00CD3C15" w:rsidRDefault="00457B04" w:rsidP="006D70DB">
      <w:pPr>
        <w:pStyle w:val="Heading2"/>
        <w:spacing w:before="360"/>
      </w:pPr>
      <w:bookmarkStart w:id="114" w:name="_Toc362600473"/>
      <w:bookmarkStart w:id="115" w:name="_Toc411433980"/>
      <w:bookmarkStart w:id="116" w:name="_Toc421710363"/>
      <w:r w:rsidRPr="00CD3C15">
        <w:lastRenderedPageBreak/>
        <w:t>Indicator 10:</w:t>
      </w:r>
      <w:r>
        <w:t xml:space="preserve"> </w:t>
      </w:r>
      <w:r w:rsidRPr="00CD3C15">
        <w:t xml:space="preserve">Mean fee charged </w:t>
      </w:r>
      <w:bookmarkEnd w:id="109"/>
      <w:r>
        <w:t>for enrolled patients</w:t>
      </w:r>
      <w:r w:rsidR="00806301">
        <w:t xml:space="preserve"> </w:t>
      </w:r>
      <w:r w:rsidRPr="00CD3C15">
        <w:t xml:space="preserve">– less fees paid by enrolled patients in the Whānau Ora </w:t>
      </w:r>
      <w:bookmarkEnd w:id="110"/>
      <w:bookmarkEnd w:id="114"/>
      <w:r>
        <w:t>sample</w:t>
      </w:r>
      <w:bookmarkEnd w:id="115"/>
      <w:bookmarkEnd w:id="116"/>
    </w:p>
    <w:p w:rsidR="00457B04" w:rsidRPr="00F65F07" w:rsidRDefault="00457B04" w:rsidP="00B82417">
      <w:r w:rsidRPr="00F65F07">
        <w:t>Definition:</w:t>
      </w:r>
      <w:r>
        <w:t xml:space="preserve"> </w:t>
      </w:r>
      <w:r w:rsidRPr="00F65F07">
        <w:t xml:space="preserve">Mean actual fee </w:t>
      </w:r>
      <w:r>
        <w:t xml:space="preserve">that </w:t>
      </w:r>
      <w:r w:rsidRPr="00F65F07">
        <w:t>practices charge enrolled patients in particular age groups for general medical services only, up to $100.</w:t>
      </w:r>
    </w:p>
    <w:p w:rsidR="00457B04" w:rsidRPr="00F65F07" w:rsidRDefault="00457B04" w:rsidP="00B82417"/>
    <w:p w:rsidR="00457B04" w:rsidRPr="00F65F07" w:rsidRDefault="00457B04" w:rsidP="00B82417">
      <w:pPr>
        <w:pStyle w:val="Table"/>
      </w:pPr>
      <w:bookmarkStart w:id="117" w:name="_Toc353959554"/>
      <w:bookmarkStart w:id="118" w:name="_Toc379540130"/>
      <w:bookmarkStart w:id="119" w:name="_Toc421535725"/>
      <w:r w:rsidRPr="00F65F07">
        <w:t>Table</w:t>
      </w:r>
      <w:r>
        <w:t xml:space="preserve"> 10</w:t>
      </w:r>
      <w:r w:rsidRPr="00F65F07">
        <w:t>:</w:t>
      </w:r>
      <w:r>
        <w:t xml:space="preserve"> Performance against the </w:t>
      </w:r>
      <w:r w:rsidR="00634870">
        <w:t>‘</w:t>
      </w:r>
      <w:r w:rsidRPr="00F65F07">
        <w:t>Mean fee charged for enrolled patients</w:t>
      </w:r>
      <w:r w:rsidR="00634870">
        <w:t>’</w:t>
      </w:r>
      <w:r>
        <w:t xml:space="preserve"> indicator</w:t>
      </w:r>
      <w:bookmarkEnd w:id="117"/>
      <w:bookmarkEnd w:id="118"/>
      <w:bookmarkEnd w:id="119"/>
    </w:p>
    <w:tbl>
      <w:tblPr>
        <w:tblW w:w="0" w:type="auto"/>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58"/>
        <w:gridCol w:w="2556"/>
        <w:gridCol w:w="2557"/>
      </w:tblGrid>
      <w:tr w:rsidR="00457B04" w:rsidRPr="00E45958" w:rsidTr="00B82417">
        <w:trPr>
          <w:cantSplit/>
        </w:trPr>
        <w:tc>
          <w:tcPr>
            <w:tcW w:w="2258" w:type="dxa"/>
            <w:tcBorders>
              <w:bottom w:val="single" w:sz="4" w:space="0" w:color="auto"/>
              <w:right w:val="single" w:sz="4" w:space="0" w:color="A6A6A6"/>
            </w:tcBorders>
            <w:shd w:val="clear" w:color="auto" w:fill="auto"/>
          </w:tcPr>
          <w:p w:rsidR="00457B04" w:rsidRPr="00E45958" w:rsidRDefault="00457B04" w:rsidP="007A1E11">
            <w:pPr>
              <w:pStyle w:val="TableText"/>
              <w:rPr>
                <w:b/>
              </w:rPr>
            </w:pPr>
            <w:r w:rsidRPr="00E45958">
              <w:rPr>
                <w:b/>
              </w:rPr>
              <w:t>Age group</w:t>
            </w:r>
          </w:p>
        </w:tc>
        <w:tc>
          <w:tcPr>
            <w:tcW w:w="2556" w:type="dxa"/>
            <w:tcBorders>
              <w:left w:val="single" w:sz="4" w:space="0" w:color="A6A6A6"/>
              <w:bottom w:val="single" w:sz="4" w:space="0" w:color="auto"/>
              <w:right w:val="single" w:sz="4" w:space="0" w:color="A6A6A6"/>
            </w:tcBorders>
            <w:shd w:val="clear" w:color="auto" w:fill="auto"/>
          </w:tcPr>
          <w:p w:rsidR="00457B04" w:rsidRPr="00E45958" w:rsidRDefault="00457B04" w:rsidP="007A1E11">
            <w:pPr>
              <w:pStyle w:val="TableText"/>
              <w:jc w:val="center"/>
              <w:rPr>
                <w:b/>
              </w:rPr>
            </w:pPr>
            <w:r w:rsidRPr="00E45958">
              <w:rPr>
                <w:b/>
              </w:rPr>
              <w:t>Whānau Ora sample</w:t>
            </w:r>
          </w:p>
        </w:tc>
        <w:tc>
          <w:tcPr>
            <w:tcW w:w="2557" w:type="dxa"/>
            <w:tcBorders>
              <w:left w:val="single" w:sz="4" w:space="0" w:color="A6A6A6"/>
              <w:bottom w:val="single" w:sz="4" w:space="0" w:color="auto"/>
            </w:tcBorders>
            <w:shd w:val="clear" w:color="auto" w:fill="auto"/>
          </w:tcPr>
          <w:p w:rsidR="00457B04" w:rsidRPr="00E45958" w:rsidRDefault="00457B04" w:rsidP="007A1E11">
            <w:pPr>
              <w:pStyle w:val="TableText"/>
              <w:ind w:right="-208"/>
              <w:jc w:val="center"/>
              <w:rPr>
                <w:b/>
              </w:rPr>
            </w:pPr>
            <w:r w:rsidRPr="00E45958">
              <w:rPr>
                <w:b/>
              </w:rPr>
              <w:t>National sample</w:t>
            </w:r>
          </w:p>
        </w:tc>
      </w:tr>
      <w:tr w:rsidR="005E5235" w:rsidRPr="00F65F07" w:rsidTr="006D70DB">
        <w:trPr>
          <w:cantSplit/>
        </w:trPr>
        <w:tc>
          <w:tcPr>
            <w:tcW w:w="2258" w:type="dxa"/>
            <w:tcBorders>
              <w:bottom w:val="nil"/>
              <w:right w:val="single" w:sz="4" w:space="0" w:color="A6A6A6"/>
            </w:tcBorders>
            <w:shd w:val="clear" w:color="auto" w:fill="F2F2F2"/>
          </w:tcPr>
          <w:p w:rsidR="005E5235" w:rsidRPr="00F65F07" w:rsidRDefault="005E5235" w:rsidP="006D70DB">
            <w:pPr>
              <w:pStyle w:val="TableText"/>
            </w:pPr>
            <w:r w:rsidRPr="00F65F07">
              <w:t>0–5</w:t>
            </w:r>
            <w:r>
              <w:t>*</w:t>
            </w:r>
          </w:p>
        </w:tc>
        <w:tc>
          <w:tcPr>
            <w:tcW w:w="2556" w:type="dxa"/>
            <w:tcBorders>
              <w:top w:val="single" w:sz="4" w:space="0" w:color="auto"/>
              <w:left w:val="single" w:sz="4" w:space="0" w:color="A6A6A6"/>
              <w:bottom w:val="nil"/>
              <w:right w:val="single" w:sz="4" w:space="0" w:color="A6A6A6"/>
            </w:tcBorders>
            <w:shd w:val="clear" w:color="auto" w:fill="F2F2F2"/>
          </w:tcPr>
          <w:p w:rsidR="005E5235" w:rsidRPr="00571752" w:rsidRDefault="005E5235" w:rsidP="00FD1FE4">
            <w:pPr>
              <w:pStyle w:val="TableText"/>
              <w:tabs>
                <w:tab w:val="decimal" w:pos="1232"/>
              </w:tabs>
            </w:pPr>
            <w:r w:rsidRPr="00571752">
              <w:t>$</w:t>
            </w:r>
            <w:r w:rsidR="00FD1FE4">
              <w:t>3.91</w:t>
            </w:r>
          </w:p>
        </w:tc>
        <w:tc>
          <w:tcPr>
            <w:tcW w:w="2557" w:type="dxa"/>
            <w:tcBorders>
              <w:left w:val="single" w:sz="4" w:space="0" w:color="A6A6A6"/>
              <w:bottom w:val="nil"/>
            </w:tcBorders>
            <w:shd w:val="clear" w:color="auto" w:fill="F2F2F2"/>
          </w:tcPr>
          <w:p w:rsidR="005E5235" w:rsidRPr="005E5235" w:rsidRDefault="005E5235" w:rsidP="00FD1FE4">
            <w:pPr>
              <w:pStyle w:val="TableText"/>
              <w:jc w:val="center"/>
            </w:pPr>
            <w:r w:rsidRPr="005E5235">
              <w:t>$</w:t>
            </w:r>
            <w:r w:rsidR="00FD1FE4">
              <w:t>17.</w:t>
            </w:r>
            <w:r w:rsidRPr="005E5235">
              <w:t>2</w:t>
            </w:r>
            <w:r w:rsidR="00FD1FE4">
              <w:t>4</w:t>
            </w:r>
          </w:p>
        </w:tc>
      </w:tr>
      <w:tr w:rsidR="005E5235" w:rsidRPr="00F65F07" w:rsidTr="006D70DB">
        <w:trPr>
          <w:cantSplit/>
        </w:trPr>
        <w:tc>
          <w:tcPr>
            <w:tcW w:w="2258" w:type="dxa"/>
            <w:tcBorders>
              <w:top w:val="nil"/>
              <w:bottom w:val="nil"/>
              <w:right w:val="single" w:sz="4" w:space="0" w:color="A6A6A6"/>
            </w:tcBorders>
            <w:shd w:val="clear" w:color="auto" w:fill="auto"/>
          </w:tcPr>
          <w:p w:rsidR="005E5235" w:rsidRPr="00F65F07" w:rsidRDefault="005E5235" w:rsidP="006D70DB">
            <w:pPr>
              <w:pStyle w:val="TableText"/>
            </w:pPr>
            <w:r w:rsidRPr="00F65F07">
              <w:t>6–17</w:t>
            </w:r>
            <w:r>
              <w:t>*</w:t>
            </w:r>
          </w:p>
        </w:tc>
        <w:tc>
          <w:tcPr>
            <w:tcW w:w="2556" w:type="dxa"/>
            <w:tcBorders>
              <w:top w:val="nil"/>
              <w:left w:val="single" w:sz="4" w:space="0" w:color="A6A6A6"/>
              <w:bottom w:val="nil"/>
              <w:right w:val="single" w:sz="4" w:space="0" w:color="A6A6A6"/>
            </w:tcBorders>
            <w:shd w:val="clear" w:color="auto" w:fill="auto"/>
          </w:tcPr>
          <w:p w:rsidR="005E5235" w:rsidRPr="00571752" w:rsidRDefault="005E5235" w:rsidP="00FD1FE4">
            <w:pPr>
              <w:pStyle w:val="TableText"/>
              <w:tabs>
                <w:tab w:val="decimal" w:pos="1232"/>
              </w:tabs>
            </w:pPr>
            <w:r w:rsidRPr="00571752">
              <w:t>$8.</w:t>
            </w:r>
            <w:r w:rsidR="00FD1FE4">
              <w:t>08</w:t>
            </w:r>
          </w:p>
        </w:tc>
        <w:tc>
          <w:tcPr>
            <w:tcW w:w="2557" w:type="dxa"/>
            <w:tcBorders>
              <w:top w:val="nil"/>
              <w:left w:val="single" w:sz="4" w:space="0" w:color="A6A6A6"/>
              <w:bottom w:val="nil"/>
            </w:tcBorders>
            <w:shd w:val="clear" w:color="auto" w:fill="auto"/>
          </w:tcPr>
          <w:p w:rsidR="005E5235" w:rsidRPr="005E5235" w:rsidRDefault="005E5235" w:rsidP="00FD1FE4">
            <w:pPr>
              <w:pStyle w:val="TableText"/>
              <w:jc w:val="center"/>
            </w:pPr>
            <w:r w:rsidRPr="005E5235">
              <w:t>$17.</w:t>
            </w:r>
            <w:r w:rsidR="00FD1FE4">
              <w:t>09</w:t>
            </w:r>
          </w:p>
        </w:tc>
      </w:tr>
      <w:tr w:rsidR="005E5235" w:rsidRPr="00F65F07" w:rsidTr="006D70DB">
        <w:trPr>
          <w:cantSplit/>
        </w:trPr>
        <w:tc>
          <w:tcPr>
            <w:tcW w:w="2258" w:type="dxa"/>
            <w:tcBorders>
              <w:top w:val="nil"/>
              <w:bottom w:val="nil"/>
              <w:right w:val="single" w:sz="4" w:space="0" w:color="A6A6A6"/>
            </w:tcBorders>
            <w:shd w:val="clear" w:color="auto" w:fill="F2F2F2"/>
          </w:tcPr>
          <w:p w:rsidR="005E5235" w:rsidRPr="00F65F07" w:rsidRDefault="005E5235" w:rsidP="006D70DB">
            <w:pPr>
              <w:pStyle w:val="TableText"/>
            </w:pPr>
            <w:r w:rsidRPr="00F65F07">
              <w:t>18–24</w:t>
            </w:r>
          </w:p>
        </w:tc>
        <w:tc>
          <w:tcPr>
            <w:tcW w:w="2556" w:type="dxa"/>
            <w:tcBorders>
              <w:top w:val="nil"/>
              <w:left w:val="single" w:sz="4" w:space="0" w:color="A6A6A6"/>
              <w:bottom w:val="nil"/>
              <w:right w:val="single" w:sz="4" w:space="0" w:color="A6A6A6"/>
            </w:tcBorders>
            <w:shd w:val="clear" w:color="auto" w:fill="F2F2F2"/>
          </w:tcPr>
          <w:p w:rsidR="005E5235" w:rsidRPr="00571752" w:rsidRDefault="005E5235" w:rsidP="00FD1FE4">
            <w:pPr>
              <w:pStyle w:val="TableText"/>
              <w:tabs>
                <w:tab w:val="decimal" w:pos="1232"/>
              </w:tabs>
            </w:pPr>
            <w:r w:rsidRPr="00571752">
              <w:t>$1</w:t>
            </w:r>
            <w:r w:rsidR="00FD1FE4">
              <w:t>4.53</w:t>
            </w:r>
          </w:p>
        </w:tc>
        <w:tc>
          <w:tcPr>
            <w:tcW w:w="2557" w:type="dxa"/>
            <w:tcBorders>
              <w:top w:val="nil"/>
              <w:left w:val="single" w:sz="4" w:space="0" w:color="A6A6A6"/>
              <w:bottom w:val="nil"/>
            </w:tcBorders>
            <w:shd w:val="clear" w:color="auto" w:fill="F2F2F2"/>
          </w:tcPr>
          <w:p w:rsidR="005E5235" w:rsidRPr="005E5235" w:rsidRDefault="005E5235" w:rsidP="00FD1FE4">
            <w:pPr>
              <w:pStyle w:val="TableText"/>
              <w:jc w:val="center"/>
            </w:pPr>
            <w:r w:rsidRPr="005E5235">
              <w:t>$2</w:t>
            </w:r>
            <w:r w:rsidR="00FD1FE4">
              <w:t>4.92</w:t>
            </w:r>
          </w:p>
        </w:tc>
      </w:tr>
      <w:tr w:rsidR="005E5235" w:rsidRPr="00F65F07" w:rsidTr="006D70DB">
        <w:trPr>
          <w:cantSplit/>
        </w:trPr>
        <w:tc>
          <w:tcPr>
            <w:tcW w:w="2258" w:type="dxa"/>
            <w:tcBorders>
              <w:top w:val="nil"/>
              <w:bottom w:val="nil"/>
              <w:right w:val="single" w:sz="4" w:space="0" w:color="A6A6A6"/>
            </w:tcBorders>
            <w:shd w:val="clear" w:color="auto" w:fill="auto"/>
          </w:tcPr>
          <w:p w:rsidR="005E5235" w:rsidRPr="00F65F07" w:rsidRDefault="005E5235" w:rsidP="006D70DB">
            <w:pPr>
              <w:pStyle w:val="TableText"/>
            </w:pPr>
            <w:r w:rsidRPr="00F65F07">
              <w:t>25–44</w:t>
            </w:r>
          </w:p>
        </w:tc>
        <w:tc>
          <w:tcPr>
            <w:tcW w:w="2556" w:type="dxa"/>
            <w:tcBorders>
              <w:top w:val="nil"/>
              <w:left w:val="single" w:sz="4" w:space="0" w:color="A6A6A6"/>
              <w:bottom w:val="nil"/>
              <w:right w:val="single" w:sz="4" w:space="0" w:color="A6A6A6"/>
            </w:tcBorders>
            <w:shd w:val="clear" w:color="auto" w:fill="auto"/>
          </w:tcPr>
          <w:p w:rsidR="005E5235" w:rsidRPr="00571752" w:rsidRDefault="005E5235" w:rsidP="00FD1FE4">
            <w:pPr>
              <w:pStyle w:val="TableText"/>
              <w:tabs>
                <w:tab w:val="decimal" w:pos="1232"/>
              </w:tabs>
            </w:pPr>
            <w:r w:rsidRPr="00571752">
              <w:t>$1</w:t>
            </w:r>
            <w:r w:rsidR="00FD1FE4">
              <w:t>4.36</w:t>
            </w:r>
          </w:p>
        </w:tc>
        <w:tc>
          <w:tcPr>
            <w:tcW w:w="2557" w:type="dxa"/>
            <w:tcBorders>
              <w:top w:val="nil"/>
              <w:left w:val="single" w:sz="4" w:space="0" w:color="A6A6A6"/>
              <w:bottom w:val="nil"/>
            </w:tcBorders>
            <w:shd w:val="clear" w:color="auto" w:fill="auto"/>
          </w:tcPr>
          <w:p w:rsidR="005E5235" w:rsidRPr="005E5235" w:rsidRDefault="005E5235" w:rsidP="00FD1FE4">
            <w:pPr>
              <w:pStyle w:val="TableText"/>
              <w:jc w:val="center"/>
            </w:pPr>
            <w:r w:rsidRPr="005E5235">
              <w:t>$25.</w:t>
            </w:r>
            <w:r w:rsidR="00FD1FE4">
              <w:t>94</w:t>
            </w:r>
          </w:p>
        </w:tc>
      </w:tr>
      <w:tr w:rsidR="005E5235" w:rsidRPr="00F65F07" w:rsidTr="006D70DB">
        <w:trPr>
          <w:cantSplit/>
        </w:trPr>
        <w:tc>
          <w:tcPr>
            <w:tcW w:w="2258" w:type="dxa"/>
            <w:tcBorders>
              <w:top w:val="nil"/>
              <w:bottom w:val="nil"/>
              <w:right w:val="single" w:sz="4" w:space="0" w:color="A6A6A6"/>
            </w:tcBorders>
            <w:shd w:val="clear" w:color="auto" w:fill="F2F2F2"/>
          </w:tcPr>
          <w:p w:rsidR="005E5235" w:rsidRPr="00F65F07" w:rsidRDefault="005E5235" w:rsidP="006D70DB">
            <w:pPr>
              <w:pStyle w:val="TableText"/>
            </w:pPr>
            <w:r w:rsidRPr="00F65F07">
              <w:t>45–64</w:t>
            </w:r>
          </w:p>
        </w:tc>
        <w:tc>
          <w:tcPr>
            <w:tcW w:w="2556" w:type="dxa"/>
            <w:tcBorders>
              <w:top w:val="nil"/>
              <w:left w:val="single" w:sz="4" w:space="0" w:color="A6A6A6"/>
              <w:bottom w:val="nil"/>
              <w:right w:val="single" w:sz="4" w:space="0" w:color="A6A6A6"/>
            </w:tcBorders>
            <w:shd w:val="clear" w:color="auto" w:fill="F2F2F2"/>
          </w:tcPr>
          <w:p w:rsidR="005E5235" w:rsidRPr="00571752" w:rsidRDefault="005E5235" w:rsidP="00FD1FE4">
            <w:pPr>
              <w:pStyle w:val="TableText"/>
              <w:tabs>
                <w:tab w:val="decimal" w:pos="1232"/>
              </w:tabs>
            </w:pPr>
            <w:r w:rsidRPr="00571752">
              <w:t>$1</w:t>
            </w:r>
            <w:r w:rsidR="00FD1FE4">
              <w:t>3.51</w:t>
            </w:r>
          </w:p>
        </w:tc>
        <w:tc>
          <w:tcPr>
            <w:tcW w:w="2557" w:type="dxa"/>
            <w:tcBorders>
              <w:top w:val="nil"/>
              <w:left w:val="single" w:sz="4" w:space="0" w:color="A6A6A6"/>
              <w:bottom w:val="nil"/>
            </w:tcBorders>
            <w:shd w:val="clear" w:color="auto" w:fill="F2F2F2"/>
          </w:tcPr>
          <w:p w:rsidR="005E5235" w:rsidRPr="005E5235" w:rsidRDefault="005E5235" w:rsidP="00FD1FE4">
            <w:pPr>
              <w:pStyle w:val="TableText"/>
              <w:jc w:val="center"/>
            </w:pPr>
            <w:r w:rsidRPr="005E5235">
              <w:t>$2</w:t>
            </w:r>
            <w:r w:rsidR="00FD1FE4">
              <w:t>5.26</w:t>
            </w:r>
          </w:p>
        </w:tc>
      </w:tr>
      <w:tr w:rsidR="005E5235" w:rsidRPr="00F65F07" w:rsidTr="006D70DB">
        <w:trPr>
          <w:cantSplit/>
        </w:trPr>
        <w:tc>
          <w:tcPr>
            <w:tcW w:w="2258" w:type="dxa"/>
            <w:tcBorders>
              <w:top w:val="nil"/>
              <w:right w:val="single" w:sz="4" w:space="0" w:color="A6A6A6"/>
            </w:tcBorders>
            <w:shd w:val="clear" w:color="auto" w:fill="auto"/>
          </w:tcPr>
          <w:p w:rsidR="005E5235" w:rsidRPr="00F65F07" w:rsidRDefault="005E5235" w:rsidP="006D70DB">
            <w:pPr>
              <w:pStyle w:val="TableText"/>
            </w:pPr>
            <w:r w:rsidRPr="00F65F07">
              <w:t>65+</w:t>
            </w:r>
          </w:p>
        </w:tc>
        <w:tc>
          <w:tcPr>
            <w:tcW w:w="2556" w:type="dxa"/>
            <w:tcBorders>
              <w:top w:val="nil"/>
              <w:left w:val="single" w:sz="4" w:space="0" w:color="A6A6A6"/>
              <w:right w:val="single" w:sz="4" w:space="0" w:color="A6A6A6"/>
            </w:tcBorders>
            <w:shd w:val="clear" w:color="auto" w:fill="auto"/>
          </w:tcPr>
          <w:p w:rsidR="005E5235" w:rsidRPr="00571752" w:rsidRDefault="005E5235" w:rsidP="00FD1FE4">
            <w:pPr>
              <w:pStyle w:val="TableText"/>
              <w:tabs>
                <w:tab w:val="decimal" w:pos="1232"/>
              </w:tabs>
            </w:pPr>
            <w:r w:rsidRPr="00571752">
              <w:t>$1</w:t>
            </w:r>
            <w:r w:rsidR="00FD1FE4">
              <w:t>1</w:t>
            </w:r>
            <w:r w:rsidRPr="00571752">
              <w:t>.</w:t>
            </w:r>
            <w:r w:rsidR="00FD1FE4">
              <w:t>4</w:t>
            </w:r>
            <w:r w:rsidRPr="00571752">
              <w:t>4</w:t>
            </w:r>
          </w:p>
        </w:tc>
        <w:tc>
          <w:tcPr>
            <w:tcW w:w="2557" w:type="dxa"/>
            <w:tcBorders>
              <w:top w:val="nil"/>
              <w:left w:val="single" w:sz="4" w:space="0" w:color="A6A6A6"/>
            </w:tcBorders>
            <w:shd w:val="clear" w:color="auto" w:fill="auto"/>
          </w:tcPr>
          <w:p w:rsidR="005E5235" w:rsidRPr="005E5235" w:rsidRDefault="005E5235" w:rsidP="00FD1FE4">
            <w:pPr>
              <w:pStyle w:val="TableText"/>
              <w:jc w:val="center"/>
            </w:pPr>
            <w:r w:rsidRPr="005E5235">
              <w:t>$25.</w:t>
            </w:r>
            <w:r w:rsidR="00FD1FE4">
              <w:t>52</w:t>
            </w:r>
          </w:p>
        </w:tc>
      </w:tr>
    </w:tbl>
    <w:p w:rsidR="00457B04" w:rsidRDefault="00457B04" w:rsidP="00B82417">
      <w:pPr>
        <w:pStyle w:val="Note"/>
        <w:ind w:right="1985"/>
      </w:pPr>
      <w:r w:rsidRPr="004C5A92">
        <w:t>*</w:t>
      </w:r>
      <w:r w:rsidR="00B82417">
        <w:tab/>
      </w:r>
      <w:r w:rsidRPr="004C5A92">
        <w:t xml:space="preserve">Note many practices in the Whānau Ora sample </w:t>
      </w:r>
      <w:r>
        <w:t xml:space="preserve">charge no </w:t>
      </w:r>
      <w:r w:rsidRPr="004C5A92">
        <w:t xml:space="preserve">fees for the 0–5 </w:t>
      </w:r>
      <w:r>
        <w:t xml:space="preserve">years </w:t>
      </w:r>
      <w:r w:rsidRPr="004C5A92">
        <w:t>and</w:t>
      </w:r>
      <w:r w:rsidR="00B82417">
        <w:br/>
      </w:r>
      <w:r w:rsidRPr="004C5A92">
        <w:t xml:space="preserve">6–17 </w:t>
      </w:r>
      <w:r>
        <w:t xml:space="preserve">years </w:t>
      </w:r>
      <w:r w:rsidRPr="004C5A92">
        <w:t xml:space="preserve">age groups. Due to different </w:t>
      </w:r>
      <w:r>
        <w:t xml:space="preserve">methods of </w:t>
      </w:r>
      <w:r w:rsidRPr="004C5A92">
        <w:t xml:space="preserve">recording </w:t>
      </w:r>
      <w:r w:rsidR="00634870">
        <w:t>‘</w:t>
      </w:r>
      <w:r>
        <w:t xml:space="preserve">no </w:t>
      </w:r>
      <w:r w:rsidRPr="004C5A92">
        <w:t>fees</w:t>
      </w:r>
      <w:r w:rsidR="00634870">
        <w:t>’</w:t>
      </w:r>
      <w:r w:rsidRPr="004C5A92">
        <w:t xml:space="preserve">, results for these age groups </w:t>
      </w:r>
      <w:r>
        <w:t xml:space="preserve">are </w:t>
      </w:r>
      <w:r w:rsidRPr="004C5A92">
        <w:t>subject to fluctuations</w:t>
      </w:r>
      <w:r>
        <w:t>. F</w:t>
      </w:r>
      <w:r w:rsidRPr="004C5A92">
        <w:t>or this reason</w:t>
      </w:r>
      <w:r>
        <w:t>,</w:t>
      </w:r>
      <w:r w:rsidRPr="004C5A92">
        <w:t xml:space="preserve"> time</w:t>
      </w:r>
      <w:r>
        <w:t>-</w:t>
      </w:r>
      <w:r w:rsidRPr="004C5A92">
        <w:t xml:space="preserve">series data are not presented and different quarters should not be compared. Also, while fees are lower and often free for children under </w:t>
      </w:r>
      <w:r>
        <w:t>6</w:t>
      </w:r>
      <w:r w:rsidRPr="004C5A92">
        <w:t xml:space="preserve"> years</w:t>
      </w:r>
      <w:r>
        <w:t xml:space="preserve"> old</w:t>
      </w:r>
      <w:r w:rsidRPr="004C5A92">
        <w:t xml:space="preserve">, </w:t>
      </w:r>
      <w:r>
        <w:t>such patients</w:t>
      </w:r>
      <w:r w:rsidRPr="004C5A92">
        <w:t xml:space="preserve"> can incur </w:t>
      </w:r>
      <w:r>
        <w:t xml:space="preserve">other </w:t>
      </w:r>
      <w:r w:rsidRPr="004C5A92">
        <w:t>fees</w:t>
      </w:r>
      <w:r>
        <w:t>,</w:t>
      </w:r>
      <w:r w:rsidRPr="004C5A92">
        <w:t xml:space="preserve"> like practice fees or the cost of some vaccinations </w:t>
      </w:r>
      <w:r>
        <w:t>that</w:t>
      </w:r>
      <w:r w:rsidRPr="004C5A92">
        <w:t xml:space="preserve"> are not fully funded.</w:t>
      </w:r>
    </w:p>
    <w:p w:rsidR="00457B04" w:rsidRPr="004C5A92" w:rsidRDefault="00457B04" w:rsidP="00B82417"/>
    <w:p w:rsidR="00457B04" w:rsidRDefault="00457B04" w:rsidP="00B82417">
      <w:r w:rsidRPr="00D426EF">
        <w:t xml:space="preserve">This indicator measures the mean actual fee </w:t>
      </w:r>
      <w:r>
        <w:t xml:space="preserve">that </w:t>
      </w:r>
      <w:r w:rsidRPr="00D426EF">
        <w:t xml:space="preserve">practices charge </w:t>
      </w:r>
      <w:r>
        <w:t xml:space="preserve">their </w:t>
      </w:r>
      <w:r w:rsidRPr="00D426EF">
        <w:t>enrolled patients in particular age groups for consultations, up to $100. The $100 limit is intended to confine this indicator to standard consultations, excluding more expensive services, such as minor surgery procedures.</w:t>
      </w:r>
    </w:p>
    <w:p w:rsidR="00457B04" w:rsidRPr="00D426EF" w:rsidRDefault="00457B04" w:rsidP="00B82417"/>
    <w:p w:rsidR="00457B04" w:rsidRDefault="00457B04" w:rsidP="00B82417">
      <w:r w:rsidRPr="00D426EF">
        <w:t xml:space="preserve">The mean fees charged for enrolled patients in the Whānau Ora sample continue to be about half those charged by the national sample across most age groups. This is partly the result of the higher funding received by the Whānau Ora sample; many practices in this sample are receiving funding through the Very Low Cost Access </w:t>
      </w:r>
      <w:r>
        <w:t xml:space="preserve">(VLCA) </w:t>
      </w:r>
      <w:r w:rsidRPr="00D426EF">
        <w:t>scheme. Th</w:t>
      </w:r>
      <w:r>
        <w:t>e VLCA</w:t>
      </w:r>
      <w:r w:rsidRPr="00D426EF">
        <w:t xml:space="preserve"> scheme is available to primary health organisations and their practices if they agree to offer, and maintain, very low fees to their enrolled population for standard consultations.</w:t>
      </w:r>
    </w:p>
    <w:p w:rsidR="00457B04" w:rsidRDefault="00457B04" w:rsidP="00B82417"/>
    <w:p w:rsidR="00457B04" w:rsidRPr="00F65F07" w:rsidRDefault="00457B04" w:rsidP="00B82417">
      <w:r w:rsidRPr="00480D7B">
        <w:t>The Whānau Ora sample perform</w:t>
      </w:r>
      <w:r>
        <w:t>ed</w:t>
      </w:r>
      <w:r w:rsidRPr="00480D7B">
        <w:t xml:space="preserve"> </w:t>
      </w:r>
      <w:r w:rsidRPr="007F75E7">
        <w:rPr>
          <w:b/>
        </w:rPr>
        <w:t>better than</w:t>
      </w:r>
      <w:r w:rsidRPr="00480D7B">
        <w:t xml:space="preserve"> the national sample in the </w:t>
      </w:r>
      <w:r w:rsidR="00634870">
        <w:t>‘</w:t>
      </w:r>
      <w:r>
        <w:t>Mean</w:t>
      </w:r>
      <w:r w:rsidRPr="005768E6">
        <w:t xml:space="preserve"> fe</w:t>
      </w:r>
      <w:r>
        <w:t>e charged</w:t>
      </w:r>
      <w:r w:rsidR="00634870">
        <w:t>’</w:t>
      </w:r>
      <w:r>
        <w:t xml:space="preserve"> for enrolled patients</w:t>
      </w:r>
      <w:r w:rsidR="00634870">
        <w:t>’</w:t>
      </w:r>
      <w:r w:rsidRPr="00480D7B">
        <w:t xml:space="preserve"> indicator.</w:t>
      </w:r>
    </w:p>
    <w:p w:rsidR="00457B04" w:rsidRDefault="00457B04" w:rsidP="00B82417"/>
    <w:p w:rsidR="00457B04" w:rsidRDefault="00457B04" w:rsidP="00B82417">
      <w:pPr>
        <w:pStyle w:val="Heading2"/>
      </w:pPr>
      <w:bookmarkStart w:id="120" w:name="_Toc350162551"/>
      <w:bookmarkStart w:id="121" w:name="_Toc353959540"/>
      <w:bookmarkStart w:id="122" w:name="_Toc362600474"/>
      <w:bookmarkStart w:id="123" w:name="_Toc411433981"/>
      <w:bookmarkStart w:id="124" w:name="_Toc421710364"/>
      <w:r w:rsidRPr="00CD3C15">
        <w:lastRenderedPageBreak/>
        <w:t>Indicator 11:</w:t>
      </w:r>
      <w:r>
        <w:t xml:space="preserve"> </w:t>
      </w:r>
      <w:r w:rsidRPr="00CD3C15">
        <w:t xml:space="preserve">Median BMI of enrolled patients </w:t>
      </w:r>
      <w:bookmarkEnd w:id="120"/>
      <w:r w:rsidRPr="00CD3C15">
        <w:t xml:space="preserve">– little change </w:t>
      </w:r>
      <w:r>
        <w:t>over the</w:t>
      </w:r>
      <w:r w:rsidRPr="00CD3C15">
        <w:t xml:space="preserve"> year</w:t>
      </w:r>
      <w:r>
        <w:t xml:space="preserve"> </w:t>
      </w:r>
      <w:r w:rsidR="0019454B">
        <w:t>March 2014 to March 2015</w:t>
      </w:r>
      <w:bookmarkEnd w:id="121"/>
      <w:bookmarkEnd w:id="122"/>
      <w:bookmarkEnd w:id="123"/>
      <w:bookmarkEnd w:id="124"/>
    </w:p>
    <w:p w:rsidR="00457B04" w:rsidRPr="00F65F07" w:rsidRDefault="00457B04" w:rsidP="00B82417">
      <w:pPr>
        <w:keepNext/>
      </w:pPr>
      <w:r w:rsidRPr="00F65F07">
        <w:t>Definition:</w:t>
      </w:r>
      <w:r>
        <w:t xml:space="preserve"> </w:t>
      </w:r>
      <w:r w:rsidRPr="00F65F07">
        <w:t>Median of the latest BMI recorded or calculated (kg/m²) for enrolled patients aged 10</w:t>
      </w:r>
      <w:r w:rsidR="00B82417">
        <w:t> </w:t>
      </w:r>
      <w:r>
        <w:t xml:space="preserve">years </w:t>
      </w:r>
      <w:r w:rsidRPr="00F65F07">
        <w:t xml:space="preserve">or over. In the ethnicity categories, </w:t>
      </w:r>
      <w:r w:rsidR="00634870">
        <w:t>‘</w:t>
      </w:r>
      <w:r w:rsidRPr="00F65F07">
        <w:t>Other</w:t>
      </w:r>
      <w:r w:rsidR="00634870">
        <w:t>’</w:t>
      </w:r>
      <w:r w:rsidRPr="00F65F07">
        <w:t xml:space="preserve"> includes patients with no ethnicity recorded</w:t>
      </w:r>
      <w:r w:rsidR="00B82417">
        <w:t>.</w:t>
      </w:r>
      <w:r w:rsidRPr="00B82417">
        <w:rPr>
          <w:rStyle w:val="FootnoteReference"/>
        </w:rPr>
        <w:footnoteReference w:id="5"/>
      </w:r>
    </w:p>
    <w:p w:rsidR="00457B04" w:rsidRPr="00F65F07" w:rsidRDefault="00457B04" w:rsidP="00B82417">
      <w:pPr>
        <w:keepNext/>
      </w:pPr>
    </w:p>
    <w:p w:rsidR="00457B04" w:rsidRDefault="00457B04" w:rsidP="00B82417">
      <w:pPr>
        <w:pStyle w:val="Table"/>
      </w:pPr>
      <w:bookmarkStart w:id="125" w:name="_Toc353959555"/>
      <w:bookmarkStart w:id="126" w:name="_Toc379540131"/>
      <w:bookmarkStart w:id="127" w:name="_Toc421535726"/>
      <w:r w:rsidRPr="00F65F07">
        <w:t xml:space="preserve">Table </w:t>
      </w:r>
      <w:r>
        <w:t xml:space="preserve">11: Performance against the </w:t>
      </w:r>
      <w:r w:rsidR="00634870">
        <w:t>‘</w:t>
      </w:r>
      <w:r w:rsidRPr="00F65F07">
        <w:t>Median BMI of enrolled patients</w:t>
      </w:r>
      <w:r w:rsidR="00634870">
        <w:t>’</w:t>
      </w:r>
      <w:r>
        <w:t xml:space="preserve"> indicator</w:t>
      </w:r>
      <w:bookmarkEnd w:id="125"/>
      <w:bookmarkEnd w:id="126"/>
      <w:bookmarkEnd w:id="127"/>
    </w:p>
    <w:tbl>
      <w:tblPr>
        <w:tblW w:w="4940" w:type="pct"/>
        <w:tblInd w:w="57"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14"/>
        <w:gridCol w:w="1736"/>
        <w:gridCol w:w="1736"/>
        <w:gridCol w:w="1736"/>
        <w:gridCol w:w="1733"/>
      </w:tblGrid>
      <w:tr w:rsidR="00457B04" w:rsidRPr="008E6AB7" w:rsidTr="007A1E11">
        <w:trPr>
          <w:cantSplit/>
        </w:trPr>
        <w:tc>
          <w:tcPr>
            <w:tcW w:w="1290" w:type="pct"/>
            <w:tcBorders>
              <w:right w:val="single" w:sz="4" w:space="0" w:color="A6A6A6"/>
            </w:tcBorders>
            <w:shd w:val="clear" w:color="auto" w:fill="auto"/>
          </w:tcPr>
          <w:p w:rsidR="00457B04" w:rsidRPr="00F65F07" w:rsidRDefault="00457B04" w:rsidP="007A1E11">
            <w:pPr>
              <w:pStyle w:val="TableText"/>
            </w:pPr>
          </w:p>
        </w:tc>
        <w:tc>
          <w:tcPr>
            <w:tcW w:w="928" w:type="pct"/>
            <w:tcBorders>
              <w:left w:val="single" w:sz="4" w:space="0" w:color="A6A6A6"/>
              <w:right w:val="single" w:sz="4" w:space="0" w:color="A6A6A6"/>
            </w:tcBorders>
            <w:shd w:val="clear" w:color="auto" w:fill="auto"/>
          </w:tcPr>
          <w:p w:rsidR="00457B04" w:rsidRPr="008E6AB7" w:rsidRDefault="0019454B" w:rsidP="007A1E11">
            <w:pPr>
              <w:pStyle w:val="TableText"/>
              <w:jc w:val="center"/>
              <w:rPr>
                <w:b/>
              </w:rPr>
            </w:pPr>
            <w:r>
              <w:rPr>
                <w:b/>
              </w:rPr>
              <w:t>March 2014</w:t>
            </w:r>
          </w:p>
        </w:tc>
        <w:tc>
          <w:tcPr>
            <w:tcW w:w="928" w:type="pct"/>
            <w:tcBorders>
              <w:left w:val="single" w:sz="4" w:space="0" w:color="A6A6A6"/>
              <w:right w:val="single" w:sz="4" w:space="0" w:color="A6A6A6"/>
            </w:tcBorders>
            <w:shd w:val="clear" w:color="auto" w:fill="auto"/>
          </w:tcPr>
          <w:p w:rsidR="00457B04" w:rsidRPr="008E6AB7" w:rsidRDefault="0019454B" w:rsidP="007A1E11">
            <w:pPr>
              <w:pStyle w:val="TableText"/>
              <w:jc w:val="center"/>
              <w:rPr>
                <w:b/>
              </w:rPr>
            </w:pPr>
            <w:r>
              <w:rPr>
                <w:b/>
              </w:rPr>
              <w:t>March 2015</w:t>
            </w:r>
          </w:p>
        </w:tc>
        <w:tc>
          <w:tcPr>
            <w:tcW w:w="928" w:type="pct"/>
            <w:tcBorders>
              <w:left w:val="single" w:sz="4" w:space="0" w:color="A6A6A6"/>
              <w:right w:val="single" w:sz="4" w:space="0" w:color="A6A6A6"/>
            </w:tcBorders>
            <w:shd w:val="clear" w:color="auto" w:fill="auto"/>
          </w:tcPr>
          <w:p w:rsidR="00457B04" w:rsidRPr="008E6AB7" w:rsidRDefault="00457B04" w:rsidP="007A1E11">
            <w:pPr>
              <w:pStyle w:val="TableText"/>
              <w:jc w:val="center"/>
              <w:rPr>
                <w:b/>
              </w:rPr>
            </w:pPr>
            <w:r>
              <w:rPr>
                <w:b/>
              </w:rPr>
              <w:t>Difference</w:t>
            </w:r>
          </w:p>
        </w:tc>
        <w:tc>
          <w:tcPr>
            <w:tcW w:w="926" w:type="pct"/>
            <w:tcBorders>
              <w:left w:val="single" w:sz="4" w:space="0" w:color="A6A6A6"/>
            </w:tcBorders>
            <w:shd w:val="clear" w:color="auto" w:fill="auto"/>
          </w:tcPr>
          <w:p w:rsidR="00457B04" w:rsidRPr="008E6AB7" w:rsidRDefault="00457B04" w:rsidP="007A1E11">
            <w:pPr>
              <w:pStyle w:val="TableText"/>
              <w:jc w:val="center"/>
              <w:rPr>
                <w:b/>
              </w:rPr>
            </w:pPr>
            <w:r w:rsidRPr="008E6AB7">
              <w:rPr>
                <w:b/>
              </w:rPr>
              <w:t>Trend last year</w:t>
            </w:r>
          </w:p>
        </w:tc>
      </w:tr>
      <w:tr w:rsidR="00457B04" w:rsidRPr="00F65F07" w:rsidTr="007A1E11">
        <w:trPr>
          <w:cantSplit/>
        </w:trPr>
        <w:tc>
          <w:tcPr>
            <w:tcW w:w="1290" w:type="pct"/>
            <w:tcBorders>
              <w:bottom w:val="nil"/>
              <w:right w:val="single" w:sz="4" w:space="0" w:color="A6A6A6"/>
            </w:tcBorders>
            <w:shd w:val="clear" w:color="auto" w:fill="auto"/>
          </w:tcPr>
          <w:p w:rsidR="00457B04" w:rsidRPr="0055542C" w:rsidRDefault="00457B04" w:rsidP="007A1E11">
            <w:pPr>
              <w:pStyle w:val="TableText"/>
            </w:pPr>
            <w:r>
              <w:t>Māori</w:t>
            </w:r>
          </w:p>
        </w:tc>
        <w:tc>
          <w:tcPr>
            <w:tcW w:w="928" w:type="pct"/>
            <w:tcBorders>
              <w:left w:val="single" w:sz="4" w:space="0" w:color="A6A6A6"/>
              <w:bottom w:val="nil"/>
              <w:right w:val="single" w:sz="4" w:space="0" w:color="A6A6A6"/>
            </w:tcBorders>
            <w:shd w:val="clear" w:color="auto" w:fill="auto"/>
          </w:tcPr>
          <w:p w:rsidR="00457B04" w:rsidRPr="00F65F07" w:rsidRDefault="00457B04" w:rsidP="00BB0CEB">
            <w:pPr>
              <w:pStyle w:val="TableText"/>
              <w:jc w:val="center"/>
            </w:pPr>
          </w:p>
        </w:tc>
        <w:tc>
          <w:tcPr>
            <w:tcW w:w="928" w:type="pct"/>
            <w:tcBorders>
              <w:left w:val="single" w:sz="4" w:space="0" w:color="A6A6A6"/>
              <w:bottom w:val="nil"/>
              <w:right w:val="single" w:sz="4" w:space="0" w:color="A6A6A6"/>
            </w:tcBorders>
            <w:shd w:val="clear" w:color="auto" w:fill="auto"/>
          </w:tcPr>
          <w:p w:rsidR="00457B04" w:rsidRPr="00F65F07" w:rsidRDefault="00457B04" w:rsidP="00BB0CEB">
            <w:pPr>
              <w:pStyle w:val="TableText"/>
              <w:jc w:val="center"/>
            </w:pPr>
          </w:p>
        </w:tc>
        <w:tc>
          <w:tcPr>
            <w:tcW w:w="928" w:type="pct"/>
            <w:tcBorders>
              <w:left w:val="single" w:sz="4" w:space="0" w:color="A6A6A6"/>
              <w:bottom w:val="nil"/>
              <w:right w:val="single" w:sz="4" w:space="0" w:color="A6A6A6"/>
            </w:tcBorders>
            <w:shd w:val="clear" w:color="auto" w:fill="auto"/>
          </w:tcPr>
          <w:p w:rsidR="00457B04" w:rsidRPr="00F65F07" w:rsidRDefault="00457B04" w:rsidP="00BB0CEB">
            <w:pPr>
              <w:pStyle w:val="TableText"/>
              <w:jc w:val="center"/>
            </w:pPr>
          </w:p>
        </w:tc>
        <w:tc>
          <w:tcPr>
            <w:tcW w:w="926" w:type="pct"/>
            <w:tcBorders>
              <w:left w:val="single" w:sz="4" w:space="0" w:color="A6A6A6"/>
              <w:bottom w:val="nil"/>
            </w:tcBorders>
            <w:shd w:val="clear" w:color="auto" w:fill="auto"/>
          </w:tcPr>
          <w:p w:rsidR="00457B04" w:rsidRPr="00F65F07" w:rsidRDefault="00457B04" w:rsidP="00BB0CEB">
            <w:pPr>
              <w:pStyle w:val="TableText"/>
              <w:jc w:val="center"/>
            </w:pPr>
          </w:p>
        </w:tc>
      </w:tr>
      <w:tr w:rsidR="00F8329A" w:rsidTr="00F8329A">
        <w:trPr>
          <w:cantSplit/>
        </w:trPr>
        <w:tc>
          <w:tcPr>
            <w:tcW w:w="1290" w:type="pct"/>
            <w:tcBorders>
              <w:top w:val="nil"/>
              <w:bottom w:val="nil"/>
              <w:right w:val="single" w:sz="4" w:space="0" w:color="A6A6A6"/>
            </w:tcBorders>
            <w:shd w:val="clear" w:color="auto" w:fill="auto"/>
          </w:tcPr>
          <w:p w:rsidR="00F8329A" w:rsidRPr="0055542C" w:rsidRDefault="00F8329A" w:rsidP="007A1E11">
            <w:pPr>
              <w:pStyle w:val="TableBullet"/>
            </w:pPr>
            <w:r w:rsidRPr="0055542C">
              <w:t>Whānau Ora sample</w:t>
            </w:r>
          </w:p>
        </w:tc>
        <w:tc>
          <w:tcPr>
            <w:tcW w:w="928" w:type="pct"/>
            <w:tcBorders>
              <w:top w:val="nil"/>
              <w:left w:val="single" w:sz="4" w:space="0" w:color="A6A6A6"/>
              <w:bottom w:val="nil"/>
              <w:right w:val="single" w:sz="4" w:space="0" w:color="A6A6A6"/>
            </w:tcBorders>
            <w:shd w:val="clear" w:color="auto" w:fill="auto"/>
            <w:vAlign w:val="center"/>
          </w:tcPr>
          <w:p w:rsidR="00F8329A" w:rsidRPr="00F8329A" w:rsidRDefault="00F8329A" w:rsidP="00E71851">
            <w:pPr>
              <w:pStyle w:val="TableText"/>
              <w:spacing w:before="0"/>
              <w:jc w:val="center"/>
              <w:rPr>
                <w:rFonts w:cs="Arial"/>
                <w:color w:val="000000"/>
                <w:szCs w:val="22"/>
              </w:rPr>
            </w:pPr>
            <w:r w:rsidRPr="00F8329A">
              <w:rPr>
                <w:rFonts w:cs="Arial"/>
                <w:color w:val="000000"/>
                <w:szCs w:val="22"/>
              </w:rPr>
              <w:t>2</w:t>
            </w:r>
            <w:r w:rsidR="00E71851">
              <w:rPr>
                <w:rFonts w:cs="Arial"/>
                <w:color w:val="000000"/>
                <w:szCs w:val="22"/>
              </w:rPr>
              <w:t>9.0</w:t>
            </w:r>
          </w:p>
        </w:tc>
        <w:tc>
          <w:tcPr>
            <w:tcW w:w="928" w:type="pct"/>
            <w:tcBorders>
              <w:top w:val="nil"/>
              <w:left w:val="single" w:sz="4" w:space="0" w:color="A6A6A6"/>
              <w:bottom w:val="nil"/>
              <w:right w:val="single" w:sz="4" w:space="0" w:color="A6A6A6"/>
            </w:tcBorders>
            <w:shd w:val="clear" w:color="auto" w:fill="auto"/>
            <w:vAlign w:val="center"/>
          </w:tcPr>
          <w:p w:rsidR="00F8329A" w:rsidRPr="00F8329A" w:rsidRDefault="00F8329A" w:rsidP="00E71851">
            <w:pPr>
              <w:pStyle w:val="TableText"/>
              <w:spacing w:before="0"/>
              <w:jc w:val="center"/>
              <w:rPr>
                <w:rFonts w:cs="Arial"/>
                <w:color w:val="000000"/>
                <w:szCs w:val="22"/>
              </w:rPr>
            </w:pPr>
            <w:r w:rsidRPr="00F8329A">
              <w:rPr>
                <w:rFonts w:cs="Arial"/>
                <w:color w:val="000000"/>
                <w:szCs w:val="22"/>
              </w:rPr>
              <w:t>28.</w:t>
            </w:r>
            <w:r w:rsidR="00E71851">
              <w:rPr>
                <w:rFonts w:cs="Arial"/>
                <w:color w:val="000000"/>
                <w:szCs w:val="22"/>
              </w:rPr>
              <w:t>7</w:t>
            </w:r>
          </w:p>
        </w:tc>
        <w:tc>
          <w:tcPr>
            <w:tcW w:w="928" w:type="pct"/>
            <w:tcBorders>
              <w:top w:val="nil"/>
              <w:left w:val="single" w:sz="4" w:space="0" w:color="A6A6A6"/>
              <w:bottom w:val="nil"/>
              <w:right w:val="single" w:sz="4" w:space="0" w:color="A6A6A6"/>
            </w:tcBorders>
            <w:shd w:val="clear" w:color="auto" w:fill="auto"/>
            <w:vAlign w:val="center"/>
          </w:tcPr>
          <w:p w:rsidR="00F8329A" w:rsidRPr="00F8329A" w:rsidRDefault="00F8329A" w:rsidP="00E71851">
            <w:pPr>
              <w:pStyle w:val="TableText"/>
              <w:spacing w:before="0"/>
              <w:jc w:val="center"/>
              <w:rPr>
                <w:rFonts w:cs="Arial"/>
                <w:color w:val="000000"/>
                <w:szCs w:val="22"/>
              </w:rPr>
            </w:pPr>
            <w:r w:rsidRPr="00F8329A">
              <w:rPr>
                <w:rFonts w:cs="Arial"/>
                <w:color w:val="000000"/>
                <w:szCs w:val="22"/>
              </w:rPr>
              <w:t>-0.</w:t>
            </w:r>
            <w:r w:rsidR="00E71851">
              <w:rPr>
                <w:rFonts w:cs="Arial"/>
                <w:color w:val="000000"/>
                <w:szCs w:val="22"/>
              </w:rPr>
              <w:t>3</w:t>
            </w:r>
          </w:p>
        </w:tc>
        <w:tc>
          <w:tcPr>
            <w:tcW w:w="926" w:type="pct"/>
            <w:tcBorders>
              <w:top w:val="nil"/>
              <w:left w:val="single" w:sz="4" w:space="0" w:color="A6A6A6"/>
              <w:bottom w:val="nil"/>
            </w:tcBorders>
            <w:shd w:val="clear" w:color="auto" w:fill="auto"/>
          </w:tcPr>
          <w:p w:rsidR="00F8329A" w:rsidRPr="002420E9" w:rsidRDefault="00F8329A" w:rsidP="00BB0CEB">
            <w:pPr>
              <w:pStyle w:val="TableText"/>
              <w:spacing w:before="0"/>
              <w:jc w:val="center"/>
              <w:rPr>
                <w:rFonts w:cs="Arial"/>
                <w:szCs w:val="18"/>
              </w:rPr>
            </w:pPr>
            <w:r>
              <w:rPr>
                <w:rFonts w:cs="Arial"/>
                <w:szCs w:val="18"/>
              </w:rPr>
              <w:t>Little c</w:t>
            </w:r>
            <w:r w:rsidRPr="002420E9">
              <w:rPr>
                <w:rFonts w:cs="Arial"/>
                <w:szCs w:val="18"/>
              </w:rPr>
              <w:t>hange</w:t>
            </w:r>
          </w:p>
        </w:tc>
      </w:tr>
      <w:tr w:rsidR="00F8329A" w:rsidTr="00F8329A">
        <w:trPr>
          <w:cantSplit/>
        </w:trPr>
        <w:tc>
          <w:tcPr>
            <w:tcW w:w="1290" w:type="pct"/>
            <w:tcBorders>
              <w:top w:val="nil"/>
              <w:bottom w:val="single" w:sz="4" w:space="0" w:color="A6A6A6"/>
              <w:right w:val="single" w:sz="4" w:space="0" w:color="A6A6A6"/>
            </w:tcBorders>
            <w:shd w:val="clear" w:color="auto" w:fill="auto"/>
          </w:tcPr>
          <w:p w:rsidR="00F8329A" w:rsidRPr="0055542C" w:rsidRDefault="00F8329A" w:rsidP="007A1E11">
            <w:pPr>
              <w:pStyle w:val="TableBullet"/>
            </w:pPr>
            <w:r w:rsidRPr="0055542C">
              <w:t>National sample</w:t>
            </w:r>
          </w:p>
        </w:tc>
        <w:tc>
          <w:tcPr>
            <w:tcW w:w="928" w:type="pct"/>
            <w:tcBorders>
              <w:top w:val="nil"/>
              <w:left w:val="single" w:sz="4" w:space="0" w:color="A6A6A6"/>
              <w:bottom w:val="single" w:sz="4" w:space="0" w:color="A6A6A6"/>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28.3</w:t>
            </w:r>
          </w:p>
        </w:tc>
        <w:tc>
          <w:tcPr>
            <w:tcW w:w="928" w:type="pct"/>
            <w:tcBorders>
              <w:top w:val="nil"/>
              <w:left w:val="single" w:sz="4" w:space="0" w:color="A6A6A6"/>
              <w:bottom w:val="single" w:sz="4" w:space="0" w:color="A6A6A6"/>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28.1</w:t>
            </w:r>
          </w:p>
        </w:tc>
        <w:tc>
          <w:tcPr>
            <w:tcW w:w="928" w:type="pct"/>
            <w:tcBorders>
              <w:top w:val="nil"/>
              <w:left w:val="single" w:sz="4" w:space="0" w:color="A6A6A6"/>
              <w:bottom w:val="single" w:sz="4" w:space="0" w:color="A6A6A6"/>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-0.2</w:t>
            </w:r>
          </w:p>
        </w:tc>
        <w:tc>
          <w:tcPr>
            <w:tcW w:w="926" w:type="pct"/>
            <w:tcBorders>
              <w:top w:val="nil"/>
              <w:left w:val="single" w:sz="4" w:space="0" w:color="A6A6A6"/>
              <w:bottom w:val="single" w:sz="4" w:space="0" w:color="A6A6A6"/>
            </w:tcBorders>
            <w:shd w:val="clear" w:color="auto" w:fill="auto"/>
          </w:tcPr>
          <w:p w:rsidR="00F8329A" w:rsidRPr="002420E9" w:rsidRDefault="00F8329A" w:rsidP="00BB0CEB">
            <w:pPr>
              <w:pStyle w:val="TableText"/>
              <w:spacing w:before="0"/>
              <w:jc w:val="center"/>
              <w:rPr>
                <w:rFonts w:cs="Arial"/>
                <w:szCs w:val="18"/>
              </w:rPr>
            </w:pPr>
            <w:r w:rsidRPr="002420E9">
              <w:rPr>
                <w:rFonts w:cs="Arial"/>
                <w:szCs w:val="18"/>
              </w:rPr>
              <w:t xml:space="preserve">Little </w:t>
            </w:r>
            <w:r>
              <w:rPr>
                <w:rFonts w:cs="Arial"/>
                <w:szCs w:val="18"/>
              </w:rPr>
              <w:t>c</w:t>
            </w:r>
            <w:r w:rsidRPr="002420E9">
              <w:rPr>
                <w:rFonts w:cs="Arial"/>
                <w:szCs w:val="18"/>
              </w:rPr>
              <w:t>hange</w:t>
            </w:r>
          </w:p>
        </w:tc>
      </w:tr>
      <w:tr w:rsidR="00457B04" w:rsidRPr="00F65F07" w:rsidTr="007A1E11">
        <w:trPr>
          <w:cantSplit/>
        </w:trPr>
        <w:tc>
          <w:tcPr>
            <w:tcW w:w="1290" w:type="pct"/>
            <w:tcBorders>
              <w:top w:val="single" w:sz="4" w:space="0" w:color="A6A6A6"/>
              <w:bottom w:val="nil"/>
              <w:right w:val="single" w:sz="4" w:space="0" w:color="A6A6A6"/>
            </w:tcBorders>
            <w:shd w:val="clear" w:color="auto" w:fill="auto"/>
          </w:tcPr>
          <w:p w:rsidR="00457B04" w:rsidRPr="0055542C" w:rsidRDefault="00457B04" w:rsidP="007A1E11">
            <w:pPr>
              <w:pStyle w:val="TableText"/>
            </w:pPr>
            <w:r>
              <w:t>Pacific</w:t>
            </w:r>
          </w:p>
        </w:tc>
        <w:tc>
          <w:tcPr>
            <w:tcW w:w="928" w:type="pct"/>
            <w:tcBorders>
              <w:top w:val="single" w:sz="4" w:space="0" w:color="A6A6A6"/>
              <w:left w:val="single" w:sz="4" w:space="0" w:color="A6A6A6"/>
              <w:bottom w:val="nil"/>
              <w:right w:val="single" w:sz="4" w:space="0" w:color="A6A6A6"/>
            </w:tcBorders>
            <w:shd w:val="clear" w:color="auto" w:fill="auto"/>
            <w:vAlign w:val="center"/>
          </w:tcPr>
          <w:p w:rsidR="00457B04" w:rsidRPr="00F94D1D" w:rsidRDefault="00457B04" w:rsidP="00BB0CEB">
            <w:pPr>
              <w:pStyle w:val="TableText"/>
              <w:jc w:val="center"/>
              <w:rPr>
                <w:rFonts w:cs="Arial"/>
                <w:szCs w:val="18"/>
              </w:rPr>
            </w:pPr>
          </w:p>
        </w:tc>
        <w:tc>
          <w:tcPr>
            <w:tcW w:w="928" w:type="pct"/>
            <w:tcBorders>
              <w:top w:val="single" w:sz="4" w:space="0" w:color="A6A6A6"/>
              <w:left w:val="single" w:sz="4" w:space="0" w:color="A6A6A6"/>
              <w:bottom w:val="nil"/>
              <w:right w:val="single" w:sz="4" w:space="0" w:color="A6A6A6"/>
            </w:tcBorders>
            <w:shd w:val="clear" w:color="auto" w:fill="auto"/>
            <w:vAlign w:val="center"/>
          </w:tcPr>
          <w:p w:rsidR="00457B04" w:rsidRPr="00F94D1D" w:rsidRDefault="00457B04" w:rsidP="00BB0CEB">
            <w:pPr>
              <w:pStyle w:val="TableText"/>
              <w:jc w:val="center"/>
              <w:rPr>
                <w:rFonts w:cs="Arial"/>
                <w:szCs w:val="18"/>
              </w:rPr>
            </w:pPr>
          </w:p>
        </w:tc>
        <w:tc>
          <w:tcPr>
            <w:tcW w:w="928" w:type="pct"/>
            <w:tcBorders>
              <w:top w:val="single" w:sz="4" w:space="0" w:color="A6A6A6"/>
              <w:left w:val="single" w:sz="4" w:space="0" w:color="A6A6A6"/>
              <w:bottom w:val="nil"/>
              <w:right w:val="single" w:sz="4" w:space="0" w:color="A6A6A6"/>
            </w:tcBorders>
            <w:shd w:val="clear" w:color="auto" w:fill="auto"/>
            <w:vAlign w:val="center"/>
          </w:tcPr>
          <w:p w:rsidR="00457B04" w:rsidRPr="00F94D1D" w:rsidRDefault="00457B04" w:rsidP="00BB0CEB">
            <w:pPr>
              <w:pStyle w:val="TableText"/>
              <w:jc w:val="center"/>
              <w:rPr>
                <w:rFonts w:cs="Arial"/>
                <w:szCs w:val="18"/>
              </w:rPr>
            </w:pPr>
          </w:p>
        </w:tc>
        <w:tc>
          <w:tcPr>
            <w:tcW w:w="926" w:type="pct"/>
            <w:tcBorders>
              <w:top w:val="single" w:sz="4" w:space="0" w:color="A6A6A6"/>
              <w:left w:val="single" w:sz="4" w:space="0" w:color="A6A6A6"/>
              <w:bottom w:val="nil"/>
            </w:tcBorders>
            <w:shd w:val="clear" w:color="auto" w:fill="auto"/>
          </w:tcPr>
          <w:p w:rsidR="00457B04" w:rsidRPr="002420E9" w:rsidRDefault="00457B04" w:rsidP="00BB0CEB">
            <w:pPr>
              <w:pStyle w:val="TableText"/>
              <w:jc w:val="center"/>
              <w:rPr>
                <w:rFonts w:cs="Arial"/>
                <w:szCs w:val="18"/>
              </w:rPr>
            </w:pPr>
          </w:p>
        </w:tc>
      </w:tr>
      <w:tr w:rsidR="00F8329A" w:rsidRPr="002E574A" w:rsidTr="00F8329A">
        <w:trPr>
          <w:cantSplit/>
        </w:trPr>
        <w:tc>
          <w:tcPr>
            <w:tcW w:w="1290" w:type="pct"/>
            <w:tcBorders>
              <w:top w:val="nil"/>
              <w:bottom w:val="nil"/>
              <w:right w:val="single" w:sz="4" w:space="0" w:color="A6A6A6"/>
            </w:tcBorders>
            <w:shd w:val="clear" w:color="auto" w:fill="auto"/>
          </w:tcPr>
          <w:p w:rsidR="00F8329A" w:rsidRPr="0055542C" w:rsidRDefault="00F8329A" w:rsidP="007A1E11">
            <w:pPr>
              <w:pStyle w:val="TableBullet"/>
            </w:pPr>
            <w:r w:rsidRPr="0055542C">
              <w:t>Whānau Ora sample</w:t>
            </w:r>
          </w:p>
        </w:tc>
        <w:tc>
          <w:tcPr>
            <w:tcW w:w="928" w:type="pct"/>
            <w:tcBorders>
              <w:top w:val="nil"/>
              <w:left w:val="single" w:sz="4" w:space="0" w:color="A6A6A6"/>
              <w:bottom w:val="nil"/>
              <w:right w:val="single" w:sz="4" w:space="0" w:color="A6A6A6"/>
            </w:tcBorders>
            <w:shd w:val="clear" w:color="auto" w:fill="auto"/>
            <w:vAlign w:val="center"/>
          </w:tcPr>
          <w:p w:rsidR="00F8329A" w:rsidRPr="00F8329A" w:rsidRDefault="00F8329A" w:rsidP="00E71851">
            <w:pPr>
              <w:pStyle w:val="TableText"/>
              <w:spacing w:before="0"/>
              <w:jc w:val="center"/>
              <w:rPr>
                <w:rFonts w:cs="Arial"/>
                <w:color w:val="000000"/>
                <w:szCs w:val="22"/>
              </w:rPr>
            </w:pPr>
            <w:r w:rsidRPr="00F8329A">
              <w:rPr>
                <w:rFonts w:cs="Arial"/>
                <w:color w:val="000000"/>
                <w:szCs w:val="22"/>
              </w:rPr>
              <w:t>31.</w:t>
            </w:r>
            <w:r w:rsidR="00E71851">
              <w:rPr>
                <w:rFonts w:cs="Arial"/>
                <w:color w:val="000000"/>
                <w:szCs w:val="22"/>
              </w:rPr>
              <w:t>5</w:t>
            </w:r>
          </w:p>
        </w:tc>
        <w:tc>
          <w:tcPr>
            <w:tcW w:w="928" w:type="pct"/>
            <w:tcBorders>
              <w:top w:val="nil"/>
              <w:left w:val="single" w:sz="4" w:space="0" w:color="A6A6A6"/>
              <w:bottom w:val="nil"/>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31.7</w:t>
            </w:r>
          </w:p>
        </w:tc>
        <w:tc>
          <w:tcPr>
            <w:tcW w:w="928" w:type="pct"/>
            <w:tcBorders>
              <w:top w:val="nil"/>
              <w:left w:val="single" w:sz="4" w:space="0" w:color="A6A6A6"/>
              <w:bottom w:val="nil"/>
              <w:right w:val="single" w:sz="4" w:space="0" w:color="A6A6A6"/>
            </w:tcBorders>
            <w:shd w:val="clear" w:color="auto" w:fill="auto"/>
            <w:vAlign w:val="center"/>
          </w:tcPr>
          <w:p w:rsidR="00F8329A" w:rsidRPr="00F8329A" w:rsidRDefault="00F8329A" w:rsidP="00E71851">
            <w:pPr>
              <w:pStyle w:val="TableText"/>
              <w:spacing w:before="0"/>
              <w:jc w:val="center"/>
              <w:rPr>
                <w:rFonts w:cs="Arial"/>
                <w:color w:val="000000"/>
                <w:szCs w:val="22"/>
              </w:rPr>
            </w:pPr>
            <w:r w:rsidRPr="00F8329A">
              <w:rPr>
                <w:rFonts w:cs="Arial"/>
                <w:color w:val="000000"/>
                <w:szCs w:val="22"/>
              </w:rPr>
              <w:t>0.</w:t>
            </w:r>
            <w:r w:rsidR="00E71851">
              <w:rPr>
                <w:rFonts w:cs="Arial"/>
                <w:color w:val="000000"/>
                <w:szCs w:val="22"/>
              </w:rPr>
              <w:t>2</w:t>
            </w:r>
          </w:p>
        </w:tc>
        <w:tc>
          <w:tcPr>
            <w:tcW w:w="926" w:type="pct"/>
            <w:tcBorders>
              <w:top w:val="nil"/>
              <w:left w:val="single" w:sz="4" w:space="0" w:color="A6A6A6"/>
              <w:bottom w:val="nil"/>
            </w:tcBorders>
            <w:shd w:val="clear" w:color="auto" w:fill="auto"/>
          </w:tcPr>
          <w:p w:rsidR="00F8329A" w:rsidRPr="002420E9" w:rsidRDefault="00F8329A" w:rsidP="00BB0CEB">
            <w:pPr>
              <w:pStyle w:val="TableText"/>
              <w:spacing w:before="0"/>
              <w:jc w:val="center"/>
              <w:rPr>
                <w:rFonts w:cs="Arial"/>
                <w:szCs w:val="18"/>
              </w:rPr>
            </w:pPr>
            <w:r w:rsidRPr="002420E9">
              <w:rPr>
                <w:rFonts w:cs="Arial"/>
                <w:szCs w:val="18"/>
              </w:rPr>
              <w:t xml:space="preserve">Little </w:t>
            </w:r>
            <w:r>
              <w:rPr>
                <w:rFonts w:cs="Arial"/>
                <w:szCs w:val="18"/>
              </w:rPr>
              <w:t>c</w:t>
            </w:r>
            <w:r w:rsidRPr="002420E9">
              <w:rPr>
                <w:rFonts w:cs="Arial"/>
                <w:szCs w:val="18"/>
              </w:rPr>
              <w:t>hange</w:t>
            </w:r>
          </w:p>
        </w:tc>
      </w:tr>
      <w:tr w:rsidR="00F8329A" w:rsidTr="00F8329A">
        <w:trPr>
          <w:cantSplit/>
        </w:trPr>
        <w:tc>
          <w:tcPr>
            <w:tcW w:w="1290" w:type="pct"/>
            <w:tcBorders>
              <w:top w:val="nil"/>
              <w:bottom w:val="single" w:sz="4" w:space="0" w:color="A6A6A6"/>
              <w:right w:val="single" w:sz="4" w:space="0" w:color="A6A6A6"/>
            </w:tcBorders>
            <w:shd w:val="clear" w:color="auto" w:fill="auto"/>
          </w:tcPr>
          <w:p w:rsidR="00F8329A" w:rsidRPr="0055542C" w:rsidRDefault="00F8329A" w:rsidP="007A1E11">
            <w:pPr>
              <w:pStyle w:val="TableBullet"/>
            </w:pPr>
            <w:r w:rsidRPr="0055542C">
              <w:t>National sample</w:t>
            </w:r>
          </w:p>
        </w:tc>
        <w:tc>
          <w:tcPr>
            <w:tcW w:w="928" w:type="pct"/>
            <w:tcBorders>
              <w:top w:val="nil"/>
              <w:left w:val="single" w:sz="4" w:space="0" w:color="A6A6A6"/>
              <w:bottom w:val="single" w:sz="4" w:space="0" w:color="A6A6A6"/>
              <w:right w:val="single" w:sz="4" w:space="0" w:color="A6A6A6"/>
            </w:tcBorders>
            <w:shd w:val="clear" w:color="auto" w:fill="auto"/>
            <w:vAlign w:val="center"/>
          </w:tcPr>
          <w:p w:rsidR="00F8329A" w:rsidRPr="00F8329A" w:rsidRDefault="00F8329A" w:rsidP="00E71851">
            <w:pPr>
              <w:pStyle w:val="TableText"/>
              <w:spacing w:before="0"/>
              <w:jc w:val="center"/>
              <w:rPr>
                <w:rFonts w:cs="Arial"/>
                <w:color w:val="000000"/>
                <w:szCs w:val="22"/>
              </w:rPr>
            </w:pPr>
            <w:r w:rsidRPr="00F8329A">
              <w:rPr>
                <w:rFonts w:cs="Arial"/>
                <w:color w:val="000000"/>
                <w:szCs w:val="22"/>
              </w:rPr>
              <w:t>31.</w:t>
            </w:r>
            <w:r w:rsidR="00E71851">
              <w:rPr>
                <w:rFonts w:cs="Arial"/>
                <w:color w:val="000000"/>
                <w:szCs w:val="22"/>
              </w:rPr>
              <w:t>4</w:t>
            </w:r>
          </w:p>
        </w:tc>
        <w:tc>
          <w:tcPr>
            <w:tcW w:w="928" w:type="pct"/>
            <w:tcBorders>
              <w:top w:val="nil"/>
              <w:left w:val="single" w:sz="4" w:space="0" w:color="A6A6A6"/>
              <w:bottom w:val="single" w:sz="4" w:space="0" w:color="A6A6A6"/>
              <w:right w:val="single" w:sz="4" w:space="0" w:color="A6A6A6"/>
            </w:tcBorders>
            <w:shd w:val="clear" w:color="auto" w:fill="auto"/>
            <w:vAlign w:val="center"/>
          </w:tcPr>
          <w:p w:rsidR="00F8329A" w:rsidRPr="00F8329A" w:rsidRDefault="00F8329A" w:rsidP="00E71851">
            <w:pPr>
              <w:pStyle w:val="TableText"/>
              <w:spacing w:before="0"/>
              <w:jc w:val="center"/>
              <w:rPr>
                <w:rFonts w:cs="Arial"/>
                <w:color w:val="000000"/>
                <w:szCs w:val="22"/>
              </w:rPr>
            </w:pPr>
            <w:r w:rsidRPr="00F8329A">
              <w:rPr>
                <w:rFonts w:cs="Arial"/>
                <w:color w:val="000000"/>
                <w:szCs w:val="22"/>
              </w:rPr>
              <w:t>31.</w:t>
            </w:r>
            <w:r w:rsidR="00E71851">
              <w:rPr>
                <w:rFonts w:cs="Arial"/>
                <w:color w:val="000000"/>
                <w:szCs w:val="22"/>
              </w:rPr>
              <w:t>1</w:t>
            </w:r>
          </w:p>
        </w:tc>
        <w:tc>
          <w:tcPr>
            <w:tcW w:w="928" w:type="pct"/>
            <w:tcBorders>
              <w:top w:val="nil"/>
              <w:left w:val="single" w:sz="4" w:space="0" w:color="A6A6A6"/>
              <w:bottom w:val="single" w:sz="4" w:space="0" w:color="A6A6A6"/>
              <w:right w:val="single" w:sz="4" w:space="0" w:color="A6A6A6"/>
            </w:tcBorders>
            <w:shd w:val="clear" w:color="auto" w:fill="auto"/>
            <w:vAlign w:val="center"/>
          </w:tcPr>
          <w:p w:rsidR="00F8329A" w:rsidRPr="00F8329A" w:rsidRDefault="00F8329A" w:rsidP="00E71851">
            <w:pPr>
              <w:pStyle w:val="TableText"/>
              <w:spacing w:before="0"/>
              <w:jc w:val="center"/>
              <w:rPr>
                <w:rFonts w:cs="Arial"/>
                <w:color w:val="000000"/>
                <w:szCs w:val="22"/>
              </w:rPr>
            </w:pPr>
            <w:r w:rsidRPr="00F8329A">
              <w:rPr>
                <w:rFonts w:cs="Arial"/>
                <w:color w:val="000000"/>
                <w:szCs w:val="22"/>
              </w:rPr>
              <w:t>-0.</w:t>
            </w:r>
            <w:r w:rsidR="00E71851">
              <w:rPr>
                <w:rFonts w:cs="Arial"/>
                <w:color w:val="000000"/>
                <w:szCs w:val="22"/>
              </w:rPr>
              <w:t>3</w:t>
            </w:r>
          </w:p>
        </w:tc>
        <w:tc>
          <w:tcPr>
            <w:tcW w:w="926" w:type="pct"/>
            <w:tcBorders>
              <w:top w:val="nil"/>
              <w:left w:val="single" w:sz="4" w:space="0" w:color="A6A6A6"/>
              <w:bottom w:val="single" w:sz="4" w:space="0" w:color="A6A6A6"/>
            </w:tcBorders>
            <w:shd w:val="clear" w:color="auto" w:fill="auto"/>
          </w:tcPr>
          <w:p w:rsidR="00F8329A" w:rsidRPr="002420E9" w:rsidRDefault="00F8329A" w:rsidP="00BB0CEB">
            <w:pPr>
              <w:pStyle w:val="TableText"/>
              <w:spacing w:before="0"/>
              <w:jc w:val="center"/>
              <w:rPr>
                <w:rFonts w:cs="Arial"/>
                <w:szCs w:val="18"/>
              </w:rPr>
            </w:pPr>
            <w:r w:rsidRPr="002420E9">
              <w:rPr>
                <w:rFonts w:cs="Arial"/>
                <w:szCs w:val="18"/>
              </w:rPr>
              <w:t xml:space="preserve">Little </w:t>
            </w:r>
            <w:r>
              <w:rPr>
                <w:rFonts w:cs="Arial"/>
                <w:szCs w:val="18"/>
              </w:rPr>
              <w:t>c</w:t>
            </w:r>
            <w:r w:rsidRPr="002420E9">
              <w:rPr>
                <w:rFonts w:cs="Arial"/>
                <w:szCs w:val="18"/>
              </w:rPr>
              <w:t>hange</w:t>
            </w:r>
          </w:p>
        </w:tc>
      </w:tr>
      <w:tr w:rsidR="00457B04" w:rsidTr="007A1E11">
        <w:trPr>
          <w:cantSplit/>
        </w:trPr>
        <w:tc>
          <w:tcPr>
            <w:tcW w:w="1290" w:type="pct"/>
            <w:tcBorders>
              <w:top w:val="single" w:sz="4" w:space="0" w:color="A6A6A6"/>
              <w:bottom w:val="nil"/>
              <w:right w:val="single" w:sz="4" w:space="0" w:color="A6A6A6"/>
            </w:tcBorders>
            <w:shd w:val="clear" w:color="auto" w:fill="auto"/>
          </w:tcPr>
          <w:p w:rsidR="00457B04" w:rsidRPr="0055542C" w:rsidRDefault="00457B04" w:rsidP="007A1E11">
            <w:pPr>
              <w:pStyle w:val="TableText"/>
            </w:pPr>
            <w:r>
              <w:t>Other</w:t>
            </w:r>
          </w:p>
        </w:tc>
        <w:tc>
          <w:tcPr>
            <w:tcW w:w="928" w:type="pct"/>
            <w:tcBorders>
              <w:top w:val="single" w:sz="4" w:space="0" w:color="A6A6A6"/>
              <w:left w:val="single" w:sz="4" w:space="0" w:color="A6A6A6"/>
              <w:bottom w:val="nil"/>
              <w:right w:val="single" w:sz="4" w:space="0" w:color="A6A6A6"/>
            </w:tcBorders>
            <w:shd w:val="clear" w:color="auto" w:fill="auto"/>
            <w:vAlign w:val="center"/>
          </w:tcPr>
          <w:p w:rsidR="00457B04" w:rsidRPr="00F94D1D" w:rsidRDefault="00457B04" w:rsidP="00BB0CEB">
            <w:pPr>
              <w:pStyle w:val="TableText"/>
              <w:jc w:val="center"/>
              <w:rPr>
                <w:rFonts w:cs="Arial"/>
                <w:szCs w:val="18"/>
              </w:rPr>
            </w:pPr>
          </w:p>
        </w:tc>
        <w:tc>
          <w:tcPr>
            <w:tcW w:w="928" w:type="pct"/>
            <w:tcBorders>
              <w:top w:val="single" w:sz="4" w:space="0" w:color="A6A6A6"/>
              <w:left w:val="single" w:sz="4" w:space="0" w:color="A6A6A6"/>
              <w:bottom w:val="nil"/>
              <w:right w:val="single" w:sz="4" w:space="0" w:color="A6A6A6"/>
            </w:tcBorders>
            <w:shd w:val="clear" w:color="auto" w:fill="auto"/>
            <w:vAlign w:val="center"/>
          </w:tcPr>
          <w:p w:rsidR="00457B04" w:rsidRPr="00F94D1D" w:rsidRDefault="00457B04" w:rsidP="00BB0CEB">
            <w:pPr>
              <w:pStyle w:val="TableText"/>
              <w:jc w:val="center"/>
              <w:rPr>
                <w:rFonts w:cs="Arial"/>
                <w:szCs w:val="18"/>
              </w:rPr>
            </w:pPr>
          </w:p>
        </w:tc>
        <w:tc>
          <w:tcPr>
            <w:tcW w:w="928" w:type="pct"/>
            <w:tcBorders>
              <w:top w:val="single" w:sz="4" w:space="0" w:color="A6A6A6"/>
              <w:left w:val="single" w:sz="4" w:space="0" w:color="A6A6A6"/>
              <w:bottom w:val="nil"/>
              <w:right w:val="single" w:sz="4" w:space="0" w:color="A6A6A6"/>
            </w:tcBorders>
            <w:shd w:val="clear" w:color="auto" w:fill="auto"/>
            <w:vAlign w:val="center"/>
          </w:tcPr>
          <w:p w:rsidR="00457B04" w:rsidRPr="00F94D1D" w:rsidRDefault="00457B04" w:rsidP="00BB0CEB">
            <w:pPr>
              <w:pStyle w:val="TableText"/>
              <w:jc w:val="center"/>
              <w:rPr>
                <w:rFonts w:cs="Arial"/>
                <w:szCs w:val="18"/>
              </w:rPr>
            </w:pPr>
          </w:p>
        </w:tc>
        <w:tc>
          <w:tcPr>
            <w:tcW w:w="926" w:type="pct"/>
            <w:tcBorders>
              <w:top w:val="single" w:sz="4" w:space="0" w:color="A6A6A6"/>
              <w:left w:val="single" w:sz="4" w:space="0" w:color="A6A6A6"/>
              <w:bottom w:val="nil"/>
            </w:tcBorders>
            <w:shd w:val="clear" w:color="auto" w:fill="auto"/>
          </w:tcPr>
          <w:p w:rsidR="00457B04" w:rsidRPr="002420E9" w:rsidRDefault="00457B04" w:rsidP="00BB0CEB">
            <w:pPr>
              <w:pStyle w:val="TableText"/>
              <w:jc w:val="center"/>
              <w:rPr>
                <w:rFonts w:cs="Arial"/>
                <w:szCs w:val="18"/>
              </w:rPr>
            </w:pPr>
          </w:p>
        </w:tc>
      </w:tr>
      <w:tr w:rsidR="00F8329A" w:rsidTr="00F8329A">
        <w:trPr>
          <w:cantSplit/>
        </w:trPr>
        <w:tc>
          <w:tcPr>
            <w:tcW w:w="1290" w:type="pct"/>
            <w:tcBorders>
              <w:top w:val="nil"/>
              <w:bottom w:val="nil"/>
              <w:right w:val="single" w:sz="4" w:space="0" w:color="A6A6A6"/>
            </w:tcBorders>
            <w:shd w:val="clear" w:color="auto" w:fill="auto"/>
          </w:tcPr>
          <w:p w:rsidR="00F8329A" w:rsidRPr="0055542C" w:rsidRDefault="00F8329A" w:rsidP="007A1E11">
            <w:pPr>
              <w:pStyle w:val="TableBullet"/>
            </w:pPr>
            <w:r w:rsidRPr="0055542C">
              <w:t>Whānau Ora sample</w:t>
            </w:r>
          </w:p>
        </w:tc>
        <w:tc>
          <w:tcPr>
            <w:tcW w:w="928" w:type="pct"/>
            <w:tcBorders>
              <w:top w:val="nil"/>
              <w:left w:val="single" w:sz="4" w:space="0" w:color="A6A6A6"/>
              <w:bottom w:val="nil"/>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26.0</w:t>
            </w:r>
          </w:p>
        </w:tc>
        <w:tc>
          <w:tcPr>
            <w:tcW w:w="928" w:type="pct"/>
            <w:tcBorders>
              <w:top w:val="nil"/>
              <w:left w:val="single" w:sz="4" w:space="0" w:color="A6A6A6"/>
              <w:bottom w:val="nil"/>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25.9</w:t>
            </w:r>
          </w:p>
        </w:tc>
        <w:tc>
          <w:tcPr>
            <w:tcW w:w="928" w:type="pct"/>
            <w:tcBorders>
              <w:top w:val="nil"/>
              <w:left w:val="single" w:sz="4" w:space="0" w:color="A6A6A6"/>
              <w:bottom w:val="nil"/>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-0.1</w:t>
            </w:r>
          </w:p>
        </w:tc>
        <w:tc>
          <w:tcPr>
            <w:tcW w:w="926" w:type="pct"/>
            <w:tcBorders>
              <w:top w:val="nil"/>
              <w:left w:val="single" w:sz="4" w:space="0" w:color="A6A6A6"/>
              <w:bottom w:val="nil"/>
            </w:tcBorders>
            <w:shd w:val="clear" w:color="auto" w:fill="auto"/>
          </w:tcPr>
          <w:p w:rsidR="00F8329A" w:rsidRPr="002420E9" w:rsidRDefault="00F8329A" w:rsidP="00BB0CEB">
            <w:pPr>
              <w:pStyle w:val="TableText"/>
              <w:spacing w:before="0"/>
              <w:jc w:val="center"/>
              <w:rPr>
                <w:rFonts w:cs="Arial"/>
                <w:szCs w:val="18"/>
              </w:rPr>
            </w:pPr>
            <w:r w:rsidRPr="002420E9">
              <w:rPr>
                <w:rFonts w:cs="Arial"/>
                <w:szCs w:val="18"/>
              </w:rPr>
              <w:t xml:space="preserve">Little </w:t>
            </w:r>
            <w:r>
              <w:rPr>
                <w:rFonts w:cs="Arial"/>
                <w:szCs w:val="18"/>
              </w:rPr>
              <w:t>c</w:t>
            </w:r>
            <w:r w:rsidRPr="002420E9">
              <w:rPr>
                <w:rFonts w:cs="Arial"/>
                <w:szCs w:val="18"/>
              </w:rPr>
              <w:t>hange</w:t>
            </w:r>
          </w:p>
        </w:tc>
      </w:tr>
      <w:tr w:rsidR="00F8329A" w:rsidTr="00F8329A">
        <w:trPr>
          <w:cantSplit/>
        </w:trPr>
        <w:tc>
          <w:tcPr>
            <w:tcW w:w="1290" w:type="pct"/>
            <w:tcBorders>
              <w:top w:val="nil"/>
              <w:bottom w:val="single" w:sz="4" w:space="0" w:color="auto"/>
              <w:right w:val="single" w:sz="4" w:space="0" w:color="A6A6A6"/>
            </w:tcBorders>
            <w:shd w:val="clear" w:color="auto" w:fill="auto"/>
          </w:tcPr>
          <w:p w:rsidR="00F8329A" w:rsidRPr="0055542C" w:rsidRDefault="00F8329A" w:rsidP="007A1E11">
            <w:pPr>
              <w:pStyle w:val="TableBullet"/>
            </w:pPr>
            <w:r w:rsidRPr="0055542C">
              <w:t>National sample</w:t>
            </w:r>
          </w:p>
        </w:tc>
        <w:tc>
          <w:tcPr>
            <w:tcW w:w="928" w:type="pct"/>
            <w:tcBorders>
              <w:top w:val="nil"/>
              <w:left w:val="single" w:sz="4" w:space="0" w:color="A6A6A6"/>
              <w:bottom w:val="single" w:sz="4" w:space="0" w:color="auto"/>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26.0</w:t>
            </w:r>
          </w:p>
        </w:tc>
        <w:tc>
          <w:tcPr>
            <w:tcW w:w="928" w:type="pct"/>
            <w:tcBorders>
              <w:top w:val="nil"/>
              <w:left w:val="single" w:sz="4" w:space="0" w:color="A6A6A6"/>
              <w:bottom w:val="single" w:sz="4" w:space="0" w:color="auto"/>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26.0</w:t>
            </w:r>
          </w:p>
        </w:tc>
        <w:tc>
          <w:tcPr>
            <w:tcW w:w="928" w:type="pct"/>
            <w:tcBorders>
              <w:top w:val="nil"/>
              <w:left w:val="single" w:sz="4" w:space="0" w:color="A6A6A6"/>
              <w:bottom w:val="single" w:sz="4" w:space="0" w:color="auto"/>
              <w:right w:val="single" w:sz="4" w:space="0" w:color="A6A6A6"/>
            </w:tcBorders>
            <w:shd w:val="clear" w:color="auto" w:fill="auto"/>
            <w:vAlign w:val="center"/>
          </w:tcPr>
          <w:p w:rsidR="00F8329A" w:rsidRPr="00F8329A" w:rsidRDefault="00F8329A" w:rsidP="00BB0CEB">
            <w:pPr>
              <w:pStyle w:val="TableText"/>
              <w:spacing w:before="0"/>
              <w:jc w:val="center"/>
              <w:rPr>
                <w:rFonts w:cs="Arial"/>
                <w:color w:val="000000"/>
                <w:szCs w:val="22"/>
              </w:rPr>
            </w:pPr>
            <w:r w:rsidRPr="00F8329A">
              <w:rPr>
                <w:rFonts w:cs="Arial"/>
                <w:color w:val="000000"/>
                <w:szCs w:val="22"/>
              </w:rPr>
              <w:t>0.0</w:t>
            </w:r>
          </w:p>
        </w:tc>
        <w:tc>
          <w:tcPr>
            <w:tcW w:w="926" w:type="pct"/>
            <w:tcBorders>
              <w:top w:val="nil"/>
              <w:left w:val="single" w:sz="4" w:space="0" w:color="A6A6A6"/>
              <w:bottom w:val="single" w:sz="4" w:space="0" w:color="auto"/>
            </w:tcBorders>
            <w:shd w:val="clear" w:color="auto" w:fill="auto"/>
            <w:vAlign w:val="center"/>
          </w:tcPr>
          <w:p w:rsidR="00F8329A" w:rsidRPr="002420E9" w:rsidRDefault="00F8329A" w:rsidP="00BB0CEB">
            <w:pPr>
              <w:pStyle w:val="TableText"/>
              <w:spacing w:before="0"/>
              <w:jc w:val="center"/>
              <w:rPr>
                <w:rFonts w:cs="Arial"/>
                <w:szCs w:val="18"/>
              </w:rPr>
            </w:pPr>
            <w:r w:rsidRPr="002420E9">
              <w:rPr>
                <w:rFonts w:cs="Arial"/>
                <w:szCs w:val="18"/>
              </w:rPr>
              <w:t xml:space="preserve">Little </w:t>
            </w:r>
            <w:r>
              <w:rPr>
                <w:rFonts w:cs="Arial"/>
                <w:szCs w:val="18"/>
              </w:rPr>
              <w:t>c</w:t>
            </w:r>
            <w:r w:rsidRPr="002420E9">
              <w:rPr>
                <w:rFonts w:cs="Arial"/>
                <w:szCs w:val="18"/>
              </w:rPr>
              <w:t>hange</w:t>
            </w:r>
          </w:p>
        </w:tc>
      </w:tr>
    </w:tbl>
    <w:p w:rsidR="00457B04" w:rsidRPr="00F65F07" w:rsidRDefault="00457B04" w:rsidP="00B82417"/>
    <w:p w:rsidR="00457B04" w:rsidRDefault="00457B04" w:rsidP="00B82417">
      <w:r w:rsidRPr="00F65F07">
        <w:t xml:space="preserve">This indicator measures the median of the latest body mass index (BMI) recorded or calculated (kg/m²) for enrolled patients aged 10 </w:t>
      </w:r>
      <w:r>
        <w:t xml:space="preserve">years </w:t>
      </w:r>
      <w:r w:rsidRPr="00F65F07">
        <w:t>or over.</w:t>
      </w:r>
    </w:p>
    <w:p w:rsidR="00457B04" w:rsidRPr="00F65F07" w:rsidRDefault="00457B04" w:rsidP="00B82417"/>
    <w:p w:rsidR="00457B04" w:rsidRDefault="00457B04" w:rsidP="00B82417">
      <w:r w:rsidRPr="00754470">
        <w:t>The median BMIs of Māori, Pacific and Other patients in the Whānau Ora sample are similar to those of the national sample. Almost all results improved slightly over the last year for both samples, by 0.</w:t>
      </w:r>
      <w:r>
        <w:t>5</w:t>
      </w:r>
      <w:r w:rsidRPr="00754470">
        <w:t xml:space="preserve"> </w:t>
      </w:r>
      <w:r w:rsidRPr="00F65F07">
        <w:t>kg/m²</w:t>
      </w:r>
      <w:r>
        <w:t xml:space="preserve"> </w:t>
      </w:r>
      <w:r w:rsidRPr="00754470">
        <w:t>or less.</w:t>
      </w:r>
    </w:p>
    <w:p w:rsidR="00457B04" w:rsidRDefault="00457B04" w:rsidP="00B82417">
      <w:bookmarkStart w:id="128" w:name="_Toc350162552"/>
    </w:p>
    <w:p w:rsidR="00457B04" w:rsidRDefault="00457B04" w:rsidP="00B82417">
      <w:r w:rsidRPr="00480D7B">
        <w:t>The Whānau Ora sample perform</w:t>
      </w:r>
      <w:r>
        <w:t>ed</w:t>
      </w:r>
      <w:r w:rsidRPr="00480D7B">
        <w:t xml:space="preserve"> </w:t>
      </w:r>
      <w:r w:rsidRPr="007F75E7">
        <w:rPr>
          <w:b/>
        </w:rPr>
        <w:t>as well as</w:t>
      </w:r>
      <w:r>
        <w:t xml:space="preserve"> </w:t>
      </w:r>
      <w:r w:rsidRPr="00480D7B">
        <w:t xml:space="preserve">the national sample in the </w:t>
      </w:r>
      <w:r w:rsidR="00634870">
        <w:t>‘</w:t>
      </w:r>
      <w:r>
        <w:t>Median BMI of enrolled patients</w:t>
      </w:r>
      <w:r w:rsidR="00634870">
        <w:t>’</w:t>
      </w:r>
      <w:r>
        <w:t>.</w:t>
      </w:r>
    </w:p>
    <w:p w:rsidR="00B82417" w:rsidRPr="00F65F07" w:rsidRDefault="00B82417" w:rsidP="00B82417"/>
    <w:p w:rsidR="00457B04" w:rsidRPr="004C5A92" w:rsidRDefault="00457B04" w:rsidP="00B82417">
      <w:r>
        <w:br w:type="page"/>
      </w:r>
      <w:bookmarkStart w:id="129" w:name="_Toc353959541"/>
      <w:bookmarkStart w:id="130" w:name="_Toc362600475"/>
      <w:bookmarkEnd w:id="128"/>
    </w:p>
    <w:p w:rsidR="00457B04" w:rsidRPr="00C722BB" w:rsidRDefault="00457B04" w:rsidP="00B82417">
      <w:pPr>
        <w:pStyle w:val="Heading1"/>
        <w:rPr>
          <w:highlight w:val="yellow"/>
        </w:rPr>
      </w:pPr>
      <w:bookmarkStart w:id="131" w:name="_Toc411433982"/>
      <w:bookmarkStart w:id="132" w:name="_Toc421710365"/>
      <w:r w:rsidRPr="004C5A92">
        <w:lastRenderedPageBreak/>
        <w:t>Patient profiles – Whānau Ora and national samples</w:t>
      </w:r>
      <w:bookmarkEnd w:id="129"/>
      <w:bookmarkEnd w:id="130"/>
      <w:bookmarkEnd w:id="131"/>
      <w:bookmarkEnd w:id="132"/>
    </w:p>
    <w:p w:rsidR="00457B04" w:rsidRPr="004C5A92" w:rsidRDefault="00457B04" w:rsidP="00B82417">
      <w:r w:rsidRPr="004C5A92">
        <w:t>Table 1</w:t>
      </w:r>
      <w:r>
        <w:t>2</w:t>
      </w:r>
      <w:r w:rsidRPr="004C5A92">
        <w:t xml:space="preserve"> below shows the patient profiles of the Whānau Ora and national samples.</w:t>
      </w:r>
    </w:p>
    <w:p w:rsidR="00457B04" w:rsidRPr="004C5A92" w:rsidRDefault="00457B04" w:rsidP="00B82417"/>
    <w:p w:rsidR="00457B04" w:rsidRPr="004C5A92" w:rsidRDefault="00457B04" w:rsidP="00B82417">
      <w:pPr>
        <w:pStyle w:val="Table"/>
      </w:pPr>
      <w:bookmarkStart w:id="133" w:name="_Toc353959556"/>
      <w:bookmarkStart w:id="134" w:name="_Toc379540134"/>
      <w:bookmarkStart w:id="135" w:name="_Toc421535727"/>
      <w:r w:rsidRPr="004C5A92">
        <w:t>Table 1</w:t>
      </w:r>
      <w:r>
        <w:t>2</w:t>
      </w:r>
      <w:r w:rsidRPr="004C5A92">
        <w:t>: Whānau Ora and national sample</w:t>
      </w:r>
      <w:r>
        <w:t>s</w:t>
      </w:r>
      <w:r w:rsidR="00634870">
        <w:t>’</w:t>
      </w:r>
      <w:r w:rsidRPr="004C5A92">
        <w:t xml:space="preserve"> patient profiles</w:t>
      </w:r>
      <w:bookmarkEnd w:id="133"/>
      <w:bookmarkEnd w:id="134"/>
      <w:bookmarkEnd w:id="135"/>
    </w:p>
    <w:tbl>
      <w:tblPr>
        <w:tblW w:w="494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20" w:firstRow="1" w:lastRow="0" w:firstColumn="0" w:lastColumn="0" w:noHBand="1" w:noVBand="1"/>
      </w:tblPr>
      <w:tblGrid>
        <w:gridCol w:w="4679"/>
        <w:gridCol w:w="1134"/>
        <w:gridCol w:w="1134"/>
        <w:gridCol w:w="1181"/>
        <w:gridCol w:w="1227"/>
      </w:tblGrid>
      <w:tr w:rsidR="00457B04" w:rsidRPr="004C5A92" w:rsidTr="00D04127">
        <w:trPr>
          <w:cantSplit/>
        </w:trPr>
        <w:tc>
          <w:tcPr>
            <w:tcW w:w="2501" w:type="pct"/>
            <w:vMerge w:val="restart"/>
            <w:tcBorders>
              <w:left w:val="nil"/>
              <w:right w:val="single" w:sz="4" w:space="0" w:color="A6A6A6"/>
            </w:tcBorders>
            <w:shd w:val="clear" w:color="auto" w:fill="auto"/>
          </w:tcPr>
          <w:p w:rsidR="00457B04" w:rsidRPr="004C5A92" w:rsidRDefault="00457B04" w:rsidP="007A1E11">
            <w:pPr>
              <w:pStyle w:val="TableText"/>
            </w:pPr>
          </w:p>
        </w:tc>
        <w:tc>
          <w:tcPr>
            <w:tcW w:w="1212" w:type="pct"/>
            <w:gridSpan w:val="2"/>
            <w:tcBorders>
              <w:left w:val="single" w:sz="4" w:space="0" w:color="A6A6A6"/>
              <w:right w:val="single" w:sz="4" w:space="0" w:color="A6A6A6"/>
            </w:tcBorders>
            <w:shd w:val="clear" w:color="auto" w:fill="auto"/>
          </w:tcPr>
          <w:p w:rsidR="00457B04" w:rsidRPr="004C5A92" w:rsidRDefault="00457B04" w:rsidP="007A1E11">
            <w:pPr>
              <w:pStyle w:val="TableText"/>
              <w:jc w:val="center"/>
              <w:rPr>
                <w:b/>
              </w:rPr>
            </w:pPr>
            <w:r w:rsidRPr="004C5A92">
              <w:rPr>
                <w:b/>
              </w:rPr>
              <w:t>Whānau Ora sample</w:t>
            </w:r>
          </w:p>
        </w:tc>
        <w:tc>
          <w:tcPr>
            <w:tcW w:w="1287" w:type="pct"/>
            <w:gridSpan w:val="2"/>
            <w:tcBorders>
              <w:left w:val="single" w:sz="4" w:space="0" w:color="A6A6A6"/>
              <w:right w:val="nil"/>
            </w:tcBorders>
            <w:shd w:val="clear" w:color="auto" w:fill="auto"/>
          </w:tcPr>
          <w:p w:rsidR="00457B04" w:rsidRPr="004C5A92" w:rsidRDefault="00457B04" w:rsidP="007A1E11">
            <w:pPr>
              <w:pStyle w:val="TableText"/>
              <w:jc w:val="center"/>
              <w:rPr>
                <w:b/>
              </w:rPr>
            </w:pPr>
            <w:r w:rsidRPr="004C5A92">
              <w:rPr>
                <w:b/>
              </w:rPr>
              <w:t>National sample</w:t>
            </w:r>
          </w:p>
        </w:tc>
      </w:tr>
      <w:tr w:rsidR="00457B04" w:rsidRPr="004C5A92" w:rsidTr="00D04127">
        <w:trPr>
          <w:cantSplit/>
        </w:trPr>
        <w:tc>
          <w:tcPr>
            <w:tcW w:w="2501" w:type="pct"/>
            <w:vMerge/>
            <w:tcBorders>
              <w:left w:val="nil"/>
              <w:right w:val="single" w:sz="4" w:space="0" w:color="A6A6A6"/>
            </w:tcBorders>
            <w:shd w:val="clear" w:color="auto" w:fill="auto"/>
          </w:tcPr>
          <w:p w:rsidR="00457B04" w:rsidRPr="004C5A92" w:rsidRDefault="00457B04" w:rsidP="007A1E11">
            <w:pPr>
              <w:pStyle w:val="TableText"/>
            </w:pPr>
          </w:p>
        </w:tc>
        <w:tc>
          <w:tcPr>
            <w:tcW w:w="606" w:type="pct"/>
            <w:tcBorders>
              <w:left w:val="single" w:sz="4" w:space="0" w:color="A6A6A6"/>
              <w:right w:val="nil"/>
            </w:tcBorders>
            <w:shd w:val="clear" w:color="auto" w:fill="auto"/>
          </w:tcPr>
          <w:p w:rsidR="00457B04" w:rsidRPr="004C5A92" w:rsidRDefault="00457B04" w:rsidP="007A1E11">
            <w:pPr>
              <w:pStyle w:val="TableText"/>
              <w:jc w:val="center"/>
              <w:rPr>
                <w:b/>
              </w:rPr>
            </w:pPr>
            <w:r w:rsidRPr="004C5A92">
              <w:rPr>
                <w:b/>
              </w:rPr>
              <w:t>Number</w:t>
            </w:r>
          </w:p>
        </w:tc>
        <w:tc>
          <w:tcPr>
            <w:tcW w:w="606" w:type="pct"/>
            <w:tcBorders>
              <w:left w:val="nil"/>
              <w:right w:val="single" w:sz="4" w:space="0" w:color="A6A6A6"/>
            </w:tcBorders>
            <w:shd w:val="clear" w:color="auto" w:fill="auto"/>
          </w:tcPr>
          <w:p w:rsidR="00457B04" w:rsidRPr="004C5A92" w:rsidRDefault="00457B04" w:rsidP="007A1E11">
            <w:pPr>
              <w:pStyle w:val="TableText"/>
              <w:jc w:val="center"/>
              <w:rPr>
                <w:b/>
              </w:rPr>
            </w:pPr>
            <w:r w:rsidRPr="004C5A92">
              <w:rPr>
                <w:b/>
              </w:rPr>
              <w:t>Percentage</w:t>
            </w:r>
          </w:p>
        </w:tc>
        <w:tc>
          <w:tcPr>
            <w:tcW w:w="631" w:type="pct"/>
            <w:tcBorders>
              <w:left w:val="single" w:sz="4" w:space="0" w:color="A6A6A6"/>
              <w:right w:val="nil"/>
            </w:tcBorders>
            <w:shd w:val="clear" w:color="auto" w:fill="auto"/>
          </w:tcPr>
          <w:p w:rsidR="00457B04" w:rsidRPr="004C5A92" w:rsidRDefault="00457B04" w:rsidP="007A1E11">
            <w:pPr>
              <w:pStyle w:val="TableText"/>
              <w:jc w:val="center"/>
              <w:rPr>
                <w:b/>
              </w:rPr>
            </w:pPr>
            <w:r w:rsidRPr="004C5A92">
              <w:rPr>
                <w:b/>
              </w:rPr>
              <w:t>Number</w:t>
            </w:r>
          </w:p>
        </w:tc>
        <w:tc>
          <w:tcPr>
            <w:tcW w:w="656" w:type="pct"/>
            <w:tcBorders>
              <w:left w:val="nil"/>
              <w:right w:val="nil"/>
            </w:tcBorders>
            <w:shd w:val="clear" w:color="auto" w:fill="auto"/>
          </w:tcPr>
          <w:p w:rsidR="00457B04" w:rsidRPr="004C5A92" w:rsidRDefault="00457B04" w:rsidP="007A1E11">
            <w:pPr>
              <w:pStyle w:val="TableText"/>
              <w:jc w:val="center"/>
              <w:rPr>
                <w:b/>
              </w:rPr>
            </w:pPr>
            <w:r w:rsidRPr="004C5A92">
              <w:rPr>
                <w:b/>
              </w:rPr>
              <w:t>Percentage</w:t>
            </w:r>
          </w:p>
        </w:tc>
      </w:tr>
      <w:tr w:rsidR="00457B04" w:rsidRPr="00C722BB" w:rsidTr="00D04127">
        <w:trPr>
          <w:cantSplit/>
        </w:trPr>
        <w:tc>
          <w:tcPr>
            <w:tcW w:w="2501" w:type="pct"/>
            <w:tcBorders>
              <w:left w:val="nil"/>
              <w:bottom w:val="nil"/>
              <w:right w:val="single" w:sz="4" w:space="0" w:color="A6A6A6"/>
            </w:tcBorders>
            <w:shd w:val="clear" w:color="auto" w:fill="auto"/>
          </w:tcPr>
          <w:p w:rsidR="00457B04" w:rsidRPr="004C5A92" w:rsidRDefault="00457B04" w:rsidP="007A1E11">
            <w:pPr>
              <w:pStyle w:val="TableText"/>
              <w:rPr>
                <w:b/>
              </w:rPr>
            </w:pPr>
            <w:r w:rsidRPr="004C5A92">
              <w:rPr>
                <w:b/>
              </w:rPr>
              <w:t>Number of practices</w:t>
            </w:r>
          </w:p>
        </w:tc>
        <w:tc>
          <w:tcPr>
            <w:tcW w:w="606" w:type="pct"/>
            <w:tcBorders>
              <w:left w:val="single" w:sz="4" w:space="0" w:color="A6A6A6"/>
              <w:bottom w:val="nil"/>
              <w:right w:val="nil"/>
            </w:tcBorders>
            <w:shd w:val="clear" w:color="auto" w:fill="auto"/>
            <w:vAlign w:val="center"/>
          </w:tcPr>
          <w:p w:rsidR="00457B04" w:rsidRPr="00FD4359" w:rsidRDefault="00457B04" w:rsidP="00BB0CEB">
            <w:pPr>
              <w:pStyle w:val="TableText"/>
              <w:tabs>
                <w:tab w:val="decimal" w:pos="736"/>
              </w:tabs>
            </w:pPr>
            <w:r w:rsidRPr="00FD4359">
              <w:t>3</w:t>
            </w:r>
            <w:r>
              <w:t>6</w:t>
            </w:r>
          </w:p>
        </w:tc>
        <w:tc>
          <w:tcPr>
            <w:tcW w:w="606" w:type="pct"/>
            <w:tcBorders>
              <w:left w:val="nil"/>
              <w:bottom w:val="nil"/>
              <w:right w:val="single" w:sz="4" w:space="0" w:color="A6A6A6"/>
            </w:tcBorders>
            <w:shd w:val="clear" w:color="auto" w:fill="auto"/>
            <w:vAlign w:val="center"/>
          </w:tcPr>
          <w:p w:rsidR="00457B04" w:rsidRPr="00245BAF" w:rsidRDefault="00B82417" w:rsidP="00BB0CEB">
            <w:pPr>
              <w:pStyle w:val="TableText"/>
              <w:tabs>
                <w:tab w:val="decimal" w:pos="531"/>
              </w:tabs>
              <w:rPr>
                <w:szCs w:val="18"/>
                <w:highlight w:val="yellow"/>
              </w:rPr>
            </w:pPr>
            <w:r>
              <w:t>–</w:t>
            </w:r>
          </w:p>
        </w:tc>
        <w:tc>
          <w:tcPr>
            <w:tcW w:w="631" w:type="pct"/>
            <w:tcBorders>
              <w:left w:val="single" w:sz="4" w:space="0" w:color="A6A6A6"/>
              <w:bottom w:val="nil"/>
              <w:right w:val="nil"/>
            </w:tcBorders>
            <w:shd w:val="clear" w:color="auto" w:fill="auto"/>
            <w:vAlign w:val="center"/>
          </w:tcPr>
          <w:p w:rsidR="00457B04" w:rsidRPr="00FD4359" w:rsidRDefault="00457B04" w:rsidP="00BB0CEB">
            <w:pPr>
              <w:pStyle w:val="TableText"/>
              <w:tabs>
                <w:tab w:val="decimal" w:pos="793"/>
              </w:tabs>
            </w:pPr>
            <w:r w:rsidRPr="00FD4359">
              <w:t>100</w:t>
            </w:r>
          </w:p>
        </w:tc>
        <w:tc>
          <w:tcPr>
            <w:tcW w:w="656" w:type="pct"/>
            <w:tcBorders>
              <w:left w:val="nil"/>
              <w:bottom w:val="nil"/>
              <w:right w:val="nil"/>
            </w:tcBorders>
            <w:shd w:val="clear" w:color="auto" w:fill="auto"/>
            <w:vAlign w:val="center"/>
          </w:tcPr>
          <w:p w:rsidR="00457B04" w:rsidRPr="007C4748" w:rsidRDefault="00B82417" w:rsidP="00BB0CEB">
            <w:pPr>
              <w:pStyle w:val="TableText"/>
              <w:tabs>
                <w:tab w:val="decimal" w:pos="573"/>
              </w:tabs>
              <w:rPr>
                <w:szCs w:val="18"/>
              </w:rPr>
            </w:pPr>
            <w:r>
              <w:rPr>
                <w:szCs w:val="18"/>
              </w:rPr>
              <w:t>–</w:t>
            </w:r>
          </w:p>
        </w:tc>
      </w:tr>
      <w:tr w:rsidR="00457B04" w:rsidRPr="00C722BB" w:rsidTr="00D04127">
        <w:trPr>
          <w:cantSplit/>
        </w:trPr>
        <w:tc>
          <w:tcPr>
            <w:tcW w:w="2501" w:type="pct"/>
            <w:tcBorders>
              <w:top w:val="nil"/>
              <w:left w:val="nil"/>
              <w:bottom w:val="nil"/>
              <w:right w:val="single" w:sz="4" w:space="0" w:color="A6A6A6"/>
            </w:tcBorders>
            <w:shd w:val="clear" w:color="auto" w:fill="auto"/>
          </w:tcPr>
          <w:p w:rsidR="00457B04" w:rsidRPr="004C5A92" w:rsidRDefault="00457B04" w:rsidP="00BB0CEB">
            <w:pPr>
              <w:pStyle w:val="TableText"/>
              <w:spacing w:before="0"/>
            </w:pPr>
            <w:r w:rsidRPr="004C5A92">
              <w:t>Enrolled patients*</w:t>
            </w:r>
          </w:p>
        </w:tc>
        <w:tc>
          <w:tcPr>
            <w:tcW w:w="606" w:type="pct"/>
            <w:tcBorders>
              <w:top w:val="nil"/>
              <w:left w:val="single" w:sz="4" w:space="0" w:color="A6A6A6"/>
              <w:bottom w:val="nil"/>
              <w:right w:val="nil"/>
            </w:tcBorders>
            <w:shd w:val="clear" w:color="auto" w:fill="auto"/>
            <w:vAlign w:val="center"/>
          </w:tcPr>
          <w:p w:rsidR="00457B04" w:rsidRPr="00FD4359" w:rsidRDefault="00457B04" w:rsidP="00BB0CEB">
            <w:pPr>
              <w:pStyle w:val="TableText"/>
              <w:tabs>
                <w:tab w:val="decimal" w:pos="736"/>
              </w:tabs>
              <w:spacing w:before="0"/>
            </w:pPr>
          </w:p>
        </w:tc>
        <w:tc>
          <w:tcPr>
            <w:tcW w:w="606" w:type="pct"/>
            <w:tcBorders>
              <w:top w:val="nil"/>
              <w:left w:val="nil"/>
              <w:bottom w:val="nil"/>
              <w:right w:val="single" w:sz="4" w:space="0" w:color="A6A6A6"/>
            </w:tcBorders>
            <w:shd w:val="clear" w:color="auto" w:fill="auto"/>
            <w:vAlign w:val="center"/>
          </w:tcPr>
          <w:p w:rsidR="00457B04" w:rsidRPr="00C722BB" w:rsidRDefault="00457B04" w:rsidP="00BB0CEB">
            <w:pPr>
              <w:pStyle w:val="TableText"/>
              <w:tabs>
                <w:tab w:val="decimal" w:pos="531"/>
              </w:tabs>
              <w:spacing w:before="0"/>
              <w:rPr>
                <w:szCs w:val="18"/>
                <w:highlight w:val="yellow"/>
              </w:rPr>
            </w:pPr>
          </w:p>
        </w:tc>
        <w:tc>
          <w:tcPr>
            <w:tcW w:w="631" w:type="pct"/>
            <w:tcBorders>
              <w:top w:val="nil"/>
              <w:left w:val="single" w:sz="4" w:space="0" w:color="A6A6A6"/>
              <w:bottom w:val="nil"/>
              <w:right w:val="nil"/>
            </w:tcBorders>
            <w:shd w:val="clear" w:color="auto" w:fill="auto"/>
            <w:vAlign w:val="center"/>
          </w:tcPr>
          <w:p w:rsidR="00457B04" w:rsidRPr="00FD4359" w:rsidRDefault="00457B04" w:rsidP="00BB0CEB">
            <w:pPr>
              <w:pStyle w:val="TableText"/>
              <w:tabs>
                <w:tab w:val="decimal" w:pos="793"/>
              </w:tabs>
              <w:spacing w:before="0"/>
            </w:pPr>
          </w:p>
        </w:tc>
        <w:tc>
          <w:tcPr>
            <w:tcW w:w="656" w:type="pct"/>
            <w:tcBorders>
              <w:top w:val="nil"/>
              <w:left w:val="nil"/>
              <w:bottom w:val="nil"/>
              <w:right w:val="nil"/>
            </w:tcBorders>
            <w:shd w:val="clear" w:color="auto" w:fill="auto"/>
            <w:vAlign w:val="center"/>
          </w:tcPr>
          <w:p w:rsidR="00457B04" w:rsidRPr="00C722BB" w:rsidRDefault="00457B04" w:rsidP="00BB0CEB">
            <w:pPr>
              <w:pStyle w:val="TableText"/>
              <w:tabs>
                <w:tab w:val="decimal" w:pos="573"/>
              </w:tabs>
              <w:spacing w:before="0"/>
              <w:rPr>
                <w:szCs w:val="18"/>
                <w:highlight w:val="yellow"/>
              </w:rPr>
            </w:pPr>
          </w:p>
        </w:tc>
      </w:tr>
      <w:tr w:rsidR="00E71851" w:rsidRPr="00F94D1D" w:rsidTr="00E71851">
        <w:trPr>
          <w:cantSplit/>
          <w:trHeight w:val="117"/>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Asian</w:t>
            </w:r>
          </w:p>
        </w:tc>
        <w:tc>
          <w:tcPr>
            <w:tcW w:w="606" w:type="pct"/>
            <w:tcBorders>
              <w:top w:val="nil"/>
              <w:left w:val="single" w:sz="4" w:space="0" w:color="A6A6A6"/>
              <w:bottom w:val="nil"/>
              <w:right w:val="nil"/>
            </w:tcBorders>
            <w:shd w:val="clear" w:color="auto" w:fill="auto"/>
            <w:vAlign w:val="bottom"/>
          </w:tcPr>
          <w:p w:rsidR="00E71851" w:rsidRPr="00E71851" w:rsidRDefault="00E71851" w:rsidP="00E71851">
            <w:pPr>
              <w:pStyle w:val="TableText"/>
              <w:tabs>
                <w:tab w:val="decimal" w:pos="736"/>
              </w:tabs>
              <w:spacing w:before="0"/>
              <w:rPr>
                <w:rFonts w:cs="Arial"/>
                <w:color w:val="000000"/>
                <w:szCs w:val="22"/>
              </w:rPr>
            </w:pPr>
            <w:r w:rsidRPr="00E71851">
              <w:rPr>
                <w:rFonts w:cs="Arial"/>
                <w:color w:val="000000"/>
                <w:szCs w:val="22"/>
              </w:rPr>
              <w:t>4,939</w:t>
            </w:r>
          </w:p>
        </w:tc>
        <w:tc>
          <w:tcPr>
            <w:tcW w:w="606" w:type="pct"/>
            <w:tcBorders>
              <w:top w:val="nil"/>
              <w:left w:val="nil"/>
              <w:bottom w:val="nil"/>
              <w:right w:val="single" w:sz="4" w:space="0" w:color="A6A6A6"/>
            </w:tcBorders>
            <w:shd w:val="clear" w:color="auto" w:fill="auto"/>
            <w:vAlign w:val="center"/>
          </w:tcPr>
          <w:p w:rsidR="00E71851" w:rsidRPr="00D04127" w:rsidRDefault="00E71851" w:rsidP="00BB0CEB">
            <w:pPr>
              <w:pStyle w:val="TableText"/>
              <w:tabs>
                <w:tab w:val="decimal" w:pos="531"/>
              </w:tabs>
              <w:spacing w:before="0"/>
              <w:rPr>
                <w:rFonts w:cs="Arial"/>
                <w:color w:val="000000"/>
                <w:szCs w:val="22"/>
              </w:rPr>
            </w:pPr>
            <w:r w:rsidRPr="00D04127">
              <w:rPr>
                <w:rFonts w:cs="Arial"/>
                <w:color w:val="000000"/>
                <w:szCs w:val="22"/>
              </w:rPr>
              <w:t>4.8%</w:t>
            </w:r>
          </w:p>
        </w:tc>
        <w:tc>
          <w:tcPr>
            <w:tcW w:w="631" w:type="pct"/>
            <w:tcBorders>
              <w:top w:val="nil"/>
              <w:left w:val="single" w:sz="4" w:space="0" w:color="A6A6A6"/>
              <w:bottom w:val="nil"/>
              <w:right w:val="nil"/>
            </w:tcBorders>
            <w:shd w:val="clear" w:color="auto" w:fill="auto"/>
            <w:vAlign w:val="bottom"/>
          </w:tcPr>
          <w:p w:rsidR="00E71851" w:rsidRPr="00E71851" w:rsidRDefault="00E71851" w:rsidP="00E71851">
            <w:pPr>
              <w:pStyle w:val="TableText"/>
              <w:tabs>
                <w:tab w:val="decimal" w:pos="793"/>
              </w:tabs>
              <w:spacing w:before="0"/>
              <w:rPr>
                <w:rFonts w:cs="Arial"/>
                <w:color w:val="000000"/>
                <w:szCs w:val="22"/>
              </w:rPr>
            </w:pPr>
            <w:r w:rsidRPr="00E71851">
              <w:rPr>
                <w:rFonts w:cs="Arial"/>
                <w:color w:val="000000"/>
                <w:szCs w:val="22"/>
              </w:rPr>
              <w:t>28,419</w:t>
            </w:r>
          </w:p>
        </w:tc>
        <w:tc>
          <w:tcPr>
            <w:tcW w:w="656" w:type="pct"/>
            <w:tcBorders>
              <w:top w:val="nil"/>
              <w:left w:val="nil"/>
              <w:bottom w:val="nil"/>
              <w:right w:val="nil"/>
            </w:tcBorders>
            <w:shd w:val="clear" w:color="auto" w:fill="auto"/>
            <w:vAlign w:val="bottom"/>
          </w:tcPr>
          <w:p w:rsidR="00E71851" w:rsidRPr="00E71851" w:rsidRDefault="00E71851" w:rsidP="00E71851">
            <w:pPr>
              <w:pStyle w:val="TableText"/>
              <w:tabs>
                <w:tab w:val="decimal" w:pos="573"/>
              </w:tabs>
              <w:spacing w:before="0"/>
              <w:rPr>
                <w:rFonts w:cs="Arial"/>
                <w:color w:val="000000"/>
                <w:szCs w:val="22"/>
              </w:rPr>
            </w:pPr>
            <w:r w:rsidRPr="00E71851">
              <w:rPr>
                <w:rFonts w:cs="Arial"/>
                <w:color w:val="000000"/>
                <w:szCs w:val="22"/>
              </w:rPr>
              <w:t>6.3%</w:t>
            </w:r>
          </w:p>
        </w:tc>
      </w:tr>
      <w:tr w:rsidR="00E71851" w:rsidRPr="00F94D1D" w:rsidTr="00E71851">
        <w:trPr>
          <w:cantSplit/>
          <w:trHeight w:val="277"/>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Māori</w:t>
            </w:r>
          </w:p>
        </w:tc>
        <w:tc>
          <w:tcPr>
            <w:tcW w:w="606" w:type="pct"/>
            <w:tcBorders>
              <w:top w:val="nil"/>
              <w:left w:val="single" w:sz="4" w:space="0" w:color="A6A6A6"/>
              <w:bottom w:val="nil"/>
              <w:right w:val="nil"/>
            </w:tcBorders>
            <w:shd w:val="clear" w:color="auto" w:fill="auto"/>
            <w:vAlign w:val="bottom"/>
          </w:tcPr>
          <w:p w:rsidR="00E71851" w:rsidRPr="00E71851" w:rsidRDefault="00E71851" w:rsidP="00E71851">
            <w:pPr>
              <w:pStyle w:val="TableText"/>
              <w:tabs>
                <w:tab w:val="decimal" w:pos="736"/>
              </w:tabs>
              <w:spacing w:before="0"/>
              <w:rPr>
                <w:rFonts w:cs="Arial"/>
                <w:color w:val="000000"/>
                <w:szCs w:val="22"/>
              </w:rPr>
            </w:pPr>
            <w:r w:rsidRPr="00E71851">
              <w:rPr>
                <w:rFonts w:cs="Arial"/>
                <w:color w:val="000000"/>
                <w:szCs w:val="22"/>
              </w:rPr>
              <w:t>51,049</w:t>
            </w:r>
          </w:p>
        </w:tc>
        <w:tc>
          <w:tcPr>
            <w:tcW w:w="606" w:type="pct"/>
            <w:tcBorders>
              <w:top w:val="nil"/>
              <w:left w:val="nil"/>
              <w:bottom w:val="nil"/>
              <w:right w:val="single" w:sz="4" w:space="0" w:color="A6A6A6"/>
            </w:tcBorders>
            <w:shd w:val="clear" w:color="auto" w:fill="auto"/>
            <w:vAlign w:val="center"/>
          </w:tcPr>
          <w:p w:rsidR="00E71851" w:rsidRPr="00D04127" w:rsidRDefault="00E71851" w:rsidP="00BB0CEB">
            <w:pPr>
              <w:pStyle w:val="TableText"/>
              <w:tabs>
                <w:tab w:val="decimal" w:pos="531"/>
              </w:tabs>
              <w:spacing w:before="0"/>
              <w:rPr>
                <w:rFonts w:cs="Arial"/>
                <w:color w:val="000000"/>
                <w:szCs w:val="22"/>
              </w:rPr>
            </w:pPr>
            <w:r w:rsidRPr="00D04127">
              <w:rPr>
                <w:rFonts w:cs="Arial"/>
                <w:color w:val="000000"/>
                <w:szCs w:val="22"/>
              </w:rPr>
              <w:t>49.3%</w:t>
            </w:r>
          </w:p>
        </w:tc>
        <w:tc>
          <w:tcPr>
            <w:tcW w:w="631" w:type="pct"/>
            <w:tcBorders>
              <w:top w:val="nil"/>
              <w:left w:val="single" w:sz="4" w:space="0" w:color="A6A6A6"/>
              <w:bottom w:val="nil"/>
              <w:right w:val="nil"/>
            </w:tcBorders>
            <w:shd w:val="clear" w:color="auto" w:fill="auto"/>
            <w:vAlign w:val="bottom"/>
          </w:tcPr>
          <w:p w:rsidR="00E71851" w:rsidRPr="00E71851" w:rsidRDefault="00E71851" w:rsidP="00E71851">
            <w:pPr>
              <w:pStyle w:val="TableText"/>
              <w:tabs>
                <w:tab w:val="decimal" w:pos="793"/>
              </w:tabs>
              <w:spacing w:before="0"/>
              <w:rPr>
                <w:rFonts w:cs="Arial"/>
                <w:color w:val="000000"/>
                <w:szCs w:val="22"/>
              </w:rPr>
            </w:pPr>
            <w:r w:rsidRPr="00E71851">
              <w:rPr>
                <w:rFonts w:cs="Arial"/>
                <w:color w:val="000000"/>
                <w:szCs w:val="22"/>
              </w:rPr>
              <w:t>110,884</w:t>
            </w:r>
          </w:p>
        </w:tc>
        <w:tc>
          <w:tcPr>
            <w:tcW w:w="656" w:type="pct"/>
            <w:tcBorders>
              <w:top w:val="nil"/>
              <w:left w:val="nil"/>
              <w:bottom w:val="nil"/>
              <w:right w:val="nil"/>
            </w:tcBorders>
            <w:shd w:val="clear" w:color="auto" w:fill="auto"/>
            <w:vAlign w:val="bottom"/>
          </w:tcPr>
          <w:p w:rsidR="00E71851" w:rsidRPr="00E71851" w:rsidRDefault="00E71851" w:rsidP="00E71851">
            <w:pPr>
              <w:pStyle w:val="TableText"/>
              <w:tabs>
                <w:tab w:val="decimal" w:pos="573"/>
              </w:tabs>
              <w:spacing w:before="0"/>
              <w:rPr>
                <w:rFonts w:cs="Arial"/>
                <w:color w:val="000000"/>
                <w:szCs w:val="22"/>
              </w:rPr>
            </w:pPr>
            <w:r w:rsidRPr="00E71851">
              <w:rPr>
                <w:rFonts w:cs="Arial"/>
                <w:color w:val="000000"/>
                <w:szCs w:val="22"/>
              </w:rPr>
              <w:t>24.4%</w:t>
            </w:r>
          </w:p>
        </w:tc>
      </w:tr>
      <w:tr w:rsidR="00E71851" w:rsidRPr="00F94D1D" w:rsidTr="00E71851">
        <w:trPr>
          <w:cantSplit/>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Pacific</w:t>
            </w:r>
          </w:p>
        </w:tc>
        <w:tc>
          <w:tcPr>
            <w:tcW w:w="606" w:type="pct"/>
            <w:tcBorders>
              <w:top w:val="nil"/>
              <w:left w:val="single" w:sz="4" w:space="0" w:color="A6A6A6"/>
              <w:bottom w:val="nil"/>
              <w:right w:val="nil"/>
            </w:tcBorders>
            <w:shd w:val="clear" w:color="auto" w:fill="auto"/>
            <w:vAlign w:val="bottom"/>
          </w:tcPr>
          <w:p w:rsidR="00E71851" w:rsidRPr="00E71851" w:rsidRDefault="00E71851" w:rsidP="00E71851">
            <w:pPr>
              <w:pStyle w:val="TableText"/>
              <w:tabs>
                <w:tab w:val="decimal" w:pos="736"/>
              </w:tabs>
              <w:spacing w:before="0"/>
              <w:rPr>
                <w:rFonts w:cs="Arial"/>
                <w:color w:val="000000"/>
                <w:szCs w:val="22"/>
              </w:rPr>
            </w:pPr>
            <w:r w:rsidRPr="00E71851">
              <w:rPr>
                <w:rFonts w:cs="Arial"/>
                <w:color w:val="000000"/>
                <w:szCs w:val="22"/>
              </w:rPr>
              <w:t>29,075</w:t>
            </w:r>
          </w:p>
        </w:tc>
        <w:tc>
          <w:tcPr>
            <w:tcW w:w="606" w:type="pct"/>
            <w:tcBorders>
              <w:top w:val="nil"/>
              <w:left w:val="nil"/>
              <w:bottom w:val="nil"/>
              <w:right w:val="single" w:sz="4" w:space="0" w:color="A6A6A6"/>
            </w:tcBorders>
            <w:shd w:val="clear" w:color="auto" w:fill="auto"/>
            <w:vAlign w:val="center"/>
          </w:tcPr>
          <w:p w:rsidR="00E71851" w:rsidRPr="00D04127" w:rsidRDefault="00E71851" w:rsidP="00BB0CEB">
            <w:pPr>
              <w:pStyle w:val="TableText"/>
              <w:tabs>
                <w:tab w:val="decimal" w:pos="531"/>
              </w:tabs>
              <w:spacing w:before="0"/>
              <w:rPr>
                <w:rFonts w:cs="Arial"/>
                <w:color w:val="000000"/>
                <w:szCs w:val="22"/>
              </w:rPr>
            </w:pPr>
            <w:r w:rsidRPr="00D04127">
              <w:rPr>
                <w:rFonts w:cs="Arial"/>
                <w:color w:val="000000"/>
                <w:szCs w:val="22"/>
              </w:rPr>
              <w:t>28.5%</w:t>
            </w:r>
          </w:p>
        </w:tc>
        <w:tc>
          <w:tcPr>
            <w:tcW w:w="631" w:type="pct"/>
            <w:tcBorders>
              <w:top w:val="nil"/>
              <w:left w:val="single" w:sz="4" w:space="0" w:color="A6A6A6"/>
              <w:bottom w:val="nil"/>
              <w:right w:val="nil"/>
            </w:tcBorders>
            <w:shd w:val="clear" w:color="auto" w:fill="auto"/>
            <w:vAlign w:val="bottom"/>
          </w:tcPr>
          <w:p w:rsidR="00E71851" w:rsidRPr="00E71851" w:rsidRDefault="00E71851" w:rsidP="00E71851">
            <w:pPr>
              <w:pStyle w:val="TableText"/>
              <w:tabs>
                <w:tab w:val="decimal" w:pos="793"/>
              </w:tabs>
              <w:spacing w:before="0"/>
              <w:rPr>
                <w:rFonts w:cs="Arial"/>
                <w:color w:val="000000"/>
                <w:szCs w:val="22"/>
              </w:rPr>
            </w:pPr>
            <w:r w:rsidRPr="00E71851">
              <w:rPr>
                <w:rFonts w:cs="Arial"/>
                <w:color w:val="000000"/>
                <w:szCs w:val="22"/>
              </w:rPr>
              <w:t>32,519</w:t>
            </w:r>
          </w:p>
        </w:tc>
        <w:tc>
          <w:tcPr>
            <w:tcW w:w="656" w:type="pct"/>
            <w:tcBorders>
              <w:top w:val="nil"/>
              <w:left w:val="nil"/>
              <w:bottom w:val="nil"/>
              <w:right w:val="nil"/>
            </w:tcBorders>
            <w:shd w:val="clear" w:color="auto" w:fill="auto"/>
            <w:vAlign w:val="bottom"/>
          </w:tcPr>
          <w:p w:rsidR="00E71851" w:rsidRPr="00E71851" w:rsidRDefault="00E71851" w:rsidP="00E71851">
            <w:pPr>
              <w:pStyle w:val="TableText"/>
              <w:tabs>
                <w:tab w:val="decimal" w:pos="573"/>
              </w:tabs>
              <w:spacing w:before="0"/>
              <w:rPr>
                <w:rFonts w:cs="Arial"/>
                <w:color w:val="000000"/>
                <w:szCs w:val="22"/>
              </w:rPr>
            </w:pPr>
            <w:r w:rsidRPr="00E71851">
              <w:rPr>
                <w:rFonts w:cs="Arial"/>
                <w:color w:val="000000"/>
                <w:szCs w:val="22"/>
              </w:rPr>
              <w:t>7.2%</w:t>
            </w:r>
          </w:p>
        </w:tc>
      </w:tr>
      <w:tr w:rsidR="00E71851" w:rsidRPr="00F94D1D" w:rsidTr="00E71851">
        <w:trPr>
          <w:cantSplit/>
        </w:trPr>
        <w:tc>
          <w:tcPr>
            <w:tcW w:w="2501" w:type="pct"/>
            <w:tcBorders>
              <w:top w:val="nil"/>
              <w:left w:val="nil"/>
              <w:bottom w:val="nil"/>
              <w:right w:val="single" w:sz="4" w:space="0" w:color="A6A6A6"/>
            </w:tcBorders>
            <w:shd w:val="clear" w:color="auto" w:fill="auto"/>
          </w:tcPr>
          <w:p w:rsidR="00E71851" w:rsidRPr="004C5A92" w:rsidRDefault="00E71851" w:rsidP="00C0207A">
            <w:pPr>
              <w:pStyle w:val="TableBullet"/>
            </w:pPr>
            <w:r w:rsidRPr="004C5A92">
              <w:t>Other</w:t>
            </w:r>
            <w:r w:rsidR="00F74D3E">
              <w:t xml:space="preserve"> (includes European)</w:t>
            </w:r>
          </w:p>
        </w:tc>
        <w:tc>
          <w:tcPr>
            <w:tcW w:w="606" w:type="pct"/>
            <w:tcBorders>
              <w:top w:val="nil"/>
              <w:left w:val="single" w:sz="4" w:space="0" w:color="A6A6A6"/>
              <w:bottom w:val="nil"/>
              <w:right w:val="nil"/>
            </w:tcBorders>
            <w:shd w:val="clear" w:color="auto" w:fill="auto"/>
            <w:vAlign w:val="bottom"/>
          </w:tcPr>
          <w:p w:rsidR="00E71851" w:rsidRPr="00E71851" w:rsidRDefault="00E71851" w:rsidP="00E71851">
            <w:pPr>
              <w:pStyle w:val="TableText"/>
              <w:tabs>
                <w:tab w:val="decimal" w:pos="736"/>
              </w:tabs>
              <w:spacing w:before="0"/>
              <w:rPr>
                <w:rFonts w:cs="Arial"/>
                <w:color w:val="000000"/>
                <w:szCs w:val="22"/>
              </w:rPr>
            </w:pPr>
            <w:r w:rsidRPr="00E71851">
              <w:rPr>
                <w:rFonts w:cs="Arial"/>
                <w:color w:val="000000"/>
                <w:szCs w:val="22"/>
              </w:rPr>
              <w:t>18,130</w:t>
            </w:r>
          </w:p>
        </w:tc>
        <w:tc>
          <w:tcPr>
            <w:tcW w:w="606" w:type="pct"/>
            <w:tcBorders>
              <w:top w:val="nil"/>
              <w:left w:val="nil"/>
              <w:bottom w:val="nil"/>
              <w:right w:val="single" w:sz="4" w:space="0" w:color="A6A6A6"/>
            </w:tcBorders>
            <w:shd w:val="clear" w:color="auto" w:fill="auto"/>
            <w:vAlign w:val="center"/>
          </w:tcPr>
          <w:p w:rsidR="00E71851" w:rsidRPr="00D04127" w:rsidRDefault="00E71851" w:rsidP="00BB0CEB">
            <w:pPr>
              <w:pStyle w:val="TableText"/>
              <w:tabs>
                <w:tab w:val="decimal" w:pos="531"/>
              </w:tabs>
              <w:spacing w:before="0"/>
              <w:rPr>
                <w:rFonts w:cs="Arial"/>
                <w:color w:val="000000"/>
                <w:szCs w:val="22"/>
              </w:rPr>
            </w:pPr>
            <w:r w:rsidRPr="00D04127">
              <w:rPr>
                <w:rFonts w:cs="Arial"/>
                <w:color w:val="000000"/>
                <w:szCs w:val="22"/>
              </w:rPr>
              <w:t>17.4%</w:t>
            </w:r>
          </w:p>
        </w:tc>
        <w:tc>
          <w:tcPr>
            <w:tcW w:w="631" w:type="pct"/>
            <w:tcBorders>
              <w:top w:val="nil"/>
              <w:left w:val="single" w:sz="4" w:space="0" w:color="A6A6A6"/>
              <w:bottom w:val="nil"/>
              <w:right w:val="nil"/>
            </w:tcBorders>
            <w:shd w:val="clear" w:color="auto" w:fill="auto"/>
            <w:vAlign w:val="bottom"/>
          </w:tcPr>
          <w:p w:rsidR="00E71851" w:rsidRPr="00E71851" w:rsidRDefault="00E71851" w:rsidP="00E71851">
            <w:pPr>
              <w:pStyle w:val="TableText"/>
              <w:tabs>
                <w:tab w:val="decimal" w:pos="793"/>
              </w:tabs>
              <w:spacing w:before="0"/>
              <w:rPr>
                <w:rFonts w:cs="Arial"/>
                <w:color w:val="000000"/>
                <w:szCs w:val="22"/>
              </w:rPr>
            </w:pPr>
            <w:r w:rsidRPr="00E71851">
              <w:rPr>
                <w:rFonts w:cs="Arial"/>
                <w:color w:val="000000"/>
                <w:szCs w:val="22"/>
              </w:rPr>
              <w:t>281,731</w:t>
            </w:r>
          </w:p>
        </w:tc>
        <w:tc>
          <w:tcPr>
            <w:tcW w:w="656" w:type="pct"/>
            <w:tcBorders>
              <w:top w:val="nil"/>
              <w:left w:val="nil"/>
              <w:bottom w:val="nil"/>
              <w:right w:val="nil"/>
            </w:tcBorders>
            <w:shd w:val="clear" w:color="auto" w:fill="auto"/>
            <w:vAlign w:val="bottom"/>
          </w:tcPr>
          <w:p w:rsidR="00E71851" w:rsidRPr="00E71851" w:rsidRDefault="00E71851" w:rsidP="00E71851">
            <w:pPr>
              <w:pStyle w:val="TableText"/>
              <w:tabs>
                <w:tab w:val="decimal" w:pos="573"/>
              </w:tabs>
              <w:spacing w:before="0"/>
              <w:rPr>
                <w:rFonts w:cs="Arial"/>
                <w:color w:val="000000"/>
                <w:szCs w:val="22"/>
              </w:rPr>
            </w:pPr>
            <w:r w:rsidRPr="00E71851">
              <w:rPr>
                <w:rFonts w:cs="Arial"/>
                <w:color w:val="000000"/>
                <w:szCs w:val="22"/>
              </w:rPr>
              <w:t>62.1%</w:t>
            </w:r>
          </w:p>
        </w:tc>
      </w:tr>
      <w:tr w:rsidR="00E71851" w:rsidRPr="00F94D1D" w:rsidTr="00E71851">
        <w:trPr>
          <w:cantSplit/>
        </w:trPr>
        <w:tc>
          <w:tcPr>
            <w:tcW w:w="2501" w:type="pct"/>
            <w:tcBorders>
              <w:top w:val="nil"/>
              <w:left w:val="nil"/>
              <w:bottom w:val="single" w:sz="4" w:space="0" w:color="A6A6A6"/>
              <w:right w:val="single" w:sz="4" w:space="0" w:color="A6A6A6"/>
            </w:tcBorders>
            <w:shd w:val="clear" w:color="auto" w:fill="auto"/>
          </w:tcPr>
          <w:p w:rsidR="00E71851" w:rsidRPr="004C5A92" w:rsidRDefault="00E71851" w:rsidP="007A1E11">
            <w:pPr>
              <w:pStyle w:val="TableBullet"/>
            </w:pPr>
            <w:r w:rsidRPr="004C5A92">
              <w:t>Total</w:t>
            </w:r>
          </w:p>
        </w:tc>
        <w:tc>
          <w:tcPr>
            <w:tcW w:w="606" w:type="pct"/>
            <w:tcBorders>
              <w:top w:val="nil"/>
              <w:left w:val="single" w:sz="4" w:space="0" w:color="A6A6A6"/>
              <w:bottom w:val="single" w:sz="4" w:space="0" w:color="A6A6A6"/>
              <w:right w:val="nil"/>
            </w:tcBorders>
            <w:shd w:val="clear" w:color="auto" w:fill="auto"/>
            <w:vAlign w:val="bottom"/>
          </w:tcPr>
          <w:p w:rsidR="00E71851" w:rsidRPr="00E71851" w:rsidRDefault="00E71851" w:rsidP="00E71851">
            <w:pPr>
              <w:pStyle w:val="TableText"/>
              <w:tabs>
                <w:tab w:val="decimal" w:pos="736"/>
              </w:tabs>
              <w:spacing w:before="0"/>
              <w:rPr>
                <w:rFonts w:cs="Arial"/>
                <w:color w:val="000000"/>
                <w:szCs w:val="22"/>
              </w:rPr>
            </w:pPr>
            <w:r w:rsidRPr="00E71851">
              <w:rPr>
                <w:rFonts w:cs="Arial"/>
                <w:color w:val="000000"/>
                <w:szCs w:val="22"/>
              </w:rPr>
              <w:t>103,193</w:t>
            </w:r>
          </w:p>
        </w:tc>
        <w:tc>
          <w:tcPr>
            <w:tcW w:w="606" w:type="pct"/>
            <w:tcBorders>
              <w:top w:val="nil"/>
              <w:left w:val="nil"/>
              <w:bottom w:val="single" w:sz="4" w:space="0" w:color="A6A6A6"/>
              <w:right w:val="single" w:sz="4" w:space="0" w:color="A6A6A6"/>
            </w:tcBorders>
            <w:shd w:val="clear" w:color="auto" w:fill="auto"/>
            <w:vAlign w:val="center"/>
          </w:tcPr>
          <w:p w:rsidR="00E71851" w:rsidRPr="00D04127" w:rsidRDefault="00E71851" w:rsidP="00BB0CEB">
            <w:pPr>
              <w:pStyle w:val="TableText"/>
              <w:tabs>
                <w:tab w:val="decimal" w:pos="531"/>
              </w:tabs>
              <w:spacing w:before="0"/>
              <w:rPr>
                <w:rFonts w:cs="Arial"/>
                <w:color w:val="000000"/>
                <w:szCs w:val="22"/>
              </w:rPr>
            </w:pPr>
            <w:r w:rsidRPr="00D04127">
              <w:rPr>
                <w:rFonts w:cs="Arial"/>
                <w:color w:val="000000"/>
                <w:szCs w:val="22"/>
              </w:rPr>
              <w:t>100.0%</w:t>
            </w:r>
          </w:p>
        </w:tc>
        <w:tc>
          <w:tcPr>
            <w:tcW w:w="631" w:type="pct"/>
            <w:tcBorders>
              <w:top w:val="nil"/>
              <w:left w:val="single" w:sz="4" w:space="0" w:color="A6A6A6"/>
              <w:bottom w:val="single" w:sz="4" w:space="0" w:color="A6A6A6"/>
              <w:right w:val="nil"/>
            </w:tcBorders>
            <w:shd w:val="clear" w:color="auto" w:fill="auto"/>
            <w:vAlign w:val="bottom"/>
          </w:tcPr>
          <w:p w:rsidR="00E71851" w:rsidRPr="00E71851" w:rsidRDefault="00E71851" w:rsidP="00E71851">
            <w:pPr>
              <w:pStyle w:val="TableText"/>
              <w:tabs>
                <w:tab w:val="decimal" w:pos="793"/>
              </w:tabs>
              <w:spacing w:before="0"/>
              <w:rPr>
                <w:rFonts w:cs="Arial"/>
                <w:color w:val="000000"/>
                <w:szCs w:val="22"/>
              </w:rPr>
            </w:pPr>
            <w:r w:rsidRPr="00E71851">
              <w:rPr>
                <w:rFonts w:cs="Arial"/>
                <w:color w:val="000000"/>
                <w:szCs w:val="22"/>
              </w:rPr>
              <w:t>453,553</w:t>
            </w:r>
          </w:p>
        </w:tc>
        <w:tc>
          <w:tcPr>
            <w:tcW w:w="656" w:type="pct"/>
            <w:tcBorders>
              <w:top w:val="nil"/>
              <w:left w:val="nil"/>
              <w:bottom w:val="single" w:sz="4" w:space="0" w:color="A6A6A6"/>
              <w:right w:val="nil"/>
            </w:tcBorders>
            <w:shd w:val="clear" w:color="auto" w:fill="auto"/>
            <w:vAlign w:val="bottom"/>
          </w:tcPr>
          <w:p w:rsidR="00E71851" w:rsidRPr="00E71851" w:rsidRDefault="00E71851" w:rsidP="00E71851">
            <w:pPr>
              <w:pStyle w:val="TableText"/>
              <w:tabs>
                <w:tab w:val="decimal" w:pos="573"/>
              </w:tabs>
              <w:spacing w:before="0"/>
              <w:rPr>
                <w:rFonts w:cs="Arial"/>
                <w:color w:val="000000"/>
                <w:szCs w:val="22"/>
              </w:rPr>
            </w:pPr>
            <w:r w:rsidRPr="00E71851">
              <w:rPr>
                <w:rFonts w:cs="Arial"/>
                <w:color w:val="000000"/>
                <w:szCs w:val="22"/>
              </w:rPr>
              <w:t>100.0%</w:t>
            </w:r>
          </w:p>
        </w:tc>
      </w:tr>
      <w:tr w:rsidR="00457B04" w:rsidRPr="00C722BB" w:rsidTr="00D04127">
        <w:trPr>
          <w:cantSplit/>
        </w:trPr>
        <w:tc>
          <w:tcPr>
            <w:tcW w:w="2501" w:type="pct"/>
            <w:tcBorders>
              <w:top w:val="single" w:sz="4" w:space="0" w:color="A6A6A6"/>
              <w:left w:val="nil"/>
              <w:bottom w:val="nil"/>
              <w:right w:val="single" w:sz="4" w:space="0" w:color="A6A6A6"/>
            </w:tcBorders>
            <w:shd w:val="clear" w:color="auto" w:fill="auto"/>
          </w:tcPr>
          <w:p w:rsidR="00457B04" w:rsidRPr="004C5A92" w:rsidRDefault="00457B04" w:rsidP="007A1E11">
            <w:pPr>
              <w:pStyle w:val="TableText"/>
              <w:rPr>
                <w:b/>
              </w:rPr>
            </w:pPr>
            <w:r w:rsidRPr="004C5A92">
              <w:rPr>
                <w:b/>
              </w:rPr>
              <w:t>Age</w:t>
            </w:r>
          </w:p>
        </w:tc>
        <w:tc>
          <w:tcPr>
            <w:tcW w:w="606" w:type="pct"/>
            <w:tcBorders>
              <w:top w:val="single" w:sz="4" w:space="0" w:color="A6A6A6"/>
              <w:left w:val="single" w:sz="4" w:space="0" w:color="A6A6A6"/>
              <w:bottom w:val="nil"/>
              <w:right w:val="nil"/>
            </w:tcBorders>
            <w:shd w:val="clear" w:color="auto" w:fill="auto"/>
            <w:vAlign w:val="center"/>
          </w:tcPr>
          <w:p w:rsidR="00457B04" w:rsidRPr="004C5A92" w:rsidRDefault="00457B04" w:rsidP="00BB0CEB">
            <w:pPr>
              <w:pStyle w:val="TableText"/>
              <w:tabs>
                <w:tab w:val="decimal" w:pos="736"/>
              </w:tabs>
              <w:rPr>
                <w:szCs w:val="18"/>
                <w:highlight w:val="yellow"/>
              </w:rPr>
            </w:pPr>
          </w:p>
        </w:tc>
        <w:tc>
          <w:tcPr>
            <w:tcW w:w="606" w:type="pct"/>
            <w:tcBorders>
              <w:top w:val="single" w:sz="4" w:space="0" w:color="A6A6A6"/>
              <w:left w:val="nil"/>
              <w:bottom w:val="nil"/>
              <w:right w:val="single" w:sz="4" w:space="0" w:color="A6A6A6"/>
            </w:tcBorders>
            <w:shd w:val="clear" w:color="auto" w:fill="auto"/>
            <w:vAlign w:val="center"/>
          </w:tcPr>
          <w:p w:rsidR="00457B04" w:rsidRPr="004C5A92" w:rsidRDefault="00457B04" w:rsidP="00BB0CEB">
            <w:pPr>
              <w:pStyle w:val="TableText"/>
              <w:tabs>
                <w:tab w:val="decimal" w:pos="531"/>
              </w:tabs>
              <w:rPr>
                <w:szCs w:val="18"/>
                <w:highlight w:val="yellow"/>
              </w:rPr>
            </w:pPr>
          </w:p>
        </w:tc>
        <w:tc>
          <w:tcPr>
            <w:tcW w:w="631" w:type="pct"/>
            <w:tcBorders>
              <w:top w:val="single" w:sz="4" w:space="0" w:color="A6A6A6"/>
              <w:left w:val="single" w:sz="4" w:space="0" w:color="A6A6A6"/>
              <w:bottom w:val="nil"/>
              <w:right w:val="nil"/>
            </w:tcBorders>
            <w:shd w:val="clear" w:color="auto" w:fill="auto"/>
            <w:vAlign w:val="center"/>
          </w:tcPr>
          <w:p w:rsidR="00457B04" w:rsidRPr="004C5A92" w:rsidRDefault="00457B04" w:rsidP="00BB0CEB">
            <w:pPr>
              <w:pStyle w:val="TableText"/>
              <w:tabs>
                <w:tab w:val="decimal" w:pos="793"/>
              </w:tabs>
              <w:rPr>
                <w:szCs w:val="18"/>
                <w:highlight w:val="yellow"/>
              </w:rPr>
            </w:pPr>
          </w:p>
        </w:tc>
        <w:tc>
          <w:tcPr>
            <w:tcW w:w="656" w:type="pct"/>
            <w:tcBorders>
              <w:top w:val="single" w:sz="4" w:space="0" w:color="A6A6A6"/>
              <w:left w:val="nil"/>
              <w:bottom w:val="nil"/>
              <w:right w:val="nil"/>
            </w:tcBorders>
            <w:shd w:val="clear" w:color="auto" w:fill="auto"/>
            <w:vAlign w:val="center"/>
          </w:tcPr>
          <w:p w:rsidR="00457B04" w:rsidRPr="004C5A92" w:rsidRDefault="00457B04" w:rsidP="00BB0CEB">
            <w:pPr>
              <w:pStyle w:val="TableText"/>
              <w:tabs>
                <w:tab w:val="decimal" w:pos="573"/>
              </w:tabs>
              <w:rPr>
                <w:szCs w:val="18"/>
                <w:highlight w:val="yellow"/>
              </w:rPr>
            </w:pPr>
          </w:p>
        </w:tc>
      </w:tr>
      <w:tr w:rsidR="00E71851" w:rsidRPr="00F94D1D" w:rsidTr="00E71851">
        <w:trPr>
          <w:cantSplit/>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0–14</w:t>
            </w:r>
          </w:p>
        </w:tc>
        <w:tc>
          <w:tcPr>
            <w:tcW w:w="606"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28,588</w:t>
            </w:r>
          </w:p>
        </w:tc>
        <w:tc>
          <w:tcPr>
            <w:tcW w:w="606" w:type="pct"/>
            <w:tcBorders>
              <w:top w:val="nil"/>
              <w:left w:val="nil"/>
              <w:bottom w:val="nil"/>
              <w:right w:val="single" w:sz="4" w:space="0" w:color="A6A6A6"/>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27.7%</w:t>
            </w:r>
          </w:p>
        </w:tc>
        <w:tc>
          <w:tcPr>
            <w:tcW w:w="631"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102,968</w:t>
            </w:r>
          </w:p>
        </w:tc>
        <w:tc>
          <w:tcPr>
            <w:tcW w:w="656" w:type="pct"/>
            <w:tcBorders>
              <w:top w:val="nil"/>
              <w:left w:val="nil"/>
              <w:bottom w:val="nil"/>
              <w:right w:val="nil"/>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22.7%</w:t>
            </w:r>
          </w:p>
        </w:tc>
      </w:tr>
      <w:tr w:rsidR="00E71851" w:rsidRPr="00F94D1D" w:rsidTr="00E71851">
        <w:trPr>
          <w:cantSplit/>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15–24</w:t>
            </w:r>
          </w:p>
        </w:tc>
        <w:tc>
          <w:tcPr>
            <w:tcW w:w="606"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17,356</w:t>
            </w:r>
          </w:p>
        </w:tc>
        <w:tc>
          <w:tcPr>
            <w:tcW w:w="606" w:type="pct"/>
            <w:tcBorders>
              <w:top w:val="nil"/>
              <w:left w:val="nil"/>
              <w:bottom w:val="nil"/>
              <w:right w:val="single" w:sz="4" w:space="0" w:color="A6A6A6"/>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16.8%</w:t>
            </w:r>
          </w:p>
        </w:tc>
        <w:tc>
          <w:tcPr>
            <w:tcW w:w="631"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61,888</w:t>
            </w:r>
          </w:p>
        </w:tc>
        <w:tc>
          <w:tcPr>
            <w:tcW w:w="656" w:type="pct"/>
            <w:tcBorders>
              <w:top w:val="nil"/>
              <w:left w:val="nil"/>
              <w:bottom w:val="nil"/>
              <w:right w:val="nil"/>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13.6%</w:t>
            </w:r>
          </w:p>
        </w:tc>
      </w:tr>
      <w:tr w:rsidR="00E71851" w:rsidRPr="00F94D1D" w:rsidTr="00E71851">
        <w:trPr>
          <w:cantSplit/>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25–44</w:t>
            </w:r>
          </w:p>
        </w:tc>
        <w:tc>
          <w:tcPr>
            <w:tcW w:w="606"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26,393</w:t>
            </w:r>
          </w:p>
        </w:tc>
        <w:tc>
          <w:tcPr>
            <w:tcW w:w="606" w:type="pct"/>
            <w:tcBorders>
              <w:top w:val="nil"/>
              <w:left w:val="nil"/>
              <w:bottom w:val="nil"/>
              <w:right w:val="single" w:sz="4" w:space="0" w:color="A6A6A6"/>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25.6%</w:t>
            </w:r>
          </w:p>
        </w:tc>
        <w:tc>
          <w:tcPr>
            <w:tcW w:w="631"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111,476</w:t>
            </w:r>
          </w:p>
        </w:tc>
        <w:tc>
          <w:tcPr>
            <w:tcW w:w="656" w:type="pct"/>
            <w:tcBorders>
              <w:top w:val="nil"/>
              <w:left w:val="nil"/>
              <w:bottom w:val="nil"/>
              <w:right w:val="nil"/>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24.6%</w:t>
            </w:r>
          </w:p>
        </w:tc>
      </w:tr>
      <w:tr w:rsidR="00E71851" w:rsidRPr="00F94D1D" w:rsidTr="00E71851">
        <w:trPr>
          <w:cantSplit/>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45–64</w:t>
            </w:r>
          </w:p>
        </w:tc>
        <w:tc>
          <w:tcPr>
            <w:tcW w:w="606"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21,582</w:t>
            </w:r>
          </w:p>
        </w:tc>
        <w:tc>
          <w:tcPr>
            <w:tcW w:w="606" w:type="pct"/>
            <w:tcBorders>
              <w:top w:val="nil"/>
              <w:left w:val="nil"/>
              <w:bottom w:val="nil"/>
              <w:right w:val="single" w:sz="4" w:space="0" w:color="A6A6A6"/>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20.9%</w:t>
            </w:r>
          </w:p>
        </w:tc>
        <w:tc>
          <w:tcPr>
            <w:tcW w:w="631"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114,696</w:t>
            </w:r>
          </w:p>
        </w:tc>
        <w:tc>
          <w:tcPr>
            <w:tcW w:w="656" w:type="pct"/>
            <w:tcBorders>
              <w:top w:val="nil"/>
              <w:left w:val="nil"/>
              <w:bottom w:val="nil"/>
              <w:right w:val="nil"/>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25.3%</w:t>
            </w:r>
          </w:p>
        </w:tc>
      </w:tr>
      <w:tr w:rsidR="00E71851" w:rsidRPr="00F94D1D" w:rsidTr="00E71851">
        <w:trPr>
          <w:cantSplit/>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65+</w:t>
            </w:r>
          </w:p>
        </w:tc>
        <w:tc>
          <w:tcPr>
            <w:tcW w:w="606"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9,274</w:t>
            </w:r>
          </w:p>
        </w:tc>
        <w:tc>
          <w:tcPr>
            <w:tcW w:w="606" w:type="pct"/>
            <w:tcBorders>
              <w:top w:val="nil"/>
              <w:left w:val="nil"/>
              <w:bottom w:val="nil"/>
              <w:right w:val="single" w:sz="4" w:space="0" w:color="A6A6A6"/>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9.0%</w:t>
            </w:r>
          </w:p>
        </w:tc>
        <w:tc>
          <w:tcPr>
            <w:tcW w:w="631"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62,520</w:t>
            </w:r>
          </w:p>
        </w:tc>
        <w:tc>
          <w:tcPr>
            <w:tcW w:w="656" w:type="pct"/>
            <w:tcBorders>
              <w:top w:val="nil"/>
              <w:left w:val="nil"/>
              <w:bottom w:val="nil"/>
              <w:right w:val="nil"/>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13.8%</w:t>
            </w:r>
          </w:p>
        </w:tc>
      </w:tr>
      <w:tr w:rsidR="00E71851" w:rsidRPr="00F94D1D" w:rsidTr="00E71851">
        <w:trPr>
          <w:cantSplit/>
        </w:trPr>
        <w:tc>
          <w:tcPr>
            <w:tcW w:w="2501" w:type="pct"/>
            <w:tcBorders>
              <w:top w:val="nil"/>
              <w:left w:val="nil"/>
              <w:bottom w:val="single" w:sz="4" w:space="0" w:color="A6A6A6"/>
              <w:right w:val="single" w:sz="4" w:space="0" w:color="A6A6A6"/>
            </w:tcBorders>
            <w:shd w:val="clear" w:color="auto" w:fill="auto"/>
          </w:tcPr>
          <w:p w:rsidR="00E71851" w:rsidRPr="004C5A92" w:rsidRDefault="00E71851" w:rsidP="007A1E11">
            <w:pPr>
              <w:pStyle w:val="TableBullet"/>
            </w:pPr>
            <w:r w:rsidRPr="004C5A92">
              <w:t>Total</w:t>
            </w:r>
          </w:p>
        </w:tc>
        <w:tc>
          <w:tcPr>
            <w:tcW w:w="606" w:type="pct"/>
            <w:tcBorders>
              <w:top w:val="nil"/>
              <w:left w:val="single" w:sz="4" w:space="0" w:color="A6A6A6"/>
              <w:bottom w:val="single" w:sz="4" w:space="0" w:color="A6A6A6"/>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103,193</w:t>
            </w:r>
          </w:p>
        </w:tc>
        <w:tc>
          <w:tcPr>
            <w:tcW w:w="606" w:type="pct"/>
            <w:tcBorders>
              <w:top w:val="nil"/>
              <w:left w:val="nil"/>
              <w:bottom w:val="single" w:sz="4" w:space="0" w:color="A6A6A6"/>
              <w:right w:val="single" w:sz="4" w:space="0" w:color="A6A6A6"/>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100.0%</w:t>
            </w:r>
          </w:p>
        </w:tc>
        <w:tc>
          <w:tcPr>
            <w:tcW w:w="631" w:type="pct"/>
            <w:tcBorders>
              <w:top w:val="nil"/>
              <w:left w:val="single" w:sz="4" w:space="0" w:color="A6A6A6"/>
              <w:bottom w:val="single" w:sz="4" w:space="0" w:color="A6A6A6"/>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453,548</w:t>
            </w:r>
          </w:p>
        </w:tc>
        <w:tc>
          <w:tcPr>
            <w:tcW w:w="656" w:type="pct"/>
            <w:tcBorders>
              <w:top w:val="nil"/>
              <w:left w:val="nil"/>
              <w:bottom w:val="single" w:sz="4" w:space="0" w:color="A6A6A6"/>
              <w:right w:val="nil"/>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100.0%</w:t>
            </w:r>
          </w:p>
        </w:tc>
      </w:tr>
      <w:tr w:rsidR="00457B04" w:rsidRPr="00C722BB" w:rsidTr="00D04127">
        <w:trPr>
          <w:cantSplit/>
        </w:trPr>
        <w:tc>
          <w:tcPr>
            <w:tcW w:w="2501" w:type="pct"/>
            <w:tcBorders>
              <w:top w:val="single" w:sz="4" w:space="0" w:color="A6A6A6"/>
              <w:left w:val="nil"/>
              <w:bottom w:val="nil"/>
              <w:right w:val="single" w:sz="4" w:space="0" w:color="A6A6A6"/>
            </w:tcBorders>
            <w:shd w:val="clear" w:color="auto" w:fill="auto"/>
          </w:tcPr>
          <w:p w:rsidR="00457B04" w:rsidRPr="004C5A92" w:rsidRDefault="00457B04" w:rsidP="007A1E11">
            <w:pPr>
              <w:pStyle w:val="TableText"/>
              <w:rPr>
                <w:b/>
              </w:rPr>
            </w:pPr>
            <w:r w:rsidRPr="004C5A92">
              <w:rPr>
                <w:b/>
              </w:rPr>
              <w:t>Sex</w:t>
            </w:r>
          </w:p>
        </w:tc>
        <w:tc>
          <w:tcPr>
            <w:tcW w:w="606" w:type="pct"/>
            <w:tcBorders>
              <w:top w:val="single" w:sz="4" w:space="0" w:color="A6A6A6"/>
              <w:left w:val="single" w:sz="4" w:space="0" w:color="A6A6A6"/>
              <w:bottom w:val="nil"/>
              <w:right w:val="nil"/>
            </w:tcBorders>
            <w:shd w:val="clear" w:color="auto" w:fill="auto"/>
            <w:vAlign w:val="center"/>
          </w:tcPr>
          <w:p w:rsidR="00457B04" w:rsidRPr="00FE6F8E" w:rsidRDefault="00457B04" w:rsidP="00FE6F8E">
            <w:pPr>
              <w:pStyle w:val="TableText"/>
              <w:tabs>
                <w:tab w:val="decimal" w:pos="736"/>
              </w:tabs>
              <w:spacing w:before="0"/>
              <w:rPr>
                <w:rFonts w:cs="Arial"/>
                <w:color w:val="000000"/>
                <w:szCs w:val="22"/>
              </w:rPr>
            </w:pPr>
          </w:p>
        </w:tc>
        <w:tc>
          <w:tcPr>
            <w:tcW w:w="606" w:type="pct"/>
            <w:tcBorders>
              <w:top w:val="single" w:sz="4" w:space="0" w:color="A6A6A6"/>
              <w:left w:val="nil"/>
              <w:bottom w:val="nil"/>
              <w:right w:val="single" w:sz="4" w:space="0" w:color="A6A6A6"/>
            </w:tcBorders>
            <w:shd w:val="clear" w:color="auto" w:fill="auto"/>
            <w:vAlign w:val="center"/>
          </w:tcPr>
          <w:p w:rsidR="00457B04" w:rsidRPr="00FE6F8E" w:rsidRDefault="00457B04" w:rsidP="00FE6F8E">
            <w:pPr>
              <w:pStyle w:val="TableText"/>
              <w:tabs>
                <w:tab w:val="decimal" w:pos="573"/>
              </w:tabs>
              <w:spacing w:before="0"/>
              <w:rPr>
                <w:rFonts w:cs="Arial"/>
                <w:color w:val="000000"/>
                <w:szCs w:val="22"/>
              </w:rPr>
            </w:pPr>
          </w:p>
        </w:tc>
        <w:tc>
          <w:tcPr>
            <w:tcW w:w="631" w:type="pct"/>
            <w:tcBorders>
              <w:top w:val="single" w:sz="4" w:space="0" w:color="A6A6A6"/>
              <w:left w:val="single" w:sz="4" w:space="0" w:color="A6A6A6"/>
              <w:bottom w:val="nil"/>
              <w:right w:val="nil"/>
            </w:tcBorders>
            <w:shd w:val="clear" w:color="auto" w:fill="auto"/>
            <w:vAlign w:val="center"/>
          </w:tcPr>
          <w:p w:rsidR="00457B04" w:rsidRPr="00FE6F8E" w:rsidRDefault="00457B04" w:rsidP="00FE6F8E">
            <w:pPr>
              <w:pStyle w:val="TableText"/>
              <w:tabs>
                <w:tab w:val="decimal" w:pos="736"/>
              </w:tabs>
              <w:spacing w:before="0"/>
              <w:rPr>
                <w:rFonts w:cs="Arial"/>
                <w:color w:val="000000"/>
                <w:szCs w:val="22"/>
              </w:rPr>
            </w:pPr>
          </w:p>
        </w:tc>
        <w:tc>
          <w:tcPr>
            <w:tcW w:w="656" w:type="pct"/>
            <w:tcBorders>
              <w:top w:val="single" w:sz="4" w:space="0" w:color="A6A6A6"/>
              <w:left w:val="nil"/>
              <w:bottom w:val="nil"/>
              <w:right w:val="nil"/>
            </w:tcBorders>
            <w:shd w:val="clear" w:color="auto" w:fill="auto"/>
            <w:vAlign w:val="center"/>
          </w:tcPr>
          <w:p w:rsidR="00457B04" w:rsidRPr="00FE6F8E" w:rsidRDefault="00457B04" w:rsidP="00FE6F8E">
            <w:pPr>
              <w:pStyle w:val="TableText"/>
              <w:tabs>
                <w:tab w:val="decimal" w:pos="573"/>
              </w:tabs>
              <w:spacing w:before="0"/>
              <w:rPr>
                <w:rFonts w:cs="Arial"/>
                <w:color w:val="000000"/>
                <w:szCs w:val="22"/>
              </w:rPr>
            </w:pPr>
          </w:p>
        </w:tc>
      </w:tr>
      <w:tr w:rsidR="00E71851" w:rsidRPr="00560FB1" w:rsidTr="00E71851">
        <w:trPr>
          <w:cantSplit/>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Male</w:t>
            </w:r>
          </w:p>
        </w:tc>
        <w:tc>
          <w:tcPr>
            <w:tcW w:w="606"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49,785</w:t>
            </w:r>
          </w:p>
        </w:tc>
        <w:tc>
          <w:tcPr>
            <w:tcW w:w="606" w:type="pct"/>
            <w:tcBorders>
              <w:top w:val="nil"/>
              <w:left w:val="nil"/>
              <w:bottom w:val="nil"/>
              <w:right w:val="single" w:sz="4" w:space="0" w:color="A6A6A6"/>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48.2%</w:t>
            </w:r>
          </w:p>
        </w:tc>
        <w:tc>
          <w:tcPr>
            <w:tcW w:w="631"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218,458</w:t>
            </w:r>
          </w:p>
        </w:tc>
        <w:tc>
          <w:tcPr>
            <w:tcW w:w="656" w:type="pct"/>
            <w:tcBorders>
              <w:top w:val="nil"/>
              <w:left w:val="nil"/>
              <w:bottom w:val="nil"/>
              <w:right w:val="nil"/>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48.2%</w:t>
            </w:r>
          </w:p>
        </w:tc>
      </w:tr>
      <w:tr w:rsidR="00E71851" w:rsidRPr="00560FB1" w:rsidTr="00E71851">
        <w:trPr>
          <w:cantSplit/>
        </w:trPr>
        <w:tc>
          <w:tcPr>
            <w:tcW w:w="2501" w:type="pct"/>
            <w:tcBorders>
              <w:top w:val="nil"/>
              <w:left w:val="nil"/>
              <w:bottom w:val="nil"/>
              <w:right w:val="single" w:sz="4" w:space="0" w:color="A6A6A6"/>
            </w:tcBorders>
            <w:shd w:val="clear" w:color="auto" w:fill="auto"/>
          </w:tcPr>
          <w:p w:rsidR="00E71851" w:rsidRPr="004C5A92" w:rsidRDefault="00E71851" w:rsidP="007A1E11">
            <w:pPr>
              <w:pStyle w:val="TableBullet"/>
            </w:pPr>
            <w:r w:rsidRPr="004C5A92">
              <w:t>Female</w:t>
            </w:r>
          </w:p>
        </w:tc>
        <w:tc>
          <w:tcPr>
            <w:tcW w:w="606"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53,408</w:t>
            </w:r>
          </w:p>
        </w:tc>
        <w:tc>
          <w:tcPr>
            <w:tcW w:w="606" w:type="pct"/>
            <w:tcBorders>
              <w:top w:val="nil"/>
              <w:left w:val="nil"/>
              <w:bottom w:val="nil"/>
              <w:right w:val="single" w:sz="4" w:space="0" w:color="A6A6A6"/>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51.8%</w:t>
            </w:r>
          </w:p>
        </w:tc>
        <w:tc>
          <w:tcPr>
            <w:tcW w:w="631" w:type="pct"/>
            <w:tcBorders>
              <w:top w:val="nil"/>
              <w:left w:val="single" w:sz="4" w:space="0" w:color="A6A6A6"/>
              <w:bottom w:val="nil"/>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235,092</w:t>
            </w:r>
          </w:p>
        </w:tc>
        <w:tc>
          <w:tcPr>
            <w:tcW w:w="656" w:type="pct"/>
            <w:tcBorders>
              <w:top w:val="nil"/>
              <w:left w:val="nil"/>
              <w:bottom w:val="nil"/>
              <w:right w:val="nil"/>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51.8%</w:t>
            </w:r>
          </w:p>
        </w:tc>
      </w:tr>
      <w:tr w:rsidR="00E71851" w:rsidRPr="00560FB1" w:rsidTr="00E71851">
        <w:trPr>
          <w:cantSplit/>
        </w:trPr>
        <w:tc>
          <w:tcPr>
            <w:tcW w:w="2501" w:type="pct"/>
            <w:tcBorders>
              <w:top w:val="nil"/>
              <w:left w:val="nil"/>
              <w:bottom w:val="single" w:sz="4" w:space="0" w:color="A6A6A6"/>
              <w:right w:val="single" w:sz="4" w:space="0" w:color="A6A6A6"/>
            </w:tcBorders>
            <w:shd w:val="clear" w:color="auto" w:fill="auto"/>
          </w:tcPr>
          <w:p w:rsidR="00E71851" w:rsidRPr="004C5A92" w:rsidRDefault="00E71851" w:rsidP="007A1E11">
            <w:pPr>
              <w:pStyle w:val="TableBullet"/>
            </w:pPr>
            <w:r w:rsidRPr="004C5A92">
              <w:t>Total</w:t>
            </w:r>
          </w:p>
        </w:tc>
        <w:tc>
          <w:tcPr>
            <w:tcW w:w="606" w:type="pct"/>
            <w:tcBorders>
              <w:top w:val="nil"/>
              <w:left w:val="single" w:sz="4" w:space="0" w:color="A6A6A6"/>
              <w:bottom w:val="single" w:sz="4" w:space="0" w:color="A6A6A6"/>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103,193</w:t>
            </w:r>
          </w:p>
        </w:tc>
        <w:tc>
          <w:tcPr>
            <w:tcW w:w="606" w:type="pct"/>
            <w:tcBorders>
              <w:top w:val="nil"/>
              <w:left w:val="nil"/>
              <w:bottom w:val="single" w:sz="4" w:space="0" w:color="A6A6A6"/>
              <w:right w:val="single" w:sz="4" w:space="0" w:color="A6A6A6"/>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100.0%</w:t>
            </w:r>
          </w:p>
        </w:tc>
        <w:tc>
          <w:tcPr>
            <w:tcW w:w="631" w:type="pct"/>
            <w:tcBorders>
              <w:top w:val="nil"/>
              <w:left w:val="single" w:sz="4" w:space="0" w:color="A6A6A6"/>
              <w:bottom w:val="single" w:sz="4" w:space="0" w:color="A6A6A6"/>
              <w:right w:val="nil"/>
            </w:tcBorders>
            <w:shd w:val="clear" w:color="auto" w:fill="auto"/>
            <w:vAlign w:val="bottom"/>
          </w:tcPr>
          <w:p w:rsidR="00E71851" w:rsidRPr="00FE6F8E" w:rsidRDefault="00E71851" w:rsidP="00FE6F8E">
            <w:pPr>
              <w:pStyle w:val="TableText"/>
              <w:tabs>
                <w:tab w:val="decimal" w:pos="736"/>
              </w:tabs>
              <w:spacing w:before="0"/>
              <w:rPr>
                <w:rFonts w:cs="Arial"/>
                <w:color w:val="000000"/>
                <w:szCs w:val="22"/>
              </w:rPr>
            </w:pPr>
            <w:r w:rsidRPr="00FE6F8E">
              <w:rPr>
                <w:rFonts w:cs="Arial"/>
                <w:color w:val="000000"/>
                <w:szCs w:val="22"/>
              </w:rPr>
              <w:t>453,550</w:t>
            </w:r>
          </w:p>
        </w:tc>
        <w:tc>
          <w:tcPr>
            <w:tcW w:w="656" w:type="pct"/>
            <w:tcBorders>
              <w:top w:val="nil"/>
              <w:left w:val="nil"/>
              <w:bottom w:val="single" w:sz="4" w:space="0" w:color="A6A6A6"/>
              <w:right w:val="nil"/>
            </w:tcBorders>
            <w:shd w:val="clear" w:color="auto" w:fill="auto"/>
            <w:vAlign w:val="bottom"/>
          </w:tcPr>
          <w:p w:rsidR="00E71851" w:rsidRPr="00FE6F8E" w:rsidRDefault="00E71851" w:rsidP="00FE6F8E">
            <w:pPr>
              <w:pStyle w:val="TableText"/>
              <w:tabs>
                <w:tab w:val="decimal" w:pos="573"/>
              </w:tabs>
              <w:spacing w:before="0"/>
              <w:rPr>
                <w:rFonts w:cs="Arial"/>
                <w:color w:val="000000"/>
                <w:szCs w:val="22"/>
              </w:rPr>
            </w:pPr>
            <w:r w:rsidRPr="00FE6F8E">
              <w:rPr>
                <w:rFonts w:cs="Arial"/>
                <w:color w:val="000000"/>
                <w:szCs w:val="22"/>
              </w:rPr>
              <w:t>100.0%</w:t>
            </w:r>
          </w:p>
        </w:tc>
      </w:tr>
      <w:tr w:rsidR="00457B04" w:rsidRPr="00C722BB" w:rsidTr="00D04127">
        <w:trPr>
          <w:cantSplit/>
        </w:trPr>
        <w:tc>
          <w:tcPr>
            <w:tcW w:w="2501" w:type="pct"/>
            <w:tcBorders>
              <w:top w:val="single" w:sz="4" w:space="0" w:color="A6A6A6"/>
              <w:left w:val="nil"/>
              <w:bottom w:val="nil"/>
              <w:right w:val="single" w:sz="4" w:space="0" w:color="A6A6A6"/>
            </w:tcBorders>
            <w:shd w:val="clear" w:color="auto" w:fill="auto"/>
          </w:tcPr>
          <w:p w:rsidR="00457B04" w:rsidRPr="004C5A92" w:rsidRDefault="00457B04" w:rsidP="007A1E11">
            <w:pPr>
              <w:pStyle w:val="TableText"/>
              <w:rPr>
                <w:b/>
              </w:rPr>
            </w:pPr>
            <w:r w:rsidRPr="004C5A92">
              <w:rPr>
                <w:b/>
              </w:rPr>
              <w:t>Deprivation</w:t>
            </w:r>
          </w:p>
        </w:tc>
        <w:tc>
          <w:tcPr>
            <w:tcW w:w="606" w:type="pct"/>
            <w:tcBorders>
              <w:top w:val="single" w:sz="4" w:space="0" w:color="A6A6A6"/>
              <w:left w:val="single" w:sz="4" w:space="0" w:color="A6A6A6"/>
              <w:bottom w:val="nil"/>
              <w:right w:val="nil"/>
            </w:tcBorders>
            <w:shd w:val="clear" w:color="auto" w:fill="auto"/>
            <w:vAlign w:val="center"/>
          </w:tcPr>
          <w:p w:rsidR="00457B04" w:rsidRPr="00FE6F8E" w:rsidRDefault="00457B04" w:rsidP="00FE6F8E">
            <w:pPr>
              <w:pStyle w:val="TableText"/>
              <w:tabs>
                <w:tab w:val="decimal" w:pos="736"/>
              </w:tabs>
              <w:spacing w:before="0"/>
              <w:rPr>
                <w:rFonts w:cs="Arial"/>
                <w:color w:val="000000"/>
                <w:szCs w:val="22"/>
              </w:rPr>
            </w:pPr>
          </w:p>
        </w:tc>
        <w:tc>
          <w:tcPr>
            <w:tcW w:w="606" w:type="pct"/>
            <w:tcBorders>
              <w:top w:val="single" w:sz="4" w:space="0" w:color="A6A6A6"/>
              <w:left w:val="nil"/>
              <w:bottom w:val="nil"/>
              <w:right w:val="single" w:sz="4" w:space="0" w:color="A6A6A6"/>
            </w:tcBorders>
            <w:shd w:val="clear" w:color="auto" w:fill="auto"/>
            <w:vAlign w:val="center"/>
          </w:tcPr>
          <w:p w:rsidR="00457B04" w:rsidRPr="00FE6F8E" w:rsidRDefault="00457B04" w:rsidP="00FE6F8E">
            <w:pPr>
              <w:pStyle w:val="TableText"/>
              <w:tabs>
                <w:tab w:val="decimal" w:pos="573"/>
              </w:tabs>
              <w:spacing w:before="0"/>
              <w:rPr>
                <w:rFonts w:cs="Arial"/>
                <w:color w:val="000000"/>
                <w:szCs w:val="22"/>
              </w:rPr>
            </w:pPr>
          </w:p>
        </w:tc>
        <w:tc>
          <w:tcPr>
            <w:tcW w:w="631" w:type="pct"/>
            <w:tcBorders>
              <w:top w:val="single" w:sz="4" w:space="0" w:color="A6A6A6"/>
              <w:left w:val="single" w:sz="4" w:space="0" w:color="A6A6A6"/>
              <w:bottom w:val="nil"/>
              <w:right w:val="nil"/>
            </w:tcBorders>
            <w:shd w:val="clear" w:color="auto" w:fill="auto"/>
            <w:vAlign w:val="center"/>
          </w:tcPr>
          <w:p w:rsidR="00457B04" w:rsidRPr="00FE6F8E" w:rsidRDefault="00457B04" w:rsidP="00FE6F8E">
            <w:pPr>
              <w:pStyle w:val="TableText"/>
              <w:tabs>
                <w:tab w:val="decimal" w:pos="736"/>
              </w:tabs>
              <w:spacing w:before="0"/>
              <w:rPr>
                <w:rFonts w:cs="Arial"/>
                <w:color w:val="000000"/>
                <w:szCs w:val="22"/>
              </w:rPr>
            </w:pPr>
          </w:p>
        </w:tc>
        <w:tc>
          <w:tcPr>
            <w:tcW w:w="656" w:type="pct"/>
            <w:tcBorders>
              <w:top w:val="single" w:sz="4" w:space="0" w:color="A6A6A6"/>
              <w:left w:val="nil"/>
              <w:bottom w:val="nil"/>
              <w:right w:val="nil"/>
            </w:tcBorders>
            <w:shd w:val="clear" w:color="auto" w:fill="auto"/>
            <w:vAlign w:val="center"/>
          </w:tcPr>
          <w:p w:rsidR="00457B04" w:rsidRPr="00FE6F8E" w:rsidRDefault="00457B04" w:rsidP="00FE6F8E">
            <w:pPr>
              <w:pStyle w:val="TableText"/>
              <w:tabs>
                <w:tab w:val="decimal" w:pos="573"/>
              </w:tabs>
              <w:spacing w:before="0"/>
              <w:rPr>
                <w:rFonts w:cs="Arial"/>
                <w:color w:val="000000"/>
                <w:szCs w:val="22"/>
              </w:rPr>
            </w:pPr>
          </w:p>
        </w:tc>
      </w:tr>
      <w:tr w:rsidR="00FE6F8E" w:rsidRPr="00C722BB" w:rsidTr="00F4776F">
        <w:trPr>
          <w:cantSplit/>
        </w:trPr>
        <w:tc>
          <w:tcPr>
            <w:tcW w:w="2501" w:type="pct"/>
            <w:tcBorders>
              <w:top w:val="nil"/>
              <w:left w:val="nil"/>
              <w:bottom w:val="nil"/>
              <w:right w:val="single" w:sz="4" w:space="0" w:color="A6A6A6"/>
            </w:tcBorders>
            <w:shd w:val="clear" w:color="auto" w:fill="auto"/>
          </w:tcPr>
          <w:p w:rsidR="00FE6F8E" w:rsidRPr="004C5A92" w:rsidRDefault="00FE6F8E" w:rsidP="007A1E11">
            <w:pPr>
              <w:pStyle w:val="TableBullet"/>
            </w:pPr>
            <w:r w:rsidRPr="004C5A92">
              <w:t xml:space="preserve">Enrolled patients living in </w:t>
            </w:r>
            <w:proofErr w:type="spellStart"/>
            <w:r>
              <w:t>NZDep</w:t>
            </w:r>
            <w:proofErr w:type="spellEnd"/>
            <w:r>
              <w:t xml:space="preserve"> </w:t>
            </w:r>
            <w:proofErr w:type="spellStart"/>
            <w:r>
              <w:t>decile</w:t>
            </w:r>
            <w:proofErr w:type="spellEnd"/>
            <w:r>
              <w:t xml:space="preserve"> areas 9 or 10</w:t>
            </w:r>
          </w:p>
        </w:tc>
        <w:tc>
          <w:tcPr>
            <w:tcW w:w="606" w:type="pct"/>
            <w:tcBorders>
              <w:top w:val="nil"/>
              <w:left w:val="single" w:sz="4" w:space="0" w:color="A6A6A6"/>
              <w:bottom w:val="nil"/>
              <w:right w:val="nil"/>
            </w:tcBorders>
            <w:shd w:val="clear" w:color="auto" w:fill="auto"/>
            <w:vAlign w:val="bottom"/>
          </w:tcPr>
          <w:p w:rsidR="00FE6F8E" w:rsidRPr="00FE6F8E" w:rsidRDefault="00FE6F8E" w:rsidP="00FE6F8E">
            <w:pPr>
              <w:pStyle w:val="TableText"/>
              <w:tabs>
                <w:tab w:val="decimal" w:pos="736"/>
              </w:tabs>
              <w:spacing w:before="0"/>
              <w:rPr>
                <w:rFonts w:cs="Arial"/>
                <w:color w:val="000000"/>
                <w:szCs w:val="22"/>
              </w:rPr>
            </w:pPr>
            <w:r w:rsidRPr="00FE6F8E">
              <w:rPr>
                <w:rFonts w:cs="Arial"/>
                <w:color w:val="000000"/>
                <w:szCs w:val="22"/>
              </w:rPr>
              <w:t>59,931</w:t>
            </w:r>
          </w:p>
        </w:tc>
        <w:tc>
          <w:tcPr>
            <w:tcW w:w="606" w:type="pct"/>
            <w:tcBorders>
              <w:top w:val="nil"/>
              <w:left w:val="nil"/>
              <w:bottom w:val="nil"/>
              <w:right w:val="single" w:sz="4" w:space="0" w:color="A6A6A6"/>
            </w:tcBorders>
            <w:shd w:val="clear" w:color="auto" w:fill="auto"/>
            <w:vAlign w:val="bottom"/>
          </w:tcPr>
          <w:p w:rsidR="00FE6F8E" w:rsidRPr="00FE6F8E" w:rsidRDefault="00FE6F8E" w:rsidP="00FE6F8E">
            <w:pPr>
              <w:pStyle w:val="TableText"/>
              <w:tabs>
                <w:tab w:val="decimal" w:pos="573"/>
              </w:tabs>
              <w:spacing w:before="0"/>
              <w:rPr>
                <w:rFonts w:cs="Arial"/>
                <w:color w:val="000000"/>
                <w:szCs w:val="22"/>
              </w:rPr>
            </w:pPr>
            <w:r w:rsidRPr="00FE6F8E">
              <w:rPr>
                <w:rFonts w:cs="Arial"/>
                <w:color w:val="000000"/>
                <w:szCs w:val="22"/>
              </w:rPr>
              <w:t>59.1%</w:t>
            </w:r>
          </w:p>
        </w:tc>
        <w:tc>
          <w:tcPr>
            <w:tcW w:w="631" w:type="pct"/>
            <w:tcBorders>
              <w:top w:val="nil"/>
              <w:left w:val="single" w:sz="4" w:space="0" w:color="A6A6A6"/>
              <w:bottom w:val="nil"/>
              <w:right w:val="nil"/>
            </w:tcBorders>
            <w:shd w:val="clear" w:color="auto" w:fill="auto"/>
            <w:vAlign w:val="bottom"/>
          </w:tcPr>
          <w:p w:rsidR="00FE6F8E" w:rsidRPr="00FE6F8E" w:rsidRDefault="00FE6F8E" w:rsidP="00FE6F8E">
            <w:pPr>
              <w:pStyle w:val="TableText"/>
              <w:tabs>
                <w:tab w:val="decimal" w:pos="736"/>
              </w:tabs>
              <w:spacing w:before="0"/>
              <w:rPr>
                <w:rFonts w:cs="Arial"/>
                <w:color w:val="000000"/>
                <w:szCs w:val="22"/>
              </w:rPr>
            </w:pPr>
            <w:r w:rsidRPr="00FE6F8E">
              <w:rPr>
                <w:rFonts w:cs="Arial"/>
                <w:color w:val="000000"/>
                <w:szCs w:val="22"/>
              </w:rPr>
              <w:t>114,725</w:t>
            </w:r>
          </w:p>
        </w:tc>
        <w:tc>
          <w:tcPr>
            <w:tcW w:w="656" w:type="pct"/>
            <w:tcBorders>
              <w:top w:val="nil"/>
              <w:left w:val="nil"/>
              <w:bottom w:val="nil"/>
              <w:right w:val="nil"/>
            </w:tcBorders>
            <w:shd w:val="clear" w:color="auto" w:fill="auto"/>
            <w:vAlign w:val="bottom"/>
          </w:tcPr>
          <w:p w:rsidR="00FE6F8E" w:rsidRPr="00FE6F8E" w:rsidRDefault="00FE6F8E" w:rsidP="00FE6F8E">
            <w:pPr>
              <w:pStyle w:val="TableText"/>
              <w:tabs>
                <w:tab w:val="decimal" w:pos="573"/>
              </w:tabs>
              <w:spacing w:before="0"/>
              <w:rPr>
                <w:rFonts w:cs="Arial"/>
                <w:color w:val="000000"/>
                <w:szCs w:val="22"/>
              </w:rPr>
            </w:pPr>
            <w:r w:rsidRPr="00FE6F8E">
              <w:rPr>
                <w:rFonts w:cs="Arial"/>
                <w:color w:val="000000"/>
                <w:szCs w:val="22"/>
              </w:rPr>
              <w:t>25.6%</w:t>
            </w:r>
          </w:p>
        </w:tc>
      </w:tr>
      <w:tr w:rsidR="00FE6F8E" w:rsidRPr="00C722BB" w:rsidTr="00F4776F">
        <w:trPr>
          <w:cantSplit/>
        </w:trPr>
        <w:tc>
          <w:tcPr>
            <w:tcW w:w="2501" w:type="pct"/>
            <w:tcBorders>
              <w:top w:val="nil"/>
              <w:left w:val="nil"/>
              <w:right w:val="single" w:sz="4" w:space="0" w:color="A6A6A6"/>
            </w:tcBorders>
            <w:shd w:val="clear" w:color="auto" w:fill="auto"/>
          </w:tcPr>
          <w:p w:rsidR="00FE6F8E" w:rsidRPr="004C5A92" w:rsidRDefault="00FE6F8E" w:rsidP="007A1E11">
            <w:pPr>
              <w:pStyle w:val="TableBullet"/>
            </w:pPr>
            <w:r w:rsidRPr="004C5A92">
              <w:t>Total enrolled patients with deprivation recorded</w:t>
            </w:r>
          </w:p>
        </w:tc>
        <w:tc>
          <w:tcPr>
            <w:tcW w:w="606" w:type="pct"/>
            <w:tcBorders>
              <w:top w:val="nil"/>
              <w:left w:val="single" w:sz="4" w:space="0" w:color="A6A6A6"/>
              <w:right w:val="nil"/>
            </w:tcBorders>
            <w:shd w:val="clear" w:color="auto" w:fill="auto"/>
            <w:vAlign w:val="bottom"/>
          </w:tcPr>
          <w:p w:rsidR="00FE6F8E" w:rsidRPr="00FE6F8E" w:rsidRDefault="00FE6F8E" w:rsidP="00FE6F8E">
            <w:pPr>
              <w:pStyle w:val="TableText"/>
              <w:tabs>
                <w:tab w:val="decimal" w:pos="736"/>
              </w:tabs>
              <w:spacing w:before="0"/>
              <w:rPr>
                <w:rFonts w:cs="Arial"/>
                <w:color w:val="000000"/>
                <w:szCs w:val="22"/>
              </w:rPr>
            </w:pPr>
            <w:r w:rsidRPr="00FE6F8E">
              <w:rPr>
                <w:rFonts w:cs="Arial"/>
                <w:color w:val="000000"/>
                <w:szCs w:val="22"/>
              </w:rPr>
              <w:t>101,408</w:t>
            </w:r>
          </w:p>
        </w:tc>
        <w:tc>
          <w:tcPr>
            <w:tcW w:w="606" w:type="pct"/>
            <w:tcBorders>
              <w:top w:val="nil"/>
              <w:left w:val="nil"/>
              <w:right w:val="single" w:sz="4" w:space="0" w:color="A6A6A6"/>
            </w:tcBorders>
            <w:shd w:val="clear" w:color="auto" w:fill="auto"/>
            <w:vAlign w:val="bottom"/>
          </w:tcPr>
          <w:p w:rsidR="00FE6F8E" w:rsidRPr="00FE6F8E" w:rsidRDefault="00FE6F8E" w:rsidP="00FE6F8E">
            <w:pPr>
              <w:pStyle w:val="TableText"/>
              <w:tabs>
                <w:tab w:val="decimal" w:pos="573"/>
              </w:tabs>
              <w:spacing w:before="0"/>
              <w:rPr>
                <w:rFonts w:cs="Arial"/>
                <w:color w:val="000000"/>
                <w:szCs w:val="22"/>
              </w:rPr>
            </w:pPr>
            <w:r w:rsidRPr="00FE6F8E">
              <w:rPr>
                <w:rFonts w:cs="Arial"/>
                <w:color w:val="000000"/>
                <w:szCs w:val="22"/>
              </w:rPr>
              <w:t>98.3%</w:t>
            </w:r>
          </w:p>
        </w:tc>
        <w:tc>
          <w:tcPr>
            <w:tcW w:w="631" w:type="pct"/>
            <w:tcBorders>
              <w:top w:val="nil"/>
              <w:left w:val="single" w:sz="4" w:space="0" w:color="A6A6A6"/>
              <w:right w:val="nil"/>
            </w:tcBorders>
            <w:shd w:val="clear" w:color="auto" w:fill="auto"/>
            <w:vAlign w:val="bottom"/>
          </w:tcPr>
          <w:p w:rsidR="00FE6F8E" w:rsidRPr="00FE6F8E" w:rsidRDefault="00FE6F8E" w:rsidP="00FE6F8E">
            <w:pPr>
              <w:pStyle w:val="TableText"/>
              <w:tabs>
                <w:tab w:val="decimal" w:pos="736"/>
              </w:tabs>
              <w:spacing w:before="0"/>
              <w:rPr>
                <w:rFonts w:cs="Arial"/>
                <w:color w:val="000000"/>
                <w:szCs w:val="22"/>
              </w:rPr>
            </w:pPr>
            <w:r w:rsidRPr="00FE6F8E">
              <w:rPr>
                <w:rFonts w:cs="Arial"/>
                <w:color w:val="000000"/>
                <w:szCs w:val="22"/>
              </w:rPr>
              <w:t>447,871</w:t>
            </w:r>
          </w:p>
        </w:tc>
        <w:tc>
          <w:tcPr>
            <w:tcW w:w="656" w:type="pct"/>
            <w:tcBorders>
              <w:top w:val="nil"/>
              <w:left w:val="nil"/>
              <w:right w:val="nil"/>
            </w:tcBorders>
            <w:shd w:val="clear" w:color="auto" w:fill="auto"/>
            <w:vAlign w:val="bottom"/>
          </w:tcPr>
          <w:p w:rsidR="00FE6F8E" w:rsidRPr="00FE6F8E" w:rsidRDefault="00FE6F8E" w:rsidP="00FE6F8E">
            <w:pPr>
              <w:pStyle w:val="TableText"/>
              <w:tabs>
                <w:tab w:val="decimal" w:pos="573"/>
              </w:tabs>
              <w:spacing w:before="0"/>
              <w:rPr>
                <w:rFonts w:cs="Arial"/>
                <w:color w:val="000000"/>
                <w:szCs w:val="22"/>
              </w:rPr>
            </w:pPr>
            <w:r w:rsidRPr="00FE6F8E">
              <w:rPr>
                <w:rFonts w:cs="Arial"/>
                <w:color w:val="000000"/>
                <w:szCs w:val="22"/>
              </w:rPr>
              <w:t>98.7%</w:t>
            </w:r>
          </w:p>
        </w:tc>
      </w:tr>
    </w:tbl>
    <w:p w:rsidR="00457B04" w:rsidRPr="002D2264" w:rsidRDefault="00457B04" w:rsidP="00B82417">
      <w:pPr>
        <w:pStyle w:val="Note"/>
        <w:ind w:right="0"/>
      </w:pPr>
      <w:r w:rsidRPr="002D2264">
        <w:t>*</w:t>
      </w:r>
      <w:r w:rsidRPr="002D2264">
        <w:tab/>
        <w:t xml:space="preserve">Enrolled patients are patients registered with a practice, which determines the amount of funding </w:t>
      </w:r>
      <w:r>
        <w:t xml:space="preserve">the </w:t>
      </w:r>
      <w:r w:rsidRPr="002D2264">
        <w:t>practice receive</w:t>
      </w:r>
      <w:r>
        <w:t>s</w:t>
      </w:r>
      <w:r w:rsidRPr="002D2264">
        <w:rPr>
          <w:i/>
        </w:rPr>
        <w:t xml:space="preserve">. </w:t>
      </w:r>
      <w:r w:rsidRPr="002D2264">
        <w:t xml:space="preserve">Ethnicity is prioritised in the order Māori, Pacific, Asian and Other. Also, unknown ethnicities are recorded as </w:t>
      </w:r>
      <w:r w:rsidR="00634870">
        <w:t>‘</w:t>
      </w:r>
      <w:r w:rsidRPr="002D2264">
        <w:t>Other</w:t>
      </w:r>
      <w:r w:rsidR="00634870">
        <w:t>’</w:t>
      </w:r>
      <w:r w:rsidRPr="002D2264">
        <w:t>.</w:t>
      </w:r>
    </w:p>
    <w:p w:rsidR="00457B04" w:rsidRPr="002D2264" w:rsidRDefault="00457B04" w:rsidP="00B82417"/>
    <w:p w:rsidR="00457B04" w:rsidRPr="002D2264" w:rsidRDefault="00457B04" w:rsidP="00B82417">
      <w:r w:rsidRPr="002D2264">
        <w:t>As Table 12 shows, the proportion of patients with high health needs in the Whānau Ora sample (</w:t>
      </w:r>
      <w:r w:rsidR="00D04127">
        <w:t>59.</w:t>
      </w:r>
      <w:r w:rsidR="004462C9">
        <w:t>1</w:t>
      </w:r>
      <w:r w:rsidRPr="002D2264">
        <w:t>%) is significantly higher than the national sample (2</w:t>
      </w:r>
      <w:r>
        <w:t>5.</w:t>
      </w:r>
      <w:r w:rsidR="00D04127">
        <w:t>6</w:t>
      </w:r>
      <w:r w:rsidRPr="002D2264">
        <w:t xml:space="preserve">%). This needs to be taken into account when results for the Whānau Ora sample are compared </w:t>
      </w:r>
      <w:r w:rsidR="0090180B">
        <w:t>with</w:t>
      </w:r>
      <w:r w:rsidRPr="002D2264">
        <w:t xml:space="preserve"> the national sample.</w:t>
      </w:r>
    </w:p>
    <w:p w:rsidR="00457B04" w:rsidRPr="002D2264" w:rsidRDefault="00457B04" w:rsidP="00457B04">
      <w:pPr>
        <w:jc w:val="both"/>
      </w:pPr>
    </w:p>
    <w:p w:rsidR="00863117" w:rsidRDefault="00457B04" w:rsidP="00B82417">
      <w:r>
        <w:t>As b</w:t>
      </w:r>
      <w:r w:rsidRPr="002D2264">
        <w:t xml:space="preserve">oth samples have </w:t>
      </w:r>
      <w:r>
        <w:t xml:space="preserve">relatively large populations, there are </w:t>
      </w:r>
      <w:r w:rsidRPr="002D2264">
        <w:t xml:space="preserve">sufficient numbers in each </w:t>
      </w:r>
      <w:r>
        <w:t>indicator to remove uncertainty</w:t>
      </w:r>
      <w:r w:rsidR="00622997">
        <w:t xml:space="preserve"> associated with small samples</w:t>
      </w:r>
      <w:r>
        <w:t>.</w:t>
      </w:r>
    </w:p>
    <w:p w:rsidR="00B82417" w:rsidRPr="00E76D66" w:rsidRDefault="00B82417" w:rsidP="00B82417"/>
    <w:sectPr w:rsidR="00B82417" w:rsidRPr="00E76D66" w:rsidSect="009D5125">
      <w:headerReference w:type="default" r:id="rId25"/>
      <w:footerReference w:type="default" r:id="rId2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E1" w:rsidRDefault="00BA57E1">
      <w:pPr>
        <w:spacing w:line="240" w:lineRule="auto"/>
      </w:pPr>
      <w:r>
        <w:separator/>
      </w:r>
    </w:p>
  </w:endnote>
  <w:endnote w:type="continuationSeparator" w:id="0">
    <w:p w:rsidR="00BA57E1" w:rsidRDefault="00BA57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Pr="003648EF" w:rsidRDefault="00BA57E1"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Default="00BA57E1"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Default="00BA57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Pr="00275D08" w:rsidRDefault="00BA57E1"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2376C">
      <w:rPr>
        <w:rStyle w:val="PageNumber"/>
        <w:noProof/>
      </w:rPr>
      <w:t>iv</w:t>
    </w:r>
    <w:r w:rsidRPr="00FC46E7">
      <w:rPr>
        <w:rStyle w:val="PageNumber"/>
      </w:rPr>
      <w:fldChar w:fldCharType="end"/>
    </w:r>
    <w:r>
      <w:tab/>
      <w:t>Report on the Performance of General Practices in Whānau Ora Collectives as at March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Default="00BA57E1" w:rsidP="00533B90">
    <w:pPr>
      <w:pStyle w:val="RectoFooter"/>
    </w:pPr>
    <w:r>
      <w:tab/>
      <w:t>Report on the Performance of General Practices in Whānau Ora Collectives as at December 2014</w:t>
    </w:r>
    <w:r>
      <w:tab/>
    </w:r>
    <w:r>
      <w:rPr>
        <w:rStyle w:val="PageNumber"/>
      </w:rPr>
      <w:fldChar w:fldCharType="begin"/>
    </w:r>
    <w:r>
      <w:rPr>
        <w:rStyle w:val="PageNumber"/>
      </w:rPr>
      <w:instrText xml:space="preserve"> PAGE </w:instrText>
    </w:r>
    <w:r>
      <w:rPr>
        <w:rStyle w:val="PageNumber"/>
      </w:rPr>
      <w:fldChar w:fldCharType="separate"/>
    </w:r>
    <w:r w:rsidR="00E2376C">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Default="00BA57E1" w:rsidP="00533B90">
    <w:pPr>
      <w:pStyle w:val="RectoFooter"/>
    </w:pPr>
    <w:r>
      <w:tab/>
      <w:t>Report on the Performance of General Practices in Whānau Ora Collectives as at March 2015</w:t>
    </w:r>
    <w:r>
      <w:tab/>
    </w:r>
    <w:r>
      <w:rPr>
        <w:rStyle w:val="PageNumber"/>
      </w:rPr>
      <w:fldChar w:fldCharType="begin"/>
    </w:r>
    <w:r>
      <w:rPr>
        <w:rStyle w:val="PageNumber"/>
      </w:rPr>
      <w:instrText xml:space="preserve"> PAGE </w:instrText>
    </w:r>
    <w:r>
      <w:rPr>
        <w:rStyle w:val="PageNumber"/>
      </w:rPr>
      <w:fldChar w:fldCharType="separate"/>
    </w:r>
    <w:r w:rsidR="00E2376C">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E1" w:rsidRPr="00E460B6" w:rsidRDefault="00BA57E1" w:rsidP="007B4D3E"/>
  </w:footnote>
  <w:footnote w:type="continuationSeparator" w:id="0">
    <w:p w:rsidR="00BA57E1" w:rsidRDefault="00BA57E1">
      <w:pPr>
        <w:spacing w:line="240" w:lineRule="auto"/>
      </w:pPr>
      <w:r>
        <w:continuationSeparator/>
      </w:r>
    </w:p>
  </w:footnote>
  <w:footnote w:id="1">
    <w:p w:rsidR="00BA57E1" w:rsidRPr="00A85893" w:rsidRDefault="00BA57E1" w:rsidP="00F563E2">
      <w:pPr>
        <w:pStyle w:val="FootnoteText"/>
      </w:pPr>
      <w:r w:rsidRPr="00F563E2">
        <w:rPr>
          <w:rStyle w:val="FootnoteReference"/>
        </w:rPr>
        <w:footnoteRef/>
      </w:r>
      <w:r>
        <w:tab/>
      </w:r>
      <w:r w:rsidRPr="00332EFF">
        <w:t>In</w:t>
      </w:r>
      <w:r>
        <w:t xml:space="preserve"> this report, percentage increases, for example 10.0 percent, are percentage point increases.</w:t>
      </w:r>
    </w:p>
  </w:footnote>
  <w:footnote w:id="2">
    <w:p w:rsidR="00BA57E1" w:rsidRPr="0097168D" w:rsidRDefault="00BA57E1" w:rsidP="00457B04">
      <w:pPr>
        <w:pStyle w:val="FootnoteText"/>
      </w:pPr>
      <w:r w:rsidRPr="001141A0">
        <w:rPr>
          <w:rStyle w:val="FootnoteReference"/>
        </w:rPr>
        <w:footnoteRef/>
      </w:r>
      <w:r>
        <w:tab/>
      </w:r>
      <w:r w:rsidRPr="0097168D">
        <w:t xml:space="preserve">The median measures the centre of the data and is considered a better measure to use when the data can be influenced by high outlying measures. For example, </w:t>
      </w:r>
      <w:r>
        <w:t xml:space="preserve">it can be influenced by </w:t>
      </w:r>
      <w:r w:rsidRPr="0097168D">
        <w:t xml:space="preserve">one or two patients </w:t>
      </w:r>
      <w:r>
        <w:t>who have</w:t>
      </w:r>
      <w:r w:rsidRPr="0097168D">
        <w:t xml:space="preserve"> very high glycaemic control levels.</w:t>
      </w:r>
    </w:p>
  </w:footnote>
  <w:footnote w:id="3">
    <w:p w:rsidR="00BA57E1" w:rsidRDefault="00BA57E1">
      <w:pPr>
        <w:pStyle w:val="FootnoteText"/>
      </w:pPr>
      <w:r w:rsidRPr="002149EF">
        <w:rPr>
          <w:rStyle w:val="FootnoteReference"/>
          <w:vertAlign w:val="baseline"/>
        </w:rPr>
        <w:t>*</w:t>
      </w:r>
      <w:r>
        <w:tab/>
      </w:r>
      <w:r w:rsidRPr="004B4683">
        <w:t>This indicator measures data from the high</w:t>
      </w:r>
      <w:r>
        <w:t>-</w:t>
      </w:r>
      <w:r w:rsidRPr="004B4683">
        <w:t>needs group, which has the effect of controlling</w:t>
      </w:r>
      <w:r>
        <w:t xml:space="preserve"> </w:t>
      </w:r>
      <w:r w:rsidRPr="004B4683">
        <w:t>these two samples for deprivation. The average size of the high</w:t>
      </w:r>
      <w:r>
        <w:t>-</w:t>
      </w:r>
      <w:r w:rsidRPr="004B4683">
        <w:t>needs group in individual</w:t>
      </w:r>
      <w:r>
        <w:t xml:space="preserve"> </w:t>
      </w:r>
      <w:r w:rsidRPr="004B4683">
        <w:t>Whānau Ora sample general practices (1</w:t>
      </w:r>
      <w:r>
        <w:t>665</w:t>
      </w:r>
      <w:r w:rsidRPr="004B4683">
        <w:t>) is higher than in individual</w:t>
      </w:r>
      <w:r>
        <w:t xml:space="preserve"> </w:t>
      </w:r>
      <w:r w:rsidRPr="004B4683">
        <w:t>national sample</w:t>
      </w:r>
      <w:r w:rsidRPr="00B80138">
        <w:t xml:space="preserve"> </w:t>
      </w:r>
      <w:r w:rsidRPr="004B4683">
        <w:t>general practices (11</w:t>
      </w:r>
      <w:r>
        <w:t>47</w:t>
      </w:r>
      <w:r w:rsidRPr="004B4683">
        <w:t xml:space="preserve">). For this indicator, </w:t>
      </w:r>
      <w:r>
        <w:t>‘</w:t>
      </w:r>
      <w:r w:rsidRPr="004B4683">
        <w:t>high need</w:t>
      </w:r>
      <w:r>
        <w:t>s’</w:t>
      </w:r>
      <w:r w:rsidRPr="004B4683">
        <w:t xml:space="preserve"> is defined as </w:t>
      </w:r>
      <w:r>
        <w:t>‘</w:t>
      </w:r>
      <w:r w:rsidRPr="004B4683">
        <w:t>Māori and Pacific</w:t>
      </w:r>
      <w:r>
        <w:t xml:space="preserve"> </w:t>
      </w:r>
      <w:r w:rsidRPr="004B4683">
        <w:t xml:space="preserve">women and women living in </w:t>
      </w:r>
      <w:proofErr w:type="spellStart"/>
      <w:r w:rsidRPr="004B4683">
        <w:t>NZDep</w:t>
      </w:r>
      <w:proofErr w:type="spellEnd"/>
      <w:r w:rsidRPr="004B4683">
        <w:t xml:space="preserve"> </w:t>
      </w:r>
      <w:proofErr w:type="spellStart"/>
      <w:r w:rsidRPr="004B4683">
        <w:t>decile</w:t>
      </w:r>
      <w:proofErr w:type="spellEnd"/>
      <w:r w:rsidRPr="004B4683">
        <w:t xml:space="preserve"> areas 9 or 10</w:t>
      </w:r>
      <w:r>
        <w:t>’</w:t>
      </w:r>
      <w:r w:rsidRPr="004B4683">
        <w:t>.</w:t>
      </w:r>
    </w:p>
  </w:footnote>
  <w:footnote w:id="4">
    <w:p w:rsidR="00BA57E1" w:rsidRPr="00191E18" w:rsidRDefault="00BA57E1" w:rsidP="00B82417">
      <w:pPr>
        <w:pStyle w:val="FootnoteText"/>
      </w:pPr>
      <w:r w:rsidRPr="00B82417">
        <w:rPr>
          <w:rStyle w:val="FootnoteReference"/>
        </w:rPr>
        <w:footnoteRef/>
      </w:r>
      <w:r>
        <w:tab/>
        <w:t>Oakley Browne MA, Wells</w:t>
      </w:r>
      <w:r w:rsidRPr="00CF32B1">
        <w:t xml:space="preserve"> </w:t>
      </w:r>
      <w:r>
        <w:t xml:space="preserve">JE, Scott KM eds. 2006. </w:t>
      </w:r>
      <w:proofErr w:type="spellStart"/>
      <w:r w:rsidRPr="009E113B">
        <w:rPr>
          <w:i/>
        </w:rPr>
        <w:t>Te</w:t>
      </w:r>
      <w:proofErr w:type="spellEnd"/>
      <w:r w:rsidRPr="009E113B">
        <w:rPr>
          <w:i/>
        </w:rPr>
        <w:t xml:space="preserve"> Rau </w:t>
      </w:r>
      <w:proofErr w:type="spellStart"/>
      <w:r w:rsidRPr="009E113B">
        <w:rPr>
          <w:i/>
        </w:rPr>
        <w:t>Hinengaro</w:t>
      </w:r>
      <w:proofErr w:type="spellEnd"/>
      <w:r w:rsidRPr="009E113B">
        <w:rPr>
          <w:i/>
        </w:rPr>
        <w:t xml:space="preserve">: </w:t>
      </w:r>
      <w:r>
        <w:rPr>
          <w:i/>
        </w:rPr>
        <w:t xml:space="preserve">The </w:t>
      </w:r>
      <w:r w:rsidRPr="009E113B">
        <w:rPr>
          <w:i/>
        </w:rPr>
        <w:t>New Zealand Mental Health Survey</w:t>
      </w:r>
      <w:r>
        <w:t>. Wellington: Ministry of Health, page 23.</w:t>
      </w:r>
    </w:p>
  </w:footnote>
  <w:footnote w:id="5">
    <w:p w:rsidR="00BA57E1" w:rsidRPr="002664CC" w:rsidRDefault="00BA57E1" w:rsidP="00457B04">
      <w:pPr>
        <w:pStyle w:val="FootnoteText"/>
      </w:pPr>
      <w:r w:rsidRPr="00B82417">
        <w:rPr>
          <w:rStyle w:val="FootnoteReference"/>
        </w:rPr>
        <w:footnoteRef/>
      </w:r>
      <w:r>
        <w:tab/>
      </w:r>
      <w:r w:rsidRPr="002664CC">
        <w:t>Ethnicity is prioritised in the order Māori, Pacific, Asian and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Default="00BA57E1" w:rsidP="00D25FFE">
    <w:pPr>
      <w:pStyle w:val="Header"/>
      <w:ind w:left="-1559"/>
    </w:pPr>
    <w:r>
      <w:rPr>
        <w:noProof/>
        <w:lang w:eastAsia="en-NZ"/>
      </w:rPr>
      <w:drawing>
        <wp:inline distT="0" distB="0" distL="0" distR="0" wp14:anchorId="6D834811" wp14:editId="6070949B">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Default="00BA57E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Default="00BA57E1"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E1" w:rsidRDefault="00BA57E1"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0104FF8"/>
    <w:lvl w:ilvl="0">
      <w:numFmt w:val="bullet"/>
      <w:lvlText w:val="*"/>
      <w:lvlJc w:val="left"/>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86B27D2"/>
    <w:multiLevelType w:val="hybridMultilevel"/>
    <w:tmpl w:val="D144AC22"/>
    <w:lvl w:ilvl="0" w:tplc="7C8C65A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7D7A18"/>
    <w:multiLevelType w:val="hybridMultilevel"/>
    <w:tmpl w:val="952EAF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E837C59"/>
    <w:multiLevelType w:val="hybridMultilevel"/>
    <w:tmpl w:val="5456C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E6A50FC"/>
    <w:multiLevelType w:val="hybridMultilevel"/>
    <w:tmpl w:val="19A88AB6"/>
    <w:lvl w:ilvl="0" w:tplc="F8D0DB42">
      <w:numFmt w:val="bullet"/>
      <w:lvlText w:val="-"/>
      <w:lvlJc w:val="left"/>
      <w:pPr>
        <w:ind w:left="927" w:hanging="360"/>
      </w:pPr>
      <w:rPr>
        <w:rFonts w:ascii="Georgia" w:eastAsia="Times New Roman" w:hAnsi="Georgia"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47007CF0"/>
    <w:multiLevelType w:val="hybridMultilevel"/>
    <w:tmpl w:val="AD0C4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AC16152"/>
    <w:multiLevelType w:val="hybridMultilevel"/>
    <w:tmpl w:val="AD1C8EB2"/>
    <w:lvl w:ilvl="0" w:tplc="B60EBEFE">
      <w:start w:val="1"/>
      <w:numFmt w:val="bullet"/>
      <w:lvlText w:val=""/>
      <w:lvlJc w:val="left"/>
      <w:pPr>
        <w:ind w:left="1287" w:hanging="360"/>
      </w:pPr>
      <w:rPr>
        <w:rFonts w:ascii="Symbol" w:hAnsi="Symbol" w:hint="default"/>
        <w:sz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8">
    <w:nsid w:val="72CE2C84"/>
    <w:multiLevelType w:val="hybridMultilevel"/>
    <w:tmpl w:val="051AF3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9"/>
  </w:num>
  <w:num w:numId="2">
    <w:abstractNumId w:val="16"/>
  </w:num>
  <w:num w:numId="3">
    <w:abstractNumId w:val="10"/>
  </w:num>
  <w:num w:numId="4">
    <w:abstractNumId w:val="11"/>
  </w:num>
  <w:num w:numId="5">
    <w:abstractNumId w:val="2"/>
  </w:num>
  <w:num w:numId="6">
    <w:abstractNumId w:val="14"/>
  </w:num>
  <w:num w:numId="7">
    <w:abstractNumId w:val="7"/>
  </w:num>
  <w:num w:numId="8">
    <w:abstractNumId w:val="17"/>
  </w:num>
  <w:num w:numId="9">
    <w:abstractNumId w:val="6"/>
  </w:num>
  <w:num w:numId="10">
    <w:abstractNumId w:val="8"/>
  </w:num>
  <w:num w:numId="11">
    <w:abstractNumId w:val="12"/>
  </w:num>
  <w:num w:numId="12">
    <w:abstractNumId w:val="0"/>
  </w:num>
  <w:num w:numId="13">
    <w:abstractNumId w:val="1"/>
    <w:lvlOverride w:ilvl="0">
      <w:lvl w:ilvl="0">
        <w:numFmt w:val="bullet"/>
        <w:lvlText w:val=""/>
        <w:legacy w:legacy="1" w:legacySpace="0" w:legacyIndent="0"/>
        <w:lvlJc w:val="left"/>
        <w:rPr>
          <w:rFonts w:ascii="Symbol" w:hAnsi="Symbol" w:hint="default"/>
          <w:sz w:val="22"/>
        </w:rPr>
      </w:lvl>
    </w:lvlOverride>
  </w:num>
  <w:num w:numId="14">
    <w:abstractNumId w:val="3"/>
  </w:num>
  <w:num w:numId="15">
    <w:abstractNumId w:val="13"/>
  </w:num>
  <w:num w:numId="16">
    <w:abstractNumId w:val="4"/>
  </w:num>
  <w:num w:numId="17">
    <w:abstractNumId w:val="9"/>
  </w:num>
  <w:num w:numId="18">
    <w:abstractNumId w:val="15"/>
  </w:num>
  <w:num w:numId="19">
    <w:abstractNumId w:val="18"/>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07B6"/>
    <w:rsid w:val="00030B26"/>
    <w:rsid w:val="0004450F"/>
    <w:rsid w:val="0006228D"/>
    <w:rsid w:val="000627DA"/>
    <w:rsid w:val="000652DC"/>
    <w:rsid w:val="00072BD6"/>
    <w:rsid w:val="00075B78"/>
    <w:rsid w:val="00082CD6"/>
    <w:rsid w:val="00085AFE"/>
    <w:rsid w:val="00087FDE"/>
    <w:rsid w:val="00091DA5"/>
    <w:rsid w:val="000B0730"/>
    <w:rsid w:val="000F2AE2"/>
    <w:rsid w:val="00102063"/>
    <w:rsid w:val="0010541C"/>
    <w:rsid w:val="00106F93"/>
    <w:rsid w:val="00111D50"/>
    <w:rsid w:val="00113B8E"/>
    <w:rsid w:val="001141A0"/>
    <w:rsid w:val="001342C7"/>
    <w:rsid w:val="0013585C"/>
    <w:rsid w:val="00142954"/>
    <w:rsid w:val="001460E0"/>
    <w:rsid w:val="00147F71"/>
    <w:rsid w:val="00150A6E"/>
    <w:rsid w:val="0016468A"/>
    <w:rsid w:val="00165D06"/>
    <w:rsid w:val="00184F7D"/>
    <w:rsid w:val="0019454B"/>
    <w:rsid w:val="001A5CF5"/>
    <w:rsid w:val="001B39D2"/>
    <w:rsid w:val="001C4326"/>
    <w:rsid w:val="001C5A7B"/>
    <w:rsid w:val="001D3541"/>
    <w:rsid w:val="001E2B0A"/>
    <w:rsid w:val="001F02EF"/>
    <w:rsid w:val="00201A01"/>
    <w:rsid w:val="002104D3"/>
    <w:rsid w:val="00213A33"/>
    <w:rsid w:val="002149EF"/>
    <w:rsid w:val="00216780"/>
    <w:rsid w:val="0021763B"/>
    <w:rsid w:val="00246DB1"/>
    <w:rsid w:val="002476B5"/>
    <w:rsid w:val="0024771C"/>
    <w:rsid w:val="00253ECF"/>
    <w:rsid w:val="002546A1"/>
    <w:rsid w:val="00275D08"/>
    <w:rsid w:val="002858E3"/>
    <w:rsid w:val="0029190A"/>
    <w:rsid w:val="00292C5A"/>
    <w:rsid w:val="00295241"/>
    <w:rsid w:val="002B047D"/>
    <w:rsid w:val="002B732B"/>
    <w:rsid w:val="002C2219"/>
    <w:rsid w:val="002D0DF2"/>
    <w:rsid w:val="002D23BD"/>
    <w:rsid w:val="002E0B47"/>
    <w:rsid w:val="002E49DB"/>
    <w:rsid w:val="002F7213"/>
    <w:rsid w:val="00303363"/>
    <w:rsid w:val="0030382F"/>
    <w:rsid w:val="0030408D"/>
    <w:rsid w:val="003060E4"/>
    <w:rsid w:val="003160E7"/>
    <w:rsid w:val="0031739E"/>
    <w:rsid w:val="003325AB"/>
    <w:rsid w:val="0033412B"/>
    <w:rsid w:val="00343365"/>
    <w:rsid w:val="00353501"/>
    <w:rsid w:val="003606F8"/>
    <w:rsid w:val="003648EF"/>
    <w:rsid w:val="003673E6"/>
    <w:rsid w:val="00372455"/>
    <w:rsid w:val="00374D9A"/>
    <w:rsid w:val="00377264"/>
    <w:rsid w:val="0039179B"/>
    <w:rsid w:val="003A10A7"/>
    <w:rsid w:val="003A26A5"/>
    <w:rsid w:val="003A3761"/>
    <w:rsid w:val="003A5FEA"/>
    <w:rsid w:val="003A7F10"/>
    <w:rsid w:val="003B1D10"/>
    <w:rsid w:val="003C76D4"/>
    <w:rsid w:val="003E7C46"/>
    <w:rsid w:val="003F52A7"/>
    <w:rsid w:val="0040240C"/>
    <w:rsid w:val="00413021"/>
    <w:rsid w:val="00440BE0"/>
    <w:rsid w:val="00442C1C"/>
    <w:rsid w:val="00442FCA"/>
    <w:rsid w:val="0044584B"/>
    <w:rsid w:val="004462C9"/>
    <w:rsid w:val="00447CB7"/>
    <w:rsid w:val="00453BB6"/>
    <w:rsid w:val="00457B04"/>
    <w:rsid w:val="00460826"/>
    <w:rsid w:val="00460EA7"/>
    <w:rsid w:val="0046195B"/>
    <w:rsid w:val="004640BC"/>
    <w:rsid w:val="0046596D"/>
    <w:rsid w:val="00466AC1"/>
    <w:rsid w:val="00487C04"/>
    <w:rsid w:val="004907E1"/>
    <w:rsid w:val="004A035B"/>
    <w:rsid w:val="004A38D7"/>
    <w:rsid w:val="004A778C"/>
    <w:rsid w:val="004C2E6A"/>
    <w:rsid w:val="004D1DB4"/>
    <w:rsid w:val="004D2A2D"/>
    <w:rsid w:val="004D6689"/>
    <w:rsid w:val="004E1D1D"/>
    <w:rsid w:val="004E4E00"/>
    <w:rsid w:val="004E7AC8"/>
    <w:rsid w:val="004F0C94"/>
    <w:rsid w:val="005019AE"/>
    <w:rsid w:val="00503749"/>
    <w:rsid w:val="00504CF4"/>
    <w:rsid w:val="0050635B"/>
    <w:rsid w:val="0053199F"/>
    <w:rsid w:val="00532FC1"/>
    <w:rsid w:val="00533B90"/>
    <w:rsid w:val="005410F8"/>
    <w:rsid w:val="005448EC"/>
    <w:rsid w:val="00545963"/>
    <w:rsid w:val="00550256"/>
    <w:rsid w:val="00553958"/>
    <w:rsid w:val="0055763D"/>
    <w:rsid w:val="005621F2"/>
    <w:rsid w:val="00567B58"/>
    <w:rsid w:val="00571752"/>
    <w:rsid w:val="005763E0"/>
    <w:rsid w:val="00584BDC"/>
    <w:rsid w:val="0059071E"/>
    <w:rsid w:val="00596567"/>
    <w:rsid w:val="005A27CA"/>
    <w:rsid w:val="005A43BD"/>
    <w:rsid w:val="005E1092"/>
    <w:rsid w:val="005E226E"/>
    <w:rsid w:val="005E2534"/>
    <w:rsid w:val="005E5235"/>
    <w:rsid w:val="006015D7"/>
    <w:rsid w:val="00601B21"/>
    <w:rsid w:val="00622997"/>
    <w:rsid w:val="00626CF8"/>
    <w:rsid w:val="00634870"/>
    <w:rsid w:val="00636D7D"/>
    <w:rsid w:val="00637408"/>
    <w:rsid w:val="00642868"/>
    <w:rsid w:val="00647AFE"/>
    <w:rsid w:val="006512BC"/>
    <w:rsid w:val="00653A5A"/>
    <w:rsid w:val="006575F4"/>
    <w:rsid w:val="006579E6"/>
    <w:rsid w:val="00663EDC"/>
    <w:rsid w:val="00671078"/>
    <w:rsid w:val="00680A04"/>
    <w:rsid w:val="00686D80"/>
    <w:rsid w:val="00694851"/>
    <w:rsid w:val="00694895"/>
    <w:rsid w:val="00695BB7"/>
    <w:rsid w:val="00697E2E"/>
    <w:rsid w:val="006A25A2"/>
    <w:rsid w:val="006B0E73"/>
    <w:rsid w:val="006B4A4D"/>
    <w:rsid w:val="006B5695"/>
    <w:rsid w:val="006C24BC"/>
    <w:rsid w:val="006C78EB"/>
    <w:rsid w:val="006D1660"/>
    <w:rsid w:val="006D70DB"/>
    <w:rsid w:val="006F1B67"/>
    <w:rsid w:val="0070091D"/>
    <w:rsid w:val="00702854"/>
    <w:rsid w:val="0070527F"/>
    <w:rsid w:val="0071741C"/>
    <w:rsid w:val="00742B90"/>
    <w:rsid w:val="0074434D"/>
    <w:rsid w:val="00764BDE"/>
    <w:rsid w:val="00771B1E"/>
    <w:rsid w:val="00773C95"/>
    <w:rsid w:val="0078019B"/>
    <w:rsid w:val="0078171E"/>
    <w:rsid w:val="00786E40"/>
    <w:rsid w:val="00795B34"/>
    <w:rsid w:val="00795E6B"/>
    <w:rsid w:val="007A1E11"/>
    <w:rsid w:val="007B1770"/>
    <w:rsid w:val="007B4D3E"/>
    <w:rsid w:val="007B7C70"/>
    <w:rsid w:val="007C4344"/>
    <w:rsid w:val="007D2151"/>
    <w:rsid w:val="007D42CC"/>
    <w:rsid w:val="007D5DE4"/>
    <w:rsid w:val="007E1341"/>
    <w:rsid w:val="007E1B41"/>
    <w:rsid w:val="007E2536"/>
    <w:rsid w:val="007E30B9"/>
    <w:rsid w:val="007F0F0C"/>
    <w:rsid w:val="007F1288"/>
    <w:rsid w:val="00800A8A"/>
    <w:rsid w:val="0080155C"/>
    <w:rsid w:val="008052E1"/>
    <w:rsid w:val="00806301"/>
    <w:rsid w:val="00822F2C"/>
    <w:rsid w:val="008305E8"/>
    <w:rsid w:val="0085202B"/>
    <w:rsid w:val="00853EF2"/>
    <w:rsid w:val="00860826"/>
    <w:rsid w:val="00860E21"/>
    <w:rsid w:val="00863117"/>
    <w:rsid w:val="0086388B"/>
    <w:rsid w:val="008642E5"/>
    <w:rsid w:val="00872D93"/>
    <w:rsid w:val="00873B01"/>
    <w:rsid w:val="008760F2"/>
    <w:rsid w:val="00880470"/>
    <w:rsid w:val="00880D94"/>
    <w:rsid w:val="008924DE"/>
    <w:rsid w:val="008A0937"/>
    <w:rsid w:val="008A3755"/>
    <w:rsid w:val="008B0D67"/>
    <w:rsid w:val="008B264F"/>
    <w:rsid w:val="008B2F92"/>
    <w:rsid w:val="008B6F83"/>
    <w:rsid w:val="008B7FD8"/>
    <w:rsid w:val="008C24D4"/>
    <w:rsid w:val="008C2973"/>
    <w:rsid w:val="008C64C4"/>
    <w:rsid w:val="008D14B7"/>
    <w:rsid w:val="008D74D5"/>
    <w:rsid w:val="008F29BE"/>
    <w:rsid w:val="008F4AE5"/>
    <w:rsid w:val="008F51EB"/>
    <w:rsid w:val="00900197"/>
    <w:rsid w:val="0090180B"/>
    <w:rsid w:val="00902F55"/>
    <w:rsid w:val="0090582B"/>
    <w:rsid w:val="009060C0"/>
    <w:rsid w:val="009133F5"/>
    <w:rsid w:val="00920A27"/>
    <w:rsid w:val="00921216"/>
    <w:rsid w:val="00932D69"/>
    <w:rsid w:val="00944647"/>
    <w:rsid w:val="0095501B"/>
    <w:rsid w:val="00977B8A"/>
    <w:rsid w:val="00982971"/>
    <w:rsid w:val="009845AD"/>
    <w:rsid w:val="009959ED"/>
    <w:rsid w:val="00995BA0"/>
    <w:rsid w:val="009A418B"/>
    <w:rsid w:val="009A4473"/>
    <w:rsid w:val="009C151C"/>
    <w:rsid w:val="009C3F7C"/>
    <w:rsid w:val="009C583B"/>
    <w:rsid w:val="009D5125"/>
    <w:rsid w:val="009D60B8"/>
    <w:rsid w:val="009D7D4B"/>
    <w:rsid w:val="009E36ED"/>
    <w:rsid w:val="009E6B77"/>
    <w:rsid w:val="009F460A"/>
    <w:rsid w:val="00A043FB"/>
    <w:rsid w:val="00A0729C"/>
    <w:rsid w:val="00A07779"/>
    <w:rsid w:val="00A20B2E"/>
    <w:rsid w:val="00A23B59"/>
    <w:rsid w:val="00A3068F"/>
    <w:rsid w:val="00A3145B"/>
    <w:rsid w:val="00A339D0"/>
    <w:rsid w:val="00A41002"/>
    <w:rsid w:val="00A4201A"/>
    <w:rsid w:val="00A4624A"/>
    <w:rsid w:val="00A553CE"/>
    <w:rsid w:val="00A5677A"/>
    <w:rsid w:val="00A6490D"/>
    <w:rsid w:val="00A80363"/>
    <w:rsid w:val="00A9169D"/>
    <w:rsid w:val="00AC101C"/>
    <w:rsid w:val="00AC1837"/>
    <w:rsid w:val="00AD1BBC"/>
    <w:rsid w:val="00AD4CF1"/>
    <w:rsid w:val="00AD5988"/>
    <w:rsid w:val="00AF7800"/>
    <w:rsid w:val="00B072E0"/>
    <w:rsid w:val="00B110CA"/>
    <w:rsid w:val="00B253F6"/>
    <w:rsid w:val="00B332F8"/>
    <w:rsid w:val="00B3492B"/>
    <w:rsid w:val="00B4646F"/>
    <w:rsid w:val="00B55C7D"/>
    <w:rsid w:val="00B63038"/>
    <w:rsid w:val="00B64BD8"/>
    <w:rsid w:val="00B701D1"/>
    <w:rsid w:val="00B73AF2"/>
    <w:rsid w:val="00B7551A"/>
    <w:rsid w:val="00B7668E"/>
    <w:rsid w:val="00B82417"/>
    <w:rsid w:val="00B8774B"/>
    <w:rsid w:val="00B92FC1"/>
    <w:rsid w:val="00BA2C46"/>
    <w:rsid w:val="00BA57E1"/>
    <w:rsid w:val="00BB0CEB"/>
    <w:rsid w:val="00BC59F1"/>
    <w:rsid w:val="00BD09CE"/>
    <w:rsid w:val="00BD27F2"/>
    <w:rsid w:val="00BD6915"/>
    <w:rsid w:val="00BD692C"/>
    <w:rsid w:val="00BF3DE1"/>
    <w:rsid w:val="00BF4843"/>
    <w:rsid w:val="00BF5205"/>
    <w:rsid w:val="00C0207A"/>
    <w:rsid w:val="00C05268"/>
    <w:rsid w:val="00C12508"/>
    <w:rsid w:val="00C45AA2"/>
    <w:rsid w:val="00C643ED"/>
    <w:rsid w:val="00C66296"/>
    <w:rsid w:val="00C77282"/>
    <w:rsid w:val="00C84DE5"/>
    <w:rsid w:val="00C86248"/>
    <w:rsid w:val="00CA4C33"/>
    <w:rsid w:val="00CA6F4A"/>
    <w:rsid w:val="00CD2119"/>
    <w:rsid w:val="00CD36AC"/>
    <w:rsid w:val="00CF1747"/>
    <w:rsid w:val="00CF494A"/>
    <w:rsid w:val="00CF5875"/>
    <w:rsid w:val="00D04127"/>
    <w:rsid w:val="00D2392A"/>
    <w:rsid w:val="00D25FFE"/>
    <w:rsid w:val="00D4476F"/>
    <w:rsid w:val="00D54D50"/>
    <w:rsid w:val="00D66797"/>
    <w:rsid w:val="00D7087C"/>
    <w:rsid w:val="00D70C3C"/>
    <w:rsid w:val="00D72BE5"/>
    <w:rsid w:val="00D82F26"/>
    <w:rsid w:val="00D8570A"/>
    <w:rsid w:val="00D863D0"/>
    <w:rsid w:val="00D87C87"/>
    <w:rsid w:val="00D87D6D"/>
    <w:rsid w:val="00D93973"/>
    <w:rsid w:val="00DB39CF"/>
    <w:rsid w:val="00DB3CF8"/>
    <w:rsid w:val="00DC3785"/>
    <w:rsid w:val="00DD447A"/>
    <w:rsid w:val="00DE3B20"/>
    <w:rsid w:val="00DE6C94"/>
    <w:rsid w:val="00DE6FD7"/>
    <w:rsid w:val="00E137EB"/>
    <w:rsid w:val="00E23271"/>
    <w:rsid w:val="00E2376C"/>
    <w:rsid w:val="00E24E9E"/>
    <w:rsid w:val="00E24F80"/>
    <w:rsid w:val="00E259F3"/>
    <w:rsid w:val="00E3171C"/>
    <w:rsid w:val="00E33238"/>
    <w:rsid w:val="00E4486C"/>
    <w:rsid w:val="00E460B6"/>
    <w:rsid w:val="00E511D5"/>
    <w:rsid w:val="00E544CC"/>
    <w:rsid w:val="00E60249"/>
    <w:rsid w:val="00E65269"/>
    <w:rsid w:val="00E71851"/>
    <w:rsid w:val="00E76D66"/>
    <w:rsid w:val="00E8343D"/>
    <w:rsid w:val="00E874C0"/>
    <w:rsid w:val="00EA796A"/>
    <w:rsid w:val="00EB1856"/>
    <w:rsid w:val="00EC50CE"/>
    <w:rsid w:val="00EC5B34"/>
    <w:rsid w:val="00ED59A9"/>
    <w:rsid w:val="00EE13BF"/>
    <w:rsid w:val="00EE4ADE"/>
    <w:rsid w:val="00EE5CB7"/>
    <w:rsid w:val="00F024FE"/>
    <w:rsid w:val="00F05AD4"/>
    <w:rsid w:val="00F4776F"/>
    <w:rsid w:val="00F563E2"/>
    <w:rsid w:val="00F67496"/>
    <w:rsid w:val="00F74D3E"/>
    <w:rsid w:val="00F801BA"/>
    <w:rsid w:val="00F8329A"/>
    <w:rsid w:val="00F946C9"/>
    <w:rsid w:val="00FA74EE"/>
    <w:rsid w:val="00FB196E"/>
    <w:rsid w:val="00FB2457"/>
    <w:rsid w:val="00FB2F7A"/>
    <w:rsid w:val="00FC46E7"/>
    <w:rsid w:val="00FC5D25"/>
    <w:rsid w:val="00FD0D7E"/>
    <w:rsid w:val="00FD1FE4"/>
    <w:rsid w:val="00FE6E13"/>
    <w:rsid w:val="00FE6F8E"/>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9C3F7C"/>
    <w:pPr>
      <w:tabs>
        <w:tab w:val="left" w:pos="284"/>
        <w:tab w:val="right" w:pos="9356"/>
      </w:tabs>
      <w:spacing w:before="60"/>
      <w:ind w:left="1702" w:right="567" w:hanging="1418"/>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qFormat/>
    <w:rsid w:val="00457B04"/>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457B04"/>
    <w:pPr>
      <w:pBdr>
        <w:bottom w:val="single" w:sz="48" w:space="6" w:color="auto"/>
      </w:pBdr>
    </w:p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BalloonText">
    <w:name w:val="Balloon Text"/>
    <w:basedOn w:val="Normal"/>
    <w:link w:val="BalloonTextChar"/>
    <w:uiPriority w:val="99"/>
    <w:semiHidden/>
    <w:unhideWhenUsed/>
    <w:rsid w:val="00634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870"/>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9C3F7C"/>
    <w:pPr>
      <w:tabs>
        <w:tab w:val="left" w:pos="284"/>
        <w:tab w:val="right" w:pos="9356"/>
      </w:tabs>
      <w:spacing w:before="60"/>
      <w:ind w:left="1702" w:right="567" w:hanging="1418"/>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qFormat/>
    <w:rsid w:val="00457B04"/>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457B04"/>
    <w:pPr>
      <w:pBdr>
        <w:bottom w:val="single" w:sz="48" w:space="6" w:color="auto"/>
      </w:pBdr>
    </w:p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86388B"/>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BalloonText">
    <w:name w:val="Balloon Text"/>
    <w:basedOn w:val="Normal"/>
    <w:link w:val="BalloonTextChar"/>
    <w:uiPriority w:val="99"/>
    <w:semiHidden/>
    <w:unhideWhenUsed/>
    <w:rsid w:val="006348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870"/>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hart" Target="charts/chart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MNTFP\Group\_Maori%20Health%20Directorate\Strategic%20Projects%20Section\HealthStat\Reporting%20on%20Outcomes\March%202015\Indicator%20reporting%20for%20March%20201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MNTFP\Group\_Maori%20Health%20Directorate\Strategic%20Projects%20Section\HealthStat\Reporting%20on%20Outcomes\March%202015\Indicator%20reporting%20for%20March%20201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MNTFP\Group\_Maori%20Health%20Directorate\Strategic%20Projects%20Section\HealthStat\Reporting%20on%20Outcomes\March%202015\Indicator%20reporting%20for%20March%20201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MNTFP\Group\_Maori%20Health%20Directorate\Strategic%20Projects%20Section\HealthStat\Reporting%20on%20Outcomes\March%202015\Indicator%20reporting%20for%20March%20201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MNTFP\Group\_Maori%20Health%20Directorate\Strategic%20Projects%20Section\HealthStat\Reporting%20on%20Outcomes\March%202015\Indicator%20reporting%20for%20March%202015.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MNTFP\Group\_Maori%20Health%20Directorate\Strategic%20Projects%20Section\HealthStat\Reporting%20on%20Outcomes\March%202015\Indicator%20reporting%20for%20March%202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WMNTFP\Group\_Maori%20Health%20Directorate\Strategic%20Projects%20Section\HealthStat\Reporting%20on%20Outcomes\March%202015\Indicator%20reporting%20for%20March%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'CVD 1'!$D$37</c:f>
              <c:strCache>
                <c:ptCount val="1"/>
                <c:pt idx="0">
                  <c:v>Whānau Ora sample</c:v>
                </c:pt>
              </c:strCache>
            </c:strRef>
          </c:tx>
          <c:spPr>
            <a:ln w="22225">
              <a:solidFill>
                <a:srgbClr val="0070C0"/>
              </a:solidFill>
              <a:prstDash val="solid"/>
            </a:ln>
          </c:spPr>
          <c:marker>
            <c:symbol val="none"/>
          </c:marker>
          <c:cat>
            <c:strRef>
              <c:f>'CVD 1'!$E$36:$AC$36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'CVD 1'!$E$37:$AC$37</c:f>
              <c:numCache>
                <c:formatCode>0.00%</c:formatCode>
                <c:ptCount val="25"/>
                <c:pt idx="0">
                  <c:v>0.60529999999999995</c:v>
                </c:pt>
                <c:pt idx="1">
                  <c:v>0.61809999999999998</c:v>
                </c:pt>
                <c:pt idx="2">
                  <c:v>0.64400000000000002</c:v>
                </c:pt>
                <c:pt idx="3">
                  <c:v>0.66049999999999998</c:v>
                </c:pt>
                <c:pt idx="4">
                  <c:v>0.6694</c:v>
                </c:pt>
                <c:pt idx="5">
                  <c:v>0.67930000000000001</c:v>
                </c:pt>
                <c:pt idx="6">
                  <c:v>0.68359999999999999</c:v>
                </c:pt>
                <c:pt idx="7">
                  <c:v>0.68459999999999999</c:v>
                </c:pt>
                <c:pt idx="8">
                  <c:v>0.71289999999999998</c:v>
                </c:pt>
                <c:pt idx="9">
                  <c:v>0.73329999999999995</c:v>
                </c:pt>
                <c:pt idx="10">
                  <c:v>0.74580000000000002</c:v>
                </c:pt>
                <c:pt idx="11">
                  <c:v>0.76429999999999998</c:v>
                </c:pt>
                <c:pt idx="12">
                  <c:v>0.77639999999999998</c:v>
                </c:pt>
                <c:pt idx="13">
                  <c:v>0.78959999999999997</c:v>
                </c:pt>
                <c:pt idx="14">
                  <c:v>0.80640000000000001</c:v>
                </c:pt>
                <c:pt idx="15">
                  <c:v>0.84340000000000004</c:v>
                </c:pt>
                <c:pt idx="16">
                  <c:v>0.83579999999999999</c:v>
                </c:pt>
                <c:pt idx="17">
                  <c:v>0.84599999999999997</c:v>
                </c:pt>
                <c:pt idx="18">
                  <c:v>0.85960000000000003</c:v>
                </c:pt>
                <c:pt idx="19">
                  <c:v>0.85580000000000001</c:v>
                </c:pt>
                <c:pt idx="20">
                  <c:v>0.86160000000000003</c:v>
                </c:pt>
                <c:pt idx="21">
                  <c:v>0.86619999999999997</c:v>
                </c:pt>
                <c:pt idx="22">
                  <c:v>0.86709999999999998</c:v>
                </c:pt>
                <c:pt idx="23">
                  <c:v>0.87219999999999998</c:v>
                </c:pt>
                <c:pt idx="24">
                  <c:v>0.87590000000000001</c:v>
                </c:pt>
              </c:numCache>
            </c:numRef>
          </c:val>
          <c:smooth val="0"/>
        </c:ser>
        <c:ser>
          <c:idx val="1"/>
          <c:order val="1"/>
          <c:tx>
            <c:strRef>
              <c:f>'CVD 1'!$D$38</c:f>
              <c:strCache>
                <c:ptCount val="1"/>
                <c:pt idx="0">
                  <c:v>National sample</c:v>
                </c:pt>
              </c:strCache>
            </c:strRef>
          </c:tx>
          <c:spPr>
            <a:ln w="22225" cap="flat" cmpd="sng">
              <a:solidFill>
                <a:srgbClr val="FF0000"/>
              </a:solidFill>
              <a:prstDash val="sysDot"/>
              <a:bevel/>
            </a:ln>
          </c:spPr>
          <c:marker>
            <c:symbol val="none"/>
          </c:marker>
          <c:cat>
            <c:strRef>
              <c:f>'CVD 1'!$E$36:$AC$36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'CVD 1'!$E$38:$AC$38</c:f>
              <c:numCache>
                <c:formatCode>0.00%</c:formatCode>
                <c:ptCount val="25"/>
                <c:pt idx="0">
                  <c:v>0.60499999999999998</c:v>
                </c:pt>
                <c:pt idx="1">
                  <c:v>0.62019999999999997</c:v>
                </c:pt>
                <c:pt idx="2">
                  <c:v>0.64439999999999997</c:v>
                </c:pt>
                <c:pt idx="3">
                  <c:v>0.66180000000000005</c:v>
                </c:pt>
                <c:pt idx="4">
                  <c:v>0.67230000000000001</c:v>
                </c:pt>
                <c:pt idx="5">
                  <c:v>0.68230000000000002</c:v>
                </c:pt>
                <c:pt idx="6">
                  <c:v>0.68779999999999997</c:v>
                </c:pt>
                <c:pt idx="7">
                  <c:v>0.69679999999999997</c:v>
                </c:pt>
                <c:pt idx="8">
                  <c:v>0.71519999999999995</c:v>
                </c:pt>
                <c:pt idx="9">
                  <c:v>0.72519999999999996</c:v>
                </c:pt>
                <c:pt idx="10">
                  <c:v>0.73260000000000003</c:v>
                </c:pt>
                <c:pt idx="11">
                  <c:v>0.75349999999999995</c:v>
                </c:pt>
                <c:pt idx="12">
                  <c:v>0.77170000000000005</c:v>
                </c:pt>
                <c:pt idx="13">
                  <c:v>0.7853</c:v>
                </c:pt>
                <c:pt idx="14">
                  <c:v>0.80940000000000001</c:v>
                </c:pt>
                <c:pt idx="15">
                  <c:v>0.83169999999999999</c:v>
                </c:pt>
                <c:pt idx="16">
                  <c:v>0.83199999999999996</c:v>
                </c:pt>
                <c:pt idx="17">
                  <c:v>0.84079999999999999</c:v>
                </c:pt>
                <c:pt idx="18">
                  <c:v>0.84989999999999999</c:v>
                </c:pt>
                <c:pt idx="19">
                  <c:v>0.84760000000000002</c:v>
                </c:pt>
                <c:pt idx="20">
                  <c:v>0.85370000000000001</c:v>
                </c:pt>
                <c:pt idx="21">
                  <c:v>0.85870000000000002</c:v>
                </c:pt>
                <c:pt idx="22">
                  <c:v>0.85560000000000003</c:v>
                </c:pt>
                <c:pt idx="23">
                  <c:v>0.86140000000000005</c:v>
                </c:pt>
                <c:pt idx="24">
                  <c:v>0.86809999999999998</c:v>
                </c:pt>
              </c:numCache>
            </c:numRef>
          </c:val>
          <c:smooth val="0"/>
        </c:ser>
        <c:dLbls>
          <c:showLegendKey val="0"/>
          <c:showVal val="0"/>
          <c:showCatName val="0"/>
          <c:showSerName val="0"/>
          <c:showPercent val="0"/>
          <c:showBubbleSize val="0"/>
        </c:dLbls>
        <c:marker val="1"/>
        <c:smooth val="0"/>
        <c:axId val="82466688"/>
        <c:axId val="82468224"/>
      </c:lineChart>
      <c:catAx>
        <c:axId val="8246668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2468224"/>
        <c:crosses val="autoZero"/>
        <c:auto val="1"/>
        <c:lblAlgn val="ctr"/>
        <c:lblOffset val="100"/>
        <c:tickLblSkip val="3"/>
        <c:noMultiLvlLbl val="0"/>
      </c:catAx>
      <c:valAx>
        <c:axId val="82468224"/>
        <c:scaling>
          <c:orientation val="minMax"/>
          <c:max val="0.9"/>
          <c:min val="0.30000000000000004"/>
        </c:scaling>
        <c:delete val="0"/>
        <c:axPos val="l"/>
        <c:majorGridlines/>
        <c:numFmt formatCode="0%" sourceLinked="0"/>
        <c:majorTickMark val="out"/>
        <c:minorTickMark val="none"/>
        <c:tickLblPos val="nextTo"/>
        <c:crossAx val="82466688"/>
        <c:crosses val="autoZero"/>
        <c:crossBetween val="between"/>
        <c:majorUnit val="0.1"/>
        <c:minorUnit val="2.0000000000000004E-2"/>
      </c:valAx>
    </c:plotArea>
    <c:legend>
      <c:legendPos val="b"/>
      <c:layout/>
      <c:overlay val="0"/>
    </c:legend>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894973460478511E-2"/>
          <c:y val="4.7077811507123007E-2"/>
          <c:w val="0.89219371673891179"/>
          <c:h val="0.65436595434385147"/>
        </c:manualLayout>
      </c:layout>
      <c:lineChart>
        <c:grouping val="standard"/>
        <c:varyColors val="0"/>
        <c:ser>
          <c:idx val="0"/>
          <c:order val="0"/>
          <c:tx>
            <c:strRef>
              <c:f>'Diabetes Review'!$D$37</c:f>
              <c:strCache>
                <c:ptCount val="1"/>
                <c:pt idx="0">
                  <c:v>Whānau Ora sample</c:v>
                </c:pt>
              </c:strCache>
            </c:strRef>
          </c:tx>
          <c:spPr>
            <a:ln w="22225">
              <a:solidFill>
                <a:srgbClr val="0070C0"/>
              </a:solidFill>
            </a:ln>
          </c:spPr>
          <c:marker>
            <c:symbol val="none"/>
          </c:marker>
          <c:cat>
            <c:strRef>
              <c:f>'Diabetes Review'!$E$36:$AC$36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'Diabetes Review'!$E$37:$AC$37</c:f>
              <c:numCache>
                <c:formatCode>0.00%</c:formatCode>
                <c:ptCount val="25"/>
                <c:pt idx="0">
                  <c:v>0.67610000000000003</c:v>
                </c:pt>
                <c:pt idx="1">
                  <c:v>0.6754</c:v>
                </c:pt>
                <c:pt idx="2">
                  <c:v>0.7</c:v>
                </c:pt>
                <c:pt idx="3">
                  <c:v>0.70699999999999996</c:v>
                </c:pt>
                <c:pt idx="4">
                  <c:v>0.70820000000000005</c:v>
                </c:pt>
                <c:pt idx="5">
                  <c:v>0.7097</c:v>
                </c:pt>
                <c:pt idx="6">
                  <c:v>0.69879999999999998</c:v>
                </c:pt>
                <c:pt idx="7">
                  <c:v>0.71199999999999997</c:v>
                </c:pt>
                <c:pt idx="8">
                  <c:v>0.72450000000000003</c:v>
                </c:pt>
                <c:pt idx="9">
                  <c:v>0.72740000000000005</c:v>
                </c:pt>
                <c:pt idx="10">
                  <c:v>0.74419999999999997</c:v>
                </c:pt>
                <c:pt idx="11">
                  <c:v>0.75629999999999997</c:v>
                </c:pt>
                <c:pt idx="12">
                  <c:v>0.76060000000000005</c:v>
                </c:pt>
                <c:pt idx="13">
                  <c:v>0.77249999999999996</c:v>
                </c:pt>
                <c:pt idx="14">
                  <c:v>0.78039999999999998</c:v>
                </c:pt>
                <c:pt idx="15">
                  <c:v>0.79300000000000004</c:v>
                </c:pt>
                <c:pt idx="16">
                  <c:v>0.78569999999999995</c:v>
                </c:pt>
                <c:pt idx="17">
                  <c:v>0.78869999999999996</c:v>
                </c:pt>
                <c:pt idx="18">
                  <c:v>0.79249999999999998</c:v>
                </c:pt>
                <c:pt idx="19">
                  <c:v>0.78939999999999999</c:v>
                </c:pt>
                <c:pt idx="20">
                  <c:v>0.79220000000000002</c:v>
                </c:pt>
                <c:pt idx="21">
                  <c:v>0.7792</c:v>
                </c:pt>
                <c:pt idx="22">
                  <c:v>0.78110000000000002</c:v>
                </c:pt>
                <c:pt idx="23">
                  <c:v>0.77559999999999996</c:v>
                </c:pt>
                <c:pt idx="24">
                  <c:v>0.77010000000000001</c:v>
                </c:pt>
              </c:numCache>
            </c:numRef>
          </c:val>
          <c:smooth val="0"/>
        </c:ser>
        <c:ser>
          <c:idx val="1"/>
          <c:order val="1"/>
          <c:tx>
            <c:strRef>
              <c:f>'Diabetes Review'!$D$38</c:f>
              <c:strCache>
                <c:ptCount val="1"/>
                <c:pt idx="0">
                  <c:v>National sample</c:v>
                </c:pt>
              </c:strCache>
            </c:strRef>
          </c:tx>
          <c:spPr>
            <a:ln w="22225">
              <a:solidFill>
                <a:srgbClr val="FF0000"/>
              </a:solidFill>
              <a:prstDash val="sysDot"/>
            </a:ln>
          </c:spPr>
          <c:marker>
            <c:symbol val="none"/>
          </c:marker>
          <c:cat>
            <c:strRef>
              <c:f>'Diabetes Review'!$E$36:$AC$36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'Diabetes Review'!$E$38:$AC$38</c:f>
              <c:numCache>
                <c:formatCode>0.00%</c:formatCode>
                <c:ptCount val="25"/>
                <c:pt idx="0">
                  <c:v>0.68689999999999996</c:v>
                </c:pt>
                <c:pt idx="1">
                  <c:v>0.68389999999999995</c:v>
                </c:pt>
                <c:pt idx="2">
                  <c:v>0.6976</c:v>
                </c:pt>
                <c:pt idx="3">
                  <c:v>0.70599999999999996</c:v>
                </c:pt>
                <c:pt idx="4">
                  <c:v>0.70320000000000005</c:v>
                </c:pt>
                <c:pt idx="5">
                  <c:v>0.70809999999999995</c:v>
                </c:pt>
                <c:pt idx="6">
                  <c:v>0.69720000000000004</c:v>
                </c:pt>
                <c:pt idx="7">
                  <c:v>0.70409999999999995</c:v>
                </c:pt>
                <c:pt idx="8">
                  <c:v>0.70640000000000003</c:v>
                </c:pt>
                <c:pt idx="9">
                  <c:v>0.70530000000000004</c:v>
                </c:pt>
                <c:pt idx="10">
                  <c:v>0.70050000000000001</c:v>
                </c:pt>
                <c:pt idx="11">
                  <c:v>0.70989999999999998</c:v>
                </c:pt>
                <c:pt idx="12">
                  <c:v>0.71430000000000005</c:v>
                </c:pt>
                <c:pt idx="13">
                  <c:v>0.72209999999999996</c:v>
                </c:pt>
                <c:pt idx="14">
                  <c:v>0.73299999999999998</c:v>
                </c:pt>
                <c:pt idx="15">
                  <c:v>0.7319</c:v>
                </c:pt>
                <c:pt idx="16">
                  <c:v>0.72350000000000003</c:v>
                </c:pt>
                <c:pt idx="17">
                  <c:v>0.72560000000000002</c:v>
                </c:pt>
                <c:pt idx="18">
                  <c:v>0.72970000000000002</c:v>
                </c:pt>
                <c:pt idx="19">
                  <c:v>0.72899999999999998</c:v>
                </c:pt>
                <c:pt idx="20">
                  <c:v>0.74339999999999995</c:v>
                </c:pt>
                <c:pt idx="21">
                  <c:v>0.73750000000000004</c:v>
                </c:pt>
                <c:pt idx="22">
                  <c:v>0.73629999999999995</c:v>
                </c:pt>
                <c:pt idx="23">
                  <c:v>0.73729999999999996</c:v>
                </c:pt>
                <c:pt idx="24">
                  <c:v>0.73080000000000001</c:v>
                </c:pt>
              </c:numCache>
            </c:numRef>
          </c:val>
          <c:smooth val="0"/>
        </c:ser>
        <c:dLbls>
          <c:showLegendKey val="0"/>
          <c:showVal val="0"/>
          <c:showCatName val="0"/>
          <c:showSerName val="0"/>
          <c:showPercent val="0"/>
          <c:showBubbleSize val="0"/>
        </c:dLbls>
        <c:marker val="1"/>
        <c:smooth val="0"/>
        <c:axId val="84166912"/>
        <c:axId val="84172800"/>
      </c:lineChart>
      <c:catAx>
        <c:axId val="8416691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4172800"/>
        <c:crosses val="autoZero"/>
        <c:auto val="1"/>
        <c:lblAlgn val="ctr"/>
        <c:lblOffset val="100"/>
        <c:tickLblSkip val="3"/>
        <c:noMultiLvlLbl val="0"/>
      </c:catAx>
      <c:valAx>
        <c:axId val="84172800"/>
        <c:scaling>
          <c:orientation val="minMax"/>
          <c:max val="0.85000000000000009"/>
          <c:min val="0.45"/>
        </c:scaling>
        <c:delete val="0"/>
        <c:axPos val="l"/>
        <c:majorGridlines/>
        <c:numFmt formatCode="0%" sourceLinked="0"/>
        <c:majorTickMark val="out"/>
        <c:minorTickMark val="none"/>
        <c:tickLblPos val="nextTo"/>
        <c:crossAx val="84166912"/>
        <c:crosses val="autoZero"/>
        <c:crossBetween val="between"/>
        <c:majorUnit val="0.1"/>
      </c:valAx>
    </c:plotArea>
    <c:legend>
      <c:legendPos val="b"/>
      <c:layout/>
      <c:overlay val="0"/>
    </c:legend>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'Diabetes mgmt trend'!$C$87</c:f>
              <c:strCache>
                <c:ptCount val="1"/>
                <c:pt idx="0">
                  <c:v>Whānau Ora sample</c:v>
                </c:pt>
              </c:strCache>
            </c:strRef>
          </c:tx>
          <c:spPr>
            <a:ln w="22225">
              <a:solidFill>
                <a:srgbClr val="0070C0"/>
              </a:solidFill>
              <a:prstDash val="solid"/>
            </a:ln>
          </c:spPr>
          <c:marker>
            <c:symbol val="none"/>
          </c:marker>
          <c:cat>
            <c:strRef>
              <c:f>'Diabetes mgmt trend'!$D$86:$AB$86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'Diabetes mgmt trend'!$D$87:$AB$87</c:f>
              <c:numCache>
                <c:formatCode>0</c:formatCode>
                <c:ptCount val="25"/>
                <c:pt idx="0">
                  <c:v>57</c:v>
                </c:pt>
                <c:pt idx="1">
                  <c:v>57</c:v>
                </c:pt>
                <c:pt idx="2">
                  <c:v>57</c:v>
                </c:pt>
                <c:pt idx="3">
                  <c:v>57</c:v>
                </c:pt>
                <c:pt idx="4">
                  <c:v>57</c:v>
                </c:pt>
                <c:pt idx="5">
                  <c:v>57</c:v>
                </c:pt>
                <c:pt idx="6">
                  <c:v>58</c:v>
                </c:pt>
                <c:pt idx="7">
                  <c:v>57</c:v>
                </c:pt>
                <c:pt idx="8">
                  <c:v>57</c:v>
                </c:pt>
                <c:pt idx="9">
                  <c:v>57</c:v>
                </c:pt>
                <c:pt idx="10">
                  <c:v>57</c:v>
                </c:pt>
                <c:pt idx="11">
                  <c:v>56.28</c:v>
                </c:pt>
                <c:pt idx="12">
                  <c:v>56</c:v>
                </c:pt>
                <c:pt idx="13">
                  <c:v>57</c:v>
                </c:pt>
                <c:pt idx="14">
                  <c:v>57</c:v>
                </c:pt>
                <c:pt idx="15">
                  <c:v>57</c:v>
                </c:pt>
                <c:pt idx="16">
                  <c:v>57</c:v>
                </c:pt>
                <c:pt idx="17">
                  <c:v>57</c:v>
                </c:pt>
                <c:pt idx="18">
                  <c:v>57.38</c:v>
                </c:pt>
                <c:pt idx="19">
                  <c:v>58</c:v>
                </c:pt>
                <c:pt idx="20">
                  <c:v>58</c:v>
                </c:pt>
                <c:pt idx="21">
                  <c:v>58</c:v>
                </c:pt>
                <c:pt idx="22">
                  <c:v>58</c:v>
                </c:pt>
                <c:pt idx="23">
                  <c:v>58</c:v>
                </c:pt>
                <c:pt idx="24">
                  <c:v>57</c:v>
                </c:pt>
              </c:numCache>
            </c:numRef>
          </c:val>
          <c:smooth val="0"/>
        </c:ser>
        <c:ser>
          <c:idx val="1"/>
          <c:order val="1"/>
          <c:tx>
            <c:strRef>
              <c:f>'Diabetes mgmt trend'!$C$88</c:f>
              <c:strCache>
                <c:ptCount val="1"/>
                <c:pt idx="0">
                  <c:v>National sample</c:v>
                </c:pt>
              </c:strCache>
            </c:strRef>
          </c:tx>
          <c:spPr>
            <a:ln w="22225" cap="flat" cmpd="sng">
              <a:solidFill>
                <a:srgbClr val="FF0000"/>
              </a:solidFill>
              <a:prstDash val="sysDot"/>
              <a:bevel/>
            </a:ln>
          </c:spPr>
          <c:marker>
            <c:symbol val="none"/>
          </c:marker>
          <c:cat>
            <c:strRef>
              <c:f>'Diabetes mgmt trend'!$D$86:$AB$86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'Diabetes mgmt trend'!$D$88:$AB$88</c:f>
              <c:numCache>
                <c:formatCode>0</c:formatCode>
                <c:ptCount val="25"/>
                <c:pt idx="0">
                  <c:v>53</c:v>
                </c:pt>
                <c:pt idx="1">
                  <c:v>53</c:v>
                </c:pt>
                <c:pt idx="2">
                  <c:v>52</c:v>
                </c:pt>
                <c:pt idx="3">
                  <c:v>52</c:v>
                </c:pt>
                <c:pt idx="4">
                  <c:v>53</c:v>
                </c:pt>
                <c:pt idx="5">
                  <c:v>53</c:v>
                </c:pt>
                <c:pt idx="6">
                  <c:v>53</c:v>
                </c:pt>
                <c:pt idx="7">
                  <c:v>53</c:v>
                </c:pt>
                <c:pt idx="8">
                  <c:v>53</c:v>
                </c:pt>
                <c:pt idx="9">
                  <c:v>53</c:v>
                </c:pt>
                <c:pt idx="10">
                  <c:v>53</c:v>
                </c:pt>
                <c:pt idx="11">
                  <c:v>53</c:v>
                </c:pt>
                <c:pt idx="12">
                  <c:v>53</c:v>
                </c:pt>
                <c:pt idx="13">
                  <c:v>53</c:v>
                </c:pt>
                <c:pt idx="14">
                  <c:v>53</c:v>
                </c:pt>
                <c:pt idx="15">
                  <c:v>53</c:v>
                </c:pt>
                <c:pt idx="16">
                  <c:v>53</c:v>
                </c:pt>
                <c:pt idx="17">
                  <c:v>54</c:v>
                </c:pt>
                <c:pt idx="18">
                  <c:v>54</c:v>
                </c:pt>
                <c:pt idx="19">
                  <c:v>54</c:v>
                </c:pt>
                <c:pt idx="20">
                  <c:v>55</c:v>
                </c:pt>
                <c:pt idx="21">
                  <c:v>55</c:v>
                </c:pt>
                <c:pt idx="22">
                  <c:v>54</c:v>
                </c:pt>
                <c:pt idx="23">
                  <c:v>54</c:v>
                </c:pt>
                <c:pt idx="24">
                  <c:v>54</c:v>
                </c:pt>
              </c:numCache>
            </c:numRef>
          </c:val>
          <c:smooth val="0"/>
        </c:ser>
        <c:dLbls>
          <c:showLegendKey val="0"/>
          <c:showVal val="0"/>
          <c:showCatName val="0"/>
          <c:showSerName val="0"/>
          <c:showPercent val="0"/>
          <c:showBubbleSize val="0"/>
        </c:dLbls>
        <c:marker val="1"/>
        <c:smooth val="0"/>
        <c:axId val="35262464"/>
        <c:axId val="35264000"/>
      </c:lineChart>
      <c:catAx>
        <c:axId val="3526246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35264000"/>
        <c:crosses val="autoZero"/>
        <c:auto val="1"/>
        <c:lblAlgn val="ctr"/>
        <c:lblOffset val="100"/>
        <c:tickLblSkip val="3"/>
        <c:noMultiLvlLbl val="0"/>
      </c:catAx>
      <c:valAx>
        <c:axId val="35264000"/>
        <c:scaling>
          <c:orientation val="minMax"/>
          <c:max val="65"/>
          <c:min val="40"/>
        </c:scaling>
        <c:delete val="0"/>
        <c:axPos val="l"/>
        <c:majorGridlines/>
        <c:numFmt formatCode="General" sourceLinked="0"/>
        <c:majorTickMark val="out"/>
        <c:minorTickMark val="none"/>
        <c:tickLblPos val="nextTo"/>
        <c:crossAx val="35262464"/>
        <c:crosses val="autoZero"/>
        <c:crossBetween val="between"/>
        <c:majorUnit val="5"/>
      </c:valAx>
    </c:plotArea>
    <c:legend>
      <c:legendPos val="b"/>
      <c:layout/>
      <c:overlay val="0"/>
    </c:legend>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Smoking!$C$37</c:f>
              <c:strCache>
                <c:ptCount val="1"/>
                <c:pt idx="0">
                  <c:v>Whānau Ora sample</c:v>
                </c:pt>
              </c:strCache>
            </c:strRef>
          </c:tx>
          <c:spPr>
            <a:ln w="22225">
              <a:solidFill>
                <a:srgbClr val="0070C0"/>
              </a:solidFill>
              <a:prstDash val="solid"/>
            </a:ln>
          </c:spPr>
          <c:marker>
            <c:symbol val="none"/>
          </c:marker>
          <c:cat>
            <c:strRef>
              <c:f>Smoking!$D$36:$AB$36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Smoking!$D$37:$AB$37</c:f>
              <c:numCache>
                <c:formatCode>0.00%</c:formatCode>
                <c:ptCount val="25"/>
                <c:pt idx="0">
                  <c:v>0.60419999999999996</c:v>
                </c:pt>
                <c:pt idx="1">
                  <c:v>0.625</c:v>
                </c:pt>
                <c:pt idx="2">
                  <c:v>0.62409999999999999</c:v>
                </c:pt>
                <c:pt idx="3">
                  <c:v>0.69059999999999999</c:v>
                </c:pt>
                <c:pt idx="4">
                  <c:v>0.70289999999999997</c:v>
                </c:pt>
                <c:pt idx="5">
                  <c:v>0.72099999999999997</c:v>
                </c:pt>
                <c:pt idx="6">
                  <c:v>0.72360000000000002</c:v>
                </c:pt>
                <c:pt idx="7">
                  <c:v>0.7419</c:v>
                </c:pt>
                <c:pt idx="8">
                  <c:v>0.74890000000000001</c:v>
                </c:pt>
                <c:pt idx="9">
                  <c:v>0.76549999999999996</c:v>
                </c:pt>
                <c:pt idx="10">
                  <c:v>0.79249999999999998</c:v>
                </c:pt>
                <c:pt idx="11">
                  <c:v>0.81200000000000006</c:v>
                </c:pt>
                <c:pt idx="12">
                  <c:v>0.81140000000000001</c:v>
                </c:pt>
                <c:pt idx="13">
                  <c:v>0.81930000000000003</c:v>
                </c:pt>
                <c:pt idx="14">
                  <c:v>0.82509999999999994</c:v>
                </c:pt>
                <c:pt idx="15">
                  <c:v>0.8286</c:v>
                </c:pt>
                <c:pt idx="16">
                  <c:v>0.83840000000000003</c:v>
                </c:pt>
                <c:pt idx="17">
                  <c:v>0.84060000000000001</c:v>
                </c:pt>
                <c:pt idx="18">
                  <c:v>0.88880000000000003</c:v>
                </c:pt>
                <c:pt idx="19">
                  <c:v>0.89859999999999995</c:v>
                </c:pt>
                <c:pt idx="20">
                  <c:v>0.89890000000000003</c:v>
                </c:pt>
                <c:pt idx="21">
                  <c:v>0.90490000000000004</c:v>
                </c:pt>
                <c:pt idx="22">
                  <c:v>0.89539999999999997</c:v>
                </c:pt>
                <c:pt idx="23">
                  <c:v>0.89439999999999997</c:v>
                </c:pt>
                <c:pt idx="24">
                  <c:v>0.89229999999999998</c:v>
                </c:pt>
              </c:numCache>
            </c:numRef>
          </c:val>
          <c:smooth val="0"/>
        </c:ser>
        <c:ser>
          <c:idx val="1"/>
          <c:order val="1"/>
          <c:tx>
            <c:strRef>
              <c:f>Smoking!$C$38</c:f>
              <c:strCache>
                <c:ptCount val="1"/>
                <c:pt idx="0">
                  <c:v>National sample</c:v>
                </c:pt>
              </c:strCache>
            </c:strRef>
          </c:tx>
          <c:spPr>
            <a:ln w="22225" cap="flat" cmpd="sng">
              <a:solidFill>
                <a:srgbClr val="FF0000"/>
              </a:solidFill>
              <a:prstDash val="sysDot"/>
              <a:bevel/>
            </a:ln>
          </c:spPr>
          <c:marker>
            <c:symbol val="none"/>
          </c:marker>
          <c:cat>
            <c:strRef>
              <c:f>Smoking!$D$36:$AB$36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Smoking!$D$38:$AB$38</c:f>
              <c:numCache>
                <c:formatCode>0.00%</c:formatCode>
                <c:ptCount val="25"/>
                <c:pt idx="0">
                  <c:v>0.61970000000000003</c:v>
                </c:pt>
                <c:pt idx="1">
                  <c:v>0.63329999999999997</c:v>
                </c:pt>
                <c:pt idx="2">
                  <c:v>0.64480000000000004</c:v>
                </c:pt>
                <c:pt idx="3">
                  <c:v>0.6855</c:v>
                </c:pt>
                <c:pt idx="4">
                  <c:v>0.70030000000000003</c:v>
                </c:pt>
                <c:pt idx="5">
                  <c:v>0.71660000000000001</c:v>
                </c:pt>
                <c:pt idx="6">
                  <c:v>0.72770000000000001</c:v>
                </c:pt>
                <c:pt idx="7">
                  <c:v>0.73829999999999996</c:v>
                </c:pt>
                <c:pt idx="8">
                  <c:v>0.74780000000000002</c:v>
                </c:pt>
                <c:pt idx="9">
                  <c:v>0.76049999999999995</c:v>
                </c:pt>
                <c:pt idx="10">
                  <c:v>0.76070000000000004</c:v>
                </c:pt>
                <c:pt idx="11">
                  <c:v>0.77080000000000004</c:v>
                </c:pt>
                <c:pt idx="12">
                  <c:v>0.77129999999999999</c:v>
                </c:pt>
                <c:pt idx="13">
                  <c:v>0.77629999999999999</c:v>
                </c:pt>
                <c:pt idx="14">
                  <c:v>0.81220000000000003</c:v>
                </c:pt>
                <c:pt idx="15">
                  <c:v>0.83040000000000003</c:v>
                </c:pt>
                <c:pt idx="16">
                  <c:v>0.83250000000000002</c:v>
                </c:pt>
                <c:pt idx="17">
                  <c:v>0.83960000000000001</c:v>
                </c:pt>
                <c:pt idx="18">
                  <c:v>0.86699999999999999</c:v>
                </c:pt>
                <c:pt idx="19">
                  <c:v>0.86709999999999998</c:v>
                </c:pt>
                <c:pt idx="20">
                  <c:v>0.87770000000000004</c:v>
                </c:pt>
                <c:pt idx="21">
                  <c:v>0.88590000000000002</c:v>
                </c:pt>
                <c:pt idx="22">
                  <c:v>0.88370000000000004</c:v>
                </c:pt>
                <c:pt idx="23">
                  <c:v>0.88480000000000003</c:v>
                </c:pt>
                <c:pt idx="24">
                  <c:v>0.89019999999999999</c:v>
                </c:pt>
              </c:numCache>
            </c:numRef>
          </c:val>
          <c:smooth val="0"/>
        </c:ser>
        <c:dLbls>
          <c:showLegendKey val="0"/>
          <c:showVal val="0"/>
          <c:showCatName val="0"/>
          <c:showSerName val="0"/>
          <c:showPercent val="0"/>
          <c:showBubbleSize val="0"/>
        </c:dLbls>
        <c:marker val="1"/>
        <c:smooth val="0"/>
        <c:axId val="68932352"/>
        <c:axId val="68933888"/>
      </c:lineChart>
      <c:catAx>
        <c:axId val="6893235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68933888"/>
        <c:crosses val="autoZero"/>
        <c:auto val="1"/>
        <c:lblAlgn val="ctr"/>
        <c:lblOffset val="100"/>
        <c:tickLblSkip val="3"/>
        <c:noMultiLvlLbl val="0"/>
      </c:catAx>
      <c:valAx>
        <c:axId val="68933888"/>
        <c:scaling>
          <c:orientation val="minMax"/>
          <c:max val="0.9"/>
          <c:min val="0.4"/>
        </c:scaling>
        <c:delete val="0"/>
        <c:axPos val="l"/>
        <c:majorGridlines/>
        <c:numFmt formatCode="0%" sourceLinked="0"/>
        <c:majorTickMark val="out"/>
        <c:minorTickMark val="none"/>
        <c:tickLblPos val="nextTo"/>
        <c:crossAx val="68932352"/>
        <c:crosses val="autoZero"/>
        <c:crossBetween val="between"/>
        <c:majorUnit val="0.1"/>
      </c:valAx>
    </c:plotArea>
    <c:legend>
      <c:legendPos val="b"/>
      <c:layout/>
      <c:overlay val="0"/>
    </c:legend>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Cervical!$D$37</c:f>
              <c:strCache>
                <c:ptCount val="1"/>
                <c:pt idx="0">
                  <c:v>Whānau Ora sample</c:v>
                </c:pt>
              </c:strCache>
            </c:strRef>
          </c:tx>
          <c:spPr>
            <a:ln w="22225">
              <a:solidFill>
                <a:srgbClr val="0070C0"/>
              </a:solidFill>
              <a:prstDash val="solid"/>
            </a:ln>
          </c:spPr>
          <c:marker>
            <c:symbol val="none"/>
          </c:marker>
          <c:cat>
            <c:strRef>
              <c:f>Cervical!$E$36:$AC$36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Cervical!$E$37:$AC$37</c:f>
              <c:numCache>
                <c:formatCode>0.00%</c:formatCode>
                <c:ptCount val="25"/>
                <c:pt idx="0">
                  <c:v>0.5575</c:v>
                </c:pt>
                <c:pt idx="1">
                  <c:v>0.55569999999999997</c:v>
                </c:pt>
                <c:pt idx="2">
                  <c:v>0.55530000000000002</c:v>
                </c:pt>
                <c:pt idx="3">
                  <c:v>0.54600000000000004</c:v>
                </c:pt>
                <c:pt idx="4">
                  <c:v>0.54390000000000005</c:v>
                </c:pt>
                <c:pt idx="5">
                  <c:v>0.54979999999999996</c:v>
                </c:pt>
                <c:pt idx="6">
                  <c:v>0.54800000000000004</c:v>
                </c:pt>
                <c:pt idx="7">
                  <c:v>0.56399999999999995</c:v>
                </c:pt>
                <c:pt idx="8">
                  <c:v>0.57640000000000002</c:v>
                </c:pt>
                <c:pt idx="9">
                  <c:v>0.57630000000000003</c:v>
                </c:pt>
                <c:pt idx="10">
                  <c:v>0.57589999999999997</c:v>
                </c:pt>
                <c:pt idx="11">
                  <c:v>0.58560000000000001</c:v>
                </c:pt>
                <c:pt idx="12">
                  <c:v>0.58479999999999999</c:v>
                </c:pt>
                <c:pt idx="13">
                  <c:v>0.58040000000000003</c:v>
                </c:pt>
                <c:pt idx="14">
                  <c:v>0.58199999999999996</c:v>
                </c:pt>
                <c:pt idx="15">
                  <c:v>0.58560000000000001</c:v>
                </c:pt>
                <c:pt idx="16">
                  <c:v>0.57320000000000004</c:v>
                </c:pt>
                <c:pt idx="17">
                  <c:v>0.57950000000000002</c:v>
                </c:pt>
                <c:pt idx="18">
                  <c:v>0.58130000000000004</c:v>
                </c:pt>
                <c:pt idx="19">
                  <c:v>0.58089999999999997</c:v>
                </c:pt>
                <c:pt idx="20">
                  <c:v>0.58220000000000005</c:v>
                </c:pt>
                <c:pt idx="21">
                  <c:v>0.57820000000000005</c:v>
                </c:pt>
                <c:pt idx="22">
                  <c:v>0.58009999999999995</c:v>
                </c:pt>
                <c:pt idx="23">
                  <c:v>0.58140000000000003</c:v>
                </c:pt>
                <c:pt idx="24">
                  <c:v>0.5806</c:v>
                </c:pt>
              </c:numCache>
            </c:numRef>
          </c:val>
          <c:smooth val="0"/>
        </c:ser>
        <c:ser>
          <c:idx val="1"/>
          <c:order val="1"/>
          <c:tx>
            <c:strRef>
              <c:f>Cervical!$D$38</c:f>
              <c:strCache>
                <c:ptCount val="1"/>
                <c:pt idx="0">
                  <c:v>National sample</c:v>
                </c:pt>
              </c:strCache>
            </c:strRef>
          </c:tx>
          <c:spPr>
            <a:ln w="22225" cap="flat" cmpd="sng">
              <a:solidFill>
                <a:srgbClr val="FF0000"/>
              </a:solidFill>
              <a:prstDash val="sysDot"/>
              <a:bevel/>
            </a:ln>
          </c:spPr>
          <c:marker>
            <c:symbol val="none"/>
          </c:marker>
          <c:cat>
            <c:strRef>
              <c:f>Cervical!$E$36:$AC$36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Cervical!$E$38:$AC$38</c:f>
              <c:numCache>
                <c:formatCode>0.00%</c:formatCode>
                <c:ptCount val="25"/>
                <c:pt idx="0">
                  <c:v>0.6704</c:v>
                </c:pt>
                <c:pt idx="1">
                  <c:v>0.67259999999999998</c:v>
                </c:pt>
                <c:pt idx="2">
                  <c:v>0.67589999999999995</c:v>
                </c:pt>
                <c:pt idx="3">
                  <c:v>0.67079999999999995</c:v>
                </c:pt>
                <c:pt idx="4">
                  <c:v>0.67020000000000002</c:v>
                </c:pt>
                <c:pt idx="5">
                  <c:v>0.67490000000000006</c:v>
                </c:pt>
                <c:pt idx="6">
                  <c:v>0.66449999999999998</c:v>
                </c:pt>
                <c:pt idx="7">
                  <c:v>0.70730000000000004</c:v>
                </c:pt>
                <c:pt idx="8">
                  <c:v>0.71450000000000002</c:v>
                </c:pt>
                <c:pt idx="9">
                  <c:v>0.71120000000000005</c:v>
                </c:pt>
                <c:pt idx="10">
                  <c:v>0.7087</c:v>
                </c:pt>
                <c:pt idx="11">
                  <c:v>0.70820000000000005</c:v>
                </c:pt>
                <c:pt idx="12">
                  <c:v>0.70930000000000004</c:v>
                </c:pt>
                <c:pt idx="13">
                  <c:v>0.70179999999999998</c:v>
                </c:pt>
                <c:pt idx="14">
                  <c:v>0.70089999999999997</c:v>
                </c:pt>
                <c:pt idx="15">
                  <c:v>0.7026</c:v>
                </c:pt>
                <c:pt idx="16">
                  <c:v>0.69440000000000002</c:v>
                </c:pt>
                <c:pt idx="17">
                  <c:v>0.69569999999999999</c:v>
                </c:pt>
                <c:pt idx="18">
                  <c:v>0.69650000000000001</c:v>
                </c:pt>
                <c:pt idx="19">
                  <c:v>0.69279999999999997</c:v>
                </c:pt>
                <c:pt idx="20">
                  <c:v>0.69550000000000001</c:v>
                </c:pt>
                <c:pt idx="21">
                  <c:v>0.69579999999999997</c:v>
                </c:pt>
                <c:pt idx="22">
                  <c:v>0.69259999999999999</c:v>
                </c:pt>
                <c:pt idx="23">
                  <c:v>0.69369999999999998</c:v>
                </c:pt>
                <c:pt idx="24">
                  <c:v>0.69269999999999998</c:v>
                </c:pt>
              </c:numCache>
            </c:numRef>
          </c:val>
          <c:smooth val="0"/>
        </c:ser>
        <c:dLbls>
          <c:showLegendKey val="0"/>
          <c:showVal val="0"/>
          <c:showCatName val="0"/>
          <c:showSerName val="0"/>
          <c:showPercent val="0"/>
          <c:showBubbleSize val="0"/>
        </c:dLbls>
        <c:marker val="1"/>
        <c:smooth val="0"/>
        <c:axId val="86624128"/>
        <c:axId val="86625664"/>
      </c:lineChart>
      <c:catAx>
        <c:axId val="8662412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6625664"/>
        <c:crosses val="autoZero"/>
        <c:auto val="1"/>
        <c:lblAlgn val="ctr"/>
        <c:lblOffset val="100"/>
        <c:tickLblSkip val="3"/>
        <c:noMultiLvlLbl val="0"/>
      </c:catAx>
      <c:valAx>
        <c:axId val="86625664"/>
        <c:scaling>
          <c:orientation val="minMax"/>
          <c:min val="0.4"/>
        </c:scaling>
        <c:delete val="0"/>
        <c:axPos val="l"/>
        <c:majorGridlines/>
        <c:numFmt formatCode="0%" sourceLinked="0"/>
        <c:majorTickMark val="out"/>
        <c:minorTickMark val="none"/>
        <c:tickLblPos val="nextTo"/>
        <c:crossAx val="86624128"/>
        <c:crosses val="autoZero"/>
        <c:crossBetween val="between"/>
      </c:valAx>
    </c:plotArea>
    <c:legend>
      <c:legendPos val="b"/>
      <c:layout/>
      <c:overlay val="0"/>
    </c:legend>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MamMography!$D$37</c:f>
              <c:strCache>
                <c:ptCount val="1"/>
                <c:pt idx="0">
                  <c:v>Whānau Ora sample</c:v>
                </c:pt>
              </c:strCache>
            </c:strRef>
          </c:tx>
          <c:spPr>
            <a:ln w="22225">
              <a:solidFill>
                <a:srgbClr val="0070C0"/>
              </a:solidFill>
              <a:prstDash val="solid"/>
            </a:ln>
          </c:spPr>
          <c:marker>
            <c:symbol val="none"/>
          </c:marker>
          <c:cat>
            <c:strRef>
              <c:f>MamMography!$E$36:$AC$36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MamMography!$E$37:$AC$37</c:f>
              <c:numCache>
                <c:formatCode>0.00%</c:formatCode>
                <c:ptCount val="25"/>
                <c:pt idx="0">
                  <c:v>0.57569999999999999</c:v>
                </c:pt>
                <c:pt idx="1">
                  <c:v>0.58040000000000003</c:v>
                </c:pt>
                <c:pt idx="2">
                  <c:v>0.59009999999999996</c:v>
                </c:pt>
                <c:pt idx="3">
                  <c:v>0.57979999999999998</c:v>
                </c:pt>
                <c:pt idx="4">
                  <c:v>0.57669999999999999</c:v>
                </c:pt>
                <c:pt idx="5">
                  <c:v>0.57969999999999999</c:v>
                </c:pt>
                <c:pt idx="6">
                  <c:v>0.57269999999999999</c:v>
                </c:pt>
                <c:pt idx="7">
                  <c:v>0.57540000000000002</c:v>
                </c:pt>
                <c:pt idx="8">
                  <c:v>0.59389999999999998</c:v>
                </c:pt>
                <c:pt idx="9">
                  <c:v>0.61319999999999997</c:v>
                </c:pt>
                <c:pt idx="10">
                  <c:v>0.61119999999999997</c:v>
                </c:pt>
                <c:pt idx="11">
                  <c:v>0.59899999999999998</c:v>
                </c:pt>
                <c:pt idx="12">
                  <c:v>0.59299999999999997</c:v>
                </c:pt>
                <c:pt idx="13">
                  <c:v>0.59799999999999998</c:v>
                </c:pt>
                <c:pt idx="14">
                  <c:v>0.61060000000000003</c:v>
                </c:pt>
                <c:pt idx="15">
                  <c:v>0.61839999999999995</c:v>
                </c:pt>
                <c:pt idx="16">
                  <c:v>0.60109999999999997</c:v>
                </c:pt>
                <c:pt idx="17">
                  <c:v>0.6018</c:v>
                </c:pt>
                <c:pt idx="18">
                  <c:v>0.59709999999999996</c:v>
                </c:pt>
                <c:pt idx="19">
                  <c:v>0.60040000000000004</c:v>
                </c:pt>
                <c:pt idx="20">
                  <c:v>0.5958</c:v>
                </c:pt>
                <c:pt idx="21">
                  <c:v>0.59619999999999995</c:v>
                </c:pt>
                <c:pt idx="22">
                  <c:v>0.60640000000000005</c:v>
                </c:pt>
                <c:pt idx="23">
                  <c:v>0.6099</c:v>
                </c:pt>
                <c:pt idx="24">
                  <c:v>0.6008</c:v>
                </c:pt>
              </c:numCache>
            </c:numRef>
          </c:val>
          <c:smooth val="0"/>
        </c:ser>
        <c:ser>
          <c:idx val="1"/>
          <c:order val="1"/>
          <c:tx>
            <c:strRef>
              <c:f>MamMography!$D$38</c:f>
              <c:strCache>
                <c:ptCount val="1"/>
                <c:pt idx="0">
                  <c:v>National sample</c:v>
                </c:pt>
              </c:strCache>
            </c:strRef>
          </c:tx>
          <c:spPr>
            <a:ln w="22225" cap="flat" cmpd="sng">
              <a:solidFill>
                <a:srgbClr val="FF0000"/>
              </a:solidFill>
              <a:prstDash val="sysDot"/>
              <a:bevel/>
            </a:ln>
          </c:spPr>
          <c:marker>
            <c:symbol val="none"/>
          </c:marker>
          <c:cat>
            <c:strRef>
              <c:f>MamMography!$E$36:$AC$36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MamMography!$E$38:$AC$38</c:f>
              <c:numCache>
                <c:formatCode>0.00%</c:formatCode>
                <c:ptCount val="25"/>
                <c:pt idx="0">
                  <c:v>0.61750000000000005</c:v>
                </c:pt>
                <c:pt idx="1">
                  <c:v>0.622</c:v>
                </c:pt>
                <c:pt idx="2">
                  <c:v>0.62939999999999996</c:v>
                </c:pt>
                <c:pt idx="3">
                  <c:v>0.61860000000000004</c:v>
                </c:pt>
                <c:pt idx="4">
                  <c:v>0.61750000000000005</c:v>
                </c:pt>
                <c:pt idx="5">
                  <c:v>0.62660000000000005</c:v>
                </c:pt>
                <c:pt idx="6">
                  <c:v>0.62590000000000001</c:v>
                </c:pt>
                <c:pt idx="7">
                  <c:v>0.65039999999999998</c:v>
                </c:pt>
                <c:pt idx="8">
                  <c:v>0.64900000000000002</c:v>
                </c:pt>
                <c:pt idx="9">
                  <c:v>0.65369999999999995</c:v>
                </c:pt>
                <c:pt idx="10">
                  <c:v>0.64839999999999998</c:v>
                </c:pt>
                <c:pt idx="11">
                  <c:v>0.6391</c:v>
                </c:pt>
                <c:pt idx="12">
                  <c:v>0.63109999999999999</c:v>
                </c:pt>
                <c:pt idx="13">
                  <c:v>0.62829999999999997</c:v>
                </c:pt>
                <c:pt idx="14">
                  <c:v>0.62670000000000003</c:v>
                </c:pt>
                <c:pt idx="15">
                  <c:v>0.63049999999999995</c:v>
                </c:pt>
                <c:pt idx="16">
                  <c:v>0.625</c:v>
                </c:pt>
                <c:pt idx="17">
                  <c:v>0.61990000000000001</c:v>
                </c:pt>
                <c:pt idx="18">
                  <c:v>0.60919999999999996</c:v>
                </c:pt>
                <c:pt idx="19">
                  <c:v>0.60760000000000003</c:v>
                </c:pt>
                <c:pt idx="20">
                  <c:v>0.60919999999999996</c:v>
                </c:pt>
                <c:pt idx="21">
                  <c:v>0.6109</c:v>
                </c:pt>
                <c:pt idx="22">
                  <c:v>0.61229999999999996</c:v>
                </c:pt>
                <c:pt idx="23">
                  <c:v>0.61499999999999999</c:v>
                </c:pt>
                <c:pt idx="24">
                  <c:v>0.60980000000000001</c:v>
                </c:pt>
              </c:numCache>
            </c:numRef>
          </c:val>
          <c:smooth val="0"/>
        </c:ser>
        <c:dLbls>
          <c:showLegendKey val="0"/>
          <c:showVal val="0"/>
          <c:showCatName val="0"/>
          <c:showSerName val="0"/>
          <c:showPercent val="0"/>
          <c:showBubbleSize val="0"/>
        </c:dLbls>
        <c:marker val="1"/>
        <c:smooth val="0"/>
        <c:axId val="86690432"/>
        <c:axId val="86696320"/>
      </c:lineChart>
      <c:catAx>
        <c:axId val="86690432"/>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6696320"/>
        <c:crosses val="autoZero"/>
        <c:auto val="1"/>
        <c:lblAlgn val="ctr"/>
        <c:lblOffset val="100"/>
        <c:tickLblSkip val="3"/>
        <c:noMultiLvlLbl val="0"/>
      </c:catAx>
      <c:valAx>
        <c:axId val="86696320"/>
        <c:scaling>
          <c:orientation val="minMax"/>
          <c:max val="0.70000000000000029"/>
          <c:min val="0.4"/>
        </c:scaling>
        <c:delete val="0"/>
        <c:axPos val="l"/>
        <c:majorGridlines/>
        <c:numFmt formatCode="0%" sourceLinked="0"/>
        <c:majorTickMark val="out"/>
        <c:minorTickMark val="none"/>
        <c:tickLblPos val="nextTo"/>
        <c:crossAx val="86690432"/>
        <c:crosses val="autoZero"/>
        <c:crossBetween val="between"/>
        <c:majorUnit val="5.000000000000001E-2"/>
      </c:valAx>
    </c:plotArea>
    <c:legend>
      <c:legendPos val="b"/>
      <c:layout/>
      <c:overlay val="0"/>
    </c:legend>
    <c:plotVisOnly val="1"/>
    <c:dispBlanksAs val="gap"/>
    <c:showDLblsOverMax val="0"/>
  </c:chart>
  <c:spPr>
    <a:noFill/>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'Mental Health Trend'!$C$37</c:f>
              <c:strCache>
                <c:ptCount val="1"/>
                <c:pt idx="0">
                  <c:v>Whānau Ora sample</c:v>
                </c:pt>
              </c:strCache>
            </c:strRef>
          </c:tx>
          <c:spPr>
            <a:ln w="22225">
              <a:solidFill>
                <a:srgbClr val="0070C0"/>
              </a:solidFill>
              <a:prstDash val="solid"/>
            </a:ln>
          </c:spPr>
          <c:marker>
            <c:symbol val="none"/>
          </c:marker>
          <c:cat>
            <c:strRef>
              <c:f>'Mental Health Trend'!$D$36:$AB$36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'Mental Health Trend'!$D$37:$AB$37</c:f>
              <c:numCache>
                <c:formatCode>0.00%</c:formatCode>
                <c:ptCount val="25"/>
                <c:pt idx="0">
                  <c:v>0.1552</c:v>
                </c:pt>
                <c:pt idx="1">
                  <c:v>0.15709999999999999</c:v>
                </c:pt>
                <c:pt idx="2">
                  <c:v>0.15920000000000001</c:v>
                </c:pt>
                <c:pt idx="3">
                  <c:v>0.16059999999999999</c:v>
                </c:pt>
                <c:pt idx="4">
                  <c:v>0.16209999999999999</c:v>
                </c:pt>
                <c:pt idx="5">
                  <c:v>0.16350000000000001</c:v>
                </c:pt>
                <c:pt idx="6">
                  <c:v>0.16450000000000001</c:v>
                </c:pt>
                <c:pt idx="7">
                  <c:v>0.16800000000000001</c:v>
                </c:pt>
                <c:pt idx="8">
                  <c:v>0.17030000000000001</c:v>
                </c:pt>
                <c:pt idx="9">
                  <c:v>0.17169999999999999</c:v>
                </c:pt>
                <c:pt idx="10">
                  <c:v>0.1741</c:v>
                </c:pt>
                <c:pt idx="11">
                  <c:v>0.17560000000000001</c:v>
                </c:pt>
                <c:pt idx="12">
                  <c:v>0.1769</c:v>
                </c:pt>
                <c:pt idx="13">
                  <c:v>0.17530000000000001</c:v>
                </c:pt>
                <c:pt idx="14">
                  <c:v>0.1739</c:v>
                </c:pt>
                <c:pt idx="15">
                  <c:v>0.1774</c:v>
                </c:pt>
                <c:pt idx="16">
                  <c:v>0.1757</c:v>
                </c:pt>
                <c:pt idx="17">
                  <c:v>0.17730000000000001</c:v>
                </c:pt>
                <c:pt idx="18">
                  <c:v>0.17879999999999999</c:v>
                </c:pt>
                <c:pt idx="19">
                  <c:v>0.1787</c:v>
                </c:pt>
                <c:pt idx="20">
                  <c:v>0.17979999999999999</c:v>
                </c:pt>
                <c:pt idx="21">
                  <c:v>0.18110000000000001</c:v>
                </c:pt>
                <c:pt idx="22">
                  <c:v>0.18229999999999999</c:v>
                </c:pt>
                <c:pt idx="23">
                  <c:v>0.18329999999999999</c:v>
                </c:pt>
                <c:pt idx="24">
                  <c:v>0.18429999999999999</c:v>
                </c:pt>
              </c:numCache>
            </c:numRef>
          </c:val>
          <c:smooth val="0"/>
        </c:ser>
        <c:ser>
          <c:idx val="1"/>
          <c:order val="1"/>
          <c:tx>
            <c:strRef>
              <c:f>'Mental Health Trend'!$C$38</c:f>
              <c:strCache>
                <c:ptCount val="1"/>
                <c:pt idx="0">
                  <c:v>National sample</c:v>
                </c:pt>
              </c:strCache>
            </c:strRef>
          </c:tx>
          <c:spPr>
            <a:ln w="22225" cap="flat" cmpd="sng">
              <a:solidFill>
                <a:srgbClr val="FF0000"/>
              </a:solidFill>
              <a:prstDash val="sysDot"/>
              <a:bevel/>
            </a:ln>
          </c:spPr>
          <c:marker>
            <c:symbol val="none"/>
          </c:marker>
          <c:cat>
            <c:strRef>
              <c:f>'Mental Health Trend'!$D$36:$AB$36</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'Mental Health Trend'!$D$38:$AB$38</c:f>
              <c:numCache>
                <c:formatCode>0.00%</c:formatCode>
                <c:ptCount val="25"/>
                <c:pt idx="0">
                  <c:v>0.17760000000000001</c:v>
                </c:pt>
                <c:pt idx="1">
                  <c:v>0.17910000000000001</c:v>
                </c:pt>
                <c:pt idx="2">
                  <c:v>0.1807</c:v>
                </c:pt>
                <c:pt idx="3">
                  <c:v>0.18210000000000001</c:v>
                </c:pt>
                <c:pt idx="4">
                  <c:v>0.18360000000000001</c:v>
                </c:pt>
                <c:pt idx="5">
                  <c:v>0.18490000000000001</c:v>
                </c:pt>
                <c:pt idx="6">
                  <c:v>0.18559999999999999</c:v>
                </c:pt>
                <c:pt idx="7">
                  <c:v>0.19159999999999999</c:v>
                </c:pt>
                <c:pt idx="8">
                  <c:v>0.1946</c:v>
                </c:pt>
                <c:pt idx="9">
                  <c:v>0.1956</c:v>
                </c:pt>
                <c:pt idx="10">
                  <c:v>0.19570000000000001</c:v>
                </c:pt>
                <c:pt idx="11">
                  <c:v>0.19689999999999999</c:v>
                </c:pt>
                <c:pt idx="12">
                  <c:v>0.19819999999999999</c:v>
                </c:pt>
                <c:pt idx="13">
                  <c:v>0.1983</c:v>
                </c:pt>
                <c:pt idx="14">
                  <c:v>0.1993</c:v>
                </c:pt>
                <c:pt idx="15">
                  <c:v>0.2006</c:v>
                </c:pt>
                <c:pt idx="16">
                  <c:v>0.2001</c:v>
                </c:pt>
                <c:pt idx="17">
                  <c:v>0.2016</c:v>
                </c:pt>
                <c:pt idx="18">
                  <c:v>0.20349999999999999</c:v>
                </c:pt>
                <c:pt idx="19">
                  <c:v>0.20300000000000001</c:v>
                </c:pt>
                <c:pt idx="20">
                  <c:v>0.20599999999999999</c:v>
                </c:pt>
                <c:pt idx="21">
                  <c:v>0.2072</c:v>
                </c:pt>
                <c:pt idx="22">
                  <c:v>0.20699999999999999</c:v>
                </c:pt>
                <c:pt idx="23">
                  <c:v>0.2082</c:v>
                </c:pt>
                <c:pt idx="24">
                  <c:v>0.2097</c:v>
                </c:pt>
              </c:numCache>
            </c:numRef>
          </c:val>
          <c:smooth val="0"/>
        </c:ser>
        <c:dLbls>
          <c:showLegendKey val="0"/>
          <c:showVal val="0"/>
          <c:showCatName val="0"/>
          <c:showSerName val="0"/>
          <c:showPercent val="0"/>
          <c:showBubbleSize val="0"/>
        </c:dLbls>
        <c:marker val="1"/>
        <c:smooth val="0"/>
        <c:axId val="86739968"/>
        <c:axId val="86745856"/>
      </c:lineChart>
      <c:catAx>
        <c:axId val="8673996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6745856"/>
        <c:crosses val="autoZero"/>
        <c:auto val="1"/>
        <c:lblAlgn val="ctr"/>
        <c:lblOffset val="100"/>
        <c:tickLblSkip val="3"/>
        <c:noMultiLvlLbl val="0"/>
      </c:catAx>
      <c:valAx>
        <c:axId val="86745856"/>
        <c:scaling>
          <c:orientation val="minMax"/>
          <c:max val="0.25"/>
          <c:min val="5.000000000000001E-2"/>
        </c:scaling>
        <c:delete val="0"/>
        <c:axPos val="l"/>
        <c:majorGridlines/>
        <c:numFmt formatCode="0%" sourceLinked="0"/>
        <c:majorTickMark val="out"/>
        <c:minorTickMark val="none"/>
        <c:tickLblPos val="nextTo"/>
        <c:crossAx val="86739968"/>
        <c:crosses val="autoZero"/>
        <c:crossBetween val="between"/>
        <c:majorUnit val="5.000000000000001E-2"/>
      </c:valAx>
    </c:plotArea>
    <c:legend>
      <c:legendPos val="b"/>
      <c:layout/>
      <c:overlay val="0"/>
    </c:legend>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0.52926</cdr:x>
      <cdr:y>0.04695</cdr:y>
    </cdr:from>
    <cdr:to>
      <cdr:x>0.53033</cdr:x>
      <cdr:y>0.69354</cdr:y>
    </cdr:to>
    <cdr:cxnSp macro="">
      <cdr:nvCxnSpPr>
        <cdr:cNvPr id="3" name="Straight Connector 2"/>
        <cdr:cNvCxnSpPr/>
      </cdr:nvCxnSpPr>
      <cdr:spPr>
        <a:xfrm xmlns:a="http://schemas.openxmlformats.org/drawingml/2006/main">
          <a:off x="2593975" y="138642"/>
          <a:ext cx="5250" cy="1909208"/>
        </a:xfrm>
        <a:prstGeom xmlns:a="http://schemas.openxmlformats.org/drawingml/2006/main" prst="line">
          <a:avLst/>
        </a:prstGeom>
        <a:ln xmlns:a="http://schemas.openxmlformats.org/drawingml/2006/main" w="6350" cmpd="thickThin">
          <a:prstDash val="soli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0.16407</cdr:x>
      <cdr:y>0.51066</cdr:y>
    </cdr:from>
    <cdr:to>
      <cdr:x>0.50067</cdr:x>
      <cdr:y>0.62524</cdr:y>
    </cdr:to>
    <cdr:sp macro="" textlink="">
      <cdr:nvSpPr>
        <cdr:cNvPr id="9" name="TextBox 1"/>
        <cdr:cNvSpPr txBox="1"/>
      </cdr:nvSpPr>
      <cdr:spPr>
        <a:xfrm xmlns:a="http://schemas.openxmlformats.org/drawingml/2006/main">
          <a:off x="804137" y="1507860"/>
          <a:ext cx="1649725" cy="338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kumimoji="0" lang="en-NZ" sz="1000" b="1" i="0" u="none" strike="noStrike" kern="0" cap="none" spc="0" normalizeH="0" baseline="0">
              <a:ln>
                <a:noFill/>
              </a:ln>
              <a:solidFill>
                <a:prstClr val="white">
                  <a:lumMod val="50000"/>
                </a:prstClr>
              </a:solidFill>
              <a:effectLst/>
              <a:uLnTx/>
              <a:uFillTx/>
              <a:latin typeface="+mn-lt"/>
              <a:ea typeface="+mn-ea"/>
              <a:cs typeface="+mn-cs"/>
            </a:rPr>
            <a:t>Year to March 2014</a:t>
          </a:r>
        </a:p>
      </cdr:txBody>
    </cdr:sp>
  </cdr:relSizeAnchor>
  <cdr:relSizeAnchor xmlns:cdr="http://schemas.openxmlformats.org/drawingml/2006/chartDrawing">
    <cdr:from>
      <cdr:x>0.62313</cdr:x>
      <cdr:y>0.51361</cdr:y>
    </cdr:from>
    <cdr:to>
      <cdr:x>0.96951</cdr:x>
      <cdr:y>0.62819</cdr:y>
    </cdr:to>
    <cdr:sp macro="" textlink="">
      <cdr:nvSpPr>
        <cdr:cNvPr id="10" name="TextBox 1"/>
        <cdr:cNvSpPr txBox="1"/>
      </cdr:nvSpPr>
      <cdr:spPr>
        <a:xfrm xmlns:a="http://schemas.openxmlformats.org/drawingml/2006/main">
          <a:off x="3054045" y="1516571"/>
          <a:ext cx="1697658" cy="338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NZ" sz="1000" b="1">
              <a:solidFill>
                <a:srgbClr val="4D4D4D"/>
              </a:solidFill>
            </a:rPr>
            <a:t>Year to March 2015</a:t>
          </a:r>
        </a:p>
        <a:p xmlns:a="http://schemas.openxmlformats.org/drawingml/2006/main">
          <a:endParaRPr lang="en-NZ" sz="1100" b="1">
            <a:solidFill>
              <a:srgbClr val="4D4D4D"/>
            </a:solidFill>
          </a:endParaRPr>
        </a:p>
        <a:p xmlns:a="http://schemas.openxmlformats.org/drawingml/2006/main">
          <a:endParaRPr lang="en-NZ" sz="1100" b="1">
            <a:solidFill>
              <a:srgbClr val="4D4D4D"/>
            </a:solidFill>
          </a:endParaRPr>
        </a:p>
      </cdr:txBody>
    </cdr:sp>
  </cdr:relSizeAnchor>
  <cdr:relSizeAnchor xmlns:cdr="http://schemas.openxmlformats.org/drawingml/2006/chartDrawing">
    <cdr:from>
      <cdr:x>0.12122</cdr:x>
      <cdr:y>0.59196</cdr:y>
    </cdr:from>
    <cdr:to>
      <cdr:x>0.52121</cdr:x>
      <cdr:y>0.59196</cdr:y>
    </cdr:to>
    <cdr:cxnSp macro="">
      <cdr:nvCxnSpPr>
        <cdr:cNvPr id="11" name="Straight Arrow Connector 10"/>
        <cdr:cNvCxnSpPr/>
      </cdr:nvCxnSpPr>
      <cdr:spPr>
        <a:xfrm xmlns:a="http://schemas.openxmlformats.org/drawingml/2006/main">
          <a:off x="594114" y="1747919"/>
          <a:ext cx="1960408" cy="0"/>
        </a:xfrm>
        <a:prstGeom xmlns:a="http://schemas.openxmlformats.org/drawingml/2006/main" prst="straightConnector1">
          <a:avLst/>
        </a:prstGeom>
        <a:ln xmlns:a="http://schemas.openxmlformats.org/drawingml/2006/main" w="15875" cap="rnd" cmpd="sng">
          <a:solidFill>
            <a:schemeClr val="bg1">
              <a:lumMod val="50000"/>
            </a:schemeClr>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0.55245</cdr:x>
      <cdr:y>0.59068</cdr:y>
    </cdr:from>
    <cdr:to>
      <cdr:x>0.95245</cdr:x>
      <cdr:y>0.59068</cdr:y>
    </cdr:to>
    <cdr:cxnSp macro="">
      <cdr:nvCxnSpPr>
        <cdr:cNvPr id="12" name="Straight Arrow Connector 11"/>
        <cdr:cNvCxnSpPr/>
      </cdr:nvCxnSpPr>
      <cdr:spPr>
        <a:xfrm xmlns:a="http://schemas.openxmlformats.org/drawingml/2006/main">
          <a:off x="2707638" y="1744128"/>
          <a:ext cx="1960457" cy="0"/>
        </a:xfrm>
        <a:prstGeom xmlns:a="http://schemas.openxmlformats.org/drawingml/2006/main" prst="straightConnector1">
          <a:avLst/>
        </a:prstGeom>
        <a:ln xmlns:a="http://schemas.openxmlformats.org/drawingml/2006/main" w="15875" cap="rnd" cmpd="sng">
          <a:solidFill>
            <a:srgbClr val="4D4D4D"/>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0.65161</cdr:y>
    </cdr:from>
    <cdr:to>
      <cdr:x>0.06888</cdr:x>
      <cdr:y>0.72079</cdr:y>
    </cdr:to>
    <cdr:sp macro="" textlink="">
      <cdr:nvSpPr>
        <cdr:cNvPr id="8" name="TextBox 1"/>
        <cdr:cNvSpPr txBox="1"/>
      </cdr:nvSpPr>
      <cdr:spPr>
        <a:xfrm xmlns:a="http://schemas.openxmlformats.org/drawingml/2006/main">
          <a:off x="0" y="1924050"/>
          <a:ext cx="337607" cy="204258"/>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36000" rIns="18000" bIns="1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1000"/>
            <a:t> 0%</a:t>
          </a:r>
        </a:p>
        <a:p xmlns:a="http://schemas.openxmlformats.org/drawingml/2006/main">
          <a:pPr algn="r"/>
          <a:endParaRPr lang="en-NZ" sz="1000"/>
        </a:p>
        <a:p xmlns:a="http://schemas.openxmlformats.org/drawingml/2006/main">
          <a:pPr algn="r"/>
          <a:endParaRPr lang="en-NZ" sz="1000"/>
        </a:p>
      </cdr:txBody>
    </cdr:sp>
  </cdr:relSizeAnchor>
  <cdr:relSizeAnchor xmlns:cdr="http://schemas.openxmlformats.org/drawingml/2006/chartDrawing">
    <cdr:from>
      <cdr:x>0.07299</cdr:x>
      <cdr:y>0.63728</cdr:y>
    </cdr:from>
    <cdr:to>
      <cdr:x>0.09156</cdr:x>
      <cdr:y>0.68226</cdr:y>
    </cdr:to>
    <cdr:sp macro="" textlink="">
      <cdr:nvSpPr>
        <cdr:cNvPr id="13" name="Freeform 12"/>
        <cdr:cNvSpPr/>
      </cdr:nvSpPr>
      <cdr:spPr>
        <a:xfrm xmlns:a="http://schemas.openxmlformats.org/drawingml/2006/main">
          <a:off x="357716" y="1881717"/>
          <a:ext cx="91043" cy="132813"/>
        </a:xfrm>
        <a:custGeom xmlns:a="http://schemas.openxmlformats.org/drawingml/2006/main">
          <a:avLst/>
          <a:gdLst>
            <a:gd name="connsiteX0" fmla="*/ 0 w 957792"/>
            <a:gd name="connsiteY0" fmla="*/ 0 h 809625"/>
            <a:gd name="connsiteX1" fmla="*/ 957792 w 957792"/>
            <a:gd name="connsiteY1" fmla="*/ 158750 h 809625"/>
            <a:gd name="connsiteX2" fmla="*/ 957792 w 957792"/>
            <a:gd name="connsiteY2" fmla="*/ 158750 h 809625"/>
            <a:gd name="connsiteX3" fmla="*/ 0 w 957792"/>
            <a:gd name="connsiteY3" fmla="*/ 328084 h 809625"/>
            <a:gd name="connsiteX4" fmla="*/ 0 w 957792"/>
            <a:gd name="connsiteY4" fmla="*/ 328084 h 809625"/>
            <a:gd name="connsiteX5" fmla="*/ 952500 w 957792"/>
            <a:gd name="connsiteY5" fmla="*/ 481542 h 809625"/>
            <a:gd name="connsiteX6" fmla="*/ 952500 w 957792"/>
            <a:gd name="connsiteY6" fmla="*/ 481542 h 809625"/>
            <a:gd name="connsiteX7" fmla="*/ 5292 w 957792"/>
            <a:gd name="connsiteY7" fmla="*/ 650875 h 809625"/>
            <a:gd name="connsiteX8" fmla="*/ 5292 w 957792"/>
            <a:gd name="connsiteY8" fmla="*/ 650875 h 809625"/>
            <a:gd name="connsiteX9" fmla="*/ 952500 w 957792"/>
            <a:gd name="connsiteY9" fmla="*/ 8096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57792" h="809625">
              <a:moveTo>
                <a:pt x="0" y="0"/>
              </a:moveTo>
              <a:lnTo>
                <a:pt x="957792" y="158750"/>
              </a:lnTo>
              <a:lnTo>
                <a:pt x="957792" y="158750"/>
              </a:lnTo>
              <a:lnTo>
                <a:pt x="0" y="328084"/>
              </a:lnTo>
              <a:lnTo>
                <a:pt x="0" y="328084"/>
              </a:lnTo>
              <a:lnTo>
                <a:pt x="952500" y="481542"/>
              </a:lnTo>
              <a:lnTo>
                <a:pt x="952500" y="481542"/>
              </a:lnTo>
              <a:lnTo>
                <a:pt x="5292" y="650875"/>
              </a:lnTo>
              <a:lnTo>
                <a:pt x="5292" y="650875"/>
              </a:lnTo>
              <a:cubicBezTo>
                <a:pt x="163160" y="677333"/>
                <a:pt x="794632" y="804333"/>
                <a:pt x="952500" y="809625"/>
              </a:cubicBez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NZ" sz="1100"/>
        </a:p>
      </cdr:txBody>
    </cdr:sp>
  </cdr:relSizeAnchor>
</c:userShapes>
</file>

<file path=word/drawings/drawing2.xml><?xml version="1.0" encoding="utf-8"?>
<c:userShapes xmlns:c="http://schemas.openxmlformats.org/drawingml/2006/chart">
  <cdr:relSizeAnchor xmlns:cdr="http://schemas.openxmlformats.org/drawingml/2006/chartDrawing">
    <cdr:from>
      <cdr:x>0.5217</cdr:x>
      <cdr:y>0.04588</cdr:y>
    </cdr:from>
    <cdr:to>
      <cdr:x>0.5222</cdr:x>
      <cdr:y>0.69623</cdr:y>
    </cdr:to>
    <cdr:cxnSp macro="">
      <cdr:nvCxnSpPr>
        <cdr:cNvPr id="3" name="Straight Connector 2"/>
        <cdr:cNvCxnSpPr/>
      </cdr:nvCxnSpPr>
      <cdr:spPr>
        <a:xfrm xmlns:a="http://schemas.openxmlformats.org/drawingml/2006/main">
          <a:off x="2556933" y="135467"/>
          <a:ext cx="2444" cy="1920326"/>
        </a:xfrm>
        <a:prstGeom xmlns:a="http://schemas.openxmlformats.org/drawingml/2006/main" prst="line">
          <a:avLst/>
        </a:prstGeom>
        <a:ln xmlns:a="http://schemas.openxmlformats.org/drawingml/2006/main" w="6350" cmpd="thickThin">
          <a:prstDash val="soli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0.15188</cdr:x>
      <cdr:y>0.5334</cdr:y>
    </cdr:from>
    <cdr:to>
      <cdr:x>0.48848</cdr:x>
      <cdr:y>0.64798</cdr:y>
    </cdr:to>
    <cdr:sp macro="" textlink="">
      <cdr:nvSpPr>
        <cdr:cNvPr id="9" name="TextBox 1"/>
        <cdr:cNvSpPr txBox="1"/>
      </cdr:nvSpPr>
      <cdr:spPr>
        <a:xfrm xmlns:a="http://schemas.openxmlformats.org/drawingml/2006/main">
          <a:off x="788414" y="1597567"/>
          <a:ext cx="1747333" cy="3431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kumimoji="0" lang="en-NZ" sz="1000" b="1" i="0" u="none" strike="noStrike" kern="0" cap="none" spc="0" normalizeH="0" baseline="0">
              <a:ln>
                <a:noFill/>
              </a:ln>
              <a:solidFill>
                <a:prstClr val="white">
                  <a:lumMod val="50000"/>
                </a:prstClr>
              </a:solidFill>
              <a:effectLst/>
              <a:uLnTx/>
              <a:uFillTx/>
              <a:latin typeface="+mn-lt"/>
              <a:ea typeface="+mn-ea"/>
              <a:cs typeface="+mn-cs"/>
            </a:rPr>
            <a:t>Year to March 2015</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kumimoji="0" lang="en-NZ" sz="1100" b="1" i="0" u="none" strike="noStrike" kern="0" cap="none" spc="0" normalizeH="0" baseline="0">
            <a:ln>
              <a:noFill/>
            </a:ln>
            <a:solidFill>
              <a:prstClr val="white">
                <a:lumMod val="50000"/>
              </a:prstClr>
            </a:solidFill>
            <a:effectLst/>
            <a:uLnTx/>
            <a:uFillTx/>
            <a:latin typeface="+mn-lt"/>
            <a:ea typeface="+mn-ea"/>
            <a:cs typeface="+mn-cs"/>
          </a:endParaRPr>
        </a:p>
      </cdr:txBody>
    </cdr:sp>
  </cdr:relSizeAnchor>
  <cdr:relSizeAnchor xmlns:cdr="http://schemas.openxmlformats.org/drawingml/2006/chartDrawing">
    <cdr:from>
      <cdr:x>0.61141</cdr:x>
      <cdr:y>0.5372</cdr:y>
    </cdr:from>
    <cdr:to>
      <cdr:x>0.9578</cdr:x>
      <cdr:y>0.65179</cdr:y>
    </cdr:to>
    <cdr:sp macro="" textlink="">
      <cdr:nvSpPr>
        <cdr:cNvPr id="10" name="TextBox 1"/>
        <cdr:cNvSpPr txBox="1"/>
      </cdr:nvSpPr>
      <cdr:spPr>
        <a:xfrm xmlns:a="http://schemas.openxmlformats.org/drawingml/2006/main">
          <a:off x="3173919" y="1608961"/>
          <a:ext cx="1798154" cy="3432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NZ" sz="1000" b="1">
              <a:solidFill>
                <a:srgbClr val="4D4D4D"/>
              </a:solidFill>
            </a:rPr>
            <a:t>Year to March</a:t>
          </a:r>
          <a:r>
            <a:rPr lang="en-NZ" sz="1000" b="1" baseline="0">
              <a:solidFill>
                <a:srgbClr val="4D4D4D"/>
              </a:solidFill>
            </a:rPr>
            <a:t> </a:t>
          </a:r>
          <a:r>
            <a:rPr lang="en-NZ" sz="1000" b="1">
              <a:solidFill>
                <a:srgbClr val="4D4D4D"/>
              </a:solidFill>
            </a:rPr>
            <a:t>2015</a:t>
          </a:r>
        </a:p>
      </cdr:txBody>
    </cdr:sp>
  </cdr:relSizeAnchor>
  <cdr:relSizeAnchor xmlns:cdr="http://schemas.openxmlformats.org/drawingml/2006/chartDrawing">
    <cdr:from>
      <cdr:x>0.09865</cdr:x>
      <cdr:y>0.60581</cdr:y>
    </cdr:from>
    <cdr:to>
      <cdr:x>0.49865</cdr:x>
      <cdr:y>0.60581</cdr:y>
    </cdr:to>
    <cdr:cxnSp macro="">
      <cdr:nvCxnSpPr>
        <cdr:cNvPr id="11" name="Straight Arrow Connector 10"/>
        <cdr:cNvCxnSpPr/>
      </cdr:nvCxnSpPr>
      <cdr:spPr>
        <a:xfrm xmlns:a="http://schemas.openxmlformats.org/drawingml/2006/main">
          <a:off x="512085" y="1814460"/>
          <a:ext cx="2076451" cy="0"/>
        </a:xfrm>
        <a:prstGeom xmlns:a="http://schemas.openxmlformats.org/drawingml/2006/main" prst="straightConnector1">
          <a:avLst/>
        </a:prstGeom>
        <a:ln xmlns:a="http://schemas.openxmlformats.org/drawingml/2006/main" w="15875" cap="rnd" cmpd="sng">
          <a:solidFill>
            <a:schemeClr val="bg1">
              <a:lumMod val="50000"/>
            </a:schemeClr>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0.55564</cdr:x>
      <cdr:y>0.61248</cdr:y>
    </cdr:from>
    <cdr:to>
      <cdr:x>0.95564</cdr:x>
      <cdr:y>0.61248</cdr:y>
    </cdr:to>
    <cdr:cxnSp macro="">
      <cdr:nvCxnSpPr>
        <cdr:cNvPr id="12" name="Straight Arrow Connector 11"/>
        <cdr:cNvCxnSpPr/>
      </cdr:nvCxnSpPr>
      <cdr:spPr>
        <a:xfrm xmlns:a="http://schemas.openxmlformats.org/drawingml/2006/main">
          <a:off x="2884390" y="1834431"/>
          <a:ext cx="2076451" cy="0"/>
        </a:xfrm>
        <a:prstGeom xmlns:a="http://schemas.openxmlformats.org/drawingml/2006/main" prst="straightConnector1">
          <a:avLst/>
        </a:prstGeom>
        <a:ln xmlns:a="http://schemas.openxmlformats.org/drawingml/2006/main" w="15875" cap="rnd" cmpd="sng">
          <a:solidFill>
            <a:srgbClr val="4D4D4D"/>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0.00816</cdr:x>
      <cdr:y>0.66221</cdr:y>
    </cdr:from>
    <cdr:to>
      <cdr:x>0.06493</cdr:x>
      <cdr:y>0.72085</cdr:y>
    </cdr:to>
    <cdr:sp macro="" textlink="">
      <cdr:nvSpPr>
        <cdr:cNvPr id="7" name="TextBox 1"/>
        <cdr:cNvSpPr txBox="1"/>
      </cdr:nvSpPr>
      <cdr:spPr>
        <a:xfrm xmlns:a="http://schemas.openxmlformats.org/drawingml/2006/main">
          <a:off x="42334" y="1983385"/>
          <a:ext cx="294708" cy="175616"/>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36000" rIns="18000" bIns="1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1000"/>
            <a:t> 0%</a:t>
          </a:r>
        </a:p>
        <a:p xmlns:a="http://schemas.openxmlformats.org/drawingml/2006/main">
          <a:pPr algn="r"/>
          <a:endParaRPr lang="en-NZ" sz="1000"/>
        </a:p>
        <a:p xmlns:a="http://schemas.openxmlformats.org/drawingml/2006/main">
          <a:pPr algn="r"/>
          <a:endParaRPr lang="en-NZ" sz="1000"/>
        </a:p>
      </cdr:txBody>
    </cdr:sp>
  </cdr:relSizeAnchor>
  <cdr:relSizeAnchor xmlns:cdr="http://schemas.openxmlformats.org/drawingml/2006/chartDrawing">
    <cdr:from>
      <cdr:x>0.07095</cdr:x>
      <cdr:y>0.6424</cdr:y>
    </cdr:from>
    <cdr:to>
      <cdr:x>0.08849</cdr:x>
      <cdr:y>0.68675</cdr:y>
    </cdr:to>
    <cdr:sp macro="" textlink="">
      <cdr:nvSpPr>
        <cdr:cNvPr id="13" name="Freeform 12"/>
        <cdr:cNvSpPr/>
      </cdr:nvSpPr>
      <cdr:spPr>
        <a:xfrm xmlns:a="http://schemas.openxmlformats.org/drawingml/2006/main">
          <a:off x="368300" y="1924050"/>
          <a:ext cx="91043" cy="132813"/>
        </a:xfrm>
        <a:custGeom xmlns:a="http://schemas.openxmlformats.org/drawingml/2006/main">
          <a:avLst/>
          <a:gdLst>
            <a:gd name="connsiteX0" fmla="*/ 0 w 957792"/>
            <a:gd name="connsiteY0" fmla="*/ 0 h 809625"/>
            <a:gd name="connsiteX1" fmla="*/ 957792 w 957792"/>
            <a:gd name="connsiteY1" fmla="*/ 158750 h 809625"/>
            <a:gd name="connsiteX2" fmla="*/ 957792 w 957792"/>
            <a:gd name="connsiteY2" fmla="*/ 158750 h 809625"/>
            <a:gd name="connsiteX3" fmla="*/ 0 w 957792"/>
            <a:gd name="connsiteY3" fmla="*/ 328084 h 809625"/>
            <a:gd name="connsiteX4" fmla="*/ 0 w 957792"/>
            <a:gd name="connsiteY4" fmla="*/ 328084 h 809625"/>
            <a:gd name="connsiteX5" fmla="*/ 952500 w 957792"/>
            <a:gd name="connsiteY5" fmla="*/ 481542 h 809625"/>
            <a:gd name="connsiteX6" fmla="*/ 952500 w 957792"/>
            <a:gd name="connsiteY6" fmla="*/ 481542 h 809625"/>
            <a:gd name="connsiteX7" fmla="*/ 5292 w 957792"/>
            <a:gd name="connsiteY7" fmla="*/ 650875 h 809625"/>
            <a:gd name="connsiteX8" fmla="*/ 5292 w 957792"/>
            <a:gd name="connsiteY8" fmla="*/ 650875 h 809625"/>
            <a:gd name="connsiteX9" fmla="*/ 952500 w 957792"/>
            <a:gd name="connsiteY9" fmla="*/ 8096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57792" h="809625">
              <a:moveTo>
                <a:pt x="0" y="0"/>
              </a:moveTo>
              <a:lnTo>
                <a:pt x="957792" y="158750"/>
              </a:lnTo>
              <a:lnTo>
                <a:pt x="957792" y="158750"/>
              </a:lnTo>
              <a:lnTo>
                <a:pt x="0" y="328084"/>
              </a:lnTo>
              <a:lnTo>
                <a:pt x="0" y="328084"/>
              </a:lnTo>
              <a:lnTo>
                <a:pt x="952500" y="481542"/>
              </a:lnTo>
              <a:lnTo>
                <a:pt x="952500" y="481542"/>
              </a:lnTo>
              <a:lnTo>
                <a:pt x="5292" y="650875"/>
              </a:lnTo>
              <a:lnTo>
                <a:pt x="5292" y="650875"/>
              </a:lnTo>
              <a:cubicBezTo>
                <a:pt x="163160" y="677333"/>
                <a:pt x="794632" y="804333"/>
                <a:pt x="952500" y="809625"/>
              </a:cubicBez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NZ" sz="1100"/>
        </a:p>
      </cdr:txBody>
    </cdr:sp>
  </cdr:relSizeAnchor>
</c:userShapes>
</file>

<file path=word/drawings/drawing3.xml><?xml version="1.0" encoding="utf-8"?>
<c:userShapes xmlns:c="http://schemas.openxmlformats.org/drawingml/2006/chart">
  <cdr:relSizeAnchor xmlns:cdr="http://schemas.openxmlformats.org/drawingml/2006/chartDrawing">
    <cdr:from>
      <cdr:x>0.52192</cdr:x>
      <cdr:y>0.04974</cdr:y>
    </cdr:from>
    <cdr:to>
      <cdr:x>0.52471</cdr:x>
      <cdr:y>0.70383</cdr:y>
    </cdr:to>
    <cdr:cxnSp macro="">
      <cdr:nvCxnSpPr>
        <cdr:cNvPr id="3" name="Straight Connector 2"/>
        <cdr:cNvCxnSpPr/>
      </cdr:nvCxnSpPr>
      <cdr:spPr>
        <a:xfrm xmlns:a="http://schemas.openxmlformats.org/drawingml/2006/main" flipH="1">
          <a:off x="2626489" y="153458"/>
          <a:ext cx="14054" cy="2017892"/>
        </a:xfrm>
        <a:prstGeom xmlns:a="http://schemas.openxmlformats.org/drawingml/2006/main" prst="line">
          <a:avLst/>
        </a:prstGeom>
        <a:ln xmlns:a="http://schemas.openxmlformats.org/drawingml/2006/main" w="6350" cmpd="thickThin">
          <a:prstDash val="soli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0.1482</cdr:x>
      <cdr:y>0.50753</cdr:y>
    </cdr:from>
    <cdr:to>
      <cdr:x>0.4848</cdr:x>
      <cdr:y>0.62211</cdr:y>
    </cdr:to>
    <cdr:sp macro="" textlink="">
      <cdr:nvSpPr>
        <cdr:cNvPr id="11" name="TextBox 1"/>
        <cdr:cNvSpPr txBox="1"/>
      </cdr:nvSpPr>
      <cdr:spPr>
        <a:xfrm xmlns:a="http://schemas.openxmlformats.org/drawingml/2006/main">
          <a:off x="745807" y="1565746"/>
          <a:ext cx="1693897" cy="3534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kumimoji="0" lang="en-NZ" sz="1000" b="1" i="0" u="none" strike="noStrike" kern="0" cap="none" spc="0" normalizeH="0" baseline="0">
              <a:ln>
                <a:noFill/>
              </a:ln>
              <a:solidFill>
                <a:prstClr val="white">
                  <a:lumMod val="50000"/>
                </a:prstClr>
              </a:solidFill>
              <a:effectLst/>
              <a:uLnTx/>
              <a:uFillTx/>
              <a:latin typeface="+mn-lt"/>
              <a:ea typeface="+mn-ea"/>
              <a:cs typeface="+mn-cs"/>
            </a:rPr>
            <a:t>Year to March 2014</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kumimoji="0" lang="en-NZ" sz="1100" b="1" i="0" u="none" strike="noStrike" kern="0" cap="none" spc="0" normalizeH="0" baseline="0">
            <a:ln>
              <a:noFill/>
            </a:ln>
            <a:solidFill>
              <a:prstClr val="white">
                <a:lumMod val="50000"/>
              </a:prstClr>
            </a:solidFill>
            <a:effectLst/>
            <a:uLnTx/>
            <a:uFillTx/>
            <a:latin typeface="+mn-lt"/>
            <a:ea typeface="+mn-ea"/>
            <a:cs typeface="+mn-cs"/>
          </a:endParaRPr>
        </a:p>
      </cdr:txBody>
    </cdr:sp>
  </cdr:relSizeAnchor>
  <cdr:relSizeAnchor xmlns:cdr="http://schemas.openxmlformats.org/drawingml/2006/chartDrawing">
    <cdr:from>
      <cdr:x>0.60456</cdr:x>
      <cdr:y>0.50079</cdr:y>
    </cdr:from>
    <cdr:to>
      <cdr:x>0.95094</cdr:x>
      <cdr:y>0.61537</cdr:y>
    </cdr:to>
    <cdr:sp macro="" textlink="">
      <cdr:nvSpPr>
        <cdr:cNvPr id="13" name="TextBox 1"/>
        <cdr:cNvSpPr txBox="1"/>
      </cdr:nvSpPr>
      <cdr:spPr>
        <a:xfrm xmlns:a="http://schemas.openxmlformats.org/drawingml/2006/main">
          <a:off x="3042381" y="1544952"/>
          <a:ext cx="1743114" cy="3534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NZ" sz="1000" b="1">
              <a:solidFill>
                <a:srgbClr val="4D4D4D"/>
              </a:solidFill>
            </a:rPr>
            <a:t>Year to March </a:t>
          </a:r>
          <a:r>
            <a:rPr lang="en-NZ" sz="1000" b="1" baseline="0">
              <a:solidFill>
                <a:srgbClr val="4D4D4D"/>
              </a:solidFill>
            </a:rPr>
            <a:t>2015</a:t>
          </a:r>
          <a:endParaRPr lang="en-NZ" sz="1100" b="1">
            <a:solidFill>
              <a:srgbClr val="4D4D4D"/>
            </a:solidFill>
          </a:endParaRPr>
        </a:p>
      </cdr:txBody>
    </cdr:sp>
  </cdr:relSizeAnchor>
  <cdr:relSizeAnchor xmlns:cdr="http://schemas.openxmlformats.org/drawingml/2006/chartDrawing">
    <cdr:from>
      <cdr:x>0.10411</cdr:x>
      <cdr:y>0.57973</cdr:y>
    </cdr:from>
    <cdr:to>
      <cdr:x>0.5041</cdr:x>
      <cdr:y>0.57973</cdr:y>
    </cdr:to>
    <cdr:cxnSp macro="">
      <cdr:nvCxnSpPr>
        <cdr:cNvPr id="16" name="Straight Arrow Connector 10"/>
        <cdr:cNvCxnSpPr/>
      </cdr:nvCxnSpPr>
      <cdr:spPr>
        <a:xfrm xmlns:a="http://schemas.openxmlformats.org/drawingml/2006/main">
          <a:off x="523925" y="1788488"/>
          <a:ext cx="2012900" cy="0"/>
        </a:xfrm>
        <a:prstGeom xmlns:a="http://schemas.openxmlformats.org/drawingml/2006/main" prst="straightConnector1">
          <a:avLst/>
        </a:prstGeom>
        <a:ln xmlns:a="http://schemas.openxmlformats.org/drawingml/2006/main" w="15875" cap="rnd" cmpd="sng">
          <a:solidFill>
            <a:schemeClr val="bg1">
              <a:lumMod val="50000"/>
            </a:schemeClr>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0.56176</cdr:x>
      <cdr:y>0.5786</cdr:y>
    </cdr:from>
    <cdr:to>
      <cdr:x>0.96176</cdr:x>
      <cdr:y>0.5786</cdr:y>
    </cdr:to>
    <cdr:cxnSp macro="">
      <cdr:nvCxnSpPr>
        <cdr:cNvPr id="17" name="Straight Arrow Connector 11"/>
        <cdr:cNvCxnSpPr/>
      </cdr:nvCxnSpPr>
      <cdr:spPr>
        <a:xfrm xmlns:a="http://schemas.openxmlformats.org/drawingml/2006/main">
          <a:off x="2827006" y="1785000"/>
          <a:ext cx="2012950" cy="0"/>
        </a:xfrm>
        <a:prstGeom xmlns:a="http://schemas.openxmlformats.org/drawingml/2006/main" prst="straightConnector1">
          <a:avLst/>
        </a:prstGeom>
        <a:ln xmlns:a="http://schemas.openxmlformats.org/drawingml/2006/main" w="15875" cap="rnd" cmpd="sng">
          <a:solidFill>
            <a:srgbClr val="4D4D4D"/>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0.05426</cdr:x>
      <cdr:y>0.64688</cdr:y>
    </cdr:from>
    <cdr:to>
      <cdr:x>0.07529</cdr:x>
      <cdr:y>0.69409</cdr:y>
    </cdr:to>
    <cdr:sp macro="" textlink="">
      <cdr:nvSpPr>
        <cdr:cNvPr id="7" name="Freeform 6"/>
        <cdr:cNvSpPr/>
      </cdr:nvSpPr>
      <cdr:spPr>
        <a:xfrm xmlns:a="http://schemas.openxmlformats.org/drawingml/2006/main">
          <a:off x="273041" y="2029892"/>
          <a:ext cx="105831" cy="148143"/>
        </a:xfrm>
        <a:custGeom xmlns:a="http://schemas.openxmlformats.org/drawingml/2006/main">
          <a:avLst/>
          <a:gdLst>
            <a:gd name="connsiteX0" fmla="*/ 0 w 957792"/>
            <a:gd name="connsiteY0" fmla="*/ 0 h 809625"/>
            <a:gd name="connsiteX1" fmla="*/ 957792 w 957792"/>
            <a:gd name="connsiteY1" fmla="*/ 158750 h 809625"/>
            <a:gd name="connsiteX2" fmla="*/ 957792 w 957792"/>
            <a:gd name="connsiteY2" fmla="*/ 158750 h 809625"/>
            <a:gd name="connsiteX3" fmla="*/ 0 w 957792"/>
            <a:gd name="connsiteY3" fmla="*/ 328084 h 809625"/>
            <a:gd name="connsiteX4" fmla="*/ 0 w 957792"/>
            <a:gd name="connsiteY4" fmla="*/ 328084 h 809625"/>
            <a:gd name="connsiteX5" fmla="*/ 952500 w 957792"/>
            <a:gd name="connsiteY5" fmla="*/ 481542 h 809625"/>
            <a:gd name="connsiteX6" fmla="*/ 952500 w 957792"/>
            <a:gd name="connsiteY6" fmla="*/ 481542 h 809625"/>
            <a:gd name="connsiteX7" fmla="*/ 5292 w 957792"/>
            <a:gd name="connsiteY7" fmla="*/ 650875 h 809625"/>
            <a:gd name="connsiteX8" fmla="*/ 5292 w 957792"/>
            <a:gd name="connsiteY8" fmla="*/ 650875 h 809625"/>
            <a:gd name="connsiteX9" fmla="*/ 952500 w 957792"/>
            <a:gd name="connsiteY9" fmla="*/ 8096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57792" h="809625">
              <a:moveTo>
                <a:pt x="0" y="0"/>
              </a:moveTo>
              <a:lnTo>
                <a:pt x="957792" y="158750"/>
              </a:lnTo>
              <a:lnTo>
                <a:pt x="957792" y="158750"/>
              </a:lnTo>
              <a:lnTo>
                <a:pt x="0" y="328084"/>
              </a:lnTo>
              <a:lnTo>
                <a:pt x="0" y="328084"/>
              </a:lnTo>
              <a:lnTo>
                <a:pt x="952500" y="481542"/>
              </a:lnTo>
              <a:lnTo>
                <a:pt x="952500" y="481542"/>
              </a:lnTo>
              <a:lnTo>
                <a:pt x="5292" y="650875"/>
              </a:lnTo>
              <a:lnTo>
                <a:pt x="5292" y="650875"/>
              </a:lnTo>
              <a:cubicBezTo>
                <a:pt x="163160" y="677333"/>
                <a:pt x="794632" y="804333"/>
                <a:pt x="952500" y="809625"/>
              </a:cubicBez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NZ" sz="1100"/>
        </a:p>
      </cdr:txBody>
    </cdr:sp>
  </cdr:relSizeAnchor>
  <cdr:relSizeAnchor xmlns:cdr="http://schemas.openxmlformats.org/drawingml/2006/chartDrawing">
    <cdr:from>
      <cdr:x>0.00736</cdr:x>
      <cdr:y>0.67386</cdr:y>
    </cdr:from>
    <cdr:to>
      <cdr:x>0.04524</cdr:x>
      <cdr:y>0.73019</cdr:y>
    </cdr:to>
    <cdr:sp macro="" textlink="">
      <cdr:nvSpPr>
        <cdr:cNvPr id="8" name="TextBox 1"/>
        <cdr:cNvSpPr txBox="1"/>
      </cdr:nvSpPr>
      <cdr:spPr>
        <a:xfrm xmlns:a="http://schemas.openxmlformats.org/drawingml/2006/main">
          <a:off x="37043" y="2114549"/>
          <a:ext cx="190610" cy="176742"/>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36000" rIns="18000" bIns="1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1000"/>
            <a:t> 0</a:t>
          </a:r>
        </a:p>
        <a:p xmlns:a="http://schemas.openxmlformats.org/drawingml/2006/main">
          <a:pPr algn="r"/>
          <a:endParaRPr lang="en-NZ" sz="1000"/>
        </a:p>
        <a:p xmlns:a="http://schemas.openxmlformats.org/drawingml/2006/main">
          <a:pPr algn="r"/>
          <a:endParaRPr lang="en-NZ" sz="1000"/>
        </a:p>
      </cdr:txBody>
    </cdr:sp>
  </cdr:relSizeAnchor>
</c:userShapes>
</file>

<file path=word/drawings/drawing4.xml><?xml version="1.0" encoding="utf-8"?>
<c:userShapes xmlns:c="http://schemas.openxmlformats.org/drawingml/2006/chart">
  <cdr:relSizeAnchor xmlns:cdr="http://schemas.openxmlformats.org/drawingml/2006/chartDrawing">
    <cdr:from>
      <cdr:x>0.52944</cdr:x>
      <cdr:y>0.04639</cdr:y>
    </cdr:from>
    <cdr:to>
      <cdr:x>0.53033</cdr:x>
      <cdr:y>0.69354</cdr:y>
    </cdr:to>
    <cdr:cxnSp macro="">
      <cdr:nvCxnSpPr>
        <cdr:cNvPr id="3" name="Straight Connector 2"/>
        <cdr:cNvCxnSpPr/>
      </cdr:nvCxnSpPr>
      <cdr:spPr>
        <a:xfrm xmlns:a="http://schemas.openxmlformats.org/drawingml/2006/main">
          <a:off x="2594882" y="136979"/>
          <a:ext cx="4341" cy="1910871"/>
        </a:xfrm>
        <a:prstGeom xmlns:a="http://schemas.openxmlformats.org/drawingml/2006/main" prst="line">
          <a:avLst/>
        </a:prstGeom>
        <a:ln xmlns:a="http://schemas.openxmlformats.org/drawingml/2006/main" w="6350" cmpd="thickThin">
          <a:prstDash val="soli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0.16238</cdr:x>
      <cdr:y>0.56935</cdr:y>
    </cdr:from>
    <cdr:to>
      <cdr:x>0.49898</cdr:x>
      <cdr:y>0.68393</cdr:y>
    </cdr:to>
    <cdr:sp macro="" textlink="">
      <cdr:nvSpPr>
        <cdr:cNvPr id="10" name="TextBox 1"/>
        <cdr:cNvSpPr txBox="1"/>
      </cdr:nvSpPr>
      <cdr:spPr>
        <a:xfrm xmlns:a="http://schemas.openxmlformats.org/drawingml/2006/main">
          <a:off x="792416" y="1681162"/>
          <a:ext cx="1642600" cy="338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kumimoji="0" lang="en-NZ" sz="1000" b="1" i="0" u="none" strike="noStrike" kern="0" cap="none" spc="0" normalizeH="0" baseline="0">
              <a:ln>
                <a:noFill/>
              </a:ln>
              <a:solidFill>
                <a:prstClr val="white">
                  <a:lumMod val="50000"/>
                </a:prstClr>
              </a:solidFill>
              <a:effectLst/>
              <a:uLnTx/>
              <a:uFillTx/>
              <a:latin typeface="+mn-lt"/>
              <a:ea typeface="+mn-ea"/>
              <a:cs typeface="+mn-cs"/>
            </a:rPr>
            <a:t>Year to March 2014</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kumimoji="0" lang="en-NZ" sz="1100" b="1" i="0" u="none" strike="noStrike" kern="0" cap="none" spc="0" normalizeH="0" baseline="0">
            <a:ln>
              <a:noFill/>
            </a:ln>
            <a:solidFill>
              <a:prstClr val="white">
                <a:lumMod val="50000"/>
              </a:prstClr>
            </a:solidFill>
            <a:effectLst/>
            <a:uLnTx/>
            <a:uFillTx/>
            <a:latin typeface="+mn-lt"/>
            <a:ea typeface="+mn-ea"/>
            <a:cs typeface="+mn-cs"/>
          </a:endParaRPr>
        </a:p>
      </cdr:txBody>
    </cdr:sp>
  </cdr:relSizeAnchor>
  <cdr:relSizeAnchor xmlns:cdr="http://schemas.openxmlformats.org/drawingml/2006/chartDrawing">
    <cdr:from>
      <cdr:x>0.61946</cdr:x>
      <cdr:y>0.56621</cdr:y>
    </cdr:from>
    <cdr:to>
      <cdr:x>0.96584</cdr:x>
      <cdr:y>0.68079</cdr:y>
    </cdr:to>
    <cdr:sp macro="" textlink="">
      <cdr:nvSpPr>
        <cdr:cNvPr id="11" name="TextBox 1"/>
        <cdr:cNvSpPr txBox="1"/>
      </cdr:nvSpPr>
      <cdr:spPr>
        <a:xfrm xmlns:a="http://schemas.openxmlformats.org/drawingml/2006/main">
          <a:off x="3022967" y="1671889"/>
          <a:ext cx="1690325" cy="3383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NZ" sz="1000" b="1">
              <a:solidFill>
                <a:srgbClr val="4D4D4D"/>
              </a:solidFill>
            </a:rPr>
            <a:t>Year to March 2015</a:t>
          </a:r>
        </a:p>
        <a:p xmlns:a="http://schemas.openxmlformats.org/drawingml/2006/main">
          <a:endParaRPr lang="en-NZ" sz="1100" b="1">
            <a:solidFill>
              <a:srgbClr val="4D4D4D"/>
            </a:solidFill>
          </a:endParaRPr>
        </a:p>
      </cdr:txBody>
    </cdr:sp>
  </cdr:relSizeAnchor>
  <cdr:relSizeAnchor xmlns:cdr="http://schemas.openxmlformats.org/drawingml/2006/chartDrawing">
    <cdr:from>
      <cdr:x>0.09832</cdr:x>
      <cdr:y>0.63652</cdr:y>
    </cdr:from>
    <cdr:to>
      <cdr:x>0.49832</cdr:x>
      <cdr:y>0.63652</cdr:y>
    </cdr:to>
    <cdr:cxnSp macro="">
      <cdr:nvCxnSpPr>
        <cdr:cNvPr id="12" name="Straight Arrow Connector 11"/>
        <cdr:cNvCxnSpPr/>
      </cdr:nvCxnSpPr>
      <cdr:spPr>
        <a:xfrm xmlns:a="http://schemas.openxmlformats.org/drawingml/2006/main">
          <a:off x="479784" y="1879488"/>
          <a:ext cx="1951990" cy="0"/>
        </a:xfrm>
        <a:prstGeom xmlns:a="http://schemas.openxmlformats.org/drawingml/2006/main" prst="straightConnector1">
          <a:avLst/>
        </a:prstGeom>
        <a:ln xmlns:a="http://schemas.openxmlformats.org/drawingml/2006/main" w="15875" cap="rnd" cmpd="sng">
          <a:solidFill>
            <a:schemeClr val="bg1">
              <a:lumMod val="50000"/>
            </a:schemeClr>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0.5545</cdr:x>
      <cdr:y>0.63613</cdr:y>
    </cdr:from>
    <cdr:to>
      <cdr:x>0.9545</cdr:x>
      <cdr:y>0.63613</cdr:y>
    </cdr:to>
    <cdr:cxnSp macro="">
      <cdr:nvCxnSpPr>
        <cdr:cNvPr id="13" name="Straight Arrow Connector 12"/>
        <cdr:cNvCxnSpPr/>
      </cdr:nvCxnSpPr>
      <cdr:spPr>
        <a:xfrm xmlns:a="http://schemas.openxmlformats.org/drawingml/2006/main">
          <a:off x="2705966" y="1878342"/>
          <a:ext cx="1951990" cy="0"/>
        </a:xfrm>
        <a:prstGeom xmlns:a="http://schemas.openxmlformats.org/drawingml/2006/main" prst="straightConnector1">
          <a:avLst/>
        </a:prstGeom>
        <a:ln xmlns:a="http://schemas.openxmlformats.org/drawingml/2006/main" w="15875" cap="rnd" cmpd="sng">
          <a:solidFill>
            <a:srgbClr val="4D4D4D"/>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0.00904</cdr:x>
      <cdr:y>0.64214</cdr:y>
    </cdr:from>
    <cdr:to>
      <cdr:x>0.06672</cdr:x>
      <cdr:y>0.71051</cdr:y>
    </cdr:to>
    <cdr:sp macro="" textlink="">
      <cdr:nvSpPr>
        <cdr:cNvPr id="8" name="TextBox 1"/>
        <cdr:cNvSpPr txBox="1"/>
      </cdr:nvSpPr>
      <cdr:spPr>
        <a:xfrm xmlns:a="http://schemas.openxmlformats.org/drawingml/2006/main">
          <a:off x="44299" y="1902883"/>
          <a:ext cx="282725" cy="202596"/>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36000" rIns="18000" bIns="1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1000"/>
            <a:t> 0%</a:t>
          </a:r>
        </a:p>
        <a:p xmlns:a="http://schemas.openxmlformats.org/drawingml/2006/main">
          <a:pPr algn="r"/>
          <a:endParaRPr lang="en-NZ" sz="1000"/>
        </a:p>
        <a:p xmlns:a="http://schemas.openxmlformats.org/drawingml/2006/main">
          <a:pPr algn="r"/>
          <a:endParaRPr lang="en-NZ" sz="1000"/>
        </a:p>
      </cdr:txBody>
    </cdr:sp>
  </cdr:relSizeAnchor>
  <cdr:relSizeAnchor xmlns:cdr="http://schemas.openxmlformats.org/drawingml/2006/chartDrawing">
    <cdr:from>
      <cdr:x>0.07299</cdr:x>
      <cdr:y>0.62429</cdr:y>
    </cdr:from>
    <cdr:to>
      <cdr:x>0.09156</cdr:x>
      <cdr:y>0.6691</cdr:y>
    </cdr:to>
    <cdr:sp macro="" textlink="">
      <cdr:nvSpPr>
        <cdr:cNvPr id="9" name="Freeform 8"/>
        <cdr:cNvSpPr/>
      </cdr:nvSpPr>
      <cdr:spPr>
        <a:xfrm xmlns:a="http://schemas.openxmlformats.org/drawingml/2006/main">
          <a:off x="357717" y="1849967"/>
          <a:ext cx="91043" cy="132813"/>
        </a:xfrm>
        <a:custGeom xmlns:a="http://schemas.openxmlformats.org/drawingml/2006/main">
          <a:avLst/>
          <a:gdLst>
            <a:gd name="connsiteX0" fmla="*/ 0 w 957792"/>
            <a:gd name="connsiteY0" fmla="*/ 0 h 809625"/>
            <a:gd name="connsiteX1" fmla="*/ 957792 w 957792"/>
            <a:gd name="connsiteY1" fmla="*/ 158750 h 809625"/>
            <a:gd name="connsiteX2" fmla="*/ 957792 w 957792"/>
            <a:gd name="connsiteY2" fmla="*/ 158750 h 809625"/>
            <a:gd name="connsiteX3" fmla="*/ 0 w 957792"/>
            <a:gd name="connsiteY3" fmla="*/ 328084 h 809625"/>
            <a:gd name="connsiteX4" fmla="*/ 0 w 957792"/>
            <a:gd name="connsiteY4" fmla="*/ 328084 h 809625"/>
            <a:gd name="connsiteX5" fmla="*/ 952500 w 957792"/>
            <a:gd name="connsiteY5" fmla="*/ 481542 h 809625"/>
            <a:gd name="connsiteX6" fmla="*/ 952500 w 957792"/>
            <a:gd name="connsiteY6" fmla="*/ 481542 h 809625"/>
            <a:gd name="connsiteX7" fmla="*/ 5292 w 957792"/>
            <a:gd name="connsiteY7" fmla="*/ 650875 h 809625"/>
            <a:gd name="connsiteX8" fmla="*/ 5292 w 957792"/>
            <a:gd name="connsiteY8" fmla="*/ 650875 h 809625"/>
            <a:gd name="connsiteX9" fmla="*/ 952500 w 957792"/>
            <a:gd name="connsiteY9" fmla="*/ 8096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57792" h="809625">
              <a:moveTo>
                <a:pt x="0" y="0"/>
              </a:moveTo>
              <a:lnTo>
                <a:pt x="957792" y="158750"/>
              </a:lnTo>
              <a:lnTo>
                <a:pt x="957792" y="158750"/>
              </a:lnTo>
              <a:lnTo>
                <a:pt x="0" y="328084"/>
              </a:lnTo>
              <a:lnTo>
                <a:pt x="0" y="328084"/>
              </a:lnTo>
              <a:lnTo>
                <a:pt x="952500" y="481542"/>
              </a:lnTo>
              <a:lnTo>
                <a:pt x="952500" y="481542"/>
              </a:lnTo>
              <a:lnTo>
                <a:pt x="5292" y="650875"/>
              </a:lnTo>
              <a:lnTo>
                <a:pt x="5292" y="650875"/>
              </a:lnTo>
              <a:cubicBezTo>
                <a:pt x="163160" y="677333"/>
                <a:pt x="794632" y="804333"/>
                <a:pt x="952500" y="809625"/>
              </a:cubicBez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NZ" sz="1100"/>
        </a:p>
      </cdr:txBody>
    </cdr:sp>
  </cdr:relSizeAnchor>
</c:userShapes>
</file>

<file path=word/drawings/drawing5.xml><?xml version="1.0" encoding="utf-8"?>
<c:userShapes xmlns:c="http://schemas.openxmlformats.org/drawingml/2006/chart">
  <cdr:relSizeAnchor xmlns:cdr="http://schemas.openxmlformats.org/drawingml/2006/chartDrawing">
    <cdr:from>
      <cdr:x>0.5266</cdr:x>
      <cdr:y>0.04927</cdr:y>
    </cdr:from>
    <cdr:to>
      <cdr:x>0.5266</cdr:x>
      <cdr:y>0.70165</cdr:y>
    </cdr:to>
    <cdr:cxnSp macro="">
      <cdr:nvCxnSpPr>
        <cdr:cNvPr id="3" name="Straight Connector 2"/>
        <cdr:cNvCxnSpPr/>
      </cdr:nvCxnSpPr>
      <cdr:spPr>
        <a:xfrm xmlns:a="http://schemas.openxmlformats.org/drawingml/2006/main" flipH="1">
          <a:off x="2660639" y="150813"/>
          <a:ext cx="12" cy="1997098"/>
        </a:xfrm>
        <a:prstGeom xmlns:a="http://schemas.openxmlformats.org/drawingml/2006/main" prst="line">
          <a:avLst/>
        </a:prstGeom>
        <a:ln xmlns:a="http://schemas.openxmlformats.org/drawingml/2006/main" w="6350" cmpd="thickThin">
          <a:prstDash val="soli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0.16588</cdr:x>
      <cdr:y>0.54645</cdr:y>
    </cdr:from>
    <cdr:to>
      <cdr:x>0.50248</cdr:x>
      <cdr:y>0.66103</cdr:y>
    </cdr:to>
    <cdr:sp macro="" textlink="">
      <cdr:nvSpPr>
        <cdr:cNvPr id="18" name="TextBox 1"/>
        <cdr:cNvSpPr txBox="1"/>
      </cdr:nvSpPr>
      <cdr:spPr>
        <a:xfrm xmlns:a="http://schemas.openxmlformats.org/drawingml/2006/main">
          <a:off x="838117" y="1672818"/>
          <a:ext cx="1700665" cy="3507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kumimoji="0" lang="en-NZ" sz="1000" b="1" i="0" u="none" strike="noStrike" kern="0" cap="none" spc="0" normalizeH="0" baseline="0">
              <a:ln>
                <a:noFill/>
              </a:ln>
              <a:solidFill>
                <a:prstClr val="white">
                  <a:lumMod val="50000"/>
                </a:prstClr>
              </a:solidFill>
              <a:effectLst/>
              <a:uLnTx/>
              <a:uFillTx/>
              <a:latin typeface="+mn-lt"/>
              <a:ea typeface="+mn-ea"/>
              <a:cs typeface="+mn-cs"/>
            </a:rPr>
            <a:t>Year to March 2014</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kumimoji="0" lang="en-NZ" sz="1100" b="1" i="0" u="none" strike="noStrike" kern="0" cap="none" spc="0" normalizeH="0" baseline="0">
            <a:ln>
              <a:noFill/>
            </a:ln>
            <a:solidFill>
              <a:prstClr val="white">
                <a:lumMod val="50000"/>
              </a:prstClr>
            </a:solidFill>
            <a:effectLst/>
            <a:uLnTx/>
            <a:uFillTx/>
            <a:latin typeface="+mn-lt"/>
            <a:ea typeface="+mn-ea"/>
            <a:cs typeface="+mn-cs"/>
          </a:endParaRPr>
        </a:p>
      </cdr:txBody>
    </cdr:sp>
  </cdr:relSizeAnchor>
  <cdr:relSizeAnchor xmlns:cdr="http://schemas.openxmlformats.org/drawingml/2006/chartDrawing">
    <cdr:from>
      <cdr:x>0.61363</cdr:x>
      <cdr:y>0.54645</cdr:y>
    </cdr:from>
    <cdr:to>
      <cdr:x>0.96001</cdr:x>
      <cdr:y>0.66103</cdr:y>
    </cdr:to>
    <cdr:sp macro="" textlink="">
      <cdr:nvSpPr>
        <cdr:cNvPr id="19" name="TextBox 1"/>
        <cdr:cNvSpPr txBox="1"/>
      </cdr:nvSpPr>
      <cdr:spPr>
        <a:xfrm xmlns:a="http://schemas.openxmlformats.org/drawingml/2006/main">
          <a:off x="3100351" y="1672809"/>
          <a:ext cx="1750079" cy="3507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NZ" sz="1000" b="1">
              <a:solidFill>
                <a:srgbClr val="4D4D4D"/>
              </a:solidFill>
            </a:rPr>
            <a:t>Year to March 2015</a:t>
          </a:r>
        </a:p>
      </cdr:txBody>
    </cdr:sp>
  </cdr:relSizeAnchor>
  <cdr:relSizeAnchor xmlns:cdr="http://schemas.openxmlformats.org/drawingml/2006/chartDrawing">
    <cdr:from>
      <cdr:x>0.10694</cdr:x>
      <cdr:y>0.61542</cdr:y>
    </cdr:from>
    <cdr:to>
      <cdr:x>0.50693</cdr:x>
      <cdr:y>0.61542</cdr:y>
    </cdr:to>
    <cdr:cxnSp macro="">
      <cdr:nvCxnSpPr>
        <cdr:cNvPr id="20" name="Straight Arrow Connector 10"/>
        <cdr:cNvCxnSpPr/>
      </cdr:nvCxnSpPr>
      <cdr:spPr>
        <a:xfrm xmlns:a="http://schemas.openxmlformats.org/drawingml/2006/main">
          <a:off x="540315" y="1883945"/>
          <a:ext cx="2020943" cy="0"/>
        </a:xfrm>
        <a:prstGeom xmlns:a="http://schemas.openxmlformats.org/drawingml/2006/main" prst="straightConnector1">
          <a:avLst/>
        </a:prstGeom>
        <a:ln xmlns:a="http://schemas.openxmlformats.org/drawingml/2006/main" w="15875" cap="rnd" cmpd="sng">
          <a:solidFill>
            <a:schemeClr val="bg1">
              <a:lumMod val="50000"/>
            </a:schemeClr>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0.5686</cdr:x>
      <cdr:y>0.61485</cdr:y>
    </cdr:from>
    <cdr:to>
      <cdr:x>0.9686</cdr:x>
      <cdr:y>0.61485</cdr:y>
    </cdr:to>
    <cdr:cxnSp macro="">
      <cdr:nvCxnSpPr>
        <cdr:cNvPr id="21" name="Straight Arrow Connector 11"/>
        <cdr:cNvCxnSpPr/>
      </cdr:nvCxnSpPr>
      <cdr:spPr>
        <a:xfrm xmlns:a="http://schemas.openxmlformats.org/drawingml/2006/main">
          <a:off x="2872824" y="1882191"/>
          <a:ext cx="2020994" cy="0"/>
        </a:xfrm>
        <a:prstGeom xmlns:a="http://schemas.openxmlformats.org/drawingml/2006/main" prst="straightConnector1">
          <a:avLst/>
        </a:prstGeom>
        <a:ln xmlns:a="http://schemas.openxmlformats.org/drawingml/2006/main" w="15875" cap="rnd" cmpd="sng">
          <a:solidFill>
            <a:srgbClr val="4D4D4D"/>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0.00587</cdr:x>
      <cdr:y>0.66309</cdr:y>
    </cdr:from>
    <cdr:to>
      <cdr:x>0.06182</cdr:x>
      <cdr:y>0.72928</cdr:y>
    </cdr:to>
    <cdr:sp macro="" textlink="">
      <cdr:nvSpPr>
        <cdr:cNvPr id="8" name="TextBox 1"/>
        <cdr:cNvSpPr txBox="1"/>
      </cdr:nvSpPr>
      <cdr:spPr>
        <a:xfrm xmlns:a="http://schemas.openxmlformats.org/drawingml/2006/main">
          <a:off x="29633" y="2029883"/>
          <a:ext cx="282725" cy="202596"/>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36000" rIns="18000" bIns="1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1000"/>
            <a:t> 0%</a:t>
          </a:r>
        </a:p>
        <a:p xmlns:a="http://schemas.openxmlformats.org/drawingml/2006/main">
          <a:pPr algn="r"/>
          <a:endParaRPr lang="en-NZ" sz="1000"/>
        </a:p>
        <a:p xmlns:a="http://schemas.openxmlformats.org/drawingml/2006/main">
          <a:pPr algn="r"/>
          <a:endParaRPr lang="en-NZ" sz="1000"/>
        </a:p>
      </cdr:txBody>
    </cdr:sp>
  </cdr:relSizeAnchor>
  <cdr:relSizeAnchor xmlns:cdr="http://schemas.openxmlformats.org/drawingml/2006/chartDrawing">
    <cdr:from>
      <cdr:x>0.0708</cdr:x>
      <cdr:y>0.64581</cdr:y>
    </cdr:from>
    <cdr:to>
      <cdr:x>0.08882</cdr:x>
      <cdr:y>0.68919</cdr:y>
    </cdr:to>
    <cdr:sp macro="" textlink="">
      <cdr:nvSpPr>
        <cdr:cNvPr id="9" name="Freeform 8"/>
        <cdr:cNvSpPr/>
      </cdr:nvSpPr>
      <cdr:spPr>
        <a:xfrm xmlns:a="http://schemas.openxmlformats.org/drawingml/2006/main">
          <a:off x="357717" y="1976966"/>
          <a:ext cx="91043" cy="132813"/>
        </a:xfrm>
        <a:custGeom xmlns:a="http://schemas.openxmlformats.org/drawingml/2006/main">
          <a:avLst/>
          <a:gdLst>
            <a:gd name="connsiteX0" fmla="*/ 0 w 957792"/>
            <a:gd name="connsiteY0" fmla="*/ 0 h 809625"/>
            <a:gd name="connsiteX1" fmla="*/ 957792 w 957792"/>
            <a:gd name="connsiteY1" fmla="*/ 158750 h 809625"/>
            <a:gd name="connsiteX2" fmla="*/ 957792 w 957792"/>
            <a:gd name="connsiteY2" fmla="*/ 158750 h 809625"/>
            <a:gd name="connsiteX3" fmla="*/ 0 w 957792"/>
            <a:gd name="connsiteY3" fmla="*/ 328084 h 809625"/>
            <a:gd name="connsiteX4" fmla="*/ 0 w 957792"/>
            <a:gd name="connsiteY4" fmla="*/ 328084 h 809625"/>
            <a:gd name="connsiteX5" fmla="*/ 952500 w 957792"/>
            <a:gd name="connsiteY5" fmla="*/ 481542 h 809625"/>
            <a:gd name="connsiteX6" fmla="*/ 952500 w 957792"/>
            <a:gd name="connsiteY6" fmla="*/ 481542 h 809625"/>
            <a:gd name="connsiteX7" fmla="*/ 5292 w 957792"/>
            <a:gd name="connsiteY7" fmla="*/ 650875 h 809625"/>
            <a:gd name="connsiteX8" fmla="*/ 5292 w 957792"/>
            <a:gd name="connsiteY8" fmla="*/ 650875 h 809625"/>
            <a:gd name="connsiteX9" fmla="*/ 952500 w 957792"/>
            <a:gd name="connsiteY9" fmla="*/ 8096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57792" h="809625">
              <a:moveTo>
                <a:pt x="0" y="0"/>
              </a:moveTo>
              <a:lnTo>
                <a:pt x="957792" y="158750"/>
              </a:lnTo>
              <a:lnTo>
                <a:pt x="957792" y="158750"/>
              </a:lnTo>
              <a:lnTo>
                <a:pt x="0" y="328084"/>
              </a:lnTo>
              <a:lnTo>
                <a:pt x="0" y="328084"/>
              </a:lnTo>
              <a:lnTo>
                <a:pt x="952500" y="481542"/>
              </a:lnTo>
              <a:lnTo>
                <a:pt x="952500" y="481542"/>
              </a:lnTo>
              <a:lnTo>
                <a:pt x="5292" y="650875"/>
              </a:lnTo>
              <a:lnTo>
                <a:pt x="5292" y="650875"/>
              </a:lnTo>
              <a:cubicBezTo>
                <a:pt x="163160" y="677333"/>
                <a:pt x="794632" y="804333"/>
                <a:pt x="952500" y="809625"/>
              </a:cubicBez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NZ" sz="1100"/>
        </a:p>
      </cdr:txBody>
    </cdr:sp>
  </cdr:relSizeAnchor>
</c:userShapes>
</file>

<file path=word/drawings/drawing6.xml><?xml version="1.0" encoding="utf-8"?>
<c:userShapes xmlns:c="http://schemas.openxmlformats.org/drawingml/2006/chart">
  <cdr:relSizeAnchor xmlns:cdr="http://schemas.openxmlformats.org/drawingml/2006/chartDrawing">
    <cdr:from>
      <cdr:x>0.53012</cdr:x>
      <cdr:y>0.04368</cdr:y>
    </cdr:from>
    <cdr:to>
      <cdr:x>0.53228</cdr:x>
      <cdr:y>0.70684</cdr:y>
    </cdr:to>
    <cdr:cxnSp macro="">
      <cdr:nvCxnSpPr>
        <cdr:cNvPr id="3" name="Straight Connector 2"/>
        <cdr:cNvCxnSpPr/>
      </cdr:nvCxnSpPr>
      <cdr:spPr>
        <a:xfrm xmlns:a="http://schemas.openxmlformats.org/drawingml/2006/main" flipH="1">
          <a:off x="2598208" y="131763"/>
          <a:ext cx="10585" cy="2000250"/>
        </a:xfrm>
        <a:prstGeom xmlns:a="http://schemas.openxmlformats.org/drawingml/2006/main" prst="line">
          <a:avLst/>
        </a:prstGeom>
        <a:ln xmlns:a="http://schemas.openxmlformats.org/drawingml/2006/main" w="6350" cmpd="thickThin">
          <a:prstDash val="soli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0.17378</cdr:x>
      <cdr:y>0.51835</cdr:y>
    </cdr:from>
    <cdr:to>
      <cdr:x>0.51038</cdr:x>
      <cdr:y>0.63293</cdr:y>
    </cdr:to>
    <cdr:sp macro="" textlink="">
      <cdr:nvSpPr>
        <cdr:cNvPr id="11" name="TextBox 1"/>
        <cdr:cNvSpPr txBox="1"/>
      </cdr:nvSpPr>
      <cdr:spPr>
        <a:xfrm xmlns:a="http://schemas.openxmlformats.org/drawingml/2006/main">
          <a:off x="851720" y="1563469"/>
          <a:ext cx="1649725" cy="3456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kumimoji="0" lang="en-NZ" sz="1000" b="1" i="0" u="none" strike="noStrike" kern="0" cap="none" spc="0" normalizeH="0" baseline="0">
              <a:ln>
                <a:noFill/>
              </a:ln>
              <a:solidFill>
                <a:prstClr val="white">
                  <a:lumMod val="50000"/>
                </a:prstClr>
              </a:solidFill>
              <a:effectLst/>
              <a:uLnTx/>
              <a:uFillTx/>
              <a:latin typeface="+mn-lt"/>
              <a:ea typeface="+mn-ea"/>
              <a:cs typeface="+mn-cs"/>
            </a:rPr>
            <a:t>Year to March 2015</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kumimoji="0" lang="en-NZ" sz="1100" b="1" i="0" u="none" strike="noStrike" kern="0" cap="none" spc="0" normalizeH="0" baseline="0">
            <a:ln>
              <a:noFill/>
            </a:ln>
            <a:solidFill>
              <a:prstClr val="white">
                <a:lumMod val="50000"/>
              </a:prstClr>
            </a:solidFill>
            <a:effectLst/>
            <a:uLnTx/>
            <a:uFillTx/>
            <a:latin typeface="+mn-lt"/>
            <a:ea typeface="+mn-ea"/>
            <a:cs typeface="+mn-cs"/>
          </a:endParaRPr>
        </a:p>
      </cdr:txBody>
    </cdr:sp>
  </cdr:relSizeAnchor>
  <cdr:relSizeAnchor xmlns:cdr="http://schemas.openxmlformats.org/drawingml/2006/chartDrawing">
    <cdr:from>
      <cdr:x>0.61502</cdr:x>
      <cdr:y>0.52214</cdr:y>
    </cdr:from>
    <cdr:to>
      <cdr:x>0.9614</cdr:x>
      <cdr:y>0.63672</cdr:y>
    </cdr:to>
    <cdr:sp macro="" textlink="">
      <cdr:nvSpPr>
        <cdr:cNvPr id="13" name="TextBox 1"/>
        <cdr:cNvSpPr txBox="1"/>
      </cdr:nvSpPr>
      <cdr:spPr>
        <a:xfrm xmlns:a="http://schemas.openxmlformats.org/drawingml/2006/main">
          <a:off x="3014276" y="1574897"/>
          <a:ext cx="1697658" cy="3456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NZ" sz="1000" b="1">
              <a:solidFill>
                <a:srgbClr val="4D4D4D"/>
              </a:solidFill>
            </a:rPr>
            <a:t>Year to March 2015</a:t>
          </a:r>
        </a:p>
        <a:p xmlns:a="http://schemas.openxmlformats.org/drawingml/2006/main">
          <a:endParaRPr lang="en-NZ" sz="1100" b="1">
            <a:solidFill>
              <a:srgbClr val="4D4D4D"/>
            </a:solidFill>
          </a:endParaRPr>
        </a:p>
      </cdr:txBody>
    </cdr:sp>
  </cdr:relSizeAnchor>
  <cdr:relSizeAnchor xmlns:cdr="http://schemas.openxmlformats.org/drawingml/2006/chartDrawing">
    <cdr:from>
      <cdr:x>0.11042</cdr:x>
      <cdr:y>0.59414</cdr:y>
    </cdr:from>
    <cdr:to>
      <cdr:x>0.51041</cdr:x>
      <cdr:y>0.59414</cdr:y>
    </cdr:to>
    <cdr:cxnSp macro="">
      <cdr:nvCxnSpPr>
        <cdr:cNvPr id="16" name="Straight Arrow Connector 10"/>
        <cdr:cNvCxnSpPr/>
      </cdr:nvCxnSpPr>
      <cdr:spPr>
        <a:xfrm xmlns:a="http://schemas.openxmlformats.org/drawingml/2006/main">
          <a:off x="541196" y="1792064"/>
          <a:ext cx="1960408" cy="0"/>
        </a:xfrm>
        <a:prstGeom xmlns:a="http://schemas.openxmlformats.org/drawingml/2006/main" prst="straightConnector1">
          <a:avLst/>
        </a:prstGeom>
        <a:ln xmlns:a="http://schemas.openxmlformats.org/drawingml/2006/main" w="15875" cap="rnd" cmpd="sng">
          <a:solidFill>
            <a:schemeClr val="bg1">
              <a:lumMod val="50000"/>
            </a:schemeClr>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0.56813</cdr:x>
      <cdr:y>0.59286</cdr:y>
    </cdr:from>
    <cdr:to>
      <cdr:x>0.96813</cdr:x>
      <cdr:y>0.59286</cdr:y>
    </cdr:to>
    <cdr:cxnSp macro="">
      <cdr:nvCxnSpPr>
        <cdr:cNvPr id="17" name="Straight Arrow Connector 11"/>
        <cdr:cNvCxnSpPr/>
      </cdr:nvCxnSpPr>
      <cdr:spPr>
        <a:xfrm xmlns:a="http://schemas.openxmlformats.org/drawingml/2006/main">
          <a:off x="2784489" y="1788202"/>
          <a:ext cx="1960457" cy="0"/>
        </a:xfrm>
        <a:prstGeom xmlns:a="http://schemas.openxmlformats.org/drawingml/2006/main" prst="straightConnector1">
          <a:avLst/>
        </a:prstGeom>
        <a:ln xmlns:a="http://schemas.openxmlformats.org/drawingml/2006/main" w="15875" cap="rnd" cmpd="sng">
          <a:solidFill>
            <a:srgbClr val="4D4D4D"/>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0.65193</cdr:y>
    </cdr:from>
    <cdr:to>
      <cdr:x>0.06048</cdr:x>
      <cdr:y>0.72439</cdr:y>
    </cdr:to>
    <cdr:sp macro="" textlink="">
      <cdr:nvSpPr>
        <cdr:cNvPr id="8" name="TextBox 1"/>
        <cdr:cNvSpPr txBox="1"/>
      </cdr:nvSpPr>
      <cdr:spPr>
        <a:xfrm xmlns:a="http://schemas.openxmlformats.org/drawingml/2006/main">
          <a:off x="0" y="1966383"/>
          <a:ext cx="296443" cy="218548"/>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36000" rIns="18000" bIns="1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1000"/>
            <a:t> 0%</a:t>
          </a:r>
        </a:p>
        <a:p xmlns:a="http://schemas.openxmlformats.org/drawingml/2006/main">
          <a:pPr algn="r"/>
          <a:endParaRPr lang="en-NZ" sz="1000"/>
        </a:p>
        <a:p xmlns:a="http://schemas.openxmlformats.org/drawingml/2006/main">
          <a:pPr algn="r"/>
          <a:endParaRPr lang="en-NZ" sz="1000"/>
        </a:p>
      </cdr:txBody>
    </cdr:sp>
  </cdr:relSizeAnchor>
  <cdr:relSizeAnchor xmlns:cdr="http://schemas.openxmlformats.org/drawingml/2006/chartDrawing">
    <cdr:from>
      <cdr:x>0.07299</cdr:x>
      <cdr:y>0.63789</cdr:y>
    </cdr:from>
    <cdr:to>
      <cdr:x>0.09156</cdr:x>
      <cdr:y>0.68193</cdr:y>
    </cdr:to>
    <cdr:sp macro="" textlink="">
      <cdr:nvSpPr>
        <cdr:cNvPr id="9" name="Freeform 8"/>
        <cdr:cNvSpPr/>
      </cdr:nvSpPr>
      <cdr:spPr>
        <a:xfrm xmlns:a="http://schemas.openxmlformats.org/drawingml/2006/main">
          <a:off x="357716" y="1924050"/>
          <a:ext cx="91043" cy="132813"/>
        </a:xfrm>
        <a:custGeom xmlns:a="http://schemas.openxmlformats.org/drawingml/2006/main">
          <a:avLst/>
          <a:gdLst>
            <a:gd name="connsiteX0" fmla="*/ 0 w 957792"/>
            <a:gd name="connsiteY0" fmla="*/ 0 h 809625"/>
            <a:gd name="connsiteX1" fmla="*/ 957792 w 957792"/>
            <a:gd name="connsiteY1" fmla="*/ 158750 h 809625"/>
            <a:gd name="connsiteX2" fmla="*/ 957792 w 957792"/>
            <a:gd name="connsiteY2" fmla="*/ 158750 h 809625"/>
            <a:gd name="connsiteX3" fmla="*/ 0 w 957792"/>
            <a:gd name="connsiteY3" fmla="*/ 328084 h 809625"/>
            <a:gd name="connsiteX4" fmla="*/ 0 w 957792"/>
            <a:gd name="connsiteY4" fmla="*/ 328084 h 809625"/>
            <a:gd name="connsiteX5" fmla="*/ 952500 w 957792"/>
            <a:gd name="connsiteY5" fmla="*/ 481542 h 809625"/>
            <a:gd name="connsiteX6" fmla="*/ 952500 w 957792"/>
            <a:gd name="connsiteY6" fmla="*/ 481542 h 809625"/>
            <a:gd name="connsiteX7" fmla="*/ 5292 w 957792"/>
            <a:gd name="connsiteY7" fmla="*/ 650875 h 809625"/>
            <a:gd name="connsiteX8" fmla="*/ 5292 w 957792"/>
            <a:gd name="connsiteY8" fmla="*/ 650875 h 809625"/>
            <a:gd name="connsiteX9" fmla="*/ 952500 w 957792"/>
            <a:gd name="connsiteY9" fmla="*/ 8096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57792" h="809625">
              <a:moveTo>
                <a:pt x="0" y="0"/>
              </a:moveTo>
              <a:lnTo>
                <a:pt x="957792" y="158750"/>
              </a:lnTo>
              <a:lnTo>
                <a:pt x="957792" y="158750"/>
              </a:lnTo>
              <a:lnTo>
                <a:pt x="0" y="328084"/>
              </a:lnTo>
              <a:lnTo>
                <a:pt x="0" y="328084"/>
              </a:lnTo>
              <a:lnTo>
                <a:pt x="952500" y="481542"/>
              </a:lnTo>
              <a:lnTo>
                <a:pt x="952500" y="481542"/>
              </a:lnTo>
              <a:lnTo>
                <a:pt x="5292" y="650875"/>
              </a:lnTo>
              <a:lnTo>
                <a:pt x="5292" y="650875"/>
              </a:lnTo>
              <a:cubicBezTo>
                <a:pt x="163160" y="677333"/>
                <a:pt x="794632" y="804333"/>
                <a:pt x="952500" y="809625"/>
              </a:cubicBez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NZ" sz="1100"/>
        </a:p>
      </cdr:txBody>
    </cdr:sp>
  </cdr:relSizeAnchor>
</c:userShapes>
</file>

<file path=word/drawings/drawing7.xml><?xml version="1.0" encoding="utf-8"?>
<c:userShapes xmlns:c="http://schemas.openxmlformats.org/drawingml/2006/chart">
  <cdr:relSizeAnchor xmlns:cdr="http://schemas.openxmlformats.org/drawingml/2006/chartDrawing">
    <cdr:from>
      <cdr:x>0.52717</cdr:x>
      <cdr:y>0.04286</cdr:y>
    </cdr:from>
    <cdr:to>
      <cdr:x>0.53033</cdr:x>
      <cdr:y>0.69354</cdr:y>
    </cdr:to>
    <cdr:cxnSp macro="">
      <cdr:nvCxnSpPr>
        <cdr:cNvPr id="3" name="Straight Connector 2"/>
        <cdr:cNvCxnSpPr/>
      </cdr:nvCxnSpPr>
      <cdr:spPr>
        <a:xfrm xmlns:a="http://schemas.openxmlformats.org/drawingml/2006/main">
          <a:off x="2582332" y="127000"/>
          <a:ext cx="15487" cy="1928190"/>
        </a:xfrm>
        <a:prstGeom xmlns:a="http://schemas.openxmlformats.org/drawingml/2006/main" prst="line">
          <a:avLst/>
        </a:prstGeom>
        <a:ln xmlns:a="http://schemas.openxmlformats.org/drawingml/2006/main" w="6350" cmpd="thickThin">
          <a:prstDash val="soli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0.15434</cdr:x>
      <cdr:y>0.46777</cdr:y>
    </cdr:from>
    <cdr:to>
      <cdr:x>0.49094</cdr:x>
      <cdr:y>0.58235</cdr:y>
    </cdr:to>
    <cdr:sp macro="" textlink="">
      <cdr:nvSpPr>
        <cdr:cNvPr id="11" name="TextBox 1"/>
        <cdr:cNvSpPr txBox="1"/>
      </cdr:nvSpPr>
      <cdr:spPr>
        <a:xfrm xmlns:a="http://schemas.openxmlformats.org/drawingml/2006/main">
          <a:off x="756029" y="1386167"/>
          <a:ext cx="1648834" cy="33953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kumimoji="0" lang="en-NZ" sz="1000" b="1" i="0" u="none" strike="noStrike" kern="0" cap="none" spc="0" normalizeH="0" baseline="0">
              <a:ln>
                <a:noFill/>
              </a:ln>
              <a:solidFill>
                <a:prstClr val="white">
                  <a:lumMod val="50000"/>
                </a:prstClr>
              </a:solidFill>
              <a:effectLst/>
              <a:uLnTx/>
              <a:uFillTx/>
              <a:latin typeface="+mn-lt"/>
              <a:ea typeface="+mn-ea"/>
              <a:cs typeface="+mn-cs"/>
            </a:rPr>
            <a:t>Year to March 2014</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endParaRPr kumimoji="0" lang="en-NZ" sz="1100" b="1" i="0" u="none" strike="noStrike" kern="0" cap="none" spc="0" normalizeH="0" baseline="0">
            <a:ln>
              <a:noFill/>
            </a:ln>
            <a:solidFill>
              <a:prstClr val="white">
                <a:lumMod val="50000"/>
              </a:prstClr>
            </a:solidFill>
            <a:effectLst/>
            <a:uLnTx/>
            <a:uFillTx/>
            <a:latin typeface="+mn-lt"/>
            <a:ea typeface="+mn-ea"/>
            <a:cs typeface="+mn-cs"/>
          </a:endParaRPr>
        </a:p>
      </cdr:txBody>
    </cdr:sp>
  </cdr:relSizeAnchor>
  <cdr:relSizeAnchor xmlns:cdr="http://schemas.openxmlformats.org/drawingml/2006/chartDrawing">
    <cdr:from>
      <cdr:x>0.60853</cdr:x>
      <cdr:y>0.46447</cdr:y>
    </cdr:from>
    <cdr:to>
      <cdr:x>0.95491</cdr:x>
      <cdr:y>0.57905</cdr:y>
    </cdr:to>
    <cdr:sp macro="" textlink="">
      <cdr:nvSpPr>
        <cdr:cNvPr id="13" name="TextBox 1"/>
        <cdr:cNvSpPr txBox="1"/>
      </cdr:nvSpPr>
      <cdr:spPr>
        <a:xfrm xmlns:a="http://schemas.openxmlformats.org/drawingml/2006/main">
          <a:off x="2980866" y="1376384"/>
          <a:ext cx="1696741" cy="3395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NZ" sz="1000" b="1">
              <a:solidFill>
                <a:srgbClr val="4D4D4D"/>
              </a:solidFill>
            </a:rPr>
            <a:t>Year to</a:t>
          </a:r>
          <a:r>
            <a:rPr lang="en-NZ" sz="1000" b="1" baseline="0">
              <a:solidFill>
                <a:srgbClr val="4D4D4D"/>
              </a:solidFill>
            </a:rPr>
            <a:t> March </a:t>
          </a:r>
          <a:r>
            <a:rPr lang="en-NZ" sz="1000" b="1">
              <a:solidFill>
                <a:srgbClr val="4D4D4D"/>
              </a:solidFill>
            </a:rPr>
            <a:t>2015</a:t>
          </a:r>
        </a:p>
        <a:p xmlns:a="http://schemas.openxmlformats.org/drawingml/2006/main">
          <a:endParaRPr lang="en-NZ" sz="1100" b="1">
            <a:solidFill>
              <a:srgbClr val="4D4D4D"/>
            </a:solidFill>
          </a:endParaRPr>
        </a:p>
      </cdr:txBody>
    </cdr:sp>
  </cdr:relSizeAnchor>
  <cdr:relSizeAnchor xmlns:cdr="http://schemas.openxmlformats.org/drawingml/2006/chartDrawing">
    <cdr:from>
      <cdr:x>0.11042</cdr:x>
      <cdr:y>0.53658</cdr:y>
    </cdr:from>
    <cdr:to>
      <cdr:x>0.51041</cdr:x>
      <cdr:y>0.53658</cdr:y>
    </cdr:to>
    <cdr:cxnSp macro="">
      <cdr:nvCxnSpPr>
        <cdr:cNvPr id="16" name="Straight Arrow Connector 10"/>
        <cdr:cNvCxnSpPr/>
      </cdr:nvCxnSpPr>
      <cdr:spPr>
        <a:xfrm xmlns:a="http://schemas.openxmlformats.org/drawingml/2006/main">
          <a:off x="540884" y="1590057"/>
          <a:ext cx="1959350" cy="0"/>
        </a:xfrm>
        <a:prstGeom xmlns:a="http://schemas.openxmlformats.org/drawingml/2006/main" prst="straightConnector1">
          <a:avLst/>
        </a:prstGeom>
        <a:ln xmlns:a="http://schemas.openxmlformats.org/drawingml/2006/main" w="15875" cap="rnd" cmpd="sng">
          <a:solidFill>
            <a:schemeClr val="bg1">
              <a:lumMod val="50000"/>
            </a:schemeClr>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0.55733</cdr:x>
      <cdr:y>0.53175</cdr:y>
    </cdr:from>
    <cdr:to>
      <cdr:x>0.95733</cdr:x>
      <cdr:y>0.53175</cdr:y>
    </cdr:to>
    <cdr:cxnSp macro="">
      <cdr:nvCxnSpPr>
        <cdr:cNvPr id="17" name="Straight Arrow Connector 11"/>
        <cdr:cNvCxnSpPr/>
      </cdr:nvCxnSpPr>
      <cdr:spPr>
        <a:xfrm xmlns:a="http://schemas.openxmlformats.org/drawingml/2006/main">
          <a:off x="2730071" y="1575740"/>
          <a:ext cx="1959398" cy="0"/>
        </a:xfrm>
        <a:prstGeom xmlns:a="http://schemas.openxmlformats.org/drawingml/2006/main" prst="straightConnector1">
          <a:avLst/>
        </a:prstGeom>
        <a:ln xmlns:a="http://schemas.openxmlformats.org/drawingml/2006/main" w="15875" cap="rnd" cmpd="sng">
          <a:solidFill>
            <a:srgbClr val="4D4D4D"/>
          </a:solidFill>
          <a:prstDash val="solid"/>
          <a:headEnd type="arrow"/>
          <a:tailEnd type="arrow"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cdr:x>
      <cdr:y>0.65286</cdr:y>
    </cdr:from>
    <cdr:to>
      <cdr:x>0.06892</cdr:x>
      <cdr:y>0.72179</cdr:y>
    </cdr:to>
    <cdr:sp macro="" textlink="">
      <cdr:nvSpPr>
        <cdr:cNvPr id="7" name="TextBox 1"/>
        <cdr:cNvSpPr txBox="1"/>
      </cdr:nvSpPr>
      <cdr:spPr>
        <a:xfrm xmlns:a="http://schemas.openxmlformats.org/drawingml/2006/main">
          <a:off x="0" y="1934633"/>
          <a:ext cx="337607" cy="204258"/>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36000" tIns="36000" rIns="18000" bIns="18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NZ" sz="1000"/>
            <a:t> 0%</a:t>
          </a:r>
        </a:p>
        <a:p xmlns:a="http://schemas.openxmlformats.org/drawingml/2006/main">
          <a:pPr algn="r"/>
          <a:endParaRPr lang="en-NZ" sz="1000"/>
        </a:p>
        <a:p xmlns:a="http://schemas.openxmlformats.org/drawingml/2006/main">
          <a:pPr algn="r"/>
          <a:endParaRPr lang="en-NZ" sz="1000"/>
        </a:p>
      </cdr:txBody>
    </cdr:sp>
  </cdr:relSizeAnchor>
  <cdr:relSizeAnchor xmlns:cdr="http://schemas.openxmlformats.org/drawingml/2006/chartDrawing">
    <cdr:from>
      <cdr:x>0.07303</cdr:x>
      <cdr:y>0.61071</cdr:y>
    </cdr:from>
    <cdr:to>
      <cdr:x>0.0929</cdr:x>
      <cdr:y>0.67429</cdr:y>
    </cdr:to>
    <cdr:sp macro="" textlink="">
      <cdr:nvSpPr>
        <cdr:cNvPr id="8" name="Freeform 7"/>
        <cdr:cNvSpPr/>
      </cdr:nvSpPr>
      <cdr:spPr>
        <a:xfrm xmlns:a="http://schemas.openxmlformats.org/drawingml/2006/main">
          <a:off x="357715" y="1809750"/>
          <a:ext cx="97366" cy="188386"/>
        </a:xfrm>
        <a:custGeom xmlns:a="http://schemas.openxmlformats.org/drawingml/2006/main">
          <a:avLst/>
          <a:gdLst>
            <a:gd name="connsiteX0" fmla="*/ 0 w 957792"/>
            <a:gd name="connsiteY0" fmla="*/ 0 h 809625"/>
            <a:gd name="connsiteX1" fmla="*/ 957792 w 957792"/>
            <a:gd name="connsiteY1" fmla="*/ 158750 h 809625"/>
            <a:gd name="connsiteX2" fmla="*/ 957792 w 957792"/>
            <a:gd name="connsiteY2" fmla="*/ 158750 h 809625"/>
            <a:gd name="connsiteX3" fmla="*/ 0 w 957792"/>
            <a:gd name="connsiteY3" fmla="*/ 328084 h 809625"/>
            <a:gd name="connsiteX4" fmla="*/ 0 w 957792"/>
            <a:gd name="connsiteY4" fmla="*/ 328084 h 809625"/>
            <a:gd name="connsiteX5" fmla="*/ 952500 w 957792"/>
            <a:gd name="connsiteY5" fmla="*/ 481542 h 809625"/>
            <a:gd name="connsiteX6" fmla="*/ 952500 w 957792"/>
            <a:gd name="connsiteY6" fmla="*/ 481542 h 809625"/>
            <a:gd name="connsiteX7" fmla="*/ 5292 w 957792"/>
            <a:gd name="connsiteY7" fmla="*/ 650875 h 809625"/>
            <a:gd name="connsiteX8" fmla="*/ 5292 w 957792"/>
            <a:gd name="connsiteY8" fmla="*/ 650875 h 809625"/>
            <a:gd name="connsiteX9" fmla="*/ 952500 w 957792"/>
            <a:gd name="connsiteY9" fmla="*/ 8096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57792" h="809625">
              <a:moveTo>
                <a:pt x="0" y="0"/>
              </a:moveTo>
              <a:lnTo>
                <a:pt x="957792" y="158750"/>
              </a:lnTo>
              <a:lnTo>
                <a:pt x="957792" y="158750"/>
              </a:lnTo>
              <a:lnTo>
                <a:pt x="0" y="328084"/>
              </a:lnTo>
              <a:lnTo>
                <a:pt x="0" y="328084"/>
              </a:lnTo>
              <a:lnTo>
                <a:pt x="952500" y="481542"/>
              </a:lnTo>
              <a:lnTo>
                <a:pt x="952500" y="481542"/>
              </a:lnTo>
              <a:lnTo>
                <a:pt x="5292" y="650875"/>
              </a:lnTo>
              <a:lnTo>
                <a:pt x="5292" y="650875"/>
              </a:lnTo>
              <a:cubicBezTo>
                <a:pt x="163160" y="677333"/>
                <a:pt x="794632" y="804333"/>
                <a:pt x="952500" y="809625"/>
              </a:cubicBezTo>
            </a:path>
          </a:pathLst>
        </a:custGeom>
        <a:noFill xmlns:a="http://schemas.openxmlformats.org/drawingml/2006/main"/>
        <a:ln xmlns:a="http://schemas.openxmlformats.org/drawingml/2006/main" w="635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NZ"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8964-7AAF-4558-8FB5-0C84D187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19</Pages>
  <Words>3545</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Report on the Performance of General Practices in Whānau Ora Collectives as at December 2014</vt:lpstr>
    </vt:vector>
  </TitlesOfParts>
  <Company>Microsoft</Company>
  <LinksUpToDate>false</LinksUpToDate>
  <CharactersWithSpaces>24178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Performance of General Practices in Whānau Ora Collectives as at March 2015</dc:title>
  <dc:creator>Ministry of Health</dc:creator>
  <cp:lastModifiedBy>Jane Adam</cp:lastModifiedBy>
  <cp:revision>4</cp:revision>
  <cp:lastPrinted>2015-08-04T03:41:00Z</cp:lastPrinted>
  <dcterms:created xsi:type="dcterms:W3CDTF">2015-08-04T03:39:00Z</dcterms:created>
  <dcterms:modified xsi:type="dcterms:W3CDTF">2015-08-04T03:43:00Z</dcterms:modified>
</cp:coreProperties>
</file>