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A5" w:rsidRDefault="00F962A5" w:rsidP="00073E6A"/>
    <w:p w:rsidR="00F962A5" w:rsidRDefault="00F962A5" w:rsidP="00073E6A"/>
    <w:p w:rsidR="00300A76" w:rsidRDefault="00300A76" w:rsidP="00073E6A"/>
    <w:p w:rsidR="00300A76" w:rsidRDefault="00300A76" w:rsidP="00073E6A"/>
    <w:p w:rsidR="00300A76" w:rsidRDefault="00300A76" w:rsidP="00073E6A"/>
    <w:p w:rsidR="00073E6A" w:rsidRDefault="00073E6A" w:rsidP="00F962A5">
      <w:pPr>
        <w:pStyle w:val="Title"/>
        <w:jc w:val="center"/>
      </w:pPr>
      <w:r>
        <w:t>Approval Process for Real</w:t>
      </w:r>
      <w:r w:rsidR="00F962A5">
        <w:t xml:space="preserve"> </w:t>
      </w:r>
      <w:r>
        <w:t>Estate Projects in</w:t>
      </w:r>
      <w:r w:rsidR="00F962A5">
        <w:t xml:space="preserve"> </w:t>
      </w:r>
      <w:r>
        <w:t>Maharashtra (Mumbai)</w:t>
      </w:r>
      <w:r w:rsidR="00F962A5">
        <w:t xml:space="preserve"> </w:t>
      </w:r>
      <w:r>
        <w:t>&amp;</w:t>
      </w:r>
      <w:r w:rsidR="00F962A5">
        <w:t xml:space="preserve"> </w:t>
      </w:r>
      <w:r>
        <w:t>Suggestions to Streamline</w:t>
      </w:r>
      <w:r w:rsidR="00F962A5">
        <w:t xml:space="preserve"> </w:t>
      </w:r>
      <w:r>
        <w:t>the System</w:t>
      </w:r>
      <w:r w:rsidR="00F962A5">
        <w:t xml:space="preserve"> </w:t>
      </w:r>
      <w:r>
        <w:t>Approval Process for Real Estate</w:t>
      </w:r>
      <w:r w:rsidR="00F962A5">
        <w:t xml:space="preserve"> </w:t>
      </w:r>
      <w:r>
        <w:t>Projects in Maharashtra</w:t>
      </w:r>
      <w:r w:rsidR="00F962A5">
        <w:t xml:space="preserve"> </w:t>
      </w:r>
      <w:r>
        <w:t>(Mumbai)</w:t>
      </w:r>
    </w:p>
    <w:p w:rsidR="00F962A5" w:rsidRDefault="00F962A5" w:rsidP="00073E6A">
      <w:pPr>
        <w:sectPr w:rsidR="00F962A5" w:rsidSect="006B07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962A5" w:rsidRDefault="00F962A5" w:rsidP="00073E6A">
      <w:pPr>
        <w:sectPr w:rsidR="00F962A5" w:rsidSect="003E5B59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073E6A" w:rsidRDefault="00073E6A" w:rsidP="00F962A5">
      <w:pPr>
        <w:pStyle w:val="Heading1"/>
      </w:pPr>
      <w:r>
        <w:lastRenderedPageBreak/>
        <w:t>Ownership Certificate/Extract</w:t>
      </w:r>
    </w:p>
    <w:p w:rsidR="00073E6A" w:rsidRDefault="00073E6A" w:rsidP="00F962A5">
      <w:pPr>
        <w:pStyle w:val="ListParagraph"/>
        <w:numPr>
          <w:ilvl w:val="0"/>
          <w:numId w:val="2"/>
        </w:numPr>
      </w:pPr>
      <w:r>
        <w:t>Time required</w:t>
      </w:r>
      <w:r w:rsidR="0092603E">
        <w:t xml:space="preserve"> – </w:t>
      </w:r>
      <w:r>
        <w:t>15 Days</w:t>
      </w:r>
    </w:p>
    <w:p w:rsidR="00073E6A" w:rsidRDefault="00073E6A" w:rsidP="00F962A5">
      <w:pPr>
        <w:pStyle w:val="ListParagraph"/>
        <w:numPr>
          <w:ilvl w:val="0"/>
          <w:numId w:val="2"/>
        </w:numPr>
      </w:pPr>
      <w:r>
        <w:t>Cost for obtaining approval: Rs. 50 per CTS No. / Property Registration Card</w:t>
      </w:r>
    </w:p>
    <w:p w:rsidR="00073E6A" w:rsidRDefault="00073E6A" w:rsidP="00F962A5">
      <w:pPr>
        <w:pStyle w:val="ListParagraph"/>
        <w:numPr>
          <w:ilvl w:val="0"/>
          <w:numId w:val="2"/>
        </w:numPr>
      </w:pPr>
      <w:r>
        <w:t>Grant of Permission by Revenue Department</w:t>
      </w:r>
    </w:p>
    <w:p w:rsidR="00073E6A" w:rsidRDefault="00073E6A" w:rsidP="00F962A5">
      <w:pPr>
        <w:pStyle w:val="Heading1"/>
      </w:pPr>
      <w:r>
        <w:t>Building Layout Approval</w:t>
      </w:r>
    </w:p>
    <w:p w:rsidR="00073E6A" w:rsidRDefault="00073E6A" w:rsidP="00F962A5">
      <w:pPr>
        <w:pStyle w:val="ListParagraph"/>
        <w:numPr>
          <w:ilvl w:val="0"/>
          <w:numId w:val="3"/>
        </w:numPr>
      </w:pPr>
      <w:r>
        <w:t xml:space="preserve">Time required </w:t>
      </w:r>
      <w:r w:rsidR="0092603E">
        <w:t>–</w:t>
      </w:r>
      <w:r>
        <w:t xml:space="preserve"> 1 month</w:t>
      </w:r>
    </w:p>
    <w:p w:rsidR="00073E6A" w:rsidRDefault="00073E6A" w:rsidP="00F962A5">
      <w:pPr>
        <w:pStyle w:val="ListParagraph"/>
        <w:numPr>
          <w:ilvl w:val="0"/>
          <w:numId w:val="3"/>
        </w:numPr>
      </w:pPr>
      <w:r>
        <w:t>Cost for obtaining approval: Application fee of Rs 28 per square meter of plot/built up area</w:t>
      </w:r>
      <w:r w:rsidR="00F962A5">
        <w:t xml:space="preserve"> </w:t>
      </w:r>
      <w:r>
        <w:t>whichever is larger for residential projects or Rs 56 per square meter for commercial projects)</w:t>
      </w:r>
    </w:p>
    <w:p w:rsidR="00073E6A" w:rsidRDefault="00073E6A" w:rsidP="00F962A5">
      <w:pPr>
        <w:pStyle w:val="ListParagraph"/>
        <w:numPr>
          <w:ilvl w:val="0"/>
          <w:numId w:val="3"/>
        </w:numPr>
      </w:pPr>
      <w:r>
        <w:t>Grant of Permission by Development Authority/Municipality</w:t>
      </w:r>
    </w:p>
    <w:p w:rsidR="00F962A5" w:rsidRDefault="00073E6A" w:rsidP="00073E6A">
      <w:r>
        <w:t>The building company submits an application form with plans and all required documents, as</w:t>
      </w:r>
      <w:r w:rsidR="00F962A5">
        <w:t xml:space="preserve"> </w:t>
      </w:r>
      <w:r>
        <w:t xml:space="preserve">prescribed by Section 373 of the BMC Act, at the </w:t>
      </w:r>
      <w:proofErr w:type="spellStart"/>
      <w:r>
        <w:t>Andheri</w:t>
      </w:r>
      <w:proofErr w:type="spellEnd"/>
      <w:r>
        <w:t xml:space="preserve"> Building Proposal Office of the BMC. If all</w:t>
      </w:r>
      <w:r w:rsidR="00F962A5">
        <w:t xml:space="preserve"> </w:t>
      </w:r>
      <w:r>
        <w:t>documents are in order and the file is complete, the building company can proceed to payment of</w:t>
      </w:r>
      <w:r w:rsidR="00F962A5">
        <w:t xml:space="preserve"> </w:t>
      </w:r>
      <w:r>
        <w:t>the scrutiny fees. Once the fees have been paid, the application file is forwarded to the concerned</w:t>
      </w:r>
      <w:r w:rsidR="00F962A5">
        <w:t xml:space="preserve"> </w:t>
      </w:r>
      <w:r>
        <w:t>officer in the Building Proposal Department. Then the file is forwarded to the Survey Office, which</w:t>
      </w:r>
      <w:r w:rsidR="00F962A5">
        <w:t xml:space="preserve"> </w:t>
      </w:r>
      <w:r>
        <w:t>make its remarks on the application file and check the remarks from the Development Plan office</w:t>
      </w:r>
      <w:r w:rsidR="00F962A5">
        <w:t xml:space="preserve"> </w:t>
      </w:r>
      <w:r>
        <w:t>(obtained during the design stage of the project). If the Survey Office is satisfied with its review, it</w:t>
      </w:r>
      <w:r w:rsidR="00F962A5">
        <w:t xml:space="preserve"> </w:t>
      </w:r>
      <w:r>
        <w:t>will send the application file back to the Building Proposal Department within one week.</w:t>
      </w:r>
    </w:p>
    <w:p w:rsidR="00073E6A" w:rsidRPr="00F962A5" w:rsidRDefault="00073E6A" w:rsidP="00073E6A">
      <w:pPr>
        <w:rPr>
          <w:b/>
        </w:rPr>
      </w:pPr>
      <w:r w:rsidRPr="00F962A5">
        <w:rPr>
          <w:b/>
        </w:rPr>
        <w:t>Receive site inspection from the Building Proposal Office of the BMC (Municipal)</w:t>
      </w:r>
    </w:p>
    <w:p w:rsidR="00F962A5" w:rsidRDefault="00073E6A" w:rsidP="00073E6A">
      <w:r>
        <w:t>A sub-engineer from the Building Proposal Office will conduct a site inspection within 3 to 4 days of</w:t>
      </w:r>
      <w:r w:rsidR="00F962A5">
        <w:t xml:space="preserve"> </w:t>
      </w:r>
      <w:r>
        <w:t>receiving the file from the survey office. The date and time of the site inspection are arranged by the</w:t>
      </w:r>
      <w:r w:rsidR="00F962A5">
        <w:t xml:space="preserve"> </w:t>
      </w:r>
      <w:r>
        <w:t>company’s architect. The building company must be on-site when the inspection takes place. The</w:t>
      </w:r>
      <w:r w:rsidR="00F962A5">
        <w:t xml:space="preserve"> </w:t>
      </w:r>
      <w:r>
        <w:t>sub-engineer scrutinizes the potential of the plot including the provision of civic infrastructure.</w:t>
      </w:r>
    </w:p>
    <w:p w:rsidR="00300A76" w:rsidRDefault="00300A76">
      <w:pPr>
        <w:jc w:val="left"/>
      </w:pPr>
      <w:r>
        <w:br w:type="page"/>
      </w:r>
    </w:p>
    <w:p w:rsidR="00073E6A" w:rsidRDefault="00073E6A" w:rsidP="00F962A5">
      <w:pPr>
        <w:pStyle w:val="Heading1"/>
      </w:pPr>
      <w:r>
        <w:lastRenderedPageBreak/>
        <w:t>Obtain "intimation of disapproval" (building permit) from the Building Proposal Office</w:t>
      </w:r>
    </w:p>
    <w:p w:rsidR="00073E6A" w:rsidRDefault="00073E6A" w:rsidP="00F962A5">
      <w:pPr>
        <w:pStyle w:val="ListParagraph"/>
        <w:numPr>
          <w:ilvl w:val="0"/>
          <w:numId w:val="4"/>
        </w:numPr>
      </w:pPr>
      <w:r>
        <w:t>Time to complete – 30 - 45days</w:t>
      </w:r>
    </w:p>
    <w:p w:rsidR="00073E6A" w:rsidRDefault="00073E6A" w:rsidP="00073E6A">
      <w:pPr>
        <w:pStyle w:val="ListParagraph"/>
        <w:numPr>
          <w:ilvl w:val="0"/>
          <w:numId w:val="4"/>
        </w:numPr>
      </w:pPr>
      <w:r>
        <w:t>Cost for IOD</w:t>
      </w:r>
      <w:r w:rsidR="0092603E">
        <w:t xml:space="preserve"> –</w:t>
      </w:r>
      <w:r>
        <w:t xml:space="preserve"> Scrutiny fee of Rs 33 per </w:t>
      </w:r>
      <w:proofErr w:type="spellStart"/>
      <w:r>
        <w:t>sqmt</w:t>
      </w:r>
      <w:proofErr w:type="spellEnd"/>
      <w:r>
        <w:t xml:space="preserve"> for residential and Rs 66 per </w:t>
      </w:r>
      <w:proofErr w:type="spellStart"/>
      <w:r>
        <w:t>sqmt</w:t>
      </w:r>
      <w:proofErr w:type="spellEnd"/>
      <w:r>
        <w:t xml:space="preserve"> for commercial</w:t>
      </w:r>
      <w:r w:rsidR="00F962A5">
        <w:t xml:space="preserve"> </w:t>
      </w:r>
      <w:r>
        <w:t xml:space="preserve">and Development charges of Rs 350 per </w:t>
      </w:r>
      <w:proofErr w:type="spellStart"/>
      <w:r>
        <w:t>sqmt</w:t>
      </w:r>
      <w:proofErr w:type="spellEnd"/>
      <w:r>
        <w:t xml:space="preserve"> for residential and Rs 700 for commercial.</w:t>
      </w:r>
    </w:p>
    <w:p w:rsidR="00073E6A" w:rsidRDefault="00073E6A" w:rsidP="00073E6A">
      <w:r>
        <w:t>After the site inspection, the application file returns to the Building Proposal Office to receive an</w:t>
      </w:r>
      <w:r w:rsidR="00F962A5">
        <w:t xml:space="preserve"> </w:t>
      </w:r>
      <w:r>
        <w:t>intimation of disapproval (authorization). The concerned sub engineer scrutinizes the proposal and</w:t>
      </w:r>
      <w:r w:rsidR="00F962A5">
        <w:t xml:space="preserve"> </w:t>
      </w:r>
      <w:r>
        <w:t>forwards the report to the assistant engineer and executive engineers. The proposal is approved at</w:t>
      </w:r>
      <w:r w:rsidR="00F962A5">
        <w:t xml:space="preserve"> </w:t>
      </w:r>
      <w:r>
        <w:t>the executive engineer’s level if no concessions are involved. The intimation of disapproval is issued</w:t>
      </w:r>
      <w:r w:rsidR="00F962A5">
        <w:t xml:space="preserve"> </w:t>
      </w:r>
      <w:r>
        <w:t>with a list of "no-objection certificates" (NOCs) which the applicant must obtain separately from</w:t>
      </w:r>
      <w:r w:rsidR="00F962A5">
        <w:t xml:space="preserve"> </w:t>
      </w:r>
      <w:r>
        <w:t>various departments and government authorities. Final clearance to build (Commencement</w:t>
      </w:r>
      <w:r w:rsidR="00F962A5">
        <w:t xml:space="preserve"> </w:t>
      </w:r>
      <w:r>
        <w:t>Certificate) will only be given once the company obtains all NOCs and meet all IOD conditions. There</w:t>
      </w:r>
      <w:r w:rsidR="00F962A5">
        <w:t xml:space="preserve"> </w:t>
      </w:r>
      <w:r>
        <w:t>are about 40 IOD conditions to be met by the builder to be eligible for applying for commencement</w:t>
      </w:r>
      <w:r w:rsidR="00F962A5">
        <w:t xml:space="preserve"> </w:t>
      </w:r>
      <w:r>
        <w:t>certificate (CC). Major NOCs/IOD conditions are listed below:</w:t>
      </w:r>
    </w:p>
    <w:p w:rsidR="00073E6A" w:rsidRDefault="00F962A5" w:rsidP="00F962A5">
      <w:pPr>
        <w:pStyle w:val="ListParagraph"/>
        <w:numPr>
          <w:ilvl w:val="0"/>
          <w:numId w:val="5"/>
        </w:numPr>
      </w:pPr>
      <w:r>
        <w:t>N</w:t>
      </w:r>
      <w:r w:rsidR="00073E6A">
        <w:t>on-Agriculture (NA) permission</w:t>
      </w:r>
    </w:p>
    <w:p w:rsidR="00073E6A" w:rsidRDefault="00073E6A" w:rsidP="00F962A5">
      <w:pPr>
        <w:pStyle w:val="ListParagraph"/>
        <w:numPr>
          <w:ilvl w:val="0"/>
          <w:numId w:val="5"/>
        </w:numPr>
      </w:pPr>
      <w:r>
        <w:t>Tree Authority</w:t>
      </w:r>
    </w:p>
    <w:p w:rsidR="00073E6A" w:rsidRDefault="00073E6A" w:rsidP="00F962A5">
      <w:pPr>
        <w:pStyle w:val="ListParagraph"/>
        <w:numPr>
          <w:ilvl w:val="0"/>
          <w:numId w:val="5"/>
        </w:numPr>
      </w:pPr>
      <w:r>
        <w:t>Storm Water and Drain Department</w:t>
      </w:r>
    </w:p>
    <w:p w:rsidR="00073E6A" w:rsidRDefault="00073E6A" w:rsidP="00F962A5">
      <w:pPr>
        <w:pStyle w:val="ListParagraph"/>
        <w:numPr>
          <w:ilvl w:val="0"/>
          <w:numId w:val="5"/>
        </w:numPr>
      </w:pPr>
      <w:r>
        <w:t>Sewerage Department</w:t>
      </w:r>
    </w:p>
    <w:p w:rsidR="00073E6A" w:rsidRDefault="00073E6A" w:rsidP="00F962A5">
      <w:pPr>
        <w:pStyle w:val="ListParagraph"/>
        <w:numPr>
          <w:ilvl w:val="0"/>
          <w:numId w:val="5"/>
        </w:numPr>
      </w:pPr>
      <w:r>
        <w:t>Hydraulic Department</w:t>
      </w:r>
    </w:p>
    <w:p w:rsidR="00073E6A" w:rsidRDefault="00073E6A" w:rsidP="00F962A5">
      <w:pPr>
        <w:pStyle w:val="ListParagraph"/>
        <w:numPr>
          <w:ilvl w:val="0"/>
          <w:numId w:val="5"/>
        </w:numPr>
      </w:pPr>
      <w:r>
        <w:t>Environmental Department (concerned with debris management)</w:t>
      </w:r>
    </w:p>
    <w:p w:rsidR="00073E6A" w:rsidRDefault="00073E6A" w:rsidP="00F962A5">
      <w:pPr>
        <w:pStyle w:val="ListParagraph"/>
        <w:numPr>
          <w:ilvl w:val="0"/>
          <w:numId w:val="5"/>
        </w:numPr>
      </w:pPr>
      <w:r>
        <w:t>Consent to Establish &amp; Operate</w:t>
      </w:r>
    </w:p>
    <w:p w:rsidR="00073E6A" w:rsidRDefault="00073E6A" w:rsidP="00F962A5">
      <w:pPr>
        <w:pStyle w:val="ListParagraph"/>
        <w:numPr>
          <w:ilvl w:val="0"/>
          <w:numId w:val="5"/>
        </w:numPr>
      </w:pPr>
      <w:r>
        <w:t>Ancient Monument Approval</w:t>
      </w:r>
    </w:p>
    <w:p w:rsidR="00073E6A" w:rsidRDefault="00073E6A" w:rsidP="00F962A5">
      <w:pPr>
        <w:pStyle w:val="ListParagraph"/>
        <w:numPr>
          <w:ilvl w:val="0"/>
          <w:numId w:val="5"/>
        </w:numPr>
      </w:pPr>
      <w:r>
        <w:t>Airports Authority of India</w:t>
      </w:r>
    </w:p>
    <w:p w:rsidR="00073E6A" w:rsidRDefault="00073E6A" w:rsidP="00F962A5">
      <w:pPr>
        <w:pStyle w:val="ListParagraph"/>
        <w:numPr>
          <w:ilvl w:val="0"/>
          <w:numId w:val="5"/>
        </w:numPr>
      </w:pPr>
      <w:r>
        <w:t>Traffic and Coordination Department</w:t>
      </w:r>
    </w:p>
    <w:p w:rsidR="00073E6A" w:rsidRDefault="00073E6A" w:rsidP="00F962A5">
      <w:pPr>
        <w:pStyle w:val="ListParagraph"/>
        <w:numPr>
          <w:ilvl w:val="0"/>
          <w:numId w:val="5"/>
        </w:numPr>
      </w:pPr>
      <w:r>
        <w:t>CFO (fire clearance)</w:t>
      </w:r>
    </w:p>
    <w:p w:rsidR="00073E6A" w:rsidRDefault="00073E6A" w:rsidP="00F962A5">
      <w:pPr>
        <w:pStyle w:val="ListParagraph"/>
        <w:numPr>
          <w:ilvl w:val="0"/>
          <w:numId w:val="5"/>
        </w:numPr>
      </w:pPr>
      <w:r>
        <w:t>Structural Plan Approval</w:t>
      </w:r>
    </w:p>
    <w:p w:rsidR="00073E6A" w:rsidRDefault="00073E6A" w:rsidP="00F962A5">
      <w:pPr>
        <w:pStyle w:val="Heading1"/>
      </w:pPr>
      <w:r>
        <w:t>Submit structural plans approved by a structural engineer to the BMC (Municipal)</w:t>
      </w:r>
    </w:p>
    <w:p w:rsidR="00073E6A" w:rsidRDefault="00073E6A" w:rsidP="00073E6A">
      <w:r>
        <w:t>The Intimation of Disapproval (IOD) is only an approval of the civil plans. Review of the structural</w:t>
      </w:r>
      <w:r w:rsidR="00F962A5">
        <w:t xml:space="preserve"> </w:t>
      </w:r>
      <w:r>
        <w:t>plans is done in parallel with the NOC process. No approval to this plan is required from the</w:t>
      </w:r>
      <w:r w:rsidR="00F962A5">
        <w:t xml:space="preserve"> </w:t>
      </w:r>
      <w:r>
        <w:t>Municipal Corporation but copies are required to be submitted.</w:t>
      </w:r>
    </w:p>
    <w:p w:rsidR="00300A76" w:rsidRDefault="00300A76">
      <w:pPr>
        <w:jc w:val="left"/>
      </w:pPr>
      <w:r>
        <w:br w:type="page"/>
      </w:r>
    </w:p>
    <w:p w:rsidR="00073E6A" w:rsidRDefault="00073E6A" w:rsidP="00F962A5">
      <w:pPr>
        <w:pStyle w:val="Heading1"/>
      </w:pPr>
      <w:r>
        <w:lastRenderedPageBreak/>
        <w:t>Non-Agriculture Permission</w:t>
      </w:r>
    </w:p>
    <w:p w:rsidR="00073E6A" w:rsidRDefault="00073E6A" w:rsidP="00F962A5">
      <w:pPr>
        <w:pStyle w:val="ListParagraph"/>
        <w:numPr>
          <w:ilvl w:val="0"/>
          <w:numId w:val="6"/>
        </w:numPr>
      </w:pPr>
      <w:r>
        <w:t>Time required</w:t>
      </w:r>
      <w:r w:rsidR="0092603E">
        <w:t xml:space="preserve"> –</w:t>
      </w:r>
      <w:r>
        <w:t xml:space="preserve"> Minimum of 3 months. It depends on compliance of other conditions</w:t>
      </w:r>
    </w:p>
    <w:p w:rsidR="00073E6A" w:rsidRDefault="00073E6A" w:rsidP="00F962A5">
      <w:pPr>
        <w:pStyle w:val="ListParagraph"/>
        <w:numPr>
          <w:ilvl w:val="0"/>
          <w:numId w:val="6"/>
        </w:numPr>
      </w:pPr>
      <w:r>
        <w:t>Cost for obtaining approval</w:t>
      </w:r>
      <w:r w:rsidR="0092603E">
        <w:t xml:space="preserve"> –</w:t>
      </w:r>
      <w:r>
        <w:t xml:space="preserve"> It depends on the location of the project and ranges between Rs 2-8</w:t>
      </w:r>
      <w:r w:rsidR="00F962A5">
        <w:t xml:space="preserve"> </w:t>
      </w:r>
      <w:r>
        <w:t xml:space="preserve">per </w:t>
      </w:r>
      <w:proofErr w:type="spellStart"/>
      <w:r>
        <w:t>sqft</w:t>
      </w:r>
      <w:proofErr w:type="spellEnd"/>
      <w:r>
        <w:t>.</w:t>
      </w:r>
    </w:p>
    <w:p w:rsidR="00073E6A" w:rsidRDefault="00073E6A" w:rsidP="00F962A5">
      <w:pPr>
        <w:pStyle w:val="ListParagraph"/>
        <w:numPr>
          <w:ilvl w:val="0"/>
          <w:numId w:val="6"/>
        </w:numPr>
      </w:pPr>
      <w:r>
        <w:t>Grant of Permission by Revenue Department</w:t>
      </w:r>
    </w:p>
    <w:p w:rsidR="00073E6A" w:rsidRDefault="00073E6A" w:rsidP="00F962A5">
      <w:pPr>
        <w:pStyle w:val="ListParagraph"/>
        <w:numPr>
          <w:ilvl w:val="0"/>
          <w:numId w:val="6"/>
        </w:numPr>
      </w:pPr>
      <w:r>
        <w:t>Procedur</w:t>
      </w:r>
      <w:r w:rsidR="0092603E">
        <w:t>e is time taking and cumbersome</w:t>
      </w:r>
    </w:p>
    <w:p w:rsidR="00073E6A" w:rsidRDefault="00073E6A" w:rsidP="00F962A5">
      <w:pPr>
        <w:pStyle w:val="Heading1"/>
      </w:pPr>
      <w:r>
        <w:t>Obtain "no-objection certificate" NOC from the Tree Authority (Municipal)</w:t>
      </w:r>
    </w:p>
    <w:p w:rsidR="00073E6A" w:rsidRDefault="00073E6A" w:rsidP="00F962A5">
      <w:pPr>
        <w:pStyle w:val="ListParagraph"/>
        <w:numPr>
          <w:ilvl w:val="0"/>
          <w:numId w:val="7"/>
        </w:numPr>
      </w:pPr>
      <w:r>
        <w:t xml:space="preserve">Time required </w:t>
      </w:r>
      <w:r w:rsidR="0092603E">
        <w:t xml:space="preserve">– </w:t>
      </w:r>
      <w:r>
        <w:t>30-60 days</w:t>
      </w:r>
    </w:p>
    <w:p w:rsidR="00073E6A" w:rsidRDefault="00073E6A" w:rsidP="00F962A5">
      <w:pPr>
        <w:pStyle w:val="ListParagraph"/>
        <w:numPr>
          <w:ilvl w:val="0"/>
          <w:numId w:val="7"/>
        </w:numPr>
      </w:pPr>
      <w:r>
        <w:t xml:space="preserve">Cost for obtaining approval </w:t>
      </w:r>
      <w:r w:rsidR="0092603E">
        <w:t>–</w:t>
      </w:r>
      <w:r>
        <w:t xml:space="preserve"> INR 4,000 (per tree)</w:t>
      </w:r>
    </w:p>
    <w:p w:rsidR="00073E6A" w:rsidRDefault="00073E6A" w:rsidP="00F962A5">
      <w:pPr>
        <w:pStyle w:val="ListParagraph"/>
        <w:numPr>
          <w:ilvl w:val="0"/>
          <w:numId w:val="7"/>
        </w:numPr>
      </w:pPr>
      <w:r>
        <w:t>Approving Authority</w:t>
      </w:r>
      <w:r w:rsidR="0092603E">
        <w:t xml:space="preserve"> –</w:t>
      </w:r>
      <w:r>
        <w:t xml:space="preserve"> Tree Authority Committee of Municipal Corporation</w:t>
      </w:r>
    </w:p>
    <w:p w:rsidR="00073E6A" w:rsidRDefault="00073E6A" w:rsidP="00073E6A">
      <w:r>
        <w:t>Due to stringent environmental regulations, the building company must receive clearance from the</w:t>
      </w:r>
      <w:r w:rsidR="00F962A5">
        <w:t xml:space="preserve"> </w:t>
      </w:r>
      <w:r>
        <w:t>Tree Authority set up under the Maharashtra (urban areas) Preservation of Trees Act (1975). The</w:t>
      </w:r>
      <w:r w:rsidR="00F962A5">
        <w:t xml:space="preserve"> </w:t>
      </w:r>
      <w:r>
        <w:t>Tree Authority Commission only meets once a month. The Tree Authority must ascertain what trees</w:t>
      </w:r>
      <w:r w:rsidR="00F962A5">
        <w:t xml:space="preserve"> </w:t>
      </w:r>
      <w:r>
        <w:t>(if any) will be cut down as a result of construction. If trees are to be cut down, the building</w:t>
      </w:r>
      <w:r w:rsidR="00F962A5">
        <w:t xml:space="preserve"> </w:t>
      </w:r>
      <w:r>
        <w:t>company will have to plant trees to replace them.</w:t>
      </w:r>
    </w:p>
    <w:p w:rsidR="00073E6A" w:rsidRDefault="00073E6A" w:rsidP="00F962A5">
      <w:pPr>
        <w:pStyle w:val="Heading1"/>
      </w:pPr>
      <w:r>
        <w:t>Obtain NOC from the Storm Water and Drain Department (Municipal)</w:t>
      </w:r>
    </w:p>
    <w:p w:rsidR="00073E6A" w:rsidRDefault="00073E6A" w:rsidP="00F962A5">
      <w:pPr>
        <w:pStyle w:val="ListParagraph"/>
        <w:numPr>
          <w:ilvl w:val="0"/>
          <w:numId w:val="8"/>
        </w:numPr>
      </w:pPr>
      <w:r>
        <w:t>Time Required</w:t>
      </w:r>
      <w:r w:rsidR="0092603E">
        <w:t xml:space="preserve"> –</w:t>
      </w:r>
      <w:r>
        <w:t xml:space="preserve"> 15-30 Days</w:t>
      </w:r>
    </w:p>
    <w:p w:rsidR="00073E6A" w:rsidRDefault="00073E6A" w:rsidP="00F962A5">
      <w:pPr>
        <w:pStyle w:val="ListParagraph"/>
        <w:numPr>
          <w:ilvl w:val="0"/>
          <w:numId w:val="8"/>
        </w:numPr>
      </w:pPr>
      <w:r>
        <w:t>Cost for obtaining approval</w:t>
      </w:r>
      <w:r w:rsidR="0092603E">
        <w:t xml:space="preserve"> –</w:t>
      </w:r>
      <w:r>
        <w:t xml:space="preserve"> Scrutiny Fees INR 2/</w:t>
      </w:r>
      <w:proofErr w:type="spellStart"/>
      <w:r>
        <w:t>smt</w:t>
      </w:r>
      <w:proofErr w:type="spellEnd"/>
      <w:r>
        <w:t xml:space="preserve"> (BMC limit)</w:t>
      </w:r>
    </w:p>
    <w:p w:rsidR="00073E6A" w:rsidRDefault="00073E6A" w:rsidP="00F962A5">
      <w:pPr>
        <w:pStyle w:val="ListParagraph"/>
        <w:numPr>
          <w:ilvl w:val="0"/>
          <w:numId w:val="8"/>
        </w:numPr>
      </w:pPr>
      <w:r>
        <w:t>No cost for this NOC but BMC i</w:t>
      </w:r>
      <w:r w:rsidR="0092603E">
        <w:t>s considering imposing some fee</w:t>
      </w:r>
    </w:p>
    <w:p w:rsidR="00073E6A" w:rsidRDefault="00073E6A" w:rsidP="00F962A5">
      <w:pPr>
        <w:pStyle w:val="Heading1"/>
      </w:pPr>
      <w:r>
        <w:t>Obtain NOC from the Sewerage Department (Municipal)</w:t>
      </w:r>
    </w:p>
    <w:p w:rsidR="00073E6A" w:rsidRDefault="00073E6A" w:rsidP="00F962A5">
      <w:pPr>
        <w:pStyle w:val="ListParagraph"/>
        <w:numPr>
          <w:ilvl w:val="0"/>
          <w:numId w:val="9"/>
        </w:numPr>
      </w:pPr>
      <w:r>
        <w:t>Time Required</w:t>
      </w:r>
      <w:r w:rsidR="0092603E">
        <w:t xml:space="preserve"> –</w:t>
      </w:r>
      <w:r>
        <w:t xml:space="preserve"> 15-30 Days</w:t>
      </w:r>
    </w:p>
    <w:p w:rsidR="00073E6A" w:rsidRDefault="00073E6A" w:rsidP="00F962A5">
      <w:pPr>
        <w:pStyle w:val="Heading1"/>
      </w:pPr>
      <w:r>
        <w:t>Obtain NOC from the Electric Department (Municipal)</w:t>
      </w:r>
    </w:p>
    <w:p w:rsidR="00073E6A" w:rsidRDefault="00073E6A" w:rsidP="00073E6A">
      <w:r>
        <w:t>The electric consultant hired by the developer works out the load requirement, transformer capacity</w:t>
      </w:r>
      <w:r w:rsidR="00F962A5">
        <w:t xml:space="preserve"> </w:t>
      </w:r>
      <w:r>
        <w:t>etc. Load is sanctioned by the power distribution company. The building company will inform BEST</w:t>
      </w:r>
      <w:r w:rsidR="00F962A5">
        <w:t xml:space="preserve"> </w:t>
      </w:r>
      <w:r>
        <w:t>of the project's power requirements along with a copy of application submitted for building plan</w:t>
      </w:r>
      <w:r w:rsidR="00F962A5">
        <w:t xml:space="preserve"> </w:t>
      </w:r>
      <w:r>
        <w:t>approval. BEST will assess whether an electrical sub-station up-grade is required at this stage.</w:t>
      </w:r>
    </w:p>
    <w:p w:rsidR="00073E6A" w:rsidRDefault="00F962A5" w:rsidP="00F962A5">
      <w:pPr>
        <w:pStyle w:val="ListParagraph"/>
        <w:numPr>
          <w:ilvl w:val="0"/>
          <w:numId w:val="9"/>
        </w:numPr>
      </w:pPr>
      <w:r>
        <w:t>T</w:t>
      </w:r>
      <w:r w:rsidR="00073E6A">
        <w:t>ime Required</w:t>
      </w:r>
      <w:r w:rsidR="0092603E">
        <w:t xml:space="preserve"> –</w:t>
      </w:r>
      <w:r w:rsidR="00073E6A">
        <w:t xml:space="preserve"> 15-30 days</w:t>
      </w:r>
    </w:p>
    <w:p w:rsidR="00073E6A" w:rsidRDefault="00073E6A" w:rsidP="00073E6A">
      <w:pPr>
        <w:pStyle w:val="Heading1"/>
      </w:pPr>
      <w:r>
        <w:lastRenderedPageBreak/>
        <w:t>Obtain a "no-objection certificate" NOC from the Traffic and Coordination Department</w:t>
      </w:r>
      <w:r w:rsidR="00F962A5">
        <w:t xml:space="preserve"> </w:t>
      </w:r>
      <w:r>
        <w:t>(Municipal)</w:t>
      </w:r>
    </w:p>
    <w:p w:rsidR="00073E6A" w:rsidRDefault="00073E6A" w:rsidP="00F962A5">
      <w:pPr>
        <w:pStyle w:val="ListParagraph"/>
        <w:numPr>
          <w:ilvl w:val="0"/>
          <w:numId w:val="9"/>
        </w:numPr>
      </w:pPr>
      <w:r>
        <w:t>Time Required</w:t>
      </w:r>
      <w:r w:rsidR="0092603E">
        <w:t xml:space="preserve"> –</w:t>
      </w:r>
      <w:r>
        <w:t xml:space="preserve"> 30 days</w:t>
      </w:r>
    </w:p>
    <w:p w:rsidR="00073E6A" w:rsidRDefault="00073E6A" w:rsidP="00F962A5">
      <w:pPr>
        <w:pStyle w:val="Heading1"/>
      </w:pPr>
      <w:r>
        <w:t>Obtain a "no-objection certificate" NOC from the Chief Fire Officer (Municipal)</w:t>
      </w:r>
    </w:p>
    <w:p w:rsidR="00073E6A" w:rsidRDefault="00073E6A" w:rsidP="00073E6A">
      <w:r>
        <w:t>In Mumbai, buildings above 24 meters in height require Chief Fire Officer (CFO) clearance.</w:t>
      </w:r>
    </w:p>
    <w:p w:rsidR="00073E6A" w:rsidRDefault="00073E6A" w:rsidP="00F962A5">
      <w:pPr>
        <w:pStyle w:val="ListParagraph"/>
        <w:numPr>
          <w:ilvl w:val="0"/>
          <w:numId w:val="9"/>
        </w:numPr>
      </w:pPr>
      <w:r>
        <w:t>Time Required</w:t>
      </w:r>
      <w:r w:rsidR="0092603E">
        <w:t xml:space="preserve"> –</w:t>
      </w:r>
      <w:r>
        <w:t xml:space="preserve"> 30 days</w:t>
      </w:r>
    </w:p>
    <w:p w:rsidR="00073E6A" w:rsidRDefault="00073E6A" w:rsidP="00073E6A">
      <w:pPr>
        <w:pStyle w:val="ListParagraph"/>
        <w:numPr>
          <w:ilvl w:val="0"/>
          <w:numId w:val="9"/>
        </w:numPr>
      </w:pPr>
      <w:r>
        <w:t>Cost for obtaining approval</w:t>
      </w:r>
      <w:r w:rsidR="0092603E">
        <w:t xml:space="preserve"> –</w:t>
      </w:r>
      <w:r>
        <w:t xml:space="preserve"> Official cost is Rs. 50 per square meter. Cost varies between Rs.</w:t>
      </w:r>
      <w:r w:rsidR="00F962A5">
        <w:t xml:space="preserve"> </w:t>
      </w:r>
      <w:r w:rsidR="0092603E">
        <w:t>50,000 to Rs 1,00,000</w:t>
      </w:r>
    </w:p>
    <w:p w:rsidR="00073E6A" w:rsidRDefault="00F962A5" w:rsidP="00F962A5">
      <w:pPr>
        <w:pStyle w:val="Heading1"/>
      </w:pPr>
      <w:r>
        <w:t>Environment Clearance</w:t>
      </w:r>
    </w:p>
    <w:p w:rsidR="00073E6A" w:rsidRDefault="00073E6A" w:rsidP="00073E6A">
      <w:r>
        <w:t>The environment consultant hired by the company prepares the Environment Impact Assessment</w:t>
      </w:r>
      <w:r w:rsidR="00F962A5">
        <w:t xml:space="preserve"> </w:t>
      </w:r>
      <w:r>
        <w:t>Report which is submitted to the State level expert Appraisal Committee which refers it to the State</w:t>
      </w:r>
      <w:r w:rsidR="00F962A5">
        <w:t xml:space="preserve"> </w:t>
      </w:r>
      <w:r>
        <w:t>Environment Impact Assessment Authority (SEIAA). Costal Regulatory Zone (CRZ) clearance is also</w:t>
      </w:r>
      <w:r w:rsidR="00F962A5">
        <w:t xml:space="preserve"> </w:t>
      </w:r>
      <w:r>
        <w:t>obtained wherever required.</w:t>
      </w:r>
    </w:p>
    <w:p w:rsidR="00073E6A" w:rsidRDefault="00F962A5" w:rsidP="00073E6A">
      <w:pPr>
        <w:pStyle w:val="ListParagraph"/>
        <w:numPr>
          <w:ilvl w:val="0"/>
          <w:numId w:val="10"/>
        </w:numPr>
      </w:pPr>
      <w:r>
        <w:t>A</w:t>
      </w:r>
      <w:r w:rsidR="00073E6A">
        <w:t>pproving Authority</w:t>
      </w:r>
      <w:r w:rsidR="0092603E">
        <w:t xml:space="preserve"> –</w:t>
      </w:r>
      <w:r w:rsidR="00073E6A">
        <w:t xml:space="preserve"> Ministry of Environment/State Environment Impact Assessment Authority</w:t>
      </w:r>
      <w:r>
        <w:t xml:space="preserve"> </w:t>
      </w:r>
      <w:r w:rsidR="00073E6A">
        <w:t>(SEIAA)/ State level expert Appraisal Committee</w:t>
      </w:r>
    </w:p>
    <w:p w:rsidR="00073E6A" w:rsidRDefault="0092603E" w:rsidP="00F962A5">
      <w:pPr>
        <w:pStyle w:val="ListParagraph"/>
        <w:numPr>
          <w:ilvl w:val="0"/>
          <w:numId w:val="10"/>
        </w:numPr>
      </w:pPr>
      <w:r>
        <w:t>Time Required –</w:t>
      </w:r>
      <w:r w:rsidR="00073E6A">
        <w:t xml:space="preserve"> 3 months to 1 year</w:t>
      </w:r>
    </w:p>
    <w:p w:rsidR="00073E6A" w:rsidRDefault="00073E6A" w:rsidP="00F962A5">
      <w:pPr>
        <w:pStyle w:val="ListParagraph"/>
        <w:numPr>
          <w:ilvl w:val="0"/>
          <w:numId w:val="10"/>
        </w:numPr>
      </w:pPr>
      <w:r>
        <w:t>Cost for obtaining approval</w:t>
      </w:r>
      <w:r w:rsidR="0092603E">
        <w:t xml:space="preserve"> –</w:t>
      </w:r>
      <w:r>
        <w:t xml:space="preserve"> Charges depend on the size of project</w:t>
      </w:r>
    </w:p>
    <w:p w:rsidR="00073E6A" w:rsidRDefault="00F962A5" w:rsidP="00F962A5">
      <w:pPr>
        <w:pStyle w:val="Heading1"/>
      </w:pPr>
      <w:r>
        <w:t>Ancient Monument Approval</w:t>
      </w:r>
    </w:p>
    <w:p w:rsidR="00073E6A" w:rsidRDefault="00073E6A" w:rsidP="00F962A5">
      <w:pPr>
        <w:pStyle w:val="ListParagraph"/>
        <w:numPr>
          <w:ilvl w:val="0"/>
          <w:numId w:val="11"/>
        </w:numPr>
      </w:pPr>
      <w:r>
        <w:t>Approving Authority</w:t>
      </w:r>
      <w:r w:rsidR="0092603E">
        <w:t xml:space="preserve"> –</w:t>
      </w:r>
      <w:r>
        <w:t xml:space="preserve"> Archaeological Survey of India</w:t>
      </w:r>
    </w:p>
    <w:p w:rsidR="00073E6A" w:rsidRDefault="00073E6A" w:rsidP="00F962A5">
      <w:pPr>
        <w:pStyle w:val="ListParagraph"/>
        <w:numPr>
          <w:ilvl w:val="0"/>
          <w:numId w:val="11"/>
        </w:numPr>
      </w:pPr>
      <w:r>
        <w:t>Time Required</w:t>
      </w:r>
      <w:r w:rsidR="0092603E">
        <w:t xml:space="preserve"> –</w:t>
      </w:r>
      <w:r>
        <w:t xml:space="preserve"> 6 months</w:t>
      </w:r>
    </w:p>
    <w:p w:rsidR="00073E6A" w:rsidRDefault="00073E6A" w:rsidP="00F962A5">
      <w:pPr>
        <w:pStyle w:val="Heading1"/>
      </w:pPr>
      <w:r>
        <w:t>Consent to Establishment &amp; Operate</w:t>
      </w:r>
    </w:p>
    <w:p w:rsidR="00073E6A" w:rsidRDefault="00073E6A" w:rsidP="00073E6A">
      <w:r>
        <w:t>Ministry of Environment has authorized Pollution Control Board (PCB) to monitor the environment</w:t>
      </w:r>
      <w:r w:rsidR="00F962A5">
        <w:t xml:space="preserve"> </w:t>
      </w:r>
      <w:r>
        <w:t>related compliance by the developer which includes setting up of Sewage Treatment Plant (STP) etc.</w:t>
      </w:r>
    </w:p>
    <w:p w:rsidR="00073E6A" w:rsidRDefault="00073E6A" w:rsidP="00F962A5">
      <w:pPr>
        <w:pStyle w:val="ListParagraph"/>
        <w:numPr>
          <w:ilvl w:val="0"/>
          <w:numId w:val="12"/>
        </w:numPr>
      </w:pPr>
      <w:r>
        <w:t>Approving Authority</w:t>
      </w:r>
      <w:r w:rsidR="0092603E">
        <w:t xml:space="preserve"> –</w:t>
      </w:r>
      <w:r>
        <w:t xml:space="preserve"> Pollution Control Board</w:t>
      </w:r>
    </w:p>
    <w:p w:rsidR="00073E6A" w:rsidRDefault="00073E6A" w:rsidP="00F962A5">
      <w:pPr>
        <w:pStyle w:val="ListParagraph"/>
        <w:numPr>
          <w:ilvl w:val="0"/>
          <w:numId w:val="12"/>
        </w:numPr>
      </w:pPr>
      <w:r>
        <w:t>Time Required</w:t>
      </w:r>
      <w:r w:rsidR="0092603E">
        <w:t xml:space="preserve"> –</w:t>
      </w:r>
      <w:r>
        <w:t xml:space="preserve"> 2 months</w:t>
      </w:r>
    </w:p>
    <w:p w:rsidR="00073E6A" w:rsidRDefault="00073E6A" w:rsidP="00F962A5">
      <w:pPr>
        <w:pStyle w:val="Heading1"/>
      </w:pPr>
      <w:r>
        <w:t>NOC from Airport Authority of India</w:t>
      </w:r>
    </w:p>
    <w:p w:rsidR="00073E6A" w:rsidRDefault="00073E6A" w:rsidP="00F962A5">
      <w:pPr>
        <w:pStyle w:val="ListParagraph"/>
        <w:numPr>
          <w:ilvl w:val="0"/>
          <w:numId w:val="13"/>
        </w:numPr>
      </w:pPr>
      <w:r>
        <w:t>Approving Authority</w:t>
      </w:r>
      <w:r w:rsidR="0092603E">
        <w:t xml:space="preserve"> –</w:t>
      </w:r>
      <w:r>
        <w:t xml:space="preserve"> Civil Aviation Department</w:t>
      </w:r>
    </w:p>
    <w:p w:rsidR="00073E6A" w:rsidRDefault="0092603E" w:rsidP="00F962A5">
      <w:pPr>
        <w:pStyle w:val="ListParagraph"/>
        <w:numPr>
          <w:ilvl w:val="0"/>
          <w:numId w:val="13"/>
        </w:numPr>
      </w:pPr>
      <w:r>
        <w:t>Time Required –</w:t>
      </w:r>
      <w:r w:rsidR="00073E6A">
        <w:t xml:space="preserve"> 3-4 months</w:t>
      </w:r>
    </w:p>
    <w:p w:rsidR="00073E6A" w:rsidRDefault="00073E6A" w:rsidP="00073E6A">
      <w:pPr>
        <w:pStyle w:val="Heading1"/>
      </w:pPr>
      <w:r>
        <w:lastRenderedPageBreak/>
        <w:t>Obtain commencement certificate from the Building Proposal Office and pay development</w:t>
      </w:r>
      <w:r w:rsidR="00F962A5">
        <w:t xml:space="preserve"> </w:t>
      </w:r>
      <w:r>
        <w:t>charges (Municipal)</w:t>
      </w:r>
    </w:p>
    <w:p w:rsidR="00073E6A" w:rsidRDefault="0092603E" w:rsidP="00F962A5">
      <w:pPr>
        <w:pStyle w:val="ListParagraph"/>
        <w:numPr>
          <w:ilvl w:val="0"/>
          <w:numId w:val="14"/>
        </w:numPr>
      </w:pPr>
      <w:r>
        <w:t>Time required –</w:t>
      </w:r>
      <w:r w:rsidR="00073E6A">
        <w:t xml:space="preserve"> 15-30 days</w:t>
      </w:r>
    </w:p>
    <w:p w:rsidR="00073E6A" w:rsidRDefault="00073E6A" w:rsidP="00073E6A">
      <w:pPr>
        <w:pStyle w:val="ListParagraph"/>
        <w:numPr>
          <w:ilvl w:val="0"/>
          <w:numId w:val="14"/>
        </w:numPr>
      </w:pPr>
      <w:r>
        <w:t>Cost for obtaining approval</w:t>
      </w:r>
      <w:r w:rsidR="0092603E">
        <w:t xml:space="preserve"> –</w:t>
      </w:r>
      <w:r>
        <w:t xml:space="preserve"> 200 INR per square meter (land component) + 500 INR per square</w:t>
      </w:r>
      <w:r w:rsidR="00F962A5">
        <w:t xml:space="preserve"> </w:t>
      </w:r>
      <w:r w:rsidR="0092603E">
        <w:t>meter (building component)</w:t>
      </w:r>
    </w:p>
    <w:p w:rsidR="00073E6A" w:rsidRDefault="00073E6A" w:rsidP="00073E6A">
      <w:r>
        <w:t>On submission of all required NOCs and on compliance of the IOD conditions, the applicant may</w:t>
      </w:r>
      <w:r w:rsidR="00F962A5">
        <w:t xml:space="preserve"> </w:t>
      </w:r>
      <w:r>
        <w:t>submit request for the commencement certificate (CC). The documents and NOCs submitted by the</w:t>
      </w:r>
      <w:r w:rsidR="00F962A5">
        <w:t xml:space="preserve"> </w:t>
      </w:r>
      <w:r>
        <w:t>applicants are verified by the staff and the necessary commencement certificate is approved.</w:t>
      </w:r>
    </w:p>
    <w:p w:rsidR="00073E6A" w:rsidRDefault="00073E6A" w:rsidP="00073E6A">
      <w:r>
        <w:t>Commencement Certificate (CC) is given in two stages:</w:t>
      </w:r>
    </w:p>
    <w:p w:rsidR="00073E6A" w:rsidRDefault="00073E6A" w:rsidP="00F962A5">
      <w:pPr>
        <w:pStyle w:val="ListParagraph"/>
        <w:numPr>
          <w:ilvl w:val="0"/>
          <w:numId w:val="16"/>
        </w:numPr>
      </w:pPr>
      <w:r>
        <w:t xml:space="preserve">CC </w:t>
      </w:r>
      <w:proofErr w:type="spellStart"/>
      <w:r>
        <w:t>upto</w:t>
      </w:r>
      <w:proofErr w:type="spellEnd"/>
      <w:r>
        <w:t xml:space="preserve"> plinth level</w:t>
      </w:r>
    </w:p>
    <w:p w:rsidR="00073E6A" w:rsidRDefault="00073E6A" w:rsidP="00F962A5">
      <w:pPr>
        <w:pStyle w:val="ListParagraph"/>
        <w:numPr>
          <w:ilvl w:val="0"/>
          <w:numId w:val="16"/>
        </w:numPr>
      </w:pPr>
      <w:r>
        <w:t>CC beyond plinth level</w:t>
      </w:r>
    </w:p>
    <w:p w:rsidR="00073E6A" w:rsidRDefault="00073E6A" w:rsidP="00F962A5">
      <w:pPr>
        <w:pStyle w:val="Heading1"/>
      </w:pPr>
      <w:r>
        <w:t>Bore well Registration Certificate (Outside Municipal Limit)</w:t>
      </w:r>
    </w:p>
    <w:p w:rsidR="00073E6A" w:rsidRDefault="00073E6A" w:rsidP="00F962A5">
      <w:pPr>
        <w:pStyle w:val="ListParagraph"/>
        <w:numPr>
          <w:ilvl w:val="0"/>
          <w:numId w:val="17"/>
        </w:numPr>
      </w:pPr>
      <w:r>
        <w:t>Approving Authority</w:t>
      </w:r>
      <w:r w:rsidR="0092603E">
        <w:t xml:space="preserve"> –</w:t>
      </w:r>
      <w:r>
        <w:t xml:space="preserve"> Central Ground Water Authority</w:t>
      </w:r>
    </w:p>
    <w:p w:rsidR="00073E6A" w:rsidRDefault="00073E6A" w:rsidP="00F962A5">
      <w:pPr>
        <w:pStyle w:val="ListParagraph"/>
        <w:numPr>
          <w:ilvl w:val="0"/>
          <w:numId w:val="17"/>
        </w:numPr>
      </w:pPr>
      <w:r>
        <w:t>Time Required</w:t>
      </w:r>
      <w:r w:rsidR="0092603E">
        <w:t xml:space="preserve"> –</w:t>
      </w:r>
      <w:r>
        <w:t xml:space="preserve"> 60 days</w:t>
      </w:r>
    </w:p>
    <w:p w:rsidR="00073E6A" w:rsidRDefault="00073E6A" w:rsidP="00F962A5">
      <w:pPr>
        <w:pStyle w:val="ListParagraph"/>
        <w:numPr>
          <w:ilvl w:val="0"/>
          <w:numId w:val="17"/>
        </w:numPr>
      </w:pPr>
      <w:r>
        <w:t>Ground water extract</w:t>
      </w:r>
      <w:r w:rsidR="0092603E">
        <w:t>ion is not allowed in CRZ areas</w:t>
      </w:r>
    </w:p>
    <w:p w:rsidR="00073E6A" w:rsidRDefault="00073E6A" w:rsidP="00F962A5">
      <w:pPr>
        <w:pStyle w:val="Heading1"/>
      </w:pPr>
      <w:r>
        <w:t>NOC if near coastal Area</w:t>
      </w:r>
    </w:p>
    <w:p w:rsidR="00073E6A" w:rsidRDefault="0092603E" w:rsidP="00F962A5">
      <w:pPr>
        <w:pStyle w:val="ListParagraph"/>
        <w:numPr>
          <w:ilvl w:val="0"/>
          <w:numId w:val="18"/>
        </w:numPr>
      </w:pPr>
      <w:r>
        <w:t>Approving Authority –</w:t>
      </w:r>
      <w:r w:rsidR="00073E6A">
        <w:t xml:space="preserve"> Coastal Zone Management Authority</w:t>
      </w:r>
    </w:p>
    <w:p w:rsidR="00073E6A" w:rsidRDefault="0092603E" w:rsidP="00F962A5">
      <w:pPr>
        <w:pStyle w:val="ListParagraph"/>
        <w:numPr>
          <w:ilvl w:val="0"/>
          <w:numId w:val="18"/>
        </w:numPr>
      </w:pPr>
      <w:r>
        <w:t>Time Required –</w:t>
      </w:r>
      <w:r w:rsidR="00073E6A">
        <w:t xml:space="preserve"> 6 months</w:t>
      </w:r>
      <w:r w:rsidR="002A17BE">
        <w:t>-</w:t>
      </w:r>
      <w:r w:rsidR="00073E6A">
        <w:t>1 year (+)</w:t>
      </w:r>
    </w:p>
    <w:p w:rsidR="00073E6A" w:rsidRDefault="00073E6A" w:rsidP="00F962A5">
      <w:pPr>
        <w:pStyle w:val="ListParagraph"/>
        <w:numPr>
          <w:ilvl w:val="0"/>
          <w:numId w:val="18"/>
        </w:numPr>
      </w:pPr>
      <w:r>
        <w:t xml:space="preserve">Construction is not allowed </w:t>
      </w:r>
      <w:proofErr w:type="spellStart"/>
      <w:r>
        <w:t>upto</w:t>
      </w:r>
      <w:proofErr w:type="spellEnd"/>
      <w:r w:rsidR="0092603E">
        <w:t xml:space="preserve"> 500 meters from the coast line</w:t>
      </w:r>
    </w:p>
    <w:p w:rsidR="00073E6A" w:rsidRDefault="00073E6A" w:rsidP="0092603E">
      <w:pPr>
        <w:pStyle w:val="Heading1"/>
      </w:pPr>
      <w:r>
        <w:t>Permission for Excavation / Royalty payment</w:t>
      </w:r>
    </w:p>
    <w:p w:rsidR="00073E6A" w:rsidRDefault="0092603E" w:rsidP="0092603E">
      <w:pPr>
        <w:pStyle w:val="ListParagraph"/>
        <w:numPr>
          <w:ilvl w:val="0"/>
          <w:numId w:val="19"/>
        </w:numPr>
      </w:pPr>
      <w:r>
        <w:t>A</w:t>
      </w:r>
      <w:r w:rsidR="00073E6A">
        <w:t>pproving Authority</w:t>
      </w:r>
      <w:r w:rsidR="00622EA8">
        <w:t xml:space="preserve"> –</w:t>
      </w:r>
      <w:r w:rsidR="00073E6A">
        <w:t xml:space="preserve"> Collector &amp; Executive Engineer in the Ward Office (under the Mines &amp;</w:t>
      </w:r>
      <w:r>
        <w:t xml:space="preserve"> </w:t>
      </w:r>
      <w:r w:rsidR="00073E6A">
        <w:t>Minerals Act 1957)</w:t>
      </w:r>
    </w:p>
    <w:p w:rsidR="00073E6A" w:rsidRDefault="0092603E" w:rsidP="0092603E">
      <w:pPr>
        <w:pStyle w:val="ListParagraph"/>
        <w:numPr>
          <w:ilvl w:val="0"/>
          <w:numId w:val="19"/>
        </w:numPr>
      </w:pPr>
      <w:r>
        <w:t>Time Required –</w:t>
      </w:r>
      <w:r w:rsidR="00073E6A">
        <w:t xml:space="preserve"> 15</w:t>
      </w:r>
      <w:r>
        <w:t>-</w:t>
      </w:r>
      <w:r w:rsidR="00073E6A">
        <w:t>30 days</w:t>
      </w:r>
    </w:p>
    <w:p w:rsidR="00073E6A" w:rsidRDefault="00073E6A" w:rsidP="0092603E">
      <w:pPr>
        <w:pStyle w:val="Heading1"/>
      </w:pPr>
      <w:r>
        <w:t>Other Common Facilities Approval (Internal Infrastructure services)</w:t>
      </w:r>
    </w:p>
    <w:p w:rsidR="00073E6A" w:rsidRDefault="00073E6A" w:rsidP="0092603E">
      <w:pPr>
        <w:pStyle w:val="ListParagraph"/>
        <w:numPr>
          <w:ilvl w:val="0"/>
          <w:numId w:val="20"/>
        </w:numPr>
      </w:pPr>
      <w:r>
        <w:t>Approving Authority</w:t>
      </w:r>
      <w:r w:rsidR="0092603E">
        <w:t xml:space="preserve"> –</w:t>
      </w:r>
      <w:r>
        <w:t xml:space="preserve"> The concerned service provider for water, electricity &amp; telecom</w:t>
      </w:r>
    </w:p>
    <w:p w:rsidR="00073E6A" w:rsidRDefault="00073E6A" w:rsidP="0092603E">
      <w:pPr>
        <w:pStyle w:val="ListParagraph"/>
        <w:numPr>
          <w:ilvl w:val="0"/>
          <w:numId w:val="20"/>
        </w:numPr>
      </w:pPr>
      <w:r>
        <w:t>Time Required</w:t>
      </w:r>
      <w:r w:rsidR="0092603E">
        <w:t xml:space="preserve"> –</w:t>
      </w:r>
      <w:r>
        <w:t xml:space="preserve"> 30 days</w:t>
      </w:r>
    </w:p>
    <w:p w:rsidR="00073E6A" w:rsidRDefault="00073E6A" w:rsidP="0092603E">
      <w:pPr>
        <w:pStyle w:val="Heading1"/>
      </w:pPr>
      <w:r>
        <w:lastRenderedPageBreak/>
        <w:t>Road Access Highway / Expressway:</w:t>
      </w:r>
    </w:p>
    <w:p w:rsidR="00073E6A" w:rsidRDefault="00073E6A" w:rsidP="0092603E">
      <w:pPr>
        <w:pStyle w:val="ListParagraph"/>
        <w:numPr>
          <w:ilvl w:val="0"/>
          <w:numId w:val="21"/>
        </w:numPr>
      </w:pPr>
      <w:r>
        <w:t>Approving Authority</w:t>
      </w:r>
      <w:r w:rsidR="0092603E">
        <w:t xml:space="preserve"> –</w:t>
      </w:r>
      <w:r>
        <w:t xml:space="preserve"> NHAI/PWD</w:t>
      </w:r>
    </w:p>
    <w:p w:rsidR="00073E6A" w:rsidRDefault="0092603E" w:rsidP="0092603E">
      <w:pPr>
        <w:pStyle w:val="ListParagraph"/>
        <w:numPr>
          <w:ilvl w:val="0"/>
          <w:numId w:val="21"/>
        </w:numPr>
      </w:pPr>
      <w:r>
        <w:t>Time Required –</w:t>
      </w:r>
      <w:r w:rsidR="00073E6A">
        <w:t xml:space="preserve"> 60 days</w:t>
      </w:r>
    </w:p>
    <w:p w:rsidR="00073E6A" w:rsidRDefault="00073E6A" w:rsidP="0092603E">
      <w:pPr>
        <w:pStyle w:val="Heading1"/>
      </w:pPr>
      <w:r>
        <w:t>Lift Escalator Installation Approval (PWD / CPWD)</w:t>
      </w:r>
    </w:p>
    <w:p w:rsidR="00073E6A" w:rsidRDefault="0092603E" w:rsidP="0092603E">
      <w:pPr>
        <w:pStyle w:val="ListParagraph"/>
        <w:numPr>
          <w:ilvl w:val="0"/>
          <w:numId w:val="22"/>
        </w:numPr>
      </w:pPr>
      <w:r>
        <w:t>Approving Authority –</w:t>
      </w:r>
      <w:r w:rsidR="00073E6A">
        <w:t xml:space="preserve"> Public Works </w:t>
      </w:r>
      <w:proofErr w:type="spellStart"/>
      <w:r w:rsidR="00073E6A">
        <w:t>Deptt</w:t>
      </w:r>
      <w:proofErr w:type="spellEnd"/>
    </w:p>
    <w:p w:rsidR="00073E6A" w:rsidRDefault="0092603E" w:rsidP="0092603E">
      <w:pPr>
        <w:pStyle w:val="ListParagraph"/>
        <w:numPr>
          <w:ilvl w:val="0"/>
          <w:numId w:val="22"/>
        </w:numPr>
      </w:pPr>
      <w:r>
        <w:t>Time Required –</w:t>
      </w:r>
      <w:r w:rsidR="00073E6A">
        <w:t xml:space="preserve"> 30-45 days</w:t>
      </w:r>
    </w:p>
    <w:p w:rsidR="00073E6A" w:rsidRDefault="00073E6A" w:rsidP="0092603E">
      <w:pPr>
        <w:pStyle w:val="Heading1"/>
      </w:pPr>
      <w:r>
        <w:t>Electric substation NOC For all substation Transformers in building (Electric Service Provider)</w:t>
      </w:r>
    </w:p>
    <w:p w:rsidR="00073E6A" w:rsidRDefault="00073E6A" w:rsidP="0092603E">
      <w:pPr>
        <w:pStyle w:val="ListParagraph"/>
        <w:numPr>
          <w:ilvl w:val="0"/>
          <w:numId w:val="23"/>
        </w:numPr>
      </w:pPr>
      <w:r>
        <w:t>Approving Authority</w:t>
      </w:r>
      <w:r w:rsidR="0092603E">
        <w:t xml:space="preserve"> –</w:t>
      </w:r>
      <w:r>
        <w:t xml:space="preserve"> Electricity Distribution Authority</w:t>
      </w:r>
    </w:p>
    <w:p w:rsidR="00073E6A" w:rsidRDefault="0092603E" w:rsidP="0092603E">
      <w:pPr>
        <w:pStyle w:val="ListParagraph"/>
        <w:numPr>
          <w:ilvl w:val="0"/>
          <w:numId w:val="23"/>
        </w:numPr>
      </w:pPr>
      <w:r>
        <w:t>Time Required –</w:t>
      </w:r>
      <w:r w:rsidR="00073E6A">
        <w:t xml:space="preserve"> 15 days</w:t>
      </w:r>
    </w:p>
    <w:p w:rsidR="00073E6A" w:rsidRDefault="00073E6A" w:rsidP="0092603E">
      <w:pPr>
        <w:pStyle w:val="Heading1"/>
      </w:pPr>
      <w:r>
        <w:t>Obtain occupancy certificate from the BMC (Municipal)</w:t>
      </w:r>
    </w:p>
    <w:p w:rsidR="00073E6A" w:rsidRDefault="00073E6A" w:rsidP="0092603E">
      <w:pPr>
        <w:pStyle w:val="ListParagraph"/>
        <w:numPr>
          <w:ilvl w:val="0"/>
          <w:numId w:val="24"/>
        </w:numPr>
      </w:pPr>
      <w:r>
        <w:t>Time Required</w:t>
      </w:r>
      <w:r w:rsidR="0092603E">
        <w:t xml:space="preserve"> –</w:t>
      </w:r>
      <w:r>
        <w:t xml:space="preserve"> 60 days</w:t>
      </w:r>
    </w:p>
    <w:p w:rsidR="00073E6A" w:rsidRDefault="00073E6A" w:rsidP="00073E6A">
      <w:r>
        <w:t>The occupancy certificate allows the building company to occupy the building but is not considered</w:t>
      </w:r>
      <w:r w:rsidR="0092603E">
        <w:t xml:space="preserve"> </w:t>
      </w:r>
      <w:r>
        <w:t>a final document because the building company still requires the certificate of completion. The</w:t>
      </w:r>
      <w:r w:rsidR="0092603E">
        <w:t xml:space="preserve"> </w:t>
      </w:r>
      <w:r>
        <w:t>company's architect must submit a formal letter stating that construction has been completed</w:t>
      </w:r>
      <w:r w:rsidR="0092603E">
        <w:t xml:space="preserve"> </w:t>
      </w:r>
      <w:r>
        <w:t>according to the standards set forth in the IOD and CC.</w:t>
      </w:r>
    </w:p>
    <w:p w:rsidR="00073E6A" w:rsidRDefault="00073E6A" w:rsidP="0092603E">
      <w:pPr>
        <w:pStyle w:val="Heading1"/>
      </w:pPr>
      <w:r>
        <w:t>Obtain Building completion certificate from the BMC (Municipal)</w:t>
      </w:r>
    </w:p>
    <w:p w:rsidR="00073E6A" w:rsidRDefault="0092603E" w:rsidP="0092603E">
      <w:pPr>
        <w:pStyle w:val="ListParagraph"/>
        <w:numPr>
          <w:ilvl w:val="0"/>
          <w:numId w:val="24"/>
        </w:numPr>
      </w:pPr>
      <w:r>
        <w:t>Time Required –</w:t>
      </w:r>
      <w:r w:rsidR="00073E6A">
        <w:t xml:space="preserve"> 30 days</w:t>
      </w:r>
    </w:p>
    <w:p w:rsidR="00073E6A" w:rsidRDefault="00073E6A" w:rsidP="00073E6A">
      <w:r>
        <w:t>The completion certificate is considered to be the ultimate document that the building company</w:t>
      </w:r>
      <w:r w:rsidR="0092603E">
        <w:t xml:space="preserve"> </w:t>
      </w:r>
      <w:r>
        <w:t>requires to fully occupy the building and connect it to utilities.</w:t>
      </w:r>
    </w:p>
    <w:p w:rsidR="00073E6A" w:rsidRDefault="00073E6A" w:rsidP="00073E6A">
      <w:pPr>
        <w:pStyle w:val="Heading1"/>
      </w:pPr>
      <w:r>
        <w:t>Apply for permanent power connection and pay fees at Brihanmumbai Electric Supply and</w:t>
      </w:r>
      <w:r w:rsidR="0092603E">
        <w:t xml:space="preserve"> </w:t>
      </w:r>
      <w:r>
        <w:t>Transport (Municipal)</w:t>
      </w:r>
    </w:p>
    <w:p w:rsidR="00073E6A" w:rsidRDefault="0092603E" w:rsidP="0092603E">
      <w:pPr>
        <w:pStyle w:val="ListParagraph"/>
        <w:numPr>
          <w:ilvl w:val="0"/>
          <w:numId w:val="24"/>
        </w:numPr>
      </w:pPr>
      <w:r>
        <w:t>T</w:t>
      </w:r>
      <w:r w:rsidR="00073E6A">
        <w:t>ime Required</w:t>
      </w:r>
      <w:r>
        <w:t xml:space="preserve"> –</w:t>
      </w:r>
      <w:r w:rsidR="00073E6A">
        <w:t xml:space="preserve"> 30 days</w:t>
      </w:r>
    </w:p>
    <w:p w:rsidR="00073E6A" w:rsidRDefault="00073E6A" w:rsidP="00073E6A">
      <w:r>
        <w:t>The building company submits the application form along with a registration fee of INR 50. On</w:t>
      </w:r>
      <w:r w:rsidR="0092603E">
        <w:t xml:space="preserve"> </w:t>
      </w:r>
      <w:r>
        <w:t>submission, a receipt of the same is given along with a requisition number. Within one week</w:t>
      </w:r>
      <w:r w:rsidR="0092603E">
        <w:t xml:space="preserve"> </w:t>
      </w:r>
      <w:r>
        <w:t>(statutory time limit), an inspection takes place to verify if the structure is permanent and to</w:t>
      </w:r>
      <w:r w:rsidR="0092603E">
        <w:t xml:space="preserve"> </w:t>
      </w:r>
      <w:r>
        <w:t>account for the number of connections required, etc. Within a week, a requirement letter from BEST</w:t>
      </w:r>
      <w:r w:rsidR="0092603E">
        <w:t xml:space="preserve"> </w:t>
      </w:r>
      <w:r>
        <w:t>authorities is mailed to the applicant. This letter lists the documents and payment to obtain a power</w:t>
      </w:r>
      <w:r w:rsidR="0092603E">
        <w:t xml:space="preserve"> </w:t>
      </w:r>
      <w:r>
        <w:t>connection.</w:t>
      </w:r>
    </w:p>
    <w:p w:rsidR="00073E6A" w:rsidRDefault="00073E6A" w:rsidP="0092603E">
      <w:pPr>
        <w:pStyle w:val="Heading1"/>
      </w:pPr>
      <w:r>
        <w:lastRenderedPageBreak/>
        <w:t>Obtain permanent water connection (with inspection) (Municipal)</w:t>
      </w:r>
    </w:p>
    <w:p w:rsidR="00073E6A" w:rsidRDefault="00073E6A" w:rsidP="0092603E">
      <w:pPr>
        <w:pStyle w:val="ListParagraph"/>
        <w:numPr>
          <w:ilvl w:val="0"/>
          <w:numId w:val="24"/>
        </w:numPr>
      </w:pPr>
      <w:r>
        <w:t>Time to complete</w:t>
      </w:r>
      <w:r w:rsidR="0092603E">
        <w:t xml:space="preserve"> –</w:t>
      </w:r>
      <w:r>
        <w:t xml:space="preserve"> 45 days</w:t>
      </w:r>
    </w:p>
    <w:p w:rsidR="00073E6A" w:rsidRDefault="0092603E" w:rsidP="0092603E">
      <w:pPr>
        <w:pStyle w:val="ListParagraph"/>
        <w:numPr>
          <w:ilvl w:val="0"/>
          <w:numId w:val="24"/>
        </w:numPr>
      </w:pPr>
      <w:r>
        <w:t>Cost for obtaining approval –</w:t>
      </w:r>
      <w:r w:rsidR="00073E6A">
        <w:t xml:space="preserve"> INR 1,200 (connection fee)</w:t>
      </w:r>
    </w:p>
    <w:p w:rsidR="00073E6A" w:rsidRDefault="00073E6A" w:rsidP="0092603E">
      <w:pPr>
        <w:pStyle w:val="Heading1"/>
      </w:pPr>
      <w:r>
        <w:t>Obtain permanent sewerage connection (Municipal)</w:t>
      </w:r>
    </w:p>
    <w:p w:rsidR="00073E6A" w:rsidRDefault="00073E6A" w:rsidP="0092603E">
      <w:pPr>
        <w:pStyle w:val="ListParagraph"/>
        <w:numPr>
          <w:ilvl w:val="0"/>
          <w:numId w:val="25"/>
        </w:numPr>
      </w:pPr>
      <w:r>
        <w:t xml:space="preserve">Time to complete </w:t>
      </w:r>
      <w:r w:rsidR="0092603E">
        <w:t>–</w:t>
      </w:r>
      <w:r>
        <w:t xml:space="preserve"> 30 days</w:t>
      </w:r>
    </w:p>
    <w:p w:rsidR="00073E6A" w:rsidRDefault="0092603E" w:rsidP="0092603E">
      <w:pPr>
        <w:pStyle w:val="ListParagraph"/>
        <w:numPr>
          <w:ilvl w:val="0"/>
          <w:numId w:val="25"/>
        </w:numPr>
      </w:pPr>
      <w:r>
        <w:t>Cost for obtaining approval –</w:t>
      </w:r>
      <w:r w:rsidR="00073E6A">
        <w:t xml:space="preserve"> INR 50,000</w:t>
      </w:r>
    </w:p>
    <w:p w:rsidR="00073E6A" w:rsidRDefault="0092603E" w:rsidP="0092603E">
      <w:pPr>
        <w:pStyle w:val="Heading1"/>
      </w:pPr>
      <w:r>
        <w:t>Comments &amp; Suggestions</w:t>
      </w:r>
    </w:p>
    <w:p w:rsidR="0092603E" w:rsidRDefault="00073E6A" w:rsidP="0092603E">
      <w:pPr>
        <w:pStyle w:val="ListParagraph"/>
        <w:numPr>
          <w:ilvl w:val="0"/>
          <w:numId w:val="26"/>
        </w:numPr>
      </w:pPr>
      <w:r>
        <w:t>Approving Authorities should maintain time limit as prescribed in the rule book. If time limit is</w:t>
      </w:r>
      <w:r w:rsidR="0092603E">
        <w:t xml:space="preserve"> </w:t>
      </w:r>
      <w:r>
        <w:t>not prescribed, it should be for every approval procedure.</w:t>
      </w:r>
    </w:p>
    <w:p w:rsidR="00073E6A" w:rsidRDefault="00073E6A" w:rsidP="0092603E">
      <w:pPr>
        <w:pStyle w:val="ListParagraph"/>
        <w:numPr>
          <w:ilvl w:val="0"/>
          <w:numId w:val="26"/>
        </w:numPr>
      </w:pPr>
      <w:r>
        <w:t>If due to some reasons, approval cannot be given within prescribed time limit, it should be</w:t>
      </w:r>
      <w:r w:rsidR="0092603E">
        <w:t xml:space="preserve"> </w:t>
      </w:r>
      <w:r>
        <w:t>intimated to the applicant within first 10-15 days of submission of application.</w:t>
      </w:r>
    </w:p>
    <w:p w:rsidR="00073E6A" w:rsidRDefault="00073E6A" w:rsidP="0092603E">
      <w:pPr>
        <w:pStyle w:val="ListParagraph"/>
        <w:numPr>
          <w:ilvl w:val="0"/>
          <w:numId w:val="26"/>
        </w:numPr>
      </w:pPr>
      <w:r>
        <w:t>Documentation required at each stage of approval should be clearly laid down and adhered to.</w:t>
      </w:r>
      <w:r w:rsidR="0092603E">
        <w:t xml:space="preserve"> </w:t>
      </w:r>
      <w:r>
        <w:t>Developers should submit proper documents as required by the authorities to make the process</w:t>
      </w:r>
      <w:r w:rsidR="0092603E">
        <w:t xml:space="preserve"> </w:t>
      </w:r>
      <w:r>
        <w:t>less cumbersome.</w:t>
      </w:r>
    </w:p>
    <w:p w:rsidR="00073E6A" w:rsidRDefault="00073E6A" w:rsidP="0092603E">
      <w:pPr>
        <w:pStyle w:val="ListParagraph"/>
        <w:numPr>
          <w:ilvl w:val="0"/>
          <w:numId w:val="26"/>
        </w:numPr>
      </w:pPr>
      <w:r>
        <w:t>Official fees for approvals may be enhanced to increase the capacity of staff in municipalities.</w:t>
      </w:r>
    </w:p>
    <w:p w:rsidR="00073E6A" w:rsidRDefault="00073E6A" w:rsidP="0092603E">
      <w:pPr>
        <w:pStyle w:val="ListParagraph"/>
        <w:numPr>
          <w:ilvl w:val="0"/>
          <w:numId w:val="26"/>
        </w:numPr>
      </w:pPr>
      <w:r>
        <w:t>Infrastructure is not provided by the Government. Though provision of civic infrastructure by the</w:t>
      </w:r>
      <w:r w:rsidR="0092603E">
        <w:t xml:space="preserve"> </w:t>
      </w:r>
      <w:r>
        <w:t>developer in cities like Mumbai is manageable however, in the suburbs, provision of</w:t>
      </w:r>
      <w:r w:rsidR="0092603E">
        <w:t xml:space="preserve"> </w:t>
      </w:r>
      <w:r>
        <w:t>infrastructure solely by the developer is an arduous task leading to delays and other difficulties</w:t>
      </w:r>
      <w:r w:rsidR="0092603E">
        <w:t xml:space="preserve"> </w:t>
      </w:r>
      <w:r>
        <w:t>in its execution. Here the Government must lay down the infrastructure on priority.</w:t>
      </w:r>
    </w:p>
    <w:p w:rsidR="00073E6A" w:rsidRDefault="0092603E" w:rsidP="00622EA8">
      <w:pPr>
        <w:pStyle w:val="Heading2"/>
      </w:pPr>
      <w:r>
        <w:t>Streamlining of procedures</w:t>
      </w:r>
    </w:p>
    <w:p w:rsidR="00073E6A" w:rsidRDefault="00073E6A" w:rsidP="0092603E">
      <w:pPr>
        <w:pStyle w:val="ListParagraph"/>
        <w:numPr>
          <w:ilvl w:val="0"/>
          <w:numId w:val="28"/>
        </w:numPr>
      </w:pPr>
      <w:r>
        <w:t>Zonal Development Plan should be Airport Authority Cleared</w:t>
      </w:r>
    </w:p>
    <w:p w:rsidR="00073E6A" w:rsidRDefault="00073E6A" w:rsidP="0092603E">
      <w:pPr>
        <w:pStyle w:val="ListParagraph"/>
        <w:numPr>
          <w:ilvl w:val="0"/>
          <w:numId w:val="28"/>
        </w:numPr>
      </w:pPr>
      <w:r>
        <w:t>Building Plan could be passed and sanctioned by certified architects, monitoring of the project</w:t>
      </w:r>
      <w:r w:rsidR="0092603E">
        <w:t xml:space="preserve"> </w:t>
      </w:r>
      <w:r>
        <w:t>by municipality.</w:t>
      </w:r>
    </w:p>
    <w:p w:rsidR="00073E6A" w:rsidRDefault="00073E6A" w:rsidP="0092603E">
      <w:pPr>
        <w:pStyle w:val="ListParagraph"/>
        <w:numPr>
          <w:ilvl w:val="0"/>
          <w:numId w:val="28"/>
        </w:numPr>
      </w:pPr>
      <w:r>
        <w:t>Non-agriculture permission not required for land within Municipal Limits.</w:t>
      </w:r>
    </w:p>
    <w:p w:rsidR="00073E6A" w:rsidRPr="0092603E" w:rsidRDefault="00073E6A" w:rsidP="0092603E">
      <w:pPr>
        <w:ind w:left="720"/>
        <w:rPr>
          <w:b/>
        </w:rPr>
      </w:pPr>
      <w:r w:rsidRPr="0092603E">
        <w:rPr>
          <w:b/>
        </w:rPr>
        <w:t>Environment Clearance:</w:t>
      </w:r>
    </w:p>
    <w:p w:rsidR="00073E6A" w:rsidRDefault="00073E6A" w:rsidP="0092603E">
      <w:pPr>
        <w:pStyle w:val="ListParagraph"/>
        <w:numPr>
          <w:ilvl w:val="0"/>
          <w:numId w:val="27"/>
        </w:numPr>
      </w:pPr>
      <w:r>
        <w:t>MOEF should clear the Zonal Development Plan, no approvals for individual projects or;</w:t>
      </w:r>
    </w:p>
    <w:p w:rsidR="00073E6A" w:rsidRDefault="00073E6A" w:rsidP="0092603E">
      <w:pPr>
        <w:pStyle w:val="ListParagraph"/>
        <w:numPr>
          <w:ilvl w:val="0"/>
          <w:numId w:val="27"/>
        </w:numPr>
      </w:pPr>
      <w:r>
        <w:t>Local Development Authority be entrusted the task of environment clearance or;</w:t>
      </w:r>
    </w:p>
    <w:p w:rsidR="00073E6A" w:rsidRDefault="00073E6A" w:rsidP="0092603E">
      <w:pPr>
        <w:pStyle w:val="ListParagraph"/>
        <w:numPr>
          <w:ilvl w:val="0"/>
          <w:numId w:val="27"/>
        </w:numPr>
      </w:pPr>
      <w:r>
        <w:t xml:space="preserve">Projects above 50,000 sq </w:t>
      </w:r>
      <w:proofErr w:type="spellStart"/>
      <w:r>
        <w:t>mts</w:t>
      </w:r>
      <w:proofErr w:type="spellEnd"/>
      <w:r>
        <w:t xml:space="preserve"> built up area </w:t>
      </w:r>
      <w:proofErr w:type="gramStart"/>
      <w:r>
        <w:t>be</w:t>
      </w:r>
      <w:proofErr w:type="gramEnd"/>
      <w:r>
        <w:t xml:space="preserve"> eligible for environment clearance.</w:t>
      </w:r>
    </w:p>
    <w:p w:rsidR="00073E6A" w:rsidRDefault="00073E6A" w:rsidP="0092603E">
      <w:pPr>
        <w:pStyle w:val="ListParagraph"/>
        <w:numPr>
          <w:ilvl w:val="0"/>
          <w:numId w:val="27"/>
        </w:numPr>
      </w:pPr>
      <w:r>
        <w:t>The state must set up a separate committee for according environment clearance to the</w:t>
      </w:r>
      <w:r w:rsidR="0092603E">
        <w:t xml:space="preserve"> </w:t>
      </w:r>
      <w:r>
        <w:t>construction sector due to the large number of projects happening in the state. Presently there</w:t>
      </w:r>
      <w:r w:rsidR="0092603E">
        <w:t xml:space="preserve"> </w:t>
      </w:r>
      <w:r>
        <w:t>is only one state environment appraisal committee which takes care of all residential,</w:t>
      </w:r>
      <w:r w:rsidR="0092603E">
        <w:t xml:space="preserve"> </w:t>
      </w:r>
      <w:r>
        <w:t>commercial and industrial projects in the state. Having a specialized environment appraisal</w:t>
      </w:r>
      <w:r w:rsidR="0092603E">
        <w:t xml:space="preserve"> </w:t>
      </w:r>
      <w:r>
        <w:t>committee for construction sector will bring in higher efficiency and speed up the approval</w:t>
      </w:r>
      <w:r w:rsidR="0092603E">
        <w:t xml:space="preserve"> </w:t>
      </w:r>
      <w:r>
        <w:t>process.</w:t>
      </w:r>
    </w:p>
    <w:sectPr w:rsidR="00073E6A" w:rsidSect="003E5B5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8A" w:rsidRDefault="0099458A" w:rsidP="003E5B59">
      <w:pPr>
        <w:spacing w:after="0" w:line="240" w:lineRule="auto"/>
      </w:pPr>
      <w:r>
        <w:separator/>
      </w:r>
    </w:p>
  </w:endnote>
  <w:endnote w:type="continuationSeparator" w:id="0">
    <w:p w:rsidR="0099458A" w:rsidRDefault="0099458A" w:rsidP="003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2510"/>
      <w:docPartObj>
        <w:docPartGallery w:val="Page Numbers (Bottom of Page)"/>
        <w:docPartUnique/>
      </w:docPartObj>
    </w:sdtPr>
    <w:sdtContent>
      <w:sdt>
        <w:sdtPr>
          <w:id w:val="25792509"/>
          <w:docPartObj>
            <w:docPartGallery w:val="Page Numbers (Top of Page)"/>
            <w:docPartUnique/>
          </w:docPartObj>
        </w:sdtPr>
        <w:sdtContent>
          <w:p w:rsidR="003E5B59" w:rsidRDefault="003E5B59" w:rsidP="003E5B59">
            <w:pPr>
              <w:pStyle w:val="Footer"/>
              <w:pBdr>
                <w:top w:val="single" w:sz="4" w:space="1" w:color="auto"/>
              </w:pBdr>
              <w:jc w:val="center"/>
            </w:pPr>
            <w:r w:rsidRPr="003E5B59">
              <w:rPr>
                <w:color w:val="7F7F7F" w:themeColor="text1" w:themeTint="80"/>
              </w:rPr>
              <w:t xml:space="preserve">Page 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begin"/>
            </w:r>
            <w:r w:rsidRPr="003E5B59">
              <w:rPr>
                <w:b/>
                <w:color w:val="7F7F7F" w:themeColor="text1" w:themeTint="80"/>
              </w:rPr>
              <w:instrText xml:space="preserve"> PAGE </w:instrTex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7F7F7F" w:themeColor="text1" w:themeTint="80"/>
              </w:rPr>
              <w:t>2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end"/>
            </w:r>
            <w:r w:rsidRPr="003E5B59">
              <w:rPr>
                <w:color w:val="7F7F7F" w:themeColor="text1" w:themeTint="80"/>
              </w:rPr>
              <w:t xml:space="preserve"> of 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begin"/>
            </w:r>
            <w:r w:rsidRPr="003E5B59">
              <w:rPr>
                <w:b/>
                <w:color w:val="7F7F7F" w:themeColor="text1" w:themeTint="80"/>
              </w:rPr>
              <w:instrText xml:space="preserve"> NUMPAGES  </w:instrTex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7F7F7F" w:themeColor="text1" w:themeTint="80"/>
              </w:rPr>
              <w:t>9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59" w:rsidRDefault="00B620BB">
    <w:pPr>
      <w:pStyle w:val="Footer"/>
      <w:rPr>
        <w:color w:val="7F7F7F" w:themeColor="text1" w:themeTint="80"/>
        <w:sz w:val="20"/>
        <w:szCs w:val="20"/>
      </w:rPr>
    </w:pPr>
    <w:proofErr w:type="spellStart"/>
    <w:r>
      <w:rPr>
        <w:color w:val="7F7F7F" w:themeColor="text1" w:themeTint="80"/>
        <w:sz w:val="20"/>
        <w:szCs w:val="20"/>
      </w:rPr>
      <w:t>Xxxxxx</w:t>
    </w:r>
    <w:proofErr w:type="spellEnd"/>
  </w:p>
  <w:p w:rsidR="00B620BB" w:rsidRDefault="00B620BB">
    <w:pPr>
      <w:pStyle w:val="Footer"/>
      <w:rPr>
        <w:color w:val="7F7F7F" w:themeColor="text1" w:themeTint="80"/>
        <w:sz w:val="20"/>
        <w:szCs w:val="20"/>
      </w:rPr>
    </w:pPr>
    <w:proofErr w:type="spellStart"/>
    <w:r>
      <w:rPr>
        <w:color w:val="7F7F7F" w:themeColor="text1" w:themeTint="80"/>
        <w:sz w:val="20"/>
        <w:szCs w:val="20"/>
      </w:rPr>
      <w:t>Yyyyyy</w:t>
    </w:r>
    <w:proofErr w:type="spellEnd"/>
  </w:p>
  <w:p w:rsidR="00B620BB" w:rsidRPr="003E5B59" w:rsidRDefault="00B620BB">
    <w:pPr>
      <w:pStyle w:val="Footer"/>
      <w:rPr>
        <w:color w:val="7F7F7F" w:themeColor="text1" w:themeTint="80"/>
        <w:sz w:val="20"/>
        <w:szCs w:val="20"/>
      </w:rPr>
    </w:pPr>
    <w:proofErr w:type="spellStart"/>
    <w:proofErr w:type="gramStart"/>
    <w:r>
      <w:rPr>
        <w:color w:val="7F7F7F" w:themeColor="text1" w:themeTint="80"/>
        <w:sz w:val="20"/>
        <w:szCs w:val="20"/>
      </w:rPr>
      <w:t>zzzzzz</w:t>
    </w:r>
    <w:proofErr w:type="spellEnd"/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250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E5B59" w:rsidRDefault="003E5B59" w:rsidP="003E5B59">
            <w:pPr>
              <w:pStyle w:val="Footer"/>
              <w:pBdr>
                <w:top w:val="single" w:sz="4" w:space="1" w:color="auto"/>
              </w:pBdr>
              <w:jc w:val="center"/>
            </w:pPr>
            <w:r w:rsidRPr="003E5B59">
              <w:rPr>
                <w:color w:val="7F7F7F" w:themeColor="text1" w:themeTint="80"/>
              </w:rPr>
              <w:t xml:space="preserve">Page 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begin"/>
            </w:r>
            <w:r w:rsidRPr="003E5B59">
              <w:rPr>
                <w:b/>
                <w:color w:val="7F7F7F" w:themeColor="text1" w:themeTint="80"/>
              </w:rPr>
              <w:instrText xml:space="preserve"> PAGE </w:instrTex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7F7F7F" w:themeColor="text1" w:themeTint="80"/>
              </w:rPr>
              <w:t>2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end"/>
            </w:r>
            <w:r w:rsidRPr="003E5B59">
              <w:rPr>
                <w:color w:val="7F7F7F" w:themeColor="text1" w:themeTint="80"/>
              </w:rPr>
              <w:t xml:space="preserve"> of 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begin"/>
            </w:r>
            <w:r w:rsidRPr="003E5B59">
              <w:rPr>
                <w:b/>
                <w:color w:val="7F7F7F" w:themeColor="text1" w:themeTint="80"/>
              </w:rPr>
              <w:instrText xml:space="preserve"> NUMPAGES  </w:instrTex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7F7F7F" w:themeColor="text1" w:themeTint="80"/>
              </w:rPr>
              <w:t>9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59" w:rsidRPr="003E5B59" w:rsidRDefault="003E5B59" w:rsidP="003E5B59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59" w:rsidRDefault="003E5B59" w:rsidP="003E5B59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2555"/>
      <w:docPartObj>
        <w:docPartGallery w:val="Page Numbers (Bottom of Page)"/>
        <w:docPartUnique/>
      </w:docPartObj>
    </w:sdtPr>
    <w:sdtContent>
      <w:sdt>
        <w:sdtPr>
          <w:id w:val="25792556"/>
          <w:docPartObj>
            <w:docPartGallery w:val="Page Numbers (Top of Page)"/>
            <w:docPartUnique/>
          </w:docPartObj>
        </w:sdtPr>
        <w:sdtContent>
          <w:p w:rsidR="003E5B59" w:rsidRDefault="003E5B59" w:rsidP="003E5B59">
            <w:pPr>
              <w:pStyle w:val="Footer"/>
              <w:pBdr>
                <w:top w:val="single" w:sz="4" w:space="1" w:color="auto"/>
              </w:pBdr>
              <w:jc w:val="center"/>
            </w:pPr>
            <w:r w:rsidRPr="003E5B59">
              <w:rPr>
                <w:color w:val="7F7F7F" w:themeColor="text1" w:themeTint="80"/>
              </w:rPr>
              <w:t xml:space="preserve">Page 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begin"/>
            </w:r>
            <w:r w:rsidRPr="003E5B59">
              <w:rPr>
                <w:b/>
                <w:color w:val="7F7F7F" w:themeColor="text1" w:themeTint="80"/>
              </w:rPr>
              <w:instrText xml:space="preserve"> PAGE </w:instrTex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separate"/>
            </w:r>
            <w:r w:rsidR="00B620BB">
              <w:rPr>
                <w:b/>
                <w:noProof/>
                <w:color w:val="7F7F7F" w:themeColor="text1" w:themeTint="80"/>
              </w:rPr>
              <w:t>8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end"/>
            </w:r>
            <w:r w:rsidRPr="003E5B59">
              <w:rPr>
                <w:color w:val="7F7F7F" w:themeColor="text1" w:themeTint="80"/>
              </w:rPr>
              <w:t xml:space="preserve"> of 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begin"/>
            </w:r>
            <w:r w:rsidRPr="003E5B59">
              <w:rPr>
                <w:b/>
                <w:color w:val="7F7F7F" w:themeColor="text1" w:themeTint="80"/>
              </w:rPr>
              <w:instrText xml:space="preserve"> NUMPAGES  </w:instrTex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separate"/>
            </w:r>
            <w:r w:rsidR="00B620BB">
              <w:rPr>
                <w:b/>
                <w:noProof/>
                <w:color w:val="7F7F7F" w:themeColor="text1" w:themeTint="80"/>
              </w:rPr>
              <w:t>9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2523"/>
      <w:docPartObj>
        <w:docPartGallery w:val="Page Numbers (Bottom of Page)"/>
        <w:docPartUnique/>
      </w:docPartObj>
    </w:sdtPr>
    <w:sdtContent>
      <w:sdt>
        <w:sdtPr>
          <w:id w:val="25792522"/>
          <w:docPartObj>
            <w:docPartGallery w:val="Page Numbers (Top of Page)"/>
            <w:docPartUnique/>
          </w:docPartObj>
        </w:sdtPr>
        <w:sdtContent>
          <w:p w:rsidR="003E5B59" w:rsidRPr="003E5B59" w:rsidRDefault="003E5B59" w:rsidP="003E5B59">
            <w:pPr>
              <w:pStyle w:val="Footer"/>
              <w:pBdr>
                <w:top w:val="single" w:sz="4" w:space="1" w:color="auto"/>
              </w:pBdr>
              <w:jc w:val="center"/>
            </w:pPr>
            <w:r w:rsidRPr="003E5B59">
              <w:rPr>
                <w:color w:val="7F7F7F" w:themeColor="text1" w:themeTint="80"/>
              </w:rPr>
              <w:t xml:space="preserve">Page 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begin"/>
            </w:r>
            <w:r w:rsidRPr="003E5B59">
              <w:rPr>
                <w:b/>
                <w:color w:val="7F7F7F" w:themeColor="text1" w:themeTint="80"/>
              </w:rPr>
              <w:instrText xml:space="preserve"> PAGE </w:instrTex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separate"/>
            </w:r>
            <w:r w:rsidR="00B620BB">
              <w:rPr>
                <w:b/>
                <w:noProof/>
                <w:color w:val="7F7F7F" w:themeColor="text1" w:themeTint="80"/>
              </w:rPr>
              <w:t>9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end"/>
            </w:r>
            <w:r w:rsidRPr="003E5B59">
              <w:rPr>
                <w:color w:val="7F7F7F" w:themeColor="text1" w:themeTint="80"/>
              </w:rPr>
              <w:t xml:space="preserve"> of 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begin"/>
            </w:r>
            <w:r w:rsidRPr="003E5B59">
              <w:rPr>
                <w:b/>
                <w:color w:val="7F7F7F" w:themeColor="text1" w:themeTint="80"/>
              </w:rPr>
              <w:instrText xml:space="preserve"> NUMPAGES  </w:instrTex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separate"/>
            </w:r>
            <w:r w:rsidR="00B620BB">
              <w:rPr>
                <w:b/>
                <w:noProof/>
                <w:color w:val="7F7F7F" w:themeColor="text1" w:themeTint="80"/>
              </w:rPr>
              <w:t>9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2518"/>
      <w:docPartObj>
        <w:docPartGallery w:val="Page Numbers (Bottom of Page)"/>
        <w:docPartUnique/>
      </w:docPartObj>
    </w:sdtPr>
    <w:sdtContent>
      <w:sdt>
        <w:sdtPr>
          <w:id w:val="25792519"/>
          <w:docPartObj>
            <w:docPartGallery w:val="Page Numbers (Top of Page)"/>
            <w:docPartUnique/>
          </w:docPartObj>
        </w:sdtPr>
        <w:sdtContent>
          <w:p w:rsidR="003E5B59" w:rsidRDefault="003E5B59" w:rsidP="003E5B59">
            <w:pPr>
              <w:pStyle w:val="Footer"/>
              <w:pBdr>
                <w:top w:val="single" w:sz="4" w:space="1" w:color="auto"/>
              </w:pBdr>
              <w:jc w:val="center"/>
            </w:pPr>
            <w:r w:rsidRPr="003E5B59">
              <w:rPr>
                <w:color w:val="7F7F7F" w:themeColor="text1" w:themeTint="80"/>
              </w:rPr>
              <w:t xml:space="preserve">Page 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begin"/>
            </w:r>
            <w:r w:rsidRPr="003E5B59">
              <w:rPr>
                <w:b/>
                <w:color w:val="7F7F7F" w:themeColor="text1" w:themeTint="80"/>
              </w:rPr>
              <w:instrText xml:space="preserve"> PAGE </w:instrTex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7F7F7F" w:themeColor="text1" w:themeTint="80"/>
              </w:rPr>
              <w:t>3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end"/>
            </w:r>
            <w:r w:rsidRPr="003E5B59">
              <w:rPr>
                <w:color w:val="7F7F7F" w:themeColor="text1" w:themeTint="80"/>
              </w:rPr>
              <w:t xml:space="preserve"> of 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begin"/>
            </w:r>
            <w:r w:rsidRPr="003E5B59">
              <w:rPr>
                <w:b/>
                <w:color w:val="7F7F7F" w:themeColor="text1" w:themeTint="80"/>
              </w:rPr>
              <w:instrText xml:space="preserve"> NUMPAGES  </w:instrTex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7F7F7F" w:themeColor="text1" w:themeTint="80"/>
              </w:rPr>
              <w:t>9</w:t>
            </w:r>
            <w:r w:rsidR="00925C5E" w:rsidRPr="003E5B59">
              <w:rPr>
                <w:b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8A" w:rsidRDefault="0099458A" w:rsidP="003E5B59">
      <w:pPr>
        <w:spacing w:after="0" w:line="240" w:lineRule="auto"/>
      </w:pPr>
      <w:r>
        <w:separator/>
      </w:r>
    </w:p>
  </w:footnote>
  <w:footnote w:type="continuationSeparator" w:id="0">
    <w:p w:rsidR="0099458A" w:rsidRDefault="0099458A" w:rsidP="003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59" w:rsidRDefault="003E5B59" w:rsidP="003E5B59">
    <w:pPr>
      <w:pStyle w:val="Header"/>
      <w:jc w:val="left"/>
      <w:rPr>
        <w:i/>
        <w:color w:val="7F7F7F" w:themeColor="text1" w:themeTint="80"/>
        <w:sz w:val="28"/>
        <w:szCs w:val="28"/>
      </w:rPr>
    </w:pPr>
    <w:r w:rsidRPr="003E5B59">
      <w:rPr>
        <w:i/>
        <w:color w:val="7F7F7F" w:themeColor="text1" w:themeTint="80"/>
        <w:sz w:val="28"/>
        <w:szCs w:val="28"/>
      </w:rPr>
      <w:t>A</w:t>
    </w:r>
    <w:r>
      <w:rPr>
        <w:i/>
        <w:color w:val="7F7F7F" w:themeColor="text1" w:themeTint="80"/>
        <w:sz w:val="28"/>
        <w:szCs w:val="28"/>
      </w:rPr>
      <w:t>PPROVAL PROCESS FOR REAL ESTATE</w:t>
    </w:r>
  </w:p>
  <w:p w:rsidR="003E5B59" w:rsidRPr="003E5B59" w:rsidRDefault="003E5B59" w:rsidP="003E5B59">
    <w:pPr>
      <w:pStyle w:val="Header"/>
      <w:pBdr>
        <w:bottom w:val="single" w:sz="4" w:space="1" w:color="auto"/>
      </w:pBdr>
      <w:jc w:val="left"/>
      <w:rPr>
        <w:i/>
        <w:color w:val="7F7F7F" w:themeColor="text1" w:themeTint="80"/>
        <w:sz w:val="28"/>
        <w:szCs w:val="28"/>
      </w:rPr>
    </w:pPr>
    <w:r w:rsidRPr="003E5B59">
      <w:rPr>
        <w:i/>
        <w:color w:val="7F7F7F" w:themeColor="text1" w:themeTint="80"/>
        <w:sz w:val="28"/>
        <w:szCs w:val="28"/>
      </w:rPr>
      <w:t>PROJECTS IN MAHARASHTRA (MUMBAI)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59" w:rsidRDefault="003E5B59" w:rsidP="003E5B59">
    <w:pPr>
      <w:pStyle w:val="Header"/>
      <w:pBdr>
        <w:bottom w:val="single" w:sz="4" w:space="1" w:color="auto"/>
      </w:pBdr>
      <w:jc w:val="right"/>
    </w:pPr>
    <w:r w:rsidRPr="003E5B59">
      <w:rPr>
        <w:noProof/>
      </w:rPr>
      <w:drawing>
        <wp:inline distT="0" distB="0" distL="0" distR="0">
          <wp:extent cx="1044574" cy="783431"/>
          <wp:effectExtent l="19050" t="0" r="3176" b="0"/>
          <wp:docPr id="1" name="Picture 0" descr="rem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i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574" cy="78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59" w:rsidRDefault="003E5B59" w:rsidP="003E5B59">
    <w:pPr>
      <w:pStyle w:val="Header"/>
      <w:jc w:val="right"/>
      <w:rPr>
        <w:i/>
        <w:color w:val="7F7F7F" w:themeColor="text1" w:themeTint="80"/>
        <w:sz w:val="28"/>
        <w:szCs w:val="28"/>
      </w:rPr>
    </w:pPr>
    <w:r w:rsidRPr="003E5B59">
      <w:rPr>
        <w:i/>
        <w:color w:val="7F7F7F" w:themeColor="text1" w:themeTint="80"/>
        <w:sz w:val="28"/>
        <w:szCs w:val="28"/>
      </w:rPr>
      <w:t>A</w:t>
    </w:r>
    <w:r>
      <w:rPr>
        <w:i/>
        <w:color w:val="7F7F7F" w:themeColor="text1" w:themeTint="80"/>
        <w:sz w:val="28"/>
        <w:szCs w:val="28"/>
      </w:rPr>
      <w:t>PPROVAL PROCESS FOR REAL ESTATE</w:t>
    </w:r>
  </w:p>
  <w:p w:rsidR="003E5B59" w:rsidRPr="003E5B59" w:rsidRDefault="003E5B59" w:rsidP="003E5B59">
    <w:pPr>
      <w:pStyle w:val="Header"/>
      <w:pBdr>
        <w:bottom w:val="single" w:sz="4" w:space="1" w:color="auto"/>
      </w:pBdr>
      <w:jc w:val="right"/>
      <w:rPr>
        <w:i/>
        <w:color w:val="7F7F7F" w:themeColor="text1" w:themeTint="80"/>
        <w:sz w:val="28"/>
        <w:szCs w:val="28"/>
      </w:rPr>
    </w:pPr>
    <w:r w:rsidRPr="003E5B59">
      <w:rPr>
        <w:i/>
        <w:color w:val="7F7F7F" w:themeColor="text1" w:themeTint="80"/>
        <w:sz w:val="28"/>
        <w:szCs w:val="28"/>
      </w:rPr>
      <w:t>PROJECTS IN MAHARASHTRA (MUMBAI)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59" w:rsidRDefault="003E5B59" w:rsidP="003E5B59">
    <w:pPr>
      <w:pStyle w:val="Header"/>
      <w:jc w:val="left"/>
      <w:rPr>
        <w:i/>
        <w:color w:val="7F7F7F" w:themeColor="text1" w:themeTint="80"/>
        <w:sz w:val="28"/>
        <w:szCs w:val="28"/>
      </w:rPr>
    </w:pPr>
    <w:r w:rsidRPr="003E5B59">
      <w:rPr>
        <w:i/>
        <w:color w:val="7F7F7F" w:themeColor="text1" w:themeTint="80"/>
        <w:sz w:val="28"/>
        <w:szCs w:val="28"/>
      </w:rPr>
      <w:t>A</w:t>
    </w:r>
    <w:r>
      <w:rPr>
        <w:i/>
        <w:color w:val="7F7F7F" w:themeColor="text1" w:themeTint="80"/>
        <w:sz w:val="28"/>
        <w:szCs w:val="28"/>
      </w:rPr>
      <w:t>PPROVAL PROCESS FOR REAL ESTATE</w:t>
    </w:r>
  </w:p>
  <w:p w:rsidR="003E5B59" w:rsidRPr="003E5B59" w:rsidRDefault="003E5B59" w:rsidP="003E5B59">
    <w:pPr>
      <w:pStyle w:val="Header"/>
      <w:pBdr>
        <w:bottom w:val="single" w:sz="4" w:space="1" w:color="auto"/>
      </w:pBdr>
      <w:jc w:val="left"/>
      <w:rPr>
        <w:i/>
        <w:color w:val="7F7F7F" w:themeColor="text1" w:themeTint="80"/>
        <w:sz w:val="28"/>
        <w:szCs w:val="28"/>
      </w:rPr>
    </w:pPr>
    <w:r w:rsidRPr="003E5B59">
      <w:rPr>
        <w:i/>
        <w:color w:val="7F7F7F" w:themeColor="text1" w:themeTint="80"/>
        <w:sz w:val="28"/>
        <w:szCs w:val="28"/>
      </w:rPr>
      <w:t>PROJECTS IN MAHARASHTRA (MUMBAI)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59" w:rsidRPr="003E5B59" w:rsidRDefault="003E5B59" w:rsidP="003E5B5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59" w:rsidRPr="003E5B59" w:rsidRDefault="003E5B59" w:rsidP="003E5B59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59" w:rsidRDefault="003E5B59" w:rsidP="003E5B59">
    <w:pPr>
      <w:pStyle w:val="Header"/>
      <w:jc w:val="left"/>
      <w:rPr>
        <w:i/>
        <w:color w:val="7F7F7F" w:themeColor="text1" w:themeTint="80"/>
        <w:sz w:val="28"/>
        <w:szCs w:val="28"/>
      </w:rPr>
    </w:pPr>
    <w:r w:rsidRPr="003E5B59">
      <w:rPr>
        <w:i/>
        <w:color w:val="7F7F7F" w:themeColor="text1" w:themeTint="80"/>
        <w:sz w:val="28"/>
        <w:szCs w:val="28"/>
      </w:rPr>
      <w:t>A</w:t>
    </w:r>
    <w:r>
      <w:rPr>
        <w:i/>
        <w:color w:val="7F7F7F" w:themeColor="text1" w:themeTint="80"/>
        <w:sz w:val="28"/>
        <w:szCs w:val="28"/>
      </w:rPr>
      <w:t>PPROVAL PROCESS FOR REAL ESTATE</w:t>
    </w:r>
  </w:p>
  <w:p w:rsidR="003E5B59" w:rsidRPr="003E5B59" w:rsidRDefault="003E5B59" w:rsidP="003E5B59">
    <w:pPr>
      <w:pStyle w:val="Header"/>
      <w:pBdr>
        <w:bottom w:val="single" w:sz="4" w:space="1" w:color="auto"/>
      </w:pBdr>
      <w:jc w:val="left"/>
      <w:rPr>
        <w:i/>
        <w:color w:val="7F7F7F" w:themeColor="text1" w:themeTint="80"/>
        <w:sz w:val="28"/>
        <w:szCs w:val="28"/>
      </w:rPr>
    </w:pPr>
    <w:r w:rsidRPr="003E5B59">
      <w:rPr>
        <w:i/>
        <w:color w:val="7F7F7F" w:themeColor="text1" w:themeTint="80"/>
        <w:sz w:val="28"/>
        <w:szCs w:val="28"/>
      </w:rPr>
      <w:t>PROJECTS IN MAHARASHTRA (MUMBAI)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59" w:rsidRPr="00622EA8" w:rsidRDefault="003E5B59" w:rsidP="003E5B59">
    <w:pPr>
      <w:pStyle w:val="Header"/>
      <w:jc w:val="right"/>
      <w:rPr>
        <w:i/>
        <w:color w:val="7F7F7F" w:themeColor="text1" w:themeTint="80"/>
        <w:sz w:val="28"/>
        <w:szCs w:val="28"/>
      </w:rPr>
    </w:pPr>
    <w:r w:rsidRPr="00622EA8">
      <w:rPr>
        <w:i/>
        <w:color w:val="7F7F7F" w:themeColor="text1" w:themeTint="80"/>
        <w:sz w:val="28"/>
        <w:szCs w:val="28"/>
      </w:rPr>
      <w:t>APPROVAL PROCESS FOR REAL ESTATE</w:t>
    </w:r>
  </w:p>
  <w:p w:rsidR="003E5B59" w:rsidRPr="00622EA8" w:rsidRDefault="003E5B59" w:rsidP="003E5B59">
    <w:pPr>
      <w:pStyle w:val="Header"/>
      <w:pBdr>
        <w:bottom w:val="single" w:sz="4" w:space="1" w:color="auto"/>
      </w:pBdr>
      <w:jc w:val="right"/>
      <w:rPr>
        <w:i/>
        <w:color w:val="7F7F7F" w:themeColor="text1" w:themeTint="80"/>
        <w:sz w:val="28"/>
        <w:szCs w:val="28"/>
      </w:rPr>
    </w:pPr>
    <w:r w:rsidRPr="00622EA8">
      <w:rPr>
        <w:i/>
        <w:color w:val="7F7F7F" w:themeColor="text1" w:themeTint="80"/>
        <w:sz w:val="28"/>
        <w:szCs w:val="28"/>
      </w:rPr>
      <w:t>PROJECTS IN MAHARASHTRA (MUMBAI)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59" w:rsidRDefault="003E5B59" w:rsidP="003E5B59">
    <w:pPr>
      <w:pStyle w:val="Header"/>
      <w:jc w:val="right"/>
      <w:rPr>
        <w:i/>
        <w:color w:val="7F7F7F" w:themeColor="text1" w:themeTint="80"/>
        <w:sz w:val="28"/>
        <w:szCs w:val="28"/>
      </w:rPr>
    </w:pPr>
    <w:r w:rsidRPr="003E5B59">
      <w:rPr>
        <w:i/>
        <w:color w:val="7F7F7F" w:themeColor="text1" w:themeTint="80"/>
        <w:sz w:val="28"/>
        <w:szCs w:val="28"/>
      </w:rPr>
      <w:t>A</w:t>
    </w:r>
    <w:r>
      <w:rPr>
        <w:i/>
        <w:color w:val="7F7F7F" w:themeColor="text1" w:themeTint="80"/>
        <w:sz w:val="28"/>
        <w:szCs w:val="28"/>
      </w:rPr>
      <w:t>PPROVAL PROCESS FOR REAL ESTATE</w:t>
    </w:r>
  </w:p>
  <w:p w:rsidR="003E5B59" w:rsidRPr="003E5B59" w:rsidRDefault="003E5B59" w:rsidP="003E5B59">
    <w:pPr>
      <w:pStyle w:val="Header"/>
      <w:pBdr>
        <w:bottom w:val="single" w:sz="4" w:space="1" w:color="auto"/>
      </w:pBdr>
      <w:jc w:val="right"/>
      <w:rPr>
        <w:i/>
        <w:color w:val="7F7F7F" w:themeColor="text1" w:themeTint="80"/>
        <w:sz w:val="28"/>
        <w:szCs w:val="28"/>
      </w:rPr>
    </w:pPr>
    <w:r w:rsidRPr="003E5B59">
      <w:rPr>
        <w:i/>
        <w:color w:val="7F7F7F" w:themeColor="text1" w:themeTint="80"/>
        <w:sz w:val="28"/>
        <w:szCs w:val="28"/>
      </w:rPr>
      <w:t>PROJECTS IN MAHARASHTRA (MUMBAI)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BF0"/>
    <w:multiLevelType w:val="hybridMultilevel"/>
    <w:tmpl w:val="A676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9DF"/>
    <w:multiLevelType w:val="hybridMultilevel"/>
    <w:tmpl w:val="A9BE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73B8"/>
    <w:multiLevelType w:val="hybridMultilevel"/>
    <w:tmpl w:val="6152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363BF"/>
    <w:multiLevelType w:val="hybridMultilevel"/>
    <w:tmpl w:val="89FA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C2EC7"/>
    <w:multiLevelType w:val="hybridMultilevel"/>
    <w:tmpl w:val="8CCC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73ADB"/>
    <w:multiLevelType w:val="hybridMultilevel"/>
    <w:tmpl w:val="3D68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A2115"/>
    <w:multiLevelType w:val="hybridMultilevel"/>
    <w:tmpl w:val="C2CC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D4507"/>
    <w:multiLevelType w:val="hybridMultilevel"/>
    <w:tmpl w:val="725A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31C54"/>
    <w:multiLevelType w:val="hybridMultilevel"/>
    <w:tmpl w:val="E4D2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53132"/>
    <w:multiLevelType w:val="hybridMultilevel"/>
    <w:tmpl w:val="1A1A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A75EC"/>
    <w:multiLevelType w:val="hybridMultilevel"/>
    <w:tmpl w:val="56FA2D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8461F"/>
    <w:multiLevelType w:val="hybridMultilevel"/>
    <w:tmpl w:val="AE50C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244E6"/>
    <w:multiLevelType w:val="hybridMultilevel"/>
    <w:tmpl w:val="0124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E77F8"/>
    <w:multiLevelType w:val="hybridMultilevel"/>
    <w:tmpl w:val="6AF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50456"/>
    <w:multiLevelType w:val="hybridMultilevel"/>
    <w:tmpl w:val="B48E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00B3C"/>
    <w:multiLevelType w:val="hybridMultilevel"/>
    <w:tmpl w:val="6DA4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14CAD"/>
    <w:multiLevelType w:val="hybridMultilevel"/>
    <w:tmpl w:val="DED0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B3768"/>
    <w:multiLevelType w:val="hybridMultilevel"/>
    <w:tmpl w:val="8FA8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105DE"/>
    <w:multiLevelType w:val="hybridMultilevel"/>
    <w:tmpl w:val="93CE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45901"/>
    <w:multiLevelType w:val="hybridMultilevel"/>
    <w:tmpl w:val="7320F8F8"/>
    <w:lvl w:ilvl="0" w:tplc="0DE678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03C02"/>
    <w:multiLevelType w:val="hybridMultilevel"/>
    <w:tmpl w:val="C4C8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41620"/>
    <w:multiLevelType w:val="hybridMultilevel"/>
    <w:tmpl w:val="1D8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7781E"/>
    <w:multiLevelType w:val="hybridMultilevel"/>
    <w:tmpl w:val="BCCC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818A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7AE57F0A"/>
    <w:multiLevelType w:val="hybridMultilevel"/>
    <w:tmpl w:val="0032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21159"/>
    <w:multiLevelType w:val="hybridMultilevel"/>
    <w:tmpl w:val="84F4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80A84"/>
    <w:multiLevelType w:val="hybridMultilevel"/>
    <w:tmpl w:val="253C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92D43"/>
    <w:multiLevelType w:val="hybridMultilevel"/>
    <w:tmpl w:val="1C0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26"/>
  </w:num>
  <w:num w:numId="5">
    <w:abstractNumId w:val="11"/>
  </w:num>
  <w:num w:numId="6">
    <w:abstractNumId w:val="7"/>
  </w:num>
  <w:num w:numId="7">
    <w:abstractNumId w:val="20"/>
  </w:num>
  <w:num w:numId="8">
    <w:abstractNumId w:val="21"/>
  </w:num>
  <w:num w:numId="9">
    <w:abstractNumId w:val="15"/>
  </w:num>
  <w:num w:numId="10">
    <w:abstractNumId w:val="27"/>
  </w:num>
  <w:num w:numId="11">
    <w:abstractNumId w:val="17"/>
  </w:num>
  <w:num w:numId="12">
    <w:abstractNumId w:val="9"/>
  </w:num>
  <w:num w:numId="13">
    <w:abstractNumId w:val="8"/>
  </w:num>
  <w:num w:numId="14">
    <w:abstractNumId w:val="14"/>
  </w:num>
  <w:num w:numId="15">
    <w:abstractNumId w:val="10"/>
  </w:num>
  <w:num w:numId="16">
    <w:abstractNumId w:val="19"/>
  </w:num>
  <w:num w:numId="17">
    <w:abstractNumId w:val="22"/>
  </w:num>
  <w:num w:numId="18">
    <w:abstractNumId w:val="1"/>
  </w:num>
  <w:num w:numId="19">
    <w:abstractNumId w:val="18"/>
  </w:num>
  <w:num w:numId="20">
    <w:abstractNumId w:val="6"/>
  </w:num>
  <w:num w:numId="21">
    <w:abstractNumId w:val="2"/>
  </w:num>
  <w:num w:numId="22">
    <w:abstractNumId w:val="0"/>
  </w:num>
  <w:num w:numId="23">
    <w:abstractNumId w:val="24"/>
  </w:num>
  <w:num w:numId="24">
    <w:abstractNumId w:val="3"/>
  </w:num>
  <w:num w:numId="25">
    <w:abstractNumId w:val="16"/>
  </w:num>
  <w:num w:numId="26">
    <w:abstractNumId w:val="5"/>
  </w:num>
  <w:num w:numId="27">
    <w:abstractNumId w:val="1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F1251"/>
    <w:rsid w:val="00073E6A"/>
    <w:rsid w:val="002A17BE"/>
    <w:rsid w:val="00300A76"/>
    <w:rsid w:val="00303112"/>
    <w:rsid w:val="003E5B59"/>
    <w:rsid w:val="003F1251"/>
    <w:rsid w:val="00496B24"/>
    <w:rsid w:val="00547123"/>
    <w:rsid w:val="00622EA8"/>
    <w:rsid w:val="006B07A8"/>
    <w:rsid w:val="007353F6"/>
    <w:rsid w:val="007C6E62"/>
    <w:rsid w:val="008E4810"/>
    <w:rsid w:val="00925C5E"/>
    <w:rsid w:val="0092603E"/>
    <w:rsid w:val="0099458A"/>
    <w:rsid w:val="00B07BBF"/>
    <w:rsid w:val="00B620BB"/>
    <w:rsid w:val="00B643D5"/>
    <w:rsid w:val="00BE27E6"/>
    <w:rsid w:val="00EF6985"/>
    <w:rsid w:val="00F962A5"/>
    <w:rsid w:val="00FB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51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125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A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2A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2A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2A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2A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2A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2A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2A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251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F12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251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2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1251"/>
    <w:rPr>
      <w:rFonts w:asciiTheme="majorHAnsi" w:eastAsiaTheme="majorEastAsia" w:hAnsiTheme="majorHAnsi" w:cstheme="majorBidi"/>
      <w:i/>
      <w:iCs/>
      <w:color w:val="4F81BD" w:themeColor="accent1"/>
      <w:spacing w:val="15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2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2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2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2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2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2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B59"/>
  </w:style>
  <w:style w:type="paragraph" w:styleId="Footer">
    <w:name w:val="footer"/>
    <w:basedOn w:val="Normal"/>
    <w:link w:val="FooterChar"/>
    <w:uiPriority w:val="99"/>
    <w:unhideWhenUsed/>
    <w:rsid w:val="003E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59"/>
  </w:style>
  <w:style w:type="paragraph" w:styleId="BalloonText">
    <w:name w:val="Balloon Text"/>
    <w:basedOn w:val="Normal"/>
    <w:link w:val="BalloonTextChar"/>
    <w:uiPriority w:val="99"/>
    <w:semiHidden/>
    <w:unhideWhenUsed/>
    <w:rsid w:val="003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Kamaljit S. Dadyal</dc:creator>
  <cp:keywords/>
  <dc:description/>
  <cp:lastModifiedBy>Kamaljit S. Dadyal</cp:lastModifiedBy>
  <cp:revision>2</cp:revision>
  <dcterms:created xsi:type="dcterms:W3CDTF">2015-10-01T14:41:00Z</dcterms:created>
  <dcterms:modified xsi:type="dcterms:W3CDTF">2015-10-01T14:41:00Z</dcterms:modified>
</cp:coreProperties>
</file>