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1"/>
        <w:jc w:val="center"/>
        <w:rPr>
          <w:rFonts w:cs="Tahoma"/>
          <w:rtl w:val="true"/>
        </w:rPr>
      </w:pPr>
      <w:r>
        <w:rPr>
          <w:rFonts w:cs="Tahoma"/>
          <w:rtl w:val="true"/>
        </w:rPr>
        <w:t>دانش‌شناسی ادراک</w:t>
      </w:r>
    </w:p>
    <w:p>
      <w:pPr>
        <w:pStyle w:val="Normal"/>
        <w:bidi w:val="1"/>
        <w:jc w:val="left"/>
        <w:rPr>
          <w:rFonts w:cs="Tahoma"/>
          <w:rtl w:val="true"/>
        </w:rPr>
      </w:pPr>
      <w:r>
        <w:rPr>
          <w:rFonts w:cs="Tahoma"/>
          <w:rtl w:val="true"/>
        </w:rPr>
      </w:r>
    </w:p>
    <w:p>
      <w:pPr>
        <w:pStyle w:val="Normal"/>
        <w:bidi w:val="1"/>
        <w:spacing w:lineRule="auto" w:line="360"/>
        <w:jc w:val="left"/>
        <w:rPr>
          <w:rFonts w:cs="Tahoma"/>
          <w:rtl w:val="true"/>
        </w:rPr>
      </w:pPr>
      <w:r>
        <w:rPr>
          <w:rFonts w:cs="Tahoma"/>
          <w:rtl w:val="true"/>
        </w:rPr>
        <w:t>ادراک</w:t>
      </w:r>
      <w:r>
        <w:rPr>
          <w:rStyle w:val="FootnoteAnchor"/>
          <w:rFonts w:cs="Tahoma"/>
          <w:rtl w:val="true"/>
        </w:rPr>
        <w:footnoteReference w:id="2"/>
      </w:r>
      <w:r>
        <w:rPr>
          <w:rFonts w:cs="Tahoma"/>
          <w:rtl w:val="true"/>
        </w:rPr>
        <w:t xml:space="preserve"> موضوعی مرکزی در دانش‌شناسی</w:t>
      </w:r>
      <w:r>
        <w:rPr>
          <w:rStyle w:val="FootnoteAnchor"/>
          <w:rFonts w:cs="Tahoma"/>
          <w:rtl w:val="true"/>
        </w:rPr>
        <w:footnoteReference w:id="3"/>
      </w:r>
      <w:r>
        <w:rPr>
          <w:rFonts w:cs="Tahoma"/>
          <w:rtl w:val="true"/>
        </w:rPr>
        <w:t>، یعنی نظریه‌ی دانش، است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همه‌ی دانش تجربی</w:t>
      </w:r>
      <w:r>
        <w:rPr>
          <w:rStyle w:val="FootnoteAnchor"/>
          <w:rFonts w:cs="Tahoma"/>
          <w:rtl w:val="true"/>
        </w:rPr>
        <w:footnoteReference w:id="4"/>
      </w:r>
      <w:r>
        <w:rPr>
          <w:rFonts w:cs="Tahoma"/>
          <w:rtl w:val="true"/>
        </w:rPr>
        <w:t xml:space="preserve"> ما در چگونگی دیدن، شنیدن، لمس کردن، بوییدن، و چشیدن جهان پیرامون‌مان ریشه دارد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در بخش </w:t>
      </w:r>
      <w:r>
        <w:rPr>
          <w:rFonts w:cs="Tahoma"/>
        </w:rPr>
        <w:t>۱</w:t>
      </w:r>
      <w:r>
        <w:rPr>
          <w:rFonts w:cs="Tahoma"/>
          <w:rtl w:val="true"/>
        </w:rPr>
        <w:t>، تمایزی بین ادراکی که شامل مفاهیم</w:t>
      </w:r>
      <w:r>
        <w:rPr>
          <w:rStyle w:val="FootnoteAnchor"/>
          <w:rFonts w:cs="Tahoma"/>
          <w:rtl w:val="true"/>
        </w:rPr>
        <w:footnoteReference w:id="5"/>
      </w:r>
      <w:r>
        <w:rPr>
          <w:rFonts w:cs="Tahoma"/>
          <w:rtl w:val="true"/>
        </w:rPr>
        <w:t xml:space="preserve"> است و ادراکی که شامل آن نیست نشان داده می‌شود، و روابط دانشی</w:t>
      </w:r>
      <w:r>
        <w:rPr>
          <w:rStyle w:val="FootnoteAnchor"/>
          <w:rFonts w:cs="Tahoma"/>
          <w:rtl w:val="true"/>
        </w:rPr>
        <w:footnoteReference w:id="6"/>
      </w:r>
      <w:r>
        <w:rPr>
          <w:rFonts w:cs="Tahoma"/>
          <w:rtl w:val="true"/>
        </w:rPr>
        <w:t xml:space="preserve"> مختلفی که میان این دو گونه ادراک وجود دارد مورد بحث قرار می‌گیرد — باورهای ادراکی ما و دانش ادراکی ما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 </w:t>
      </w:r>
      <w:r>
        <w:rPr>
          <w:rFonts w:cs="Tahoma"/>
          <w:rtl w:val="true"/>
        </w:rPr>
        <w:t xml:space="preserve">در بخش‌های </w:t>
      </w:r>
      <w:r>
        <w:rPr>
          <w:rFonts w:cs="Tahoma"/>
        </w:rPr>
        <w:t>۳</w:t>
      </w:r>
      <w:r>
        <w:rPr>
          <w:rFonts w:cs="Tahoma"/>
          <w:rtl w:val="true"/>
        </w:rPr>
        <w:t xml:space="preserve"> و </w:t>
      </w:r>
      <w:r>
        <w:rPr>
          <w:rFonts w:cs="Tahoma"/>
        </w:rPr>
        <w:t>۴</w:t>
      </w:r>
      <w:r>
        <w:rPr>
          <w:rFonts w:cs="Tahoma"/>
          <w:rtl w:val="true"/>
        </w:rPr>
        <w:t xml:space="preserve"> نقش دانشیِ ادراک بیشتر بررسی می‌شود و دو فهم متفاوت از معماری نظام باوری ما معرفی می‌گردد</w:t>
      </w:r>
      <w:r>
        <w:rPr>
          <w:rFonts w:cs="Tahoma"/>
          <w:rtl w:val="true"/>
        </w:rPr>
        <w:t xml:space="preserve">: </w:t>
      </w:r>
      <w:r>
        <w:rPr>
          <w:rFonts w:cs="Tahoma"/>
          <w:rtl w:val="true"/>
        </w:rPr>
        <w:t>شالوده‌گرایی</w:t>
      </w:r>
      <w:r>
        <w:rPr>
          <w:rStyle w:val="FootnoteAnchor"/>
          <w:rFonts w:cs="Tahoma"/>
          <w:rtl w:val="true"/>
        </w:rPr>
        <w:footnoteReference w:id="7"/>
      </w:r>
      <w:r>
        <w:rPr>
          <w:rFonts w:cs="Tahoma"/>
          <w:rtl w:val="true"/>
        </w:rPr>
        <w:t xml:space="preserve"> و انسجام‌گرایی</w:t>
      </w:r>
      <w:r>
        <w:rPr>
          <w:rStyle w:val="FootnoteAnchor"/>
          <w:rFonts w:cs="Tahoma"/>
          <w:rtl w:val="true"/>
        </w:rPr>
        <w:footnoteReference w:id="8"/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نشان داده می‌شود که چگونه تجربه‌ی ادراکی و باورهای ادراکی درون این نظام‌ها تجمیع می‌شوند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 xml:space="preserve">در انتها، در بخش </w:t>
      </w:r>
      <w:r>
        <w:rPr>
          <w:rFonts w:cs="Tahoma"/>
        </w:rPr>
        <w:t>۵</w:t>
      </w:r>
      <w:r>
        <w:rPr>
          <w:rFonts w:cs="Tahoma"/>
          <w:rtl w:val="true"/>
        </w:rPr>
        <w:t xml:space="preserve"> به این دیدگاه برون‌گرا</w:t>
      </w:r>
      <w:r>
        <w:rPr>
          <w:rStyle w:val="FootnoteAnchor"/>
          <w:rFonts w:cs="Tahoma"/>
          <w:rtl w:val="true"/>
        </w:rPr>
        <w:footnoteReference w:id="9"/>
      </w:r>
      <w:r>
        <w:rPr>
          <w:rFonts w:cs="Tahoma"/>
          <w:rtl w:val="true"/>
        </w:rPr>
        <w:t xml:space="preserve"> پرداخته می‌شود که لازم نیست اندیشنده‌ها باخبر باشند  چه چیزی باورهای ادراکی‌شان را توجیه می‌کند</w:t>
      </w:r>
      <w:r>
        <w:rPr>
          <w:rFonts w:cs="Tahoma"/>
          <w:rtl w:val="true"/>
        </w:rPr>
        <w:t>.</w:t>
      </w:r>
    </w:p>
    <w:p>
      <w:pPr>
        <w:pStyle w:val="Normal"/>
        <w:bidi w:val="1"/>
        <w:spacing w:lineRule="auto" w:line="360"/>
        <w:jc w:val="left"/>
        <w:rPr>
          <w:rFonts w:cs="Tahoma"/>
          <w:rtl w:val="true"/>
        </w:rPr>
      </w:pPr>
      <w:r>
        <w:rPr>
          <w:rFonts w:cs="Tahoma"/>
          <w:rtl w:val="true"/>
        </w:rPr>
      </w:r>
    </w:p>
    <w:p>
      <w:pPr>
        <w:pStyle w:val="Normal"/>
        <w:bidi w:val="1"/>
        <w:spacing w:lineRule="auto" w:line="360"/>
        <w:jc w:val="left"/>
        <w:rPr>
          <w:rFonts w:cs="Tahoma"/>
          <w:rtl w:val="true"/>
        </w:rPr>
      </w:pPr>
      <w:r>
        <w:rPr>
          <w:rFonts w:cs="Tahoma"/>
          <w:rtl w:val="true"/>
        </w:rPr>
        <w:t>فهرست عناوین</w:t>
      </w:r>
    </w:p>
    <w:p>
      <w:pPr>
        <w:pStyle w:val="Normal"/>
        <w:bidi w:val="1"/>
        <w:spacing w:lineRule="auto" w:line="360"/>
        <w:jc w:val="left"/>
        <w:rPr>
          <w:rFonts w:cs="Tahoma"/>
          <w:rtl w:val="true"/>
        </w:rPr>
      </w:pPr>
      <w:r>
        <w:rPr>
          <w:rFonts w:cs="Tahoma"/>
          <w:rtl w:val="true"/>
        </w:rPr>
        <w:tab/>
      </w:r>
      <w:r>
        <w:rPr>
          <w:rFonts w:cs="Tahoma"/>
        </w:rPr>
        <w:t>۱</w:t>
      </w:r>
      <w:r>
        <w:rPr>
          <w:rFonts w:cs="Tahoma"/>
          <w:rtl w:val="true"/>
        </w:rPr>
        <w:t xml:space="preserve">. </w:t>
      </w:r>
      <w:r>
        <w:rPr>
          <w:rFonts w:cs="Tahoma"/>
          <w:rtl w:val="true"/>
        </w:rPr>
        <w:t>ادراک و باور</w:t>
      </w:r>
    </w:p>
    <w:p>
      <w:pPr>
        <w:pStyle w:val="Normal"/>
        <w:bidi w:val="1"/>
        <w:spacing w:lineRule="auto" w:line="360"/>
        <w:jc w:val="left"/>
        <w:rPr>
          <w:rFonts w:cs="Tahoma"/>
          <w:rtl w:val="true"/>
        </w:rPr>
      </w:pPr>
      <w:r>
        <w:rPr>
          <w:rFonts w:cs="Tahoma"/>
          <w:rtl w:val="true"/>
        </w:rPr>
        <w:tab/>
        <w:tab/>
      </w:r>
      <w:r>
        <w:rPr>
          <w:rFonts w:cs="Tahoma"/>
          <w:rtl w:val="true"/>
        </w:rPr>
        <w:t>آ</w:t>
      </w:r>
      <w:r>
        <w:rPr>
          <w:rFonts w:cs="Tahoma"/>
          <w:rtl w:val="true"/>
        </w:rPr>
        <w:t>.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</w:r>
      <w:r>
        <w:rPr/>
        <w:t>perception</w:t>
      </w:r>
    </w:p>
  </w:footnote>
  <w:footnote w:id="3">
    <w:p>
      <w:pPr>
        <w:pStyle w:val="Footnote"/>
        <w:rPr/>
      </w:pPr>
      <w:r>
        <w:rPr/>
        <w:footnoteRef/>
        <w:tab/>
      </w:r>
      <w:r>
        <w:rPr/>
        <w:t>epistemology</w:t>
      </w:r>
    </w:p>
  </w:footnote>
  <w:footnote w:id="4">
    <w:p>
      <w:pPr>
        <w:pStyle w:val="Footnote"/>
        <w:rPr/>
      </w:pPr>
      <w:r>
        <w:rPr/>
        <w:footnoteRef/>
        <w:tab/>
      </w:r>
      <w:r>
        <w:rPr/>
        <w:t>empirical</w:t>
      </w:r>
    </w:p>
  </w:footnote>
  <w:footnote w:id="5">
    <w:p>
      <w:pPr>
        <w:pStyle w:val="Footnote"/>
        <w:rPr/>
      </w:pPr>
      <w:r>
        <w:rPr/>
        <w:footnoteRef/>
        <w:tab/>
      </w:r>
      <w:r>
        <w:rPr/>
        <w:t>concepts</w:t>
      </w:r>
    </w:p>
  </w:footnote>
  <w:footnote w:id="6">
    <w:p>
      <w:pPr>
        <w:pStyle w:val="Footnote"/>
        <w:rPr/>
      </w:pPr>
      <w:r>
        <w:rPr/>
        <w:footnoteRef/>
        <w:tab/>
      </w:r>
      <w:r>
        <w:rPr/>
        <w:t>epistemic</w:t>
      </w:r>
    </w:p>
  </w:footnote>
  <w:footnote w:id="7">
    <w:p>
      <w:pPr>
        <w:pStyle w:val="Footnote"/>
        <w:rPr/>
      </w:pPr>
      <w:r>
        <w:rPr/>
        <w:footnoteRef/>
        <w:tab/>
        <w:t>foundationalism</w:t>
      </w:r>
    </w:p>
  </w:footnote>
  <w:footnote w:id="8">
    <w:p>
      <w:pPr>
        <w:pStyle w:val="Footnote"/>
        <w:rPr/>
      </w:pPr>
      <w:r>
        <w:rPr/>
        <w:footnoteRef/>
        <w:tab/>
        <w:t>coherentism</w:t>
      </w:r>
    </w:p>
  </w:footnote>
  <w:footnote w:id="9">
    <w:p>
      <w:pPr>
        <w:pStyle w:val="Footnote"/>
        <w:rPr/>
      </w:pPr>
      <w:r>
        <w:rPr/>
        <w:footnoteRef/>
        <w:tab/>
        <w:t>externalist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Tahoma"/>
        <w:sz w:val="24"/>
        <w:szCs w:val="24"/>
        <w:lang w:val="en-US" w:eastAsia="zh-CN" w:bidi="fa-IR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Tahoma"/>
      <w:color w:val="00000A"/>
      <w:sz w:val="24"/>
      <w:szCs w:val="24"/>
      <w:lang w:val="en-US" w:eastAsia="zh-CN" w:bidi="fa-IR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Footnote">
    <w:name w:val="Footnot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tsHeading">
    <w:name w:val="Contents Heading"/>
    <w:basedOn w:val="Heading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2015-06-15T17:08:29Z</dcterms:created>
  <dc:creator>Amouei </dc:creator>
  <dc:language>en-US</dc:language>
  <cp:revision>1</cp:revision>
</cp:coreProperties>
</file>