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4.wmf" ContentType="image/x-wmf"/>
  <Override PartName="/word/media/image3.wmf" ContentType="image/x-wmf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/>
        <mc:AlternateContent>
          <mc:Choice Requires="wps">
            <w:drawing>
              <wp:inline distT="0" distB="0" distL="0" distR="0">
                <wp:extent cx="2000885" cy="1324610"/>
                <wp:effectExtent l="0" t="0" r="0" b="0"/>
                <wp:docPr id="1" name="Imag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00160" cy="132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age 3" stroked="f" style="position:absolute;margin-left:0pt;margin-top:0pt;width:157.45pt;height:104.2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right"/>
        <w:rPr/>
      </w:pPr>
      <w:r>
        <w:rPr/>
        <w:t>Sain Bel, le 20/02/2015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Résidences la Roche d’Ajoux, le Colombier, les Pins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Selon l’article 3 de votre convention d’association, la Fédération apporte à l’association les prestations et services suivants :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</w:rPr>
      </w:pPr>
      <w:r>
        <w:rPr>
          <w:i/>
        </w:rPr>
        <w:t>Représentation par la Fédération Départementale auprès des organismes officiels et des pouvoirs publics du département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Soutien technique dans les tâches administratives, comptables, budgétaires et de gestion de personnel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</w:rPr>
      </w:pPr>
      <w:r>
        <w:rPr>
          <w:i/>
        </w:rPr>
        <w:t>Informations Diverses.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>Nous pouvons ainsi détailler en 3 groupes l’appui apporté et le coût correspondant 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  <w:u w:val="single"/>
        </w:rPr>
        <w:t>Gestion du personnel</w:t>
      </w:r>
      <w:r>
        <w:rPr>
          <w:b/>
        </w:rPr>
        <w:t xml:space="preserve"> : </w:t>
      </w:r>
      <w:r>
        <w:rPr/>
        <w:t>16,24 €/Contrat/mois (appliqué uniquement sur la base les CDI)</w:t>
      </w:r>
    </w:p>
    <w:p>
      <w:pPr>
        <w:pStyle w:val="Normal"/>
        <w:spacing w:before="0" w:after="0"/>
        <w:jc w:val="both"/>
        <w:rPr/>
      </w:pPr>
      <w:r>
        <w:rPr/>
        <w:t>Suivi des contrats de travail, avenants, des fins de contrat. Elaboration des fiches de payes, virements des payes, édition des états. Calcul et suivi des règlements des cotisations sociales.</w:t>
      </w:r>
    </w:p>
    <w:p>
      <w:pPr>
        <w:pStyle w:val="Normal"/>
        <w:jc w:val="both"/>
        <w:rPr/>
      </w:pPr>
      <w:r>
        <w:rPr/>
        <w:t>Conseil juridique en droit du travail.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  <w:u w:val="single"/>
        </w:rPr>
        <w:t>Accompagnement régulier </w:t>
      </w:r>
      <w:r>
        <w:rPr/>
        <w:t>: 0,60% de la masse budgétaire</w:t>
      </w:r>
    </w:p>
    <w:p>
      <w:pPr>
        <w:pStyle w:val="Normal"/>
        <w:spacing w:before="0" w:after="0"/>
        <w:jc w:val="both"/>
        <w:rPr/>
      </w:pPr>
      <w:r>
        <w:rPr>
          <w:u w:val="single"/>
        </w:rPr>
        <w:t>Facturation </w:t>
      </w:r>
      <w:r>
        <w:rPr/>
        <w:t>:</w:t>
      </w:r>
    </w:p>
    <w:p>
      <w:pPr>
        <w:pStyle w:val="Normal"/>
        <w:spacing w:before="0" w:after="120"/>
        <w:jc w:val="both"/>
        <w:rPr/>
      </w:pPr>
      <w:r>
        <w:rPr/>
        <w:t>Emission des factures aux résidents et à l’aide sociale, mise en place des prélèvements</w:t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  <w:t xml:space="preserve">Trésorerie/comptabilité : </w:t>
      </w:r>
    </w:p>
    <w:p>
      <w:pPr>
        <w:pStyle w:val="Normal"/>
        <w:spacing w:before="0" w:after="120"/>
        <w:jc w:val="both"/>
        <w:rPr/>
      </w:pPr>
      <w:r>
        <w:rPr/>
        <w:t xml:space="preserve">Saisie, contrôle de la comptabilité, état de rapprochement bancaire. Suivi des règlements des résidents. Suivi des amortissements des immobilisations. Travaux annuels : enregistrements comptables  des charges </w:t>
      </w:r>
      <w:bookmarkStart w:id="0" w:name="_GoBack"/>
      <w:bookmarkEnd w:id="0"/>
      <w:r>
        <w:rPr/>
        <w:t>à payer, charges constatées d’avance, produits à recevoir.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  <w:u w:val="single"/>
        </w:rPr>
        <w:t xml:space="preserve">Accompagnement annuel </w:t>
      </w:r>
      <w:r>
        <w:rPr/>
        <w:t>: 2 244 € par tranche de 500 000 €</w:t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  <w:t>Comptes annuels :</w:t>
      </w:r>
    </w:p>
    <w:p>
      <w:pPr>
        <w:pStyle w:val="Normal"/>
        <w:spacing w:before="0" w:after="0"/>
        <w:jc w:val="both"/>
        <w:rPr/>
      </w:pPr>
      <w:r>
        <w:rPr/>
        <w:t>Réalisation des comptes de résultats, bilans, comptes administratifs pour le Conseil Général.</w:t>
      </w:r>
    </w:p>
    <w:p>
      <w:pPr>
        <w:pStyle w:val="Normal"/>
        <w:jc w:val="both"/>
        <w:rPr/>
      </w:pPr>
      <w:r>
        <w:rPr/>
        <w:t>Echanges, explications, analyses, présentation en Conseil d’Administration. Rencontre du financeur.</w:t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  <w:t>Budgets prévisionnels :</w:t>
      </w:r>
    </w:p>
    <w:p>
      <w:pPr>
        <w:pStyle w:val="Normal"/>
        <w:spacing w:before="0" w:after="0"/>
        <w:jc w:val="both"/>
        <w:rPr/>
      </w:pPr>
      <w:r>
        <w:rPr/>
        <w:t>Réalisation des budgets à remettre pour le Conseil Général. Rencontre du financeur.</w:t>
      </w:r>
    </w:p>
    <w:p>
      <w:pPr>
        <w:pStyle w:val="Normal"/>
        <w:spacing w:before="0" w:after="0"/>
        <w:jc w:val="both"/>
        <w:rPr/>
      </w:pPr>
      <w:r>
        <w:rPr/>
        <w:t>Echanges, explications, analyses, présentation en Conseil d’Administration.</w:t>
      </w:r>
    </w:p>
    <w:p>
      <w:pPr>
        <w:pStyle w:val="Normal"/>
        <w:jc w:val="both"/>
        <w:rPr/>
      </w:pPr>
      <w:r>
        <w:rPr/>
        <w:t>Réalisation de suivis budgétaires, de suivi des subventions.</w:t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  <w:t>Vie Associative :</w:t>
      </w:r>
    </w:p>
    <w:p>
      <w:pPr>
        <w:pStyle w:val="Normal"/>
        <w:jc w:val="both"/>
        <w:rPr/>
      </w:pPr>
      <w:r>
        <w:rPr/>
        <w:t>Participation à certains Conseils d’Administrations. Organisation d’une commission annuelle des Etablissements.</w:t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  <w:t>Divers et/ou évènements exceptionnels :</w:t>
      </w:r>
    </w:p>
    <w:p>
      <w:pPr>
        <w:pStyle w:val="Normal"/>
        <w:spacing w:before="0" w:after="0"/>
        <w:jc w:val="both"/>
        <w:rPr/>
      </w:pPr>
      <w:r>
        <w:rPr/>
        <w:t>Appui à l’organisation des formations des salariés. Invitation aux réunions, formations des bénévoles. Conseils informatiques, intranet.</w:t>
      </w:r>
    </w:p>
    <w:p>
      <w:pPr>
        <w:pStyle w:val="Normal"/>
        <w:spacing w:before="0" w:after="0"/>
        <w:jc w:val="both"/>
        <w:rPr/>
      </w:pPr>
      <w:r>
        <w:rPr/>
        <w:t xml:space="preserve">Appui à la réalisation des évaluations internes et externes. </w:t>
      </w:r>
      <w:r>
        <w:br w:type="page"/>
      </w:r>
    </w:p>
    <w:p>
      <w:pPr>
        <w:pStyle w:val="Normal"/>
        <w:spacing w:before="0" w:after="160"/>
        <w:rPr/>
      </w:pPr>
      <w:r>
        <w:rPr/>
        <mc:AlternateContent>
          <mc:Choice Requires="wps">
            <w:drawing>
              <wp:inline distT="0" distB="0" distL="0" distR="0">
                <wp:extent cx="9859010" cy="5106035"/>
                <wp:effectExtent l="0" t="0" r="0" b="0"/>
                <wp:docPr id="2" name="Image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9858240" cy="5105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age 6" stroked="f" style="position:absolute;margin-left:0pt;margin-top:0pt;width:776.2pt;height:401.9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footerReference w:type="default" r:id="rId6"/>
      <w:type w:val="nextPage"/>
      <w:pgSz w:w="11906" w:h="16838"/>
      <w:pgMar w:left="1418" w:right="1418" w:header="0" w:top="0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6640195</wp:posOffset>
              </wp:positionH>
              <wp:positionV relativeFrom="page">
                <wp:posOffset>10010775</wp:posOffset>
              </wp:positionV>
              <wp:extent cx="399415" cy="28448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284480"/>
                      </a:xfrm>
                      <a:prstGeom prst="rect"/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decadre"/>
                            <w:spacing w:before="0" w:after="160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808080" strokeweight="0pt" style="position:absolute;rotation:0;width:31.45pt;height:22.4pt;mso-wrap-distance-left:9pt;mso-wrap-distance-right:9pt;mso-wrap-distance-top:0pt;mso-wrap-distance-bottom:0pt;margin-top:788.25pt;mso-position-vertical-relative:page;margin-left:522.85pt;mso-position-horizontal-relative:page">
              <v:textbox>
                <w:txbxContent>
                  <w:p>
                    <w:pPr>
                      <w:pStyle w:val="Contenudecadre"/>
                      <w:spacing w:before="0" w:after="160"/>
                      <w:rPr/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c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67383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867383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1322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  <w:b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80a9b"/>
    <w:pPr>
      <w:spacing w:lineRule="auto" w:line="240" w:before="0" w:after="0"/>
      <w:ind w:left="720" w:hanging="0"/>
    </w:pPr>
    <w:rPr/>
  </w:style>
  <w:style w:type="paragraph" w:styleId="Entte">
    <w:name w:val="En-tête"/>
    <w:basedOn w:val="Normal"/>
    <w:link w:val="HeaderChar"/>
    <w:uiPriority w:val="99"/>
    <w:rsid w:val="008673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FooterChar"/>
    <w:uiPriority w:val="99"/>
    <w:rsid w:val="008673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0132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516af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Application>LibreOffice/4.4.0.3$Windows_x86 LibreOffice_project/de093506bcdc5fafd9023ee680b8c60e3e0645d7</Application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2015-02-21T09:56:00Z</dcterms:created>
  <dc:creator>SOULELIAC Catherine</dc:creator>
  <dc:language>fr-FR</dc:language>
  <cp:lastPrinted>2015-02-20T10:50:00Z</cp:lastPrinted>
  <dcterms:modified xsi:type="dcterms:W3CDTF">2015-02-21T15:07:57Z</dcterms:modified>
  <cp:revision>3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