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34" w:rsidRPr="0089496D" w:rsidRDefault="001F0534" w:rsidP="001F0534">
      <w:pPr>
        <w:pStyle w:val="Heading1"/>
        <w:spacing w:before="240" w:line="480" w:lineRule="auto"/>
        <w:jc w:val="both"/>
        <w:rPr>
          <w:rFonts w:ascii="Times New Roman" w:hAnsi="Times New Roman" w:cs="Times New Roman"/>
          <w:b/>
        </w:rPr>
      </w:pPr>
      <w:bookmarkStart w:id="0" w:name="_Toc311701008"/>
      <w:bookmarkStart w:id="1" w:name="_Toc311703916"/>
      <w:r w:rsidRPr="0089496D">
        <w:rPr>
          <w:rFonts w:ascii="Times New Roman" w:hAnsi="Times New Roman" w:cs="Times New Roman"/>
          <w:b/>
        </w:rPr>
        <w:t>Livelihood adaptation choices, constraints and correlates of adaptation choices for househ</w:t>
      </w:r>
      <w:r>
        <w:rPr>
          <w:rFonts w:ascii="Times New Roman" w:hAnsi="Times New Roman" w:cs="Times New Roman"/>
          <w:b/>
        </w:rPr>
        <w:t>olds who share boundaries with game p</w:t>
      </w:r>
      <w:r w:rsidRPr="0089496D">
        <w:rPr>
          <w:rFonts w:ascii="Times New Roman" w:hAnsi="Times New Roman" w:cs="Times New Roman"/>
          <w:b/>
        </w:rPr>
        <w:t>arks: Can game parks be trusted as livelihoods sources?</w:t>
      </w:r>
      <w:bookmarkEnd w:id="0"/>
      <w:bookmarkEnd w:id="1"/>
    </w:p>
    <w:p w:rsidR="0021441A" w:rsidRPr="0021441A" w:rsidRDefault="0021441A" w:rsidP="0021441A">
      <w:pPr>
        <w:pStyle w:val="Heading1"/>
        <w:spacing w:before="240" w:line="480" w:lineRule="auto"/>
        <w:rPr>
          <w:rFonts w:ascii="Times New Roman" w:hAnsi="Times New Roman" w:cs="Times New Roman"/>
        </w:rPr>
      </w:pPr>
      <w:bookmarkStart w:id="2" w:name="_Toc311701009"/>
      <w:bookmarkStart w:id="3" w:name="_Toc311703917"/>
      <w:proofErr w:type="spellStart"/>
      <w:r w:rsidRPr="0021441A">
        <w:rPr>
          <w:rFonts w:ascii="Times New Roman" w:hAnsi="Times New Roman" w:cs="Times New Roman"/>
        </w:rPr>
        <w:t>Tauvinga</w:t>
      </w:r>
      <w:proofErr w:type="spellEnd"/>
      <w:r w:rsidRPr="0021441A">
        <w:rPr>
          <w:rFonts w:ascii="Times New Roman" w:hAnsi="Times New Roman" w:cs="Times New Roman"/>
        </w:rPr>
        <w:t xml:space="preserve"> and </w:t>
      </w:r>
      <w:proofErr w:type="spellStart"/>
      <w:r w:rsidRPr="0021441A">
        <w:rPr>
          <w:rFonts w:ascii="Times New Roman" w:hAnsi="Times New Roman" w:cs="Times New Roman"/>
        </w:rPr>
        <w:t>Mashunje</w:t>
      </w:r>
      <w:proofErr w:type="spellEnd"/>
    </w:p>
    <w:p w:rsidR="001F0534" w:rsidRPr="0089496D" w:rsidRDefault="001F0534" w:rsidP="00E83E15">
      <w:pPr>
        <w:pStyle w:val="Heading1"/>
        <w:spacing w:before="240" w:line="480" w:lineRule="auto"/>
        <w:jc w:val="center"/>
        <w:rPr>
          <w:rFonts w:ascii="Times New Roman" w:hAnsi="Times New Roman" w:cs="Times New Roman"/>
          <w:b/>
          <w:i/>
        </w:rPr>
      </w:pPr>
      <w:r w:rsidRPr="0089496D">
        <w:rPr>
          <w:rFonts w:ascii="Times New Roman" w:hAnsi="Times New Roman" w:cs="Times New Roman"/>
          <w:b/>
        </w:rPr>
        <w:t>Abstract</w:t>
      </w:r>
      <w:bookmarkEnd w:id="2"/>
      <w:bookmarkEnd w:id="3"/>
    </w:p>
    <w:p w:rsidR="001F0534" w:rsidRPr="0068531F" w:rsidRDefault="004C1C8B" w:rsidP="004C1C8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This paper</w:t>
      </w:r>
      <w:r w:rsidR="001F0534" w:rsidRPr="0068531F">
        <w:rPr>
          <w:rFonts w:ascii="Times New Roman" w:hAnsi="Times New Roman" w:cs="Times New Roman"/>
          <w:sz w:val="24"/>
          <w:szCs w:val="24"/>
        </w:rPr>
        <w:t xml:space="preserve"> investigated livelihood adaptation choices, possible constraints and correlates of adaptation choices for households who share boundaries with </w:t>
      </w:r>
      <w:proofErr w:type="spellStart"/>
      <w:r w:rsidR="001F0534" w:rsidRPr="0068531F">
        <w:rPr>
          <w:rFonts w:ascii="Times New Roman" w:hAnsi="Times New Roman" w:cs="Times New Roman"/>
          <w:sz w:val="24"/>
          <w:szCs w:val="24"/>
        </w:rPr>
        <w:t>Nyatana</w:t>
      </w:r>
      <w:proofErr w:type="spellEnd"/>
      <w:r w:rsidR="001F0534" w:rsidRPr="0068531F">
        <w:rPr>
          <w:rFonts w:ascii="Times New Roman" w:hAnsi="Times New Roman" w:cs="Times New Roman"/>
          <w:sz w:val="24"/>
          <w:szCs w:val="24"/>
        </w:rPr>
        <w:t xml:space="preserve"> Game Park in Zimbabwe. </w:t>
      </w:r>
      <w:r w:rsidR="00BA5C88">
        <w:rPr>
          <w:rFonts w:ascii="Times New Roman" w:hAnsi="Times New Roman" w:cs="Times New Roman"/>
          <w:sz w:val="24"/>
          <w:szCs w:val="24"/>
        </w:rPr>
        <w:t>T</w:t>
      </w:r>
      <w:r w:rsidR="00126A0D">
        <w:rPr>
          <w:rFonts w:ascii="Times New Roman" w:hAnsi="Times New Roman" w:cs="Times New Roman"/>
          <w:sz w:val="24"/>
          <w:szCs w:val="24"/>
        </w:rPr>
        <w:t>he paper</w:t>
      </w:r>
      <w:r w:rsidR="001F0534" w:rsidRPr="0068531F">
        <w:rPr>
          <w:rFonts w:ascii="Times New Roman" w:hAnsi="Times New Roman" w:cs="Times New Roman"/>
          <w:sz w:val="24"/>
          <w:szCs w:val="24"/>
        </w:rPr>
        <w:t xml:space="preserve"> was </w:t>
      </w:r>
      <w:r w:rsidR="00BA5C88">
        <w:rPr>
          <w:rFonts w:ascii="Times New Roman" w:hAnsi="Times New Roman" w:cs="Times New Roman"/>
          <w:sz w:val="24"/>
          <w:szCs w:val="24"/>
        </w:rPr>
        <w:t xml:space="preserve">motivated by </w:t>
      </w:r>
      <w:r w:rsidR="001F0534" w:rsidRPr="0068531F">
        <w:rPr>
          <w:rFonts w:ascii="Times New Roman" w:hAnsi="Times New Roman" w:cs="Times New Roman"/>
          <w:sz w:val="24"/>
          <w:szCs w:val="24"/>
        </w:rPr>
        <w:t>conflicting conclusions that surro</w:t>
      </w:r>
      <w:r w:rsidR="001F0534">
        <w:rPr>
          <w:rFonts w:ascii="Times New Roman" w:hAnsi="Times New Roman" w:cs="Times New Roman"/>
          <w:sz w:val="24"/>
          <w:szCs w:val="24"/>
        </w:rPr>
        <w:t>und the potential of game p</w:t>
      </w:r>
      <w:r w:rsidR="001F0534" w:rsidRPr="0068531F">
        <w:rPr>
          <w:rFonts w:ascii="Times New Roman" w:hAnsi="Times New Roman" w:cs="Times New Roman"/>
          <w:sz w:val="24"/>
          <w:szCs w:val="24"/>
        </w:rPr>
        <w:t xml:space="preserve">arks to address livelihoods in rural areas. </w:t>
      </w:r>
      <w:r>
        <w:rPr>
          <w:rFonts w:ascii="Times New Roman" w:hAnsi="Times New Roman" w:cs="Times New Roman"/>
          <w:sz w:val="24"/>
          <w:szCs w:val="24"/>
        </w:rPr>
        <w:t>H</w:t>
      </w:r>
      <w:r w:rsidR="001F0534" w:rsidRPr="0068531F">
        <w:rPr>
          <w:rFonts w:ascii="Times New Roman" w:hAnsi="Times New Roman" w:cs="Times New Roman"/>
          <w:sz w:val="24"/>
          <w:szCs w:val="24"/>
        </w:rPr>
        <w:t xml:space="preserve">ousehold survey data </w:t>
      </w:r>
      <w:r w:rsidR="001F0534">
        <w:rPr>
          <w:rFonts w:ascii="Times New Roman" w:hAnsi="Times New Roman" w:cs="Times New Roman"/>
          <w:sz w:val="24"/>
          <w:szCs w:val="24"/>
        </w:rPr>
        <w:t>results suggest that game p</w:t>
      </w:r>
      <w:r w:rsidR="001F0534" w:rsidRPr="0068531F">
        <w:rPr>
          <w:rFonts w:ascii="Times New Roman" w:hAnsi="Times New Roman" w:cs="Times New Roman"/>
          <w:sz w:val="24"/>
          <w:szCs w:val="24"/>
        </w:rPr>
        <w:t>arks may not be trusted as a reliable and sustainable livelihood source due to insecure property rights</w:t>
      </w:r>
      <w:r w:rsidR="00BA5C88">
        <w:rPr>
          <w:rFonts w:ascii="Times New Roman" w:hAnsi="Times New Roman" w:cs="Times New Roman"/>
          <w:sz w:val="24"/>
          <w:szCs w:val="24"/>
        </w:rPr>
        <w:t xml:space="preserve"> and low returns</w:t>
      </w:r>
      <w:r w:rsidR="001F0534" w:rsidRPr="0068531F">
        <w:rPr>
          <w:rFonts w:ascii="Times New Roman" w:hAnsi="Times New Roman" w:cs="Times New Roman"/>
          <w:sz w:val="24"/>
          <w:szCs w:val="24"/>
        </w:rPr>
        <w:t xml:space="preserve">. </w:t>
      </w:r>
      <w:r w:rsidRPr="0068531F">
        <w:rPr>
          <w:rFonts w:ascii="Times New Roman" w:hAnsi="Times New Roman" w:cs="Times New Roman"/>
          <w:sz w:val="24"/>
          <w:szCs w:val="24"/>
        </w:rPr>
        <w:t>Full devolution of user rights to local communities</w:t>
      </w:r>
      <w:r>
        <w:rPr>
          <w:rFonts w:ascii="Times New Roman" w:hAnsi="Times New Roman" w:cs="Times New Roman"/>
          <w:sz w:val="24"/>
          <w:szCs w:val="24"/>
        </w:rPr>
        <w:t>,</w:t>
      </w:r>
      <w:r w:rsidR="00BA5C88">
        <w:rPr>
          <w:rFonts w:ascii="Times New Roman" w:hAnsi="Times New Roman" w:cs="Times New Roman"/>
          <w:sz w:val="24"/>
          <w:szCs w:val="24"/>
        </w:rPr>
        <w:t xml:space="preserve"> full </w:t>
      </w:r>
      <w:proofErr w:type="spellStart"/>
      <w:r w:rsidR="00BA5C88">
        <w:rPr>
          <w:rFonts w:ascii="Times New Roman" w:hAnsi="Times New Roman" w:cs="Times New Roman"/>
          <w:sz w:val="24"/>
          <w:szCs w:val="24"/>
        </w:rPr>
        <w:t>utilisation</w:t>
      </w:r>
      <w:proofErr w:type="spellEnd"/>
      <w:r w:rsidR="00BA5C88">
        <w:rPr>
          <w:rFonts w:ascii="Times New Roman" w:hAnsi="Times New Roman" w:cs="Times New Roman"/>
          <w:sz w:val="24"/>
          <w:szCs w:val="24"/>
        </w:rPr>
        <w:t xml:space="preserve"> of non-consumptive and consumptive ecotourism activities and reduction of high problem animal challenges were some of the suggested approaches.    </w:t>
      </w:r>
      <w:r>
        <w:rPr>
          <w:rFonts w:ascii="Times New Roman" w:hAnsi="Times New Roman" w:cs="Times New Roman"/>
          <w:sz w:val="24"/>
          <w:szCs w:val="24"/>
        </w:rPr>
        <w:t xml:space="preserve"> </w:t>
      </w:r>
      <w:r w:rsidRPr="0068531F">
        <w:rPr>
          <w:rFonts w:ascii="Times New Roman" w:hAnsi="Times New Roman" w:cs="Times New Roman"/>
          <w:sz w:val="24"/>
          <w:szCs w:val="24"/>
        </w:rPr>
        <w:t xml:space="preserve"> </w:t>
      </w:r>
    </w:p>
    <w:p w:rsidR="001F0534" w:rsidRPr="0068531F" w:rsidRDefault="001F0534" w:rsidP="001F0534">
      <w:pPr>
        <w:spacing w:line="360" w:lineRule="auto"/>
        <w:jc w:val="both"/>
        <w:rPr>
          <w:rFonts w:ascii="Times New Roman" w:hAnsi="Times New Roman" w:cs="Times New Roman"/>
          <w:i/>
          <w:sz w:val="24"/>
          <w:szCs w:val="24"/>
        </w:rPr>
      </w:pPr>
    </w:p>
    <w:p w:rsidR="001F0534" w:rsidRPr="0068531F" w:rsidRDefault="001F0534" w:rsidP="001F0534">
      <w:pPr>
        <w:spacing w:line="360" w:lineRule="auto"/>
        <w:rPr>
          <w:rFonts w:ascii="Times New Roman" w:hAnsi="Times New Roman" w:cs="Times New Roman"/>
          <w:b/>
          <w:sz w:val="24"/>
          <w:szCs w:val="24"/>
        </w:rPr>
      </w:pPr>
      <w:r w:rsidRPr="0068531F">
        <w:rPr>
          <w:rFonts w:ascii="Times New Roman" w:hAnsi="Times New Roman" w:cs="Times New Roman"/>
          <w:b/>
          <w:sz w:val="24"/>
          <w:szCs w:val="24"/>
        </w:rPr>
        <w:t xml:space="preserve">Key words: </w:t>
      </w:r>
      <w:r w:rsidRPr="0068531F">
        <w:rPr>
          <w:rFonts w:ascii="Times New Roman" w:hAnsi="Times New Roman" w:cs="Times New Roman"/>
          <w:sz w:val="24"/>
          <w:szCs w:val="24"/>
        </w:rPr>
        <w:t>L</w:t>
      </w:r>
      <w:r>
        <w:rPr>
          <w:rFonts w:ascii="Times New Roman" w:hAnsi="Times New Roman" w:cs="Times New Roman"/>
          <w:sz w:val="24"/>
          <w:szCs w:val="24"/>
        </w:rPr>
        <w:t>ivelihoods adaptation choices, game p</w:t>
      </w:r>
      <w:r w:rsidRPr="0068531F">
        <w:rPr>
          <w:rFonts w:ascii="Times New Roman" w:hAnsi="Times New Roman" w:cs="Times New Roman"/>
          <w:sz w:val="24"/>
          <w:szCs w:val="24"/>
        </w:rPr>
        <w:t>arks as livelihoods sources</w:t>
      </w:r>
      <w:r w:rsidRPr="0068531F">
        <w:rPr>
          <w:rFonts w:ascii="Times New Roman" w:hAnsi="Times New Roman" w:cs="Times New Roman"/>
          <w:b/>
          <w:sz w:val="24"/>
          <w:szCs w:val="24"/>
        </w:rPr>
        <w:t xml:space="preserve"> </w:t>
      </w:r>
    </w:p>
    <w:p w:rsidR="001F0534" w:rsidRPr="003E698A" w:rsidRDefault="00126A0D" w:rsidP="00080788">
      <w:pPr>
        <w:pStyle w:val="Heading2"/>
        <w:spacing w:before="240" w:line="360" w:lineRule="auto"/>
        <w:rPr>
          <w:rFonts w:ascii="Times New Roman" w:hAnsi="Times New Roman" w:cs="Times New Roman"/>
          <w:b w:val="0"/>
          <w:color w:val="auto"/>
        </w:rPr>
      </w:pPr>
      <w:bookmarkStart w:id="4" w:name="_Toc311701010"/>
      <w:bookmarkStart w:id="5" w:name="_Toc311703918"/>
      <w:r>
        <w:rPr>
          <w:rFonts w:ascii="Times New Roman" w:hAnsi="Times New Roman" w:cs="Times New Roman"/>
          <w:color w:val="auto"/>
        </w:rPr>
        <w:t xml:space="preserve">1. </w:t>
      </w:r>
      <w:r w:rsidR="001F0534" w:rsidRPr="003E698A">
        <w:rPr>
          <w:rFonts w:ascii="Times New Roman" w:hAnsi="Times New Roman" w:cs="Times New Roman"/>
          <w:color w:val="auto"/>
        </w:rPr>
        <w:t>Introduction</w:t>
      </w:r>
      <w:bookmarkEnd w:id="4"/>
      <w:bookmarkEnd w:id="5"/>
      <w:r w:rsidR="001F0534" w:rsidRPr="003E698A">
        <w:rPr>
          <w:rFonts w:ascii="Times New Roman" w:hAnsi="Times New Roman" w:cs="Times New Roman"/>
          <w:color w:val="auto"/>
        </w:rPr>
        <w:t xml:space="preserve"> </w:t>
      </w:r>
    </w:p>
    <w:p w:rsidR="001F0534" w:rsidRPr="0068531F" w:rsidRDefault="001F0534" w:rsidP="00080788">
      <w:pPr>
        <w:spacing w:before="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Most rural areas in the marginal areas of Zimbabwe are </w:t>
      </w:r>
      <w:proofErr w:type="spellStart"/>
      <w:r w:rsidRPr="0068531F">
        <w:rPr>
          <w:rFonts w:ascii="Times New Roman" w:hAnsi="Times New Roman" w:cs="Times New Roman"/>
          <w:sz w:val="24"/>
          <w:szCs w:val="24"/>
        </w:rPr>
        <w:t>characterised</w:t>
      </w:r>
      <w:proofErr w:type="spellEnd"/>
      <w:r w:rsidRPr="0068531F">
        <w:rPr>
          <w:rFonts w:ascii="Times New Roman" w:hAnsi="Times New Roman" w:cs="Times New Roman"/>
          <w:sz w:val="24"/>
          <w:szCs w:val="24"/>
        </w:rPr>
        <w:t xml:space="preserve"> by adverse climatic conditions (Child, 1995; </w:t>
      </w:r>
      <w:proofErr w:type="spellStart"/>
      <w:r w:rsidRPr="0068531F">
        <w:rPr>
          <w:rFonts w:ascii="Times New Roman" w:hAnsi="Times New Roman" w:cs="Times New Roman"/>
          <w:sz w:val="24"/>
          <w:szCs w:val="24"/>
        </w:rPr>
        <w:t>Rukuni</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2006). These conditions are typically </w:t>
      </w:r>
      <w:proofErr w:type="spellStart"/>
      <w:r w:rsidRPr="0068531F">
        <w:rPr>
          <w:rFonts w:ascii="Times New Roman" w:hAnsi="Times New Roman" w:cs="Times New Roman"/>
          <w:sz w:val="24"/>
          <w:szCs w:val="24"/>
        </w:rPr>
        <w:t>characterised</w:t>
      </w:r>
      <w:proofErr w:type="spellEnd"/>
      <w:r w:rsidRPr="0068531F">
        <w:rPr>
          <w:rFonts w:ascii="Times New Roman" w:hAnsi="Times New Roman" w:cs="Times New Roman"/>
          <w:sz w:val="24"/>
          <w:szCs w:val="24"/>
        </w:rPr>
        <w:t xml:space="preserve"> by high temperatures with low rainfall that is poorly distributed across the growing season of most crops (Bradley and McNamara, 1993). Also, soils are inherently poor as they consist primarily of sand soils with a lot of rock out-crop in the plough zone. Crop farming is therefore a gamble in these areas, a condition that significantly affects livelihood sources for most rural communities who are farmers by default (Bradley and McNamara, 1993).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lastRenderedPageBreak/>
        <w:t xml:space="preserve">Ellis (2000) noted that farming, on its own, does not provide a sufficient means of survival in rural areas. Effectively, most households from rural areas depend on a diverse portfolio of activities and income sources skewed in </w:t>
      </w:r>
      <w:proofErr w:type="spellStart"/>
      <w:r w:rsidRPr="0068531F">
        <w:rPr>
          <w:rFonts w:ascii="Times New Roman" w:hAnsi="Times New Roman" w:cs="Times New Roman"/>
          <w:sz w:val="24"/>
          <w:szCs w:val="24"/>
        </w:rPr>
        <w:t>favour</w:t>
      </w:r>
      <w:proofErr w:type="spellEnd"/>
      <w:r w:rsidRPr="0068531F">
        <w:rPr>
          <w:rFonts w:ascii="Times New Roman" w:hAnsi="Times New Roman" w:cs="Times New Roman"/>
          <w:sz w:val="24"/>
          <w:szCs w:val="24"/>
        </w:rPr>
        <w:t xml:space="preserve"> of natural resources, in order to complement farming (Ellis, 2000). Unfortunately, most of these natural resource activities, in rural areas, are not institutionally supported to enhance the livelihoods of rural communities for most African governments have been trying to foster farming activities (</w:t>
      </w:r>
      <w:proofErr w:type="spellStart"/>
      <w:r w:rsidRPr="0068531F">
        <w:rPr>
          <w:rFonts w:ascii="Times New Roman" w:hAnsi="Times New Roman" w:cs="Times New Roman"/>
          <w:sz w:val="24"/>
          <w:szCs w:val="24"/>
        </w:rPr>
        <w:t>Carswell</w:t>
      </w:r>
      <w:proofErr w:type="spellEnd"/>
      <w:r w:rsidRPr="0068531F">
        <w:rPr>
          <w:rFonts w:ascii="Times New Roman" w:hAnsi="Times New Roman" w:cs="Times New Roman"/>
          <w:sz w:val="24"/>
          <w:szCs w:val="24"/>
        </w:rPr>
        <w:t xml:space="preserve">, 2000) at the expense of non-farm activities.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Against this backdrop, the livelihoods adaptation capacity of households may, therefore, strongly depend on the availability of adaptation choices, the constraints associated and communities` perceptions of the various portfolio </w:t>
      </w:r>
      <w:r>
        <w:rPr>
          <w:rFonts w:ascii="Times New Roman" w:hAnsi="Times New Roman" w:cs="Times New Roman"/>
          <w:sz w:val="24"/>
          <w:szCs w:val="24"/>
        </w:rPr>
        <w:t xml:space="preserve">diversification </w:t>
      </w:r>
      <w:r w:rsidRPr="0068531F">
        <w:rPr>
          <w:rFonts w:ascii="Times New Roman" w:hAnsi="Times New Roman" w:cs="Times New Roman"/>
          <w:sz w:val="24"/>
          <w:szCs w:val="24"/>
        </w:rPr>
        <w:t xml:space="preserve">activities. In an effort to boost livelihood sources in the rural areas of Zimbabwe, </w:t>
      </w:r>
      <w:proofErr w:type="spellStart"/>
      <w:r w:rsidRPr="0068531F">
        <w:rPr>
          <w:rFonts w:ascii="Times New Roman" w:hAnsi="Times New Roman" w:cs="Times New Roman"/>
          <w:sz w:val="24"/>
          <w:szCs w:val="24"/>
        </w:rPr>
        <w:t>formalised</w:t>
      </w:r>
      <w:proofErr w:type="spellEnd"/>
      <w:r w:rsidRPr="0068531F">
        <w:rPr>
          <w:rFonts w:ascii="Times New Roman" w:hAnsi="Times New Roman" w:cs="Times New Roman"/>
          <w:sz w:val="24"/>
          <w:szCs w:val="24"/>
        </w:rPr>
        <w:t xml:space="preserve"> community managed </w:t>
      </w:r>
      <w:r w:rsidR="00126A0D">
        <w:rPr>
          <w:rFonts w:ascii="Times New Roman" w:hAnsi="Times New Roman" w:cs="Times New Roman"/>
          <w:sz w:val="24"/>
          <w:szCs w:val="24"/>
        </w:rPr>
        <w:t>g</w:t>
      </w:r>
      <w:r w:rsidRPr="0068531F">
        <w:rPr>
          <w:rFonts w:ascii="Times New Roman" w:hAnsi="Times New Roman" w:cs="Times New Roman"/>
          <w:sz w:val="24"/>
          <w:szCs w:val="24"/>
        </w:rPr>
        <w:t xml:space="preserve">ame </w:t>
      </w:r>
      <w:r w:rsidR="00126A0D">
        <w:rPr>
          <w:rFonts w:ascii="Times New Roman" w:hAnsi="Times New Roman" w:cs="Times New Roman"/>
          <w:sz w:val="24"/>
          <w:szCs w:val="24"/>
        </w:rPr>
        <w:t>p</w:t>
      </w:r>
      <w:r w:rsidRPr="0068531F">
        <w:rPr>
          <w:rFonts w:ascii="Times New Roman" w:hAnsi="Times New Roman" w:cs="Times New Roman"/>
          <w:sz w:val="24"/>
          <w:szCs w:val="24"/>
        </w:rPr>
        <w:t xml:space="preserve">arks under the banner of Communal Areas Management </w:t>
      </w:r>
      <w:proofErr w:type="spellStart"/>
      <w:r w:rsidRPr="0068531F">
        <w:rPr>
          <w:rFonts w:ascii="Times New Roman" w:hAnsi="Times New Roman" w:cs="Times New Roman"/>
          <w:sz w:val="24"/>
          <w:szCs w:val="24"/>
        </w:rPr>
        <w:t>Programmes</w:t>
      </w:r>
      <w:proofErr w:type="spellEnd"/>
      <w:r w:rsidRPr="0068531F">
        <w:rPr>
          <w:rFonts w:ascii="Times New Roman" w:hAnsi="Times New Roman" w:cs="Times New Roman"/>
          <w:sz w:val="24"/>
          <w:szCs w:val="24"/>
        </w:rPr>
        <w:t xml:space="preserve"> for Indigenous Resources (CAMPFIRE) principles were established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2003). </w:t>
      </w:r>
    </w:p>
    <w:p w:rsidR="001F0534" w:rsidRPr="0068531F" w:rsidRDefault="001F0534" w:rsidP="00080788">
      <w:pPr>
        <w:spacing w:line="360" w:lineRule="auto"/>
        <w:jc w:val="both"/>
        <w:rPr>
          <w:rFonts w:ascii="Times New Roman" w:hAnsi="Times New Roman" w:cs="Times New Roman"/>
          <w:sz w:val="24"/>
          <w:szCs w:val="24"/>
        </w:rPr>
      </w:pPr>
      <w:r>
        <w:rPr>
          <w:rFonts w:ascii="Times New Roman" w:hAnsi="Times New Roman" w:cs="Times New Roman"/>
          <w:sz w:val="24"/>
          <w:szCs w:val="24"/>
        </w:rPr>
        <w:t>Literature suggests that game p</w:t>
      </w:r>
      <w:r w:rsidRPr="0068531F">
        <w:rPr>
          <w:rFonts w:ascii="Times New Roman" w:hAnsi="Times New Roman" w:cs="Times New Roman"/>
          <w:sz w:val="24"/>
          <w:szCs w:val="24"/>
        </w:rPr>
        <w:t xml:space="preserve">arks, in principle, could provide a potential livelihood source (Fernandez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2009). This is specifically applicable to rural areas where wildlife is abundant and its management authority has been devolved to local communities; the likes of CAMPFIRE in Zimbabwe (</w:t>
      </w:r>
      <w:proofErr w:type="spellStart"/>
      <w:r w:rsidRPr="0068531F">
        <w:rPr>
          <w:rFonts w:ascii="Times New Roman" w:hAnsi="Times New Roman" w:cs="Times New Roman"/>
          <w:color w:val="000000"/>
          <w:sz w:val="24"/>
          <w:szCs w:val="24"/>
        </w:rPr>
        <w:t>Gadgil</w:t>
      </w:r>
      <w:proofErr w:type="spellEnd"/>
      <w:r w:rsidRPr="0068531F">
        <w:rPr>
          <w:rFonts w:ascii="Times New Roman" w:hAnsi="Times New Roman" w:cs="Times New Roman"/>
          <w:color w:val="000000"/>
          <w:sz w:val="24"/>
          <w:szCs w:val="24"/>
        </w:rPr>
        <w:t xml:space="preserve"> and </w:t>
      </w:r>
      <w:proofErr w:type="spellStart"/>
      <w:r w:rsidRPr="0068531F">
        <w:rPr>
          <w:rFonts w:ascii="Times New Roman" w:hAnsi="Times New Roman" w:cs="Times New Roman"/>
          <w:color w:val="000000"/>
          <w:sz w:val="24"/>
          <w:szCs w:val="24"/>
        </w:rPr>
        <w:t>Rao</w:t>
      </w:r>
      <w:proofErr w:type="spellEnd"/>
      <w:r w:rsidRPr="0068531F">
        <w:rPr>
          <w:rFonts w:ascii="Times New Roman" w:hAnsi="Times New Roman" w:cs="Times New Roman"/>
          <w:color w:val="000000"/>
          <w:sz w:val="24"/>
          <w:szCs w:val="24"/>
        </w:rPr>
        <w:t xml:space="preserve"> 1995</w:t>
      </w:r>
      <w:r w:rsidRPr="0068531F">
        <w:rPr>
          <w:rFonts w:ascii="Times New Roman" w:hAnsi="Times New Roman" w:cs="Times New Roman"/>
          <w:sz w:val="24"/>
          <w:szCs w:val="24"/>
        </w:rPr>
        <w:t xml:space="preserve">) and Game Management Areas (GMAs) in Zambia. Mixed reporting, however, dominates the practical </w:t>
      </w:r>
      <w:r>
        <w:rPr>
          <w:rFonts w:ascii="Times New Roman" w:hAnsi="Times New Roman" w:cs="Times New Roman"/>
          <w:sz w:val="24"/>
          <w:szCs w:val="24"/>
        </w:rPr>
        <w:t>potential of community managed 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arks as livelihoods sources,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2003). Many researchers therefore caution against blanket success recommendations on the gains of community-based wildlife conservation (Child, 1995; Patel, 1998; </w:t>
      </w:r>
      <w:proofErr w:type="spellStart"/>
      <w:r w:rsidRPr="0068531F">
        <w:rPr>
          <w:rFonts w:ascii="Times New Roman" w:hAnsi="Times New Roman" w:cs="Times New Roman"/>
          <w:sz w:val="24"/>
          <w:szCs w:val="24"/>
        </w:rPr>
        <w:t>Hasler</w:t>
      </w:r>
      <w:proofErr w:type="spellEnd"/>
      <w:r w:rsidRPr="0068531F">
        <w:rPr>
          <w:rFonts w:ascii="Times New Roman" w:hAnsi="Times New Roman" w:cs="Times New Roman"/>
          <w:sz w:val="24"/>
          <w:szCs w:val="24"/>
        </w:rPr>
        <w:t xml:space="preserve">, 1999), based on flagship examples.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In this regard, and for the purpose of understanding the practical </w:t>
      </w:r>
      <w:r>
        <w:rPr>
          <w:rFonts w:ascii="Times New Roman" w:hAnsi="Times New Roman" w:cs="Times New Roman"/>
          <w:sz w:val="24"/>
          <w:szCs w:val="24"/>
        </w:rPr>
        <w:t>potential of community managed game p</w:t>
      </w:r>
      <w:r w:rsidRPr="0068531F">
        <w:rPr>
          <w:rFonts w:ascii="Times New Roman" w:hAnsi="Times New Roman" w:cs="Times New Roman"/>
          <w:sz w:val="24"/>
          <w:szCs w:val="24"/>
        </w:rPr>
        <w:t>arks as livelihoods so</w:t>
      </w:r>
      <w:r w:rsidR="00126A0D">
        <w:rPr>
          <w:rFonts w:ascii="Times New Roman" w:hAnsi="Times New Roman" w:cs="Times New Roman"/>
          <w:sz w:val="24"/>
          <w:szCs w:val="24"/>
        </w:rPr>
        <w:t>urces in rural areas, this study</w:t>
      </w:r>
      <w:r w:rsidRPr="0068531F">
        <w:rPr>
          <w:rFonts w:ascii="Times New Roman" w:hAnsi="Times New Roman" w:cs="Times New Roman"/>
          <w:sz w:val="24"/>
          <w:szCs w:val="24"/>
        </w:rPr>
        <w:t xml:space="preserve"> was tailor-made to consider households sharing boundaries with an</w:t>
      </w:r>
      <w:r>
        <w:rPr>
          <w:rFonts w:ascii="Times New Roman" w:hAnsi="Times New Roman" w:cs="Times New Roman"/>
          <w:sz w:val="24"/>
          <w:szCs w:val="24"/>
        </w:rPr>
        <w:t xml:space="preserve"> operational community managed game p</w:t>
      </w:r>
      <w:r w:rsidR="00126A0D">
        <w:rPr>
          <w:rFonts w:ascii="Times New Roman" w:hAnsi="Times New Roman" w:cs="Times New Roman"/>
          <w:sz w:val="24"/>
          <w:szCs w:val="24"/>
        </w:rPr>
        <w:t>ark. The paper</w:t>
      </w:r>
      <w:r w:rsidRPr="0068531F">
        <w:rPr>
          <w:rFonts w:ascii="Times New Roman" w:hAnsi="Times New Roman" w:cs="Times New Roman"/>
          <w:sz w:val="24"/>
          <w:szCs w:val="24"/>
        </w:rPr>
        <w:t xml:space="preserve"> surveyed 240 households from the </w:t>
      </w:r>
      <w:proofErr w:type="spellStart"/>
      <w:r w:rsidRPr="0068531F">
        <w:rPr>
          <w:rFonts w:ascii="Times New Roman" w:hAnsi="Times New Roman" w:cs="Times New Roman"/>
          <w:sz w:val="24"/>
          <w:szCs w:val="24"/>
        </w:rPr>
        <w:t>Uzumba</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Maramba</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Pfungwe</w:t>
      </w:r>
      <w:proofErr w:type="spellEnd"/>
      <w:r w:rsidRPr="0068531F">
        <w:rPr>
          <w:rFonts w:ascii="Times New Roman" w:hAnsi="Times New Roman" w:cs="Times New Roman"/>
          <w:sz w:val="24"/>
          <w:szCs w:val="24"/>
        </w:rPr>
        <w:t xml:space="preserve"> (UMP),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Rushinga</w:t>
      </w:r>
      <w:proofErr w:type="spellEnd"/>
      <w:r w:rsidRPr="0068531F">
        <w:rPr>
          <w:rFonts w:ascii="Times New Roman" w:hAnsi="Times New Roman" w:cs="Times New Roman"/>
          <w:sz w:val="24"/>
          <w:szCs w:val="24"/>
        </w:rPr>
        <w:t xml:space="preserve"> communal areas of Zimbabwe, surrounding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The objective was to assess livelihood adaptation strategies, possible constraints to adaptation choices and the socio-economic as well as institutional factors capable of influencing adaptation choices for surrounding communities.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These three communal areas (UMP,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Rushinga</w:t>
      </w:r>
      <w:proofErr w:type="spellEnd"/>
      <w:r w:rsidRPr="0068531F">
        <w:rPr>
          <w:rFonts w:ascii="Times New Roman" w:hAnsi="Times New Roman" w:cs="Times New Roman"/>
          <w:sz w:val="24"/>
          <w:szCs w:val="24"/>
        </w:rPr>
        <w:t xml:space="preserve">) surround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a wilderness area of approximately 75000ha </w:t>
      </w:r>
      <w:r>
        <w:rPr>
          <w:rFonts w:ascii="Times New Roman" w:hAnsi="Times New Roman" w:cs="Times New Roman"/>
          <w:sz w:val="24"/>
          <w:szCs w:val="24"/>
        </w:rPr>
        <w:t>[</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Joint Management T</w:t>
      </w:r>
      <w:r>
        <w:rPr>
          <w:rFonts w:ascii="Times New Roman" w:hAnsi="Times New Roman" w:cs="Times New Roman"/>
          <w:sz w:val="24"/>
          <w:szCs w:val="24"/>
        </w:rPr>
        <w:t>rust (NJMT), 2011]. The entire game p</w:t>
      </w:r>
      <w:r w:rsidRPr="0068531F">
        <w:rPr>
          <w:rFonts w:ascii="Times New Roman" w:hAnsi="Times New Roman" w:cs="Times New Roman"/>
          <w:sz w:val="24"/>
          <w:szCs w:val="24"/>
        </w:rPr>
        <w:t xml:space="preserve">ark is managed under consumptive and non consumptive ecotourism using </w:t>
      </w:r>
      <w:r w:rsidRPr="0068531F">
        <w:rPr>
          <w:rFonts w:ascii="Times New Roman" w:hAnsi="Times New Roman" w:cs="Times New Roman"/>
          <w:sz w:val="24"/>
          <w:szCs w:val="24"/>
        </w:rPr>
        <w:lastRenderedPageBreak/>
        <w:t xml:space="preserve">CAMPFIRE principles with elephant trophy hunting as the main economic </w:t>
      </w:r>
      <w:r w:rsidR="00126A0D">
        <w:rPr>
          <w:rFonts w:ascii="Times New Roman" w:hAnsi="Times New Roman" w:cs="Times New Roman"/>
          <w:sz w:val="24"/>
          <w:szCs w:val="24"/>
        </w:rPr>
        <w:t>activity (NJMT, 2011). The paper</w:t>
      </w:r>
      <w:r w:rsidRPr="0068531F">
        <w:rPr>
          <w:rFonts w:ascii="Times New Roman" w:hAnsi="Times New Roman" w:cs="Times New Roman"/>
          <w:sz w:val="24"/>
          <w:szCs w:val="24"/>
        </w:rPr>
        <w:t xml:space="preserve"> primarily aimed to generate policy information regarding households` livelihoods adaptation strategies and policy targeting on enhancing the adaptation capacities of rural househ</w:t>
      </w:r>
      <w:r>
        <w:rPr>
          <w:rFonts w:ascii="Times New Roman" w:hAnsi="Times New Roman" w:cs="Times New Roman"/>
          <w:sz w:val="24"/>
          <w:szCs w:val="24"/>
        </w:rPr>
        <w:t>olds who share boundaries with game p</w:t>
      </w:r>
      <w:r w:rsidRPr="0068531F">
        <w:rPr>
          <w:rFonts w:ascii="Times New Roman" w:hAnsi="Times New Roman" w:cs="Times New Roman"/>
          <w:sz w:val="24"/>
          <w:szCs w:val="24"/>
        </w:rPr>
        <w:t xml:space="preserve">arks. </w:t>
      </w:r>
    </w:p>
    <w:p w:rsidR="001F0534" w:rsidRPr="003E698A" w:rsidRDefault="00126A0D" w:rsidP="00080788">
      <w:pPr>
        <w:pStyle w:val="Heading2"/>
        <w:spacing w:before="240" w:line="360" w:lineRule="auto"/>
        <w:rPr>
          <w:rFonts w:ascii="Times New Roman" w:hAnsi="Times New Roman" w:cs="Times New Roman"/>
          <w:b w:val="0"/>
          <w:color w:val="auto"/>
        </w:rPr>
      </w:pPr>
      <w:bookmarkStart w:id="6" w:name="_Toc311701011"/>
      <w:bookmarkStart w:id="7" w:name="_Toc311703919"/>
      <w:r>
        <w:rPr>
          <w:rFonts w:ascii="Times New Roman" w:hAnsi="Times New Roman" w:cs="Times New Roman"/>
          <w:color w:val="auto"/>
        </w:rPr>
        <w:t xml:space="preserve">2. </w:t>
      </w:r>
      <w:r w:rsidR="001F0534" w:rsidRPr="003E698A">
        <w:rPr>
          <w:rFonts w:ascii="Times New Roman" w:hAnsi="Times New Roman" w:cs="Times New Roman"/>
          <w:color w:val="auto"/>
        </w:rPr>
        <w:t xml:space="preserve"> Problem statement</w:t>
      </w:r>
      <w:bookmarkEnd w:id="6"/>
      <w:bookmarkEnd w:id="7"/>
      <w:r w:rsidR="001F0534" w:rsidRPr="003E698A">
        <w:rPr>
          <w:rFonts w:ascii="Times New Roman" w:hAnsi="Times New Roman" w:cs="Times New Roman"/>
          <w:color w:val="auto"/>
        </w:rPr>
        <w:t xml:space="preserve"> </w:t>
      </w:r>
    </w:p>
    <w:p w:rsidR="001F0534" w:rsidRPr="0068531F" w:rsidRDefault="001F0534" w:rsidP="0008078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Community managed game p</w:t>
      </w:r>
      <w:r w:rsidRPr="0068531F">
        <w:rPr>
          <w:rFonts w:ascii="Times New Roman" w:hAnsi="Times New Roman" w:cs="Times New Roman"/>
          <w:sz w:val="24"/>
          <w:szCs w:val="24"/>
        </w:rPr>
        <w:t>arks have been created on the assumption that possible ecotourism revenue may act as a livelihood source for surrounding communities capable of promoting wildlife conservation (</w:t>
      </w:r>
      <w:proofErr w:type="spellStart"/>
      <w:r w:rsidRPr="0068531F">
        <w:rPr>
          <w:rFonts w:ascii="Times New Roman" w:hAnsi="Times New Roman" w:cs="Times New Roman"/>
          <w:color w:val="000000"/>
          <w:sz w:val="24"/>
          <w:szCs w:val="24"/>
        </w:rPr>
        <w:t>Gadgil</w:t>
      </w:r>
      <w:proofErr w:type="spellEnd"/>
      <w:r w:rsidRPr="0068531F">
        <w:rPr>
          <w:rFonts w:ascii="Times New Roman" w:hAnsi="Times New Roman" w:cs="Times New Roman"/>
          <w:color w:val="000000"/>
          <w:sz w:val="24"/>
          <w:szCs w:val="24"/>
        </w:rPr>
        <w:t xml:space="preserve"> and </w:t>
      </w:r>
      <w:proofErr w:type="spellStart"/>
      <w:r w:rsidRPr="0068531F">
        <w:rPr>
          <w:rFonts w:ascii="Times New Roman" w:hAnsi="Times New Roman" w:cs="Times New Roman"/>
          <w:color w:val="000000"/>
          <w:sz w:val="24"/>
          <w:szCs w:val="24"/>
        </w:rPr>
        <w:t>Rao</w:t>
      </w:r>
      <w:proofErr w:type="spellEnd"/>
      <w:r w:rsidRPr="0068531F">
        <w:rPr>
          <w:rFonts w:ascii="Times New Roman" w:hAnsi="Times New Roman" w:cs="Times New Roman"/>
          <w:color w:val="000000"/>
          <w:sz w:val="24"/>
          <w:szCs w:val="24"/>
        </w:rPr>
        <w:t xml:space="preserve"> 1994, 1995;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2003; Fernandez </w:t>
      </w:r>
      <w:r w:rsidRPr="0068531F">
        <w:rPr>
          <w:rFonts w:ascii="Times New Roman" w:hAnsi="Times New Roman" w:cs="Times New Roman"/>
          <w:i/>
          <w:sz w:val="24"/>
          <w:szCs w:val="24"/>
        </w:rPr>
        <w:t>et al</w:t>
      </w:r>
      <w:r>
        <w:rPr>
          <w:rFonts w:ascii="Times New Roman" w:hAnsi="Times New Roman" w:cs="Times New Roman"/>
          <w:sz w:val="24"/>
          <w:szCs w:val="24"/>
        </w:rPr>
        <w:t>. 2009). However, in practice, game p</w:t>
      </w:r>
      <w:r w:rsidRPr="0068531F">
        <w:rPr>
          <w:rFonts w:ascii="Times New Roman" w:hAnsi="Times New Roman" w:cs="Times New Roman"/>
          <w:sz w:val="24"/>
          <w:szCs w:val="24"/>
        </w:rPr>
        <w:t xml:space="preserve">arks seem to have failed to generate the necessary and sufficient revenue to address livelihood requirements for the ever-growing “livelihood-hungry” surrounding rural communities. </w:t>
      </w:r>
    </w:p>
    <w:p w:rsidR="00080788"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Several studies, therefore, question the pr</w:t>
      </w:r>
      <w:r>
        <w:rPr>
          <w:rFonts w:ascii="Times New Roman" w:hAnsi="Times New Roman" w:cs="Times New Roman"/>
          <w:sz w:val="24"/>
          <w:szCs w:val="24"/>
        </w:rPr>
        <w:t>actical potential of community game p</w:t>
      </w:r>
      <w:r w:rsidRPr="0068531F">
        <w:rPr>
          <w:rFonts w:ascii="Times New Roman" w:hAnsi="Times New Roman" w:cs="Times New Roman"/>
          <w:sz w:val="24"/>
          <w:szCs w:val="24"/>
        </w:rPr>
        <w:t xml:space="preserve">arks to address the livelihoods of their surrounding communities (Child, 1995, Patel, 1998 and </w:t>
      </w:r>
      <w:proofErr w:type="spellStart"/>
      <w:r w:rsidRPr="0068531F">
        <w:rPr>
          <w:rFonts w:ascii="Times New Roman" w:hAnsi="Times New Roman" w:cs="Times New Roman"/>
          <w:sz w:val="24"/>
          <w:szCs w:val="24"/>
        </w:rPr>
        <w:t>Hasler</w:t>
      </w:r>
      <w:proofErr w:type="spellEnd"/>
      <w:r w:rsidRPr="0068531F">
        <w:rPr>
          <w:rFonts w:ascii="Times New Roman" w:hAnsi="Times New Roman" w:cs="Times New Roman"/>
          <w:sz w:val="24"/>
          <w:szCs w:val="24"/>
        </w:rPr>
        <w:t>, 1999). The current rampant elephant poaching (</w:t>
      </w:r>
      <w:proofErr w:type="spellStart"/>
      <w:r w:rsidRPr="0068531F">
        <w:rPr>
          <w:rFonts w:ascii="Times New Roman" w:hAnsi="Times New Roman" w:cs="Times New Roman"/>
          <w:sz w:val="24"/>
          <w:szCs w:val="24"/>
        </w:rPr>
        <w:t>Wasser</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w:t>
      </w:r>
      <w:r>
        <w:rPr>
          <w:rFonts w:ascii="Times New Roman" w:hAnsi="Times New Roman" w:cs="Times New Roman"/>
          <w:sz w:val="24"/>
          <w:szCs w:val="24"/>
        </w:rPr>
        <w:t>2010), under community managed game parks, and the invasion of game p</w:t>
      </w:r>
      <w:r w:rsidRPr="0068531F">
        <w:rPr>
          <w:rFonts w:ascii="Times New Roman" w:hAnsi="Times New Roman" w:cs="Times New Roman"/>
          <w:sz w:val="24"/>
          <w:szCs w:val="24"/>
        </w:rPr>
        <w:t>arks by surrounding communities may be clear warning signals of th</w:t>
      </w:r>
      <w:r>
        <w:rPr>
          <w:rFonts w:ascii="Times New Roman" w:hAnsi="Times New Roman" w:cs="Times New Roman"/>
          <w:sz w:val="24"/>
          <w:szCs w:val="24"/>
        </w:rPr>
        <w:t>e failure of community managed game p</w:t>
      </w:r>
      <w:r w:rsidRPr="0068531F">
        <w:rPr>
          <w:rFonts w:ascii="Times New Roman" w:hAnsi="Times New Roman" w:cs="Times New Roman"/>
          <w:sz w:val="24"/>
          <w:szCs w:val="24"/>
        </w:rPr>
        <w:t xml:space="preserve">arks to act as a livelihood source.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Therefore, the need arise</w:t>
      </w:r>
      <w:r>
        <w:rPr>
          <w:rFonts w:ascii="Times New Roman" w:hAnsi="Times New Roman" w:cs="Times New Roman"/>
          <w:sz w:val="24"/>
          <w:szCs w:val="24"/>
        </w:rPr>
        <w:t>s to evaluate the potential of game p</w:t>
      </w:r>
      <w:r w:rsidRPr="0068531F">
        <w:rPr>
          <w:rFonts w:ascii="Times New Roman" w:hAnsi="Times New Roman" w:cs="Times New Roman"/>
          <w:sz w:val="24"/>
          <w:szCs w:val="24"/>
        </w:rPr>
        <w:t xml:space="preserve">arks as community livelihood sources, the associated constraints and socio-economic correlates of livelihood adaptation choices for communities who share boundaries with community </w:t>
      </w:r>
      <w:r>
        <w:rPr>
          <w:rFonts w:ascii="Times New Roman" w:hAnsi="Times New Roman" w:cs="Times New Roman"/>
          <w:sz w:val="24"/>
          <w:szCs w:val="24"/>
        </w:rPr>
        <w:t>managed game p</w:t>
      </w:r>
      <w:r w:rsidRPr="0068531F">
        <w:rPr>
          <w:rFonts w:ascii="Times New Roman" w:hAnsi="Times New Roman" w:cs="Times New Roman"/>
          <w:sz w:val="24"/>
          <w:szCs w:val="24"/>
        </w:rPr>
        <w:t xml:space="preserve">arks. </w:t>
      </w:r>
    </w:p>
    <w:p w:rsidR="001F0534" w:rsidRPr="003E698A" w:rsidRDefault="00126A0D" w:rsidP="00080788">
      <w:pPr>
        <w:pStyle w:val="Heading2"/>
        <w:spacing w:before="240" w:line="360" w:lineRule="auto"/>
        <w:rPr>
          <w:rFonts w:ascii="Times New Roman" w:hAnsi="Times New Roman" w:cs="Times New Roman"/>
          <w:b w:val="0"/>
          <w:color w:val="auto"/>
        </w:rPr>
      </w:pPr>
      <w:bookmarkStart w:id="8" w:name="_Toc311701012"/>
      <w:bookmarkStart w:id="9" w:name="_Toc311703920"/>
      <w:r>
        <w:rPr>
          <w:rFonts w:ascii="Times New Roman" w:hAnsi="Times New Roman" w:cs="Times New Roman"/>
          <w:color w:val="auto"/>
        </w:rPr>
        <w:t xml:space="preserve">3. </w:t>
      </w:r>
      <w:r w:rsidR="001F0534" w:rsidRPr="003E698A">
        <w:rPr>
          <w:rFonts w:ascii="Times New Roman" w:hAnsi="Times New Roman" w:cs="Times New Roman"/>
          <w:color w:val="auto"/>
        </w:rPr>
        <w:t>Research objectives and hypotheses</w:t>
      </w:r>
      <w:bookmarkEnd w:id="8"/>
      <w:bookmarkEnd w:id="9"/>
      <w:r w:rsidR="001F0534" w:rsidRPr="003E698A">
        <w:rPr>
          <w:rFonts w:ascii="Times New Roman" w:hAnsi="Times New Roman" w:cs="Times New Roman"/>
          <w:color w:val="auto"/>
        </w:rPr>
        <w:t xml:space="preserve"> </w:t>
      </w:r>
    </w:p>
    <w:p w:rsidR="001F0534" w:rsidRPr="0068531F" w:rsidRDefault="00126A0D" w:rsidP="0008078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paper</w:t>
      </w:r>
      <w:r w:rsidR="001F0534" w:rsidRPr="0068531F">
        <w:rPr>
          <w:rFonts w:ascii="Times New Roman" w:hAnsi="Times New Roman" w:cs="Times New Roman"/>
          <w:sz w:val="24"/>
          <w:szCs w:val="24"/>
        </w:rPr>
        <w:t xml:space="preserve"> addressed the following research objectives; </w:t>
      </w:r>
    </w:p>
    <w:p w:rsidR="001F0534" w:rsidRPr="0068531F" w:rsidRDefault="001F0534" w:rsidP="00AE25FC">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8531F">
        <w:rPr>
          <w:rFonts w:ascii="Times New Roman" w:hAnsi="Times New Roman" w:cs="Times New Roman"/>
          <w:sz w:val="24"/>
          <w:szCs w:val="24"/>
        </w:rPr>
        <w:t>o identify livelihood sources for communit</w:t>
      </w:r>
      <w:r>
        <w:rPr>
          <w:rFonts w:ascii="Times New Roman" w:hAnsi="Times New Roman" w:cs="Times New Roman"/>
          <w:sz w:val="24"/>
          <w:szCs w:val="24"/>
        </w:rPr>
        <w:t>ies that share boundaries with game p</w:t>
      </w:r>
      <w:r w:rsidRPr="0068531F">
        <w:rPr>
          <w:rFonts w:ascii="Times New Roman" w:hAnsi="Times New Roman" w:cs="Times New Roman"/>
          <w:sz w:val="24"/>
          <w:szCs w:val="24"/>
        </w:rPr>
        <w:t xml:space="preserve">arks, </w:t>
      </w:r>
    </w:p>
    <w:p w:rsidR="001F0534" w:rsidRPr="0068531F" w:rsidRDefault="001F0534" w:rsidP="00AE25FC">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8531F">
        <w:rPr>
          <w:rFonts w:ascii="Times New Roman" w:hAnsi="Times New Roman" w:cs="Times New Roman"/>
          <w:sz w:val="24"/>
          <w:szCs w:val="24"/>
        </w:rPr>
        <w:t xml:space="preserve">o identify the barriers faced by households as they try to adapt to available non-farm livelihood sources and </w:t>
      </w:r>
    </w:p>
    <w:p w:rsidR="001F0534" w:rsidRPr="0068531F" w:rsidRDefault="001F0534" w:rsidP="00AE25FC">
      <w:pPr>
        <w:numPr>
          <w:ilvl w:val="0"/>
          <w:numId w:val="1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Pr="0068531F">
        <w:rPr>
          <w:rFonts w:ascii="Times New Roman" w:hAnsi="Times New Roman" w:cs="Times New Roman"/>
          <w:sz w:val="24"/>
          <w:szCs w:val="24"/>
        </w:rPr>
        <w:t>o</w:t>
      </w:r>
      <w:proofErr w:type="gramEnd"/>
      <w:r w:rsidRPr="0068531F">
        <w:rPr>
          <w:rFonts w:ascii="Times New Roman" w:hAnsi="Times New Roman" w:cs="Times New Roman"/>
          <w:sz w:val="24"/>
          <w:szCs w:val="24"/>
        </w:rPr>
        <w:t xml:space="preserve"> estimate the correlates of households` livelihoods adaptation choices.</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The first objective was motivated by the nee</w:t>
      </w:r>
      <w:r>
        <w:rPr>
          <w:rFonts w:ascii="Times New Roman" w:hAnsi="Times New Roman" w:cs="Times New Roman"/>
          <w:sz w:val="24"/>
          <w:szCs w:val="24"/>
        </w:rPr>
        <w:t>d to evaluate the potential of game p</w:t>
      </w:r>
      <w:r w:rsidRPr="0068531F">
        <w:rPr>
          <w:rFonts w:ascii="Times New Roman" w:hAnsi="Times New Roman" w:cs="Times New Roman"/>
          <w:sz w:val="24"/>
          <w:szCs w:val="24"/>
        </w:rPr>
        <w:t xml:space="preserve">arks to provide a significant livelihood source for rural communities given the mixed conclusions </w:t>
      </w:r>
      <w:r>
        <w:rPr>
          <w:rFonts w:ascii="Times New Roman" w:hAnsi="Times New Roman" w:cs="Times New Roman"/>
          <w:sz w:val="24"/>
          <w:szCs w:val="24"/>
        </w:rPr>
        <w:lastRenderedPageBreak/>
        <w:t>that surround the potential of game p</w:t>
      </w:r>
      <w:r w:rsidRPr="0068531F">
        <w:rPr>
          <w:rFonts w:ascii="Times New Roman" w:hAnsi="Times New Roman" w:cs="Times New Roman"/>
          <w:sz w:val="24"/>
          <w:szCs w:val="24"/>
        </w:rPr>
        <w:t xml:space="preserve">arks as livelihood sources (Child, 1995; Patel, 1998; </w:t>
      </w:r>
      <w:proofErr w:type="spellStart"/>
      <w:r w:rsidRPr="0068531F">
        <w:rPr>
          <w:rFonts w:ascii="Times New Roman" w:hAnsi="Times New Roman" w:cs="Times New Roman"/>
          <w:sz w:val="24"/>
          <w:szCs w:val="24"/>
        </w:rPr>
        <w:t>Hasler</w:t>
      </w:r>
      <w:proofErr w:type="spellEnd"/>
      <w:r w:rsidRPr="0068531F">
        <w:rPr>
          <w:rFonts w:ascii="Times New Roman" w:hAnsi="Times New Roman" w:cs="Times New Roman"/>
          <w:sz w:val="24"/>
          <w:szCs w:val="24"/>
        </w:rPr>
        <w:t>, 1999)</w:t>
      </w:r>
      <w:r w:rsidR="00126A0D">
        <w:rPr>
          <w:rFonts w:ascii="Times New Roman" w:hAnsi="Times New Roman" w:cs="Times New Roman"/>
          <w:sz w:val="24"/>
          <w:szCs w:val="24"/>
        </w:rPr>
        <w:t>. The paper</w:t>
      </w:r>
      <w:r>
        <w:rPr>
          <w:rFonts w:ascii="Times New Roman" w:hAnsi="Times New Roman" w:cs="Times New Roman"/>
          <w:sz w:val="24"/>
          <w:szCs w:val="24"/>
        </w:rPr>
        <w:t xml:space="preserve"> hypothesized that, game p</w:t>
      </w:r>
      <w:r w:rsidRPr="0068531F">
        <w:rPr>
          <w:rFonts w:ascii="Times New Roman" w:hAnsi="Times New Roman" w:cs="Times New Roman"/>
          <w:sz w:val="24"/>
          <w:szCs w:val="24"/>
        </w:rPr>
        <w:t>arks under the banner of the fauna portfolio are one of the major non-farm livelihood adaptation strategies for surrounding communities.</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motivation behind the second objective was </w:t>
      </w:r>
      <w:proofErr w:type="spellStart"/>
      <w:r w:rsidRPr="0068531F">
        <w:rPr>
          <w:rFonts w:ascii="Times New Roman" w:hAnsi="Times New Roman" w:cs="Times New Roman"/>
          <w:sz w:val="24"/>
          <w:szCs w:val="24"/>
        </w:rPr>
        <w:t>centred</w:t>
      </w:r>
      <w:proofErr w:type="spellEnd"/>
      <w:r w:rsidRPr="0068531F">
        <w:rPr>
          <w:rFonts w:ascii="Times New Roman" w:hAnsi="Times New Roman" w:cs="Times New Roman"/>
          <w:sz w:val="24"/>
          <w:szCs w:val="24"/>
        </w:rPr>
        <w:t xml:space="preserve"> on the </w:t>
      </w:r>
      <w:r>
        <w:rPr>
          <w:rFonts w:ascii="Times New Roman" w:hAnsi="Times New Roman" w:cs="Times New Roman"/>
          <w:sz w:val="24"/>
          <w:szCs w:val="24"/>
        </w:rPr>
        <w:t xml:space="preserve">assumption </w:t>
      </w:r>
      <w:r w:rsidRPr="0068531F">
        <w:rPr>
          <w:rFonts w:ascii="Times New Roman" w:hAnsi="Times New Roman" w:cs="Times New Roman"/>
          <w:sz w:val="24"/>
          <w:szCs w:val="24"/>
        </w:rPr>
        <w:t>that the reluctance of rural households to adapt to several livelihood options, that may appear lucrative, may be due to constraints that make those livelihood sources risky in the minds of the local com</w:t>
      </w:r>
      <w:r w:rsidR="00201010">
        <w:rPr>
          <w:rFonts w:ascii="Times New Roman" w:hAnsi="Times New Roman" w:cs="Times New Roman"/>
          <w:sz w:val="24"/>
          <w:szCs w:val="24"/>
        </w:rPr>
        <w:t>munities. Effectively, the paper</w:t>
      </w:r>
      <w:r w:rsidRPr="0068531F">
        <w:rPr>
          <w:rFonts w:ascii="Times New Roman" w:hAnsi="Times New Roman" w:cs="Times New Roman"/>
          <w:sz w:val="24"/>
          <w:szCs w:val="24"/>
        </w:rPr>
        <w:t xml:space="preserve"> hypothesized that, non-farm livelihood adaptation choices may be conditioned by institutional variables like property rights and markets.   </w:t>
      </w:r>
    </w:p>
    <w:p w:rsidR="001F0534" w:rsidRPr="0068531F" w:rsidRDefault="00201010" w:rsidP="00080788">
      <w:pPr>
        <w:spacing w:line="360" w:lineRule="auto"/>
        <w:jc w:val="both"/>
        <w:rPr>
          <w:rFonts w:ascii="Times New Roman" w:hAnsi="Times New Roman" w:cs="Times New Roman"/>
          <w:sz w:val="24"/>
          <w:szCs w:val="24"/>
        </w:rPr>
      </w:pPr>
      <w:r>
        <w:rPr>
          <w:rFonts w:ascii="Times New Roman" w:hAnsi="Times New Roman" w:cs="Times New Roman"/>
          <w:sz w:val="24"/>
          <w:szCs w:val="24"/>
        </w:rPr>
        <w:t>Lastly, the paper</w:t>
      </w:r>
      <w:r w:rsidR="001F0534" w:rsidRPr="0068531F">
        <w:rPr>
          <w:rFonts w:ascii="Times New Roman" w:hAnsi="Times New Roman" w:cs="Times New Roman"/>
          <w:sz w:val="24"/>
          <w:szCs w:val="24"/>
        </w:rPr>
        <w:t xml:space="preserve"> estimated the socio-economic and institutional factors that may influence the adaptation choices of communities. This objective was motivated by the quest to understand the direction of association and significance of several socio-economic and institutional factors capable of “pushing” communities out of on-farm livelihood activities into non-farm choices. Household socio-economic variables, like household-head age, gender and education were therefore hypothesized to condition this possible transition. </w:t>
      </w:r>
    </w:p>
    <w:p w:rsidR="001F0534" w:rsidRPr="003E698A" w:rsidRDefault="00201010" w:rsidP="00080788">
      <w:pPr>
        <w:pStyle w:val="Heading2"/>
        <w:spacing w:before="240" w:line="360" w:lineRule="auto"/>
        <w:rPr>
          <w:rFonts w:ascii="Times New Roman" w:hAnsi="Times New Roman" w:cs="Times New Roman"/>
          <w:b w:val="0"/>
          <w:color w:val="auto"/>
        </w:rPr>
      </w:pPr>
      <w:bookmarkStart w:id="10" w:name="_Toc311701013"/>
      <w:bookmarkStart w:id="11" w:name="_Toc311703921"/>
      <w:r>
        <w:rPr>
          <w:rFonts w:ascii="Times New Roman" w:hAnsi="Times New Roman" w:cs="Times New Roman"/>
          <w:color w:val="auto"/>
        </w:rPr>
        <w:t xml:space="preserve">4. </w:t>
      </w:r>
      <w:r w:rsidR="001F0534" w:rsidRPr="003E698A">
        <w:rPr>
          <w:rFonts w:ascii="Times New Roman" w:hAnsi="Times New Roman" w:cs="Times New Roman"/>
          <w:color w:val="auto"/>
        </w:rPr>
        <w:t>Related Literature</w:t>
      </w:r>
      <w:bookmarkEnd w:id="10"/>
      <w:bookmarkEnd w:id="11"/>
      <w:r w:rsidR="001F0534" w:rsidRPr="003E698A">
        <w:rPr>
          <w:rFonts w:ascii="Times New Roman" w:hAnsi="Times New Roman" w:cs="Times New Roman"/>
          <w:color w:val="auto"/>
        </w:rPr>
        <w:t xml:space="preserve"> </w:t>
      </w:r>
    </w:p>
    <w:p w:rsidR="001F0534" w:rsidRPr="0068531F" w:rsidRDefault="001F0534" w:rsidP="00080788">
      <w:pPr>
        <w:spacing w:before="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Several studies of livelihoods sources, at the household level, broadly classify livelihood strategies as agricultural intensification, diversification and migration (Valentine 1993; Adams and He, 1995; </w:t>
      </w:r>
      <w:proofErr w:type="spellStart"/>
      <w:r w:rsidRPr="0068531F">
        <w:rPr>
          <w:rFonts w:ascii="Times New Roman" w:hAnsi="Times New Roman" w:cs="Times New Roman"/>
          <w:sz w:val="24"/>
          <w:szCs w:val="24"/>
        </w:rPr>
        <w:t>Dercon</w:t>
      </w:r>
      <w:proofErr w:type="spellEnd"/>
      <w:r w:rsidRPr="0068531F">
        <w:rPr>
          <w:rFonts w:ascii="Times New Roman" w:hAnsi="Times New Roman" w:cs="Times New Roman"/>
          <w:sz w:val="24"/>
          <w:szCs w:val="24"/>
        </w:rPr>
        <w:t xml:space="preserve"> and Krishnan, 1996; Barrett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2001; </w:t>
      </w:r>
      <w:proofErr w:type="spellStart"/>
      <w:r w:rsidRPr="0068531F">
        <w:rPr>
          <w:rFonts w:ascii="Times New Roman" w:hAnsi="Times New Roman" w:cs="Times New Roman"/>
          <w:sz w:val="24"/>
          <w:szCs w:val="24"/>
        </w:rPr>
        <w:t>Galab</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2002; </w:t>
      </w:r>
      <w:proofErr w:type="spellStart"/>
      <w:r w:rsidRPr="0068531F">
        <w:rPr>
          <w:rFonts w:ascii="Times New Roman" w:hAnsi="Times New Roman" w:cs="Times New Roman"/>
          <w:sz w:val="24"/>
          <w:szCs w:val="24"/>
        </w:rPr>
        <w:t>Adugna</w:t>
      </w:r>
      <w:proofErr w:type="spellEnd"/>
      <w:r w:rsidRPr="0068531F">
        <w:rPr>
          <w:rFonts w:ascii="Times New Roman" w:hAnsi="Times New Roman" w:cs="Times New Roman"/>
          <w:sz w:val="24"/>
          <w:szCs w:val="24"/>
        </w:rPr>
        <w:t xml:space="preserve">, 2005; </w:t>
      </w:r>
      <w:proofErr w:type="spellStart"/>
      <w:r w:rsidRPr="0068531F">
        <w:rPr>
          <w:rFonts w:ascii="Times New Roman" w:hAnsi="Times New Roman" w:cs="Times New Roman"/>
          <w:sz w:val="24"/>
          <w:szCs w:val="24"/>
        </w:rPr>
        <w:t>Berehanu</w:t>
      </w:r>
      <w:proofErr w:type="spellEnd"/>
      <w:r w:rsidRPr="0068531F">
        <w:rPr>
          <w:rFonts w:ascii="Times New Roman" w:hAnsi="Times New Roman" w:cs="Times New Roman"/>
          <w:sz w:val="24"/>
          <w:szCs w:val="24"/>
        </w:rPr>
        <w:t xml:space="preserve">, 2007). Diminutive attention is, however, given to the specifics of what comprises the non-farm activities and under which localities these are constituted. As a result, gaps still exist in literature with regard to the specific activities that comprise the non-farm activities at various household localities, their relative contribution and factors inhibiting their adoption.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Many studies also report the general influence of household and institutional factors towards the adaptation of livelihood strategies, ranging from gender, education to credit and extension (</w:t>
      </w:r>
      <w:proofErr w:type="spellStart"/>
      <w:r w:rsidRPr="0068531F">
        <w:rPr>
          <w:rFonts w:ascii="Times New Roman" w:hAnsi="Times New Roman" w:cs="Times New Roman"/>
          <w:sz w:val="24"/>
          <w:szCs w:val="24"/>
        </w:rPr>
        <w:t>Bezemer</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Lerman</w:t>
      </w:r>
      <w:proofErr w:type="spellEnd"/>
      <w:r w:rsidRPr="0068531F">
        <w:rPr>
          <w:rFonts w:ascii="Times New Roman" w:hAnsi="Times New Roman" w:cs="Times New Roman"/>
          <w:sz w:val="24"/>
          <w:szCs w:val="24"/>
        </w:rPr>
        <w:t xml:space="preserve">, 2002; </w:t>
      </w:r>
      <w:proofErr w:type="spellStart"/>
      <w:r w:rsidRPr="0068531F">
        <w:rPr>
          <w:rFonts w:ascii="Times New Roman" w:hAnsi="Times New Roman" w:cs="Times New Roman"/>
          <w:sz w:val="24"/>
          <w:szCs w:val="24"/>
        </w:rPr>
        <w:t>Rao</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2004; Holden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2004; Brown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2006). More effort is, however, focused on econometric modelling with regard to the direction and significance of influence at the expense of soliciting for specific reasons, as reported by respondents. </w:t>
      </w:r>
    </w:p>
    <w:p w:rsidR="001F0534" w:rsidRPr="0068531F" w:rsidRDefault="001F0534" w:rsidP="00080788">
      <w:pPr>
        <w:spacing w:line="360" w:lineRule="auto"/>
        <w:jc w:val="both"/>
        <w:rPr>
          <w:rFonts w:ascii="Times New Roman" w:hAnsi="Times New Roman" w:cs="Times New Roman"/>
          <w:b/>
          <w:sz w:val="24"/>
          <w:szCs w:val="24"/>
        </w:rPr>
      </w:pPr>
      <w:r w:rsidRPr="0068531F">
        <w:rPr>
          <w:rFonts w:ascii="Times New Roman" w:hAnsi="Times New Roman" w:cs="Times New Roman"/>
          <w:sz w:val="24"/>
          <w:szCs w:val="24"/>
        </w:rPr>
        <w:lastRenderedPageBreak/>
        <w:t>More often than not, policy insights based on such approaches bear errors of commission and omission. Thus, this study targets the non-farm livelihood activities, as reported by households sharing boundaries with an</w:t>
      </w:r>
      <w:r>
        <w:rPr>
          <w:rFonts w:ascii="Times New Roman" w:hAnsi="Times New Roman" w:cs="Times New Roman"/>
          <w:sz w:val="24"/>
          <w:szCs w:val="24"/>
        </w:rPr>
        <w:t xml:space="preserve"> operational community managed </w:t>
      </w:r>
      <w:proofErr w:type="gramStart"/>
      <w:r>
        <w:rPr>
          <w:rFonts w:ascii="Times New Roman" w:hAnsi="Times New Roman" w:cs="Times New Roman"/>
          <w:sz w:val="24"/>
          <w:szCs w:val="24"/>
        </w:rPr>
        <w:t>game p</w:t>
      </w:r>
      <w:r w:rsidRPr="0068531F">
        <w:rPr>
          <w:rFonts w:ascii="Times New Roman" w:hAnsi="Times New Roman" w:cs="Times New Roman"/>
          <w:sz w:val="24"/>
          <w:szCs w:val="24"/>
        </w:rPr>
        <w:t>ark</w:t>
      </w:r>
      <w:proofErr w:type="gramEnd"/>
      <w:r w:rsidRPr="0068531F">
        <w:rPr>
          <w:rFonts w:ascii="Times New Roman" w:hAnsi="Times New Roman" w:cs="Times New Roman"/>
          <w:sz w:val="24"/>
          <w:szCs w:val="24"/>
        </w:rPr>
        <w:t xml:space="preserve">, with the implicit goal of understanding locality based livelihood adaptation strategies. </w:t>
      </w:r>
    </w:p>
    <w:p w:rsidR="001F0534" w:rsidRPr="003E698A" w:rsidRDefault="00201010" w:rsidP="00080788">
      <w:pPr>
        <w:pStyle w:val="Heading2"/>
        <w:spacing w:before="240" w:line="360" w:lineRule="auto"/>
        <w:rPr>
          <w:rFonts w:ascii="Times New Roman" w:hAnsi="Times New Roman" w:cs="Times New Roman"/>
          <w:b w:val="0"/>
          <w:color w:val="auto"/>
        </w:rPr>
      </w:pPr>
      <w:bookmarkStart w:id="12" w:name="_Toc311701014"/>
      <w:bookmarkStart w:id="13" w:name="_Toc311703922"/>
      <w:r>
        <w:rPr>
          <w:rFonts w:ascii="Times New Roman" w:hAnsi="Times New Roman" w:cs="Times New Roman"/>
          <w:color w:val="auto"/>
        </w:rPr>
        <w:t xml:space="preserve">5. </w:t>
      </w:r>
      <w:r w:rsidR="001F0534" w:rsidRPr="003E698A">
        <w:rPr>
          <w:rFonts w:ascii="Times New Roman" w:hAnsi="Times New Roman" w:cs="Times New Roman"/>
          <w:color w:val="auto"/>
        </w:rPr>
        <w:t>Methodology</w:t>
      </w:r>
      <w:bookmarkEnd w:id="12"/>
      <w:bookmarkEnd w:id="13"/>
      <w:r w:rsidR="001F0534" w:rsidRPr="003E698A">
        <w:rPr>
          <w:rFonts w:ascii="Times New Roman" w:hAnsi="Times New Roman" w:cs="Times New Roman"/>
          <w:color w:val="auto"/>
        </w:rPr>
        <w:t xml:space="preserve">  </w:t>
      </w:r>
    </w:p>
    <w:p w:rsidR="001F0534" w:rsidRPr="0068531F" w:rsidRDefault="001F0534" w:rsidP="00080788">
      <w:pPr>
        <w:spacing w:before="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study was conducted in </w:t>
      </w:r>
      <w:proofErr w:type="spellStart"/>
      <w:r w:rsidRPr="0068531F">
        <w:rPr>
          <w:rFonts w:ascii="Times New Roman" w:hAnsi="Times New Roman" w:cs="Times New Roman"/>
          <w:sz w:val="24"/>
          <w:szCs w:val="24"/>
        </w:rPr>
        <w:t>Mashonaland</w:t>
      </w:r>
      <w:proofErr w:type="spellEnd"/>
      <w:r w:rsidRPr="0068531F">
        <w:rPr>
          <w:rFonts w:ascii="Times New Roman" w:hAnsi="Times New Roman" w:cs="Times New Roman"/>
          <w:sz w:val="24"/>
          <w:szCs w:val="24"/>
        </w:rPr>
        <w:t xml:space="preserve"> East and Central Provinces of Zimbabwe, specifically focusing on the three districts that surround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Two hundred and forty households were randomly selected from </w:t>
      </w:r>
      <w:r w:rsidR="00080788">
        <w:rPr>
          <w:rFonts w:ascii="Times New Roman" w:hAnsi="Times New Roman" w:cs="Times New Roman"/>
          <w:sz w:val="24"/>
          <w:szCs w:val="24"/>
        </w:rPr>
        <w:t>a cluster of communities</w:t>
      </w:r>
      <w:r>
        <w:rPr>
          <w:rFonts w:ascii="Times New Roman" w:hAnsi="Times New Roman" w:cs="Times New Roman"/>
          <w:sz w:val="24"/>
          <w:szCs w:val="24"/>
        </w:rPr>
        <w:t xml:space="preserve"> </w:t>
      </w:r>
      <w:r w:rsidRPr="0068531F">
        <w:rPr>
          <w:rFonts w:ascii="Times New Roman" w:hAnsi="Times New Roman" w:cs="Times New Roman"/>
          <w:sz w:val="24"/>
          <w:szCs w:val="24"/>
        </w:rPr>
        <w:t xml:space="preserve">that share boundaries with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(UMP = 80 respondents;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 80 respondents; </w:t>
      </w:r>
      <w:proofErr w:type="spellStart"/>
      <w:r w:rsidRPr="0068531F">
        <w:rPr>
          <w:rFonts w:ascii="Times New Roman" w:hAnsi="Times New Roman" w:cs="Times New Roman"/>
          <w:sz w:val="24"/>
          <w:szCs w:val="24"/>
        </w:rPr>
        <w:t>Rushinga</w:t>
      </w:r>
      <w:proofErr w:type="spellEnd"/>
      <w:r w:rsidRPr="0068531F">
        <w:rPr>
          <w:rFonts w:ascii="Times New Roman" w:hAnsi="Times New Roman" w:cs="Times New Roman"/>
          <w:sz w:val="24"/>
          <w:szCs w:val="24"/>
        </w:rPr>
        <w:t xml:space="preserve"> = 80 respondents). For purposes of understanding households` livelihoods adaptation strategies, </w:t>
      </w:r>
      <w:r>
        <w:rPr>
          <w:rFonts w:ascii="Times New Roman" w:hAnsi="Times New Roman" w:cs="Times New Roman"/>
          <w:sz w:val="24"/>
          <w:szCs w:val="24"/>
        </w:rPr>
        <w:t xml:space="preserve">stratified (based on districts) and </w:t>
      </w:r>
      <w:r w:rsidRPr="0068531F">
        <w:rPr>
          <w:rFonts w:ascii="Times New Roman" w:hAnsi="Times New Roman" w:cs="Times New Roman"/>
          <w:sz w:val="24"/>
          <w:szCs w:val="24"/>
        </w:rPr>
        <w:t xml:space="preserve">randomly selected respondents from the three districts </w:t>
      </w:r>
      <w:r>
        <w:rPr>
          <w:rFonts w:ascii="Times New Roman" w:hAnsi="Times New Roman" w:cs="Times New Roman"/>
          <w:sz w:val="24"/>
          <w:szCs w:val="24"/>
        </w:rPr>
        <w:t xml:space="preserve">under “cluster A” </w:t>
      </w:r>
      <w:r w:rsidRPr="0068531F">
        <w:rPr>
          <w:rFonts w:ascii="Times New Roman" w:hAnsi="Times New Roman" w:cs="Times New Roman"/>
          <w:sz w:val="24"/>
          <w:szCs w:val="24"/>
        </w:rPr>
        <w:t xml:space="preserve">were asked about their livelihood adaptation strategies using open-ended questions.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Accordingly, four livelihood adaptation categories </w:t>
      </w:r>
      <w:r>
        <w:rPr>
          <w:rFonts w:ascii="Times New Roman" w:hAnsi="Times New Roman" w:cs="Times New Roman"/>
          <w:sz w:val="24"/>
          <w:szCs w:val="24"/>
        </w:rPr>
        <w:t>were created, as detailed below. T</w:t>
      </w:r>
      <w:r w:rsidRPr="0068531F">
        <w:rPr>
          <w:rFonts w:ascii="Times New Roman" w:hAnsi="Times New Roman" w:cs="Times New Roman"/>
          <w:sz w:val="24"/>
          <w:szCs w:val="24"/>
        </w:rPr>
        <w:t xml:space="preserve">his paved the way for an analysis of the contribution made by each adaptation strategy. The created livelihood adaptation categories were further treated as the dependent variable in the multinomial logistic regression model. This was done to enhance the estimation of the manipulative and directional power of households and institutional factors that may influence households` adaptation choices. </w:t>
      </w:r>
    </w:p>
    <w:p w:rsidR="001F0534" w:rsidRPr="0089496D" w:rsidRDefault="00201010" w:rsidP="00080788">
      <w:pPr>
        <w:pStyle w:val="Heading3"/>
        <w:spacing w:line="360" w:lineRule="auto"/>
        <w:rPr>
          <w:rFonts w:ascii="Times New Roman" w:hAnsi="Times New Roman"/>
          <w:color w:val="auto"/>
          <w:sz w:val="24"/>
          <w:szCs w:val="24"/>
        </w:rPr>
      </w:pPr>
      <w:bookmarkStart w:id="14" w:name="_Toc311701015"/>
      <w:bookmarkStart w:id="15" w:name="_Toc311703923"/>
      <w:r>
        <w:rPr>
          <w:rFonts w:ascii="Times New Roman" w:hAnsi="Times New Roman"/>
          <w:color w:val="auto"/>
          <w:sz w:val="24"/>
          <w:szCs w:val="24"/>
        </w:rPr>
        <w:t xml:space="preserve">5.1 </w:t>
      </w:r>
      <w:r w:rsidR="001F0534" w:rsidRPr="0089496D">
        <w:rPr>
          <w:rFonts w:ascii="Times New Roman" w:hAnsi="Times New Roman"/>
          <w:color w:val="auto"/>
          <w:sz w:val="24"/>
          <w:szCs w:val="24"/>
        </w:rPr>
        <w:t>Livelihood adaptation choices at household level</w:t>
      </w:r>
      <w:bookmarkEnd w:id="14"/>
      <w:bookmarkEnd w:id="15"/>
      <w:r w:rsidR="001F0534" w:rsidRPr="0089496D">
        <w:rPr>
          <w:rFonts w:ascii="Times New Roman" w:hAnsi="Times New Roman"/>
          <w:color w:val="auto"/>
          <w:sz w:val="24"/>
          <w:szCs w:val="24"/>
        </w:rPr>
        <w:t xml:space="preserve"> </w:t>
      </w:r>
    </w:p>
    <w:p w:rsidR="001F0534" w:rsidRPr="0068531F" w:rsidRDefault="001F0534" w:rsidP="00080788">
      <w:pPr>
        <w:spacing w:before="20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Ellis (2000) defined livelihood as comprising assets (natural, physical, human, financial and social capital), activities and access to these (mediated by institutions and social relations) that together determine the living gained by households.  Chambers and Conway (1992) define livelihood as the capability, assets and activities required for a means of living.  This study considers the latter, narrow definition of livelihood specifically looking at activities deemed critical for a means of living at the household level. Livelihood adaptation, according to Davies and </w:t>
      </w:r>
      <w:proofErr w:type="spellStart"/>
      <w:r w:rsidRPr="0068531F">
        <w:rPr>
          <w:rFonts w:ascii="Times New Roman" w:hAnsi="Times New Roman" w:cs="Times New Roman"/>
          <w:sz w:val="24"/>
          <w:szCs w:val="24"/>
        </w:rPr>
        <w:t>Hossain</w:t>
      </w:r>
      <w:proofErr w:type="spellEnd"/>
      <w:r w:rsidRPr="0068531F">
        <w:rPr>
          <w:rFonts w:ascii="Times New Roman" w:hAnsi="Times New Roman" w:cs="Times New Roman"/>
          <w:sz w:val="24"/>
          <w:szCs w:val="24"/>
        </w:rPr>
        <w:t xml:space="preserve"> (1997), may be defined as the continuous process of changes to livelihoods (assets and activities) which either enhance existing security and wealth or try to reduce vulnerability and poverty. With reference to the livelihood adaptation choices reported by residents from the selected wards, four categories were created, namely:</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b/>
          <w:sz w:val="24"/>
          <w:szCs w:val="24"/>
        </w:rPr>
        <w:lastRenderedPageBreak/>
        <w:t>(a)</w:t>
      </w:r>
      <w:r w:rsidRPr="0068531F">
        <w:rPr>
          <w:rFonts w:ascii="Times New Roman" w:hAnsi="Times New Roman" w:cs="Times New Roman"/>
          <w:sz w:val="24"/>
          <w:szCs w:val="24"/>
        </w:rPr>
        <w:t xml:space="preserve"> </w:t>
      </w:r>
      <w:r w:rsidRPr="0068531F">
        <w:rPr>
          <w:rFonts w:ascii="Times New Roman" w:hAnsi="Times New Roman" w:cs="Times New Roman"/>
          <w:b/>
          <w:sz w:val="24"/>
          <w:szCs w:val="24"/>
        </w:rPr>
        <w:t xml:space="preserve">Mixed farming portfolio </w:t>
      </w:r>
      <w:r w:rsidRPr="0068531F">
        <w:rPr>
          <w:rFonts w:ascii="Times New Roman" w:hAnsi="Times New Roman" w:cs="Times New Roman"/>
          <w:sz w:val="24"/>
          <w:szCs w:val="24"/>
        </w:rPr>
        <w:t>representing an aggregate of choices undertaken to spread risk to include, (</w:t>
      </w:r>
      <w:proofErr w:type="spellStart"/>
      <w:r w:rsidRPr="0068531F">
        <w:rPr>
          <w:rFonts w:ascii="Times New Roman" w:hAnsi="Times New Roman" w:cs="Times New Roman"/>
          <w:sz w:val="24"/>
          <w:szCs w:val="24"/>
        </w:rPr>
        <w:t>i</w:t>
      </w:r>
      <w:proofErr w:type="spellEnd"/>
      <w:r w:rsidRPr="0068531F">
        <w:rPr>
          <w:rFonts w:ascii="Times New Roman" w:hAnsi="Times New Roman" w:cs="Times New Roman"/>
          <w:sz w:val="24"/>
          <w:szCs w:val="24"/>
        </w:rPr>
        <w:t xml:space="preserve">) field crop production mainly small grains, (ii) horticulture, wetland, cultivation, and (iii) animal production mainly cattle, goats, sheep and poultry.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b/>
          <w:sz w:val="24"/>
          <w:szCs w:val="24"/>
        </w:rPr>
        <w:t xml:space="preserve">(b) Mineral portfolio </w:t>
      </w:r>
      <w:proofErr w:type="spellStart"/>
      <w:r w:rsidRPr="0068531F">
        <w:rPr>
          <w:rFonts w:ascii="Times New Roman" w:hAnsi="Times New Roman" w:cs="Times New Roman"/>
          <w:sz w:val="24"/>
          <w:szCs w:val="24"/>
        </w:rPr>
        <w:t>summarising</w:t>
      </w:r>
      <w:proofErr w:type="spellEnd"/>
      <w:r w:rsidRPr="0068531F">
        <w:rPr>
          <w:rFonts w:ascii="Times New Roman" w:hAnsi="Times New Roman" w:cs="Times New Roman"/>
          <w:sz w:val="24"/>
          <w:szCs w:val="24"/>
        </w:rPr>
        <w:t xml:space="preserve"> an aggregate of choices undertaken to spread risk to include, (</w:t>
      </w:r>
      <w:proofErr w:type="spellStart"/>
      <w:r w:rsidRPr="0068531F">
        <w:rPr>
          <w:rFonts w:ascii="Times New Roman" w:hAnsi="Times New Roman" w:cs="Times New Roman"/>
          <w:sz w:val="24"/>
          <w:szCs w:val="24"/>
        </w:rPr>
        <w:t>i</w:t>
      </w:r>
      <w:proofErr w:type="spellEnd"/>
      <w:r w:rsidRPr="0068531F">
        <w:rPr>
          <w:rFonts w:ascii="Times New Roman" w:hAnsi="Times New Roman" w:cs="Times New Roman"/>
          <w:sz w:val="24"/>
          <w:szCs w:val="24"/>
        </w:rPr>
        <w:t xml:space="preserve">) small scale gold mining, </w:t>
      </w:r>
      <w:proofErr w:type="gramStart"/>
      <w:r w:rsidRPr="0068531F">
        <w:rPr>
          <w:rFonts w:ascii="Times New Roman" w:hAnsi="Times New Roman" w:cs="Times New Roman"/>
          <w:sz w:val="24"/>
          <w:szCs w:val="24"/>
        </w:rPr>
        <w:t>(ii) gold panning that</w:t>
      </w:r>
      <w:proofErr w:type="gramEnd"/>
      <w:r w:rsidRPr="0068531F">
        <w:rPr>
          <w:rFonts w:ascii="Times New Roman" w:hAnsi="Times New Roman" w:cs="Times New Roman"/>
          <w:sz w:val="24"/>
          <w:szCs w:val="24"/>
        </w:rPr>
        <w:t xml:space="preserve"> is abundant in the form of alluvial in most streams and rivers in the three districts, and (iii) any other mining activity.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b/>
          <w:sz w:val="24"/>
          <w:szCs w:val="24"/>
        </w:rPr>
        <w:t>(c)</w:t>
      </w:r>
      <w:r w:rsidRPr="0068531F">
        <w:rPr>
          <w:rFonts w:ascii="Times New Roman" w:hAnsi="Times New Roman" w:cs="Times New Roman"/>
          <w:sz w:val="24"/>
          <w:szCs w:val="24"/>
        </w:rPr>
        <w:t xml:space="preserve"> </w:t>
      </w:r>
      <w:r w:rsidRPr="0068531F">
        <w:rPr>
          <w:rFonts w:ascii="Times New Roman" w:hAnsi="Times New Roman" w:cs="Times New Roman"/>
          <w:b/>
          <w:sz w:val="24"/>
          <w:szCs w:val="24"/>
        </w:rPr>
        <w:t xml:space="preserve">Flora portfolio </w:t>
      </w:r>
      <w:r w:rsidRPr="0068531F">
        <w:rPr>
          <w:rFonts w:ascii="Times New Roman" w:hAnsi="Times New Roman" w:cs="Times New Roman"/>
          <w:sz w:val="24"/>
          <w:szCs w:val="24"/>
        </w:rPr>
        <w:t>representing an aggregate of choices considered to spread risk to include (</w:t>
      </w:r>
      <w:proofErr w:type="spellStart"/>
      <w:r w:rsidRPr="0068531F">
        <w:rPr>
          <w:rFonts w:ascii="Times New Roman" w:hAnsi="Times New Roman" w:cs="Times New Roman"/>
          <w:sz w:val="24"/>
          <w:szCs w:val="24"/>
        </w:rPr>
        <w:t>i</w:t>
      </w:r>
      <w:proofErr w:type="spellEnd"/>
      <w:r w:rsidRPr="0068531F">
        <w:rPr>
          <w:rFonts w:ascii="Times New Roman" w:hAnsi="Times New Roman" w:cs="Times New Roman"/>
          <w:sz w:val="24"/>
          <w:szCs w:val="24"/>
        </w:rPr>
        <w:t>) collection of wild fruits, (ii) processing of wild fruits, (iii) collection of wild mushrooms, (iv) collection of wild edible leaf vegetables, (v) timber, (vi) collection of reeds and (vii) firewood.</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b/>
          <w:sz w:val="24"/>
          <w:szCs w:val="24"/>
        </w:rPr>
        <w:t>(d)</w:t>
      </w:r>
      <w:r w:rsidRPr="0068531F">
        <w:rPr>
          <w:rFonts w:ascii="Times New Roman" w:hAnsi="Times New Roman" w:cs="Times New Roman"/>
          <w:sz w:val="24"/>
          <w:szCs w:val="24"/>
        </w:rPr>
        <w:t xml:space="preserve"> </w:t>
      </w:r>
      <w:r w:rsidRPr="0068531F">
        <w:rPr>
          <w:rFonts w:ascii="Times New Roman" w:hAnsi="Times New Roman" w:cs="Times New Roman"/>
          <w:b/>
          <w:sz w:val="24"/>
          <w:szCs w:val="24"/>
        </w:rPr>
        <w:t xml:space="preserve">Fauna portfolio </w:t>
      </w:r>
      <w:proofErr w:type="spellStart"/>
      <w:r w:rsidRPr="0068531F">
        <w:rPr>
          <w:rFonts w:ascii="Times New Roman" w:hAnsi="Times New Roman" w:cs="Times New Roman"/>
          <w:sz w:val="24"/>
          <w:szCs w:val="24"/>
        </w:rPr>
        <w:t>summarising</w:t>
      </w:r>
      <w:proofErr w:type="spellEnd"/>
      <w:r w:rsidRPr="0068531F">
        <w:rPr>
          <w:rFonts w:ascii="Times New Roman" w:hAnsi="Times New Roman" w:cs="Times New Roman"/>
          <w:sz w:val="24"/>
          <w:szCs w:val="24"/>
        </w:rPr>
        <w:t xml:space="preserve"> an aggregate of choices considered critical for spreading risk to include, (</w:t>
      </w:r>
      <w:proofErr w:type="spellStart"/>
      <w:r w:rsidRPr="0068531F">
        <w:rPr>
          <w:rFonts w:ascii="Times New Roman" w:hAnsi="Times New Roman" w:cs="Times New Roman"/>
          <w:sz w:val="24"/>
          <w:szCs w:val="24"/>
        </w:rPr>
        <w:t>i</w:t>
      </w:r>
      <w:proofErr w:type="spellEnd"/>
      <w:r w:rsidRPr="0068531F">
        <w:rPr>
          <w:rFonts w:ascii="Times New Roman" w:hAnsi="Times New Roman" w:cs="Times New Roman"/>
          <w:sz w:val="24"/>
          <w:szCs w:val="24"/>
        </w:rPr>
        <w:t>) community CAMPFIRE game proceeds, (ii) beekeeping (iii) hunting of small mammals, birds and reptiles, (iv) collection of caterpillars and termites, (v) fishing, and (vi) collection of bat droppings used as organic manure.</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The mixed farming portfolio was treated as the base category in this study because crop and livestock production are the common household livelihood adaptation strategies in rural areas (Bradley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MacNamara</w:t>
      </w:r>
      <w:proofErr w:type="spellEnd"/>
      <w:r>
        <w:rPr>
          <w:rFonts w:ascii="Times New Roman" w:hAnsi="Times New Roman" w:cs="Times New Roman"/>
          <w:sz w:val="24"/>
          <w:szCs w:val="24"/>
        </w:rPr>
        <w:t>, 1993; Ellis, 2000). T</w:t>
      </w:r>
      <w:r w:rsidRPr="0068531F">
        <w:rPr>
          <w:rFonts w:ascii="Times New Roman" w:hAnsi="Times New Roman" w:cs="Times New Roman"/>
          <w:sz w:val="24"/>
          <w:szCs w:val="24"/>
        </w:rPr>
        <w:t>his implies that almost every one considers this adaptation portfolio as a livelihood source although it is not secure. In this study, efforts were targeted at understanding the potential of households to consider other portfolio diversification strategi</w:t>
      </w:r>
      <w:r>
        <w:rPr>
          <w:rFonts w:ascii="Times New Roman" w:hAnsi="Times New Roman" w:cs="Times New Roman"/>
          <w:sz w:val="24"/>
          <w:szCs w:val="24"/>
        </w:rPr>
        <w:t>es, specifically game farming (game p</w:t>
      </w:r>
      <w:r w:rsidRPr="0068531F">
        <w:rPr>
          <w:rFonts w:ascii="Times New Roman" w:hAnsi="Times New Roman" w:cs="Times New Roman"/>
          <w:sz w:val="24"/>
          <w:szCs w:val="24"/>
        </w:rPr>
        <w:t xml:space="preserve">arks) as defined by the fauna portfolio. It is against this background that the mixed farming portfolio was treated as the base, or reference category. </w:t>
      </w:r>
    </w:p>
    <w:p w:rsidR="001F0534" w:rsidRPr="0089496D" w:rsidRDefault="00201010" w:rsidP="00080788">
      <w:pPr>
        <w:pStyle w:val="Heading3"/>
        <w:spacing w:after="240" w:line="360" w:lineRule="auto"/>
        <w:rPr>
          <w:rFonts w:ascii="Times New Roman" w:hAnsi="Times New Roman"/>
          <w:color w:val="auto"/>
          <w:sz w:val="24"/>
          <w:szCs w:val="24"/>
        </w:rPr>
      </w:pPr>
      <w:bookmarkStart w:id="16" w:name="_Toc311701016"/>
      <w:bookmarkStart w:id="17" w:name="_Toc311703924"/>
      <w:r>
        <w:rPr>
          <w:rFonts w:ascii="Times New Roman" w:hAnsi="Times New Roman"/>
          <w:color w:val="auto"/>
          <w:sz w:val="24"/>
          <w:szCs w:val="24"/>
        </w:rPr>
        <w:t xml:space="preserve">5.2 </w:t>
      </w:r>
      <w:r w:rsidR="001F0534" w:rsidRPr="0089496D">
        <w:rPr>
          <w:rFonts w:ascii="Times New Roman" w:hAnsi="Times New Roman"/>
          <w:color w:val="auto"/>
          <w:sz w:val="24"/>
          <w:szCs w:val="24"/>
        </w:rPr>
        <w:t>Econometric modelling</w:t>
      </w:r>
      <w:bookmarkEnd w:id="16"/>
      <w:bookmarkEnd w:id="17"/>
      <w:r w:rsidR="001F0534" w:rsidRPr="0089496D">
        <w:rPr>
          <w:rFonts w:ascii="Times New Roman" w:hAnsi="Times New Roman"/>
          <w:color w:val="auto"/>
          <w:sz w:val="24"/>
          <w:szCs w:val="24"/>
        </w:rPr>
        <w:t xml:space="preserve">  </w:t>
      </w:r>
    </w:p>
    <w:p w:rsidR="001F0534" w:rsidRPr="0068531F"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 decision regarding whether or not to choose any livelihood adaptation strategy was assumed, in this study, to fall under the general framework of utility and profit </w:t>
      </w:r>
      <w:proofErr w:type="spellStart"/>
      <w:r w:rsidRPr="0068531F">
        <w:rPr>
          <w:rFonts w:ascii="Times New Roman" w:hAnsi="Times New Roman" w:cs="Times New Roman"/>
          <w:sz w:val="24"/>
          <w:szCs w:val="24"/>
        </w:rPr>
        <w:t>maximisation</w:t>
      </w:r>
      <w:proofErr w:type="spellEnd"/>
      <w:r w:rsidRPr="0068531F">
        <w:rPr>
          <w:rFonts w:ascii="Times New Roman" w:hAnsi="Times New Roman" w:cs="Times New Roman"/>
          <w:sz w:val="24"/>
          <w:szCs w:val="24"/>
        </w:rPr>
        <w:t xml:space="preserve">. Taking the case of a rational household, which seeks to </w:t>
      </w:r>
      <w:proofErr w:type="spellStart"/>
      <w:r w:rsidRPr="0068531F">
        <w:rPr>
          <w:rFonts w:ascii="Times New Roman" w:hAnsi="Times New Roman" w:cs="Times New Roman"/>
          <w:sz w:val="24"/>
          <w:szCs w:val="24"/>
        </w:rPr>
        <w:t>maximise</w:t>
      </w:r>
      <w:proofErr w:type="spellEnd"/>
      <w:r w:rsidRPr="0068531F">
        <w:rPr>
          <w:rFonts w:ascii="Times New Roman" w:hAnsi="Times New Roman" w:cs="Times New Roman"/>
          <w:sz w:val="24"/>
          <w:szCs w:val="24"/>
        </w:rPr>
        <w:t xml:space="preserve"> the present value of expected benefits of production over a specified time, and </w:t>
      </w:r>
      <w:r>
        <w:rPr>
          <w:rFonts w:ascii="Times New Roman" w:hAnsi="Times New Roman" w:cs="Times New Roman"/>
          <w:sz w:val="24"/>
          <w:szCs w:val="24"/>
        </w:rPr>
        <w:t xml:space="preserve">that </w:t>
      </w:r>
      <w:r w:rsidRPr="0068531F">
        <w:rPr>
          <w:rFonts w:ascii="Times New Roman" w:hAnsi="Times New Roman" w:cs="Times New Roman"/>
          <w:sz w:val="24"/>
          <w:szCs w:val="24"/>
        </w:rPr>
        <w:t xml:space="preserve">must choose among a set of </w:t>
      </w:r>
      <w:r w:rsidRPr="0068531F">
        <w:rPr>
          <w:rFonts w:ascii="Times New Roman" w:hAnsi="Times New Roman" w:cs="Times New Roman"/>
          <w:i/>
          <w:sz w:val="24"/>
          <w:szCs w:val="24"/>
        </w:rPr>
        <w:t xml:space="preserve">j </w:t>
      </w:r>
      <w:r w:rsidRPr="0068531F">
        <w:rPr>
          <w:rFonts w:ascii="Times New Roman" w:hAnsi="Times New Roman" w:cs="Times New Roman"/>
          <w:sz w:val="24"/>
          <w:szCs w:val="24"/>
        </w:rPr>
        <w:t>livelihood</w:t>
      </w:r>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 xml:space="preserve">adaptation options, household </w:t>
      </w:r>
      <w:proofErr w:type="spellStart"/>
      <w:r w:rsidRPr="0068531F">
        <w:rPr>
          <w:rFonts w:ascii="Times New Roman" w:hAnsi="Times New Roman" w:cs="Times New Roman"/>
          <w:i/>
          <w:sz w:val="24"/>
          <w:szCs w:val="24"/>
        </w:rPr>
        <w:t>i</w:t>
      </w:r>
      <w:proofErr w:type="spellEnd"/>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would rationally be expected</w:t>
      </w:r>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 xml:space="preserve">to use </w:t>
      </w:r>
      <w:r w:rsidRPr="0068531F">
        <w:rPr>
          <w:rFonts w:ascii="Times New Roman" w:hAnsi="Times New Roman" w:cs="Times New Roman"/>
          <w:i/>
          <w:sz w:val="24"/>
          <w:szCs w:val="24"/>
        </w:rPr>
        <w:t xml:space="preserve">j </w:t>
      </w:r>
      <w:r w:rsidRPr="0068531F">
        <w:rPr>
          <w:rFonts w:ascii="Times New Roman" w:hAnsi="Times New Roman" w:cs="Times New Roman"/>
          <w:sz w:val="24"/>
          <w:szCs w:val="24"/>
        </w:rPr>
        <w:t>livelihood</w:t>
      </w:r>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 xml:space="preserve">adaptation option if the perceived benefit from option </w:t>
      </w:r>
      <w:r w:rsidRPr="0068531F">
        <w:rPr>
          <w:rFonts w:ascii="Times New Roman" w:hAnsi="Times New Roman" w:cs="Times New Roman"/>
          <w:i/>
          <w:sz w:val="24"/>
          <w:szCs w:val="24"/>
        </w:rPr>
        <w:t xml:space="preserve">j </w:t>
      </w:r>
      <w:r w:rsidRPr="0068531F">
        <w:rPr>
          <w:rFonts w:ascii="Times New Roman" w:hAnsi="Times New Roman" w:cs="Times New Roman"/>
          <w:sz w:val="24"/>
          <w:szCs w:val="24"/>
        </w:rPr>
        <w:t xml:space="preserve">is greater than the utility from other options (say, </w:t>
      </w:r>
      <w:r w:rsidRPr="0068531F">
        <w:rPr>
          <w:rFonts w:ascii="Times New Roman" w:hAnsi="Times New Roman" w:cs="Times New Roman"/>
          <w:i/>
          <w:sz w:val="24"/>
          <w:szCs w:val="24"/>
        </w:rPr>
        <w:t>k</w:t>
      </w:r>
      <w:r w:rsidRPr="0068531F">
        <w:rPr>
          <w:rFonts w:ascii="Times New Roman" w:hAnsi="Times New Roman" w:cs="Times New Roman"/>
          <w:sz w:val="24"/>
          <w:szCs w:val="24"/>
        </w:rPr>
        <w:t xml:space="preserve">) depicted, as suggested by </w:t>
      </w:r>
      <w:proofErr w:type="spellStart"/>
      <w:r w:rsidRPr="0068531F">
        <w:rPr>
          <w:rFonts w:ascii="Times New Roman" w:hAnsi="Times New Roman" w:cs="Times New Roman"/>
          <w:sz w:val="24"/>
          <w:szCs w:val="24"/>
        </w:rPr>
        <w:t>Gbetibouo</w:t>
      </w:r>
      <w:proofErr w:type="spellEnd"/>
      <w:r w:rsidRPr="0068531F">
        <w:rPr>
          <w:rFonts w:ascii="Times New Roman" w:hAnsi="Times New Roman" w:cs="Times New Roman"/>
          <w:sz w:val="24"/>
          <w:szCs w:val="24"/>
        </w:rPr>
        <w:t xml:space="preserve">, Hassan and </w:t>
      </w:r>
      <w:proofErr w:type="spellStart"/>
      <w:r w:rsidRPr="0068531F">
        <w:rPr>
          <w:rFonts w:ascii="Times New Roman" w:hAnsi="Times New Roman" w:cs="Times New Roman"/>
          <w:sz w:val="24"/>
          <w:szCs w:val="24"/>
        </w:rPr>
        <w:t>Ringler</w:t>
      </w:r>
      <w:proofErr w:type="spellEnd"/>
      <w:r w:rsidRPr="0068531F">
        <w:rPr>
          <w:rFonts w:ascii="Times New Roman" w:hAnsi="Times New Roman" w:cs="Times New Roman"/>
          <w:sz w:val="24"/>
          <w:szCs w:val="24"/>
        </w:rPr>
        <w:t xml:space="preserve"> (2010) in equation 3.1.</w:t>
      </w:r>
    </w:p>
    <w:p w:rsidR="001F0534" w:rsidRDefault="001F0534" w:rsidP="001F0534">
      <w:pPr>
        <w:spacing w:line="360" w:lineRule="auto"/>
      </w:pPr>
      <m:oMath>
        <m:r>
          <w:rPr>
            <w:rFonts w:ascii="Cambria Math" w:hAnsi="Cambria Math"/>
          </w:rPr>
          <w:lastRenderedPageBreak/>
          <m:t xml:space="preserve">Uij </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 xml:space="preserve">j </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m:t>
                </m:r>
              </m:sub>
            </m:sSub>
          </m:e>
        </m:d>
        <m:r>
          <w:rPr>
            <w:rFonts w:ascii="Cambria Math" w:hAnsi="Cambria Math"/>
          </w:rPr>
          <m:t xml:space="preserve">&gt;Uik </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 xml:space="preserve">k </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k</m:t>
                </m:r>
              </m:sub>
            </m:sSub>
          </m:e>
        </m:d>
        <m:r>
          <w:rPr>
            <w:rFonts w:ascii="Cambria Math" w:hAnsi="Cambria Math"/>
          </w:rPr>
          <m:t>,k≠j……………………………………………………………..</m:t>
        </m:r>
      </m:oMath>
      <w:r>
        <w:t>(3.1)</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Where;</w:t>
      </w:r>
    </w:p>
    <w:p w:rsidR="001F0534" w:rsidRPr="0068531F" w:rsidRDefault="001F0534" w:rsidP="00AE25FC">
      <w:pPr>
        <w:pStyle w:val="ListParagraph"/>
        <w:numPr>
          <w:ilvl w:val="0"/>
          <w:numId w:val="1"/>
        </w:numPr>
        <w:spacing w:line="360" w:lineRule="auto"/>
        <w:jc w:val="both"/>
        <w:rPr>
          <w:rFonts w:ascii="Times New Roman" w:hAnsi="Times New Roman" w:cs="Times New Roman"/>
          <w:sz w:val="24"/>
          <w:szCs w:val="24"/>
        </w:rPr>
      </w:pPr>
      <w:proofErr w:type="spellStart"/>
      <w:r w:rsidRPr="0068531F">
        <w:rPr>
          <w:rFonts w:ascii="Times New Roman" w:hAnsi="Times New Roman" w:cs="Times New Roman"/>
          <w:sz w:val="24"/>
          <w:szCs w:val="24"/>
        </w:rPr>
        <w:t>U</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U</w:t>
      </w:r>
      <w:r w:rsidRPr="0068531F">
        <w:rPr>
          <w:rFonts w:ascii="Times New Roman" w:hAnsi="Times New Roman" w:cs="Times New Roman"/>
          <w:i/>
          <w:sz w:val="24"/>
          <w:szCs w:val="24"/>
          <w:vertAlign w:val="subscript"/>
        </w:rPr>
        <w:t>ik</w:t>
      </w:r>
      <w:proofErr w:type="spellEnd"/>
      <w:r w:rsidRPr="0068531F">
        <w:rPr>
          <w:rFonts w:ascii="Times New Roman" w:hAnsi="Times New Roman" w:cs="Times New Roman"/>
          <w:sz w:val="24"/>
          <w:szCs w:val="24"/>
        </w:rPr>
        <w:t xml:space="preserve"> shall be the perceived utility by household </w:t>
      </w:r>
      <w:proofErr w:type="spellStart"/>
      <w:r w:rsidRPr="0068531F">
        <w:rPr>
          <w:rFonts w:ascii="Times New Roman" w:hAnsi="Times New Roman" w:cs="Times New Roman"/>
          <w:i/>
          <w:sz w:val="24"/>
          <w:szCs w:val="24"/>
        </w:rPr>
        <w:t>i</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 xml:space="preserve">of livelihoods adaptation options </w:t>
      </w:r>
      <w:r w:rsidRPr="0068531F">
        <w:rPr>
          <w:rFonts w:ascii="Times New Roman" w:hAnsi="Times New Roman" w:cs="Times New Roman"/>
          <w:i/>
          <w:sz w:val="24"/>
          <w:szCs w:val="24"/>
        </w:rPr>
        <w:t>j</w:t>
      </w:r>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 xml:space="preserve">and </w:t>
      </w:r>
      <w:r w:rsidRPr="0068531F">
        <w:rPr>
          <w:rFonts w:ascii="Times New Roman" w:hAnsi="Times New Roman" w:cs="Times New Roman"/>
          <w:i/>
          <w:sz w:val="24"/>
          <w:szCs w:val="24"/>
        </w:rPr>
        <w:t>k</w:t>
      </w:r>
      <w:r w:rsidRPr="0068531F">
        <w:rPr>
          <w:rFonts w:ascii="Times New Roman" w:hAnsi="Times New Roman" w:cs="Times New Roman"/>
          <w:sz w:val="24"/>
          <w:szCs w:val="24"/>
        </w:rPr>
        <w:t xml:space="preserve"> respectively</w:t>
      </w:r>
    </w:p>
    <w:p w:rsidR="001F0534" w:rsidRPr="0068531F" w:rsidRDefault="001F0534" w:rsidP="00AE25FC">
      <w:pPr>
        <w:pStyle w:val="ListParagraph"/>
        <w:numPr>
          <w:ilvl w:val="0"/>
          <w:numId w:val="1"/>
        </w:num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X</w:t>
      </w:r>
      <w:r w:rsidRPr="0068531F">
        <w:rPr>
          <w:rFonts w:ascii="Times New Roman" w:hAnsi="Times New Roman" w:cs="Times New Roman"/>
          <w:i/>
          <w:sz w:val="24"/>
          <w:szCs w:val="24"/>
          <w:vertAlign w:val="subscript"/>
        </w:rPr>
        <w:t xml:space="preserve">i </w:t>
      </w:r>
      <w:r w:rsidRPr="0068531F">
        <w:rPr>
          <w:rFonts w:ascii="Times New Roman" w:hAnsi="Times New Roman" w:cs="Times New Roman"/>
          <w:sz w:val="24"/>
          <w:szCs w:val="24"/>
        </w:rPr>
        <w:t>shall be the vector of explanatory variables that influence the choice of adaptation option</w:t>
      </w:r>
    </w:p>
    <w:p w:rsidR="001F0534" w:rsidRPr="0068531F" w:rsidRDefault="001F0534" w:rsidP="00AE25FC">
      <w:pPr>
        <w:pStyle w:val="ListParagraph"/>
        <w:numPr>
          <w:ilvl w:val="0"/>
          <w:numId w:val="1"/>
        </w:numPr>
        <w:spacing w:line="360" w:lineRule="auto"/>
        <w:jc w:val="both"/>
        <w:rPr>
          <w:rFonts w:ascii="Times New Roman" w:hAnsi="Times New Roman" w:cs="Times New Roman"/>
          <w:sz w:val="24"/>
          <w:szCs w:val="24"/>
        </w:rPr>
      </w:pPr>
      <w:proofErr w:type="spellStart"/>
      <w:r w:rsidRPr="0068531F">
        <w:rPr>
          <w:rFonts w:ascii="Times New Roman" w:hAnsi="Times New Roman" w:cs="Times New Roman"/>
          <w:sz w:val="24"/>
          <w:szCs w:val="24"/>
        </w:rPr>
        <w:t>β</w:t>
      </w:r>
      <w:r w:rsidRPr="0068531F">
        <w:rPr>
          <w:rFonts w:ascii="Times New Roman" w:hAnsi="Times New Roman" w:cs="Times New Roman"/>
          <w:i/>
          <w:sz w:val="24"/>
          <w:szCs w:val="24"/>
          <w:vertAlign w:val="subscript"/>
        </w:rPr>
        <w:t>j</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 xml:space="preserve">and </w:t>
      </w:r>
      <w:proofErr w:type="spellStart"/>
      <w:r w:rsidRPr="0068531F">
        <w:rPr>
          <w:rFonts w:ascii="Times New Roman" w:hAnsi="Times New Roman" w:cs="Times New Roman"/>
          <w:sz w:val="24"/>
          <w:szCs w:val="24"/>
        </w:rPr>
        <w:t>β</w:t>
      </w:r>
      <w:r w:rsidRPr="0068531F">
        <w:rPr>
          <w:rFonts w:ascii="Times New Roman" w:hAnsi="Times New Roman" w:cs="Times New Roman"/>
          <w:i/>
          <w:sz w:val="24"/>
          <w:szCs w:val="24"/>
          <w:vertAlign w:val="subscript"/>
        </w:rPr>
        <w:t>k</w:t>
      </w:r>
      <w:proofErr w:type="spellEnd"/>
      <w:r w:rsidRPr="0068531F">
        <w:rPr>
          <w:rFonts w:ascii="Times New Roman" w:hAnsi="Times New Roman" w:cs="Times New Roman"/>
          <w:sz w:val="24"/>
          <w:szCs w:val="24"/>
        </w:rPr>
        <w:t xml:space="preserve"> shall be parameters to be estimated</w:t>
      </w:r>
    </w:p>
    <w:p w:rsidR="001F0534" w:rsidRPr="0068531F" w:rsidRDefault="001F0534" w:rsidP="00AE25FC">
      <w:pPr>
        <w:pStyle w:val="ListParagraph"/>
        <w:numPr>
          <w:ilvl w:val="0"/>
          <w:numId w:val="1"/>
        </w:numPr>
        <w:spacing w:line="360" w:lineRule="auto"/>
        <w:jc w:val="both"/>
        <w:rPr>
          <w:rFonts w:ascii="Times New Roman" w:hAnsi="Times New Roman" w:cs="Times New Roman"/>
          <w:sz w:val="24"/>
          <w:szCs w:val="24"/>
        </w:rPr>
      </w:pPr>
      <w:proofErr w:type="spellStart"/>
      <w:r w:rsidRPr="0068531F">
        <w:rPr>
          <w:rFonts w:ascii="Times New Roman" w:hAnsi="Times New Roman" w:cs="Times New Roman"/>
          <w:sz w:val="24"/>
          <w:szCs w:val="24"/>
        </w:rPr>
        <w:t>ε</w:t>
      </w:r>
      <w:r w:rsidRPr="0068531F">
        <w:rPr>
          <w:rFonts w:ascii="Times New Roman" w:hAnsi="Times New Roman" w:cs="Times New Roman"/>
          <w:i/>
          <w:sz w:val="24"/>
          <w:szCs w:val="24"/>
          <w:vertAlign w:val="subscript"/>
        </w:rPr>
        <w:t>j</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 xml:space="preserve">and </w:t>
      </w:r>
      <w:proofErr w:type="spellStart"/>
      <w:r w:rsidRPr="0068531F">
        <w:rPr>
          <w:rFonts w:ascii="Times New Roman" w:hAnsi="Times New Roman" w:cs="Times New Roman"/>
          <w:sz w:val="24"/>
          <w:szCs w:val="24"/>
        </w:rPr>
        <w:t>ε</w:t>
      </w:r>
      <w:r w:rsidRPr="0068531F">
        <w:rPr>
          <w:rFonts w:ascii="Times New Roman" w:hAnsi="Times New Roman" w:cs="Times New Roman"/>
          <w:i/>
          <w:sz w:val="24"/>
          <w:szCs w:val="24"/>
          <w:vertAlign w:val="subscript"/>
        </w:rPr>
        <w:t>k</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shall be error terms</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Based on the revealed preference assumption that the household practices an adaptation option that generates net benefits, and does not practice an adaptation option otherwise, the study relates the observable discrete choice of practice to the unobservable (latent) continuous net benefit variables as </w:t>
      </w:r>
      <w:proofErr w:type="spellStart"/>
      <w:r w:rsidRPr="0068531F">
        <w:rPr>
          <w:rFonts w:ascii="Times New Roman" w:hAnsi="Times New Roman" w:cs="Times New Roman"/>
          <w:sz w:val="24"/>
          <w:szCs w:val="24"/>
        </w:rPr>
        <w:t>Y</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 xml:space="preserve">= 1 if </w:t>
      </w:r>
      <w:proofErr w:type="spellStart"/>
      <w:r w:rsidRPr="0068531F">
        <w:rPr>
          <w:rFonts w:ascii="Times New Roman" w:hAnsi="Times New Roman" w:cs="Times New Roman"/>
          <w:sz w:val="24"/>
          <w:szCs w:val="24"/>
        </w:rPr>
        <w:t>U</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sz w:val="24"/>
          <w:szCs w:val="24"/>
          <w:vertAlign w:val="subscript"/>
        </w:rPr>
        <w:t xml:space="preserve"> </w:t>
      </w:r>
      <w:r w:rsidRPr="0068531F">
        <w:rPr>
          <w:rFonts w:ascii="Times New Roman" w:hAnsi="Times New Roman" w:cs="Times New Roman"/>
          <w:sz w:val="24"/>
          <w:szCs w:val="24"/>
        </w:rPr>
        <w:t xml:space="preserve">&gt; 0 and </w:t>
      </w:r>
      <w:proofErr w:type="spellStart"/>
      <w:r w:rsidRPr="0068531F">
        <w:rPr>
          <w:rFonts w:ascii="Times New Roman" w:hAnsi="Times New Roman" w:cs="Times New Roman"/>
          <w:sz w:val="24"/>
          <w:szCs w:val="24"/>
        </w:rPr>
        <w:t>Y</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 xml:space="preserve">= 0 if </w:t>
      </w:r>
      <w:proofErr w:type="spellStart"/>
      <w:r w:rsidRPr="0068531F">
        <w:rPr>
          <w:rFonts w:ascii="Times New Roman" w:hAnsi="Times New Roman" w:cs="Times New Roman"/>
          <w:sz w:val="24"/>
          <w:szCs w:val="24"/>
        </w:rPr>
        <w:t>U</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i/>
          <w:sz w:val="24"/>
          <w:szCs w:val="24"/>
          <w:vertAlign w:val="subscript"/>
        </w:rPr>
        <w:t xml:space="preserve"> </w:t>
      </w:r>
      <w:r w:rsidRPr="0068531F">
        <w:rPr>
          <w:rFonts w:ascii="Times New Roman" w:hAnsi="Times New Roman" w:cs="Times New Roman"/>
          <w:sz w:val="24"/>
          <w:szCs w:val="24"/>
        </w:rPr>
        <w:t>&lt; 0 (</w:t>
      </w:r>
      <w:proofErr w:type="spellStart"/>
      <w:r w:rsidRPr="0068531F">
        <w:rPr>
          <w:rFonts w:ascii="Times New Roman" w:hAnsi="Times New Roman" w:cs="Times New Roman"/>
          <w:sz w:val="24"/>
          <w:szCs w:val="24"/>
        </w:rPr>
        <w:t>Gbetibouo</w:t>
      </w:r>
      <w:proofErr w:type="spellEnd"/>
      <w:r w:rsidRPr="0068531F">
        <w:rPr>
          <w:rFonts w:ascii="Times New Roman" w:hAnsi="Times New Roman" w:cs="Times New Roman"/>
          <w:sz w:val="24"/>
          <w:szCs w:val="24"/>
        </w:rPr>
        <w:t xml:space="preserve">, Hassan and </w:t>
      </w:r>
      <w:proofErr w:type="spellStart"/>
      <w:r w:rsidRPr="0068531F">
        <w:rPr>
          <w:rFonts w:ascii="Times New Roman" w:hAnsi="Times New Roman" w:cs="Times New Roman"/>
          <w:sz w:val="24"/>
          <w:szCs w:val="24"/>
        </w:rPr>
        <w:t>Ringler</w:t>
      </w:r>
      <w:proofErr w:type="spellEnd"/>
      <w:r w:rsidRPr="0068531F">
        <w:rPr>
          <w:rFonts w:ascii="Times New Roman" w:hAnsi="Times New Roman" w:cs="Times New Roman"/>
          <w:i/>
          <w:sz w:val="24"/>
          <w:szCs w:val="24"/>
        </w:rPr>
        <w:t>,</w:t>
      </w:r>
      <w:r w:rsidRPr="0068531F">
        <w:rPr>
          <w:rFonts w:ascii="Times New Roman" w:hAnsi="Times New Roman" w:cs="Times New Roman"/>
          <w:sz w:val="24"/>
          <w:szCs w:val="24"/>
        </w:rPr>
        <w:t xml:space="preserve"> 2010).</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Based on this formulation, </w:t>
      </w:r>
      <w:r w:rsidRPr="0068531F">
        <w:rPr>
          <w:rFonts w:ascii="Times New Roman" w:hAnsi="Times New Roman" w:cs="Times New Roman"/>
          <w:i/>
          <w:sz w:val="24"/>
          <w:szCs w:val="24"/>
        </w:rPr>
        <w:t>Y</w:t>
      </w:r>
      <w:r w:rsidRPr="0068531F">
        <w:rPr>
          <w:rFonts w:ascii="Times New Roman" w:hAnsi="Times New Roman" w:cs="Times New Roman"/>
          <w:sz w:val="24"/>
          <w:szCs w:val="24"/>
        </w:rPr>
        <w:t xml:space="preserve"> shall be a dichotomous dependent variable, taking the value of 1, when the household, chooses an adaptation option in question and 0 otherwise. Effectively, the probability that household </w:t>
      </w:r>
      <w:proofErr w:type="spellStart"/>
      <w:r w:rsidRPr="0068531F">
        <w:rPr>
          <w:rFonts w:ascii="Times New Roman" w:hAnsi="Times New Roman" w:cs="Times New Roman"/>
          <w:i/>
          <w:sz w:val="24"/>
          <w:szCs w:val="24"/>
        </w:rPr>
        <w:t>i</w:t>
      </w:r>
      <w:proofErr w:type="spellEnd"/>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 xml:space="preserve">will choose livelihood adaptation option </w:t>
      </w:r>
      <w:r w:rsidRPr="0068531F">
        <w:rPr>
          <w:rFonts w:ascii="Times New Roman" w:hAnsi="Times New Roman" w:cs="Times New Roman"/>
          <w:i/>
          <w:sz w:val="24"/>
          <w:szCs w:val="24"/>
        </w:rPr>
        <w:t xml:space="preserve">j </w:t>
      </w:r>
      <w:r w:rsidRPr="0068531F">
        <w:rPr>
          <w:rFonts w:ascii="Times New Roman" w:hAnsi="Times New Roman" w:cs="Times New Roman"/>
          <w:sz w:val="24"/>
          <w:szCs w:val="24"/>
        </w:rPr>
        <w:t>among the set of livelihood adaptation options shall be defined as follows (</w:t>
      </w:r>
      <w:proofErr w:type="spellStart"/>
      <w:r w:rsidRPr="0068531F">
        <w:rPr>
          <w:rFonts w:ascii="Times New Roman" w:hAnsi="Times New Roman" w:cs="Times New Roman"/>
          <w:sz w:val="24"/>
          <w:szCs w:val="24"/>
        </w:rPr>
        <w:t>Gbetibouo</w:t>
      </w:r>
      <w:proofErr w:type="spellEnd"/>
      <w:r w:rsidRPr="0068531F">
        <w:rPr>
          <w:rFonts w:ascii="Times New Roman" w:hAnsi="Times New Roman" w:cs="Times New Roman"/>
          <w:sz w:val="24"/>
          <w:szCs w:val="24"/>
        </w:rPr>
        <w:t xml:space="preserve">, Hassan and </w:t>
      </w:r>
      <w:proofErr w:type="spellStart"/>
      <w:r w:rsidRPr="0068531F">
        <w:rPr>
          <w:rFonts w:ascii="Times New Roman" w:hAnsi="Times New Roman" w:cs="Times New Roman"/>
          <w:sz w:val="24"/>
          <w:szCs w:val="24"/>
        </w:rPr>
        <w:t>Ringler</w:t>
      </w:r>
      <w:proofErr w:type="spellEnd"/>
      <w:r w:rsidRPr="0068531F">
        <w:rPr>
          <w:rFonts w:ascii="Times New Roman" w:hAnsi="Times New Roman" w:cs="Times New Roman"/>
          <w:i/>
          <w:sz w:val="24"/>
          <w:szCs w:val="24"/>
        </w:rPr>
        <w:t>,</w:t>
      </w:r>
      <w:r w:rsidRPr="0068531F">
        <w:rPr>
          <w:rFonts w:ascii="Times New Roman" w:hAnsi="Times New Roman" w:cs="Times New Roman"/>
          <w:sz w:val="24"/>
          <w:szCs w:val="24"/>
        </w:rPr>
        <w:t xml:space="preserve"> 2010);</w:t>
      </w:r>
    </w:p>
    <w:p w:rsidR="001F0534" w:rsidRPr="00297437" w:rsidRDefault="001F0534" w:rsidP="001F0534">
      <w:pPr>
        <w:spacing w:line="360" w:lineRule="auto"/>
        <w:jc w:val="both"/>
        <w:rPr>
          <w:lang w:val="fr-FR"/>
        </w:rPr>
      </w:pPr>
      <w:r w:rsidRPr="00297437">
        <w:rPr>
          <w:lang w:val="fr-FR"/>
        </w:rPr>
        <w:t>P (Y = 1/X)</w:t>
      </w:r>
      <w:r w:rsidRPr="00297437">
        <w:rPr>
          <w:lang w:val="fr-FR"/>
        </w:rPr>
        <w:tab/>
      </w:r>
      <w:r w:rsidRPr="00297437">
        <w:rPr>
          <w:lang w:val="fr-FR"/>
        </w:rPr>
        <w:tab/>
        <w:t>=</w:t>
      </w:r>
      <w:r w:rsidRPr="00297437">
        <w:rPr>
          <w:lang w:val="fr-FR"/>
        </w:rPr>
        <w:tab/>
        <w:t>P(</w:t>
      </w:r>
      <w:proofErr w:type="spellStart"/>
      <w:r w:rsidRPr="00297437">
        <w:rPr>
          <w:lang w:val="fr-FR"/>
        </w:rPr>
        <w:t>U</w:t>
      </w:r>
      <w:r w:rsidRPr="00297437">
        <w:rPr>
          <w:i/>
          <w:vertAlign w:val="subscript"/>
          <w:lang w:val="fr-FR"/>
        </w:rPr>
        <w:t>ij</w:t>
      </w:r>
      <w:proofErr w:type="spellEnd"/>
      <w:r w:rsidRPr="00297437">
        <w:rPr>
          <w:lang w:val="fr-FR"/>
        </w:rPr>
        <w:t xml:space="preserve"> &gt; </w:t>
      </w:r>
      <w:proofErr w:type="spellStart"/>
      <w:r w:rsidRPr="00297437">
        <w:rPr>
          <w:lang w:val="fr-FR"/>
        </w:rPr>
        <w:t>U</w:t>
      </w:r>
      <w:r w:rsidRPr="00297437">
        <w:rPr>
          <w:i/>
          <w:vertAlign w:val="subscript"/>
          <w:lang w:val="fr-FR"/>
        </w:rPr>
        <w:t>ik</w:t>
      </w:r>
      <w:proofErr w:type="spellEnd"/>
      <w:r w:rsidRPr="00297437">
        <w:rPr>
          <w:lang w:val="fr-FR"/>
        </w:rPr>
        <w:t>/X)......................................................................</w:t>
      </w:r>
      <w:r w:rsidRPr="00297437">
        <w:rPr>
          <w:lang w:val="fr-FR"/>
        </w:rPr>
        <w:tab/>
        <w:t>............(3.2)</w:t>
      </w:r>
    </w:p>
    <w:p w:rsidR="001F0534" w:rsidRDefault="001F0534" w:rsidP="001F0534">
      <w:pPr>
        <w:spacing w:line="360" w:lineRule="auto"/>
        <w:jc w:val="both"/>
      </w:pPr>
      <w:r w:rsidRPr="00297437">
        <w:rPr>
          <w:lang w:val="fr-FR"/>
        </w:rPr>
        <w:tab/>
      </w:r>
      <w:r w:rsidRPr="00297437">
        <w:rPr>
          <w:lang w:val="fr-FR"/>
        </w:rPr>
        <w:tab/>
      </w:r>
      <w:r w:rsidRPr="00297437">
        <w:rPr>
          <w:lang w:val="fr-FR"/>
        </w:rPr>
        <w:tab/>
      </w:r>
      <w:r>
        <w:t>=</w:t>
      </w:r>
      <w:r>
        <w:tab/>
      </w:r>
      <w:proofErr w:type="gramStart"/>
      <w:r>
        <w:t>P(</w:t>
      </w:r>
      <m:oMath>
        <w:proofErr w:type="gramEnd"/>
        <m:sSubSup>
          <m:sSubSupPr>
            <m:ctrlPr>
              <w:rPr>
                <w:rFonts w:ascii="Cambria Math" w:hAnsi="Cambria Math"/>
                <w:i/>
              </w:rPr>
            </m:ctrlPr>
          </m:sSubSupPr>
          <m:e>
            <m:r>
              <w:rPr>
                <w:rFonts w:ascii="Cambria Math" w:hAnsi="Cambria Math"/>
              </w:rPr>
              <m:t>β</m:t>
            </m:r>
          </m:e>
          <m:sub>
            <m:r>
              <w:rPr>
                <w:rFonts w:ascii="Cambria Math" w:hAnsi="Cambria Math"/>
              </w:rPr>
              <m:t xml:space="preserve">j </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 xml:space="preserve">k </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&gt;0/X)</m:t>
        </m:r>
      </m:oMath>
    </w:p>
    <w:p w:rsidR="001F0534" w:rsidRDefault="001F0534" w:rsidP="001F0534">
      <w:pPr>
        <w:spacing w:line="360" w:lineRule="auto"/>
        <w:jc w:val="both"/>
      </w:pPr>
      <w:r>
        <w:tab/>
      </w:r>
      <w:r>
        <w:tab/>
      </w:r>
      <w:r>
        <w:tab/>
        <w:t>=</w:t>
      </w:r>
      <w:r>
        <w:tab/>
      </w:r>
      <w:proofErr w:type="gramStart"/>
      <w:r>
        <w:t>P(</w:t>
      </w:r>
      <m:oMath>
        <w:proofErr w:type="gramEnd"/>
        <m:sSubSup>
          <m:sSubSupPr>
            <m:ctrlPr>
              <w:rPr>
                <w:rFonts w:ascii="Cambria Math" w:hAnsi="Cambria Math"/>
                <w:i/>
              </w:rPr>
            </m:ctrlPr>
          </m:sSubSupPr>
          <m:e>
            <m:r>
              <w:rPr>
                <w:rFonts w:ascii="Cambria Math" w:hAnsi="Cambria Math"/>
              </w:rPr>
              <m:t>β</m:t>
            </m:r>
          </m:e>
          <m:sub>
            <m:r>
              <w:rPr>
                <w:rFonts w:ascii="Cambria Math" w:hAnsi="Cambria Math"/>
              </w:rPr>
              <m:t xml:space="preserve">j </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 xml:space="preserve">k </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&gt;0/X</m:t>
        </m:r>
      </m:oMath>
    </w:p>
    <w:p w:rsidR="001F0534" w:rsidRDefault="001F0534" w:rsidP="001F0534">
      <w:pPr>
        <w:spacing w:line="360" w:lineRule="auto"/>
        <w:jc w:val="both"/>
      </w:pPr>
      <w:r>
        <w:tab/>
      </w:r>
      <w:r>
        <w:tab/>
      </w:r>
      <w:r>
        <w:tab/>
        <w:t>=</w:t>
      </w:r>
      <w:r>
        <w:tab/>
      </w:r>
      <w:proofErr w:type="gramStart"/>
      <w:r>
        <w:t>P(</w:t>
      </w:r>
      <w:proofErr w:type="gramEnd"/>
      <w:r>
        <w:t>β</w:t>
      </w:r>
      <w:r w:rsidRPr="00000CBF">
        <w:rPr>
          <w:i/>
          <w:vertAlign w:val="superscript"/>
        </w:rPr>
        <w:t>*</w:t>
      </w:r>
      <w:r>
        <w:t>X</w:t>
      </w:r>
      <w:r w:rsidRPr="00000CBF">
        <w:rPr>
          <w:i/>
          <w:vertAlign w:val="subscript"/>
        </w:rPr>
        <w:t xml:space="preserve">i </w:t>
      </w:r>
      <w:r>
        <w:t>+ ε</w:t>
      </w:r>
      <w:r w:rsidRPr="00000CBF">
        <w:rPr>
          <w:i/>
          <w:vertAlign w:val="superscript"/>
        </w:rPr>
        <w:t>*</w:t>
      </w:r>
      <w:r>
        <w:t xml:space="preserve"> &gt; 0/X) = F(β</w:t>
      </w:r>
      <w:r w:rsidRPr="00000CBF">
        <w:rPr>
          <w:i/>
          <w:vertAlign w:val="superscript"/>
        </w:rPr>
        <w:t>*</w:t>
      </w:r>
      <w:r>
        <w:t>X</w:t>
      </w:r>
      <w:r w:rsidRPr="00000CBF">
        <w:rPr>
          <w:i/>
          <w:vertAlign w:val="subscript"/>
        </w:rPr>
        <w:t>i</w:t>
      </w:r>
      <w:r>
        <w:t>),</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Where;</w:t>
      </w:r>
    </w:p>
    <w:p w:rsidR="001F0534" w:rsidRPr="0068531F" w:rsidRDefault="001F0534" w:rsidP="00AE25FC">
      <w:pPr>
        <w:pStyle w:val="ListParagraph"/>
        <w:numPr>
          <w:ilvl w:val="0"/>
          <w:numId w:val="12"/>
        </w:num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ε* shall be a random disturbance term</w:t>
      </w:r>
    </w:p>
    <w:p w:rsidR="001F0534" w:rsidRPr="0068531F" w:rsidRDefault="001F0534" w:rsidP="00AE25FC">
      <w:pPr>
        <w:pStyle w:val="ListParagraph"/>
        <w:numPr>
          <w:ilvl w:val="0"/>
          <w:numId w:val="12"/>
        </w:num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β* treated as a vector of unknown parameters that can be interpreted as the net influence of the vector of explanatory variables influencing adaptation</w:t>
      </w:r>
    </w:p>
    <w:p w:rsidR="001F0534" w:rsidRPr="0068531F" w:rsidRDefault="001F0534" w:rsidP="00AE25FC">
      <w:pPr>
        <w:pStyle w:val="ListParagraph"/>
        <w:numPr>
          <w:ilvl w:val="0"/>
          <w:numId w:val="12"/>
        </w:num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F (β*X</w:t>
      </w:r>
      <w:r w:rsidRPr="0068531F">
        <w:rPr>
          <w:rFonts w:ascii="Times New Roman" w:hAnsi="Times New Roman" w:cs="Times New Roman"/>
          <w:i/>
          <w:sz w:val="24"/>
          <w:szCs w:val="24"/>
          <w:vertAlign w:val="subscript"/>
        </w:rPr>
        <w:t>i</w:t>
      </w:r>
      <w:r w:rsidRPr="0068531F">
        <w:rPr>
          <w:rFonts w:ascii="Times New Roman" w:hAnsi="Times New Roman" w:cs="Times New Roman"/>
          <w:sz w:val="24"/>
          <w:szCs w:val="24"/>
        </w:rPr>
        <w:t>) shall be the cumulative distribution of ε* evaluated at β*X</w:t>
      </w:r>
      <w:r w:rsidRPr="0068531F">
        <w:rPr>
          <w:rFonts w:ascii="Times New Roman" w:hAnsi="Times New Roman" w:cs="Times New Roman"/>
          <w:i/>
          <w:sz w:val="24"/>
          <w:szCs w:val="24"/>
          <w:vertAlign w:val="subscript"/>
        </w:rPr>
        <w:t>i</w:t>
      </w:r>
      <w:r w:rsidRPr="0068531F">
        <w:rPr>
          <w:rFonts w:ascii="Times New Roman" w:hAnsi="Times New Roman" w:cs="Times New Roman"/>
          <w:sz w:val="24"/>
          <w:szCs w:val="24"/>
        </w:rPr>
        <w:t>.</w:t>
      </w:r>
    </w:p>
    <w:p w:rsidR="001F0534" w:rsidRPr="0068531F" w:rsidRDefault="001F0534" w:rsidP="00080788">
      <w:pPr>
        <w:autoSpaceDE w:val="0"/>
        <w:autoSpaceDN w:val="0"/>
        <w:adjustRightInd w:val="0"/>
        <w:spacing w:line="360" w:lineRule="auto"/>
        <w:ind w:right="34"/>
        <w:jc w:val="both"/>
        <w:rPr>
          <w:rFonts w:ascii="Times New Roman" w:hAnsi="Times New Roman" w:cs="Times New Roman"/>
          <w:sz w:val="24"/>
          <w:szCs w:val="24"/>
        </w:rPr>
      </w:pPr>
      <w:r w:rsidRPr="0068531F">
        <w:rPr>
          <w:rFonts w:ascii="Times New Roman" w:hAnsi="Times New Roman" w:cs="Times New Roman"/>
          <w:sz w:val="24"/>
          <w:szCs w:val="24"/>
        </w:rPr>
        <w:lastRenderedPageBreak/>
        <w:t xml:space="preserve">With reference to utility measurement, O’ Sullivan, </w:t>
      </w:r>
      <w:proofErr w:type="spellStart"/>
      <w:r w:rsidRPr="0068531F">
        <w:rPr>
          <w:rFonts w:ascii="Times New Roman" w:hAnsi="Times New Roman" w:cs="Times New Roman"/>
          <w:sz w:val="24"/>
          <w:szCs w:val="24"/>
        </w:rPr>
        <w:t>Sheffrin</w:t>
      </w:r>
      <w:proofErr w:type="spellEnd"/>
      <w:r w:rsidRPr="0068531F">
        <w:rPr>
          <w:rFonts w:ascii="Times New Roman" w:hAnsi="Times New Roman" w:cs="Times New Roman"/>
          <w:sz w:val="24"/>
          <w:szCs w:val="24"/>
        </w:rPr>
        <w:t xml:space="preserve"> and Perez (2006) explain that it is difficult to measure utility directly; it is therefore assumed, in this study, that households make livelihood adaptation choices depending on the option that maximizes their utility. That is, subject to household socio-economic and institutional factors, decisions to choose the mineral, floral or fauna portfolios from the mixed farming portfolio signifies the direction which maximizes their utility. Based on this assumption, multinomial logistic regression was used to relate the decisions to adapt in mineral, flora or fauna portfolios from the mixed farming portfolio strategy and household socio-economic and institutional factors that influence these choices. </w:t>
      </w:r>
    </w:p>
    <w:p w:rsidR="001F0534" w:rsidRPr="0068531F" w:rsidRDefault="001F0534" w:rsidP="00080788">
      <w:pPr>
        <w:autoSpaceDE w:val="0"/>
        <w:autoSpaceDN w:val="0"/>
        <w:adjustRightInd w:val="0"/>
        <w:spacing w:line="360" w:lineRule="auto"/>
        <w:ind w:right="34"/>
        <w:jc w:val="both"/>
        <w:rPr>
          <w:rFonts w:ascii="Times New Roman" w:hAnsi="Times New Roman" w:cs="Times New Roman"/>
          <w:sz w:val="24"/>
          <w:szCs w:val="24"/>
        </w:rPr>
      </w:pPr>
      <w:r w:rsidRPr="0068531F">
        <w:rPr>
          <w:rFonts w:ascii="Times New Roman" w:hAnsi="Times New Roman" w:cs="Times New Roman"/>
          <w:sz w:val="24"/>
          <w:szCs w:val="24"/>
        </w:rPr>
        <w:t xml:space="preserve">Following an approach used by </w:t>
      </w:r>
      <w:proofErr w:type="spellStart"/>
      <w:r w:rsidRPr="0068531F">
        <w:rPr>
          <w:rFonts w:ascii="Times New Roman" w:hAnsi="Times New Roman" w:cs="Times New Roman"/>
          <w:sz w:val="24"/>
          <w:szCs w:val="24"/>
        </w:rPr>
        <w:t>Gbetibouo</w:t>
      </w:r>
      <w:proofErr w:type="spellEnd"/>
      <w:r w:rsidRPr="0068531F">
        <w:rPr>
          <w:rFonts w:ascii="Times New Roman" w:hAnsi="Times New Roman" w:cs="Times New Roman"/>
          <w:sz w:val="24"/>
          <w:szCs w:val="24"/>
        </w:rPr>
        <w:t xml:space="preserve">, Hassan and </w:t>
      </w:r>
      <w:proofErr w:type="spellStart"/>
      <w:r w:rsidRPr="0068531F">
        <w:rPr>
          <w:rFonts w:ascii="Times New Roman" w:hAnsi="Times New Roman" w:cs="Times New Roman"/>
          <w:sz w:val="24"/>
          <w:szCs w:val="24"/>
        </w:rPr>
        <w:t>Ringler</w:t>
      </w:r>
      <w:proofErr w:type="spellEnd"/>
      <w:r w:rsidRPr="0068531F">
        <w:rPr>
          <w:rFonts w:ascii="Times New Roman" w:hAnsi="Times New Roman" w:cs="Times New Roman"/>
          <w:sz w:val="24"/>
          <w:szCs w:val="24"/>
        </w:rPr>
        <w:t xml:space="preserve"> (2010), the probability that household </w:t>
      </w:r>
      <w:proofErr w:type="spellStart"/>
      <w:r w:rsidRPr="0068531F">
        <w:rPr>
          <w:rFonts w:ascii="Times New Roman" w:hAnsi="Times New Roman" w:cs="Times New Roman"/>
          <w:i/>
          <w:sz w:val="24"/>
          <w:szCs w:val="24"/>
        </w:rPr>
        <w:t>i</w:t>
      </w:r>
      <w:proofErr w:type="spellEnd"/>
      <w:r w:rsidRPr="0068531F">
        <w:rPr>
          <w:rFonts w:ascii="Times New Roman" w:hAnsi="Times New Roman" w:cs="Times New Roman"/>
          <w:sz w:val="24"/>
          <w:szCs w:val="24"/>
        </w:rPr>
        <w:t xml:space="preserve"> with characteristics </w:t>
      </w:r>
      <w:r w:rsidRPr="0068531F">
        <w:rPr>
          <w:rFonts w:ascii="Times New Roman" w:hAnsi="Times New Roman" w:cs="Times New Roman"/>
          <w:i/>
          <w:sz w:val="24"/>
          <w:szCs w:val="24"/>
        </w:rPr>
        <w:t>X</w:t>
      </w:r>
      <w:r w:rsidRPr="0068531F">
        <w:rPr>
          <w:rFonts w:ascii="Times New Roman" w:hAnsi="Times New Roman" w:cs="Times New Roman"/>
          <w:sz w:val="24"/>
          <w:szCs w:val="24"/>
        </w:rPr>
        <w:t xml:space="preserve"> chooses livelihood adaptation portfolio option </w:t>
      </w:r>
      <w:r w:rsidRPr="0068531F">
        <w:rPr>
          <w:rFonts w:ascii="Times New Roman" w:hAnsi="Times New Roman" w:cs="Times New Roman"/>
          <w:i/>
          <w:sz w:val="24"/>
          <w:szCs w:val="24"/>
        </w:rPr>
        <w:t xml:space="preserve">J </w:t>
      </w:r>
      <w:r w:rsidRPr="0068531F">
        <w:rPr>
          <w:rFonts w:ascii="Times New Roman" w:hAnsi="Times New Roman" w:cs="Times New Roman"/>
          <w:sz w:val="24"/>
          <w:szCs w:val="24"/>
        </w:rPr>
        <w:t>is therefore specified as follows;</w:t>
      </w:r>
    </w:p>
    <w:p w:rsidR="001F0534" w:rsidRDefault="001F0534" w:rsidP="001F0534">
      <w:pPr>
        <w:autoSpaceDE w:val="0"/>
        <w:autoSpaceDN w:val="0"/>
        <w:adjustRightInd w:val="0"/>
        <w:spacing w:line="360" w:lineRule="auto"/>
        <w:ind w:right="32"/>
        <w:jc w:val="both"/>
      </w:pPr>
      <m:oMath>
        <m:r>
          <w:rPr>
            <w:rFonts w:ascii="Cambria Math" w:hAnsi="Cambria Math"/>
          </w:rPr>
          <m:t xml:space="preserve">Pij=prob </m:t>
        </m:r>
        <m:d>
          <m:dPr>
            <m:ctrlPr>
              <w:rPr>
                <w:rFonts w:ascii="Cambria Math" w:hAnsi="Cambria Math"/>
                <w:i/>
              </w:rPr>
            </m:ctrlPr>
          </m:dPr>
          <m:e>
            <m:r>
              <w:rPr>
                <w:rFonts w:ascii="Cambria Math" w:hAnsi="Cambria Math"/>
              </w:rPr>
              <m:t>Y=1</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β</m:t>
                    </m:r>
                  </m:sup>
                </m:sSup>
              </m:sup>
            </m:sSup>
          </m:num>
          <m:den>
            <m:r>
              <w:rPr>
                <w:rFonts w:ascii="Cambria Math" w:hAnsi="Cambria Math"/>
              </w:rPr>
              <m:t>1+</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β</m:t>
                        </m:r>
                      </m:sup>
                    </m:sSup>
                  </m:sup>
                </m:sSup>
              </m:e>
            </m:nary>
          </m:den>
        </m:f>
        <m:r>
          <w:rPr>
            <w:rFonts w:ascii="Cambria Math" w:hAnsi="Cambria Math"/>
          </w:rPr>
          <m:t>,j=1……..j, ……………………………………………………..</m:t>
        </m:r>
      </m:oMath>
      <w:r>
        <w:t>(3.3)</w:t>
      </w:r>
    </w:p>
    <w:p w:rsidR="001F0534" w:rsidRPr="0068531F" w:rsidRDefault="001F0534" w:rsidP="00080788">
      <w:pPr>
        <w:spacing w:line="360" w:lineRule="auto"/>
        <w:ind w:right="29"/>
        <w:jc w:val="both"/>
        <w:rPr>
          <w:rFonts w:ascii="Times New Roman" w:hAnsi="Times New Roman" w:cs="Times New Roman"/>
          <w:sz w:val="24"/>
          <w:szCs w:val="24"/>
        </w:rPr>
      </w:pPr>
      <w:r w:rsidRPr="0068531F">
        <w:rPr>
          <w:rFonts w:ascii="Times New Roman" w:hAnsi="Times New Roman" w:cs="Times New Roman"/>
          <w:sz w:val="24"/>
          <w:szCs w:val="24"/>
        </w:rPr>
        <w:t>Where;</w:t>
      </w:r>
    </w:p>
    <w:p w:rsidR="001F0534" w:rsidRPr="0068531F" w:rsidRDefault="001F0534" w:rsidP="00AE25FC">
      <w:pPr>
        <w:pStyle w:val="ListParagraph"/>
        <w:numPr>
          <w:ilvl w:val="0"/>
          <w:numId w:val="13"/>
        </w:numPr>
        <w:spacing w:line="360" w:lineRule="auto"/>
        <w:ind w:right="29"/>
        <w:jc w:val="both"/>
        <w:rPr>
          <w:rFonts w:ascii="Times New Roman" w:hAnsi="Times New Roman" w:cs="Times New Roman"/>
          <w:sz w:val="24"/>
          <w:szCs w:val="24"/>
        </w:rPr>
      </w:pPr>
      <w:proofErr w:type="gramStart"/>
      <w:r w:rsidRPr="0068531F">
        <w:rPr>
          <w:rFonts w:ascii="Times New Roman" w:hAnsi="Times New Roman" w:cs="Times New Roman"/>
          <w:sz w:val="24"/>
          <w:szCs w:val="24"/>
        </w:rPr>
        <w:t>β</w:t>
      </w:r>
      <w:proofErr w:type="gramEnd"/>
      <w:r w:rsidRPr="0068531F">
        <w:rPr>
          <w:rFonts w:ascii="Times New Roman" w:hAnsi="Times New Roman" w:cs="Times New Roman"/>
          <w:sz w:val="24"/>
          <w:szCs w:val="24"/>
        </w:rPr>
        <w:t xml:space="preserve"> is the vector of parameters that satisfy </w:t>
      </w:r>
      <w:proofErr w:type="spellStart"/>
      <w:r w:rsidRPr="0068531F">
        <w:rPr>
          <w:rFonts w:ascii="Times New Roman" w:hAnsi="Times New Roman" w:cs="Times New Roman"/>
          <w:sz w:val="24"/>
          <w:szCs w:val="24"/>
        </w:rPr>
        <w:t>ln</w:t>
      </w:r>
      <w:proofErr w:type="spellEnd"/>
      <w:r w:rsidRPr="0068531F">
        <w:rPr>
          <w:rFonts w:ascii="Times New Roman" w:hAnsi="Times New Roman" w:cs="Times New Roman"/>
          <w:sz w:val="24"/>
          <w:szCs w:val="24"/>
        </w:rPr>
        <w:t>(</w:t>
      </w:r>
      <w:proofErr w:type="spellStart"/>
      <w:r w:rsidRPr="0068531F">
        <w:rPr>
          <w:rFonts w:ascii="Times New Roman" w:hAnsi="Times New Roman" w:cs="Times New Roman"/>
          <w:sz w:val="24"/>
          <w:szCs w:val="24"/>
        </w:rPr>
        <w:t>P</w:t>
      </w:r>
      <w:r w:rsidRPr="0068531F">
        <w:rPr>
          <w:rFonts w:ascii="Times New Roman" w:hAnsi="Times New Roman" w:cs="Times New Roman"/>
          <w:i/>
          <w:sz w:val="24"/>
          <w:szCs w:val="24"/>
          <w:vertAlign w:val="subscript"/>
        </w:rPr>
        <w:t>ij</w:t>
      </w:r>
      <w:proofErr w:type="spellEnd"/>
      <w:r w:rsidRPr="0068531F">
        <w:rPr>
          <w:rFonts w:ascii="Times New Roman" w:hAnsi="Times New Roman" w:cs="Times New Roman"/>
          <w:sz w:val="24"/>
          <w:szCs w:val="24"/>
        </w:rPr>
        <w:t>/</w:t>
      </w:r>
      <w:proofErr w:type="spellStart"/>
      <w:r w:rsidRPr="0068531F">
        <w:rPr>
          <w:rFonts w:ascii="Times New Roman" w:hAnsi="Times New Roman" w:cs="Times New Roman"/>
          <w:sz w:val="24"/>
          <w:szCs w:val="24"/>
        </w:rPr>
        <w:t>P</w:t>
      </w:r>
      <w:r w:rsidRPr="0068531F">
        <w:rPr>
          <w:rFonts w:ascii="Times New Roman" w:hAnsi="Times New Roman" w:cs="Times New Roman"/>
          <w:i/>
          <w:sz w:val="24"/>
          <w:szCs w:val="24"/>
          <w:vertAlign w:val="subscript"/>
        </w:rPr>
        <w:t>ik</w:t>
      </w:r>
      <w:proofErr w:type="spellEnd"/>
      <w:r w:rsidRPr="0068531F">
        <w:rPr>
          <w:rFonts w:ascii="Times New Roman" w:hAnsi="Times New Roman" w:cs="Times New Roman"/>
          <w:sz w:val="24"/>
          <w:szCs w:val="24"/>
        </w:rPr>
        <w:t>) = X`(</w:t>
      </w:r>
      <w:proofErr w:type="spellStart"/>
      <w:r w:rsidRPr="0068531F">
        <w:rPr>
          <w:rFonts w:ascii="Times New Roman" w:hAnsi="Times New Roman" w:cs="Times New Roman"/>
          <w:sz w:val="24"/>
          <w:szCs w:val="24"/>
        </w:rPr>
        <w:t>β</w:t>
      </w:r>
      <w:r w:rsidRPr="0068531F">
        <w:rPr>
          <w:rFonts w:ascii="Times New Roman" w:hAnsi="Times New Roman" w:cs="Times New Roman"/>
          <w:i/>
          <w:sz w:val="24"/>
          <w:szCs w:val="24"/>
          <w:vertAlign w:val="subscript"/>
        </w:rPr>
        <w:t>j</w:t>
      </w:r>
      <w:proofErr w:type="spellEnd"/>
      <w:r w:rsidRPr="0068531F">
        <w:rPr>
          <w:rFonts w:ascii="Times New Roman" w:hAnsi="Times New Roman" w:cs="Times New Roman"/>
          <w:sz w:val="24"/>
          <w:szCs w:val="24"/>
        </w:rPr>
        <w:t xml:space="preserve"> – </w:t>
      </w:r>
      <w:proofErr w:type="spellStart"/>
      <w:r w:rsidRPr="0068531F">
        <w:rPr>
          <w:rFonts w:ascii="Times New Roman" w:hAnsi="Times New Roman" w:cs="Times New Roman"/>
          <w:sz w:val="24"/>
          <w:szCs w:val="24"/>
        </w:rPr>
        <w:t>β</w:t>
      </w:r>
      <w:r w:rsidRPr="0068531F">
        <w:rPr>
          <w:rFonts w:ascii="Times New Roman" w:hAnsi="Times New Roman" w:cs="Times New Roman"/>
          <w:i/>
          <w:sz w:val="24"/>
          <w:szCs w:val="24"/>
          <w:vertAlign w:val="subscript"/>
        </w:rPr>
        <w:t>k</w:t>
      </w:r>
      <w:proofErr w:type="spellEnd"/>
      <w:r w:rsidRPr="0068531F">
        <w:rPr>
          <w:rFonts w:ascii="Times New Roman" w:hAnsi="Times New Roman" w:cs="Times New Roman"/>
          <w:sz w:val="24"/>
          <w:szCs w:val="24"/>
        </w:rPr>
        <w:t xml:space="preserve">). </w:t>
      </w:r>
    </w:p>
    <w:p w:rsidR="001F0534" w:rsidRPr="0068531F" w:rsidRDefault="001F0534" w:rsidP="00080788">
      <w:pPr>
        <w:spacing w:line="360" w:lineRule="auto"/>
        <w:ind w:right="29"/>
        <w:jc w:val="both"/>
        <w:rPr>
          <w:rFonts w:ascii="Times New Roman" w:hAnsi="Times New Roman" w:cs="Times New Roman"/>
          <w:sz w:val="24"/>
          <w:szCs w:val="24"/>
        </w:rPr>
      </w:pPr>
      <w:r w:rsidRPr="0068531F">
        <w:rPr>
          <w:rFonts w:ascii="Times New Roman" w:hAnsi="Times New Roman" w:cs="Times New Roman"/>
          <w:sz w:val="24"/>
          <w:szCs w:val="24"/>
        </w:rPr>
        <w:t>Greene (2003) notes that to avoid bias and maintain consistent parameter estimates of the multinomial logistic model in equation 3.3, (given the true reality that a household can choose more than two adaptation strategies) the assumption of independence of irrelevant alternatives (IIA)</w:t>
      </w:r>
      <w:r w:rsidRPr="0068531F">
        <w:rPr>
          <w:rFonts w:ascii="Times New Roman" w:hAnsi="Times New Roman" w:cs="Times New Roman"/>
          <w:sz w:val="24"/>
          <w:szCs w:val="24"/>
          <w:vertAlign w:val="superscript"/>
        </w:rPr>
        <w:footnoteReference w:id="1"/>
      </w:r>
      <w:r w:rsidRPr="0068531F">
        <w:rPr>
          <w:rFonts w:ascii="Times New Roman" w:hAnsi="Times New Roman" w:cs="Times New Roman"/>
          <w:sz w:val="24"/>
          <w:szCs w:val="24"/>
        </w:rPr>
        <w:t xml:space="preserve"> must hold. By differentiating equation 3.3 with respect to each predictor variable, the marginal effects of these variables may also be estimated as shown in equation 3.4.</w:t>
      </w:r>
    </w:p>
    <w:p w:rsidR="001F0534" w:rsidRDefault="007170DA" w:rsidP="001F0534">
      <w:pPr>
        <w:spacing w:line="360" w:lineRule="auto"/>
        <w:ind w:right="32"/>
        <w:jc w:val="both"/>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jk</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j-1</m:t>
                </m:r>
              </m:sup>
              <m:e>
                <m:sSub>
                  <m:sSubPr>
                    <m:ctrlPr>
                      <w:rPr>
                        <w:rFonts w:ascii="Cambria Math" w:hAnsi="Cambria Math"/>
                        <w:i/>
                      </w:rPr>
                    </m:ctrlPr>
                  </m:sSubPr>
                  <m:e>
                    <m:r>
                      <w:rPr>
                        <w:rFonts w:ascii="Cambria Math" w:hAnsi="Cambria Math"/>
                      </w:rPr>
                      <m:t>P</m:t>
                    </m:r>
                  </m:e>
                  <m:sub>
                    <m:r>
                      <w:rPr>
                        <w:rFonts w:ascii="Cambria Math" w:hAnsi="Cambria Math"/>
                      </w:rPr>
                      <m:t>j</m:t>
                    </m:r>
                  </m:sub>
                </m:sSub>
              </m:e>
            </m:nary>
            <m:sSub>
              <m:sSubPr>
                <m:ctrlPr>
                  <w:rPr>
                    <w:rFonts w:ascii="Cambria Math" w:hAnsi="Cambria Math"/>
                    <w:i/>
                  </w:rPr>
                </m:ctrlPr>
              </m:sSubPr>
              <m:e>
                <m:r>
                  <w:rPr>
                    <w:rFonts w:ascii="Cambria Math" w:hAnsi="Cambria Math"/>
                  </w:rPr>
                  <m:t>β</m:t>
                </m:r>
              </m:e>
              <m:sub>
                <m:r>
                  <w:rPr>
                    <w:rFonts w:ascii="Cambria Math" w:hAnsi="Cambria Math"/>
                  </w:rPr>
                  <m:t>jk</m:t>
                </m:r>
              </m:sub>
            </m:sSub>
          </m:e>
        </m:d>
        <m:r>
          <w:rPr>
            <w:rFonts w:ascii="Cambria Math" w:hAnsi="Cambria Math"/>
          </w:rPr>
          <m:t>…………………………………………………………………………….</m:t>
        </m:r>
      </m:oMath>
      <w:r w:rsidR="001F0534">
        <w:t>(3.4)</w:t>
      </w:r>
    </w:p>
    <w:p w:rsidR="001F0534" w:rsidRPr="0089496D" w:rsidRDefault="00201010" w:rsidP="00080788">
      <w:pPr>
        <w:pStyle w:val="Heading3"/>
        <w:spacing w:after="240" w:line="360" w:lineRule="auto"/>
        <w:rPr>
          <w:rFonts w:ascii="Times New Roman" w:hAnsi="Times New Roman"/>
          <w:color w:val="auto"/>
          <w:sz w:val="24"/>
          <w:szCs w:val="24"/>
        </w:rPr>
      </w:pPr>
      <w:bookmarkStart w:id="18" w:name="_Toc311701017"/>
      <w:bookmarkStart w:id="19" w:name="_Toc311703925"/>
      <w:r>
        <w:rPr>
          <w:rFonts w:ascii="Times New Roman" w:hAnsi="Times New Roman"/>
          <w:color w:val="auto"/>
          <w:sz w:val="24"/>
          <w:szCs w:val="24"/>
        </w:rPr>
        <w:t xml:space="preserve">5.3 </w:t>
      </w:r>
      <w:r w:rsidR="001F0534" w:rsidRPr="0089496D">
        <w:rPr>
          <w:rFonts w:ascii="Times New Roman" w:hAnsi="Times New Roman"/>
          <w:color w:val="auto"/>
          <w:sz w:val="24"/>
          <w:szCs w:val="24"/>
        </w:rPr>
        <w:t>Model variables and hypothesis to be tested</w:t>
      </w:r>
      <w:bookmarkEnd w:id="18"/>
      <w:bookmarkEnd w:id="19"/>
      <w:r w:rsidR="001F0534" w:rsidRPr="0089496D">
        <w:rPr>
          <w:rFonts w:ascii="Times New Roman" w:hAnsi="Times New Roman"/>
          <w:color w:val="auto"/>
          <w:sz w:val="24"/>
          <w:szCs w:val="24"/>
        </w:rPr>
        <w:t xml:space="preserve"> </w:t>
      </w:r>
    </w:p>
    <w:p w:rsidR="001F0534" w:rsidRPr="0068531F"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Mixed farming portfolio was treated as the baseline group taking the value of 0, mineral portfolio 1, flora portfolio 2 and fauna portfolio 3. Explanatory variables were chosen based on data availability and inferred conclusions from other similar studies. Table 3.1 gives a </w:t>
      </w:r>
      <w:r w:rsidRPr="0068531F">
        <w:rPr>
          <w:rFonts w:ascii="Times New Roman" w:hAnsi="Times New Roman" w:cs="Times New Roman"/>
          <w:sz w:val="24"/>
          <w:szCs w:val="24"/>
        </w:rPr>
        <w:lastRenderedPageBreak/>
        <w:t>summary of explanatory variables and their expected direction of influence on adaptation choices.</w:t>
      </w:r>
    </w:p>
    <w:p w:rsidR="001F0534" w:rsidRPr="00CD1FDB" w:rsidRDefault="001F0534" w:rsidP="00080788">
      <w:pPr>
        <w:pStyle w:val="Heading3"/>
        <w:spacing w:after="240" w:line="360" w:lineRule="auto"/>
        <w:rPr>
          <w:rFonts w:ascii="Times New Roman" w:hAnsi="Times New Roman"/>
          <w:color w:val="auto"/>
          <w:sz w:val="24"/>
          <w:szCs w:val="24"/>
        </w:rPr>
      </w:pPr>
      <w:bookmarkStart w:id="20" w:name="_Toc311701018"/>
      <w:bookmarkStart w:id="21" w:name="_Toc311703926"/>
      <w:r w:rsidRPr="00CD1FDB">
        <w:rPr>
          <w:rFonts w:ascii="Times New Roman" w:hAnsi="Times New Roman"/>
          <w:color w:val="auto"/>
          <w:sz w:val="24"/>
          <w:szCs w:val="24"/>
        </w:rPr>
        <w:t>Household characteristics</w:t>
      </w:r>
      <w:bookmarkEnd w:id="20"/>
      <w:bookmarkEnd w:id="21"/>
      <w:r w:rsidRPr="00CD1FDB">
        <w:rPr>
          <w:rFonts w:ascii="Times New Roman" w:hAnsi="Times New Roman"/>
          <w:color w:val="auto"/>
          <w:sz w:val="24"/>
          <w:szCs w:val="24"/>
        </w:rPr>
        <w:t xml:space="preserv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Barrett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(2001) note that education was one of the most important determinants of non-farm earnings, especially in more remunerative and skilled employment in rural Africa. Contrary to this, </w:t>
      </w:r>
      <w:proofErr w:type="spellStart"/>
      <w:r w:rsidRPr="0068531F">
        <w:rPr>
          <w:rFonts w:ascii="Times New Roman" w:hAnsi="Times New Roman" w:cs="Times New Roman"/>
          <w:sz w:val="24"/>
          <w:szCs w:val="24"/>
        </w:rPr>
        <w:t>Galab</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(2002) and </w:t>
      </w:r>
      <w:proofErr w:type="spellStart"/>
      <w:r w:rsidRPr="0068531F">
        <w:rPr>
          <w:rFonts w:ascii="Times New Roman" w:hAnsi="Times New Roman" w:cs="Times New Roman"/>
          <w:sz w:val="24"/>
          <w:szCs w:val="24"/>
        </w:rPr>
        <w:t>Berehanu</w:t>
      </w:r>
      <w:proofErr w:type="spellEnd"/>
      <w:r w:rsidRPr="0068531F">
        <w:rPr>
          <w:rFonts w:ascii="Times New Roman" w:hAnsi="Times New Roman" w:cs="Times New Roman"/>
          <w:sz w:val="24"/>
          <w:szCs w:val="24"/>
        </w:rPr>
        <w:t xml:space="preserve"> (2007) report a negative association between education and diversification into non-farm activities. Comparable conclusions were also inferred by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(2003) who notes that the more educated households become, the more unlikely they are to participate in non-farm activities like elephant management </w:t>
      </w:r>
      <w:proofErr w:type="spellStart"/>
      <w:r w:rsidRPr="0068531F">
        <w:rPr>
          <w:rFonts w:ascii="Times New Roman" w:hAnsi="Times New Roman" w:cs="Times New Roman"/>
          <w:sz w:val="24"/>
          <w:szCs w:val="24"/>
        </w:rPr>
        <w:t>programmes</w:t>
      </w:r>
      <w:proofErr w:type="spellEnd"/>
      <w:r w:rsidRPr="0068531F">
        <w:rPr>
          <w:rFonts w:ascii="Times New Roman" w:hAnsi="Times New Roman" w:cs="Times New Roman"/>
          <w:sz w:val="24"/>
          <w:szCs w:val="24"/>
        </w:rPr>
        <w:t xml:space="preserve">. Either a positive or a negative association was therefore conjectured for this variable in this study.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With regard to age, </w:t>
      </w:r>
      <w:proofErr w:type="spellStart"/>
      <w:r w:rsidRPr="0068531F">
        <w:rPr>
          <w:rFonts w:ascii="Times New Roman" w:hAnsi="Times New Roman" w:cs="Times New Roman"/>
          <w:sz w:val="24"/>
          <w:szCs w:val="24"/>
        </w:rPr>
        <w:t>Rao</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(2004) observe a negative relationship between age and willingness to diversify into non-farm livelihood sources. Lack of agricultural land may be the pushing factor for young households which may opt to consider other livelihood sources. Depending on the nature of available non-farm activities, </w:t>
      </w:r>
      <w:proofErr w:type="spellStart"/>
      <w:r w:rsidRPr="0068531F">
        <w:rPr>
          <w:rFonts w:ascii="Times New Roman" w:hAnsi="Times New Roman" w:cs="Times New Roman"/>
          <w:sz w:val="24"/>
          <w:szCs w:val="24"/>
        </w:rPr>
        <w:t>Vedeld</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(2004) and </w:t>
      </w:r>
      <w:proofErr w:type="spellStart"/>
      <w:r w:rsidRPr="0068531F">
        <w:rPr>
          <w:rFonts w:ascii="Times New Roman" w:hAnsi="Times New Roman" w:cs="Times New Roman"/>
          <w:sz w:val="24"/>
          <w:szCs w:val="24"/>
        </w:rPr>
        <w:t>Kohlin</w:t>
      </w:r>
      <w:proofErr w:type="spellEnd"/>
      <w:r w:rsidRPr="0068531F">
        <w:rPr>
          <w:rFonts w:ascii="Times New Roman" w:hAnsi="Times New Roman" w:cs="Times New Roman"/>
          <w:sz w:val="24"/>
          <w:szCs w:val="24"/>
        </w:rPr>
        <w:t xml:space="preserve"> and Parks (2001) further argue that older people may lack the physical strength and time to engage in most </w:t>
      </w:r>
      <w:proofErr w:type="gramStart"/>
      <w:r w:rsidRPr="0068531F">
        <w:rPr>
          <w:rFonts w:ascii="Times New Roman" w:hAnsi="Times New Roman" w:cs="Times New Roman"/>
          <w:sz w:val="24"/>
          <w:szCs w:val="24"/>
        </w:rPr>
        <w:t>non-farm</w:t>
      </w:r>
      <w:proofErr w:type="gramEnd"/>
      <w:r w:rsidRPr="0068531F">
        <w:rPr>
          <w:rFonts w:ascii="Times New Roman" w:hAnsi="Times New Roman" w:cs="Times New Roman"/>
          <w:sz w:val="24"/>
          <w:szCs w:val="24"/>
        </w:rPr>
        <w:t xml:space="preserve">, forest activities. A negative correlation was, therefore, expected for this variable.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Several studies suggest that female headed households may be less likely to participate in non-farm activities mainly because of culture, social mobility limitations and differential ownership/access to assets (</w:t>
      </w:r>
      <w:proofErr w:type="spellStart"/>
      <w:r w:rsidRPr="0068531F">
        <w:rPr>
          <w:rFonts w:ascii="Times New Roman" w:hAnsi="Times New Roman" w:cs="Times New Roman"/>
          <w:sz w:val="24"/>
          <w:szCs w:val="24"/>
        </w:rPr>
        <w:t>Galab</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2002; </w:t>
      </w:r>
      <w:proofErr w:type="spellStart"/>
      <w:r w:rsidRPr="0068531F">
        <w:rPr>
          <w:rFonts w:ascii="Times New Roman" w:hAnsi="Times New Roman" w:cs="Times New Roman"/>
          <w:sz w:val="24"/>
          <w:szCs w:val="24"/>
        </w:rPr>
        <w:t>Adugna</w:t>
      </w:r>
      <w:proofErr w:type="spellEnd"/>
      <w:r w:rsidRPr="0068531F">
        <w:rPr>
          <w:rFonts w:ascii="Times New Roman" w:hAnsi="Times New Roman" w:cs="Times New Roman"/>
          <w:sz w:val="24"/>
          <w:szCs w:val="24"/>
        </w:rPr>
        <w:t>, 2005). In contrast, literature also suggests that women in general may be more willing to participate in common pool property resources than men and may be more involved in gathering activities than men (</w:t>
      </w:r>
      <w:proofErr w:type="spellStart"/>
      <w:r w:rsidRPr="0068531F">
        <w:rPr>
          <w:rFonts w:ascii="Times New Roman" w:hAnsi="Times New Roman" w:cs="Times New Roman"/>
          <w:sz w:val="24"/>
          <w:szCs w:val="24"/>
        </w:rPr>
        <w:t>Folbre</w:t>
      </w:r>
      <w:proofErr w:type="spellEnd"/>
      <w:r w:rsidRPr="0068531F">
        <w:rPr>
          <w:rFonts w:ascii="Times New Roman" w:hAnsi="Times New Roman" w:cs="Times New Roman"/>
          <w:sz w:val="24"/>
          <w:szCs w:val="24"/>
        </w:rPr>
        <w:t xml:space="preserve">, 1994; Grossman, 1996; </w:t>
      </w:r>
      <w:proofErr w:type="spellStart"/>
      <w:r w:rsidRPr="0068531F">
        <w:rPr>
          <w:rFonts w:ascii="Times New Roman" w:hAnsi="Times New Roman" w:cs="Times New Roman"/>
          <w:sz w:val="24"/>
          <w:szCs w:val="24"/>
        </w:rPr>
        <w:t>Narain</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2005). With this background, either a positive or a negative influence was expected for this variable in the study.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With reference to the wealth status of households, </w:t>
      </w:r>
      <w:proofErr w:type="spellStart"/>
      <w:r w:rsidRPr="0068531F">
        <w:rPr>
          <w:rFonts w:ascii="Times New Roman" w:hAnsi="Times New Roman" w:cs="Times New Roman"/>
          <w:sz w:val="24"/>
          <w:szCs w:val="24"/>
        </w:rPr>
        <w:t>Tembo</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Bandyopadhyay</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Pauy</w:t>
      </w:r>
      <w:proofErr w:type="spellEnd"/>
      <w:r w:rsidRPr="0068531F">
        <w:rPr>
          <w:rFonts w:ascii="Times New Roman" w:hAnsi="Times New Roman" w:cs="Times New Roman"/>
          <w:sz w:val="24"/>
          <w:szCs w:val="24"/>
        </w:rPr>
        <w:t xml:space="preserve"> (2009) observe that rich and educated community members may be more likely to participate in community resource boards, lending support to the positive correlation between wealth status and participation in non-farm activities. Earlier, </w:t>
      </w:r>
      <w:proofErr w:type="spell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xml:space="preserve"> (2005) </w:t>
      </w:r>
      <w:r>
        <w:rPr>
          <w:rFonts w:ascii="Times New Roman" w:hAnsi="Times New Roman" w:cs="Times New Roman"/>
          <w:sz w:val="24"/>
          <w:szCs w:val="24"/>
        </w:rPr>
        <w:t xml:space="preserve">has </w:t>
      </w:r>
      <w:r w:rsidRPr="0068531F">
        <w:rPr>
          <w:rFonts w:ascii="Times New Roman" w:hAnsi="Times New Roman" w:cs="Times New Roman"/>
          <w:sz w:val="24"/>
          <w:szCs w:val="24"/>
        </w:rPr>
        <w:t xml:space="preserve">noted that household wealth endowment may be expected to influence benefits from forests directly, as productive wealth creates more opportunities for better-off households to use biomass resources. In </w:t>
      </w:r>
      <w:r w:rsidRPr="0068531F">
        <w:rPr>
          <w:rFonts w:ascii="Times New Roman" w:hAnsi="Times New Roman" w:cs="Times New Roman"/>
          <w:sz w:val="24"/>
          <w:szCs w:val="24"/>
        </w:rPr>
        <w:lastRenderedPageBreak/>
        <w:t>addition, several studies suggest that wealthier households, with larger herds of cattle and more land, may have a greater need for animal fodder and agricultural compost (</w:t>
      </w:r>
      <w:proofErr w:type="spellStart"/>
      <w:r w:rsidRPr="0068531F">
        <w:rPr>
          <w:rFonts w:ascii="Times New Roman" w:hAnsi="Times New Roman" w:cs="Times New Roman"/>
          <w:sz w:val="24"/>
          <w:szCs w:val="24"/>
        </w:rPr>
        <w:t>Varughese</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Ostrom</w:t>
      </w:r>
      <w:proofErr w:type="spellEnd"/>
      <w:r w:rsidRPr="0068531F">
        <w:rPr>
          <w:rFonts w:ascii="Times New Roman" w:hAnsi="Times New Roman" w:cs="Times New Roman"/>
          <w:sz w:val="24"/>
          <w:szCs w:val="24"/>
        </w:rPr>
        <w:t xml:space="preserve">, 2001; </w:t>
      </w:r>
      <w:proofErr w:type="spellStart"/>
      <w:r w:rsidRPr="0068531F">
        <w:rPr>
          <w:rFonts w:ascii="Times New Roman" w:hAnsi="Times New Roman" w:cs="Times New Roman"/>
          <w:sz w:val="24"/>
          <w:szCs w:val="24"/>
        </w:rPr>
        <w:t>Narain</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2005). A positive association was therefore conjectured for this variable in the study. </w:t>
      </w:r>
    </w:p>
    <w:p w:rsidR="001F0534" w:rsidRPr="00CD1FDB" w:rsidRDefault="001F0534" w:rsidP="00080788">
      <w:pPr>
        <w:pStyle w:val="Heading3"/>
        <w:spacing w:after="240" w:line="360" w:lineRule="auto"/>
        <w:rPr>
          <w:rFonts w:ascii="Times New Roman" w:hAnsi="Times New Roman"/>
          <w:color w:val="auto"/>
          <w:sz w:val="24"/>
          <w:szCs w:val="24"/>
        </w:rPr>
      </w:pPr>
      <w:bookmarkStart w:id="22" w:name="_Toc311701019"/>
      <w:bookmarkStart w:id="23" w:name="_Toc311703927"/>
      <w:r w:rsidRPr="00CD1FDB">
        <w:rPr>
          <w:rFonts w:ascii="Times New Roman" w:hAnsi="Times New Roman"/>
          <w:color w:val="auto"/>
          <w:sz w:val="24"/>
          <w:szCs w:val="24"/>
        </w:rPr>
        <w:t>Institutional and other factors</w:t>
      </w:r>
      <w:bookmarkEnd w:id="22"/>
      <w:bookmarkEnd w:id="23"/>
      <w:r w:rsidRPr="00CD1FDB">
        <w:rPr>
          <w:rFonts w:ascii="Times New Roman" w:hAnsi="Times New Roman"/>
          <w:color w:val="auto"/>
          <w:sz w:val="24"/>
          <w:szCs w:val="24"/>
        </w:rPr>
        <w:t xml:space="preserve"> </w:t>
      </w:r>
    </w:p>
    <w:p w:rsidR="001F0534" w:rsidRPr="0068531F"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Samuel (2003) reports a positive association between frequency of extension services and diversification into non-farm activities. Similar earlier conclusions were inferred by </w:t>
      </w:r>
      <w:proofErr w:type="spellStart"/>
      <w:r w:rsidRPr="0068531F">
        <w:rPr>
          <w:rFonts w:ascii="Times New Roman" w:hAnsi="Times New Roman" w:cs="Times New Roman"/>
          <w:sz w:val="24"/>
          <w:szCs w:val="24"/>
        </w:rPr>
        <w:t>Gaspert</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(1999) who suggest that access to institutions may enhance awa</w:t>
      </w:r>
      <w:r>
        <w:rPr>
          <w:rFonts w:ascii="Times New Roman" w:hAnsi="Times New Roman" w:cs="Times New Roman"/>
          <w:sz w:val="24"/>
          <w:szCs w:val="24"/>
        </w:rPr>
        <w:t>reness of the potential gains from</w:t>
      </w:r>
      <w:r w:rsidRPr="0068531F">
        <w:rPr>
          <w:rFonts w:ascii="Times New Roman" w:hAnsi="Times New Roman" w:cs="Times New Roman"/>
          <w:sz w:val="24"/>
          <w:szCs w:val="24"/>
        </w:rPr>
        <w:t xml:space="preserve"> forests. More recently, </w:t>
      </w:r>
      <w:proofErr w:type="spell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xml:space="preserve"> (2005) further argues that access to institutions raise awareness on policy information that may directly affect forest communities.  A positive association was, therefore, expected for this variable.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Recent observations suggest that communities` willingness to participate in non-farm actives may be based on the ability of exchanging </w:t>
      </w:r>
      <w:r>
        <w:rPr>
          <w:rFonts w:ascii="Times New Roman" w:hAnsi="Times New Roman" w:cs="Times New Roman"/>
          <w:sz w:val="24"/>
          <w:szCs w:val="24"/>
        </w:rPr>
        <w:t xml:space="preserve">resultant </w:t>
      </w:r>
      <w:r w:rsidRPr="0068531F">
        <w:rPr>
          <w:rFonts w:ascii="Times New Roman" w:hAnsi="Times New Roman" w:cs="Times New Roman"/>
          <w:sz w:val="24"/>
          <w:szCs w:val="24"/>
        </w:rPr>
        <w:t xml:space="preserve">non-farm extracts in a competitive market for income generation (driven demand). The availability of markets for non-farm products may reduce risks and act as a livelihood source guarantee with respect to the specific non-farm livelihood source supported by the market, from a community point of view. Therefore, a positive link was expected for this variable.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Several studies reveal that the larger the land size, the less likely </w:t>
      </w:r>
      <w:r>
        <w:rPr>
          <w:rFonts w:ascii="Times New Roman" w:hAnsi="Times New Roman" w:cs="Times New Roman"/>
          <w:sz w:val="24"/>
          <w:szCs w:val="24"/>
        </w:rPr>
        <w:t xml:space="preserve">will </w:t>
      </w:r>
      <w:r w:rsidRPr="0068531F">
        <w:rPr>
          <w:rFonts w:ascii="Times New Roman" w:hAnsi="Times New Roman" w:cs="Times New Roman"/>
          <w:sz w:val="24"/>
          <w:szCs w:val="24"/>
        </w:rPr>
        <w:t xml:space="preserve">owners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68531F">
        <w:rPr>
          <w:rFonts w:ascii="Times New Roman" w:hAnsi="Times New Roman" w:cs="Times New Roman"/>
          <w:sz w:val="24"/>
          <w:szCs w:val="24"/>
        </w:rPr>
        <w:t>willing to diversify into other non-farm activities (</w:t>
      </w:r>
      <w:proofErr w:type="spellStart"/>
      <w:r w:rsidRPr="0068531F">
        <w:rPr>
          <w:rFonts w:ascii="Times New Roman" w:hAnsi="Times New Roman" w:cs="Times New Roman"/>
          <w:sz w:val="24"/>
          <w:szCs w:val="24"/>
        </w:rPr>
        <w:t>Lanjouw</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Lanjouw</w:t>
      </w:r>
      <w:proofErr w:type="spellEnd"/>
      <w:r w:rsidRPr="0068531F">
        <w:rPr>
          <w:rFonts w:ascii="Times New Roman" w:hAnsi="Times New Roman" w:cs="Times New Roman"/>
          <w:sz w:val="24"/>
          <w:szCs w:val="24"/>
        </w:rPr>
        <w:t xml:space="preserve">, 1995; </w:t>
      </w:r>
      <w:proofErr w:type="spellStart"/>
      <w:r w:rsidRPr="0068531F">
        <w:rPr>
          <w:rFonts w:ascii="Times New Roman" w:hAnsi="Times New Roman" w:cs="Times New Roman"/>
          <w:sz w:val="24"/>
          <w:szCs w:val="24"/>
        </w:rPr>
        <w:t>Berehanu</w:t>
      </w:r>
      <w:proofErr w:type="spellEnd"/>
      <w:r w:rsidRPr="0068531F">
        <w:rPr>
          <w:rFonts w:ascii="Times New Roman" w:hAnsi="Times New Roman" w:cs="Times New Roman"/>
          <w:sz w:val="24"/>
          <w:szCs w:val="24"/>
        </w:rPr>
        <w:t xml:space="preserve"> 2007), provided that owners are getting meaningful returns. On the contrary, several studies suggest a positive association based on the complementary nature of the farming system and forests (Fisher, 2004; </w:t>
      </w:r>
      <w:proofErr w:type="spell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2005) notably agricultural compost (</w:t>
      </w:r>
      <w:proofErr w:type="spellStart"/>
      <w:r w:rsidRPr="0068531F">
        <w:rPr>
          <w:rFonts w:ascii="Times New Roman" w:hAnsi="Times New Roman" w:cs="Times New Roman"/>
          <w:sz w:val="24"/>
          <w:szCs w:val="24"/>
        </w:rPr>
        <w:t>Varughese</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Ostrom</w:t>
      </w:r>
      <w:proofErr w:type="spellEnd"/>
      <w:r w:rsidRPr="0068531F">
        <w:rPr>
          <w:rFonts w:ascii="Times New Roman" w:hAnsi="Times New Roman" w:cs="Times New Roman"/>
          <w:sz w:val="24"/>
          <w:szCs w:val="24"/>
        </w:rPr>
        <w:t xml:space="preserve">, 2001; </w:t>
      </w:r>
      <w:proofErr w:type="spellStart"/>
      <w:r w:rsidRPr="0068531F">
        <w:rPr>
          <w:rFonts w:ascii="Times New Roman" w:hAnsi="Times New Roman" w:cs="Times New Roman"/>
          <w:sz w:val="24"/>
          <w:szCs w:val="24"/>
        </w:rPr>
        <w:t>Narain</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2005). Either a positive or a negative association was, therefore, conjectured for this variable.</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Table 1 presents a summary of the variables expected to influence the adaptation choices of households. A brief description of each variable is given together with the unit of measurement and the expected sign.</w:t>
      </w:r>
    </w:p>
    <w:p w:rsidR="001F0534" w:rsidRPr="0068531F" w:rsidRDefault="001F0534" w:rsidP="001F0534">
      <w:pPr>
        <w:spacing w:line="480" w:lineRule="auto"/>
        <w:jc w:val="both"/>
        <w:rPr>
          <w:rFonts w:ascii="Times New Roman" w:hAnsi="Times New Roman" w:cs="Times New Roman"/>
          <w:sz w:val="24"/>
          <w:szCs w:val="24"/>
        </w:rPr>
      </w:pPr>
      <w:r w:rsidRPr="0068531F">
        <w:rPr>
          <w:rFonts w:ascii="Times New Roman" w:hAnsi="Times New Roman" w:cs="Times New Roman"/>
          <w:b/>
          <w:sz w:val="24"/>
          <w:szCs w:val="24"/>
        </w:rPr>
        <w:t>Table 1:</w:t>
      </w:r>
      <w:r w:rsidRPr="0068531F">
        <w:rPr>
          <w:rFonts w:ascii="Times New Roman" w:hAnsi="Times New Roman" w:cs="Times New Roman"/>
          <w:sz w:val="24"/>
          <w:szCs w:val="24"/>
        </w:rPr>
        <w:t xml:space="preserve"> Variables </w:t>
      </w:r>
      <w:proofErr w:type="spellStart"/>
      <w:r w:rsidRPr="0068531F">
        <w:rPr>
          <w:rFonts w:ascii="Times New Roman" w:hAnsi="Times New Roman" w:cs="Times New Roman"/>
          <w:sz w:val="24"/>
          <w:szCs w:val="24"/>
        </w:rPr>
        <w:t>hypothesised</w:t>
      </w:r>
      <w:proofErr w:type="spellEnd"/>
      <w:r w:rsidRPr="0068531F">
        <w:rPr>
          <w:rFonts w:ascii="Times New Roman" w:hAnsi="Times New Roman" w:cs="Times New Roman"/>
          <w:sz w:val="24"/>
          <w:szCs w:val="24"/>
        </w:rPr>
        <w:t xml:space="preserve"> to affect adaptation choices of households</w:t>
      </w:r>
    </w:p>
    <w:tbl>
      <w:tblPr>
        <w:tblW w:w="95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048"/>
        <w:gridCol w:w="3818"/>
        <w:gridCol w:w="2129"/>
        <w:gridCol w:w="1565"/>
      </w:tblGrid>
      <w:tr w:rsidR="001F0534" w:rsidRPr="00355D12" w:rsidTr="00080788">
        <w:trPr>
          <w:trHeight w:val="438"/>
        </w:trPr>
        <w:tc>
          <w:tcPr>
            <w:tcW w:w="2048" w:type="dxa"/>
          </w:tcPr>
          <w:p w:rsidR="001F0534" w:rsidRPr="00355D12" w:rsidRDefault="001F0534" w:rsidP="001F0534">
            <w:pPr>
              <w:jc w:val="center"/>
              <w:rPr>
                <w:b/>
                <w:sz w:val="18"/>
                <w:szCs w:val="18"/>
              </w:rPr>
            </w:pPr>
            <w:r w:rsidRPr="00355D12">
              <w:rPr>
                <w:b/>
                <w:sz w:val="18"/>
                <w:szCs w:val="18"/>
              </w:rPr>
              <w:t>Variable</w:t>
            </w:r>
          </w:p>
        </w:tc>
        <w:tc>
          <w:tcPr>
            <w:tcW w:w="3818" w:type="dxa"/>
          </w:tcPr>
          <w:p w:rsidR="001F0534" w:rsidRPr="00355D12" w:rsidRDefault="001F0534" w:rsidP="001F0534">
            <w:pPr>
              <w:jc w:val="center"/>
              <w:rPr>
                <w:b/>
                <w:sz w:val="18"/>
                <w:szCs w:val="18"/>
              </w:rPr>
            </w:pPr>
            <w:r w:rsidRPr="00355D12">
              <w:rPr>
                <w:b/>
                <w:sz w:val="18"/>
                <w:szCs w:val="18"/>
              </w:rPr>
              <w:t>Description and Measurement</w:t>
            </w:r>
          </w:p>
        </w:tc>
        <w:tc>
          <w:tcPr>
            <w:tcW w:w="2129" w:type="dxa"/>
          </w:tcPr>
          <w:p w:rsidR="001F0534" w:rsidRPr="00355D12" w:rsidRDefault="001F0534" w:rsidP="001F0534">
            <w:pPr>
              <w:jc w:val="center"/>
              <w:rPr>
                <w:b/>
                <w:sz w:val="18"/>
                <w:szCs w:val="18"/>
              </w:rPr>
            </w:pPr>
            <w:r w:rsidRPr="00355D12">
              <w:rPr>
                <w:b/>
                <w:sz w:val="18"/>
                <w:szCs w:val="18"/>
              </w:rPr>
              <w:t>Unit</w:t>
            </w:r>
          </w:p>
        </w:tc>
        <w:tc>
          <w:tcPr>
            <w:tcW w:w="1565" w:type="dxa"/>
          </w:tcPr>
          <w:p w:rsidR="001F0534" w:rsidRPr="00355D12" w:rsidRDefault="001F0534" w:rsidP="001F0534">
            <w:pPr>
              <w:jc w:val="center"/>
              <w:rPr>
                <w:b/>
                <w:sz w:val="18"/>
                <w:szCs w:val="18"/>
              </w:rPr>
            </w:pPr>
            <w:r w:rsidRPr="00355D12">
              <w:rPr>
                <w:b/>
                <w:sz w:val="18"/>
                <w:szCs w:val="18"/>
              </w:rPr>
              <w:t>Expected sign</w:t>
            </w:r>
          </w:p>
        </w:tc>
      </w:tr>
      <w:tr w:rsidR="001F0534" w:rsidRPr="00355D12" w:rsidTr="00080788">
        <w:trPr>
          <w:trHeight w:val="278"/>
        </w:trPr>
        <w:tc>
          <w:tcPr>
            <w:tcW w:w="9560" w:type="dxa"/>
            <w:gridSpan w:val="4"/>
          </w:tcPr>
          <w:p w:rsidR="001F0534" w:rsidRPr="00355D12" w:rsidRDefault="001F0534" w:rsidP="001F0534">
            <w:pPr>
              <w:rPr>
                <w:b/>
                <w:sz w:val="18"/>
                <w:szCs w:val="18"/>
              </w:rPr>
            </w:pPr>
            <w:r w:rsidRPr="00355D12">
              <w:rPr>
                <w:b/>
                <w:sz w:val="18"/>
                <w:szCs w:val="18"/>
              </w:rPr>
              <w:lastRenderedPageBreak/>
              <w:t>Household characteristics</w:t>
            </w:r>
          </w:p>
        </w:tc>
      </w:tr>
      <w:tr w:rsidR="001F0534" w:rsidRPr="00355D12" w:rsidTr="00080788">
        <w:trPr>
          <w:trHeight w:val="1360"/>
        </w:trPr>
        <w:tc>
          <w:tcPr>
            <w:tcW w:w="2048" w:type="dxa"/>
          </w:tcPr>
          <w:p w:rsidR="001F0534" w:rsidRPr="00355D12" w:rsidRDefault="001F0534" w:rsidP="00AE25FC">
            <w:pPr>
              <w:numPr>
                <w:ilvl w:val="0"/>
                <w:numId w:val="2"/>
              </w:numPr>
              <w:jc w:val="both"/>
              <w:rPr>
                <w:sz w:val="18"/>
                <w:szCs w:val="18"/>
              </w:rPr>
            </w:pPr>
            <w:r w:rsidRPr="00355D12">
              <w:rPr>
                <w:sz w:val="18"/>
                <w:szCs w:val="18"/>
              </w:rPr>
              <w:t xml:space="preserve">Education </w:t>
            </w:r>
          </w:p>
        </w:tc>
        <w:tc>
          <w:tcPr>
            <w:tcW w:w="3818" w:type="dxa"/>
          </w:tcPr>
          <w:p w:rsidR="001F0534" w:rsidRPr="00355D12" w:rsidRDefault="001F0534" w:rsidP="001F0534">
            <w:pPr>
              <w:jc w:val="both"/>
              <w:rPr>
                <w:sz w:val="18"/>
                <w:szCs w:val="18"/>
              </w:rPr>
            </w:pPr>
            <w:r w:rsidRPr="00355D12">
              <w:rPr>
                <w:sz w:val="18"/>
                <w:szCs w:val="18"/>
              </w:rPr>
              <w:t>Level of education classified as follows; uneducated, educated to primary level; educated to secondary level and above</w:t>
            </w:r>
          </w:p>
        </w:tc>
        <w:tc>
          <w:tcPr>
            <w:tcW w:w="2129" w:type="dxa"/>
          </w:tcPr>
          <w:p w:rsidR="001F0534" w:rsidRPr="00355D12" w:rsidRDefault="001F0534" w:rsidP="001F0534">
            <w:pPr>
              <w:rPr>
                <w:sz w:val="18"/>
                <w:szCs w:val="18"/>
              </w:rPr>
            </w:pPr>
            <w:r w:rsidRPr="00355D12">
              <w:rPr>
                <w:sz w:val="18"/>
                <w:szCs w:val="18"/>
              </w:rPr>
              <w:t>Unedu</w:t>
            </w:r>
            <w:r>
              <w:rPr>
                <w:sz w:val="18"/>
                <w:szCs w:val="18"/>
              </w:rPr>
              <w:t>cated = 0;</w:t>
            </w:r>
            <w:r w:rsidRPr="00355D12">
              <w:rPr>
                <w:sz w:val="18"/>
                <w:szCs w:val="18"/>
              </w:rPr>
              <w:t xml:space="preserve"> educated to primary level = 1; educated to secondary level and above = 2</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431"/>
        </w:trPr>
        <w:tc>
          <w:tcPr>
            <w:tcW w:w="2048" w:type="dxa"/>
          </w:tcPr>
          <w:p w:rsidR="001F0534" w:rsidRPr="00355D12" w:rsidRDefault="001F0534" w:rsidP="00AE25FC">
            <w:pPr>
              <w:numPr>
                <w:ilvl w:val="0"/>
                <w:numId w:val="2"/>
              </w:numPr>
              <w:jc w:val="both"/>
              <w:rPr>
                <w:sz w:val="18"/>
                <w:szCs w:val="18"/>
              </w:rPr>
            </w:pPr>
            <w:r w:rsidRPr="00355D12">
              <w:rPr>
                <w:sz w:val="18"/>
                <w:szCs w:val="18"/>
              </w:rPr>
              <w:t xml:space="preserve">Age </w:t>
            </w:r>
          </w:p>
        </w:tc>
        <w:tc>
          <w:tcPr>
            <w:tcW w:w="3818" w:type="dxa"/>
          </w:tcPr>
          <w:p w:rsidR="001F0534" w:rsidRPr="00355D12" w:rsidRDefault="001F0534" w:rsidP="001F0534">
            <w:pPr>
              <w:jc w:val="both"/>
              <w:rPr>
                <w:sz w:val="18"/>
                <w:szCs w:val="18"/>
              </w:rPr>
            </w:pPr>
            <w:r w:rsidRPr="00355D12">
              <w:rPr>
                <w:sz w:val="18"/>
                <w:szCs w:val="18"/>
              </w:rPr>
              <w:t xml:space="preserve">Age of household-head </w:t>
            </w:r>
          </w:p>
        </w:tc>
        <w:tc>
          <w:tcPr>
            <w:tcW w:w="2129" w:type="dxa"/>
          </w:tcPr>
          <w:p w:rsidR="001F0534" w:rsidRPr="00355D12" w:rsidRDefault="001F0534" w:rsidP="001F0534">
            <w:pPr>
              <w:jc w:val="center"/>
              <w:rPr>
                <w:sz w:val="18"/>
                <w:szCs w:val="18"/>
              </w:rPr>
            </w:pPr>
            <w:r w:rsidRPr="00355D12">
              <w:rPr>
                <w:sz w:val="18"/>
                <w:szCs w:val="18"/>
              </w:rPr>
              <w:t>Years</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395"/>
        </w:trPr>
        <w:tc>
          <w:tcPr>
            <w:tcW w:w="2048" w:type="dxa"/>
          </w:tcPr>
          <w:p w:rsidR="001F0534" w:rsidRPr="00355D12" w:rsidRDefault="001F0534" w:rsidP="00AE25FC">
            <w:pPr>
              <w:numPr>
                <w:ilvl w:val="0"/>
                <w:numId w:val="2"/>
              </w:numPr>
              <w:jc w:val="both"/>
              <w:rPr>
                <w:sz w:val="18"/>
                <w:szCs w:val="18"/>
              </w:rPr>
            </w:pPr>
            <w:r w:rsidRPr="00355D12">
              <w:rPr>
                <w:sz w:val="18"/>
                <w:szCs w:val="18"/>
              </w:rPr>
              <w:t xml:space="preserve">Gender </w:t>
            </w:r>
          </w:p>
        </w:tc>
        <w:tc>
          <w:tcPr>
            <w:tcW w:w="3818" w:type="dxa"/>
          </w:tcPr>
          <w:p w:rsidR="001F0534" w:rsidRPr="00355D12" w:rsidRDefault="001F0534" w:rsidP="001F0534">
            <w:pPr>
              <w:jc w:val="both"/>
              <w:rPr>
                <w:sz w:val="18"/>
                <w:szCs w:val="18"/>
              </w:rPr>
            </w:pPr>
            <w:r w:rsidRPr="00355D12">
              <w:rPr>
                <w:sz w:val="18"/>
                <w:szCs w:val="18"/>
              </w:rPr>
              <w:t xml:space="preserve">Household head gender </w:t>
            </w:r>
          </w:p>
        </w:tc>
        <w:tc>
          <w:tcPr>
            <w:tcW w:w="2129" w:type="dxa"/>
          </w:tcPr>
          <w:p w:rsidR="001F0534" w:rsidRPr="00355D12" w:rsidRDefault="001F0534" w:rsidP="001F0534">
            <w:pPr>
              <w:jc w:val="center"/>
              <w:rPr>
                <w:sz w:val="18"/>
                <w:szCs w:val="18"/>
              </w:rPr>
            </w:pPr>
            <w:r w:rsidRPr="00355D12">
              <w:rPr>
                <w:sz w:val="18"/>
                <w:szCs w:val="18"/>
              </w:rPr>
              <w:t>1 = male , 0 female</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1338"/>
        </w:trPr>
        <w:tc>
          <w:tcPr>
            <w:tcW w:w="2048" w:type="dxa"/>
          </w:tcPr>
          <w:p w:rsidR="001F0534" w:rsidRPr="00355D12" w:rsidRDefault="001F0534" w:rsidP="00AE25FC">
            <w:pPr>
              <w:numPr>
                <w:ilvl w:val="0"/>
                <w:numId w:val="2"/>
              </w:numPr>
              <w:jc w:val="both"/>
              <w:rPr>
                <w:sz w:val="18"/>
                <w:szCs w:val="18"/>
              </w:rPr>
            </w:pPr>
            <w:r w:rsidRPr="00355D12">
              <w:rPr>
                <w:sz w:val="18"/>
                <w:szCs w:val="18"/>
              </w:rPr>
              <w:t xml:space="preserve">Wealth status </w:t>
            </w:r>
          </w:p>
        </w:tc>
        <w:tc>
          <w:tcPr>
            <w:tcW w:w="3818" w:type="dxa"/>
          </w:tcPr>
          <w:p w:rsidR="001F0534" w:rsidRPr="00355D12" w:rsidRDefault="001F0534" w:rsidP="001F0534">
            <w:pPr>
              <w:jc w:val="both"/>
              <w:rPr>
                <w:sz w:val="18"/>
                <w:szCs w:val="18"/>
              </w:rPr>
            </w:pPr>
            <w:r w:rsidRPr="00355D12">
              <w:rPr>
                <w:sz w:val="18"/>
                <w:szCs w:val="18"/>
              </w:rPr>
              <w:t>An index was constructed using household`s ownership of 6 agreed livelihoods strategic assets</w:t>
            </w:r>
            <w:r w:rsidRPr="00355D12">
              <w:rPr>
                <w:rStyle w:val="FootnoteReference"/>
                <w:sz w:val="18"/>
                <w:szCs w:val="18"/>
              </w:rPr>
              <w:footnoteReference w:id="2"/>
            </w:r>
            <w:r w:rsidRPr="00355D12">
              <w:rPr>
                <w:sz w:val="18"/>
                <w:szCs w:val="18"/>
              </w:rPr>
              <w:t xml:space="preserve">. Those with a score &lt; 3 were deem rural poor and those with  a score </w:t>
            </w:r>
            <w:r w:rsidRPr="00355D12">
              <w:rPr>
                <w:sz w:val="18"/>
                <w:szCs w:val="18"/>
                <w:u w:val="single"/>
              </w:rPr>
              <w:t>&gt;</w:t>
            </w:r>
            <w:r w:rsidRPr="00355D12">
              <w:rPr>
                <w:sz w:val="18"/>
                <w:szCs w:val="18"/>
              </w:rPr>
              <w:t xml:space="preserve"> 3 deemed rural rich </w:t>
            </w:r>
          </w:p>
        </w:tc>
        <w:tc>
          <w:tcPr>
            <w:tcW w:w="2129" w:type="dxa"/>
          </w:tcPr>
          <w:p w:rsidR="001F0534" w:rsidRPr="00355D12" w:rsidRDefault="001F0534" w:rsidP="001F0534">
            <w:pPr>
              <w:jc w:val="center"/>
              <w:rPr>
                <w:sz w:val="18"/>
                <w:szCs w:val="18"/>
              </w:rPr>
            </w:pPr>
            <w:r w:rsidRPr="00355D12">
              <w:rPr>
                <w:sz w:val="18"/>
                <w:szCs w:val="18"/>
              </w:rPr>
              <w:t>0 = Poor , 1 = rich</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296"/>
        </w:trPr>
        <w:tc>
          <w:tcPr>
            <w:tcW w:w="9560" w:type="dxa"/>
            <w:gridSpan w:val="4"/>
          </w:tcPr>
          <w:p w:rsidR="001F0534" w:rsidRPr="00355D12" w:rsidRDefault="001F0534" w:rsidP="001F0534">
            <w:pPr>
              <w:jc w:val="center"/>
              <w:rPr>
                <w:b/>
                <w:sz w:val="18"/>
                <w:szCs w:val="18"/>
              </w:rPr>
            </w:pPr>
            <w:r w:rsidRPr="00355D12">
              <w:rPr>
                <w:b/>
                <w:sz w:val="18"/>
                <w:szCs w:val="18"/>
              </w:rPr>
              <w:t>Institutional factors</w:t>
            </w:r>
          </w:p>
        </w:tc>
      </w:tr>
      <w:tr w:rsidR="001F0534" w:rsidRPr="00355D12" w:rsidTr="00080788">
        <w:trPr>
          <w:trHeight w:val="388"/>
        </w:trPr>
        <w:tc>
          <w:tcPr>
            <w:tcW w:w="2048" w:type="dxa"/>
          </w:tcPr>
          <w:p w:rsidR="001F0534" w:rsidRPr="00355D12" w:rsidRDefault="001F0534" w:rsidP="00AE25FC">
            <w:pPr>
              <w:numPr>
                <w:ilvl w:val="0"/>
                <w:numId w:val="3"/>
              </w:numPr>
              <w:jc w:val="both"/>
              <w:rPr>
                <w:sz w:val="18"/>
                <w:szCs w:val="18"/>
              </w:rPr>
            </w:pPr>
            <w:r w:rsidRPr="00355D12">
              <w:rPr>
                <w:sz w:val="18"/>
                <w:szCs w:val="18"/>
              </w:rPr>
              <w:t xml:space="preserve">Extension </w:t>
            </w:r>
          </w:p>
        </w:tc>
        <w:tc>
          <w:tcPr>
            <w:tcW w:w="3818" w:type="dxa"/>
          </w:tcPr>
          <w:p w:rsidR="001F0534" w:rsidRPr="00355D12" w:rsidRDefault="001F0534" w:rsidP="001F0534">
            <w:pPr>
              <w:jc w:val="both"/>
              <w:rPr>
                <w:sz w:val="18"/>
                <w:szCs w:val="18"/>
              </w:rPr>
            </w:pPr>
            <w:r w:rsidRPr="00355D12">
              <w:rPr>
                <w:sz w:val="18"/>
                <w:szCs w:val="18"/>
              </w:rPr>
              <w:t xml:space="preserve">Access to extension </w:t>
            </w:r>
          </w:p>
        </w:tc>
        <w:tc>
          <w:tcPr>
            <w:tcW w:w="2129" w:type="dxa"/>
          </w:tcPr>
          <w:p w:rsidR="001F0534" w:rsidRPr="00355D12" w:rsidRDefault="001F0534" w:rsidP="001F0534">
            <w:pPr>
              <w:jc w:val="center"/>
              <w:rPr>
                <w:sz w:val="18"/>
                <w:szCs w:val="18"/>
              </w:rPr>
            </w:pPr>
            <w:r w:rsidRPr="00355D12">
              <w:rPr>
                <w:sz w:val="18"/>
                <w:szCs w:val="18"/>
              </w:rPr>
              <w:t>1 = yes, 0 = no</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635"/>
        </w:trPr>
        <w:tc>
          <w:tcPr>
            <w:tcW w:w="2048" w:type="dxa"/>
          </w:tcPr>
          <w:p w:rsidR="001F0534" w:rsidRPr="00355D12" w:rsidRDefault="001F0534" w:rsidP="00AE25FC">
            <w:pPr>
              <w:numPr>
                <w:ilvl w:val="0"/>
                <w:numId w:val="3"/>
              </w:numPr>
              <w:jc w:val="both"/>
              <w:rPr>
                <w:sz w:val="18"/>
                <w:szCs w:val="18"/>
              </w:rPr>
            </w:pPr>
            <w:r w:rsidRPr="00355D12">
              <w:rPr>
                <w:sz w:val="18"/>
                <w:szCs w:val="18"/>
              </w:rPr>
              <w:t xml:space="preserve">Market </w:t>
            </w:r>
          </w:p>
        </w:tc>
        <w:tc>
          <w:tcPr>
            <w:tcW w:w="3818" w:type="dxa"/>
          </w:tcPr>
          <w:p w:rsidR="001F0534" w:rsidRPr="00355D12" w:rsidRDefault="001F0534" w:rsidP="001F0534">
            <w:pPr>
              <w:jc w:val="both"/>
              <w:rPr>
                <w:sz w:val="18"/>
                <w:szCs w:val="18"/>
              </w:rPr>
            </w:pPr>
            <w:r w:rsidRPr="00355D12">
              <w:rPr>
                <w:sz w:val="18"/>
                <w:szCs w:val="18"/>
              </w:rPr>
              <w:t xml:space="preserve">If markets exists for natural resources to be traded competitively </w:t>
            </w:r>
          </w:p>
        </w:tc>
        <w:tc>
          <w:tcPr>
            <w:tcW w:w="2129" w:type="dxa"/>
          </w:tcPr>
          <w:p w:rsidR="001F0534" w:rsidRPr="00355D12" w:rsidRDefault="001F0534" w:rsidP="001F0534">
            <w:pPr>
              <w:jc w:val="center"/>
              <w:rPr>
                <w:sz w:val="18"/>
                <w:szCs w:val="18"/>
              </w:rPr>
            </w:pPr>
            <w:r w:rsidRPr="00355D12">
              <w:rPr>
                <w:sz w:val="18"/>
                <w:szCs w:val="18"/>
              </w:rPr>
              <w:t>1 = yes, 0  = no</w:t>
            </w:r>
          </w:p>
        </w:tc>
        <w:tc>
          <w:tcPr>
            <w:tcW w:w="1565" w:type="dxa"/>
          </w:tcPr>
          <w:p w:rsidR="001F0534" w:rsidRPr="00355D12" w:rsidRDefault="001F0534" w:rsidP="001F0534">
            <w:pPr>
              <w:jc w:val="center"/>
              <w:rPr>
                <w:sz w:val="18"/>
                <w:szCs w:val="18"/>
              </w:rPr>
            </w:pPr>
            <w:r w:rsidRPr="00355D12">
              <w:rPr>
                <w:sz w:val="18"/>
                <w:szCs w:val="18"/>
              </w:rPr>
              <w:t>+</w:t>
            </w:r>
          </w:p>
        </w:tc>
      </w:tr>
      <w:tr w:rsidR="001F0534" w:rsidRPr="00355D12" w:rsidTr="00080788">
        <w:trPr>
          <w:trHeight w:val="192"/>
        </w:trPr>
        <w:tc>
          <w:tcPr>
            <w:tcW w:w="9560" w:type="dxa"/>
            <w:gridSpan w:val="4"/>
          </w:tcPr>
          <w:p w:rsidR="001F0534" w:rsidRPr="00355D12" w:rsidRDefault="001F0534" w:rsidP="001F0534">
            <w:pPr>
              <w:jc w:val="center"/>
              <w:rPr>
                <w:b/>
                <w:sz w:val="18"/>
                <w:szCs w:val="18"/>
              </w:rPr>
            </w:pPr>
            <w:r w:rsidRPr="00355D12">
              <w:rPr>
                <w:b/>
                <w:sz w:val="18"/>
                <w:szCs w:val="18"/>
              </w:rPr>
              <w:t>Other factors</w:t>
            </w:r>
          </w:p>
        </w:tc>
      </w:tr>
      <w:tr w:rsidR="001F0534" w:rsidRPr="00355D12" w:rsidTr="001F0534">
        <w:trPr>
          <w:trHeight w:val="901"/>
        </w:trPr>
        <w:tc>
          <w:tcPr>
            <w:tcW w:w="2048" w:type="dxa"/>
          </w:tcPr>
          <w:p w:rsidR="001F0534" w:rsidRPr="00355D12" w:rsidRDefault="001F0534" w:rsidP="00AE25FC">
            <w:pPr>
              <w:numPr>
                <w:ilvl w:val="0"/>
                <w:numId w:val="4"/>
              </w:numPr>
              <w:jc w:val="both"/>
              <w:rPr>
                <w:sz w:val="18"/>
                <w:szCs w:val="18"/>
              </w:rPr>
            </w:pPr>
            <w:r w:rsidRPr="00355D12">
              <w:rPr>
                <w:sz w:val="18"/>
                <w:szCs w:val="18"/>
              </w:rPr>
              <w:t xml:space="preserve">Land size </w:t>
            </w:r>
          </w:p>
        </w:tc>
        <w:tc>
          <w:tcPr>
            <w:tcW w:w="3818" w:type="dxa"/>
          </w:tcPr>
          <w:p w:rsidR="001F0534" w:rsidRPr="00355D12" w:rsidRDefault="001F0534" w:rsidP="001F0534">
            <w:pPr>
              <w:jc w:val="both"/>
              <w:rPr>
                <w:sz w:val="18"/>
                <w:szCs w:val="18"/>
              </w:rPr>
            </w:pPr>
            <w:r w:rsidRPr="00355D12">
              <w:rPr>
                <w:sz w:val="18"/>
                <w:szCs w:val="18"/>
              </w:rPr>
              <w:t>Estimate of size of farming area (≤ 2ha deemed small and &gt; 2ha deemed large</w:t>
            </w:r>
          </w:p>
        </w:tc>
        <w:tc>
          <w:tcPr>
            <w:tcW w:w="2129" w:type="dxa"/>
          </w:tcPr>
          <w:p w:rsidR="001F0534" w:rsidRPr="00355D12" w:rsidRDefault="001F0534" w:rsidP="001F0534">
            <w:pPr>
              <w:jc w:val="center"/>
              <w:rPr>
                <w:sz w:val="18"/>
                <w:szCs w:val="18"/>
              </w:rPr>
            </w:pPr>
            <w:r w:rsidRPr="00355D12">
              <w:rPr>
                <w:sz w:val="18"/>
                <w:szCs w:val="18"/>
              </w:rPr>
              <w:t>1 = small land size , 2 = large land size</w:t>
            </w:r>
          </w:p>
        </w:tc>
        <w:tc>
          <w:tcPr>
            <w:tcW w:w="1565" w:type="dxa"/>
          </w:tcPr>
          <w:p w:rsidR="001F0534" w:rsidRPr="00355D12" w:rsidRDefault="001F0534" w:rsidP="001F0534">
            <w:pPr>
              <w:jc w:val="center"/>
              <w:rPr>
                <w:sz w:val="18"/>
                <w:szCs w:val="18"/>
              </w:rPr>
            </w:pPr>
            <w:r w:rsidRPr="00355D12">
              <w:rPr>
                <w:sz w:val="18"/>
                <w:szCs w:val="18"/>
              </w:rPr>
              <w:t>-/+</w:t>
            </w:r>
          </w:p>
        </w:tc>
      </w:tr>
    </w:tbl>
    <w:p w:rsidR="001F0534" w:rsidRPr="003E698A" w:rsidRDefault="00201010" w:rsidP="00080788">
      <w:pPr>
        <w:pStyle w:val="Heading2"/>
        <w:spacing w:before="240" w:line="360" w:lineRule="auto"/>
        <w:rPr>
          <w:rFonts w:ascii="Times New Roman" w:hAnsi="Times New Roman" w:cs="Times New Roman"/>
          <w:b w:val="0"/>
          <w:color w:val="auto"/>
        </w:rPr>
      </w:pPr>
      <w:bookmarkStart w:id="24" w:name="_Toc311701020"/>
      <w:bookmarkStart w:id="25" w:name="_Toc311703928"/>
      <w:r>
        <w:rPr>
          <w:rFonts w:ascii="Times New Roman" w:hAnsi="Times New Roman" w:cs="Times New Roman"/>
          <w:color w:val="auto"/>
        </w:rPr>
        <w:t xml:space="preserve">6. </w:t>
      </w:r>
      <w:r w:rsidR="001F0534" w:rsidRPr="003E698A">
        <w:rPr>
          <w:rFonts w:ascii="Times New Roman" w:hAnsi="Times New Roman" w:cs="Times New Roman"/>
          <w:color w:val="auto"/>
        </w:rPr>
        <w:t>Results and discussion</w:t>
      </w:r>
      <w:bookmarkEnd w:id="24"/>
      <w:bookmarkEnd w:id="25"/>
      <w:r w:rsidR="001F0534" w:rsidRPr="003E698A">
        <w:rPr>
          <w:rFonts w:ascii="Times New Roman" w:hAnsi="Times New Roman" w:cs="Times New Roman"/>
          <w:color w:val="auto"/>
        </w:rPr>
        <w:t xml:space="preserve"> </w:t>
      </w:r>
    </w:p>
    <w:p w:rsidR="001F0534" w:rsidRPr="0068531F" w:rsidRDefault="001F0534" w:rsidP="00080788">
      <w:pPr>
        <w:spacing w:before="240" w:line="360" w:lineRule="auto"/>
        <w:jc w:val="both"/>
        <w:rPr>
          <w:rFonts w:ascii="Times New Roman" w:hAnsi="Times New Roman" w:cs="Times New Roman"/>
          <w:iCs/>
          <w:sz w:val="24"/>
          <w:szCs w:val="24"/>
        </w:rPr>
      </w:pPr>
      <w:r w:rsidRPr="0068531F">
        <w:rPr>
          <w:rFonts w:ascii="Times New Roman" w:hAnsi="Times New Roman" w:cs="Times New Roman"/>
          <w:sz w:val="24"/>
          <w:szCs w:val="24"/>
        </w:rPr>
        <w:t xml:space="preserve">This </w:t>
      </w:r>
      <w:r>
        <w:rPr>
          <w:rFonts w:ascii="Times New Roman" w:hAnsi="Times New Roman" w:cs="Times New Roman"/>
          <w:sz w:val="24"/>
          <w:szCs w:val="24"/>
        </w:rPr>
        <w:t>sub-</w:t>
      </w:r>
      <w:r w:rsidRPr="0068531F">
        <w:rPr>
          <w:rFonts w:ascii="Times New Roman" w:hAnsi="Times New Roman" w:cs="Times New Roman"/>
          <w:sz w:val="24"/>
          <w:szCs w:val="24"/>
        </w:rPr>
        <w:t xml:space="preserve">section presents </w:t>
      </w:r>
      <w:r>
        <w:rPr>
          <w:rFonts w:ascii="Times New Roman" w:hAnsi="Times New Roman" w:cs="Times New Roman"/>
          <w:sz w:val="24"/>
          <w:szCs w:val="24"/>
        </w:rPr>
        <w:t xml:space="preserve">study </w:t>
      </w:r>
      <w:r w:rsidRPr="0068531F">
        <w:rPr>
          <w:rFonts w:ascii="Times New Roman" w:hAnsi="Times New Roman" w:cs="Times New Roman"/>
          <w:sz w:val="24"/>
          <w:szCs w:val="24"/>
        </w:rPr>
        <w:t xml:space="preserve">results </w:t>
      </w:r>
      <w:r>
        <w:rPr>
          <w:rFonts w:ascii="Times New Roman" w:hAnsi="Times New Roman" w:cs="Times New Roman"/>
          <w:sz w:val="24"/>
          <w:szCs w:val="24"/>
        </w:rPr>
        <w:t>initially based on</w:t>
      </w:r>
      <w:r w:rsidRPr="0068531F">
        <w:rPr>
          <w:rFonts w:ascii="Times New Roman" w:hAnsi="Times New Roman" w:cs="Times New Roman"/>
          <w:sz w:val="24"/>
          <w:szCs w:val="24"/>
        </w:rPr>
        <w:t xml:space="preserve"> descriptive findings </w:t>
      </w:r>
      <w:r>
        <w:rPr>
          <w:rFonts w:ascii="Times New Roman" w:hAnsi="Times New Roman" w:cs="Times New Roman"/>
          <w:sz w:val="24"/>
          <w:szCs w:val="24"/>
        </w:rPr>
        <w:t xml:space="preserve">and econometrics results latter. </w:t>
      </w:r>
      <w:r w:rsidR="00EA1EE8">
        <w:rPr>
          <w:rFonts w:ascii="Times New Roman" w:hAnsi="Times New Roman" w:cs="Times New Roman"/>
          <w:sz w:val="24"/>
          <w:szCs w:val="24"/>
        </w:rPr>
        <w:t xml:space="preserve"> </w:t>
      </w:r>
      <w:r w:rsidRPr="0068531F">
        <w:rPr>
          <w:rFonts w:ascii="Times New Roman" w:hAnsi="Times New Roman" w:cs="Times New Roman"/>
          <w:sz w:val="24"/>
          <w:szCs w:val="24"/>
        </w:rPr>
        <w:t>Table 2 provides the basic sample characteristics from the study area. A total of 240 respondents were considered for this study with a mean household-head age of 37 years.</w:t>
      </w:r>
      <w:r w:rsidRPr="0068531F">
        <w:rPr>
          <w:rFonts w:ascii="Times New Roman" w:hAnsi="Times New Roman" w:cs="Times New Roman"/>
          <w:iCs/>
          <w:sz w:val="24"/>
          <w:szCs w:val="24"/>
        </w:rPr>
        <w:t xml:space="preserve"> The asymmetry of distribution was both positively and negatively skewed, as shown in Table 2. Livelihood choices, education, age and extension were positively skewed, while gender, wealth status, market and land size were negatively skewed. Most of the characteristics had </w:t>
      </w:r>
      <w:proofErr w:type="spellStart"/>
      <w:r w:rsidRPr="0068531F">
        <w:rPr>
          <w:rFonts w:ascii="Times New Roman" w:hAnsi="Times New Roman" w:cs="Times New Roman"/>
          <w:iCs/>
          <w:sz w:val="24"/>
          <w:szCs w:val="24"/>
        </w:rPr>
        <w:t>skewness</w:t>
      </w:r>
      <w:proofErr w:type="spellEnd"/>
      <w:r w:rsidRPr="0068531F">
        <w:rPr>
          <w:rFonts w:ascii="Times New Roman" w:hAnsi="Times New Roman" w:cs="Times New Roman"/>
          <w:iCs/>
          <w:sz w:val="24"/>
          <w:szCs w:val="24"/>
        </w:rPr>
        <w:t xml:space="preserve"> values below 1, with the exception of gender and extension; this suggests that the distribution did not differ significantly from a normal symmetric distribution. </w:t>
      </w:r>
    </w:p>
    <w:p w:rsidR="001F0534" w:rsidRPr="0068531F" w:rsidRDefault="001F0534" w:rsidP="001F0534">
      <w:pPr>
        <w:spacing w:line="480" w:lineRule="auto"/>
        <w:jc w:val="both"/>
        <w:rPr>
          <w:rFonts w:ascii="Times New Roman" w:hAnsi="Times New Roman" w:cs="Times New Roman"/>
          <w:sz w:val="24"/>
          <w:szCs w:val="24"/>
        </w:rPr>
      </w:pPr>
      <w:r w:rsidRPr="0068531F">
        <w:rPr>
          <w:rFonts w:ascii="Times New Roman" w:hAnsi="Times New Roman" w:cs="Times New Roman"/>
          <w:b/>
          <w:sz w:val="24"/>
          <w:szCs w:val="24"/>
        </w:rPr>
        <w:lastRenderedPageBreak/>
        <w:t>Table 2:</w:t>
      </w:r>
      <w:r w:rsidRPr="0068531F">
        <w:rPr>
          <w:rFonts w:ascii="Times New Roman" w:hAnsi="Times New Roman" w:cs="Times New Roman"/>
          <w:sz w:val="24"/>
          <w:szCs w:val="24"/>
        </w:rPr>
        <w:t xml:space="preserve"> Basic sample characteristics from the study area</w:t>
      </w:r>
    </w:p>
    <w:tbl>
      <w:tblPr>
        <w:tblW w:w="944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tblPr>
      <w:tblGrid>
        <w:gridCol w:w="1724"/>
        <w:gridCol w:w="1696"/>
        <w:gridCol w:w="879"/>
        <w:gridCol w:w="791"/>
        <w:gridCol w:w="791"/>
        <w:gridCol w:w="1083"/>
        <w:gridCol w:w="867"/>
        <w:gridCol w:w="791"/>
        <w:gridCol w:w="821"/>
      </w:tblGrid>
      <w:tr w:rsidR="001F0534" w:rsidRPr="00AC0514" w:rsidTr="001F0534">
        <w:trPr>
          <w:cantSplit/>
          <w:trHeight w:val="311"/>
          <w:tblHeader/>
        </w:trPr>
        <w:tc>
          <w:tcPr>
            <w:tcW w:w="9443" w:type="dxa"/>
            <w:gridSpan w:val="9"/>
            <w:shd w:val="clear" w:color="auto" w:fill="FFFFFF"/>
            <w:vAlign w:val="center"/>
          </w:tcPr>
          <w:p w:rsidR="001F0534" w:rsidRPr="00AC0514" w:rsidRDefault="00134C9E" w:rsidP="001F0534">
            <w:pPr>
              <w:autoSpaceDE w:val="0"/>
              <w:autoSpaceDN w:val="0"/>
              <w:adjustRightInd w:val="0"/>
              <w:spacing w:after="0" w:line="320" w:lineRule="atLeast"/>
              <w:ind w:left="60" w:right="60"/>
              <w:jc w:val="center"/>
              <w:rPr>
                <w:rFonts w:cs="Arial"/>
                <w:color w:val="000000"/>
                <w:sz w:val="16"/>
                <w:szCs w:val="16"/>
              </w:rPr>
            </w:pPr>
            <w:r>
              <w:rPr>
                <w:rFonts w:cs="Arial"/>
                <w:b/>
                <w:bCs/>
                <w:color w:val="000000"/>
                <w:sz w:val="16"/>
                <w:szCs w:val="16"/>
              </w:rPr>
              <w:t xml:space="preserve">Basic Sample </w:t>
            </w:r>
            <w:r w:rsidR="001F0534" w:rsidRPr="00AC0514">
              <w:rPr>
                <w:rFonts w:cs="Arial"/>
                <w:b/>
                <w:bCs/>
                <w:color w:val="000000"/>
                <w:sz w:val="16"/>
                <w:szCs w:val="16"/>
              </w:rPr>
              <w:t>Statistics</w:t>
            </w:r>
          </w:p>
        </w:tc>
      </w:tr>
      <w:tr w:rsidR="001F0534" w:rsidRPr="00AC0514" w:rsidTr="001F0534">
        <w:trPr>
          <w:cantSplit/>
          <w:trHeight w:val="311"/>
          <w:tblHeader/>
        </w:trPr>
        <w:tc>
          <w:tcPr>
            <w:tcW w:w="1724" w:type="dxa"/>
            <w:shd w:val="clear" w:color="auto" w:fill="FFFFFF"/>
            <w:vAlign w:val="center"/>
          </w:tcPr>
          <w:p w:rsidR="001F0534" w:rsidRPr="00AC0514" w:rsidRDefault="001F0534" w:rsidP="001F0534">
            <w:pPr>
              <w:autoSpaceDE w:val="0"/>
              <w:autoSpaceDN w:val="0"/>
              <w:adjustRightInd w:val="0"/>
              <w:spacing w:after="0" w:line="240" w:lineRule="auto"/>
              <w:jc w:val="center"/>
              <w:rPr>
                <w:rFonts w:cs="Times New Roman"/>
                <w:sz w:val="16"/>
                <w:szCs w:val="16"/>
              </w:rPr>
            </w:pPr>
          </w:p>
        </w:tc>
        <w:tc>
          <w:tcPr>
            <w:tcW w:w="1696"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Livelihood Choices</w:t>
            </w:r>
          </w:p>
        </w:tc>
        <w:tc>
          <w:tcPr>
            <w:tcW w:w="879"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Education</w:t>
            </w:r>
          </w:p>
        </w:tc>
        <w:tc>
          <w:tcPr>
            <w:tcW w:w="791"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Age</w:t>
            </w:r>
          </w:p>
        </w:tc>
        <w:tc>
          <w:tcPr>
            <w:tcW w:w="791"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Gender</w:t>
            </w:r>
          </w:p>
        </w:tc>
        <w:tc>
          <w:tcPr>
            <w:tcW w:w="1083"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Wealth Status</w:t>
            </w:r>
          </w:p>
        </w:tc>
        <w:tc>
          <w:tcPr>
            <w:tcW w:w="867"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Extension</w:t>
            </w:r>
          </w:p>
        </w:tc>
        <w:tc>
          <w:tcPr>
            <w:tcW w:w="791"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Market</w:t>
            </w:r>
          </w:p>
        </w:tc>
        <w:tc>
          <w:tcPr>
            <w:tcW w:w="821" w:type="dxa"/>
            <w:shd w:val="clear" w:color="auto" w:fill="FFFFFF"/>
            <w:vAlign w:val="bottom"/>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Land Size</w:t>
            </w:r>
          </w:p>
        </w:tc>
      </w:tr>
      <w:tr w:rsidR="001F0534" w:rsidRPr="00AC0514" w:rsidTr="001F0534">
        <w:trPr>
          <w:cantSplit/>
          <w:trHeight w:val="130"/>
          <w:tblHeader/>
        </w:trPr>
        <w:tc>
          <w:tcPr>
            <w:tcW w:w="1724" w:type="dxa"/>
            <w:shd w:val="clear" w:color="auto" w:fill="FFFFFF"/>
          </w:tcPr>
          <w:p w:rsidR="001F0534" w:rsidRPr="00AC0514" w:rsidRDefault="001F0534" w:rsidP="001F0534">
            <w:pPr>
              <w:autoSpaceDE w:val="0"/>
              <w:autoSpaceDN w:val="0"/>
              <w:adjustRightInd w:val="0"/>
              <w:spacing w:after="0" w:line="320" w:lineRule="atLeast"/>
              <w:ind w:right="60"/>
              <w:jc w:val="center"/>
              <w:rPr>
                <w:rFonts w:cs="Arial"/>
                <w:color w:val="000000"/>
                <w:sz w:val="16"/>
                <w:szCs w:val="16"/>
              </w:rPr>
            </w:pPr>
            <w:r w:rsidRPr="00AC0514">
              <w:rPr>
                <w:rFonts w:cs="Arial"/>
                <w:color w:val="000000"/>
                <w:sz w:val="16"/>
                <w:szCs w:val="16"/>
              </w:rPr>
              <w:t>N</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240</w:t>
            </w:r>
          </w:p>
        </w:tc>
      </w:tr>
      <w:tr w:rsidR="001F0534" w:rsidRPr="00AC0514" w:rsidTr="001F0534">
        <w:trPr>
          <w:cantSplit/>
          <w:trHeight w:val="311"/>
          <w:tblHeader/>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r w:rsidRPr="00AC0514">
              <w:rPr>
                <w:rFonts w:cs="Arial"/>
                <w:color w:val="000000"/>
                <w:sz w:val="16"/>
                <w:szCs w:val="16"/>
              </w:rPr>
              <w:t>Mean</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.87</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.85</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37.10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.78</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.53</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.28</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.69</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1.60</w:t>
            </w:r>
          </w:p>
        </w:tc>
      </w:tr>
      <w:tr w:rsidR="001F0534" w:rsidRPr="00AC0514" w:rsidTr="001F0534">
        <w:trPr>
          <w:cantSplit/>
          <w:trHeight w:val="311"/>
          <w:tblHeader/>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r w:rsidRPr="00AC0514">
              <w:rPr>
                <w:rFonts w:cs="Arial"/>
                <w:color w:val="000000"/>
                <w:sz w:val="16"/>
                <w:szCs w:val="16"/>
              </w:rPr>
              <w:t>Median</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1.00</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31.00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1.00</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1.00</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1.00</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2.00</w:t>
            </w:r>
          </w:p>
        </w:tc>
      </w:tr>
      <w:tr w:rsidR="001F0534" w:rsidRPr="00AC0514" w:rsidTr="001F0534">
        <w:trPr>
          <w:cantSplit/>
          <w:trHeight w:val="320"/>
          <w:tblHeader/>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r w:rsidRPr="00AC0514">
              <w:rPr>
                <w:rFonts w:cs="Arial"/>
                <w:color w:val="000000"/>
                <w:sz w:val="16"/>
                <w:szCs w:val="16"/>
              </w:rPr>
              <w:t>Std. Deviation</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.910</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.794</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12.174</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.418</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.500</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.447</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.463</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.490</w:t>
            </w:r>
          </w:p>
        </w:tc>
      </w:tr>
      <w:tr w:rsidR="001F0534" w:rsidRPr="00AC0514" w:rsidTr="001F0534">
        <w:trPr>
          <w:cantSplit/>
          <w:trHeight w:val="320"/>
          <w:tblHeader/>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proofErr w:type="spellStart"/>
            <w:r w:rsidRPr="00AC0514">
              <w:rPr>
                <w:rFonts w:cs="Arial"/>
                <w:color w:val="000000"/>
                <w:sz w:val="16"/>
                <w:szCs w:val="16"/>
              </w:rPr>
              <w:t>Skewness</w:t>
            </w:r>
            <w:proofErr w:type="spellEnd"/>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.805</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.275</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.641</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-1.325</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-.101</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1.014</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-.835</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-.429</w:t>
            </w:r>
          </w:p>
        </w:tc>
      </w:tr>
      <w:tr w:rsidR="001F0534" w:rsidRPr="00AC0514" w:rsidTr="001F0534">
        <w:trPr>
          <w:cantSplit/>
          <w:trHeight w:val="311"/>
          <w:tblHeader/>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r w:rsidRPr="00AC0514">
              <w:rPr>
                <w:rFonts w:cs="Arial"/>
                <w:color w:val="000000"/>
                <w:sz w:val="16"/>
                <w:szCs w:val="16"/>
              </w:rPr>
              <w:t>Minimum</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22</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0</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w:t>
            </w:r>
          </w:p>
        </w:tc>
      </w:tr>
      <w:tr w:rsidR="001F0534" w:rsidRPr="00AC0514" w:rsidTr="001F0534">
        <w:trPr>
          <w:cantSplit/>
          <w:trHeight w:val="311"/>
        </w:trPr>
        <w:tc>
          <w:tcPr>
            <w:tcW w:w="1724" w:type="dxa"/>
            <w:shd w:val="clear" w:color="auto" w:fill="FFFFFF"/>
          </w:tcPr>
          <w:p w:rsidR="001F0534" w:rsidRPr="00AC0514" w:rsidRDefault="001F0534" w:rsidP="00AE25FC">
            <w:pPr>
              <w:numPr>
                <w:ilvl w:val="0"/>
                <w:numId w:val="8"/>
              </w:numPr>
              <w:autoSpaceDE w:val="0"/>
              <w:autoSpaceDN w:val="0"/>
              <w:adjustRightInd w:val="0"/>
              <w:spacing w:line="320" w:lineRule="atLeast"/>
              <w:ind w:right="60"/>
              <w:rPr>
                <w:rFonts w:cs="Arial"/>
                <w:color w:val="000000"/>
                <w:sz w:val="16"/>
                <w:szCs w:val="16"/>
              </w:rPr>
            </w:pPr>
            <w:r w:rsidRPr="00AC0514">
              <w:rPr>
                <w:rFonts w:cs="Arial"/>
                <w:color w:val="000000"/>
                <w:sz w:val="16"/>
                <w:szCs w:val="16"/>
              </w:rPr>
              <w:t>Maximum</w:t>
            </w:r>
          </w:p>
        </w:tc>
        <w:tc>
          <w:tcPr>
            <w:tcW w:w="1696"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3</w:t>
            </w:r>
          </w:p>
        </w:tc>
        <w:tc>
          <w:tcPr>
            <w:tcW w:w="879"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56</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w:t>
            </w:r>
          </w:p>
        </w:tc>
        <w:tc>
          <w:tcPr>
            <w:tcW w:w="1083"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w:t>
            </w:r>
          </w:p>
        </w:tc>
        <w:tc>
          <w:tcPr>
            <w:tcW w:w="867"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w:t>
            </w:r>
          </w:p>
        </w:tc>
        <w:tc>
          <w:tcPr>
            <w:tcW w:w="79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1</w:t>
            </w:r>
          </w:p>
        </w:tc>
        <w:tc>
          <w:tcPr>
            <w:tcW w:w="821" w:type="dxa"/>
            <w:shd w:val="clear" w:color="auto" w:fill="FFFFFF"/>
          </w:tcPr>
          <w:p w:rsidR="001F0534" w:rsidRPr="00AC0514" w:rsidRDefault="001F0534" w:rsidP="001F0534">
            <w:pPr>
              <w:autoSpaceDE w:val="0"/>
              <w:autoSpaceDN w:val="0"/>
              <w:adjustRightInd w:val="0"/>
              <w:spacing w:after="0" w:line="320" w:lineRule="atLeast"/>
              <w:ind w:left="60" w:right="60"/>
              <w:jc w:val="center"/>
              <w:rPr>
                <w:rFonts w:cs="Arial"/>
                <w:color w:val="000000"/>
                <w:sz w:val="16"/>
                <w:szCs w:val="16"/>
              </w:rPr>
            </w:pPr>
            <w:r w:rsidRPr="00AC0514">
              <w:rPr>
                <w:rFonts w:cs="Arial"/>
                <w:color w:val="000000"/>
                <w:sz w:val="16"/>
                <w:szCs w:val="16"/>
              </w:rPr>
              <w:t>2</w:t>
            </w:r>
          </w:p>
        </w:tc>
      </w:tr>
    </w:tbl>
    <w:p w:rsidR="001F0534" w:rsidRPr="008A29CC" w:rsidRDefault="001F0534" w:rsidP="00080788">
      <w:pPr>
        <w:spacing w:before="240" w:line="360" w:lineRule="auto"/>
        <w:jc w:val="both"/>
        <w:rPr>
          <w:rFonts w:ascii="Arial" w:hAnsi="Arial" w:cs="Arial"/>
          <w:sz w:val="16"/>
          <w:szCs w:val="16"/>
        </w:rPr>
      </w:pPr>
      <w:r w:rsidRPr="00544D75">
        <w:rPr>
          <w:rFonts w:ascii="Arial" w:hAnsi="Arial" w:cs="Arial"/>
          <w:b/>
          <w:sz w:val="16"/>
          <w:szCs w:val="16"/>
        </w:rPr>
        <w:t>Key:</w:t>
      </w:r>
      <w:r w:rsidR="00134C9E">
        <w:rPr>
          <w:rFonts w:ascii="Arial" w:hAnsi="Arial" w:cs="Arial"/>
          <w:b/>
          <w:sz w:val="16"/>
          <w:szCs w:val="16"/>
        </w:rPr>
        <w:tab/>
      </w:r>
      <w:r w:rsidRPr="008A29CC">
        <w:rPr>
          <w:rFonts w:ascii="Arial" w:hAnsi="Arial" w:cs="Arial"/>
          <w:b/>
          <w:sz w:val="16"/>
          <w:szCs w:val="16"/>
        </w:rPr>
        <w:t>Livelihoods Choices:</w:t>
      </w:r>
      <w:r w:rsidRPr="008A29CC">
        <w:rPr>
          <w:rFonts w:ascii="Arial" w:hAnsi="Arial" w:cs="Arial"/>
          <w:sz w:val="16"/>
          <w:szCs w:val="16"/>
        </w:rPr>
        <w:t xml:space="preserve"> 0 = mixed farming; 1 = mineral portfolio; 2 = flora portfolio; 3 = fauna portfolio </w:t>
      </w:r>
    </w:p>
    <w:p w:rsidR="001F0534" w:rsidRPr="008A29CC" w:rsidRDefault="001F0534" w:rsidP="00AE25FC">
      <w:pPr>
        <w:pStyle w:val="ListParagraph"/>
        <w:numPr>
          <w:ilvl w:val="0"/>
          <w:numId w:val="13"/>
        </w:numPr>
        <w:spacing w:line="480" w:lineRule="auto"/>
        <w:jc w:val="both"/>
        <w:rPr>
          <w:rFonts w:ascii="Arial" w:hAnsi="Arial" w:cs="Arial"/>
          <w:sz w:val="16"/>
          <w:szCs w:val="16"/>
        </w:rPr>
      </w:pPr>
      <w:r w:rsidRPr="008A29CC">
        <w:rPr>
          <w:rFonts w:ascii="Arial" w:hAnsi="Arial" w:cs="Arial"/>
          <w:sz w:val="16"/>
          <w:szCs w:val="16"/>
        </w:rPr>
        <w:t xml:space="preserve">For other variables </w:t>
      </w:r>
      <w:r>
        <w:rPr>
          <w:rFonts w:ascii="Arial" w:hAnsi="Arial" w:cs="Arial"/>
          <w:sz w:val="16"/>
          <w:szCs w:val="16"/>
        </w:rPr>
        <w:t xml:space="preserve">coding is as described in </w:t>
      </w:r>
      <w:r w:rsidRPr="008A29CC">
        <w:rPr>
          <w:rFonts w:ascii="Arial" w:hAnsi="Arial" w:cs="Arial"/>
          <w:sz w:val="16"/>
          <w:szCs w:val="16"/>
        </w:rPr>
        <w:t>Table 1</w:t>
      </w:r>
    </w:p>
    <w:p w:rsidR="001F0534" w:rsidRPr="00E97307" w:rsidRDefault="00201010" w:rsidP="00080788">
      <w:pPr>
        <w:pStyle w:val="Heading3"/>
        <w:spacing w:after="240" w:line="360" w:lineRule="auto"/>
        <w:rPr>
          <w:rFonts w:ascii="Times New Roman" w:hAnsi="Times New Roman"/>
          <w:color w:val="auto"/>
          <w:sz w:val="24"/>
          <w:szCs w:val="24"/>
        </w:rPr>
      </w:pPr>
      <w:bookmarkStart w:id="26" w:name="_Toc311701022"/>
      <w:bookmarkStart w:id="27" w:name="_Toc311703930"/>
      <w:r>
        <w:rPr>
          <w:rFonts w:ascii="Times New Roman" w:hAnsi="Times New Roman"/>
          <w:color w:val="auto"/>
          <w:sz w:val="24"/>
          <w:szCs w:val="24"/>
        </w:rPr>
        <w:t xml:space="preserve">6.2 </w:t>
      </w:r>
      <w:r w:rsidR="001F0534" w:rsidRPr="00E97307">
        <w:rPr>
          <w:rFonts w:ascii="Times New Roman" w:hAnsi="Times New Roman"/>
          <w:color w:val="auto"/>
          <w:sz w:val="24"/>
          <w:szCs w:val="24"/>
        </w:rPr>
        <w:t>Livelihood adaptation choices</w:t>
      </w:r>
      <w:bookmarkEnd w:id="26"/>
      <w:bookmarkEnd w:id="27"/>
    </w:p>
    <w:p w:rsidR="001F0534" w:rsidRPr="0068531F"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This section focuses on reported livelihood adaptation choices from the study area. Livelihood adaptation choices were investigated against a null hypothesis that fauna portfolio diversification provides a significant livelihood source for communit</w:t>
      </w:r>
      <w:r>
        <w:rPr>
          <w:rFonts w:ascii="Times New Roman" w:hAnsi="Times New Roman" w:cs="Times New Roman"/>
          <w:sz w:val="24"/>
          <w:szCs w:val="24"/>
        </w:rPr>
        <w:t>ies that share boundaries with game p</w:t>
      </w:r>
      <w:r w:rsidRPr="0068531F">
        <w:rPr>
          <w:rFonts w:ascii="Times New Roman" w:hAnsi="Times New Roman" w:cs="Times New Roman"/>
          <w:sz w:val="24"/>
          <w:szCs w:val="24"/>
        </w:rPr>
        <w:t xml:space="preserve">arks. Table 3 summaries the descriptive results of livelihood adaptation choices as reported by households who share boundaries with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w:t>
      </w:r>
    </w:p>
    <w:p w:rsidR="001F0534" w:rsidRPr="0068531F" w:rsidRDefault="001F0534" w:rsidP="00080788">
      <w:pPr>
        <w:spacing w:line="360" w:lineRule="auto"/>
        <w:jc w:val="both"/>
        <w:rPr>
          <w:rFonts w:ascii="Times New Roman" w:hAnsi="Times New Roman" w:cs="Times New Roman"/>
          <w:b/>
          <w:sz w:val="24"/>
          <w:szCs w:val="24"/>
        </w:rPr>
      </w:pPr>
      <w:r w:rsidRPr="0068531F">
        <w:rPr>
          <w:rFonts w:ascii="Times New Roman" w:hAnsi="Times New Roman" w:cs="Times New Roman"/>
          <w:sz w:val="24"/>
          <w:szCs w:val="24"/>
        </w:rPr>
        <w:t xml:space="preserve">Four major livelihood portfolio strategies (mixed farming, mineral, flora and fauna) were common in the three communal areas. The descriptive findings reveal that mixed farming was the dominant livelihood adaptation choice (42.1% share) for most of the households. Similar comparable observations were inferred by </w:t>
      </w:r>
      <w:proofErr w:type="spellStart"/>
      <w:r w:rsidRPr="0068531F">
        <w:rPr>
          <w:rFonts w:ascii="Times New Roman" w:hAnsi="Times New Roman" w:cs="Times New Roman"/>
          <w:sz w:val="24"/>
          <w:szCs w:val="24"/>
        </w:rPr>
        <w:t>Carswell</w:t>
      </w:r>
      <w:proofErr w:type="spellEnd"/>
      <w:r w:rsidRPr="0068531F">
        <w:rPr>
          <w:rFonts w:ascii="Times New Roman" w:hAnsi="Times New Roman" w:cs="Times New Roman"/>
          <w:sz w:val="24"/>
          <w:szCs w:val="24"/>
        </w:rPr>
        <w:t xml:space="preserve"> (2000) who notes that contributions made by </w:t>
      </w:r>
      <w:r w:rsidR="00EA1EE8">
        <w:rPr>
          <w:rFonts w:ascii="Times New Roman" w:hAnsi="Times New Roman" w:cs="Times New Roman"/>
          <w:sz w:val="24"/>
          <w:szCs w:val="24"/>
        </w:rPr>
        <w:t>off-</w:t>
      </w:r>
      <w:r>
        <w:rPr>
          <w:rFonts w:ascii="Times New Roman" w:hAnsi="Times New Roman" w:cs="Times New Roman"/>
          <w:sz w:val="24"/>
          <w:szCs w:val="24"/>
        </w:rPr>
        <w:t xml:space="preserve">farm </w:t>
      </w:r>
      <w:r w:rsidRPr="0068531F">
        <w:rPr>
          <w:rFonts w:ascii="Times New Roman" w:hAnsi="Times New Roman" w:cs="Times New Roman"/>
          <w:sz w:val="24"/>
          <w:szCs w:val="24"/>
        </w:rPr>
        <w:t>livelihoods in rural areas, has often been neglected by policy makers who have chosen to concentrate on agriculture.</w:t>
      </w:r>
    </w:p>
    <w:p w:rsidR="001F0534" w:rsidRPr="0068531F" w:rsidRDefault="001F0534" w:rsidP="001F0534">
      <w:pPr>
        <w:spacing w:line="480" w:lineRule="auto"/>
        <w:jc w:val="both"/>
        <w:rPr>
          <w:rFonts w:ascii="Times New Roman" w:hAnsi="Times New Roman" w:cs="Times New Roman"/>
          <w:sz w:val="24"/>
          <w:szCs w:val="24"/>
        </w:rPr>
      </w:pPr>
      <w:r w:rsidRPr="0068531F">
        <w:rPr>
          <w:rFonts w:ascii="Times New Roman" w:hAnsi="Times New Roman" w:cs="Times New Roman"/>
          <w:b/>
          <w:sz w:val="24"/>
          <w:szCs w:val="24"/>
        </w:rPr>
        <w:t>Table 3:</w:t>
      </w:r>
      <w:r w:rsidRPr="0068531F">
        <w:rPr>
          <w:rFonts w:ascii="Times New Roman" w:hAnsi="Times New Roman" w:cs="Times New Roman"/>
          <w:sz w:val="24"/>
          <w:szCs w:val="24"/>
        </w:rPr>
        <w:t xml:space="preserve"> Reported livelihood choices from the study area</w:t>
      </w:r>
    </w:p>
    <w:tbl>
      <w:tblPr>
        <w:tblW w:w="8907"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tblPr>
      <w:tblGrid>
        <w:gridCol w:w="508"/>
        <w:gridCol w:w="2338"/>
        <w:gridCol w:w="1399"/>
        <w:gridCol w:w="1223"/>
        <w:gridCol w:w="1675"/>
        <w:gridCol w:w="1764"/>
      </w:tblGrid>
      <w:tr w:rsidR="001F0534" w:rsidRPr="006E3E00" w:rsidTr="001F0534">
        <w:trPr>
          <w:cantSplit/>
          <w:trHeight w:val="288"/>
          <w:tblHeader/>
          <w:jc w:val="center"/>
        </w:trPr>
        <w:tc>
          <w:tcPr>
            <w:tcW w:w="8907" w:type="dxa"/>
            <w:gridSpan w:val="6"/>
            <w:shd w:val="clear" w:color="auto" w:fill="FFFFFF"/>
            <w:vAlign w:val="center"/>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Pr>
                <w:rFonts w:cs="Arial"/>
                <w:b/>
                <w:bCs/>
                <w:color w:val="000000"/>
                <w:sz w:val="16"/>
                <w:szCs w:val="16"/>
              </w:rPr>
              <w:t>Reported l</w:t>
            </w:r>
            <w:r w:rsidRPr="006E3E00">
              <w:rPr>
                <w:rFonts w:cs="Arial"/>
                <w:b/>
                <w:bCs/>
                <w:color w:val="000000"/>
                <w:sz w:val="16"/>
                <w:szCs w:val="16"/>
              </w:rPr>
              <w:t>ivelihood</w:t>
            </w:r>
            <w:r>
              <w:rPr>
                <w:rFonts w:cs="Arial"/>
                <w:b/>
                <w:bCs/>
                <w:color w:val="000000"/>
                <w:sz w:val="16"/>
                <w:szCs w:val="16"/>
              </w:rPr>
              <w:t xml:space="preserve"> c</w:t>
            </w:r>
            <w:r w:rsidRPr="006E3E00">
              <w:rPr>
                <w:rFonts w:cs="Arial"/>
                <w:b/>
                <w:bCs/>
                <w:color w:val="000000"/>
                <w:sz w:val="16"/>
                <w:szCs w:val="16"/>
              </w:rPr>
              <w:t>hoices</w:t>
            </w:r>
          </w:p>
        </w:tc>
      </w:tr>
      <w:tr w:rsidR="001F0534" w:rsidRPr="006E3E00" w:rsidTr="001F0534">
        <w:trPr>
          <w:cantSplit/>
          <w:trHeight w:val="331"/>
          <w:tblHeader/>
          <w:jc w:val="center"/>
        </w:trPr>
        <w:tc>
          <w:tcPr>
            <w:tcW w:w="2846" w:type="dxa"/>
            <w:gridSpan w:val="2"/>
            <w:shd w:val="clear" w:color="auto" w:fill="FFFFFF"/>
            <w:vAlign w:val="center"/>
          </w:tcPr>
          <w:p w:rsidR="001F0534" w:rsidRPr="006E3E00" w:rsidRDefault="001F0534" w:rsidP="001F0534">
            <w:pPr>
              <w:autoSpaceDE w:val="0"/>
              <w:autoSpaceDN w:val="0"/>
              <w:adjustRightInd w:val="0"/>
              <w:spacing w:after="0" w:line="240" w:lineRule="auto"/>
              <w:jc w:val="center"/>
              <w:rPr>
                <w:rFonts w:cs="Times New Roman"/>
                <w:sz w:val="16"/>
                <w:szCs w:val="16"/>
              </w:rPr>
            </w:pPr>
          </w:p>
        </w:tc>
        <w:tc>
          <w:tcPr>
            <w:tcW w:w="1399" w:type="dxa"/>
            <w:shd w:val="clear" w:color="auto" w:fill="FFFFFF"/>
            <w:vAlign w:val="bottom"/>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Frequency</w:t>
            </w:r>
          </w:p>
        </w:tc>
        <w:tc>
          <w:tcPr>
            <w:tcW w:w="1223" w:type="dxa"/>
            <w:shd w:val="clear" w:color="auto" w:fill="FFFFFF"/>
            <w:vAlign w:val="bottom"/>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Percent</w:t>
            </w:r>
          </w:p>
        </w:tc>
        <w:tc>
          <w:tcPr>
            <w:tcW w:w="1675" w:type="dxa"/>
            <w:shd w:val="clear" w:color="auto" w:fill="FFFFFF"/>
            <w:vAlign w:val="bottom"/>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Valid Percent</w:t>
            </w:r>
          </w:p>
        </w:tc>
        <w:tc>
          <w:tcPr>
            <w:tcW w:w="1764" w:type="dxa"/>
            <w:shd w:val="clear" w:color="auto" w:fill="FFFFFF"/>
            <w:vAlign w:val="bottom"/>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Cumulative Percent</w:t>
            </w:r>
          </w:p>
        </w:tc>
      </w:tr>
      <w:tr w:rsidR="001F0534" w:rsidRPr="006E3E00" w:rsidTr="00134C9E">
        <w:trPr>
          <w:cantSplit/>
          <w:trHeight w:val="228"/>
          <w:tblHeader/>
          <w:jc w:val="center"/>
        </w:trPr>
        <w:tc>
          <w:tcPr>
            <w:tcW w:w="508" w:type="dxa"/>
            <w:vMerge w:val="restart"/>
            <w:shd w:val="clear" w:color="auto" w:fill="FFFFFF"/>
          </w:tcPr>
          <w:p w:rsidR="001F0534" w:rsidRPr="006E3E00" w:rsidRDefault="001F0534" w:rsidP="001F0534">
            <w:pPr>
              <w:autoSpaceDE w:val="0"/>
              <w:autoSpaceDN w:val="0"/>
              <w:adjustRightInd w:val="0"/>
              <w:spacing w:after="0" w:line="320" w:lineRule="atLeast"/>
              <w:ind w:left="60" w:right="60"/>
              <w:rPr>
                <w:rFonts w:cs="Arial"/>
                <w:color w:val="000000"/>
                <w:sz w:val="16"/>
                <w:szCs w:val="16"/>
              </w:rPr>
            </w:pPr>
            <w:r w:rsidRPr="006E3E00">
              <w:rPr>
                <w:rFonts w:cs="Arial"/>
                <w:color w:val="000000"/>
                <w:sz w:val="16"/>
                <w:szCs w:val="16"/>
              </w:rPr>
              <w:lastRenderedPageBreak/>
              <w:t>Valid</w:t>
            </w:r>
          </w:p>
        </w:tc>
        <w:tc>
          <w:tcPr>
            <w:tcW w:w="2338" w:type="dxa"/>
            <w:shd w:val="clear" w:color="auto" w:fill="FFFFFF"/>
          </w:tcPr>
          <w:p w:rsidR="001F0534" w:rsidRPr="001F2856" w:rsidRDefault="001F0534" w:rsidP="00AE25FC">
            <w:pPr>
              <w:numPr>
                <w:ilvl w:val="0"/>
                <w:numId w:val="9"/>
              </w:numPr>
              <w:autoSpaceDE w:val="0"/>
              <w:autoSpaceDN w:val="0"/>
              <w:adjustRightInd w:val="0"/>
              <w:spacing w:line="320" w:lineRule="atLeast"/>
              <w:ind w:right="60"/>
              <w:rPr>
                <w:rFonts w:cs="Arial"/>
                <w:color w:val="000000"/>
                <w:sz w:val="16"/>
                <w:szCs w:val="16"/>
              </w:rPr>
            </w:pPr>
            <w:r w:rsidRPr="001F2856">
              <w:rPr>
                <w:rFonts w:cs="Arial"/>
                <w:color w:val="000000"/>
                <w:sz w:val="16"/>
                <w:szCs w:val="16"/>
              </w:rPr>
              <w:t>Mixed Farming</w:t>
            </w:r>
            <w:r>
              <w:rPr>
                <w:rFonts w:cs="Arial"/>
                <w:color w:val="000000"/>
                <w:sz w:val="16"/>
                <w:szCs w:val="16"/>
              </w:rPr>
              <w:t xml:space="preserve"> </w:t>
            </w:r>
          </w:p>
        </w:tc>
        <w:tc>
          <w:tcPr>
            <w:tcW w:w="1399"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101</w:t>
            </w:r>
          </w:p>
        </w:tc>
        <w:tc>
          <w:tcPr>
            <w:tcW w:w="1223"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42.1</w:t>
            </w:r>
          </w:p>
        </w:tc>
        <w:tc>
          <w:tcPr>
            <w:tcW w:w="1675"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42.1</w:t>
            </w:r>
          </w:p>
        </w:tc>
        <w:tc>
          <w:tcPr>
            <w:tcW w:w="1764"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42.1</w:t>
            </w:r>
          </w:p>
        </w:tc>
      </w:tr>
      <w:tr w:rsidR="001F0534" w:rsidRPr="006E3E00" w:rsidTr="001F0534">
        <w:trPr>
          <w:cantSplit/>
          <w:trHeight w:val="130"/>
          <w:tblHeader/>
          <w:jc w:val="center"/>
        </w:trPr>
        <w:tc>
          <w:tcPr>
            <w:tcW w:w="508" w:type="dxa"/>
            <w:vMerge/>
            <w:shd w:val="clear" w:color="auto" w:fill="FFFFFF"/>
          </w:tcPr>
          <w:p w:rsidR="001F0534" w:rsidRPr="006E3E00" w:rsidRDefault="001F0534" w:rsidP="001F0534">
            <w:pPr>
              <w:autoSpaceDE w:val="0"/>
              <w:autoSpaceDN w:val="0"/>
              <w:adjustRightInd w:val="0"/>
              <w:spacing w:after="0" w:line="240" w:lineRule="auto"/>
              <w:rPr>
                <w:rFonts w:cs="Arial"/>
                <w:color w:val="000000"/>
                <w:sz w:val="16"/>
                <w:szCs w:val="16"/>
              </w:rPr>
            </w:pPr>
          </w:p>
        </w:tc>
        <w:tc>
          <w:tcPr>
            <w:tcW w:w="2338" w:type="dxa"/>
            <w:shd w:val="clear" w:color="auto" w:fill="FFFFFF"/>
          </w:tcPr>
          <w:p w:rsidR="001F0534" w:rsidRPr="001F2856" w:rsidRDefault="001F0534" w:rsidP="00AE25FC">
            <w:pPr>
              <w:numPr>
                <w:ilvl w:val="0"/>
                <w:numId w:val="9"/>
              </w:numPr>
              <w:autoSpaceDE w:val="0"/>
              <w:autoSpaceDN w:val="0"/>
              <w:adjustRightInd w:val="0"/>
              <w:spacing w:line="320" w:lineRule="atLeast"/>
              <w:ind w:right="60"/>
              <w:rPr>
                <w:rFonts w:cs="Arial"/>
                <w:color w:val="000000"/>
                <w:sz w:val="16"/>
                <w:szCs w:val="16"/>
              </w:rPr>
            </w:pPr>
            <w:r w:rsidRPr="001F2856">
              <w:rPr>
                <w:rFonts w:cs="Arial"/>
                <w:color w:val="000000"/>
                <w:sz w:val="16"/>
                <w:szCs w:val="16"/>
              </w:rPr>
              <w:t>Mineral Portfolio</w:t>
            </w:r>
          </w:p>
        </w:tc>
        <w:tc>
          <w:tcPr>
            <w:tcW w:w="1399"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86</w:t>
            </w:r>
          </w:p>
        </w:tc>
        <w:tc>
          <w:tcPr>
            <w:tcW w:w="1223"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35.8</w:t>
            </w:r>
          </w:p>
        </w:tc>
        <w:tc>
          <w:tcPr>
            <w:tcW w:w="1675"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35.8</w:t>
            </w:r>
          </w:p>
        </w:tc>
        <w:tc>
          <w:tcPr>
            <w:tcW w:w="1764"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77.9</w:t>
            </w:r>
          </w:p>
        </w:tc>
      </w:tr>
      <w:tr w:rsidR="001F0534" w:rsidRPr="006E3E00" w:rsidTr="001F0534">
        <w:trPr>
          <w:cantSplit/>
          <w:trHeight w:val="130"/>
          <w:tblHeader/>
          <w:jc w:val="center"/>
        </w:trPr>
        <w:tc>
          <w:tcPr>
            <w:tcW w:w="508" w:type="dxa"/>
            <w:vMerge/>
            <w:shd w:val="clear" w:color="auto" w:fill="FFFFFF"/>
          </w:tcPr>
          <w:p w:rsidR="001F0534" w:rsidRPr="006E3E00" w:rsidRDefault="001F0534" w:rsidP="001F0534">
            <w:pPr>
              <w:autoSpaceDE w:val="0"/>
              <w:autoSpaceDN w:val="0"/>
              <w:adjustRightInd w:val="0"/>
              <w:spacing w:after="0" w:line="240" w:lineRule="auto"/>
              <w:rPr>
                <w:rFonts w:cs="Arial"/>
                <w:color w:val="000000"/>
                <w:sz w:val="16"/>
                <w:szCs w:val="16"/>
              </w:rPr>
            </w:pPr>
          </w:p>
        </w:tc>
        <w:tc>
          <w:tcPr>
            <w:tcW w:w="2338" w:type="dxa"/>
            <w:shd w:val="clear" w:color="auto" w:fill="FFFFFF"/>
          </w:tcPr>
          <w:p w:rsidR="001F0534" w:rsidRPr="001F2856" w:rsidRDefault="001F0534" w:rsidP="00AE25FC">
            <w:pPr>
              <w:numPr>
                <w:ilvl w:val="0"/>
                <w:numId w:val="9"/>
              </w:numPr>
              <w:autoSpaceDE w:val="0"/>
              <w:autoSpaceDN w:val="0"/>
              <w:adjustRightInd w:val="0"/>
              <w:spacing w:line="320" w:lineRule="atLeast"/>
              <w:ind w:right="60"/>
              <w:rPr>
                <w:rFonts w:cs="Arial"/>
                <w:color w:val="000000"/>
                <w:sz w:val="16"/>
                <w:szCs w:val="16"/>
              </w:rPr>
            </w:pPr>
            <w:r w:rsidRPr="001F2856">
              <w:rPr>
                <w:rFonts w:cs="Arial"/>
                <w:color w:val="000000"/>
                <w:sz w:val="16"/>
                <w:szCs w:val="16"/>
              </w:rPr>
              <w:t>Flora Portfolio</w:t>
            </w:r>
          </w:p>
        </w:tc>
        <w:tc>
          <w:tcPr>
            <w:tcW w:w="1399"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37</w:t>
            </w:r>
          </w:p>
        </w:tc>
        <w:tc>
          <w:tcPr>
            <w:tcW w:w="1223"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15.4</w:t>
            </w:r>
          </w:p>
        </w:tc>
        <w:tc>
          <w:tcPr>
            <w:tcW w:w="1675"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15.4</w:t>
            </w:r>
          </w:p>
        </w:tc>
        <w:tc>
          <w:tcPr>
            <w:tcW w:w="1764"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93.3</w:t>
            </w:r>
          </w:p>
        </w:tc>
      </w:tr>
      <w:tr w:rsidR="001F0534" w:rsidRPr="006E3E00" w:rsidTr="001F0534">
        <w:trPr>
          <w:cantSplit/>
          <w:trHeight w:val="130"/>
          <w:tblHeader/>
          <w:jc w:val="center"/>
        </w:trPr>
        <w:tc>
          <w:tcPr>
            <w:tcW w:w="508" w:type="dxa"/>
            <w:vMerge/>
            <w:shd w:val="clear" w:color="auto" w:fill="FFFFFF"/>
          </w:tcPr>
          <w:p w:rsidR="001F0534" w:rsidRPr="006E3E00" w:rsidRDefault="001F0534" w:rsidP="001F0534">
            <w:pPr>
              <w:autoSpaceDE w:val="0"/>
              <w:autoSpaceDN w:val="0"/>
              <w:adjustRightInd w:val="0"/>
              <w:spacing w:after="0" w:line="240" w:lineRule="auto"/>
              <w:rPr>
                <w:rFonts w:cs="Arial"/>
                <w:color w:val="000000"/>
                <w:sz w:val="16"/>
                <w:szCs w:val="16"/>
              </w:rPr>
            </w:pPr>
          </w:p>
        </w:tc>
        <w:tc>
          <w:tcPr>
            <w:tcW w:w="2338" w:type="dxa"/>
            <w:shd w:val="clear" w:color="auto" w:fill="FFFFFF"/>
          </w:tcPr>
          <w:p w:rsidR="001F0534" w:rsidRPr="001F2856" w:rsidRDefault="001F0534" w:rsidP="00AE25FC">
            <w:pPr>
              <w:numPr>
                <w:ilvl w:val="0"/>
                <w:numId w:val="9"/>
              </w:numPr>
              <w:autoSpaceDE w:val="0"/>
              <w:autoSpaceDN w:val="0"/>
              <w:adjustRightInd w:val="0"/>
              <w:spacing w:line="320" w:lineRule="atLeast"/>
              <w:ind w:right="60"/>
              <w:rPr>
                <w:rFonts w:cs="Arial"/>
                <w:color w:val="000000"/>
                <w:sz w:val="16"/>
                <w:szCs w:val="16"/>
              </w:rPr>
            </w:pPr>
            <w:r w:rsidRPr="001F2856">
              <w:rPr>
                <w:rFonts w:cs="Arial"/>
                <w:color w:val="000000"/>
                <w:sz w:val="16"/>
                <w:szCs w:val="16"/>
              </w:rPr>
              <w:t>Fauna Portfolio</w:t>
            </w:r>
          </w:p>
        </w:tc>
        <w:tc>
          <w:tcPr>
            <w:tcW w:w="1399"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16</w:t>
            </w:r>
          </w:p>
        </w:tc>
        <w:tc>
          <w:tcPr>
            <w:tcW w:w="1223"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6.7</w:t>
            </w:r>
          </w:p>
        </w:tc>
        <w:tc>
          <w:tcPr>
            <w:tcW w:w="1675"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6.7</w:t>
            </w:r>
          </w:p>
        </w:tc>
        <w:tc>
          <w:tcPr>
            <w:tcW w:w="1764" w:type="dxa"/>
            <w:shd w:val="clear" w:color="auto" w:fill="FFFFFF"/>
          </w:tcPr>
          <w:p w:rsidR="001F0534" w:rsidRPr="006E3E00" w:rsidRDefault="001F0534" w:rsidP="001F0534">
            <w:pPr>
              <w:autoSpaceDE w:val="0"/>
              <w:autoSpaceDN w:val="0"/>
              <w:adjustRightInd w:val="0"/>
              <w:spacing w:after="0" w:line="320" w:lineRule="atLeast"/>
              <w:ind w:left="60" w:right="60"/>
              <w:jc w:val="center"/>
              <w:rPr>
                <w:rFonts w:cs="Arial"/>
                <w:color w:val="000000"/>
                <w:sz w:val="16"/>
                <w:szCs w:val="16"/>
              </w:rPr>
            </w:pPr>
            <w:r w:rsidRPr="006E3E00">
              <w:rPr>
                <w:rFonts w:cs="Arial"/>
                <w:color w:val="000000"/>
                <w:sz w:val="16"/>
                <w:szCs w:val="16"/>
              </w:rPr>
              <w:t>100.0</w:t>
            </w:r>
          </w:p>
        </w:tc>
      </w:tr>
      <w:tr w:rsidR="001F0534" w:rsidRPr="006E3E00" w:rsidTr="001F0534">
        <w:trPr>
          <w:cantSplit/>
          <w:trHeight w:val="130"/>
          <w:jc w:val="center"/>
        </w:trPr>
        <w:tc>
          <w:tcPr>
            <w:tcW w:w="508" w:type="dxa"/>
            <w:vMerge/>
            <w:shd w:val="clear" w:color="auto" w:fill="FFFFFF"/>
          </w:tcPr>
          <w:p w:rsidR="001F0534" w:rsidRPr="006E3E00" w:rsidRDefault="001F0534" w:rsidP="001F0534">
            <w:pPr>
              <w:autoSpaceDE w:val="0"/>
              <w:autoSpaceDN w:val="0"/>
              <w:adjustRightInd w:val="0"/>
              <w:spacing w:after="0" w:line="240" w:lineRule="auto"/>
              <w:rPr>
                <w:rFonts w:cs="Arial"/>
                <w:color w:val="000000"/>
                <w:sz w:val="16"/>
                <w:szCs w:val="16"/>
              </w:rPr>
            </w:pPr>
          </w:p>
        </w:tc>
        <w:tc>
          <w:tcPr>
            <w:tcW w:w="2338" w:type="dxa"/>
            <w:shd w:val="clear" w:color="auto" w:fill="FFFFFF"/>
          </w:tcPr>
          <w:p w:rsidR="001F0534" w:rsidRPr="00185498" w:rsidRDefault="001F0534" w:rsidP="001F0534">
            <w:pPr>
              <w:autoSpaceDE w:val="0"/>
              <w:autoSpaceDN w:val="0"/>
              <w:adjustRightInd w:val="0"/>
              <w:spacing w:after="0" w:line="320" w:lineRule="atLeast"/>
              <w:ind w:left="60" w:right="60"/>
              <w:rPr>
                <w:rFonts w:cs="Arial"/>
                <w:b/>
                <w:color w:val="000000"/>
                <w:sz w:val="16"/>
                <w:szCs w:val="16"/>
              </w:rPr>
            </w:pPr>
            <w:r w:rsidRPr="00185498">
              <w:rPr>
                <w:rFonts w:cs="Arial"/>
                <w:b/>
                <w:color w:val="000000"/>
                <w:sz w:val="16"/>
                <w:szCs w:val="16"/>
              </w:rPr>
              <w:t>Total</w:t>
            </w:r>
          </w:p>
        </w:tc>
        <w:tc>
          <w:tcPr>
            <w:tcW w:w="1399" w:type="dxa"/>
            <w:shd w:val="clear" w:color="auto" w:fill="FFFFFF"/>
          </w:tcPr>
          <w:p w:rsidR="001F0534" w:rsidRPr="00185498" w:rsidRDefault="001F0534" w:rsidP="001F0534">
            <w:pPr>
              <w:autoSpaceDE w:val="0"/>
              <w:autoSpaceDN w:val="0"/>
              <w:adjustRightInd w:val="0"/>
              <w:spacing w:after="0" w:line="320" w:lineRule="atLeast"/>
              <w:ind w:left="60" w:right="60"/>
              <w:jc w:val="center"/>
              <w:rPr>
                <w:rFonts w:cs="Arial"/>
                <w:b/>
                <w:color w:val="000000"/>
                <w:sz w:val="16"/>
                <w:szCs w:val="16"/>
              </w:rPr>
            </w:pPr>
            <w:r w:rsidRPr="00185498">
              <w:rPr>
                <w:rFonts w:cs="Arial"/>
                <w:b/>
                <w:color w:val="000000"/>
                <w:sz w:val="16"/>
                <w:szCs w:val="16"/>
              </w:rPr>
              <w:t>240</w:t>
            </w:r>
          </w:p>
        </w:tc>
        <w:tc>
          <w:tcPr>
            <w:tcW w:w="1223" w:type="dxa"/>
            <w:shd w:val="clear" w:color="auto" w:fill="FFFFFF"/>
          </w:tcPr>
          <w:p w:rsidR="001F0534" w:rsidRPr="00185498" w:rsidRDefault="001F0534" w:rsidP="001F0534">
            <w:pPr>
              <w:autoSpaceDE w:val="0"/>
              <w:autoSpaceDN w:val="0"/>
              <w:adjustRightInd w:val="0"/>
              <w:spacing w:after="0" w:line="320" w:lineRule="atLeast"/>
              <w:ind w:left="60" w:right="60"/>
              <w:jc w:val="center"/>
              <w:rPr>
                <w:rFonts w:cs="Arial"/>
                <w:b/>
                <w:color w:val="000000"/>
                <w:sz w:val="16"/>
                <w:szCs w:val="16"/>
              </w:rPr>
            </w:pPr>
            <w:r w:rsidRPr="00185498">
              <w:rPr>
                <w:rFonts w:cs="Arial"/>
                <w:b/>
                <w:color w:val="000000"/>
                <w:sz w:val="16"/>
                <w:szCs w:val="16"/>
              </w:rPr>
              <w:t>100.0</w:t>
            </w:r>
          </w:p>
        </w:tc>
        <w:tc>
          <w:tcPr>
            <w:tcW w:w="1675" w:type="dxa"/>
            <w:shd w:val="clear" w:color="auto" w:fill="FFFFFF"/>
          </w:tcPr>
          <w:p w:rsidR="001F0534" w:rsidRPr="00185498" w:rsidRDefault="001F0534" w:rsidP="001F0534">
            <w:pPr>
              <w:autoSpaceDE w:val="0"/>
              <w:autoSpaceDN w:val="0"/>
              <w:adjustRightInd w:val="0"/>
              <w:spacing w:after="0" w:line="320" w:lineRule="atLeast"/>
              <w:ind w:left="60" w:right="60"/>
              <w:jc w:val="center"/>
              <w:rPr>
                <w:rFonts w:cs="Arial"/>
                <w:b/>
                <w:color w:val="000000"/>
                <w:sz w:val="16"/>
                <w:szCs w:val="16"/>
              </w:rPr>
            </w:pPr>
            <w:r w:rsidRPr="00185498">
              <w:rPr>
                <w:rFonts w:cs="Arial"/>
                <w:b/>
                <w:color w:val="000000"/>
                <w:sz w:val="16"/>
                <w:szCs w:val="16"/>
              </w:rPr>
              <w:t>100.0</w:t>
            </w:r>
          </w:p>
        </w:tc>
        <w:tc>
          <w:tcPr>
            <w:tcW w:w="1764" w:type="dxa"/>
            <w:shd w:val="clear" w:color="auto" w:fill="FFFFFF"/>
            <w:vAlign w:val="center"/>
          </w:tcPr>
          <w:p w:rsidR="001F0534" w:rsidRPr="006E3E00" w:rsidRDefault="001F0534" w:rsidP="001F0534">
            <w:pPr>
              <w:autoSpaceDE w:val="0"/>
              <w:autoSpaceDN w:val="0"/>
              <w:adjustRightInd w:val="0"/>
              <w:spacing w:after="0" w:line="240" w:lineRule="auto"/>
              <w:jc w:val="center"/>
              <w:rPr>
                <w:rFonts w:cs="Times New Roman"/>
                <w:sz w:val="16"/>
                <w:szCs w:val="16"/>
              </w:rPr>
            </w:pPr>
          </w:p>
        </w:tc>
      </w:tr>
    </w:tbl>
    <w:p w:rsidR="001F0534" w:rsidRDefault="001F0534" w:rsidP="001F0534">
      <w:pPr>
        <w:spacing w:line="360" w:lineRule="auto"/>
        <w:jc w:val="both"/>
      </w:pPr>
    </w:p>
    <w:p w:rsidR="00EA1EE8"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In Latin America, several studies from Bolivia also observed that although there is a significant share of total household income from non-agricultural activities, agricultural production was still the most important source of income (</w:t>
      </w:r>
      <w:proofErr w:type="spellStart"/>
      <w:r w:rsidRPr="0068531F">
        <w:rPr>
          <w:rFonts w:ascii="Times New Roman" w:hAnsi="Times New Roman" w:cs="Times New Roman"/>
          <w:sz w:val="24"/>
          <w:szCs w:val="24"/>
        </w:rPr>
        <w:t>Comisión</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Europea</w:t>
      </w:r>
      <w:proofErr w:type="spellEnd"/>
      <w:r w:rsidRPr="0068531F">
        <w:rPr>
          <w:rFonts w:ascii="Times New Roman" w:hAnsi="Times New Roman" w:cs="Times New Roman"/>
          <w:sz w:val="24"/>
          <w:szCs w:val="24"/>
        </w:rPr>
        <w:t xml:space="preserve">, 2000; Jimenez and </w:t>
      </w:r>
      <w:proofErr w:type="spellStart"/>
      <w:r w:rsidRPr="0068531F">
        <w:rPr>
          <w:rFonts w:ascii="Times New Roman" w:hAnsi="Times New Roman" w:cs="Times New Roman"/>
          <w:sz w:val="24"/>
          <w:szCs w:val="24"/>
        </w:rPr>
        <w:t>Lizarraga</w:t>
      </w:r>
      <w:proofErr w:type="spellEnd"/>
      <w:r w:rsidRPr="0068531F">
        <w:rPr>
          <w:rFonts w:ascii="Times New Roman" w:hAnsi="Times New Roman" w:cs="Times New Roman"/>
          <w:sz w:val="24"/>
          <w:szCs w:val="24"/>
        </w:rPr>
        <w:t xml:space="preserve"> 2003). Respondents noted the significant potential of livestock production complemented by grazing land from the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 although predation, conflict with </w:t>
      </w:r>
      <w:r>
        <w:rPr>
          <w:rFonts w:ascii="Times New Roman" w:hAnsi="Times New Roman" w:cs="Times New Roman"/>
          <w:sz w:val="24"/>
          <w:szCs w:val="24"/>
        </w:rPr>
        <w:t>S</w:t>
      </w:r>
      <w:r w:rsidR="00EA1EE8">
        <w:rPr>
          <w:rFonts w:ascii="Times New Roman" w:hAnsi="Times New Roman" w:cs="Times New Roman"/>
          <w:sz w:val="24"/>
          <w:szCs w:val="24"/>
        </w:rPr>
        <w:t xml:space="preserve">afari </w:t>
      </w:r>
      <w:r>
        <w:rPr>
          <w:rFonts w:ascii="Times New Roman" w:hAnsi="Times New Roman" w:cs="Times New Roman"/>
          <w:sz w:val="24"/>
          <w:szCs w:val="24"/>
        </w:rPr>
        <w:t>O</w:t>
      </w:r>
      <w:r w:rsidR="00EA1EE8">
        <w:rPr>
          <w:rFonts w:ascii="Times New Roman" w:hAnsi="Times New Roman" w:cs="Times New Roman"/>
          <w:sz w:val="24"/>
          <w:szCs w:val="24"/>
        </w:rPr>
        <w:t>perator</w:t>
      </w:r>
      <w:r w:rsidRPr="0068531F">
        <w:rPr>
          <w:rFonts w:ascii="Times New Roman" w:hAnsi="Times New Roman" w:cs="Times New Roman"/>
          <w:sz w:val="24"/>
          <w:szCs w:val="24"/>
        </w:rPr>
        <w:t xml:space="preserve"> and disease outbreak were some of the potential threats. Cropping activities were largely confined to small grains and groundnuts with minor contributions implying that livestock production was the dominant activity. </w:t>
      </w:r>
    </w:p>
    <w:p w:rsidR="002C7CF1"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mineral portfolio </w:t>
      </w:r>
      <w:r>
        <w:rPr>
          <w:rFonts w:ascii="Times New Roman" w:hAnsi="Times New Roman" w:cs="Times New Roman"/>
          <w:sz w:val="24"/>
          <w:szCs w:val="24"/>
        </w:rPr>
        <w:t xml:space="preserve">(gold panning) </w:t>
      </w:r>
      <w:r w:rsidRPr="0068531F">
        <w:rPr>
          <w:rFonts w:ascii="Times New Roman" w:hAnsi="Times New Roman" w:cs="Times New Roman"/>
          <w:sz w:val="24"/>
          <w:szCs w:val="24"/>
        </w:rPr>
        <w:t>was the second best livelihood adaptation choice for most households after mixed farming, with 35.8% share. Respondents reported a lucrative potential of small scale mining activities although this was deemed illegal. The “pull” factors, according to the respondents, were the quick returns (quick cash), specifically for alluvial gold, and easy entry requirements. This was followed by the flora portfolio with a 15.4% share and, lastly, the fauna portfolio with a 6.7% share. The fauna portfolio was, to a large extent</w:t>
      </w:r>
      <w:r>
        <w:rPr>
          <w:rFonts w:ascii="Times New Roman" w:hAnsi="Times New Roman" w:cs="Times New Roman"/>
          <w:sz w:val="24"/>
          <w:szCs w:val="24"/>
        </w:rPr>
        <w:t>, defined by proceeds from the game p</w:t>
      </w:r>
      <w:r w:rsidRPr="0068531F">
        <w:rPr>
          <w:rFonts w:ascii="Times New Roman" w:hAnsi="Times New Roman" w:cs="Times New Roman"/>
          <w:sz w:val="24"/>
          <w:szCs w:val="24"/>
        </w:rPr>
        <w:t xml:space="preserve">ark. Although all respondents were fully aware of the existence of the </w:t>
      </w:r>
      <w:proofErr w:type="spellStart"/>
      <w:r>
        <w:rPr>
          <w:rFonts w:ascii="Times New Roman" w:hAnsi="Times New Roman" w:cs="Times New Roman"/>
          <w:sz w:val="24"/>
          <w:szCs w:val="24"/>
        </w:rPr>
        <w:t>Nyatana</w:t>
      </w:r>
      <w:proofErr w:type="spellEnd"/>
      <w:r>
        <w:rPr>
          <w:rFonts w:ascii="Times New Roman" w:hAnsi="Times New Roman" w:cs="Times New Roman"/>
          <w:sz w:val="24"/>
          <w:szCs w:val="24"/>
        </w:rPr>
        <w:t xml:space="preserve"> </w:t>
      </w:r>
      <w:r w:rsidRPr="0068531F">
        <w:rPr>
          <w:rFonts w:ascii="Times New Roman" w:hAnsi="Times New Roman" w:cs="Times New Roman"/>
          <w:sz w:val="24"/>
          <w:szCs w:val="24"/>
        </w:rPr>
        <w:t xml:space="preserve">Game Park, considering it as a livelihood adaptation choice was deemed risky and unreliable. Respondents </w:t>
      </w:r>
      <w:proofErr w:type="spellStart"/>
      <w:r w:rsidRPr="0068531F">
        <w:rPr>
          <w:rFonts w:ascii="Times New Roman" w:hAnsi="Times New Roman" w:cs="Times New Roman"/>
          <w:sz w:val="24"/>
          <w:szCs w:val="24"/>
        </w:rPr>
        <w:t>labelled</w:t>
      </w:r>
      <w:proofErr w:type="spellEnd"/>
      <w:r w:rsidRPr="0068531F">
        <w:rPr>
          <w:rFonts w:ascii="Times New Roman" w:hAnsi="Times New Roman" w:cs="Times New Roman"/>
          <w:sz w:val="24"/>
          <w:szCs w:val="24"/>
        </w:rPr>
        <w:t xml:space="preserve"> the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 as more of a pest than a livelihood source worth choosing.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Similar findings were inferred by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Carlsson</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Kohlin</w:t>
      </w:r>
      <w:proofErr w:type="spellEnd"/>
      <w:r w:rsidRPr="0068531F">
        <w:rPr>
          <w:rFonts w:ascii="Times New Roman" w:hAnsi="Times New Roman" w:cs="Times New Roman"/>
          <w:sz w:val="24"/>
          <w:szCs w:val="24"/>
        </w:rPr>
        <w:t xml:space="preserve"> (2008) who noted that 62% of the households from the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rural area in Zimbabwe, adjacent to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did not support elephant preservation but rather preferred their translocation. Fernandez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(2009) also noted that losses from crop damage by wildlife were a threat to some positive benefits from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arks. Based on these limited descriptive results, the study therefore rejects the null hypothesis. </w:t>
      </w:r>
    </w:p>
    <w:p w:rsidR="001F0534" w:rsidRPr="00E97307" w:rsidRDefault="00C43955" w:rsidP="00080788">
      <w:pPr>
        <w:pStyle w:val="Heading3"/>
        <w:spacing w:after="240" w:line="360" w:lineRule="auto"/>
        <w:rPr>
          <w:rFonts w:ascii="Times New Roman" w:hAnsi="Times New Roman"/>
          <w:color w:val="auto"/>
          <w:sz w:val="24"/>
          <w:szCs w:val="24"/>
        </w:rPr>
      </w:pPr>
      <w:bookmarkStart w:id="28" w:name="_Toc311701023"/>
      <w:bookmarkStart w:id="29" w:name="_Toc311703931"/>
      <w:r>
        <w:rPr>
          <w:rFonts w:ascii="Times New Roman" w:hAnsi="Times New Roman"/>
          <w:color w:val="auto"/>
          <w:sz w:val="24"/>
          <w:szCs w:val="24"/>
        </w:rPr>
        <w:lastRenderedPageBreak/>
        <w:t xml:space="preserve">6.3 </w:t>
      </w:r>
      <w:r w:rsidR="001F0534" w:rsidRPr="00E97307">
        <w:rPr>
          <w:rFonts w:ascii="Times New Roman" w:hAnsi="Times New Roman"/>
          <w:color w:val="auto"/>
          <w:sz w:val="24"/>
          <w:szCs w:val="24"/>
        </w:rPr>
        <w:t>Constraints to non-farm adaptation choices as reported by respondents</w:t>
      </w:r>
      <w:bookmarkEnd w:id="28"/>
      <w:bookmarkEnd w:id="29"/>
      <w:r w:rsidR="001F0534" w:rsidRPr="00E97307">
        <w:rPr>
          <w:rFonts w:ascii="Times New Roman" w:hAnsi="Times New Roman"/>
          <w:color w:val="auto"/>
          <w:sz w:val="24"/>
          <w:szCs w:val="24"/>
        </w:rPr>
        <w:t xml:space="preserve"> </w:t>
      </w:r>
    </w:p>
    <w:p w:rsidR="001F0534"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In this </w:t>
      </w:r>
      <w:r w:rsidR="00C43955">
        <w:rPr>
          <w:rFonts w:ascii="Times New Roman" w:hAnsi="Times New Roman" w:cs="Times New Roman"/>
          <w:sz w:val="24"/>
          <w:szCs w:val="24"/>
        </w:rPr>
        <w:t>section, the paper</w:t>
      </w:r>
      <w:r w:rsidRPr="0068531F">
        <w:rPr>
          <w:rFonts w:ascii="Times New Roman" w:hAnsi="Times New Roman" w:cs="Times New Roman"/>
          <w:sz w:val="24"/>
          <w:szCs w:val="24"/>
        </w:rPr>
        <w:t xml:space="preserve"> tries to uncover potential constraints faced by households in trying to adapt to non-farm livelihood sources. More attention was given to the “Fauna Portfolio” that was hypothesized to provide a significant livelihood source. Several constraints were reported from the three communities, as shown in Table 4. </w:t>
      </w:r>
    </w:p>
    <w:p w:rsidR="001F0534" w:rsidRDefault="001F0534" w:rsidP="0008078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column gives the average percentage share of each constraint across all districts and portfolios. </w:t>
      </w:r>
      <w:r w:rsidRPr="0068531F">
        <w:rPr>
          <w:rFonts w:ascii="Times New Roman" w:hAnsi="Times New Roman" w:cs="Times New Roman"/>
          <w:sz w:val="24"/>
          <w:szCs w:val="24"/>
        </w:rPr>
        <w:t xml:space="preserve">An insecure property rights system, typical of most non-farm activities, was cited as the major barrier across all possible </w:t>
      </w:r>
      <w:r>
        <w:rPr>
          <w:rFonts w:ascii="Times New Roman" w:hAnsi="Times New Roman" w:cs="Times New Roman"/>
          <w:sz w:val="24"/>
          <w:szCs w:val="24"/>
        </w:rPr>
        <w:t xml:space="preserve">non-farm </w:t>
      </w:r>
      <w:r w:rsidRPr="0068531F">
        <w:rPr>
          <w:rFonts w:ascii="Times New Roman" w:hAnsi="Times New Roman" w:cs="Times New Roman"/>
          <w:sz w:val="24"/>
          <w:szCs w:val="24"/>
        </w:rPr>
        <w:t xml:space="preserve">livelihood adaptation choices. Regardless of how lucrative livelihood sources may appear, if not supported by tradable and secure rights, such sources are normally deemed risky and insecure according to the respondents. The security of livelihood sources may therefore mean a lot to rural communities for their day-to-day survival seems wholly dependent on such livelihoods.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Effectively, insecurity in livelihood sources may translate into insecurity in their day-to-day survival. In this regard, households may therefore be rational by holding on to mixed farming activities where rights are more secure, even though faced with more threats than non-farm activities full of lucrative potential, but with insecure property rights.</w:t>
      </w:r>
    </w:p>
    <w:p w:rsidR="001F0534" w:rsidRDefault="005846E5" w:rsidP="00080788">
      <w:pPr>
        <w:spacing w:line="360" w:lineRule="auto"/>
        <w:jc w:val="both"/>
        <w:rPr>
          <w:rFonts w:ascii="Times New Roman" w:hAnsi="Times New Roman" w:cs="Times New Roman"/>
          <w:b/>
          <w:sz w:val="24"/>
          <w:szCs w:val="24"/>
        </w:rPr>
      </w:pPr>
      <w:r w:rsidRPr="0068531F">
        <w:rPr>
          <w:rFonts w:ascii="Times New Roman" w:hAnsi="Times New Roman" w:cs="Times New Roman"/>
          <w:sz w:val="24"/>
          <w:szCs w:val="24"/>
        </w:rPr>
        <w:t>With reference to the Fauna Portfol</w:t>
      </w:r>
      <w:r>
        <w:rPr>
          <w:rFonts w:ascii="Times New Roman" w:hAnsi="Times New Roman" w:cs="Times New Roman"/>
          <w:sz w:val="24"/>
          <w:szCs w:val="24"/>
        </w:rPr>
        <w:t>io,</w:t>
      </w:r>
      <w:r w:rsidRPr="0068531F">
        <w:rPr>
          <w:rFonts w:ascii="Times New Roman" w:hAnsi="Times New Roman" w:cs="Times New Roman"/>
          <w:sz w:val="24"/>
          <w:szCs w:val="24"/>
        </w:rPr>
        <w:t xml:space="preserve"> 50</w:t>
      </w:r>
      <w:r>
        <w:rPr>
          <w:rFonts w:ascii="Times New Roman" w:hAnsi="Times New Roman" w:cs="Times New Roman"/>
          <w:sz w:val="24"/>
          <w:szCs w:val="24"/>
        </w:rPr>
        <w:t>%</w:t>
      </w:r>
      <w:r w:rsidRPr="0068531F">
        <w:rPr>
          <w:rFonts w:ascii="Times New Roman" w:hAnsi="Times New Roman" w:cs="Times New Roman"/>
          <w:sz w:val="24"/>
          <w:szCs w:val="24"/>
        </w:rPr>
        <w:t>, 32</w:t>
      </w:r>
      <w:r>
        <w:rPr>
          <w:rFonts w:ascii="Times New Roman" w:hAnsi="Times New Roman" w:cs="Times New Roman"/>
          <w:sz w:val="24"/>
          <w:szCs w:val="24"/>
        </w:rPr>
        <w:t>%</w:t>
      </w:r>
      <w:r w:rsidRPr="0068531F">
        <w:rPr>
          <w:rFonts w:ascii="Times New Roman" w:hAnsi="Times New Roman" w:cs="Times New Roman"/>
          <w:sz w:val="24"/>
          <w:szCs w:val="24"/>
        </w:rPr>
        <w:t xml:space="preserve"> and 77% of the respondents from UMP,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and </w:t>
      </w:r>
      <w:proofErr w:type="spellStart"/>
      <w:r w:rsidRPr="0068531F">
        <w:rPr>
          <w:rFonts w:ascii="Times New Roman" w:hAnsi="Times New Roman" w:cs="Times New Roman"/>
          <w:sz w:val="24"/>
          <w:szCs w:val="24"/>
        </w:rPr>
        <w:t>Rushinga</w:t>
      </w:r>
      <w:proofErr w:type="spellEnd"/>
      <w:r w:rsidRPr="0068531F">
        <w:rPr>
          <w:rFonts w:ascii="Times New Roman" w:hAnsi="Times New Roman" w:cs="Times New Roman"/>
          <w:sz w:val="24"/>
          <w:szCs w:val="24"/>
        </w:rPr>
        <w:t xml:space="preserve"> respectively, reported elements of insecurity in game farming and several fauna extracts from the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 These results suggest that the devolved user rights to communities under CAMPFIRE principles may be procedural but not substantive. Although </w:t>
      </w:r>
      <w:proofErr w:type="spellStart"/>
      <w:r w:rsidRPr="0068531F">
        <w:rPr>
          <w:rFonts w:ascii="Times New Roman" w:hAnsi="Times New Roman" w:cs="Times New Roman"/>
          <w:sz w:val="24"/>
          <w:szCs w:val="24"/>
        </w:rPr>
        <w:t>Muchapondwa</w:t>
      </w:r>
      <w:proofErr w:type="spellEnd"/>
      <w:r w:rsidRPr="0068531F">
        <w:rPr>
          <w:rFonts w:ascii="Times New Roman" w:hAnsi="Times New Roman" w:cs="Times New Roman"/>
          <w:sz w:val="24"/>
          <w:szCs w:val="24"/>
        </w:rPr>
        <w:t xml:space="preserve"> (2003) noted that, u</w:t>
      </w:r>
      <w:r w:rsidRPr="0068531F">
        <w:rPr>
          <w:rFonts w:ascii="Times New Roman" w:hAnsi="Times New Roman" w:cs="Times New Roman"/>
          <w:color w:val="000000"/>
          <w:sz w:val="24"/>
          <w:szCs w:val="24"/>
        </w:rPr>
        <w:t xml:space="preserve">nder CAMPFIRE, people living in Zimbabwe’s marginalized communal areas essentially claim the same right of proprietorship as private landholders, but through their RDC. These results suggest that the application of such </w:t>
      </w:r>
      <w:r>
        <w:rPr>
          <w:rFonts w:ascii="Times New Roman" w:hAnsi="Times New Roman" w:cs="Times New Roman"/>
          <w:color w:val="000000"/>
          <w:sz w:val="24"/>
          <w:szCs w:val="24"/>
        </w:rPr>
        <w:t>“</w:t>
      </w:r>
      <w:r w:rsidRPr="0068531F">
        <w:rPr>
          <w:rFonts w:ascii="Times New Roman" w:hAnsi="Times New Roman" w:cs="Times New Roman"/>
          <w:color w:val="000000"/>
          <w:sz w:val="24"/>
          <w:szCs w:val="24"/>
        </w:rPr>
        <w:t>technical principles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
      </w:r>
      <w:r w:rsidRPr="0068531F">
        <w:rPr>
          <w:rFonts w:ascii="Times New Roman" w:hAnsi="Times New Roman" w:cs="Times New Roman"/>
          <w:color w:val="000000"/>
          <w:sz w:val="24"/>
          <w:szCs w:val="24"/>
        </w:rPr>
        <w:t xml:space="preserve"> at the grassroots level may be a challenge. </w:t>
      </w:r>
    </w:p>
    <w:p w:rsidR="001F0534" w:rsidRPr="0068531F" w:rsidRDefault="001F0534" w:rsidP="001F0534">
      <w:pPr>
        <w:spacing w:line="480" w:lineRule="auto"/>
        <w:jc w:val="both"/>
        <w:rPr>
          <w:rFonts w:ascii="Times New Roman" w:hAnsi="Times New Roman" w:cs="Times New Roman"/>
          <w:sz w:val="24"/>
          <w:szCs w:val="24"/>
        </w:rPr>
      </w:pPr>
      <w:r w:rsidRPr="0068531F">
        <w:rPr>
          <w:rFonts w:ascii="Times New Roman" w:hAnsi="Times New Roman" w:cs="Times New Roman"/>
          <w:b/>
          <w:sz w:val="24"/>
          <w:szCs w:val="24"/>
        </w:rPr>
        <w:t>Table 4:</w:t>
      </w:r>
      <w:r w:rsidRPr="0068531F">
        <w:rPr>
          <w:rFonts w:ascii="Times New Roman" w:hAnsi="Times New Roman" w:cs="Times New Roman"/>
          <w:sz w:val="24"/>
          <w:szCs w:val="24"/>
        </w:rPr>
        <w:t xml:space="preserve"> Constraints to adaptation choices as reported by respondents</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802"/>
        <w:gridCol w:w="708"/>
        <w:gridCol w:w="709"/>
        <w:gridCol w:w="709"/>
        <w:gridCol w:w="709"/>
        <w:gridCol w:w="708"/>
        <w:gridCol w:w="567"/>
        <w:gridCol w:w="709"/>
        <w:gridCol w:w="567"/>
        <w:gridCol w:w="567"/>
        <w:gridCol w:w="851"/>
      </w:tblGrid>
      <w:tr w:rsidR="001F0534" w:rsidRPr="00D0345A" w:rsidTr="001F0534">
        <w:trPr>
          <w:trHeight w:val="315"/>
        </w:trPr>
        <w:tc>
          <w:tcPr>
            <w:tcW w:w="2802" w:type="dxa"/>
            <w:vMerge w:val="restart"/>
            <w:hideMark/>
          </w:tcPr>
          <w:p w:rsidR="001F0534" w:rsidRDefault="001F0534" w:rsidP="001F0534">
            <w:pPr>
              <w:spacing w:line="360" w:lineRule="auto"/>
              <w:jc w:val="center"/>
              <w:rPr>
                <w:b/>
                <w:bCs/>
                <w:sz w:val="16"/>
                <w:szCs w:val="16"/>
              </w:rPr>
            </w:pPr>
          </w:p>
          <w:p w:rsidR="001F0534" w:rsidRPr="00D0345A" w:rsidRDefault="001F0534" w:rsidP="001F0534">
            <w:pPr>
              <w:spacing w:line="360" w:lineRule="auto"/>
              <w:jc w:val="center"/>
              <w:rPr>
                <w:b/>
                <w:bCs/>
                <w:sz w:val="16"/>
                <w:szCs w:val="16"/>
              </w:rPr>
            </w:pPr>
            <w:r w:rsidRPr="00D0345A">
              <w:rPr>
                <w:b/>
                <w:bCs/>
                <w:sz w:val="16"/>
                <w:szCs w:val="16"/>
              </w:rPr>
              <w:t>Constraints</w:t>
            </w:r>
          </w:p>
        </w:tc>
        <w:tc>
          <w:tcPr>
            <w:tcW w:w="2126" w:type="dxa"/>
            <w:gridSpan w:val="3"/>
            <w:hideMark/>
          </w:tcPr>
          <w:p w:rsidR="001F0534" w:rsidRPr="00D0345A" w:rsidRDefault="001F0534" w:rsidP="001F0534">
            <w:pPr>
              <w:spacing w:line="360" w:lineRule="auto"/>
              <w:jc w:val="center"/>
              <w:rPr>
                <w:b/>
                <w:bCs/>
                <w:sz w:val="16"/>
                <w:szCs w:val="16"/>
              </w:rPr>
            </w:pPr>
            <w:r w:rsidRPr="00D0345A">
              <w:rPr>
                <w:b/>
                <w:bCs/>
                <w:sz w:val="16"/>
                <w:szCs w:val="16"/>
              </w:rPr>
              <w:t>UMP</w:t>
            </w:r>
          </w:p>
        </w:tc>
        <w:tc>
          <w:tcPr>
            <w:tcW w:w="1984" w:type="dxa"/>
            <w:gridSpan w:val="3"/>
            <w:hideMark/>
          </w:tcPr>
          <w:p w:rsidR="001F0534" w:rsidRPr="00D0345A" w:rsidRDefault="001F0534" w:rsidP="001F0534">
            <w:pPr>
              <w:spacing w:line="360" w:lineRule="auto"/>
              <w:jc w:val="center"/>
              <w:rPr>
                <w:b/>
                <w:bCs/>
                <w:sz w:val="16"/>
                <w:szCs w:val="16"/>
              </w:rPr>
            </w:pPr>
            <w:proofErr w:type="spellStart"/>
            <w:r w:rsidRPr="00D0345A">
              <w:rPr>
                <w:b/>
                <w:bCs/>
                <w:sz w:val="16"/>
                <w:szCs w:val="16"/>
              </w:rPr>
              <w:t>Mudzi</w:t>
            </w:r>
            <w:proofErr w:type="spellEnd"/>
          </w:p>
        </w:tc>
        <w:tc>
          <w:tcPr>
            <w:tcW w:w="1843" w:type="dxa"/>
            <w:gridSpan w:val="3"/>
            <w:hideMark/>
          </w:tcPr>
          <w:p w:rsidR="001F0534" w:rsidRPr="00D0345A" w:rsidRDefault="001F0534" w:rsidP="001F0534">
            <w:pPr>
              <w:spacing w:line="360" w:lineRule="auto"/>
              <w:jc w:val="center"/>
              <w:rPr>
                <w:b/>
                <w:bCs/>
                <w:sz w:val="16"/>
                <w:szCs w:val="16"/>
              </w:rPr>
            </w:pPr>
            <w:proofErr w:type="spellStart"/>
            <w:r w:rsidRPr="00D0345A">
              <w:rPr>
                <w:b/>
                <w:bCs/>
                <w:sz w:val="16"/>
                <w:szCs w:val="16"/>
              </w:rPr>
              <w:t>Rushinga</w:t>
            </w:r>
            <w:proofErr w:type="spellEnd"/>
          </w:p>
        </w:tc>
        <w:tc>
          <w:tcPr>
            <w:tcW w:w="851" w:type="dxa"/>
            <w:vMerge w:val="restart"/>
            <w:hideMark/>
          </w:tcPr>
          <w:p w:rsidR="001F0534" w:rsidRPr="00D0345A" w:rsidRDefault="001F0534" w:rsidP="001F0534">
            <w:pPr>
              <w:spacing w:line="360" w:lineRule="auto"/>
              <w:jc w:val="center"/>
              <w:rPr>
                <w:b/>
                <w:bCs/>
                <w:sz w:val="16"/>
                <w:szCs w:val="16"/>
              </w:rPr>
            </w:pPr>
            <w:r w:rsidRPr="00553933">
              <w:rPr>
                <w:b/>
                <w:bCs/>
                <w:sz w:val="12"/>
                <w:szCs w:val="16"/>
              </w:rPr>
              <w:t>Average % share of constraints  across</w:t>
            </w:r>
            <w:r>
              <w:rPr>
                <w:b/>
                <w:bCs/>
                <w:sz w:val="12"/>
                <w:szCs w:val="16"/>
              </w:rPr>
              <w:t xml:space="preserve"> all </w:t>
            </w:r>
            <w:r>
              <w:rPr>
                <w:b/>
                <w:bCs/>
                <w:sz w:val="12"/>
                <w:szCs w:val="16"/>
              </w:rPr>
              <w:lastRenderedPageBreak/>
              <w:t>districts and portfolios</w:t>
            </w:r>
          </w:p>
        </w:tc>
      </w:tr>
      <w:tr w:rsidR="001F0534" w:rsidRPr="00D0345A" w:rsidTr="001F0534">
        <w:trPr>
          <w:trHeight w:val="315"/>
        </w:trPr>
        <w:tc>
          <w:tcPr>
            <w:tcW w:w="2802" w:type="dxa"/>
            <w:vMerge/>
            <w:hideMark/>
          </w:tcPr>
          <w:p w:rsidR="001F0534" w:rsidRPr="00D0345A" w:rsidRDefault="001F0534" w:rsidP="001F0534">
            <w:pPr>
              <w:spacing w:line="360" w:lineRule="auto"/>
              <w:jc w:val="center"/>
              <w:rPr>
                <w:b/>
                <w:bCs/>
                <w:sz w:val="16"/>
                <w:szCs w:val="16"/>
              </w:rPr>
            </w:pPr>
          </w:p>
        </w:tc>
        <w:tc>
          <w:tcPr>
            <w:tcW w:w="708" w:type="dxa"/>
            <w:shd w:val="clear" w:color="auto" w:fill="D9D9D9" w:themeFill="background1" w:themeFillShade="D9"/>
            <w:hideMark/>
          </w:tcPr>
          <w:p w:rsidR="001F0534" w:rsidRPr="00581472" w:rsidRDefault="001F0534" w:rsidP="001F0534">
            <w:pPr>
              <w:spacing w:line="360" w:lineRule="auto"/>
              <w:jc w:val="center"/>
              <w:rPr>
                <w:b/>
                <w:sz w:val="16"/>
                <w:szCs w:val="16"/>
              </w:rPr>
            </w:pPr>
            <w:r w:rsidRPr="00581472">
              <w:rPr>
                <w:b/>
                <w:sz w:val="16"/>
                <w:szCs w:val="16"/>
              </w:rPr>
              <w:t>Fauna</w:t>
            </w:r>
          </w:p>
        </w:tc>
        <w:tc>
          <w:tcPr>
            <w:tcW w:w="709" w:type="dxa"/>
            <w:hideMark/>
          </w:tcPr>
          <w:p w:rsidR="001F0534" w:rsidRPr="00D0345A" w:rsidRDefault="001F0534" w:rsidP="001F0534">
            <w:pPr>
              <w:spacing w:line="360" w:lineRule="auto"/>
              <w:jc w:val="center"/>
              <w:rPr>
                <w:b/>
                <w:sz w:val="16"/>
                <w:szCs w:val="16"/>
              </w:rPr>
            </w:pPr>
            <w:r w:rsidRPr="00D0345A">
              <w:rPr>
                <w:b/>
                <w:sz w:val="16"/>
                <w:szCs w:val="16"/>
              </w:rPr>
              <w:t>Flora</w:t>
            </w:r>
          </w:p>
        </w:tc>
        <w:tc>
          <w:tcPr>
            <w:tcW w:w="709" w:type="dxa"/>
            <w:hideMark/>
          </w:tcPr>
          <w:p w:rsidR="001F0534" w:rsidRPr="00D0345A" w:rsidRDefault="001F0534" w:rsidP="001F0534">
            <w:pPr>
              <w:spacing w:line="360" w:lineRule="auto"/>
              <w:jc w:val="center"/>
              <w:rPr>
                <w:b/>
                <w:sz w:val="16"/>
                <w:szCs w:val="16"/>
              </w:rPr>
            </w:pPr>
            <w:r w:rsidRPr="00D0345A">
              <w:rPr>
                <w:b/>
                <w:sz w:val="16"/>
                <w:szCs w:val="16"/>
              </w:rPr>
              <w:t>Min</w:t>
            </w:r>
          </w:p>
        </w:tc>
        <w:tc>
          <w:tcPr>
            <w:tcW w:w="709" w:type="dxa"/>
            <w:shd w:val="clear" w:color="auto" w:fill="D9D9D9" w:themeFill="background1" w:themeFillShade="D9"/>
            <w:hideMark/>
          </w:tcPr>
          <w:p w:rsidR="001F0534" w:rsidRPr="00581472" w:rsidRDefault="001F0534" w:rsidP="001F0534">
            <w:pPr>
              <w:spacing w:line="360" w:lineRule="auto"/>
              <w:jc w:val="center"/>
              <w:rPr>
                <w:b/>
                <w:sz w:val="16"/>
                <w:szCs w:val="16"/>
              </w:rPr>
            </w:pPr>
            <w:r w:rsidRPr="00581472">
              <w:rPr>
                <w:b/>
                <w:sz w:val="16"/>
                <w:szCs w:val="16"/>
              </w:rPr>
              <w:t>Fauna</w:t>
            </w:r>
          </w:p>
        </w:tc>
        <w:tc>
          <w:tcPr>
            <w:tcW w:w="708" w:type="dxa"/>
            <w:hideMark/>
          </w:tcPr>
          <w:p w:rsidR="001F0534" w:rsidRPr="00D0345A" w:rsidRDefault="001F0534" w:rsidP="001F0534">
            <w:pPr>
              <w:spacing w:line="360" w:lineRule="auto"/>
              <w:jc w:val="center"/>
              <w:rPr>
                <w:b/>
                <w:sz w:val="16"/>
                <w:szCs w:val="16"/>
              </w:rPr>
            </w:pPr>
            <w:r w:rsidRPr="00D0345A">
              <w:rPr>
                <w:b/>
                <w:sz w:val="16"/>
                <w:szCs w:val="16"/>
              </w:rPr>
              <w:t>Flora</w:t>
            </w:r>
          </w:p>
        </w:tc>
        <w:tc>
          <w:tcPr>
            <w:tcW w:w="567" w:type="dxa"/>
            <w:hideMark/>
          </w:tcPr>
          <w:p w:rsidR="001F0534" w:rsidRPr="00D0345A" w:rsidRDefault="001F0534" w:rsidP="001F0534">
            <w:pPr>
              <w:spacing w:line="360" w:lineRule="auto"/>
              <w:jc w:val="center"/>
              <w:rPr>
                <w:b/>
                <w:sz w:val="16"/>
                <w:szCs w:val="16"/>
              </w:rPr>
            </w:pPr>
            <w:r w:rsidRPr="00D0345A">
              <w:rPr>
                <w:b/>
                <w:sz w:val="16"/>
                <w:szCs w:val="16"/>
              </w:rPr>
              <w:t>Min</w:t>
            </w:r>
          </w:p>
        </w:tc>
        <w:tc>
          <w:tcPr>
            <w:tcW w:w="709" w:type="dxa"/>
            <w:shd w:val="clear" w:color="auto" w:fill="D9D9D9" w:themeFill="background1" w:themeFillShade="D9"/>
            <w:hideMark/>
          </w:tcPr>
          <w:p w:rsidR="001F0534" w:rsidRPr="00581472" w:rsidRDefault="001F0534" w:rsidP="001F0534">
            <w:pPr>
              <w:spacing w:line="360" w:lineRule="auto"/>
              <w:jc w:val="center"/>
              <w:rPr>
                <w:b/>
                <w:sz w:val="16"/>
                <w:szCs w:val="16"/>
              </w:rPr>
            </w:pPr>
            <w:r w:rsidRPr="00581472">
              <w:rPr>
                <w:b/>
                <w:sz w:val="16"/>
                <w:szCs w:val="16"/>
              </w:rPr>
              <w:t>Fauna</w:t>
            </w:r>
          </w:p>
        </w:tc>
        <w:tc>
          <w:tcPr>
            <w:tcW w:w="567" w:type="dxa"/>
            <w:hideMark/>
          </w:tcPr>
          <w:p w:rsidR="001F0534" w:rsidRPr="00D0345A" w:rsidRDefault="001F0534" w:rsidP="001F0534">
            <w:pPr>
              <w:spacing w:line="360" w:lineRule="auto"/>
              <w:jc w:val="center"/>
              <w:rPr>
                <w:b/>
                <w:sz w:val="16"/>
                <w:szCs w:val="16"/>
              </w:rPr>
            </w:pPr>
            <w:r w:rsidRPr="00D0345A">
              <w:rPr>
                <w:b/>
                <w:sz w:val="16"/>
                <w:szCs w:val="16"/>
              </w:rPr>
              <w:t>Flora</w:t>
            </w:r>
          </w:p>
        </w:tc>
        <w:tc>
          <w:tcPr>
            <w:tcW w:w="567" w:type="dxa"/>
            <w:hideMark/>
          </w:tcPr>
          <w:p w:rsidR="001F0534" w:rsidRPr="00D0345A" w:rsidRDefault="001F0534" w:rsidP="001F0534">
            <w:pPr>
              <w:spacing w:line="360" w:lineRule="auto"/>
              <w:jc w:val="center"/>
              <w:rPr>
                <w:b/>
                <w:sz w:val="16"/>
                <w:szCs w:val="16"/>
              </w:rPr>
            </w:pPr>
            <w:r w:rsidRPr="00D0345A">
              <w:rPr>
                <w:b/>
                <w:sz w:val="16"/>
                <w:szCs w:val="16"/>
              </w:rPr>
              <w:t>Min</w:t>
            </w:r>
          </w:p>
        </w:tc>
        <w:tc>
          <w:tcPr>
            <w:tcW w:w="851" w:type="dxa"/>
            <w:vMerge/>
            <w:hideMark/>
          </w:tcPr>
          <w:p w:rsidR="001F0534" w:rsidRPr="00D0345A" w:rsidRDefault="001F0534" w:rsidP="001F0534">
            <w:pPr>
              <w:spacing w:line="360" w:lineRule="auto"/>
              <w:jc w:val="center"/>
              <w:rPr>
                <w:b/>
                <w:bCs/>
                <w:sz w:val="16"/>
                <w:szCs w:val="16"/>
              </w:rPr>
            </w:pPr>
          </w:p>
        </w:tc>
      </w:tr>
      <w:tr w:rsidR="001F0534" w:rsidRPr="00D0345A" w:rsidTr="001F0534">
        <w:trPr>
          <w:trHeight w:val="315"/>
        </w:trPr>
        <w:tc>
          <w:tcPr>
            <w:tcW w:w="2802" w:type="dxa"/>
            <w:vMerge/>
            <w:hideMark/>
          </w:tcPr>
          <w:p w:rsidR="001F0534" w:rsidRPr="00D0345A" w:rsidRDefault="001F0534" w:rsidP="001F0534">
            <w:pPr>
              <w:spacing w:line="360" w:lineRule="auto"/>
              <w:jc w:val="center"/>
              <w:rPr>
                <w:b/>
                <w:bCs/>
                <w:sz w:val="16"/>
                <w:szCs w:val="16"/>
              </w:rPr>
            </w:pPr>
          </w:p>
        </w:tc>
        <w:tc>
          <w:tcPr>
            <w:tcW w:w="5953" w:type="dxa"/>
            <w:gridSpan w:val="9"/>
            <w:hideMark/>
          </w:tcPr>
          <w:p w:rsidR="001F0534" w:rsidRPr="00D0345A" w:rsidRDefault="001F0534" w:rsidP="001F0534">
            <w:pPr>
              <w:spacing w:line="360" w:lineRule="auto"/>
              <w:jc w:val="center"/>
              <w:rPr>
                <w:b/>
                <w:sz w:val="16"/>
                <w:szCs w:val="16"/>
              </w:rPr>
            </w:pPr>
            <w:r>
              <w:rPr>
                <w:b/>
                <w:sz w:val="16"/>
                <w:szCs w:val="16"/>
              </w:rPr>
              <w:t>% of the respondents</w:t>
            </w:r>
          </w:p>
        </w:tc>
        <w:tc>
          <w:tcPr>
            <w:tcW w:w="851" w:type="dxa"/>
            <w:vMerge/>
            <w:hideMark/>
          </w:tcPr>
          <w:p w:rsidR="001F0534" w:rsidRPr="00D0345A" w:rsidRDefault="001F0534" w:rsidP="001F0534">
            <w:pPr>
              <w:spacing w:line="360" w:lineRule="auto"/>
              <w:jc w:val="center"/>
              <w:rPr>
                <w:b/>
                <w:bCs/>
                <w:sz w:val="16"/>
                <w:szCs w:val="16"/>
              </w:rPr>
            </w:pPr>
          </w:p>
        </w:tc>
      </w:tr>
      <w:tr w:rsidR="001F0534" w:rsidRPr="00413E85" w:rsidTr="001F0534">
        <w:trPr>
          <w:trHeight w:val="327"/>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lastRenderedPageBreak/>
              <w:t xml:space="preserve">No constraints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w:t>
            </w:r>
          </w:p>
        </w:tc>
        <w:tc>
          <w:tcPr>
            <w:tcW w:w="709" w:type="dxa"/>
            <w:hideMark/>
          </w:tcPr>
          <w:p w:rsidR="001F0534" w:rsidRPr="00D0345A" w:rsidRDefault="001F0534" w:rsidP="001F0534">
            <w:pPr>
              <w:spacing w:line="360" w:lineRule="auto"/>
              <w:jc w:val="center"/>
              <w:rPr>
                <w:sz w:val="14"/>
                <w:szCs w:val="16"/>
              </w:rPr>
            </w:pPr>
            <w:r w:rsidRPr="00D0345A">
              <w:rPr>
                <w:sz w:val="14"/>
                <w:szCs w:val="16"/>
              </w:rPr>
              <w:t>1</w:t>
            </w:r>
          </w:p>
        </w:tc>
        <w:tc>
          <w:tcPr>
            <w:tcW w:w="709" w:type="dxa"/>
            <w:hideMark/>
          </w:tcPr>
          <w:p w:rsidR="001F0534" w:rsidRPr="00D0345A" w:rsidRDefault="001F0534" w:rsidP="001F0534">
            <w:pPr>
              <w:spacing w:line="360" w:lineRule="auto"/>
              <w:jc w:val="center"/>
              <w:rPr>
                <w:sz w:val="14"/>
                <w:szCs w:val="16"/>
              </w:rPr>
            </w:pPr>
            <w:r w:rsidRPr="00D0345A">
              <w:rPr>
                <w:sz w:val="14"/>
                <w:szCs w:val="16"/>
              </w:rPr>
              <w:t>2</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w:t>
            </w:r>
          </w:p>
        </w:tc>
        <w:tc>
          <w:tcPr>
            <w:tcW w:w="708" w:type="dxa"/>
            <w:hideMark/>
          </w:tcPr>
          <w:p w:rsidR="001F0534" w:rsidRPr="00D0345A" w:rsidRDefault="001F0534" w:rsidP="001F0534">
            <w:pPr>
              <w:spacing w:line="360" w:lineRule="auto"/>
              <w:jc w:val="center"/>
              <w:rPr>
                <w:sz w:val="14"/>
                <w:szCs w:val="16"/>
              </w:rPr>
            </w:pPr>
            <w:r w:rsidRPr="00D0345A">
              <w:rPr>
                <w:sz w:val="14"/>
                <w:szCs w:val="16"/>
              </w:rPr>
              <w:t>2</w:t>
            </w:r>
          </w:p>
        </w:tc>
        <w:tc>
          <w:tcPr>
            <w:tcW w:w="567" w:type="dxa"/>
            <w:hideMark/>
          </w:tcPr>
          <w:p w:rsidR="001F0534" w:rsidRPr="00D0345A" w:rsidRDefault="001F0534" w:rsidP="001F0534">
            <w:pPr>
              <w:spacing w:line="360" w:lineRule="auto"/>
              <w:jc w:val="center"/>
              <w:rPr>
                <w:sz w:val="14"/>
                <w:szCs w:val="16"/>
              </w:rPr>
            </w:pPr>
            <w:r w:rsidRPr="00D0345A">
              <w:rPr>
                <w:sz w:val="14"/>
                <w:szCs w:val="16"/>
              </w:rPr>
              <w:t>1</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2</w:t>
            </w:r>
          </w:p>
        </w:tc>
        <w:tc>
          <w:tcPr>
            <w:tcW w:w="567" w:type="dxa"/>
            <w:hideMark/>
          </w:tcPr>
          <w:p w:rsidR="001F0534" w:rsidRPr="00D0345A" w:rsidRDefault="001F0534" w:rsidP="001F0534">
            <w:pPr>
              <w:spacing w:line="360" w:lineRule="auto"/>
              <w:jc w:val="center"/>
              <w:rPr>
                <w:sz w:val="14"/>
                <w:szCs w:val="16"/>
              </w:rPr>
            </w:pPr>
            <w:r w:rsidRPr="00D0345A">
              <w:rPr>
                <w:sz w:val="14"/>
                <w:szCs w:val="16"/>
              </w:rPr>
              <w:t>3</w:t>
            </w:r>
          </w:p>
        </w:tc>
        <w:tc>
          <w:tcPr>
            <w:tcW w:w="567" w:type="dxa"/>
            <w:hideMark/>
          </w:tcPr>
          <w:p w:rsidR="001F0534" w:rsidRPr="00D0345A" w:rsidRDefault="001F0534" w:rsidP="001F0534">
            <w:pPr>
              <w:spacing w:line="360" w:lineRule="auto"/>
              <w:jc w:val="center"/>
              <w:rPr>
                <w:sz w:val="14"/>
                <w:szCs w:val="16"/>
              </w:rPr>
            </w:pPr>
            <w:r w:rsidRPr="00D0345A">
              <w:rPr>
                <w:sz w:val="14"/>
                <w:szCs w:val="16"/>
              </w:rPr>
              <w:t>1</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1.56</w:t>
            </w:r>
          </w:p>
        </w:tc>
      </w:tr>
      <w:tr w:rsidR="001F0534" w:rsidRPr="00413E85" w:rsidTr="001F0534">
        <w:trPr>
          <w:trHeight w:val="277"/>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Restrictive policies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60</w:t>
            </w:r>
          </w:p>
        </w:tc>
        <w:tc>
          <w:tcPr>
            <w:tcW w:w="709" w:type="dxa"/>
            <w:hideMark/>
          </w:tcPr>
          <w:p w:rsidR="001F0534" w:rsidRPr="00D0345A" w:rsidRDefault="001F0534" w:rsidP="001F0534">
            <w:pPr>
              <w:spacing w:line="360" w:lineRule="auto"/>
              <w:jc w:val="center"/>
              <w:rPr>
                <w:sz w:val="14"/>
                <w:szCs w:val="16"/>
              </w:rPr>
            </w:pPr>
            <w:r w:rsidRPr="00D0345A">
              <w:rPr>
                <w:sz w:val="14"/>
                <w:szCs w:val="16"/>
              </w:rPr>
              <w:t>74</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54</w:t>
            </w:r>
          </w:p>
        </w:tc>
        <w:tc>
          <w:tcPr>
            <w:tcW w:w="567" w:type="dxa"/>
            <w:hideMark/>
          </w:tcPr>
          <w:p w:rsidR="001F0534" w:rsidRPr="00D0345A" w:rsidRDefault="001F0534" w:rsidP="001F0534">
            <w:pPr>
              <w:spacing w:line="360" w:lineRule="auto"/>
              <w:jc w:val="center"/>
              <w:rPr>
                <w:sz w:val="14"/>
                <w:szCs w:val="16"/>
              </w:rPr>
            </w:pPr>
            <w:r w:rsidRPr="00D0345A">
              <w:rPr>
                <w:sz w:val="14"/>
                <w:szCs w:val="16"/>
              </w:rPr>
              <w:t>78</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56</w:t>
            </w:r>
          </w:p>
        </w:tc>
        <w:tc>
          <w:tcPr>
            <w:tcW w:w="567" w:type="dxa"/>
            <w:hideMark/>
          </w:tcPr>
          <w:p w:rsidR="001F0534" w:rsidRPr="00D0345A" w:rsidRDefault="001F0534" w:rsidP="001F0534">
            <w:pPr>
              <w:spacing w:line="360" w:lineRule="auto"/>
              <w:jc w:val="center"/>
              <w:rPr>
                <w:sz w:val="14"/>
                <w:szCs w:val="16"/>
              </w:rPr>
            </w:pPr>
            <w:r w:rsidRPr="00D0345A">
              <w:rPr>
                <w:sz w:val="14"/>
                <w:szCs w:val="16"/>
              </w:rPr>
              <w:t>78</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44.44</w:t>
            </w:r>
          </w:p>
        </w:tc>
      </w:tr>
      <w:tr w:rsidR="001F0534" w:rsidRPr="00413E85" w:rsidTr="001F0534">
        <w:trPr>
          <w:trHeight w:val="227"/>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Lack of knowledge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10</w:t>
            </w:r>
          </w:p>
        </w:tc>
        <w:tc>
          <w:tcPr>
            <w:tcW w:w="709" w:type="dxa"/>
            <w:hideMark/>
          </w:tcPr>
          <w:p w:rsidR="001F0534" w:rsidRPr="00D0345A" w:rsidRDefault="001F0534" w:rsidP="001F0534">
            <w:pPr>
              <w:spacing w:line="360" w:lineRule="auto"/>
              <w:jc w:val="center"/>
              <w:rPr>
                <w:sz w:val="14"/>
                <w:szCs w:val="16"/>
              </w:rPr>
            </w:pPr>
            <w:r w:rsidRPr="00D0345A">
              <w:rPr>
                <w:sz w:val="14"/>
                <w:szCs w:val="16"/>
              </w:rPr>
              <w:t>35</w:t>
            </w:r>
          </w:p>
        </w:tc>
        <w:tc>
          <w:tcPr>
            <w:tcW w:w="709" w:type="dxa"/>
            <w:hideMark/>
          </w:tcPr>
          <w:p w:rsidR="001F0534" w:rsidRPr="00D0345A" w:rsidRDefault="001F0534" w:rsidP="001F0534">
            <w:pPr>
              <w:spacing w:line="360" w:lineRule="auto"/>
              <w:jc w:val="center"/>
              <w:rPr>
                <w:sz w:val="14"/>
                <w:szCs w:val="16"/>
              </w:rPr>
            </w:pPr>
            <w:r w:rsidRPr="00D0345A">
              <w:rPr>
                <w:sz w:val="14"/>
                <w:szCs w:val="16"/>
              </w:rPr>
              <w:t>17</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5</w:t>
            </w:r>
          </w:p>
        </w:tc>
        <w:tc>
          <w:tcPr>
            <w:tcW w:w="708" w:type="dxa"/>
            <w:hideMark/>
          </w:tcPr>
          <w:p w:rsidR="001F0534" w:rsidRPr="00D0345A" w:rsidRDefault="001F0534" w:rsidP="001F0534">
            <w:pPr>
              <w:spacing w:line="360" w:lineRule="auto"/>
              <w:jc w:val="center"/>
              <w:rPr>
                <w:sz w:val="14"/>
                <w:szCs w:val="16"/>
              </w:rPr>
            </w:pPr>
            <w:r w:rsidRPr="00D0345A">
              <w:rPr>
                <w:sz w:val="14"/>
                <w:szCs w:val="16"/>
              </w:rPr>
              <w:t>20</w:t>
            </w:r>
          </w:p>
        </w:tc>
        <w:tc>
          <w:tcPr>
            <w:tcW w:w="567" w:type="dxa"/>
            <w:hideMark/>
          </w:tcPr>
          <w:p w:rsidR="001F0534" w:rsidRPr="00D0345A" w:rsidRDefault="001F0534" w:rsidP="001F0534">
            <w:pPr>
              <w:spacing w:line="360" w:lineRule="auto"/>
              <w:jc w:val="center"/>
              <w:rPr>
                <w:sz w:val="14"/>
                <w:szCs w:val="16"/>
              </w:rPr>
            </w:pPr>
            <w:r w:rsidRPr="00D0345A">
              <w:rPr>
                <w:sz w:val="14"/>
                <w:szCs w:val="16"/>
              </w:rPr>
              <w:t>74</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w:t>
            </w:r>
          </w:p>
        </w:tc>
        <w:tc>
          <w:tcPr>
            <w:tcW w:w="567" w:type="dxa"/>
            <w:hideMark/>
          </w:tcPr>
          <w:p w:rsidR="001F0534" w:rsidRPr="00D0345A" w:rsidRDefault="001F0534" w:rsidP="001F0534">
            <w:pPr>
              <w:spacing w:line="360" w:lineRule="auto"/>
              <w:jc w:val="center"/>
              <w:rPr>
                <w:sz w:val="14"/>
                <w:szCs w:val="16"/>
              </w:rPr>
            </w:pPr>
            <w:r w:rsidRPr="00D0345A">
              <w:rPr>
                <w:sz w:val="14"/>
                <w:szCs w:val="16"/>
              </w:rPr>
              <w:t>56</w:t>
            </w:r>
          </w:p>
        </w:tc>
        <w:tc>
          <w:tcPr>
            <w:tcW w:w="567" w:type="dxa"/>
            <w:hideMark/>
          </w:tcPr>
          <w:p w:rsidR="001F0534" w:rsidRPr="00D0345A" w:rsidRDefault="001F0534" w:rsidP="001F0534">
            <w:pPr>
              <w:spacing w:line="360" w:lineRule="auto"/>
              <w:jc w:val="center"/>
              <w:rPr>
                <w:sz w:val="14"/>
                <w:szCs w:val="16"/>
              </w:rPr>
            </w:pPr>
            <w:r w:rsidRPr="00D0345A">
              <w:rPr>
                <w:sz w:val="14"/>
                <w:szCs w:val="16"/>
              </w:rPr>
              <w:t>82</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34.00</w:t>
            </w:r>
          </w:p>
        </w:tc>
      </w:tr>
      <w:tr w:rsidR="001F0534" w:rsidRPr="00413E85" w:rsidTr="001F0534">
        <w:trPr>
          <w:trHeight w:val="319"/>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Lack of credit to kick-start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8</w:t>
            </w:r>
          </w:p>
        </w:tc>
        <w:tc>
          <w:tcPr>
            <w:tcW w:w="709" w:type="dxa"/>
            <w:hideMark/>
          </w:tcPr>
          <w:p w:rsidR="001F0534" w:rsidRPr="00D0345A" w:rsidRDefault="001F0534" w:rsidP="001F0534">
            <w:pPr>
              <w:spacing w:line="360" w:lineRule="auto"/>
              <w:jc w:val="center"/>
              <w:rPr>
                <w:sz w:val="14"/>
                <w:szCs w:val="16"/>
              </w:rPr>
            </w:pPr>
            <w:r w:rsidRPr="00D0345A">
              <w:rPr>
                <w:sz w:val="14"/>
                <w:szCs w:val="16"/>
              </w:rPr>
              <w:t>66</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32</w:t>
            </w:r>
          </w:p>
        </w:tc>
        <w:tc>
          <w:tcPr>
            <w:tcW w:w="567" w:type="dxa"/>
            <w:hideMark/>
          </w:tcPr>
          <w:p w:rsidR="001F0534" w:rsidRPr="00D0345A" w:rsidRDefault="001F0534" w:rsidP="001F0534">
            <w:pPr>
              <w:spacing w:line="360" w:lineRule="auto"/>
              <w:jc w:val="center"/>
              <w:rPr>
                <w:sz w:val="14"/>
                <w:szCs w:val="16"/>
              </w:rPr>
            </w:pPr>
            <w:r w:rsidRPr="00D0345A">
              <w:rPr>
                <w:sz w:val="14"/>
                <w:szCs w:val="16"/>
              </w:rPr>
              <w:t>54</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21</w:t>
            </w:r>
          </w:p>
        </w:tc>
        <w:tc>
          <w:tcPr>
            <w:tcW w:w="567" w:type="dxa"/>
            <w:hideMark/>
          </w:tcPr>
          <w:p w:rsidR="001F0534" w:rsidRPr="00D0345A" w:rsidRDefault="001F0534" w:rsidP="001F0534">
            <w:pPr>
              <w:spacing w:line="360" w:lineRule="auto"/>
              <w:jc w:val="center"/>
              <w:rPr>
                <w:sz w:val="14"/>
                <w:szCs w:val="16"/>
              </w:rPr>
            </w:pPr>
            <w:r w:rsidRPr="00D0345A">
              <w:rPr>
                <w:sz w:val="14"/>
                <w:szCs w:val="16"/>
              </w:rPr>
              <w:t>67</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27.56</w:t>
            </w:r>
          </w:p>
        </w:tc>
      </w:tr>
      <w:tr w:rsidR="001F0534" w:rsidRPr="00581472" w:rsidTr="001F0534">
        <w:trPr>
          <w:trHeight w:val="329"/>
        </w:trPr>
        <w:tc>
          <w:tcPr>
            <w:tcW w:w="2802" w:type="dxa"/>
            <w:shd w:val="clear" w:color="auto" w:fill="D9D9D9" w:themeFill="background1" w:themeFillShade="D9"/>
            <w:hideMark/>
          </w:tcPr>
          <w:p w:rsidR="001F0534" w:rsidRPr="00581472" w:rsidRDefault="001F0534" w:rsidP="00AE25FC">
            <w:pPr>
              <w:numPr>
                <w:ilvl w:val="0"/>
                <w:numId w:val="6"/>
              </w:numPr>
              <w:spacing w:line="360" w:lineRule="auto"/>
              <w:jc w:val="both"/>
              <w:rPr>
                <w:sz w:val="16"/>
                <w:szCs w:val="16"/>
              </w:rPr>
            </w:pPr>
            <w:r w:rsidRPr="00581472">
              <w:rPr>
                <w:sz w:val="16"/>
                <w:szCs w:val="16"/>
              </w:rPr>
              <w:t xml:space="preserve">Lack of formal market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45</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90</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77</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85</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89</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100</w:t>
            </w:r>
          </w:p>
        </w:tc>
        <w:tc>
          <w:tcPr>
            <w:tcW w:w="851" w:type="dxa"/>
            <w:shd w:val="clear" w:color="auto" w:fill="D9D9D9" w:themeFill="background1" w:themeFillShade="D9"/>
            <w:hideMark/>
          </w:tcPr>
          <w:p w:rsidR="001F0534" w:rsidRPr="00581472" w:rsidRDefault="001F0534" w:rsidP="001F0534">
            <w:pPr>
              <w:spacing w:line="360" w:lineRule="auto"/>
              <w:jc w:val="center"/>
              <w:rPr>
                <w:b/>
                <w:sz w:val="16"/>
                <w:szCs w:val="16"/>
              </w:rPr>
            </w:pPr>
            <w:r w:rsidRPr="00581472">
              <w:rPr>
                <w:b/>
                <w:sz w:val="16"/>
                <w:szCs w:val="16"/>
              </w:rPr>
              <w:t>54.00</w:t>
            </w:r>
          </w:p>
        </w:tc>
      </w:tr>
      <w:tr w:rsidR="001F0534" w:rsidRPr="00413E85" w:rsidTr="001F0534">
        <w:trPr>
          <w:trHeight w:val="315"/>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Low returns</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86</w:t>
            </w:r>
          </w:p>
        </w:tc>
        <w:tc>
          <w:tcPr>
            <w:tcW w:w="709" w:type="dxa"/>
            <w:hideMark/>
          </w:tcPr>
          <w:p w:rsidR="001F0534" w:rsidRPr="00D0345A" w:rsidRDefault="001F0534" w:rsidP="001F0534">
            <w:pPr>
              <w:spacing w:line="360" w:lineRule="auto"/>
              <w:jc w:val="center"/>
              <w:rPr>
                <w:sz w:val="14"/>
                <w:szCs w:val="16"/>
              </w:rPr>
            </w:pPr>
            <w:r w:rsidRPr="00D0345A">
              <w:rPr>
                <w:sz w:val="14"/>
                <w:szCs w:val="16"/>
              </w:rPr>
              <w:t>11</w:t>
            </w:r>
          </w:p>
        </w:tc>
        <w:tc>
          <w:tcPr>
            <w:tcW w:w="709" w:type="dxa"/>
            <w:hideMark/>
          </w:tcPr>
          <w:p w:rsidR="001F0534" w:rsidRPr="00D0345A" w:rsidRDefault="001F0534" w:rsidP="001F0534">
            <w:pPr>
              <w:spacing w:line="360" w:lineRule="auto"/>
              <w:jc w:val="center"/>
              <w:rPr>
                <w:sz w:val="14"/>
                <w:szCs w:val="16"/>
              </w:rPr>
            </w:pPr>
            <w:r w:rsidRPr="00D0345A">
              <w:rPr>
                <w:sz w:val="14"/>
                <w:szCs w:val="16"/>
              </w:rPr>
              <w:t>8</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75</w:t>
            </w:r>
          </w:p>
        </w:tc>
        <w:tc>
          <w:tcPr>
            <w:tcW w:w="708" w:type="dxa"/>
            <w:hideMark/>
          </w:tcPr>
          <w:p w:rsidR="001F0534" w:rsidRPr="00D0345A" w:rsidRDefault="001F0534" w:rsidP="001F0534">
            <w:pPr>
              <w:spacing w:line="360" w:lineRule="auto"/>
              <w:jc w:val="center"/>
              <w:rPr>
                <w:sz w:val="14"/>
                <w:szCs w:val="16"/>
              </w:rPr>
            </w:pPr>
            <w:r w:rsidRPr="00D0345A">
              <w:rPr>
                <w:sz w:val="14"/>
                <w:szCs w:val="16"/>
              </w:rPr>
              <w:t>23</w:t>
            </w:r>
          </w:p>
        </w:tc>
        <w:tc>
          <w:tcPr>
            <w:tcW w:w="567" w:type="dxa"/>
            <w:hideMark/>
          </w:tcPr>
          <w:p w:rsidR="001F0534" w:rsidRPr="00D0345A" w:rsidRDefault="001F0534" w:rsidP="001F0534">
            <w:pPr>
              <w:spacing w:line="360" w:lineRule="auto"/>
              <w:jc w:val="center"/>
              <w:rPr>
                <w:sz w:val="14"/>
                <w:szCs w:val="16"/>
              </w:rPr>
            </w:pPr>
            <w:r w:rsidRPr="00D0345A">
              <w:rPr>
                <w:sz w:val="14"/>
                <w:szCs w:val="16"/>
              </w:rPr>
              <w:t>13</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98</w:t>
            </w:r>
          </w:p>
        </w:tc>
        <w:tc>
          <w:tcPr>
            <w:tcW w:w="567" w:type="dxa"/>
            <w:hideMark/>
          </w:tcPr>
          <w:p w:rsidR="001F0534" w:rsidRPr="00D0345A" w:rsidRDefault="001F0534" w:rsidP="001F0534">
            <w:pPr>
              <w:spacing w:line="360" w:lineRule="auto"/>
              <w:jc w:val="center"/>
              <w:rPr>
                <w:sz w:val="14"/>
                <w:szCs w:val="16"/>
              </w:rPr>
            </w:pPr>
            <w:r w:rsidRPr="00D0345A">
              <w:rPr>
                <w:sz w:val="14"/>
                <w:szCs w:val="16"/>
              </w:rPr>
              <w:t>14</w:t>
            </w:r>
          </w:p>
        </w:tc>
        <w:tc>
          <w:tcPr>
            <w:tcW w:w="567" w:type="dxa"/>
            <w:hideMark/>
          </w:tcPr>
          <w:p w:rsidR="001F0534" w:rsidRPr="00D0345A" w:rsidRDefault="001F0534" w:rsidP="001F0534">
            <w:pPr>
              <w:spacing w:line="360" w:lineRule="auto"/>
              <w:jc w:val="center"/>
              <w:rPr>
                <w:sz w:val="14"/>
                <w:szCs w:val="16"/>
              </w:rPr>
            </w:pPr>
            <w:r w:rsidRPr="00D0345A">
              <w:rPr>
                <w:sz w:val="14"/>
                <w:szCs w:val="16"/>
              </w:rPr>
              <w:t>13</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37.89</w:t>
            </w:r>
          </w:p>
        </w:tc>
      </w:tr>
      <w:tr w:rsidR="001F0534" w:rsidRPr="00413E85" w:rsidTr="001F0534">
        <w:trPr>
          <w:trHeight w:val="300"/>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Limited extractable area</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98</w:t>
            </w:r>
          </w:p>
        </w:tc>
        <w:tc>
          <w:tcPr>
            <w:tcW w:w="709" w:type="dxa"/>
            <w:hideMark/>
          </w:tcPr>
          <w:p w:rsidR="001F0534" w:rsidRPr="00D0345A" w:rsidRDefault="001F0534" w:rsidP="001F0534">
            <w:pPr>
              <w:spacing w:line="360" w:lineRule="auto"/>
              <w:jc w:val="center"/>
              <w:rPr>
                <w:sz w:val="14"/>
                <w:szCs w:val="16"/>
              </w:rPr>
            </w:pPr>
            <w:r w:rsidRPr="00D0345A">
              <w:rPr>
                <w:sz w:val="14"/>
                <w:szCs w:val="16"/>
              </w:rPr>
              <w:t>43</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73</w:t>
            </w:r>
          </w:p>
        </w:tc>
        <w:tc>
          <w:tcPr>
            <w:tcW w:w="567" w:type="dxa"/>
            <w:hideMark/>
          </w:tcPr>
          <w:p w:rsidR="001F0534" w:rsidRPr="00D0345A" w:rsidRDefault="001F0534" w:rsidP="001F0534">
            <w:pPr>
              <w:spacing w:line="360" w:lineRule="auto"/>
              <w:jc w:val="center"/>
              <w:rPr>
                <w:sz w:val="14"/>
                <w:szCs w:val="16"/>
              </w:rPr>
            </w:pPr>
            <w:r w:rsidRPr="00D0345A">
              <w:rPr>
                <w:sz w:val="14"/>
                <w:szCs w:val="16"/>
              </w:rPr>
              <w:t>27</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81</w:t>
            </w:r>
          </w:p>
        </w:tc>
        <w:tc>
          <w:tcPr>
            <w:tcW w:w="567" w:type="dxa"/>
            <w:hideMark/>
          </w:tcPr>
          <w:p w:rsidR="001F0534" w:rsidRPr="00D0345A" w:rsidRDefault="001F0534" w:rsidP="001F0534">
            <w:pPr>
              <w:spacing w:line="360" w:lineRule="auto"/>
              <w:jc w:val="center"/>
              <w:rPr>
                <w:sz w:val="14"/>
                <w:szCs w:val="16"/>
              </w:rPr>
            </w:pPr>
            <w:r w:rsidRPr="00D0345A">
              <w:rPr>
                <w:sz w:val="14"/>
                <w:szCs w:val="16"/>
              </w:rPr>
              <w:t>52</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41.56</w:t>
            </w:r>
          </w:p>
        </w:tc>
      </w:tr>
      <w:tr w:rsidR="001F0534" w:rsidRPr="00413E85" w:rsidTr="001F0534">
        <w:trPr>
          <w:trHeight w:val="315"/>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High risk</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2</w:t>
            </w:r>
          </w:p>
        </w:tc>
        <w:tc>
          <w:tcPr>
            <w:tcW w:w="709" w:type="dxa"/>
            <w:hideMark/>
          </w:tcPr>
          <w:p w:rsidR="001F0534" w:rsidRPr="00D0345A" w:rsidRDefault="001F0534" w:rsidP="001F0534">
            <w:pPr>
              <w:spacing w:line="360" w:lineRule="auto"/>
              <w:jc w:val="center"/>
              <w:rPr>
                <w:sz w:val="14"/>
                <w:szCs w:val="16"/>
              </w:rPr>
            </w:pPr>
            <w:r w:rsidRPr="00D0345A">
              <w:rPr>
                <w:sz w:val="14"/>
                <w:szCs w:val="16"/>
              </w:rPr>
              <w:t>80</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8</w:t>
            </w:r>
          </w:p>
        </w:tc>
        <w:tc>
          <w:tcPr>
            <w:tcW w:w="567" w:type="dxa"/>
            <w:hideMark/>
          </w:tcPr>
          <w:p w:rsidR="001F0534" w:rsidRPr="00D0345A" w:rsidRDefault="001F0534" w:rsidP="001F0534">
            <w:pPr>
              <w:spacing w:line="360" w:lineRule="auto"/>
              <w:jc w:val="center"/>
              <w:rPr>
                <w:sz w:val="14"/>
                <w:szCs w:val="16"/>
              </w:rPr>
            </w:pPr>
            <w:r w:rsidRPr="00D0345A">
              <w:rPr>
                <w:sz w:val="14"/>
                <w:szCs w:val="16"/>
              </w:rPr>
              <w:t>98</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17</w:t>
            </w:r>
          </w:p>
        </w:tc>
        <w:tc>
          <w:tcPr>
            <w:tcW w:w="567" w:type="dxa"/>
            <w:hideMark/>
          </w:tcPr>
          <w:p w:rsidR="001F0534" w:rsidRPr="00D0345A" w:rsidRDefault="001F0534" w:rsidP="001F0534">
            <w:pPr>
              <w:spacing w:line="360" w:lineRule="auto"/>
              <w:jc w:val="center"/>
              <w:rPr>
                <w:sz w:val="14"/>
                <w:szCs w:val="16"/>
              </w:rPr>
            </w:pPr>
            <w:r w:rsidRPr="00D0345A">
              <w:rPr>
                <w:sz w:val="14"/>
                <w:szCs w:val="16"/>
              </w:rPr>
              <w:t>100</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33.89</w:t>
            </w:r>
          </w:p>
        </w:tc>
      </w:tr>
      <w:tr w:rsidR="001F0534" w:rsidRPr="00581472" w:rsidTr="001F0534">
        <w:trPr>
          <w:trHeight w:val="259"/>
        </w:trPr>
        <w:tc>
          <w:tcPr>
            <w:tcW w:w="2802" w:type="dxa"/>
            <w:shd w:val="clear" w:color="auto" w:fill="D9D9D9" w:themeFill="background1" w:themeFillShade="D9"/>
            <w:hideMark/>
          </w:tcPr>
          <w:p w:rsidR="001F0534" w:rsidRPr="00581472" w:rsidRDefault="001F0534" w:rsidP="00AE25FC">
            <w:pPr>
              <w:numPr>
                <w:ilvl w:val="0"/>
                <w:numId w:val="6"/>
              </w:numPr>
              <w:spacing w:line="360" w:lineRule="auto"/>
              <w:jc w:val="both"/>
              <w:rPr>
                <w:sz w:val="16"/>
                <w:szCs w:val="16"/>
              </w:rPr>
            </w:pPr>
            <w:r w:rsidRPr="00581472">
              <w:rPr>
                <w:sz w:val="16"/>
                <w:szCs w:val="16"/>
              </w:rPr>
              <w:t xml:space="preserve">Insecure property rights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50</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51</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75</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32</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84</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68</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77</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100</w:t>
            </w:r>
          </w:p>
        </w:tc>
        <w:tc>
          <w:tcPr>
            <w:tcW w:w="567"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76</w:t>
            </w:r>
          </w:p>
        </w:tc>
        <w:tc>
          <w:tcPr>
            <w:tcW w:w="851" w:type="dxa"/>
            <w:shd w:val="clear" w:color="auto" w:fill="D9D9D9" w:themeFill="background1" w:themeFillShade="D9"/>
            <w:hideMark/>
          </w:tcPr>
          <w:p w:rsidR="001F0534" w:rsidRPr="00581472" w:rsidRDefault="001F0534" w:rsidP="001F0534">
            <w:pPr>
              <w:spacing w:line="360" w:lineRule="auto"/>
              <w:jc w:val="center"/>
              <w:rPr>
                <w:b/>
                <w:sz w:val="16"/>
                <w:szCs w:val="16"/>
              </w:rPr>
            </w:pPr>
            <w:r w:rsidRPr="00581472">
              <w:rPr>
                <w:b/>
                <w:sz w:val="16"/>
                <w:szCs w:val="16"/>
              </w:rPr>
              <w:t>68.11</w:t>
            </w:r>
          </w:p>
        </w:tc>
      </w:tr>
      <w:tr w:rsidR="001F0534" w:rsidRPr="00413E85" w:rsidTr="001F0534">
        <w:trPr>
          <w:trHeight w:val="269"/>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Lack of extension services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30</w:t>
            </w:r>
          </w:p>
        </w:tc>
        <w:tc>
          <w:tcPr>
            <w:tcW w:w="709" w:type="dxa"/>
            <w:hideMark/>
          </w:tcPr>
          <w:p w:rsidR="001F0534" w:rsidRPr="00D0345A" w:rsidRDefault="001F0534" w:rsidP="001F0534">
            <w:pPr>
              <w:spacing w:line="360" w:lineRule="auto"/>
              <w:jc w:val="center"/>
              <w:rPr>
                <w:sz w:val="14"/>
                <w:szCs w:val="16"/>
              </w:rPr>
            </w:pPr>
            <w:r w:rsidRPr="00D0345A">
              <w:rPr>
                <w:sz w:val="14"/>
                <w:szCs w:val="16"/>
              </w:rPr>
              <w:t>44</w:t>
            </w:r>
          </w:p>
        </w:tc>
        <w:tc>
          <w:tcPr>
            <w:tcW w:w="709" w:type="dxa"/>
            <w:hideMark/>
          </w:tcPr>
          <w:p w:rsidR="001F0534" w:rsidRPr="00D0345A" w:rsidRDefault="001F0534" w:rsidP="001F0534">
            <w:pPr>
              <w:spacing w:line="360" w:lineRule="auto"/>
              <w:jc w:val="center"/>
              <w:rPr>
                <w:sz w:val="14"/>
                <w:szCs w:val="16"/>
              </w:rPr>
            </w:pPr>
            <w:r w:rsidRPr="00D0345A">
              <w:rPr>
                <w:sz w:val="14"/>
                <w:szCs w:val="16"/>
              </w:rPr>
              <w:t>60</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11</w:t>
            </w:r>
          </w:p>
        </w:tc>
        <w:tc>
          <w:tcPr>
            <w:tcW w:w="708" w:type="dxa"/>
            <w:hideMark/>
          </w:tcPr>
          <w:p w:rsidR="001F0534" w:rsidRPr="00D0345A" w:rsidRDefault="001F0534" w:rsidP="001F0534">
            <w:pPr>
              <w:spacing w:line="360" w:lineRule="auto"/>
              <w:jc w:val="center"/>
              <w:rPr>
                <w:sz w:val="14"/>
                <w:szCs w:val="16"/>
              </w:rPr>
            </w:pPr>
            <w:r w:rsidRPr="00D0345A">
              <w:rPr>
                <w:sz w:val="14"/>
                <w:szCs w:val="16"/>
              </w:rPr>
              <w:t>69</w:t>
            </w:r>
          </w:p>
        </w:tc>
        <w:tc>
          <w:tcPr>
            <w:tcW w:w="567" w:type="dxa"/>
            <w:hideMark/>
          </w:tcPr>
          <w:p w:rsidR="001F0534" w:rsidRPr="00D0345A" w:rsidRDefault="001F0534" w:rsidP="001F0534">
            <w:pPr>
              <w:spacing w:line="360" w:lineRule="auto"/>
              <w:jc w:val="center"/>
              <w:rPr>
                <w:sz w:val="14"/>
                <w:szCs w:val="16"/>
              </w:rPr>
            </w:pPr>
            <w:r w:rsidRPr="00D0345A">
              <w:rPr>
                <w:sz w:val="14"/>
                <w:szCs w:val="16"/>
              </w:rPr>
              <w:t>56</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20</w:t>
            </w:r>
          </w:p>
        </w:tc>
        <w:tc>
          <w:tcPr>
            <w:tcW w:w="567" w:type="dxa"/>
            <w:hideMark/>
          </w:tcPr>
          <w:p w:rsidR="001F0534" w:rsidRPr="00D0345A" w:rsidRDefault="001F0534" w:rsidP="001F0534">
            <w:pPr>
              <w:spacing w:line="360" w:lineRule="auto"/>
              <w:jc w:val="center"/>
              <w:rPr>
                <w:sz w:val="14"/>
                <w:szCs w:val="16"/>
              </w:rPr>
            </w:pPr>
            <w:r w:rsidRPr="00D0345A">
              <w:rPr>
                <w:sz w:val="14"/>
                <w:szCs w:val="16"/>
              </w:rPr>
              <w:t>73</w:t>
            </w:r>
          </w:p>
        </w:tc>
        <w:tc>
          <w:tcPr>
            <w:tcW w:w="567" w:type="dxa"/>
            <w:hideMark/>
          </w:tcPr>
          <w:p w:rsidR="001F0534" w:rsidRPr="00D0345A" w:rsidRDefault="001F0534" w:rsidP="001F0534">
            <w:pPr>
              <w:spacing w:line="360" w:lineRule="auto"/>
              <w:jc w:val="center"/>
              <w:rPr>
                <w:sz w:val="14"/>
                <w:szCs w:val="16"/>
              </w:rPr>
            </w:pPr>
            <w:r w:rsidRPr="00D0345A">
              <w:rPr>
                <w:sz w:val="14"/>
                <w:szCs w:val="16"/>
              </w:rPr>
              <w:t>80</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49.22</w:t>
            </w:r>
          </w:p>
        </w:tc>
      </w:tr>
      <w:tr w:rsidR="001F0534" w:rsidRPr="00413E85" w:rsidTr="001F0534">
        <w:trPr>
          <w:trHeight w:val="279"/>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Poor infrastructural support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7</w:t>
            </w:r>
          </w:p>
        </w:tc>
        <w:tc>
          <w:tcPr>
            <w:tcW w:w="709" w:type="dxa"/>
            <w:hideMark/>
          </w:tcPr>
          <w:p w:rsidR="001F0534" w:rsidRPr="00D0345A" w:rsidRDefault="001F0534" w:rsidP="001F0534">
            <w:pPr>
              <w:spacing w:line="360" w:lineRule="auto"/>
              <w:jc w:val="center"/>
              <w:rPr>
                <w:sz w:val="14"/>
                <w:szCs w:val="16"/>
              </w:rPr>
            </w:pPr>
            <w:r w:rsidRPr="00D0345A">
              <w:rPr>
                <w:sz w:val="14"/>
                <w:szCs w:val="16"/>
              </w:rPr>
              <w:t>48</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47</w:t>
            </w:r>
          </w:p>
        </w:tc>
        <w:tc>
          <w:tcPr>
            <w:tcW w:w="567" w:type="dxa"/>
            <w:hideMark/>
          </w:tcPr>
          <w:p w:rsidR="001F0534" w:rsidRPr="00D0345A" w:rsidRDefault="001F0534" w:rsidP="001F0534">
            <w:pPr>
              <w:spacing w:line="360" w:lineRule="auto"/>
              <w:jc w:val="center"/>
              <w:rPr>
                <w:sz w:val="14"/>
                <w:szCs w:val="16"/>
              </w:rPr>
            </w:pPr>
            <w:r w:rsidRPr="00D0345A">
              <w:rPr>
                <w:sz w:val="14"/>
                <w:szCs w:val="16"/>
              </w:rPr>
              <w:t>54</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27</w:t>
            </w:r>
          </w:p>
        </w:tc>
        <w:tc>
          <w:tcPr>
            <w:tcW w:w="567" w:type="dxa"/>
            <w:hideMark/>
          </w:tcPr>
          <w:p w:rsidR="001F0534" w:rsidRPr="00D0345A" w:rsidRDefault="001F0534" w:rsidP="001F0534">
            <w:pPr>
              <w:spacing w:line="360" w:lineRule="auto"/>
              <w:jc w:val="center"/>
              <w:rPr>
                <w:sz w:val="14"/>
                <w:szCs w:val="16"/>
              </w:rPr>
            </w:pPr>
            <w:r w:rsidRPr="00D0345A">
              <w:rPr>
                <w:sz w:val="14"/>
                <w:szCs w:val="16"/>
              </w:rPr>
              <w:t>69</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28.00</w:t>
            </w:r>
          </w:p>
        </w:tc>
      </w:tr>
      <w:tr w:rsidR="001F0534" w:rsidRPr="00413E85" w:rsidTr="001F0534">
        <w:trPr>
          <w:trHeight w:val="315"/>
        </w:trPr>
        <w:tc>
          <w:tcPr>
            <w:tcW w:w="2802" w:type="dxa"/>
            <w:hideMark/>
          </w:tcPr>
          <w:p w:rsidR="001F0534" w:rsidRPr="00D0345A" w:rsidRDefault="001F0534" w:rsidP="00AE25FC">
            <w:pPr>
              <w:numPr>
                <w:ilvl w:val="0"/>
                <w:numId w:val="6"/>
              </w:numPr>
              <w:spacing w:line="360" w:lineRule="auto"/>
              <w:jc w:val="both"/>
              <w:rPr>
                <w:sz w:val="16"/>
                <w:szCs w:val="16"/>
              </w:rPr>
            </w:pPr>
            <w:r w:rsidRPr="00D0345A">
              <w:rPr>
                <w:sz w:val="16"/>
                <w:szCs w:val="16"/>
              </w:rPr>
              <w:t xml:space="preserve">Other </w:t>
            </w:r>
          </w:p>
        </w:tc>
        <w:tc>
          <w:tcPr>
            <w:tcW w:w="708"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4</w:t>
            </w:r>
          </w:p>
        </w:tc>
        <w:tc>
          <w:tcPr>
            <w:tcW w:w="709" w:type="dxa"/>
            <w:hideMark/>
          </w:tcPr>
          <w:p w:rsidR="001F0534" w:rsidRPr="00D0345A" w:rsidRDefault="001F0534" w:rsidP="001F0534">
            <w:pPr>
              <w:spacing w:line="360" w:lineRule="auto"/>
              <w:jc w:val="center"/>
              <w:rPr>
                <w:sz w:val="14"/>
                <w:szCs w:val="16"/>
              </w:rPr>
            </w:pPr>
            <w:r w:rsidRPr="00D0345A">
              <w:rPr>
                <w:sz w:val="14"/>
                <w:szCs w:val="16"/>
              </w:rPr>
              <w:t>0</w:t>
            </w:r>
          </w:p>
        </w:tc>
        <w:tc>
          <w:tcPr>
            <w:tcW w:w="709" w:type="dxa"/>
            <w:hideMark/>
          </w:tcPr>
          <w:p w:rsidR="001F0534" w:rsidRPr="00D0345A" w:rsidRDefault="001F0534" w:rsidP="001F0534">
            <w:pPr>
              <w:spacing w:line="360" w:lineRule="auto"/>
              <w:jc w:val="center"/>
              <w:rPr>
                <w:sz w:val="14"/>
                <w:szCs w:val="16"/>
              </w:rPr>
            </w:pPr>
            <w:r w:rsidRPr="00D0345A">
              <w:rPr>
                <w:sz w:val="14"/>
                <w:szCs w:val="16"/>
              </w:rPr>
              <w:t>9</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708" w:type="dxa"/>
            <w:hideMark/>
          </w:tcPr>
          <w:p w:rsidR="001F0534" w:rsidRPr="00D0345A" w:rsidRDefault="001F0534" w:rsidP="001F0534">
            <w:pPr>
              <w:spacing w:line="360" w:lineRule="auto"/>
              <w:jc w:val="center"/>
              <w:rPr>
                <w:sz w:val="14"/>
                <w:szCs w:val="16"/>
              </w:rPr>
            </w:pPr>
            <w:r w:rsidRPr="00D0345A">
              <w:rPr>
                <w:sz w:val="14"/>
                <w:szCs w:val="16"/>
              </w:rPr>
              <w:t>2</w:t>
            </w:r>
          </w:p>
        </w:tc>
        <w:tc>
          <w:tcPr>
            <w:tcW w:w="567" w:type="dxa"/>
            <w:hideMark/>
          </w:tcPr>
          <w:p w:rsidR="001F0534" w:rsidRPr="00D0345A" w:rsidRDefault="001F0534" w:rsidP="001F0534">
            <w:pPr>
              <w:spacing w:line="360" w:lineRule="auto"/>
              <w:jc w:val="center"/>
              <w:rPr>
                <w:sz w:val="14"/>
                <w:szCs w:val="16"/>
              </w:rPr>
            </w:pPr>
            <w:r w:rsidRPr="00D0345A">
              <w:rPr>
                <w:sz w:val="14"/>
                <w:szCs w:val="16"/>
              </w:rPr>
              <w:t>6</w:t>
            </w:r>
          </w:p>
        </w:tc>
        <w:tc>
          <w:tcPr>
            <w:tcW w:w="709" w:type="dxa"/>
            <w:shd w:val="clear" w:color="auto" w:fill="D9D9D9" w:themeFill="background1" w:themeFillShade="D9"/>
            <w:hideMark/>
          </w:tcPr>
          <w:p w:rsidR="001F0534" w:rsidRPr="00581472" w:rsidRDefault="001F0534" w:rsidP="001F0534">
            <w:pPr>
              <w:spacing w:line="360" w:lineRule="auto"/>
              <w:jc w:val="center"/>
              <w:rPr>
                <w:sz w:val="14"/>
                <w:szCs w:val="16"/>
              </w:rPr>
            </w:pPr>
            <w:r w:rsidRPr="00581472">
              <w:rPr>
                <w:sz w:val="14"/>
                <w:szCs w:val="16"/>
              </w:rPr>
              <w:t>0</w:t>
            </w:r>
          </w:p>
        </w:tc>
        <w:tc>
          <w:tcPr>
            <w:tcW w:w="567" w:type="dxa"/>
            <w:hideMark/>
          </w:tcPr>
          <w:p w:rsidR="001F0534" w:rsidRPr="00D0345A" w:rsidRDefault="001F0534" w:rsidP="001F0534">
            <w:pPr>
              <w:spacing w:line="360" w:lineRule="auto"/>
              <w:jc w:val="center"/>
              <w:rPr>
                <w:sz w:val="14"/>
                <w:szCs w:val="16"/>
              </w:rPr>
            </w:pPr>
            <w:r w:rsidRPr="00D0345A">
              <w:rPr>
                <w:sz w:val="14"/>
                <w:szCs w:val="16"/>
              </w:rPr>
              <w:t>2</w:t>
            </w:r>
          </w:p>
        </w:tc>
        <w:tc>
          <w:tcPr>
            <w:tcW w:w="567" w:type="dxa"/>
            <w:hideMark/>
          </w:tcPr>
          <w:p w:rsidR="001F0534" w:rsidRPr="00D0345A" w:rsidRDefault="001F0534" w:rsidP="001F0534">
            <w:pPr>
              <w:spacing w:line="360" w:lineRule="auto"/>
              <w:jc w:val="center"/>
              <w:rPr>
                <w:sz w:val="14"/>
                <w:szCs w:val="16"/>
              </w:rPr>
            </w:pPr>
            <w:r w:rsidRPr="00D0345A">
              <w:rPr>
                <w:sz w:val="14"/>
                <w:szCs w:val="16"/>
              </w:rPr>
              <w:t>1</w:t>
            </w:r>
          </w:p>
        </w:tc>
        <w:tc>
          <w:tcPr>
            <w:tcW w:w="851" w:type="dxa"/>
            <w:hideMark/>
          </w:tcPr>
          <w:p w:rsidR="001F0534" w:rsidRPr="00D0345A" w:rsidRDefault="001F0534" w:rsidP="001F0534">
            <w:pPr>
              <w:spacing w:line="360" w:lineRule="auto"/>
              <w:jc w:val="center"/>
              <w:rPr>
                <w:b/>
                <w:sz w:val="16"/>
                <w:szCs w:val="16"/>
              </w:rPr>
            </w:pPr>
            <w:r w:rsidRPr="00D0345A">
              <w:rPr>
                <w:b/>
                <w:sz w:val="16"/>
                <w:szCs w:val="16"/>
              </w:rPr>
              <w:t>2.67</w:t>
            </w:r>
          </w:p>
        </w:tc>
      </w:tr>
      <w:tr w:rsidR="001F0534" w:rsidRPr="00413E85" w:rsidTr="001F0534">
        <w:trPr>
          <w:trHeight w:val="315"/>
        </w:trPr>
        <w:tc>
          <w:tcPr>
            <w:tcW w:w="9606" w:type="dxa"/>
            <w:gridSpan w:val="11"/>
            <w:hideMark/>
          </w:tcPr>
          <w:p w:rsidR="001F0534" w:rsidRPr="00D0345A" w:rsidRDefault="001F0534" w:rsidP="001F0534">
            <w:pPr>
              <w:spacing w:line="360" w:lineRule="auto"/>
              <w:jc w:val="center"/>
              <w:rPr>
                <w:sz w:val="14"/>
                <w:szCs w:val="16"/>
              </w:rPr>
            </w:pPr>
          </w:p>
        </w:tc>
      </w:tr>
      <w:tr w:rsidR="001F0534" w:rsidRPr="00D0345A" w:rsidTr="001F0534">
        <w:trPr>
          <w:trHeight w:val="315"/>
        </w:trPr>
        <w:tc>
          <w:tcPr>
            <w:tcW w:w="2802" w:type="dxa"/>
            <w:hideMark/>
          </w:tcPr>
          <w:p w:rsidR="001F0534" w:rsidRPr="00D0345A" w:rsidRDefault="001F0534" w:rsidP="001F0534">
            <w:pPr>
              <w:spacing w:line="360" w:lineRule="auto"/>
              <w:jc w:val="both"/>
              <w:rPr>
                <w:b/>
                <w:sz w:val="16"/>
                <w:szCs w:val="16"/>
              </w:rPr>
            </w:pPr>
            <w:r w:rsidRPr="00D0345A">
              <w:rPr>
                <w:b/>
                <w:sz w:val="16"/>
                <w:szCs w:val="16"/>
              </w:rPr>
              <w:t> </w:t>
            </w:r>
            <w:r>
              <w:rPr>
                <w:b/>
                <w:sz w:val="16"/>
                <w:szCs w:val="16"/>
              </w:rPr>
              <w:t xml:space="preserve">% share of constraints / portfolio </w:t>
            </w:r>
          </w:p>
        </w:tc>
        <w:tc>
          <w:tcPr>
            <w:tcW w:w="708" w:type="dxa"/>
            <w:shd w:val="clear" w:color="auto" w:fill="D9D9D9" w:themeFill="background1" w:themeFillShade="D9"/>
            <w:hideMark/>
          </w:tcPr>
          <w:p w:rsidR="001F0534" w:rsidRPr="00581472" w:rsidRDefault="001F0534" w:rsidP="001F0534">
            <w:pPr>
              <w:spacing w:line="360" w:lineRule="auto"/>
              <w:jc w:val="center"/>
              <w:rPr>
                <w:b/>
                <w:sz w:val="14"/>
                <w:szCs w:val="16"/>
              </w:rPr>
            </w:pPr>
            <w:r w:rsidRPr="00581472">
              <w:rPr>
                <w:b/>
                <w:sz w:val="14"/>
                <w:szCs w:val="16"/>
              </w:rPr>
              <w:t>15.08</w:t>
            </w:r>
          </w:p>
        </w:tc>
        <w:tc>
          <w:tcPr>
            <w:tcW w:w="709" w:type="dxa"/>
            <w:hideMark/>
          </w:tcPr>
          <w:p w:rsidR="001F0534" w:rsidRPr="00D0345A" w:rsidRDefault="001F0534" w:rsidP="001F0534">
            <w:pPr>
              <w:spacing w:line="360" w:lineRule="auto"/>
              <w:jc w:val="center"/>
              <w:rPr>
                <w:b/>
                <w:sz w:val="14"/>
                <w:szCs w:val="16"/>
              </w:rPr>
            </w:pPr>
            <w:r w:rsidRPr="00D0345A">
              <w:rPr>
                <w:b/>
                <w:sz w:val="14"/>
                <w:szCs w:val="16"/>
              </w:rPr>
              <w:t>30.17</w:t>
            </w:r>
          </w:p>
        </w:tc>
        <w:tc>
          <w:tcPr>
            <w:tcW w:w="709" w:type="dxa"/>
            <w:hideMark/>
          </w:tcPr>
          <w:p w:rsidR="001F0534" w:rsidRPr="00D0345A" w:rsidRDefault="001F0534" w:rsidP="001F0534">
            <w:pPr>
              <w:spacing w:line="360" w:lineRule="auto"/>
              <w:jc w:val="center"/>
              <w:rPr>
                <w:b/>
                <w:sz w:val="14"/>
                <w:szCs w:val="16"/>
              </w:rPr>
            </w:pPr>
            <w:r w:rsidRPr="00D0345A">
              <w:rPr>
                <w:b/>
                <w:sz w:val="14"/>
                <w:szCs w:val="16"/>
              </w:rPr>
              <w:t>47.67</w:t>
            </w:r>
          </w:p>
        </w:tc>
        <w:tc>
          <w:tcPr>
            <w:tcW w:w="709" w:type="dxa"/>
            <w:shd w:val="clear" w:color="auto" w:fill="D9D9D9" w:themeFill="background1" w:themeFillShade="D9"/>
            <w:hideMark/>
          </w:tcPr>
          <w:p w:rsidR="001F0534" w:rsidRPr="00581472" w:rsidRDefault="001F0534" w:rsidP="001F0534">
            <w:pPr>
              <w:spacing w:line="360" w:lineRule="auto"/>
              <w:jc w:val="center"/>
              <w:rPr>
                <w:b/>
                <w:sz w:val="14"/>
                <w:szCs w:val="16"/>
              </w:rPr>
            </w:pPr>
            <w:r w:rsidRPr="00581472">
              <w:rPr>
                <w:b/>
                <w:sz w:val="14"/>
                <w:szCs w:val="16"/>
              </w:rPr>
              <w:t>10.33</w:t>
            </w:r>
          </w:p>
        </w:tc>
        <w:tc>
          <w:tcPr>
            <w:tcW w:w="708" w:type="dxa"/>
            <w:hideMark/>
          </w:tcPr>
          <w:p w:rsidR="001F0534" w:rsidRPr="00D0345A" w:rsidRDefault="001F0534" w:rsidP="001F0534">
            <w:pPr>
              <w:spacing w:line="360" w:lineRule="auto"/>
              <w:jc w:val="center"/>
              <w:rPr>
                <w:b/>
                <w:sz w:val="14"/>
                <w:szCs w:val="16"/>
              </w:rPr>
            </w:pPr>
            <w:r w:rsidRPr="00D0345A">
              <w:rPr>
                <w:b/>
                <w:sz w:val="14"/>
                <w:szCs w:val="16"/>
              </w:rPr>
              <w:t>40.92</w:t>
            </w:r>
          </w:p>
        </w:tc>
        <w:tc>
          <w:tcPr>
            <w:tcW w:w="567" w:type="dxa"/>
            <w:hideMark/>
          </w:tcPr>
          <w:p w:rsidR="001F0534" w:rsidRPr="00D0345A" w:rsidRDefault="001F0534" w:rsidP="001F0534">
            <w:pPr>
              <w:spacing w:line="360" w:lineRule="auto"/>
              <w:jc w:val="center"/>
              <w:rPr>
                <w:b/>
                <w:sz w:val="14"/>
                <w:szCs w:val="16"/>
              </w:rPr>
            </w:pPr>
            <w:r w:rsidRPr="00D0345A">
              <w:rPr>
                <w:b/>
                <w:sz w:val="14"/>
                <w:szCs w:val="16"/>
              </w:rPr>
              <w:t>51.17</w:t>
            </w:r>
          </w:p>
        </w:tc>
        <w:tc>
          <w:tcPr>
            <w:tcW w:w="709" w:type="dxa"/>
            <w:shd w:val="clear" w:color="auto" w:fill="D9D9D9" w:themeFill="background1" w:themeFillShade="D9"/>
            <w:hideMark/>
          </w:tcPr>
          <w:p w:rsidR="001F0534" w:rsidRPr="00581472" w:rsidRDefault="001F0534" w:rsidP="001F0534">
            <w:pPr>
              <w:spacing w:line="360" w:lineRule="auto"/>
              <w:jc w:val="center"/>
              <w:rPr>
                <w:b/>
                <w:sz w:val="14"/>
                <w:szCs w:val="16"/>
              </w:rPr>
            </w:pPr>
            <w:r w:rsidRPr="00581472">
              <w:rPr>
                <w:b/>
                <w:sz w:val="14"/>
                <w:szCs w:val="16"/>
              </w:rPr>
              <w:t>17.00</w:t>
            </w:r>
          </w:p>
        </w:tc>
        <w:tc>
          <w:tcPr>
            <w:tcW w:w="567" w:type="dxa"/>
            <w:hideMark/>
          </w:tcPr>
          <w:p w:rsidR="001F0534" w:rsidRPr="00D0345A" w:rsidRDefault="001F0534" w:rsidP="001F0534">
            <w:pPr>
              <w:spacing w:line="360" w:lineRule="auto"/>
              <w:jc w:val="center"/>
              <w:rPr>
                <w:b/>
                <w:sz w:val="14"/>
                <w:szCs w:val="16"/>
              </w:rPr>
            </w:pPr>
            <w:r w:rsidRPr="00D0345A">
              <w:rPr>
                <w:b/>
                <w:sz w:val="14"/>
                <w:szCs w:val="16"/>
              </w:rPr>
              <w:t>44.92</w:t>
            </w:r>
          </w:p>
        </w:tc>
        <w:tc>
          <w:tcPr>
            <w:tcW w:w="567" w:type="dxa"/>
            <w:hideMark/>
          </w:tcPr>
          <w:p w:rsidR="001F0534" w:rsidRPr="00D0345A" w:rsidRDefault="001F0534" w:rsidP="001F0534">
            <w:pPr>
              <w:spacing w:line="360" w:lineRule="auto"/>
              <w:jc w:val="center"/>
              <w:rPr>
                <w:b/>
                <w:sz w:val="14"/>
                <w:szCs w:val="16"/>
              </w:rPr>
            </w:pPr>
            <w:r w:rsidRPr="00D0345A">
              <w:rPr>
                <w:b/>
                <w:sz w:val="14"/>
                <w:szCs w:val="16"/>
              </w:rPr>
              <w:t>59.92</w:t>
            </w:r>
          </w:p>
        </w:tc>
        <w:tc>
          <w:tcPr>
            <w:tcW w:w="851" w:type="dxa"/>
            <w:hideMark/>
          </w:tcPr>
          <w:p w:rsidR="001F0534" w:rsidRPr="00D0345A" w:rsidRDefault="001F0534" w:rsidP="001F0534">
            <w:pPr>
              <w:spacing w:line="360" w:lineRule="auto"/>
              <w:jc w:val="both"/>
              <w:rPr>
                <w:b/>
                <w:sz w:val="16"/>
                <w:szCs w:val="16"/>
              </w:rPr>
            </w:pPr>
            <w:r w:rsidRPr="00D0345A">
              <w:rPr>
                <w:b/>
                <w:sz w:val="16"/>
                <w:szCs w:val="16"/>
              </w:rPr>
              <w:t> </w:t>
            </w:r>
          </w:p>
        </w:tc>
      </w:tr>
      <w:tr w:rsidR="001F0534" w:rsidRPr="00D0345A" w:rsidTr="001F0534">
        <w:trPr>
          <w:trHeight w:val="315"/>
        </w:trPr>
        <w:tc>
          <w:tcPr>
            <w:tcW w:w="9606" w:type="dxa"/>
            <w:gridSpan w:val="11"/>
            <w:hideMark/>
          </w:tcPr>
          <w:p w:rsidR="001F0534" w:rsidRPr="0015513A" w:rsidRDefault="001F0534" w:rsidP="00AE25FC">
            <w:pPr>
              <w:numPr>
                <w:ilvl w:val="0"/>
                <w:numId w:val="7"/>
              </w:numPr>
              <w:spacing w:line="360" w:lineRule="auto"/>
              <w:rPr>
                <w:b/>
                <w:sz w:val="16"/>
                <w:szCs w:val="16"/>
              </w:rPr>
            </w:pPr>
            <w:r w:rsidRPr="0015513A">
              <w:rPr>
                <w:b/>
                <w:sz w:val="16"/>
                <w:szCs w:val="16"/>
              </w:rPr>
              <w:t xml:space="preserve">Pooled average % share of </w:t>
            </w:r>
            <w:r>
              <w:rPr>
                <w:b/>
                <w:sz w:val="16"/>
                <w:szCs w:val="16"/>
              </w:rPr>
              <w:t xml:space="preserve">constraints for </w:t>
            </w:r>
            <w:r w:rsidRPr="0015513A">
              <w:rPr>
                <w:b/>
                <w:sz w:val="16"/>
                <w:szCs w:val="16"/>
              </w:rPr>
              <w:t>the Fauna Portfolio      = 14%</w:t>
            </w:r>
          </w:p>
        </w:tc>
      </w:tr>
      <w:tr w:rsidR="001F0534" w:rsidRPr="00D0345A" w:rsidTr="001F0534">
        <w:trPr>
          <w:trHeight w:val="315"/>
        </w:trPr>
        <w:tc>
          <w:tcPr>
            <w:tcW w:w="9606" w:type="dxa"/>
            <w:gridSpan w:val="11"/>
            <w:hideMark/>
          </w:tcPr>
          <w:p w:rsidR="001F0534" w:rsidRPr="0015513A" w:rsidRDefault="001F0534" w:rsidP="00AE25FC">
            <w:pPr>
              <w:numPr>
                <w:ilvl w:val="0"/>
                <w:numId w:val="7"/>
              </w:numPr>
              <w:spacing w:line="360" w:lineRule="auto"/>
              <w:jc w:val="both"/>
              <w:rPr>
                <w:b/>
                <w:sz w:val="16"/>
                <w:szCs w:val="16"/>
              </w:rPr>
            </w:pPr>
            <w:r w:rsidRPr="0015513A">
              <w:rPr>
                <w:b/>
                <w:sz w:val="16"/>
                <w:szCs w:val="16"/>
              </w:rPr>
              <w:t xml:space="preserve">Pooled average % share of </w:t>
            </w:r>
            <w:r>
              <w:rPr>
                <w:b/>
                <w:sz w:val="16"/>
                <w:szCs w:val="16"/>
              </w:rPr>
              <w:t xml:space="preserve">constraints for </w:t>
            </w:r>
            <w:r w:rsidRPr="0015513A">
              <w:rPr>
                <w:b/>
                <w:sz w:val="16"/>
                <w:szCs w:val="16"/>
              </w:rPr>
              <w:t>the Flora Portfolio      = 39%</w:t>
            </w:r>
          </w:p>
        </w:tc>
      </w:tr>
      <w:tr w:rsidR="001F0534" w:rsidRPr="00D0345A" w:rsidTr="001F0534">
        <w:trPr>
          <w:trHeight w:val="315"/>
        </w:trPr>
        <w:tc>
          <w:tcPr>
            <w:tcW w:w="9606" w:type="dxa"/>
            <w:gridSpan w:val="11"/>
            <w:hideMark/>
          </w:tcPr>
          <w:p w:rsidR="001F0534" w:rsidRPr="0015513A" w:rsidRDefault="001F0534" w:rsidP="00AE25FC">
            <w:pPr>
              <w:numPr>
                <w:ilvl w:val="0"/>
                <w:numId w:val="7"/>
              </w:numPr>
              <w:spacing w:line="360" w:lineRule="auto"/>
              <w:jc w:val="both"/>
              <w:rPr>
                <w:b/>
                <w:sz w:val="16"/>
                <w:szCs w:val="16"/>
              </w:rPr>
            </w:pPr>
            <w:r w:rsidRPr="0015513A">
              <w:rPr>
                <w:b/>
                <w:sz w:val="16"/>
                <w:szCs w:val="16"/>
              </w:rPr>
              <w:t xml:space="preserve">Pooled average % share of </w:t>
            </w:r>
            <w:r>
              <w:rPr>
                <w:b/>
                <w:sz w:val="16"/>
                <w:szCs w:val="16"/>
              </w:rPr>
              <w:t xml:space="preserve">constraints of </w:t>
            </w:r>
            <w:r w:rsidRPr="0015513A">
              <w:rPr>
                <w:b/>
                <w:sz w:val="16"/>
                <w:szCs w:val="16"/>
              </w:rPr>
              <w:t xml:space="preserve">the Mineral Portfolio </w:t>
            </w:r>
            <w:r>
              <w:rPr>
                <w:b/>
                <w:sz w:val="16"/>
                <w:szCs w:val="16"/>
              </w:rPr>
              <w:t xml:space="preserve"> </w:t>
            </w:r>
            <w:r w:rsidRPr="0015513A">
              <w:rPr>
                <w:b/>
                <w:sz w:val="16"/>
                <w:szCs w:val="16"/>
              </w:rPr>
              <w:t>= 53%</w:t>
            </w:r>
          </w:p>
        </w:tc>
      </w:tr>
    </w:tbl>
    <w:p w:rsidR="001F0534" w:rsidRPr="009D6FAB" w:rsidRDefault="001F0534" w:rsidP="001F0534">
      <w:pPr>
        <w:spacing w:line="360" w:lineRule="auto"/>
        <w:jc w:val="both"/>
        <w:rPr>
          <w:rFonts w:ascii="Times New Roman" w:hAnsi="Times New Roman" w:cs="Times New Roman"/>
        </w:rPr>
      </w:pPr>
      <w:r w:rsidRPr="009D6FAB">
        <w:rPr>
          <w:rFonts w:ascii="Times New Roman" w:hAnsi="Times New Roman" w:cs="Times New Roman"/>
          <w:b/>
        </w:rPr>
        <w:t xml:space="preserve">Key: </w:t>
      </w:r>
      <w:r w:rsidRPr="009D6FAB">
        <w:rPr>
          <w:rFonts w:ascii="Times New Roman" w:hAnsi="Times New Roman" w:cs="Times New Roman"/>
        </w:rPr>
        <w:t xml:space="preserve">Min- mineral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color w:val="000000"/>
          <w:sz w:val="24"/>
          <w:szCs w:val="24"/>
        </w:rPr>
        <w:t xml:space="preserve">Thus, in as much as a private landholder may use a land title deed to claim ownership, Child </w:t>
      </w:r>
      <w:r w:rsidRPr="0068531F">
        <w:rPr>
          <w:rFonts w:ascii="Times New Roman" w:hAnsi="Times New Roman" w:cs="Times New Roman"/>
          <w:i/>
          <w:color w:val="000000"/>
          <w:sz w:val="24"/>
          <w:szCs w:val="24"/>
        </w:rPr>
        <w:t>et al.</w:t>
      </w:r>
      <w:r w:rsidRPr="0068531F">
        <w:rPr>
          <w:rFonts w:ascii="Times New Roman" w:hAnsi="Times New Roman" w:cs="Times New Roman"/>
          <w:color w:val="000000"/>
          <w:sz w:val="24"/>
          <w:szCs w:val="24"/>
        </w:rPr>
        <w:t xml:space="preserve"> (1997) argue that a villager on communal land only has statutory rights to use such resources as part of a local authority i.e. the RDC that has been granted Appropriate Authority (AA) status by the Department of National Parks and Wildlife Management. Full devolution of user rights may therefore enhance the non-farm livelihood adaptation choices of rural communities.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lack of a formal market for most extractable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 natural resources was </w:t>
      </w:r>
      <w:r>
        <w:rPr>
          <w:rFonts w:ascii="Times New Roman" w:hAnsi="Times New Roman" w:cs="Times New Roman"/>
          <w:sz w:val="24"/>
          <w:szCs w:val="24"/>
        </w:rPr>
        <w:t xml:space="preserve">also </w:t>
      </w:r>
      <w:r w:rsidRPr="0068531F">
        <w:rPr>
          <w:rFonts w:ascii="Times New Roman" w:hAnsi="Times New Roman" w:cs="Times New Roman"/>
          <w:sz w:val="24"/>
          <w:szCs w:val="24"/>
        </w:rPr>
        <w:t xml:space="preserve">cited as a </w:t>
      </w:r>
      <w:r>
        <w:rPr>
          <w:rFonts w:ascii="Times New Roman" w:hAnsi="Times New Roman" w:cs="Times New Roman"/>
          <w:sz w:val="24"/>
          <w:szCs w:val="24"/>
        </w:rPr>
        <w:t xml:space="preserve">second </w:t>
      </w:r>
      <w:r w:rsidRPr="0068531F">
        <w:rPr>
          <w:rFonts w:ascii="Times New Roman" w:hAnsi="Times New Roman" w:cs="Times New Roman"/>
          <w:sz w:val="24"/>
          <w:szCs w:val="24"/>
        </w:rPr>
        <w:t xml:space="preserve">critical constraint by most respondents, with the exception of the Fauna Portfolio. Respondents noted the significant potential of the Flora Portfolio, specifically timber extracts </w:t>
      </w:r>
      <w:r w:rsidRPr="0068531F">
        <w:rPr>
          <w:rFonts w:ascii="Times New Roman" w:hAnsi="Times New Roman" w:cs="Times New Roman"/>
          <w:sz w:val="24"/>
          <w:szCs w:val="24"/>
        </w:rPr>
        <w:lastRenderedPageBreak/>
        <w:t>(</w:t>
      </w:r>
      <w:proofErr w:type="spellStart"/>
      <w:r w:rsidRPr="0068531F">
        <w:rPr>
          <w:rFonts w:ascii="Times New Roman" w:hAnsi="Times New Roman" w:cs="Times New Roman"/>
          <w:i/>
          <w:sz w:val="24"/>
          <w:szCs w:val="24"/>
        </w:rPr>
        <w:t>Mopane</w:t>
      </w:r>
      <w:proofErr w:type="spellEnd"/>
      <w:r w:rsidRPr="0068531F">
        <w:rPr>
          <w:rFonts w:ascii="Times New Roman" w:hAnsi="Times New Roman" w:cs="Times New Roman"/>
          <w:sz w:val="24"/>
          <w:szCs w:val="24"/>
        </w:rPr>
        <w:t xml:space="preserve"> poles and fire wood) and forest edible products. Unfortunately, the available formal markets classify such products as illegal. From a legal perspective, the Zimbabwean Communal Lands and Forest Produce Act prohibits the commercial harvesting of all forest produce.  The reported “missing markets” may therefore be a result of legal restrictions.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With respect to the mineral portfolio, the lack of formal markets was also cited as a critical barrier which inhibits local communities. For this portfolio, gold panning from surrounding streams and, to a greater extent, from inside the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sidR="005846E5">
        <w:rPr>
          <w:rFonts w:ascii="Times New Roman" w:hAnsi="Times New Roman" w:cs="Times New Roman"/>
          <w:sz w:val="24"/>
          <w:szCs w:val="24"/>
        </w:rPr>
        <w:t>p</w:t>
      </w:r>
      <w:r w:rsidRPr="0068531F">
        <w:rPr>
          <w:rFonts w:ascii="Times New Roman" w:hAnsi="Times New Roman" w:cs="Times New Roman"/>
          <w:sz w:val="24"/>
          <w:szCs w:val="24"/>
        </w:rPr>
        <w:t>ark (</w:t>
      </w:r>
      <w:proofErr w:type="spellStart"/>
      <w:r w:rsidRPr="0068531F">
        <w:rPr>
          <w:rFonts w:ascii="Times New Roman" w:hAnsi="Times New Roman" w:cs="Times New Roman"/>
          <w:sz w:val="24"/>
          <w:szCs w:val="24"/>
        </w:rPr>
        <w:t>Mazoe</w:t>
      </w:r>
      <w:proofErr w:type="spellEnd"/>
      <w:r w:rsidRPr="0068531F">
        <w:rPr>
          <w:rFonts w:ascii="Times New Roman" w:hAnsi="Times New Roman" w:cs="Times New Roman"/>
          <w:sz w:val="24"/>
          <w:szCs w:val="24"/>
        </w:rPr>
        <w:t xml:space="preserve"> River) was the dominant activity reported from the three communities. In as much as those venturing in gold panning were comfortable with their illegal </w:t>
      </w:r>
      <w:r>
        <w:rPr>
          <w:rFonts w:ascii="Times New Roman" w:hAnsi="Times New Roman" w:cs="Times New Roman"/>
          <w:sz w:val="24"/>
          <w:szCs w:val="24"/>
        </w:rPr>
        <w:t>activities</w:t>
      </w:r>
      <w:r w:rsidRPr="0068531F">
        <w:rPr>
          <w:rFonts w:ascii="Times New Roman" w:hAnsi="Times New Roman" w:cs="Times New Roman"/>
          <w:sz w:val="24"/>
          <w:szCs w:val="24"/>
        </w:rPr>
        <w:t>, for purposes of enjoying high “black market” prices and avoiding environmental mitigation measures, most aspiring respondents noted that they were deterred from such activities due to the lack of formal markets.</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 lack of extension was also noted as a potential barrier across all portfolios. This development may not be surprising for the flora and mineral portfolio, mainly because of the current </w:t>
      </w:r>
      <w:proofErr w:type="spellStart"/>
      <w:r w:rsidRPr="0068531F">
        <w:rPr>
          <w:rFonts w:ascii="Times New Roman" w:hAnsi="Times New Roman" w:cs="Times New Roman"/>
          <w:sz w:val="24"/>
          <w:szCs w:val="24"/>
        </w:rPr>
        <w:t>sectorial</w:t>
      </w:r>
      <w:proofErr w:type="spellEnd"/>
      <w:r w:rsidRPr="0068531F">
        <w:rPr>
          <w:rFonts w:ascii="Times New Roman" w:hAnsi="Times New Roman" w:cs="Times New Roman"/>
          <w:sz w:val="24"/>
          <w:szCs w:val="24"/>
        </w:rPr>
        <w:t xml:space="preserve"> policy conflict. Extension officers teach the concept of domestic utilization of forest produce in line with procedures specified in the Communal Lands and Forest Produce Act. Contrary to this pure conservation approach, respondents suggested that due to their </w:t>
      </w:r>
      <w:proofErr w:type="spellStart"/>
      <w:r w:rsidRPr="0068531F">
        <w:rPr>
          <w:rFonts w:ascii="Times New Roman" w:hAnsi="Times New Roman" w:cs="Times New Roman"/>
          <w:sz w:val="24"/>
          <w:szCs w:val="24"/>
        </w:rPr>
        <w:t>meagre</w:t>
      </w:r>
      <w:proofErr w:type="spellEnd"/>
      <w:r w:rsidRPr="0068531F">
        <w:rPr>
          <w:rFonts w:ascii="Times New Roman" w:hAnsi="Times New Roman" w:cs="Times New Roman"/>
          <w:sz w:val="24"/>
          <w:szCs w:val="24"/>
        </w:rPr>
        <w:t xml:space="preserve"> livelihood sources, as a result of their location, the sustainable commercial harvest</w:t>
      </w:r>
      <w:r w:rsidR="008B0E49">
        <w:rPr>
          <w:rFonts w:ascii="Times New Roman" w:hAnsi="Times New Roman" w:cs="Times New Roman"/>
          <w:sz w:val="24"/>
          <w:szCs w:val="24"/>
        </w:rPr>
        <w:t>ing of natural resources was their</w:t>
      </w:r>
      <w:r w:rsidRPr="0068531F">
        <w:rPr>
          <w:rFonts w:ascii="Times New Roman" w:hAnsi="Times New Roman" w:cs="Times New Roman"/>
          <w:sz w:val="24"/>
          <w:szCs w:val="24"/>
        </w:rPr>
        <w:t xml:space="preserve"> only hope. Unfortunately, no extension advice with respect to such approaches was available.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Restrictive policies were also cited as a potential barrier with respect to the flora and mineral portfolios. These findings suggest that the available environmental policies seem to be more skewed in </w:t>
      </w:r>
      <w:proofErr w:type="spellStart"/>
      <w:r w:rsidRPr="0068531F">
        <w:rPr>
          <w:rFonts w:ascii="Times New Roman" w:hAnsi="Times New Roman" w:cs="Times New Roman"/>
          <w:sz w:val="24"/>
          <w:szCs w:val="24"/>
        </w:rPr>
        <w:t>favour</w:t>
      </w:r>
      <w:proofErr w:type="spellEnd"/>
      <w:r w:rsidRPr="0068531F">
        <w:rPr>
          <w:rFonts w:ascii="Times New Roman" w:hAnsi="Times New Roman" w:cs="Times New Roman"/>
          <w:sz w:val="24"/>
          <w:szCs w:val="24"/>
        </w:rPr>
        <w:t xml:space="preserve"> of pure conservation, at the expense of actual </w:t>
      </w:r>
      <w:proofErr w:type="spellStart"/>
      <w:r w:rsidRPr="0068531F">
        <w:rPr>
          <w:rFonts w:ascii="Times New Roman" w:hAnsi="Times New Roman" w:cs="Times New Roman"/>
          <w:sz w:val="24"/>
          <w:szCs w:val="24"/>
        </w:rPr>
        <w:t>utilisation</w:t>
      </w:r>
      <w:proofErr w:type="spellEnd"/>
      <w:r w:rsidRPr="0068531F">
        <w:rPr>
          <w:rFonts w:ascii="Times New Roman" w:hAnsi="Times New Roman" w:cs="Times New Roman"/>
          <w:sz w:val="24"/>
          <w:szCs w:val="24"/>
        </w:rPr>
        <w:t xml:space="preserve"> with commercial components. The limited extractable area was also cited as a potential barrier; this suggests that the existing buffer zone may have, with time, become too small to accommodate an increasing number of surrounding communities.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The pooled percent share of constraints, per source of livelihood, suggests that the fauna portfolio may have the lowest constraints followed by the flora and, lastly, by the mineral portfolio, as shown in Table 4. Surprisingly, households were choosing other livelihood sources with higher constraint levels (mineral and flora) instead of the fauna po</w:t>
      </w:r>
      <w:r w:rsidR="008B0E49">
        <w:rPr>
          <w:rFonts w:ascii="Times New Roman" w:hAnsi="Times New Roman" w:cs="Times New Roman"/>
          <w:sz w:val="24"/>
          <w:szCs w:val="24"/>
        </w:rPr>
        <w:t xml:space="preserve">rtfolio with few barriers. This observation </w:t>
      </w:r>
      <w:r w:rsidR="008B0E49" w:rsidRPr="0068531F">
        <w:rPr>
          <w:rFonts w:ascii="Times New Roman" w:hAnsi="Times New Roman" w:cs="Times New Roman"/>
          <w:sz w:val="24"/>
          <w:szCs w:val="24"/>
        </w:rPr>
        <w:t>suggests</w:t>
      </w:r>
      <w:r w:rsidRPr="0068531F">
        <w:rPr>
          <w:rFonts w:ascii="Times New Roman" w:hAnsi="Times New Roman" w:cs="Times New Roman"/>
          <w:sz w:val="24"/>
          <w:szCs w:val="24"/>
        </w:rPr>
        <w:t xml:space="preserve"> that the few reported constraints for the fauna portfolio (low returns; insecure property rights) may be significant enough to deter respondents. Public policies that address issues of insecure property rights and meaningful </w:t>
      </w:r>
      <w:r w:rsidRPr="0068531F">
        <w:rPr>
          <w:rFonts w:ascii="Times New Roman" w:hAnsi="Times New Roman" w:cs="Times New Roman"/>
          <w:sz w:val="24"/>
          <w:szCs w:val="24"/>
        </w:rPr>
        <w:lastRenderedPageBreak/>
        <w:t xml:space="preserve">returns may, therefore, go a long way towards unlocking non-farm livelihood sources for rural communities.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Based on the descriptive statistics presented here, low returns and insecure property rights may be some of the major barriers deterring surrounding communities from choosing game farming as a reliable and sustainable livelihood source. Results further suggest that the mineral portfolio may, therefore, be a potential livelihood source in this area.  These findings further provide sufficient descriptive evidence to reject the null hypothesis that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arks </w:t>
      </w:r>
      <w:r w:rsidR="008B0E49">
        <w:rPr>
          <w:rFonts w:ascii="Times New Roman" w:hAnsi="Times New Roman" w:cs="Times New Roman"/>
          <w:sz w:val="24"/>
          <w:szCs w:val="24"/>
        </w:rPr>
        <w:t xml:space="preserve">provide a significant </w:t>
      </w:r>
      <w:r w:rsidRPr="0068531F">
        <w:rPr>
          <w:rFonts w:ascii="Times New Roman" w:hAnsi="Times New Roman" w:cs="Times New Roman"/>
          <w:sz w:val="24"/>
          <w:szCs w:val="24"/>
        </w:rPr>
        <w:t xml:space="preserve">livelihood source for surrounding communities. </w:t>
      </w:r>
    </w:p>
    <w:p w:rsidR="001F0534" w:rsidRPr="00E97307" w:rsidRDefault="00C43955" w:rsidP="00080788">
      <w:pPr>
        <w:pStyle w:val="Heading3"/>
        <w:spacing w:after="240" w:line="360" w:lineRule="auto"/>
        <w:rPr>
          <w:rFonts w:ascii="Times New Roman" w:hAnsi="Times New Roman"/>
          <w:color w:val="auto"/>
          <w:sz w:val="24"/>
          <w:szCs w:val="24"/>
        </w:rPr>
      </w:pPr>
      <w:bookmarkStart w:id="30" w:name="_Toc311701024"/>
      <w:bookmarkStart w:id="31" w:name="_Toc311703932"/>
      <w:r>
        <w:rPr>
          <w:rFonts w:ascii="Times New Roman" w:hAnsi="Times New Roman"/>
          <w:color w:val="auto"/>
          <w:sz w:val="24"/>
          <w:szCs w:val="24"/>
        </w:rPr>
        <w:t xml:space="preserve">6.4 </w:t>
      </w:r>
      <w:r w:rsidR="001F0534" w:rsidRPr="00E97307">
        <w:rPr>
          <w:rFonts w:ascii="Times New Roman" w:hAnsi="Times New Roman"/>
          <w:color w:val="auto"/>
          <w:sz w:val="24"/>
          <w:szCs w:val="24"/>
        </w:rPr>
        <w:t>Determinants of non-farm livelihood adaptation choices</w:t>
      </w:r>
      <w:bookmarkEnd w:id="30"/>
      <w:bookmarkEnd w:id="31"/>
      <w:r>
        <w:rPr>
          <w:rFonts w:ascii="Times New Roman" w:hAnsi="Times New Roman"/>
          <w:color w:val="auto"/>
          <w:sz w:val="24"/>
          <w:szCs w:val="24"/>
        </w:rPr>
        <w:t xml:space="preserve"> -</w:t>
      </w:r>
      <w:r w:rsidR="001F0534" w:rsidRPr="00E97307">
        <w:rPr>
          <w:rFonts w:ascii="Times New Roman" w:hAnsi="Times New Roman"/>
          <w:color w:val="auto"/>
          <w:sz w:val="24"/>
          <w:szCs w:val="24"/>
        </w:rPr>
        <w:t xml:space="preserve"> </w:t>
      </w:r>
      <w:bookmarkStart w:id="32" w:name="_Toc311701026"/>
      <w:bookmarkStart w:id="33" w:name="_Toc311703934"/>
      <w:r>
        <w:rPr>
          <w:rFonts w:ascii="Times New Roman" w:hAnsi="Times New Roman"/>
          <w:color w:val="auto"/>
          <w:sz w:val="24"/>
          <w:szCs w:val="24"/>
        </w:rPr>
        <w:t>i</w:t>
      </w:r>
      <w:r w:rsidR="001F0534" w:rsidRPr="00E97307">
        <w:rPr>
          <w:rFonts w:ascii="Times New Roman" w:hAnsi="Times New Roman"/>
          <w:color w:val="auto"/>
          <w:sz w:val="24"/>
          <w:szCs w:val="24"/>
        </w:rPr>
        <w:t>nferred econometrics results</w:t>
      </w:r>
      <w:bookmarkEnd w:id="32"/>
      <w:bookmarkEnd w:id="33"/>
      <w:r w:rsidR="001F0534" w:rsidRPr="00E97307">
        <w:rPr>
          <w:rFonts w:ascii="Times New Roman" w:hAnsi="Times New Roman"/>
          <w:color w:val="auto"/>
          <w:sz w:val="24"/>
          <w:szCs w:val="24"/>
        </w:rPr>
        <w:t xml:space="preserve"> </w:t>
      </w:r>
    </w:p>
    <w:p w:rsidR="001F0534" w:rsidRPr="0068531F" w:rsidRDefault="001F0534" w:rsidP="00080788">
      <w:pPr>
        <w:spacing w:after="24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This section presents the econometric results of correlates of non-farm livelihood choices for communities who share boundaries with </w:t>
      </w: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Game Park. The multinomial logistic regression results for determinants of non-farm livelihood adaptation choices are presented in Table </w:t>
      </w:r>
      <w:r w:rsidR="00C43955">
        <w:rPr>
          <w:rFonts w:ascii="Times New Roman" w:hAnsi="Times New Roman" w:cs="Times New Roman"/>
          <w:sz w:val="24"/>
          <w:szCs w:val="24"/>
        </w:rPr>
        <w:t>6</w:t>
      </w:r>
      <w:r w:rsidRPr="0068531F">
        <w:rPr>
          <w:rFonts w:ascii="Times New Roman" w:hAnsi="Times New Roman" w:cs="Times New Roman"/>
          <w:sz w:val="24"/>
          <w:szCs w:val="24"/>
        </w:rPr>
        <w:t>. With reference to the proportion of variance in the dependent variable associated with the predictor variables, a pseudo R</w:t>
      </w:r>
      <w:r w:rsidRPr="0068531F">
        <w:rPr>
          <w:rFonts w:ascii="Times New Roman" w:hAnsi="Times New Roman" w:cs="Times New Roman"/>
          <w:sz w:val="24"/>
          <w:szCs w:val="24"/>
          <w:vertAlign w:val="superscript"/>
        </w:rPr>
        <w:t>2</w:t>
      </w:r>
      <w:r w:rsidRPr="0068531F">
        <w:rPr>
          <w:rFonts w:ascii="Times New Roman" w:hAnsi="Times New Roman" w:cs="Times New Roman"/>
          <w:sz w:val="24"/>
          <w:szCs w:val="24"/>
        </w:rPr>
        <w:t xml:space="preserve"> of 0.555 was obtained, as shown in Table </w:t>
      </w:r>
      <w:r w:rsidR="00C43955">
        <w:rPr>
          <w:rFonts w:ascii="Times New Roman" w:hAnsi="Times New Roman" w:cs="Times New Roman"/>
          <w:sz w:val="24"/>
          <w:szCs w:val="24"/>
        </w:rPr>
        <w:t>6</w:t>
      </w:r>
      <w:r w:rsidRPr="0068531F">
        <w:rPr>
          <w:rFonts w:ascii="Times New Roman" w:hAnsi="Times New Roman" w:cs="Times New Roman"/>
          <w:sz w:val="24"/>
          <w:szCs w:val="24"/>
        </w:rPr>
        <w:t xml:space="preserve">; this suggests that more of the variation was explained by the model. The model fit, as </w:t>
      </w:r>
      <w:proofErr w:type="spellStart"/>
      <w:r w:rsidRPr="0068531F">
        <w:rPr>
          <w:rFonts w:ascii="Times New Roman" w:hAnsi="Times New Roman" w:cs="Times New Roman"/>
          <w:sz w:val="24"/>
          <w:szCs w:val="24"/>
        </w:rPr>
        <w:t>summarised</w:t>
      </w:r>
      <w:proofErr w:type="spellEnd"/>
      <w:r w:rsidRPr="0068531F">
        <w:rPr>
          <w:rFonts w:ascii="Times New Roman" w:hAnsi="Times New Roman" w:cs="Times New Roman"/>
          <w:sz w:val="24"/>
          <w:szCs w:val="24"/>
        </w:rPr>
        <w:t xml:space="preserve"> by the likelihood ratio test (LR) of the model (final) against one in which all the parameter coefficients are null (0), resulted in a significant Chi-Square (169.905: 0.000) suggesting that the final model outperformed the null. </w:t>
      </w:r>
    </w:p>
    <w:p w:rsidR="001F0534" w:rsidRDefault="001F0534" w:rsidP="00080788">
      <w:pPr>
        <w:autoSpaceDE w:val="0"/>
        <w:autoSpaceDN w:val="0"/>
        <w:adjustRightInd w:val="0"/>
        <w:spacing w:before="240" w:after="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results, as presented in Table </w:t>
      </w:r>
      <w:r w:rsidR="00C43955">
        <w:rPr>
          <w:rFonts w:ascii="Times New Roman" w:hAnsi="Times New Roman" w:cs="Times New Roman"/>
          <w:sz w:val="24"/>
          <w:szCs w:val="24"/>
        </w:rPr>
        <w:t>6</w:t>
      </w:r>
      <w:r w:rsidRPr="0068531F">
        <w:rPr>
          <w:rFonts w:ascii="Times New Roman" w:hAnsi="Times New Roman" w:cs="Times New Roman"/>
          <w:sz w:val="24"/>
          <w:szCs w:val="24"/>
        </w:rPr>
        <w:t>, suggest that gender, wealth status, market and age condition non-farm livelihood choices of households with reference to the mineral portfolio. Gender, extension and land size condition non-farm livelihood choices of households with reference to the flora</w:t>
      </w:r>
      <w:r w:rsidR="00415A39">
        <w:rPr>
          <w:rFonts w:ascii="Times New Roman" w:hAnsi="Times New Roman" w:cs="Times New Roman"/>
          <w:sz w:val="24"/>
          <w:szCs w:val="24"/>
        </w:rPr>
        <w:t xml:space="preserve"> portfolio</w:t>
      </w:r>
      <w:r w:rsidRPr="0068531F">
        <w:rPr>
          <w:rFonts w:ascii="Times New Roman" w:hAnsi="Times New Roman" w:cs="Times New Roman"/>
          <w:sz w:val="24"/>
          <w:szCs w:val="24"/>
        </w:rPr>
        <w:t xml:space="preserve">. Access to formal markets also influences the non-farm livelihood choices of households with reference to the fauna portfolio. </w:t>
      </w:r>
    </w:p>
    <w:p w:rsidR="00415A39" w:rsidRDefault="00415A39" w:rsidP="00080788">
      <w:pPr>
        <w:spacing w:before="240" w:line="360" w:lineRule="auto"/>
        <w:jc w:val="both"/>
        <w:rPr>
          <w:rFonts w:ascii="Times New Roman" w:hAnsi="Times New Roman" w:cs="Times New Roman"/>
          <w:sz w:val="24"/>
          <w:szCs w:val="24"/>
        </w:rPr>
      </w:pPr>
      <w:r w:rsidRPr="0068531F">
        <w:rPr>
          <w:rFonts w:ascii="Times New Roman" w:hAnsi="Times New Roman" w:cs="Times New Roman"/>
          <w:sz w:val="24"/>
          <w:szCs w:val="24"/>
        </w:rPr>
        <w:t>With reference to age, the results (-0.090: 0.008) suggest that young households currently absorbed in mixed farming may be more willing to choose the mineral portfolio than older households.</w:t>
      </w:r>
      <w:r w:rsidRPr="00415A39">
        <w:rPr>
          <w:rFonts w:ascii="Times New Roman" w:hAnsi="Times New Roman" w:cs="Times New Roman"/>
          <w:sz w:val="24"/>
          <w:szCs w:val="24"/>
        </w:rPr>
        <w:t xml:space="preserve"> </w:t>
      </w:r>
      <w:r w:rsidRPr="0068531F">
        <w:rPr>
          <w:rFonts w:ascii="Times New Roman" w:hAnsi="Times New Roman" w:cs="Times New Roman"/>
          <w:sz w:val="24"/>
          <w:szCs w:val="24"/>
        </w:rPr>
        <w:t xml:space="preserve">The high return – low investment and “quick cash” possible with gold panning may be its “pulling” factors, regardless of several constraints associated with the mineral portfolio for the young who are normally risk takers. The observed reluctance to choose mining as an option, by older households, may be due to the fact that older people may have less time and physical strength to engage in mining activities. In addition, older households </w:t>
      </w:r>
      <w:r w:rsidRPr="0068531F">
        <w:rPr>
          <w:rFonts w:ascii="Times New Roman" w:hAnsi="Times New Roman" w:cs="Times New Roman"/>
          <w:sz w:val="24"/>
          <w:szCs w:val="24"/>
        </w:rPr>
        <w:lastRenderedPageBreak/>
        <w:t xml:space="preserve">may have more experience and accumulated high social capital capable of assisting them to survive under farming. Similar comparable conclusions were inferred by </w:t>
      </w:r>
      <w:proofErr w:type="spellStart"/>
      <w:r w:rsidRPr="0068531F">
        <w:rPr>
          <w:rFonts w:ascii="Times New Roman" w:hAnsi="Times New Roman" w:cs="Times New Roman"/>
          <w:sz w:val="24"/>
          <w:szCs w:val="24"/>
        </w:rPr>
        <w:t>Kohlin</w:t>
      </w:r>
      <w:proofErr w:type="spellEnd"/>
      <w:r w:rsidRPr="0068531F">
        <w:rPr>
          <w:rFonts w:ascii="Times New Roman" w:hAnsi="Times New Roman" w:cs="Times New Roman"/>
          <w:sz w:val="24"/>
          <w:szCs w:val="24"/>
        </w:rPr>
        <w:t xml:space="preserve"> and Parks (2001) and </w:t>
      </w:r>
      <w:proofErr w:type="spellStart"/>
      <w:r w:rsidRPr="0068531F">
        <w:rPr>
          <w:rFonts w:ascii="Times New Roman" w:hAnsi="Times New Roman" w:cs="Times New Roman"/>
          <w:sz w:val="24"/>
          <w:szCs w:val="24"/>
        </w:rPr>
        <w:t>Vedeld</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w:t>
      </w:r>
      <w:r>
        <w:rPr>
          <w:rFonts w:ascii="Times New Roman" w:hAnsi="Times New Roman" w:cs="Times New Roman"/>
          <w:sz w:val="24"/>
          <w:szCs w:val="24"/>
        </w:rPr>
        <w:t>,</w:t>
      </w:r>
      <w:r w:rsidRPr="0068531F">
        <w:rPr>
          <w:rFonts w:ascii="Times New Roman" w:hAnsi="Times New Roman" w:cs="Times New Roman"/>
          <w:sz w:val="24"/>
          <w:szCs w:val="24"/>
        </w:rPr>
        <w:t xml:space="preserve"> (2004) with reference to the willingness to participate in forest activities. </w:t>
      </w:r>
    </w:p>
    <w:p w:rsidR="001F0534" w:rsidRPr="0068531F" w:rsidRDefault="001F0534" w:rsidP="001F0534">
      <w:pPr>
        <w:spacing w:line="480" w:lineRule="auto"/>
        <w:jc w:val="both"/>
        <w:rPr>
          <w:rFonts w:ascii="Times New Roman" w:hAnsi="Times New Roman" w:cs="Times New Roman"/>
          <w:sz w:val="24"/>
          <w:szCs w:val="24"/>
        </w:rPr>
      </w:pPr>
      <w:r w:rsidRPr="0068531F">
        <w:rPr>
          <w:rFonts w:ascii="Times New Roman" w:hAnsi="Times New Roman" w:cs="Times New Roman"/>
          <w:b/>
          <w:sz w:val="24"/>
          <w:szCs w:val="24"/>
        </w:rPr>
        <w:t xml:space="preserve">Table </w:t>
      </w:r>
      <w:r w:rsidR="00C43955">
        <w:rPr>
          <w:rFonts w:ascii="Times New Roman" w:hAnsi="Times New Roman" w:cs="Times New Roman"/>
          <w:b/>
          <w:sz w:val="24"/>
          <w:szCs w:val="24"/>
        </w:rPr>
        <w:t>6</w:t>
      </w:r>
      <w:r w:rsidRPr="0068531F">
        <w:rPr>
          <w:rFonts w:ascii="Times New Roman" w:hAnsi="Times New Roman" w:cs="Times New Roman"/>
          <w:b/>
          <w:sz w:val="24"/>
          <w:szCs w:val="24"/>
        </w:rPr>
        <w:t>:</w:t>
      </w:r>
      <w:r w:rsidRPr="0068531F">
        <w:rPr>
          <w:rFonts w:ascii="Times New Roman" w:hAnsi="Times New Roman" w:cs="Times New Roman"/>
          <w:sz w:val="24"/>
          <w:szCs w:val="24"/>
        </w:rPr>
        <w:t xml:space="preserve"> </w:t>
      </w:r>
      <w:r w:rsidR="00415A39">
        <w:rPr>
          <w:rFonts w:ascii="Times New Roman" w:hAnsi="Times New Roman" w:cs="Times New Roman"/>
          <w:sz w:val="24"/>
          <w:szCs w:val="24"/>
        </w:rPr>
        <w:t xml:space="preserve">Determinants </w:t>
      </w:r>
      <w:r w:rsidRPr="0068531F">
        <w:rPr>
          <w:rFonts w:ascii="Times New Roman" w:hAnsi="Times New Roman" w:cs="Times New Roman"/>
          <w:sz w:val="24"/>
          <w:szCs w:val="24"/>
        </w:rPr>
        <w:t xml:space="preserve">of non-farm livelihood adaptation choices </w:t>
      </w:r>
    </w:p>
    <w:tbl>
      <w:tblPr>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2034"/>
        <w:gridCol w:w="1849"/>
        <w:gridCol w:w="1849"/>
      </w:tblGrid>
      <w:tr w:rsidR="001F0534" w:rsidRPr="000A1865" w:rsidTr="001F0534">
        <w:trPr>
          <w:trHeight w:val="735"/>
          <w:jc w:val="center"/>
        </w:trPr>
        <w:tc>
          <w:tcPr>
            <w:tcW w:w="2660" w:type="dxa"/>
            <w:vMerge w:val="restart"/>
          </w:tcPr>
          <w:p w:rsidR="001F0534" w:rsidRDefault="001F0534" w:rsidP="001F0534">
            <w:pPr>
              <w:spacing w:after="0"/>
              <w:jc w:val="both"/>
              <w:rPr>
                <w:sz w:val="18"/>
                <w:szCs w:val="18"/>
              </w:rPr>
            </w:pPr>
          </w:p>
          <w:p w:rsidR="001F0534" w:rsidRPr="008A35CD" w:rsidRDefault="001F0534" w:rsidP="001F0534">
            <w:pPr>
              <w:spacing w:after="0"/>
              <w:jc w:val="center"/>
              <w:rPr>
                <w:b/>
                <w:sz w:val="18"/>
                <w:szCs w:val="18"/>
              </w:rPr>
            </w:pPr>
            <w:r w:rsidRPr="008A35CD">
              <w:rPr>
                <w:b/>
                <w:sz w:val="18"/>
                <w:szCs w:val="18"/>
              </w:rPr>
              <w:t>Predictor Variables</w:t>
            </w:r>
          </w:p>
        </w:tc>
        <w:tc>
          <w:tcPr>
            <w:tcW w:w="5732" w:type="dxa"/>
            <w:gridSpan w:val="3"/>
          </w:tcPr>
          <w:p w:rsidR="001F0534" w:rsidRDefault="001F0534" w:rsidP="001F0534">
            <w:pPr>
              <w:spacing w:after="0"/>
              <w:jc w:val="center"/>
              <w:rPr>
                <w:sz w:val="18"/>
                <w:szCs w:val="18"/>
              </w:rPr>
            </w:pPr>
          </w:p>
          <w:p w:rsidR="001F0534" w:rsidRPr="008A35CD" w:rsidRDefault="001F0534" w:rsidP="001F0534">
            <w:pPr>
              <w:spacing w:after="0"/>
              <w:jc w:val="center"/>
              <w:rPr>
                <w:b/>
                <w:sz w:val="18"/>
                <w:szCs w:val="18"/>
              </w:rPr>
            </w:pPr>
            <w:r w:rsidRPr="008A35CD">
              <w:rPr>
                <w:b/>
                <w:sz w:val="18"/>
                <w:szCs w:val="18"/>
              </w:rPr>
              <w:t>Reported livelihoods adaptation choices</w:t>
            </w:r>
          </w:p>
          <w:p w:rsidR="001F0534" w:rsidRPr="000A1865" w:rsidRDefault="001F0534" w:rsidP="001F0534">
            <w:pPr>
              <w:spacing w:after="0"/>
              <w:jc w:val="center"/>
              <w:rPr>
                <w:sz w:val="18"/>
                <w:szCs w:val="18"/>
              </w:rPr>
            </w:pPr>
          </w:p>
        </w:tc>
      </w:tr>
      <w:tr w:rsidR="001F0534" w:rsidRPr="000A1865" w:rsidTr="001F0534">
        <w:trPr>
          <w:jc w:val="center"/>
        </w:trPr>
        <w:tc>
          <w:tcPr>
            <w:tcW w:w="2660" w:type="dxa"/>
            <w:vMerge/>
          </w:tcPr>
          <w:p w:rsidR="001F0534" w:rsidRPr="000A1865" w:rsidRDefault="001F0534" w:rsidP="001F0534">
            <w:pPr>
              <w:spacing w:after="0"/>
              <w:jc w:val="center"/>
              <w:rPr>
                <w:sz w:val="18"/>
                <w:szCs w:val="18"/>
              </w:rPr>
            </w:pPr>
          </w:p>
        </w:tc>
        <w:tc>
          <w:tcPr>
            <w:tcW w:w="2034" w:type="dxa"/>
          </w:tcPr>
          <w:p w:rsidR="001F0534" w:rsidRPr="008A35CD" w:rsidRDefault="001F0534" w:rsidP="001F0534">
            <w:pPr>
              <w:spacing w:after="0"/>
              <w:jc w:val="center"/>
              <w:rPr>
                <w:b/>
                <w:sz w:val="18"/>
                <w:szCs w:val="18"/>
              </w:rPr>
            </w:pPr>
            <w:r w:rsidRPr="008A35CD">
              <w:rPr>
                <w:b/>
                <w:sz w:val="18"/>
                <w:szCs w:val="18"/>
              </w:rPr>
              <w:t>Mineral Portfolio</w:t>
            </w:r>
          </w:p>
        </w:tc>
        <w:tc>
          <w:tcPr>
            <w:tcW w:w="1849" w:type="dxa"/>
          </w:tcPr>
          <w:p w:rsidR="001F0534" w:rsidRPr="008A35CD" w:rsidRDefault="001F0534" w:rsidP="001F0534">
            <w:pPr>
              <w:spacing w:after="0"/>
              <w:jc w:val="center"/>
              <w:rPr>
                <w:b/>
                <w:sz w:val="18"/>
                <w:szCs w:val="18"/>
              </w:rPr>
            </w:pPr>
            <w:r w:rsidRPr="008A35CD">
              <w:rPr>
                <w:b/>
                <w:sz w:val="18"/>
                <w:szCs w:val="18"/>
              </w:rPr>
              <w:t>Flora Portfolio</w:t>
            </w:r>
          </w:p>
        </w:tc>
        <w:tc>
          <w:tcPr>
            <w:tcW w:w="1849" w:type="dxa"/>
          </w:tcPr>
          <w:p w:rsidR="001F0534" w:rsidRPr="008A35CD" w:rsidRDefault="001F0534" w:rsidP="001F0534">
            <w:pPr>
              <w:spacing w:after="0"/>
              <w:jc w:val="center"/>
              <w:rPr>
                <w:b/>
                <w:sz w:val="18"/>
                <w:szCs w:val="18"/>
              </w:rPr>
            </w:pPr>
            <w:r w:rsidRPr="008A35CD">
              <w:rPr>
                <w:b/>
                <w:sz w:val="18"/>
                <w:szCs w:val="18"/>
              </w:rPr>
              <w:t>Fauna Portfolio</w:t>
            </w:r>
          </w:p>
        </w:tc>
      </w:tr>
      <w:tr w:rsidR="001F0534" w:rsidRPr="000A1865" w:rsidTr="001F0534">
        <w:trPr>
          <w:jc w:val="center"/>
        </w:trPr>
        <w:tc>
          <w:tcPr>
            <w:tcW w:w="8392" w:type="dxa"/>
            <w:gridSpan w:val="4"/>
          </w:tcPr>
          <w:p w:rsidR="001F0534" w:rsidRPr="000A1865" w:rsidRDefault="001F0534" w:rsidP="001F0534">
            <w:pPr>
              <w:spacing w:after="0"/>
              <w:jc w:val="both"/>
              <w:rPr>
                <w:sz w:val="18"/>
                <w:szCs w:val="18"/>
              </w:rPr>
            </w:pP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Education</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-0.084</w:t>
            </w:r>
          </w:p>
          <w:p w:rsidR="001F0534" w:rsidRPr="000A1865" w:rsidRDefault="001F0534" w:rsidP="001F0534">
            <w:pPr>
              <w:spacing w:after="0"/>
              <w:jc w:val="center"/>
              <w:rPr>
                <w:sz w:val="18"/>
                <w:szCs w:val="18"/>
              </w:rPr>
            </w:pPr>
            <w:r w:rsidRPr="000A1865">
              <w:rPr>
                <w:rFonts w:cs="Arial"/>
                <w:color w:val="000000"/>
                <w:sz w:val="18"/>
                <w:szCs w:val="18"/>
              </w:rPr>
              <w:t>[0.855]</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-0.183</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[0.710]</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-1.156</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[0.162]</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Age</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-0.090</w:t>
            </w:r>
          </w:p>
          <w:p w:rsidR="001F0534" w:rsidRPr="000A1865" w:rsidRDefault="001F0534" w:rsidP="001F0534">
            <w:pPr>
              <w:spacing w:after="0"/>
              <w:jc w:val="center"/>
              <w:rPr>
                <w:sz w:val="18"/>
                <w:szCs w:val="18"/>
              </w:rPr>
            </w:pPr>
            <w:r w:rsidRPr="000A1865">
              <w:rPr>
                <w:rFonts w:cs="Arial"/>
                <w:color w:val="000000"/>
                <w:sz w:val="18"/>
                <w:szCs w:val="18"/>
              </w:rPr>
              <w:t>[0.008]*</w:t>
            </w:r>
            <w:r>
              <w:rPr>
                <w:rFonts w:cs="Arial"/>
                <w:color w:val="000000"/>
                <w:sz w:val="18"/>
                <w:szCs w:val="18"/>
              </w:rPr>
              <w:t>*</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0.041</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[0.255]</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-0.046</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[0.423]</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Gender</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2.217</w:t>
            </w:r>
          </w:p>
          <w:p w:rsidR="001F0534" w:rsidRPr="000A1865" w:rsidRDefault="001F0534" w:rsidP="001F0534">
            <w:pPr>
              <w:spacing w:after="0"/>
              <w:jc w:val="center"/>
              <w:rPr>
                <w:sz w:val="18"/>
                <w:szCs w:val="18"/>
              </w:rPr>
            </w:pPr>
            <w:r w:rsidRPr="000A1865">
              <w:rPr>
                <w:rFonts w:cs="Arial"/>
                <w:color w:val="000000"/>
                <w:sz w:val="18"/>
                <w:szCs w:val="18"/>
              </w:rPr>
              <w:t>[0.004]*</w:t>
            </w:r>
            <w:r>
              <w:rPr>
                <w:rFonts w:cs="Arial"/>
                <w:color w:val="000000"/>
                <w:sz w:val="18"/>
                <w:szCs w:val="18"/>
              </w:rPr>
              <w:t>*</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-1.434</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[0.034]*</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-0.910</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[0.496]</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Wealth Status</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1.415</w:t>
            </w:r>
          </w:p>
          <w:p w:rsidR="001F0534" w:rsidRPr="000A1865" w:rsidRDefault="001F0534" w:rsidP="001F0534">
            <w:pPr>
              <w:spacing w:after="0"/>
              <w:jc w:val="center"/>
              <w:rPr>
                <w:sz w:val="18"/>
                <w:szCs w:val="18"/>
              </w:rPr>
            </w:pPr>
            <w:r w:rsidRPr="000A1865">
              <w:rPr>
                <w:rFonts w:cs="Arial"/>
                <w:color w:val="000000"/>
                <w:sz w:val="18"/>
                <w:szCs w:val="18"/>
              </w:rPr>
              <w:t>[0.002]*</w:t>
            </w:r>
            <w:r>
              <w:rPr>
                <w:rFonts w:cs="Arial"/>
                <w:color w:val="000000"/>
                <w:sz w:val="18"/>
                <w:szCs w:val="18"/>
              </w:rPr>
              <w:t>*</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0.070</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[0.886]</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1.018</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[0.233]</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Extension</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0.793</w:t>
            </w:r>
          </w:p>
          <w:p w:rsidR="001F0534" w:rsidRPr="000A1865" w:rsidRDefault="001F0534" w:rsidP="001F0534">
            <w:pPr>
              <w:spacing w:after="0"/>
              <w:jc w:val="center"/>
              <w:rPr>
                <w:sz w:val="18"/>
                <w:szCs w:val="18"/>
              </w:rPr>
            </w:pPr>
            <w:r w:rsidRPr="000A1865">
              <w:rPr>
                <w:rFonts w:cs="Arial"/>
                <w:color w:val="000000"/>
                <w:sz w:val="18"/>
                <w:szCs w:val="18"/>
              </w:rPr>
              <w:t>[0.318]</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-2.059</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[0.002]*</w:t>
            </w:r>
            <w:r>
              <w:rPr>
                <w:rFonts w:cs="Arial"/>
                <w:color w:val="000000"/>
                <w:sz w:val="18"/>
                <w:szCs w:val="18"/>
              </w:rPr>
              <w:t>*</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-0.190</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[0.894]</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Market</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1.572</w:t>
            </w:r>
          </w:p>
          <w:p w:rsidR="001F0534" w:rsidRPr="000A1865" w:rsidRDefault="001F0534" w:rsidP="001F0534">
            <w:pPr>
              <w:spacing w:after="0"/>
              <w:jc w:val="center"/>
              <w:rPr>
                <w:sz w:val="18"/>
                <w:szCs w:val="18"/>
              </w:rPr>
            </w:pPr>
            <w:r w:rsidRPr="000A1865">
              <w:rPr>
                <w:rFonts w:cs="Arial"/>
                <w:color w:val="000000"/>
                <w:sz w:val="18"/>
                <w:szCs w:val="18"/>
              </w:rPr>
              <w:t>[0.041]*</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0.345</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[0.502]</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-2.718</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[0.007]*</w:t>
            </w:r>
            <w:r>
              <w:rPr>
                <w:rFonts w:cs="Arial"/>
                <w:color w:val="000000"/>
                <w:sz w:val="18"/>
                <w:szCs w:val="18"/>
              </w:rPr>
              <w:t>*</w:t>
            </w:r>
          </w:p>
        </w:tc>
      </w:tr>
      <w:tr w:rsidR="001F0534" w:rsidRPr="000A1865" w:rsidTr="001F0534">
        <w:trPr>
          <w:jc w:val="center"/>
        </w:trPr>
        <w:tc>
          <w:tcPr>
            <w:tcW w:w="2660" w:type="dxa"/>
          </w:tcPr>
          <w:p w:rsidR="001F0534" w:rsidRPr="000A1865" w:rsidRDefault="001F0534" w:rsidP="00AE25FC">
            <w:pPr>
              <w:numPr>
                <w:ilvl w:val="0"/>
                <w:numId w:val="10"/>
              </w:numPr>
              <w:autoSpaceDE w:val="0"/>
              <w:autoSpaceDN w:val="0"/>
              <w:adjustRightInd w:val="0"/>
              <w:spacing w:after="0"/>
              <w:ind w:right="60"/>
              <w:rPr>
                <w:rFonts w:cs="Arial"/>
                <w:color w:val="000000"/>
                <w:sz w:val="18"/>
                <w:szCs w:val="18"/>
              </w:rPr>
            </w:pPr>
            <w:r w:rsidRPr="000A1865">
              <w:rPr>
                <w:rFonts w:cs="Arial"/>
                <w:color w:val="000000"/>
                <w:sz w:val="18"/>
                <w:szCs w:val="18"/>
              </w:rPr>
              <w:t>Land Size</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0.703</w:t>
            </w:r>
          </w:p>
          <w:p w:rsidR="001F0534" w:rsidRPr="000A1865" w:rsidRDefault="001F0534" w:rsidP="001F0534">
            <w:pPr>
              <w:spacing w:after="0"/>
              <w:jc w:val="center"/>
              <w:rPr>
                <w:sz w:val="18"/>
                <w:szCs w:val="18"/>
              </w:rPr>
            </w:pPr>
            <w:r w:rsidRPr="000A1865">
              <w:rPr>
                <w:rFonts w:cs="Arial"/>
                <w:color w:val="000000"/>
                <w:sz w:val="18"/>
                <w:szCs w:val="18"/>
              </w:rPr>
              <w:t>[0.128]</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1.429</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[0.029]*</w:t>
            </w:r>
          </w:p>
        </w:tc>
        <w:tc>
          <w:tcPr>
            <w:tcW w:w="1849" w:type="dxa"/>
          </w:tcPr>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1.483</w:t>
            </w:r>
          </w:p>
          <w:p w:rsidR="001F0534" w:rsidRPr="000A1865" w:rsidRDefault="001F0534" w:rsidP="001F0534">
            <w:pPr>
              <w:autoSpaceDE w:val="0"/>
              <w:autoSpaceDN w:val="0"/>
              <w:adjustRightInd w:val="0"/>
              <w:spacing w:after="0"/>
              <w:ind w:left="60" w:right="60"/>
              <w:jc w:val="center"/>
              <w:rPr>
                <w:rFonts w:cs="Arial"/>
                <w:color w:val="000000"/>
                <w:sz w:val="18"/>
                <w:szCs w:val="18"/>
              </w:rPr>
            </w:pPr>
            <w:r w:rsidRPr="000A1865">
              <w:rPr>
                <w:rFonts w:cs="Arial"/>
                <w:color w:val="000000"/>
                <w:sz w:val="18"/>
                <w:szCs w:val="18"/>
              </w:rPr>
              <w:t>[0.137]</w:t>
            </w:r>
          </w:p>
        </w:tc>
      </w:tr>
      <w:tr w:rsidR="001F0534" w:rsidRPr="000A1865" w:rsidTr="001F0534">
        <w:trPr>
          <w:jc w:val="center"/>
        </w:trPr>
        <w:tc>
          <w:tcPr>
            <w:tcW w:w="2660" w:type="dxa"/>
          </w:tcPr>
          <w:p w:rsidR="001F0534" w:rsidRPr="000A1865" w:rsidRDefault="001F0534" w:rsidP="001F0534">
            <w:pPr>
              <w:autoSpaceDE w:val="0"/>
              <w:autoSpaceDN w:val="0"/>
              <w:adjustRightInd w:val="0"/>
              <w:spacing w:after="0"/>
              <w:ind w:left="60" w:right="60"/>
              <w:rPr>
                <w:rFonts w:cs="Arial"/>
                <w:color w:val="000000"/>
                <w:sz w:val="18"/>
                <w:szCs w:val="18"/>
              </w:rPr>
            </w:pPr>
            <w:r w:rsidRPr="000A1865">
              <w:rPr>
                <w:rFonts w:cs="Arial"/>
                <w:color w:val="000000"/>
                <w:sz w:val="18"/>
                <w:szCs w:val="18"/>
              </w:rPr>
              <w:t>Intercept</w:t>
            </w:r>
          </w:p>
        </w:tc>
        <w:tc>
          <w:tcPr>
            <w:tcW w:w="2034"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-2.272</w:t>
            </w:r>
          </w:p>
          <w:p w:rsidR="001F0534" w:rsidRPr="000A1865" w:rsidRDefault="001F0534" w:rsidP="001F0534">
            <w:pPr>
              <w:spacing w:after="0"/>
              <w:jc w:val="center"/>
              <w:rPr>
                <w:sz w:val="18"/>
                <w:szCs w:val="18"/>
              </w:rPr>
            </w:pPr>
            <w:r w:rsidRPr="000A1865">
              <w:rPr>
                <w:rFonts w:cs="Arial"/>
                <w:color w:val="000000"/>
                <w:sz w:val="18"/>
                <w:szCs w:val="18"/>
              </w:rPr>
              <w:t>[0.146]</w:t>
            </w:r>
          </w:p>
        </w:tc>
        <w:tc>
          <w:tcPr>
            <w:tcW w:w="1849"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-3.515</w:t>
            </w:r>
          </w:p>
          <w:p w:rsidR="001F0534" w:rsidRPr="000A1865" w:rsidRDefault="001F0534" w:rsidP="001F0534">
            <w:pPr>
              <w:spacing w:after="0"/>
              <w:jc w:val="center"/>
              <w:rPr>
                <w:sz w:val="18"/>
                <w:szCs w:val="18"/>
              </w:rPr>
            </w:pPr>
            <w:r w:rsidRPr="000A1865">
              <w:rPr>
                <w:rFonts w:cs="Arial"/>
                <w:color w:val="000000"/>
                <w:sz w:val="18"/>
                <w:szCs w:val="18"/>
              </w:rPr>
              <w:t>[0.016]*</w:t>
            </w:r>
          </w:p>
        </w:tc>
        <w:tc>
          <w:tcPr>
            <w:tcW w:w="1849" w:type="dxa"/>
          </w:tcPr>
          <w:p w:rsidR="001F0534" w:rsidRPr="000A1865" w:rsidRDefault="001F0534" w:rsidP="001F0534">
            <w:pPr>
              <w:spacing w:after="0"/>
              <w:jc w:val="center"/>
              <w:rPr>
                <w:rFonts w:cs="Arial"/>
                <w:color w:val="000000"/>
                <w:sz w:val="18"/>
                <w:szCs w:val="18"/>
              </w:rPr>
            </w:pPr>
            <w:r w:rsidRPr="000A1865">
              <w:rPr>
                <w:rFonts w:cs="Arial"/>
                <w:color w:val="000000"/>
                <w:sz w:val="18"/>
                <w:szCs w:val="18"/>
              </w:rPr>
              <w:t>-0.323</w:t>
            </w:r>
          </w:p>
          <w:p w:rsidR="001F0534" w:rsidRPr="000A1865" w:rsidRDefault="001F0534" w:rsidP="001F0534">
            <w:pPr>
              <w:spacing w:after="0"/>
              <w:jc w:val="center"/>
              <w:rPr>
                <w:sz w:val="18"/>
                <w:szCs w:val="18"/>
              </w:rPr>
            </w:pPr>
            <w:r w:rsidRPr="000A1865">
              <w:rPr>
                <w:rFonts w:cs="Arial"/>
                <w:color w:val="000000"/>
                <w:sz w:val="18"/>
                <w:szCs w:val="18"/>
              </w:rPr>
              <w:t>[0.894]</w:t>
            </w:r>
          </w:p>
        </w:tc>
      </w:tr>
      <w:tr w:rsidR="001F0534" w:rsidRPr="000A1865" w:rsidTr="001F0534">
        <w:trPr>
          <w:jc w:val="center"/>
        </w:trPr>
        <w:tc>
          <w:tcPr>
            <w:tcW w:w="8392" w:type="dxa"/>
            <w:gridSpan w:val="4"/>
          </w:tcPr>
          <w:p w:rsidR="001F0534" w:rsidRPr="000A1865" w:rsidRDefault="001F0534" w:rsidP="001F0534">
            <w:pPr>
              <w:spacing w:after="0"/>
              <w:jc w:val="both"/>
              <w:rPr>
                <w:sz w:val="18"/>
                <w:szCs w:val="18"/>
              </w:rPr>
            </w:pPr>
          </w:p>
        </w:tc>
      </w:tr>
      <w:tr w:rsidR="001F0534" w:rsidRPr="000A1865" w:rsidTr="001F0534">
        <w:trPr>
          <w:jc w:val="center"/>
        </w:trPr>
        <w:tc>
          <w:tcPr>
            <w:tcW w:w="2660" w:type="dxa"/>
          </w:tcPr>
          <w:p w:rsidR="001F0534" w:rsidRPr="000A1865" w:rsidRDefault="001F0534" w:rsidP="00AE25FC">
            <w:pPr>
              <w:numPr>
                <w:ilvl w:val="0"/>
                <w:numId w:val="5"/>
              </w:numPr>
              <w:spacing w:after="0"/>
              <w:rPr>
                <w:sz w:val="18"/>
                <w:szCs w:val="18"/>
              </w:rPr>
            </w:pPr>
            <w:r w:rsidRPr="000A1865">
              <w:rPr>
                <w:sz w:val="18"/>
                <w:szCs w:val="18"/>
              </w:rPr>
              <w:t xml:space="preserve">Base Category </w:t>
            </w:r>
          </w:p>
        </w:tc>
        <w:tc>
          <w:tcPr>
            <w:tcW w:w="5732" w:type="dxa"/>
            <w:gridSpan w:val="3"/>
          </w:tcPr>
          <w:p w:rsidR="001F0534" w:rsidRPr="000A1865" w:rsidRDefault="001F0534" w:rsidP="001F0534">
            <w:pPr>
              <w:spacing w:after="0"/>
              <w:jc w:val="center"/>
              <w:rPr>
                <w:sz w:val="18"/>
                <w:szCs w:val="18"/>
              </w:rPr>
            </w:pPr>
            <w:r>
              <w:rPr>
                <w:sz w:val="18"/>
                <w:szCs w:val="18"/>
              </w:rPr>
              <w:t>Mixed farming</w:t>
            </w:r>
          </w:p>
        </w:tc>
      </w:tr>
      <w:tr w:rsidR="001F0534" w:rsidRPr="000A1865" w:rsidTr="001F0534">
        <w:trPr>
          <w:jc w:val="center"/>
        </w:trPr>
        <w:tc>
          <w:tcPr>
            <w:tcW w:w="2660" w:type="dxa"/>
          </w:tcPr>
          <w:p w:rsidR="001F0534" w:rsidRPr="000A1865" w:rsidRDefault="001F0534" w:rsidP="00AE25FC">
            <w:pPr>
              <w:numPr>
                <w:ilvl w:val="0"/>
                <w:numId w:val="5"/>
              </w:numPr>
              <w:spacing w:after="0"/>
              <w:rPr>
                <w:sz w:val="18"/>
                <w:szCs w:val="18"/>
              </w:rPr>
            </w:pPr>
            <w:r w:rsidRPr="000A1865">
              <w:rPr>
                <w:sz w:val="18"/>
                <w:szCs w:val="18"/>
              </w:rPr>
              <w:t>No. of Observations</w:t>
            </w:r>
          </w:p>
        </w:tc>
        <w:tc>
          <w:tcPr>
            <w:tcW w:w="5732" w:type="dxa"/>
            <w:gridSpan w:val="3"/>
          </w:tcPr>
          <w:p w:rsidR="001F0534" w:rsidRPr="000A1865" w:rsidRDefault="001F0534" w:rsidP="001F0534">
            <w:pPr>
              <w:spacing w:after="0"/>
              <w:jc w:val="center"/>
              <w:rPr>
                <w:sz w:val="18"/>
                <w:szCs w:val="18"/>
              </w:rPr>
            </w:pPr>
            <w:r>
              <w:rPr>
                <w:sz w:val="18"/>
                <w:szCs w:val="18"/>
              </w:rPr>
              <w:t>240</w:t>
            </w:r>
          </w:p>
        </w:tc>
      </w:tr>
      <w:tr w:rsidR="001F0534" w:rsidRPr="000A1865" w:rsidTr="001F0534">
        <w:trPr>
          <w:jc w:val="center"/>
        </w:trPr>
        <w:tc>
          <w:tcPr>
            <w:tcW w:w="2660" w:type="dxa"/>
          </w:tcPr>
          <w:p w:rsidR="001F0534" w:rsidRPr="000A1865" w:rsidRDefault="001F0534" w:rsidP="00AE25FC">
            <w:pPr>
              <w:numPr>
                <w:ilvl w:val="0"/>
                <w:numId w:val="5"/>
              </w:numPr>
              <w:spacing w:after="0"/>
              <w:rPr>
                <w:sz w:val="18"/>
                <w:szCs w:val="18"/>
              </w:rPr>
            </w:pPr>
            <w:r w:rsidRPr="000A1865">
              <w:rPr>
                <w:sz w:val="18"/>
                <w:szCs w:val="18"/>
              </w:rPr>
              <w:t>LR chi-square</w:t>
            </w:r>
            <w:r>
              <w:rPr>
                <w:sz w:val="18"/>
                <w:szCs w:val="18"/>
              </w:rPr>
              <w:t xml:space="preserve"> (21)</w:t>
            </w:r>
          </w:p>
        </w:tc>
        <w:tc>
          <w:tcPr>
            <w:tcW w:w="5732" w:type="dxa"/>
            <w:gridSpan w:val="3"/>
          </w:tcPr>
          <w:p w:rsidR="001F0534" w:rsidRPr="000A1865" w:rsidRDefault="001F0534" w:rsidP="001F0534">
            <w:pPr>
              <w:spacing w:after="0"/>
              <w:jc w:val="center"/>
              <w:rPr>
                <w:sz w:val="18"/>
                <w:szCs w:val="18"/>
              </w:rPr>
            </w:pPr>
            <w:r>
              <w:rPr>
                <w:sz w:val="18"/>
                <w:szCs w:val="18"/>
              </w:rPr>
              <w:t>169.905**</w:t>
            </w:r>
          </w:p>
        </w:tc>
      </w:tr>
      <w:tr w:rsidR="001F0534" w:rsidRPr="000A1865" w:rsidTr="001F0534">
        <w:trPr>
          <w:jc w:val="center"/>
        </w:trPr>
        <w:tc>
          <w:tcPr>
            <w:tcW w:w="2660" w:type="dxa"/>
          </w:tcPr>
          <w:p w:rsidR="001F0534" w:rsidRPr="000A1865" w:rsidRDefault="001F0534" w:rsidP="00AE25FC">
            <w:pPr>
              <w:numPr>
                <w:ilvl w:val="0"/>
                <w:numId w:val="5"/>
              </w:numPr>
              <w:spacing w:after="0"/>
              <w:rPr>
                <w:sz w:val="18"/>
                <w:szCs w:val="18"/>
              </w:rPr>
            </w:pPr>
            <w:r>
              <w:rPr>
                <w:sz w:val="18"/>
                <w:szCs w:val="18"/>
              </w:rPr>
              <w:t>Overall Classification %</w:t>
            </w:r>
          </w:p>
        </w:tc>
        <w:tc>
          <w:tcPr>
            <w:tcW w:w="5732" w:type="dxa"/>
            <w:gridSpan w:val="3"/>
          </w:tcPr>
          <w:p w:rsidR="001F0534" w:rsidRPr="000A1865" w:rsidRDefault="001F0534" w:rsidP="001F0534">
            <w:pPr>
              <w:spacing w:after="0"/>
              <w:jc w:val="center"/>
              <w:rPr>
                <w:sz w:val="18"/>
                <w:szCs w:val="18"/>
              </w:rPr>
            </w:pPr>
            <w:r>
              <w:rPr>
                <w:sz w:val="18"/>
                <w:szCs w:val="18"/>
              </w:rPr>
              <w:t>67.1</w:t>
            </w:r>
          </w:p>
        </w:tc>
      </w:tr>
      <w:tr w:rsidR="001F0534" w:rsidRPr="000A1865" w:rsidTr="001F0534">
        <w:trPr>
          <w:jc w:val="center"/>
        </w:trPr>
        <w:tc>
          <w:tcPr>
            <w:tcW w:w="2660" w:type="dxa"/>
          </w:tcPr>
          <w:p w:rsidR="001F0534" w:rsidRPr="000A1865" w:rsidRDefault="001F0534" w:rsidP="00AE25FC">
            <w:pPr>
              <w:numPr>
                <w:ilvl w:val="0"/>
                <w:numId w:val="5"/>
              </w:numPr>
              <w:spacing w:after="0"/>
              <w:rPr>
                <w:sz w:val="18"/>
                <w:szCs w:val="18"/>
              </w:rPr>
            </w:pPr>
            <w:r w:rsidRPr="000A1865">
              <w:rPr>
                <w:sz w:val="18"/>
                <w:szCs w:val="18"/>
              </w:rPr>
              <w:t>Pseudo R -Squared</w:t>
            </w:r>
          </w:p>
        </w:tc>
        <w:tc>
          <w:tcPr>
            <w:tcW w:w="5732" w:type="dxa"/>
            <w:gridSpan w:val="3"/>
          </w:tcPr>
          <w:p w:rsidR="001F0534" w:rsidRPr="000A1865" w:rsidRDefault="001F0534" w:rsidP="001F0534">
            <w:pPr>
              <w:spacing w:after="0"/>
              <w:jc w:val="center"/>
              <w:rPr>
                <w:sz w:val="18"/>
                <w:szCs w:val="18"/>
              </w:rPr>
            </w:pPr>
            <w:r>
              <w:rPr>
                <w:sz w:val="18"/>
                <w:szCs w:val="18"/>
              </w:rPr>
              <w:t>0.555</w:t>
            </w:r>
          </w:p>
        </w:tc>
      </w:tr>
      <w:tr w:rsidR="001F0534" w:rsidRPr="000A1865" w:rsidTr="001F0534">
        <w:trPr>
          <w:jc w:val="center"/>
        </w:trPr>
        <w:tc>
          <w:tcPr>
            <w:tcW w:w="8392" w:type="dxa"/>
            <w:gridSpan w:val="4"/>
          </w:tcPr>
          <w:p w:rsidR="001F0534" w:rsidRPr="000A1865" w:rsidRDefault="001F0534" w:rsidP="001F0534">
            <w:pPr>
              <w:spacing w:after="0"/>
              <w:jc w:val="both"/>
              <w:rPr>
                <w:sz w:val="18"/>
                <w:szCs w:val="18"/>
              </w:rPr>
            </w:pPr>
          </w:p>
        </w:tc>
      </w:tr>
    </w:tbl>
    <w:p w:rsidR="001F0534" w:rsidRDefault="001F0534" w:rsidP="001F0534">
      <w:pPr>
        <w:autoSpaceDE w:val="0"/>
        <w:autoSpaceDN w:val="0"/>
        <w:adjustRightInd w:val="0"/>
        <w:spacing w:before="240" w:after="0" w:line="480" w:lineRule="auto"/>
        <w:rPr>
          <w:sz w:val="18"/>
          <w:szCs w:val="18"/>
        </w:rPr>
      </w:pPr>
      <w:r w:rsidRPr="00FD6EF6">
        <w:rPr>
          <w:b/>
          <w:sz w:val="18"/>
          <w:szCs w:val="18"/>
        </w:rPr>
        <w:t>Notes:</w:t>
      </w:r>
      <w:r w:rsidRPr="00FD6EF6">
        <w:rPr>
          <w:sz w:val="18"/>
          <w:szCs w:val="18"/>
        </w:rPr>
        <w:t xml:space="preserve"> ** and * indicates significance at 0.01 and 0.05 probability level respectively</w:t>
      </w:r>
      <w:r>
        <w:rPr>
          <w:sz w:val="18"/>
          <w:szCs w:val="18"/>
        </w:rPr>
        <w:t xml:space="preserve">; </w:t>
      </w:r>
      <w:r w:rsidRPr="000A1865">
        <w:rPr>
          <w:i/>
          <w:sz w:val="18"/>
          <w:szCs w:val="18"/>
        </w:rPr>
        <w:t>p-value</w:t>
      </w:r>
      <w:r>
        <w:rPr>
          <w:sz w:val="18"/>
          <w:szCs w:val="18"/>
        </w:rPr>
        <w:t xml:space="preserve"> in square brackets</w:t>
      </w:r>
      <w:r w:rsidRPr="00FD6EF6">
        <w:rPr>
          <w:sz w:val="18"/>
          <w:szCs w:val="18"/>
        </w:rPr>
        <w:t xml:space="preserve"> </w:t>
      </w:r>
      <w:r>
        <w:rPr>
          <w:sz w:val="18"/>
          <w:szCs w:val="18"/>
        </w:rPr>
        <w:t xml:space="preserve">[]. </w:t>
      </w:r>
    </w:p>
    <w:p w:rsidR="00415A39" w:rsidRDefault="00415A39" w:rsidP="00080788">
      <w:pPr>
        <w:spacing w:line="360" w:lineRule="auto"/>
        <w:jc w:val="both"/>
        <w:rPr>
          <w:rFonts w:ascii="Times New Roman" w:hAnsi="Times New Roman" w:cs="Times New Roman"/>
          <w:sz w:val="24"/>
          <w:szCs w:val="24"/>
        </w:rPr>
      </w:pP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Male-headed households may be more likely to choose the mineral portfolio diversification option as a livelihood adaptation strategy, while female-headed households may be more likely to opt for the flora portfolio. The observed positive association between gender and the mineral portfolio (2.217: 0.004) may be explained by the risky nature of mining activities, specifically gold panning, capable of technically excluding female headed households from participating. On the other hand, the observed negative association between gender and the </w:t>
      </w:r>
      <w:r w:rsidRPr="0068531F">
        <w:rPr>
          <w:rFonts w:ascii="Times New Roman" w:hAnsi="Times New Roman" w:cs="Times New Roman"/>
          <w:sz w:val="24"/>
          <w:szCs w:val="24"/>
        </w:rPr>
        <w:lastRenderedPageBreak/>
        <w:t>flora portfolio (-1.434: 0.034) may be based on the fact that the collection of wild fruits, edible vegetables under the banner of the flora portfolio livelihood diversification is normally a female adaptation strategy (</w:t>
      </w:r>
      <w:proofErr w:type="spellStart"/>
      <w:r w:rsidRPr="0068531F">
        <w:rPr>
          <w:rFonts w:ascii="Times New Roman" w:hAnsi="Times New Roman" w:cs="Times New Roman"/>
          <w:sz w:val="24"/>
          <w:szCs w:val="24"/>
        </w:rPr>
        <w:t>Folbre</w:t>
      </w:r>
      <w:proofErr w:type="spellEnd"/>
      <w:r w:rsidRPr="0068531F">
        <w:rPr>
          <w:rFonts w:ascii="Times New Roman" w:hAnsi="Times New Roman" w:cs="Times New Roman"/>
          <w:sz w:val="24"/>
          <w:szCs w:val="24"/>
        </w:rPr>
        <w:t xml:space="preserve">, 1994; Grossman, 1996; </w:t>
      </w:r>
      <w:proofErr w:type="spellStart"/>
      <w:r w:rsidRPr="0068531F">
        <w:rPr>
          <w:rFonts w:ascii="Times New Roman" w:hAnsi="Times New Roman" w:cs="Times New Roman"/>
          <w:sz w:val="24"/>
          <w:szCs w:val="24"/>
        </w:rPr>
        <w:t>Narain</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2005).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more wealth that households have, the greater their willingness to diversify into non-farm activities, in this case the mineral portfolio option (1.415: 0.002). A similar positive association between wealth status and the diversification into non-farm activities was noted by </w:t>
      </w:r>
      <w:proofErr w:type="spell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xml:space="preserve"> (2005</w:t>
      </w:r>
      <w:r w:rsidR="00415A39">
        <w:rPr>
          <w:rFonts w:ascii="Times New Roman" w:hAnsi="Times New Roman" w:cs="Times New Roman"/>
          <w:sz w:val="24"/>
          <w:szCs w:val="24"/>
        </w:rPr>
        <w:t>)</w:t>
      </w:r>
      <w:r>
        <w:rPr>
          <w:rFonts w:ascii="Times New Roman" w:hAnsi="Times New Roman" w:cs="Times New Roman"/>
          <w:sz w:val="24"/>
          <w:szCs w:val="24"/>
        </w:rPr>
        <w:t>.</w:t>
      </w:r>
      <w:r w:rsidRPr="0068531F">
        <w:rPr>
          <w:rFonts w:ascii="Times New Roman" w:hAnsi="Times New Roman" w:cs="Times New Roman"/>
          <w:sz w:val="24"/>
          <w:szCs w:val="24"/>
        </w:rPr>
        <w:t xml:space="preserve"> Respondents </w:t>
      </w:r>
      <w:proofErr w:type="spellStart"/>
      <w:r w:rsidRPr="0068531F">
        <w:rPr>
          <w:rFonts w:ascii="Times New Roman" w:hAnsi="Times New Roman" w:cs="Times New Roman"/>
          <w:sz w:val="24"/>
          <w:szCs w:val="24"/>
        </w:rPr>
        <w:t>labelled</w:t>
      </w:r>
      <w:proofErr w:type="spellEnd"/>
      <w:r w:rsidRPr="0068531F">
        <w:rPr>
          <w:rFonts w:ascii="Times New Roman" w:hAnsi="Times New Roman" w:cs="Times New Roman"/>
          <w:sz w:val="24"/>
          <w:szCs w:val="24"/>
        </w:rPr>
        <w:t xml:space="preserve"> mining as one of the potential rural livelihood sources from the study area, with meaningful returns (although very risk). Though the analysis could not confirm causality between the two variables, inferential results suggest that risk takers (miners, male and young households) comprised of the rich group from the study area. Removing the current constraints associated with mining activities and </w:t>
      </w:r>
      <w:proofErr w:type="spellStart"/>
      <w:r w:rsidRPr="0068531F">
        <w:rPr>
          <w:rFonts w:ascii="Times New Roman" w:hAnsi="Times New Roman" w:cs="Times New Roman"/>
          <w:sz w:val="24"/>
          <w:szCs w:val="24"/>
        </w:rPr>
        <w:t>formalising</w:t>
      </w:r>
      <w:proofErr w:type="spellEnd"/>
      <w:r w:rsidRPr="0068531F">
        <w:rPr>
          <w:rFonts w:ascii="Times New Roman" w:hAnsi="Times New Roman" w:cs="Times New Roman"/>
          <w:sz w:val="24"/>
          <w:szCs w:val="24"/>
        </w:rPr>
        <w:t xml:space="preserve"> its operations, supported by markets that </w:t>
      </w:r>
      <w:proofErr w:type="spellStart"/>
      <w:r w:rsidRPr="0068531F">
        <w:rPr>
          <w:rFonts w:ascii="Times New Roman" w:hAnsi="Times New Roman" w:cs="Times New Roman"/>
          <w:sz w:val="24"/>
          <w:szCs w:val="24"/>
        </w:rPr>
        <w:t>recognise</w:t>
      </w:r>
      <w:proofErr w:type="spellEnd"/>
      <w:r w:rsidRPr="0068531F">
        <w:rPr>
          <w:rFonts w:ascii="Times New Roman" w:hAnsi="Times New Roman" w:cs="Times New Roman"/>
          <w:sz w:val="24"/>
          <w:szCs w:val="24"/>
        </w:rPr>
        <w:t xml:space="preserve"> small scale gold </w:t>
      </w:r>
      <w:proofErr w:type="spellStart"/>
      <w:r w:rsidRPr="0068531F">
        <w:rPr>
          <w:rFonts w:ascii="Times New Roman" w:hAnsi="Times New Roman" w:cs="Times New Roman"/>
          <w:sz w:val="24"/>
          <w:szCs w:val="24"/>
        </w:rPr>
        <w:t>panners</w:t>
      </w:r>
      <w:proofErr w:type="spellEnd"/>
      <w:r w:rsidRPr="0068531F">
        <w:rPr>
          <w:rFonts w:ascii="Times New Roman" w:hAnsi="Times New Roman" w:cs="Times New Roman"/>
          <w:sz w:val="24"/>
          <w:szCs w:val="24"/>
        </w:rPr>
        <w:t xml:space="preserve">, may address poverty in the study area. </w:t>
      </w:r>
    </w:p>
    <w:p w:rsidR="001F0534" w:rsidRPr="0068531F" w:rsidRDefault="001F0534" w:rsidP="0008078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8531F">
        <w:rPr>
          <w:rFonts w:ascii="Times New Roman" w:hAnsi="Times New Roman" w:cs="Times New Roman"/>
          <w:sz w:val="24"/>
          <w:szCs w:val="24"/>
        </w:rPr>
        <w:t>he model results suggest that access to extension may negatively influence the probability of choosing the flora portfolio (-2.059: 0.002). These results contradict previous studies which suggest a positive association (</w:t>
      </w:r>
      <w:proofErr w:type="spellStart"/>
      <w:r w:rsidRPr="0068531F">
        <w:rPr>
          <w:rFonts w:ascii="Times New Roman" w:hAnsi="Times New Roman" w:cs="Times New Roman"/>
          <w:sz w:val="24"/>
          <w:szCs w:val="24"/>
        </w:rPr>
        <w:t>Gaspert</w:t>
      </w:r>
      <w:proofErr w:type="spell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et al</w:t>
      </w:r>
      <w:r w:rsidRPr="0068531F">
        <w:rPr>
          <w:rFonts w:ascii="Times New Roman" w:hAnsi="Times New Roman" w:cs="Times New Roman"/>
          <w:sz w:val="24"/>
          <w:szCs w:val="24"/>
        </w:rPr>
        <w:t xml:space="preserve">. 1999; Samuel, 2003; </w:t>
      </w:r>
      <w:proofErr w:type="spell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2005). Current extension services offered in Zimbabwe promote the sustainable harvesting of natural resources for domestic use, in line with the available laws (Communal Lands and Forestry Produce Act</w:t>
      </w:r>
      <w:r w:rsidR="00415A39">
        <w:rPr>
          <w:rFonts w:ascii="Times New Roman" w:hAnsi="Times New Roman" w:cs="Times New Roman"/>
          <w:sz w:val="24"/>
          <w:szCs w:val="24"/>
        </w:rPr>
        <w:t>; Environmental Management Act</w:t>
      </w:r>
      <w:r w:rsidRPr="0068531F">
        <w:rPr>
          <w:rFonts w:ascii="Times New Roman" w:hAnsi="Times New Roman" w:cs="Times New Roman"/>
          <w:sz w:val="24"/>
          <w:szCs w:val="24"/>
        </w:rPr>
        <w:t xml:space="preserve">).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In contrast, local communities were </w:t>
      </w:r>
      <w:proofErr w:type="spellStart"/>
      <w:r w:rsidRPr="0068531F">
        <w:rPr>
          <w:rFonts w:ascii="Times New Roman" w:hAnsi="Times New Roman" w:cs="Times New Roman"/>
          <w:sz w:val="24"/>
          <w:szCs w:val="24"/>
        </w:rPr>
        <w:t>commercialising</w:t>
      </w:r>
      <w:proofErr w:type="spellEnd"/>
      <w:r w:rsidRPr="0068531F">
        <w:rPr>
          <w:rFonts w:ascii="Times New Roman" w:hAnsi="Times New Roman" w:cs="Times New Roman"/>
          <w:sz w:val="24"/>
          <w:szCs w:val="24"/>
        </w:rPr>
        <w:t xml:space="preserve"> forestry produce to enhance their livelihoods. The choice of considering the flora portfolio from a community point of view may, therefore, be based on the ability to </w:t>
      </w:r>
      <w:proofErr w:type="spellStart"/>
      <w:r w:rsidRPr="0068531F">
        <w:rPr>
          <w:rFonts w:ascii="Times New Roman" w:hAnsi="Times New Roman" w:cs="Times New Roman"/>
          <w:sz w:val="24"/>
          <w:szCs w:val="24"/>
        </w:rPr>
        <w:t>commercialise</w:t>
      </w:r>
      <w:proofErr w:type="spellEnd"/>
      <w:r w:rsidRPr="0068531F">
        <w:rPr>
          <w:rFonts w:ascii="Times New Roman" w:hAnsi="Times New Roman" w:cs="Times New Roman"/>
          <w:sz w:val="24"/>
          <w:szCs w:val="24"/>
        </w:rPr>
        <w:t xml:space="preserve"> forestry products - specifically timber and firewood. Unfortunately, such activities are not currently supported by available laws and extension services in Zimbabwe. The observed negative association between extension and the flora portfolio may suggest a conflict of interest between extension and communities, the former targeting sustainable domestic use of forestry produce while the latter targets the sustainable </w:t>
      </w:r>
      <w:proofErr w:type="spellStart"/>
      <w:r w:rsidRPr="0068531F">
        <w:rPr>
          <w:rFonts w:ascii="Times New Roman" w:hAnsi="Times New Roman" w:cs="Times New Roman"/>
          <w:sz w:val="24"/>
          <w:szCs w:val="24"/>
        </w:rPr>
        <w:t>commercialisation</w:t>
      </w:r>
      <w:proofErr w:type="spellEnd"/>
      <w:r w:rsidRPr="0068531F">
        <w:rPr>
          <w:rFonts w:ascii="Times New Roman" w:hAnsi="Times New Roman" w:cs="Times New Roman"/>
          <w:sz w:val="24"/>
          <w:szCs w:val="24"/>
        </w:rPr>
        <w:t xml:space="preserve"> of forest harvests.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As expected, access to markets increased the likelihood of choosing the mineral portfolio adaptation option (1.572: 0.041). In as much as current miners were comfortable with the illegal nature of gold panning for personal benefits, the majority of aspiring miners cited the lack of a formal market for gold panning as a crucial barrier which deters them from choosing such activities.  </w:t>
      </w:r>
      <w:r w:rsidR="00415A39">
        <w:rPr>
          <w:rFonts w:ascii="Times New Roman" w:hAnsi="Times New Roman" w:cs="Times New Roman"/>
          <w:sz w:val="24"/>
          <w:szCs w:val="24"/>
        </w:rPr>
        <w:t>P</w:t>
      </w:r>
      <w:r w:rsidRPr="0068531F">
        <w:rPr>
          <w:rFonts w:ascii="Times New Roman" w:hAnsi="Times New Roman" w:cs="Times New Roman"/>
          <w:sz w:val="24"/>
          <w:szCs w:val="24"/>
        </w:rPr>
        <w:t xml:space="preserve">olicies which create </w:t>
      </w:r>
      <w:proofErr w:type="spellStart"/>
      <w:r w:rsidRPr="0068531F">
        <w:rPr>
          <w:rFonts w:ascii="Times New Roman" w:hAnsi="Times New Roman" w:cs="Times New Roman"/>
          <w:sz w:val="24"/>
          <w:szCs w:val="24"/>
        </w:rPr>
        <w:t>formalised</w:t>
      </w:r>
      <w:proofErr w:type="spellEnd"/>
      <w:r w:rsidRPr="0068531F">
        <w:rPr>
          <w:rFonts w:ascii="Times New Roman" w:hAnsi="Times New Roman" w:cs="Times New Roman"/>
          <w:sz w:val="24"/>
          <w:szCs w:val="24"/>
        </w:rPr>
        <w:t xml:space="preserve"> markets for small scale miners may have </w:t>
      </w:r>
      <w:r w:rsidRPr="0068531F">
        <w:rPr>
          <w:rFonts w:ascii="Times New Roman" w:hAnsi="Times New Roman" w:cs="Times New Roman"/>
          <w:sz w:val="24"/>
          <w:szCs w:val="24"/>
        </w:rPr>
        <w:lastRenderedPageBreak/>
        <w:t>multiple effec</w:t>
      </w:r>
      <w:r>
        <w:rPr>
          <w:rFonts w:ascii="Times New Roman" w:hAnsi="Times New Roman" w:cs="Times New Roman"/>
          <w:sz w:val="24"/>
          <w:szCs w:val="24"/>
        </w:rPr>
        <w:t>ts. F</w:t>
      </w:r>
      <w:r w:rsidRPr="0068531F">
        <w:rPr>
          <w:rFonts w:ascii="Times New Roman" w:hAnsi="Times New Roman" w:cs="Times New Roman"/>
          <w:sz w:val="24"/>
          <w:szCs w:val="24"/>
        </w:rPr>
        <w:t>irstly</w:t>
      </w:r>
      <w:r>
        <w:rPr>
          <w:rFonts w:ascii="Times New Roman" w:hAnsi="Times New Roman" w:cs="Times New Roman"/>
          <w:sz w:val="24"/>
          <w:szCs w:val="24"/>
        </w:rPr>
        <w:t xml:space="preserve"> these could include</w:t>
      </w:r>
      <w:r w:rsidRPr="0068531F">
        <w:rPr>
          <w:rFonts w:ascii="Times New Roman" w:hAnsi="Times New Roman" w:cs="Times New Roman"/>
          <w:sz w:val="24"/>
          <w:szCs w:val="24"/>
        </w:rPr>
        <w:t xml:space="preserve">, improved livelihoods for more communal households in areas rich with minerals, and secondly, environmental conservation through the </w:t>
      </w:r>
      <w:proofErr w:type="spellStart"/>
      <w:r w:rsidRPr="0068531F">
        <w:rPr>
          <w:rFonts w:ascii="Times New Roman" w:hAnsi="Times New Roman" w:cs="Times New Roman"/>
          <w:sz w:val="24"/>
          <w:szCs w:val="24"/>
        </w:rPr>
        <w:t>internalisation</w:t>
      </w:r>
      <w:proofErr w:type="spellEnd"/>
      <w:r w:rsidRPr="0068531F">
        <w:rPr>
          <w:rFonts w:ascii="Times New Roman" w:hAnsi="Times New Roman" w:cs="Times New Roman"/>
          <w:sz w:val="24"/>
          <w:szCs w:val="24"/>
        </w:rPr>
        <w:t xml:space="preserve"> of negative externalities as small scale miners will be forced to pay for social costs (polluter pays principle) under </w:t>
      </w:r>
      <w:proofErr w:type="spellStart"/>
      <w:r w:rsidRPr="0068531F">
        <w:rPr>
          <w:rFonts w:ascii="Times New Roman" w:hAnsi="Times New Roman" w:cs="Times New Roman"/>
          <w:sz w:val="24"/>
          <w:szCs w:val="24"/>
        </w:rPr>
        <w:t>formalised</w:t>
      </w:r>
      <w:proofErr w:type="spellEnd"/>
      <w:r w:rsidRPr="0068531F">
        <w:rPr>
          <w:rFonts w:ascii="Times New Roman" w:hAnsi="Times New Roman" w:cs="Times New Roman"/>
          <w:sz w:val="24"/>
          <w:szCs w:val="24"/>
        </w:rPr>
        <w:t xml:space="preserve"> mining.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With reference to the fauna portfolio, the results suggest a decrease in the likelihood of choosing this option with increased access to markets (-2.718: 0.007). Though surprising, respondents argue that better access to markets for game animals would mean more elephants in</w:t>
      </w:r>
      <w:r>
        <w:rPr>
          <w:rFonts w:ascii="Times New Roman" w:hAnsi="Times New Roman" w:cs="Times New Roman"/>
          <w:sz w:val="24"/>
          <w:szCs w:val="24"/>
        </w:rPr>
        <w:t xml:space="preserve"> the park and effectively more </w:t>
      </w:r>
      <w:r w:rsidRPr="0068531F">
        <w:rPr>
          <w:rFonts w:ascii="Times New Roman" w:hAnsi="Times New Roman" w:cs="Times New Roman"/>
          <w:sz w:val="24"/>
          <w:szCs w:val="24"/>
        </w:rPr>
        <w:t>P</w:t>
      </w:r>
      <w:r w:rsidR="005539B3">
        <w:rPr>
          <w:rFonts w:ascii="Times New Roman" w:hAnsi="Times New Roman" w:cs="Times New Roman"/>
          <w:sz w:val="24"/>
          <w:szCs w:val="24"/>
        </w:rPr>
        <w:t xml:space="preserve">roblem </w:t>
      </w:r>
      <w:r w:rsidR="005539B3" w:rsidRPr="0068531F">
        <w:rPr>
          <w:rFonts w:ascii="Times New Roman" w:hAnsi="Times New Roman" w:cs="Times New Roman"/>
          <w:sz w:val="24"/>
          <w:szCs w:val="24"/>
        </w:rPr>
        <w:t>A</w:t>
      </w:r>
      <w:r w:rsidR="005539B3">
        <w:rPr>
          <w:rFonts w:ascii="Times New Roman" w:hAnsi="Times New Roman" w:cs="Times New Roman"/>
          <w:sz w:val="24"/>
          <w:szCs w:val="24"/>
        </w:rPr>
        <w:t>nimal (PA)</w:t>
      </w:r>
      <w:r w:rsidRPr="0068531F">
        <w:rPr>
          <w:rFonts w:ascii="Times New Roman" w:hAnsi="Times New Roman" w:cs="Times New Roman"/>
          <w:sz w:val="24"/>
          <w:szCs w:val="24"/>
        </w:rPr>
        <w:t xml:space="preserve"> conflicts. These findings suggest that the surrounding communities were facing more problems from the </w:t>
      </w:r>
      <w:r w:rsidR="005539B3">
        <w:rPr>
          <w:rFonts w:ascii="Times New Roman" w:hAnsi="Times New Roman" w:cs="Times New Roman"/>
          <w:sz w:val="24"/>
          <w:szCs w:val="24"/>
        </w:rPr>
        <w:t>g</w:t>
      </w:r>
      <w:r w:rsidRPr="0068531F">
        <w:rPr>
          <w:rFonts w:ascii="Times New Roman" w:hAnsi="Times New Roman" w:cs="Times New Roman"/>
          <w:sz w:val="24"/>
          <w:szCs w:val="24"/>
        </w:rPr>
        <w:t xml:space="preserve">ame </w:t>
      </w:r>
      <w:r w:rsidR="005539B3">
        <w:rPr>
          <w:rFonts w:ascii="Times New Roman" w:hAnsi="Times New Roman" w:cs="Times New Roman"/>
          <w:sz w:val="24"/>
          <w:szCs w:val="24"/>
        </w:rPr>
        <w:t>p</w:t>
      </w:r>
      <w:r w:rsidRPr="0068531F">
        <w:rPr>
          <w:rFonts w:ascii="Times New Roman" w:hAnsi="Times New Roman" w:cs="Times New Roman"/>
          <w:sz w:val="24"/>
          <w:szCs w:val="24"/>
        </w:rPr>
        <w:t xml:space="preserve">ark than available benefits. Similar conclusions were also inferred by </w:t>
      </w:r>
      <w:proofErr w:type="spellStart"/>
      <w:r w:rsidRPr="0068531F">
        <w:rPr>
          <w:rFonts w:ascii="Times New Roman" w:hAnsi="Times New Roman" w:cs="Times New Roman"/>
          <w:sz w:val="24"/>
          <w:szCs w:val="24"/>
        </w:rPr>
        <w:t>Muchapondawa</w:t>
      </w:r>
      <w:proofErr w:type="spellEnd"/>
      <w:r w:rsidRPr="0068531F">
        <w:rPr>
          <w:rFonts w:ascii="Times New Roman" w:hAnsi="Times New Roman" w:cs="Times New Roman"/>
          <w:sz w:val="24"/>
          <w:szCs w:val="24"/>
        </w:rPr>
        <w:t xml:space="preserve"> (2003) who used household data from one community that shares boundaries with the same </w:t>
      </w:r>
      <w:r w:rsidR="005539B3">
        <w:rPr>
          <w:rFonts w:ascii="Times New Roman" w:hAnsi="Times New Roman" w:cs="Times New Roman"/>
          <w:sz w:val="24"/>
          <w:szCs w:val="24"/>
        </w:rPr>
        <w:t>g</w:t>
      </w:r>
      <w:r w:rsidRPr="0068531F">
        <w:rPr>
          <w:rFonts w:ascii="Times New Roman" w:hAnsi="Times New Roman" w:cs="Times New Roman"/>
          <w:sz w:val="24"/>
          <w:szCs w:val="24"/>
        </w:rPr>
        <w:t xml:space="preserve">ame </w:t>
      </w:r>
      <w:r w:rsidR="005539B3">
        <w:rPr>
          <w:rFonts w:ascii="Times New Roman" w:hAnsi="Times New Roman" w:cs="Times New Roman"/>
          <w:sz w:val="24"/>
          <w:szCs w:val="24"/>
        </w:rPr>
        <w:t>p</w:t>
      </w:r>
      <w:r w:rsidRPr="0068531F">
        <w:rPr>
          <w:rFonts w:ascii="Times New Roman" w:hAnsi="Times New Roman" w:cs="Times New Roman"/>
          <w:sz w:val="24"/>
          <w:szCs w:val="24"/>
        </w:rPr>
        <w:t xml:space="preserve">ark – </w:t>
      </w:r>
      <w:proofErr w:type="spellStart"/>
      <w:r w:rsidRPr="0068531F">
        <w:rPr>
          <w:rFonts w:ascii="Times New Roman" w:hAnsi="Times New Roman" w:cs="Times New Roman"/>
          <w:sz w:val="24"/>
          <w:szCs w:val="24"/>
        </w:rPr>
        <w:t>Mudzi</w:t>
      </w:r>
      <w:proofErr w:type="spellEnd"/>
      <w:r w:rsidRPr="0068531F">
        <w:rPr>
          <w:rFonts w:ascii="Times New Roman" w:hAnsi="Times New Roman" w:cs="Times New Roman"/>
          <w:sz w:val="24"/>
          <w:szCs w:val="24"/>
        </w:rPr>
        <w:t xml:space="preserve"> communal area. </w:t>
      </w:r>
    </w:p>
    <w:p w:rsidR="001F0534" w:rsidRPr="0068531F"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Finally, the results suggest a positive likelihood of choosing the flora portfolio with respect to increase in land size (1.429: 0.029). Respondents noted that they were getting a lot of manure from the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 for their fields. These findings suggest that </w:t>
      </w:r>
      <w:r w:rsidRPr="0068531F">
        <w:rPr>
          <w:rFonts w:ascii="Times New Roman" w:hAnsi="Times New Roman" w:cs="Times New Roman"/>
          <w:iCs/>
          <w:sz w:val="24"/>
          <w:szCs w:val="24"/>
        </w:rPr>
        <w:t xml:space="preserve">forests may be seen as important sources of intermediate products that serve as input in the farming system (Fisher, 2004; </w:t>
      </w:r>
      <w:proofErr w:type="spellStart"/>
      <w:r w:rsidRPr="0068531F">
        <w:rPr>
          <w:rFonts w:ascii="Times New Roman" w:hAnsi="Times New Roman" w:cs="Times New Roman"/>
          <w:iCs/>
          <w:sz w:val="24"/>
          <w:szCs w:val="24"/>
        </w:rPr>
        <w:t>Adhikari</w:t>
      </w:r>
      <w:proofErr w:type="spellEnd"/>
      <w:r w:rsidRPr="0068531F">
        <w:rPr>
          <w:rFonts w:ascii="Times New Roman" w:hAnsi="Times New Roman" w:cs="Times New Roman"/>
          <w:iCs/>
          <w:sz w:val="24"/>
          <w:szCs w:val="24"/>
        </w:rPr>
        <w:t xml:space="preserve">, 2005). Effectively, the promotion of easy and secure access to </w:t>
      </w:r>
      <w:r w:rsidR="005539B3">
        <w:rPr>
          <w:rFonts w:ascii="Times New Roman" w:hAnsi="Times New Roman" w:cs="Times New Roman"/>
          <w:iCs/>
          <w:sz w:val="24"/>
          <w:szCs w:val="24"/>
        </w:rPr>
        <w:t>g</w:t>
      </w:r>
      <w:r w:rsidRPr="0068531F">
        <w:rPr>
          <w:rFonts w:ascii="Times New Roman" w:hAnsi="Times New Roman" w:cs="Times New Roman"/>
          <w:iCs/>
          <w:sz w:val="24"/>
          <w:szCs w:val="24"/>
        </w:rPr>
        <w:t xml:space="preserve">ame </w:t>
      </w:r>
      <w:r w:rsidR="005539B3">
        <w:rPr>
          <w:rFonts w:ascii="Times New Roman" w:hAnsi="Times New Roman" w:cs="Times New Roman"/>
          <w:iCs/>
          <w:sz w:val="24"/>
          <w:szCs w:val="24"/>
        </w:rPr>
        <w:t>p</w:t>
      </w:r>
      <w:r w:rsidRPr="0068531F">
        <w:rPr>
          <w:rFonts w:ascii="Times New Roman" w:hAnsi="Times New Roman" w:cs="Times New Roman"/>
          <w:iCs/>
          <w:sz w:val="24"/>
          <w:szCs w:val="24"/>
        </w:rPr>
        <w:t xml:space="preserve">ark floral activities may positively influence the development of household agriculture. </w:t>
      </w:r>
    </w:p>
    <w:p w:rsidR="001F0534" w:rsidRPr="003E698A" w:rsidRDefault="00C43955" w:rsidP="00080788">
      <w:pPr>
        <w:pStyle w:val="Heading2"/>
        <w:spacing w:before="240" w:line="360" w:lineRule="auto"/>
        <w:rPr>
          <w:rFonts w:ascii="Times New Roman" w:hAnsi="Times New Roman" w:cs="Times New Roman"/>
          <w:b w:val="0"/>
          <w:color w:val="auto"/>
        </w:rPr>
      </w:pPr>
      <w:bookmarkStart w:id="34" w:name="_Toc311701028"/>
      <w:bookmarkStart w:id="35" w:name="_Toc311703936"/>
      <w:r>
        <w:rPr>
          <w:rFonts w:ascii="Times New Roman" w:hAnsi="Times New Roman" w:cs="Times New Roman"/>
          <w:color w:val="auto"/>
        </w:rPr>
        <w:t xml:space="preserve">7. </w:t>
      </w:r>
      <w:r w:rsidR="001F0534" w:rsidRPr="003E698A">
        <w:rPr>
          <w:rFonts w:ascii="Times New Roman" w:hAnsi="Times New Roman" w:cs="Times New Roman"/>
          <w:color w:val="auto"/>
        </w:rPr>
        <w:t>Conclusions</w:t>
      </w:r>
      <w:bookmarkEnd w:id="34"/>
      <w:bookmarkEnd w:id="35"/>
      <w:r>
        <w:rPr>
          <w:rFonts w:ascii="Times New Roman" w:hAnsi="Times New Roman" w:cs="Times New Roman"/>
          <w:color w:val="auto"/>
        </w:rPr>
        <w:t xml:space="preserve"> and policy implications </w:t>
      </w:r>
    </w:p>
    <w:p w:rsidR="001F0534" w:rsidRPr="0068531F" w:rsidRDefault="001F0534" w:rsidP="00080788">
      <w:pPr>
        <w:tabs>
          <w:tab w:val="left" w:pos="5490"/>
        </w:tabs>
        <w:spacing w:before="240" w:after="0"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The study concludes that mixed farming still remains the dominant livelihood adaptation strategy for communities who share boundaries with </w:t>
      </w:r>
      <w:r>
        <w:rPr>
          <w:rFonts w:ascii="Times New Roman" w:hAnsi="Times New Roman" w:cs="Times New Roman"/>
          <w:sz w:val="24"/>
          <w:szCs w:val="24"/>
        </w:rPr>
        <w:t>g</w:t>
      </w:r>
      <w:r w:rsidRPr="0068531F">
        <w:rPr>
          <w:rFonts w:ascii="Times New Roman" w:hAnsi="Times New Roman" w:cs="Times New Roman"/>
          <w:sz w:val="24"/>
          <w:szCs w:val="24"/>
        </w:rPr>
        <w:t xml:space="preserve">ame </w:t>
      </w:r>
      <w:r>
        <w:rPr>
          <w:rFonts w:ascii="Times New Roman" w:hAnsi="Times New Roman" w:cs="Times New Roman"/>
          <w:sz w:val="24"/>
          <w:szCs w:val="24"/>
        </w:rPr>
        <w:t>p</w:t>
      </w:r>
      <w:r w:rsidRPr="0068531F">
        <w:rPr>
          <w:rFonts w:ascii="Times New Roman" w:hAnsi="Times New Roman" w:cs="Times New Roman"/>
          <w:sz w:val="24"/>
          <w:szCs w:val="24"/>
        </w:rPr>
        <w:t xml:space="preserve">arks in rural areas. Available non-farm livelihood adaptation sources (mineral, flora and fauna portfolios) potentially face several constraints (insecure property rights and low returns) that deter surrounding communities from participating, thereby forcing them to remain locked up in mixed farming. The possible transition from mixed farming to non-farm livelihood sources, by households who share boundaries with </w:t>
      </w:r>
      <w:r w:rsidR="005539B3">
        <w:rPr>
          <w:rFonts w:ascii="Times New Roman" w:hAnsi="Times New Roman" w:cs="Times New Roman"/>
          <w:sz w:val="24"/>
          <w:szCs w:val="24"/>
        </w:rPr>
        <w:t>g</w:t>
      </w:r>
      <w:r w:rsidRPr="0068531F">
        <w:rPr>
          <w:rFonts w:ascii="Times New Roman" w:hAnsi="Times New Roman" w:cs="Times New Roman"/>
          <w:sz w:val="24"/>
          <w:szCs w:val="24"/>
        </w:rPr>
        <w:t xml:space="preserve">ame </w:t>
      </w:r>
      <w:r w:rsidR="005539B3">
        <w:rPr>
          <w:rFonts w:ascii="Times New Roman" w:hAnsi="Times New Roman" w:cs="Times New Roman"/>
          <w:sz w:val="24"/>
          <w:szCs w:val="24"/>
        </w:rPr>
        <w:t>p</w:t>
      </w:r>
      <w:r w:rsidRPr="0068531F">
        <w:rPr>
          <w:rFonts w:ascii="Times New Roman" w:hAnsi="Times New Roman" w:cs="Times New Roman"/>
          <w:sz w:val="24"/>
          <w:szCs w:val="24"/>
        </w:rPr>
        <w:t xml:space="preserve">arks, is however conditioned by several household socio-economic (age, gender and wealth status) and institutional (extension, market and land size) </w:t>
      </w:r>
      <w:r>
        <w:rPr>
          <w:rFonts w:ascii="Times New Roman" w:hAnsi="Times New Roman" w:cs="Times New Roman"/>
          <w:sz w:val="24"/>
          <w:szCs w:val="24"/>
        </w:rPr>
        <w:t>factors</w:t>
      </w:r>
      <w:r w:rsidRPr="0068531F">
        <w:rPr>
          <w:rFonts w:ascii="Times New Roman" w:hAnsi="Times New Roman" w:cs="Times New Roman"/>
          <w:sz w:val="24"/>
          <w:szCs w:val="24"/>
        </w:rPr>
        <w:t xml:space="preserve">. </w:t>
      </w:r>
    </w:p>
    <w:p w:rsidR="001F0534"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Strategies to unlock the </w:t>
      </w:r>
      <w:r>
        <w:rPr>
          <w:rFonts w:ascii="Times New Roman" w:hAnsi="Times New Roman" w:cs="Times New Roman"/>
          <w:sz w:val="24"/>
          <w:szCs w:val="24"/>
        </w:rPr>
        <w:t>total economic value hidden in game p</w:t>
      </w:r>
      <w:r w:rsidRPr="0068531F">
        <w:rPr>
          <w:rFonts w:ascii="Times New Roman" w:hAnsi="Times New Roman" w:cs="Times New Roman"/>
          <w:sz w:val="24"/>
          <w:szCs w:val="24"/>
        </w:rPr>
        <w:t xml:space="preserve">arks for the direct benefit of surrounding communities may therefore be the missing critical policy intervention; if households who share boundaries with wildlife reserves are ever to consider the fauna </w:t>
      </w:r>
      <w:r w:rsidRPr="0068531F">
        <w:rPr>
          <w:rFonts w:ascii="Times New Roman" w:hAnsi="Times New Roman" w:cs="Times New Roman"/>
          <w:sz w:val="24"/>
          <w:szCs w:val="24"/>
        </w:rPr>
        <w:lastRenderedPageBreak/>
        <w:t xml:space="preserve">portfolio, as a non-farm livelihood adaptation option. </w:t>
      </w:r>
      <w:r>
        <w:rPr>
          <w:rFonts w:ascii="Times New Roman" w:hAnsi="Times New Roman" w:cs="Times New Roman"/>
          <w:sz w:val="24"/>
          <w:szCs w:val="24"/>
        </w:rPr>
        <w:t>The following approaches may boost the total economic value of game parks to surrounding communities;</w:t>
      </w:r>
    </w:p>
    <w:p w:rsidR="001F0534" w:rsidRPr="00DB7E13" w:rsidRDefault="001F0534" w:rsidP="00AE25F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DB7E13">
        <w:rPr>
          <w:rFonts w:ascii="Times New Roman" w:hAnsi="Times New Roman" w:cs="Times New Roman"/>
          <w:sz w:val="24"/>
          <w:szCs w:val="24"/>
        </w:rPr>
        <w:t>romotion of both consumptive and non consumptive ecotourism</w:t>
      </w:r>
      <w:r>
        <w:rPr>
          <w:rFonts w:ascii="Times New Roman" w:hAnsi="Times New Roman" w:cs="Times New Roman"/>
          <w:sz w:val="24"/>
          <w:szCs w:val="24"/>
        </w:rPr>
        <w:t>,</w:t>
      </w:r>
      <w:r w:rsidRPr="00DB7E13">
        <w:rPr>
          <w:rFonts w:ascii="Times New Roman" w:hAnsi="Times New Roman" w:cs="Times New Roman"/>
          <w:sz w:val="24"/>
          <w:szCs w:val="24"/>
        </w:rPr>
        <w:t xml:space="preserve"> </w:t>
      </w:r>
    </w:p>
    <w:p w:rsidR="001F0534" w:rsidRPr="00DB7E13" w:rsidRDefault="001F0534" w:rsidP="00AE25F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B7E13">
        <w:rPr>
          <w:rFonts w:ascii="Times New Roman" w:hAnsi="Times New Roman" w:cs="Times New Roman"/>
          <w:sz w:val="24"/>
          <w:szCs w:val="24"/>
        </w:rPr>
        <w:t>evolution of user rights from RDC to producer wildlife communities</w:t>
      </w:r>
      <w:r>
        <w:rPr>
          <w:rFonts w:ascii="Times New Roman" w:hAnsi="Times New Roman" w:cs="Times New Roman"/>
          <w:sz w:val="24"/>
          <w:szCs w:val="24"/>
        </w:rPr>
        <w:t xml:space="preserve"> and </w:t>
      </w:r>
      <w:r w:rsidRPr="00DB7E13">
        <w:rPr>
          <w:rFonts w:ascii="Times New Roman" w:hAnsi="Times New Roman" w:cs="Times New Roman"/>
          <w:sz w:val="24"/>
          <w:szCs w:val="24"/>
        </w:rPr>
        <w:t xml:space="preserve"> </w:t>
      </w:r>
    </w:p>
    <w:p w:rsidR="001F0534" w:rsidRPr="00DB7E13" w:rsidRDefault="001F0534" w:rsidP="00AE25FC">
      <w:pPr>
        <w:pStyle w:val="ListParagraph"/>
        <w:numPr>
          <w:ilvl w:val="0"/>
          <w:numId w:val="1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Pr="00DB7E13">
        <w:rPr>
          <w:rFonts w:ascii="Times New Roman" w:hAnsi="Times New Roman" w:cs="Times New Roman"/>
          <w:sz w:val="24"/>
          <w:szCs w:val="24"/>
        </w:rPr>
        <w:t>egalising</w:t>
      </w:r>
      <w:proofErr w:type="gramEnd"/>
      <w:r w:rsidRPr="00DB7E13">
        <w:rPr>
          <w:rFonts w:ascii="Times New Roman" w:hAnsi="Times New Roman" w:cs="Times New Roman"/>
          <w:sz w:val="24"/>
          <w:szCs w:val="24"/>
        </w:rPr>
        <w:t xml:space="preserve"> the commercial trade of buffer zone extracts from CAMPFIRE districts using the quota and branding systems</w:t>
      </w:r>
      <w:r>
        <w:rPr>
          <w:rFonts w:ascii="Times New Roman" w:hAnsi="Times New Roman" w:cs="Times New Roman"/>
          <w:sz w:val="24"/>
          <w:szCs w:val="24"/>
        </w:rPr>
        <w:t>.</w:t>
      </w:r>
    </w:p>
    <w:p w:rsidR="001F0534" w:rsidRDefault="001F0534" w:rsidP="00080788">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68531F">
        <w:rPr>
          <w:rFonts w:ascii="Times New Roman" w:hAnsi="Times New Roman" w:cs="Times New Roman"/>
          <w:sz w:val="24"/>
          <w:szCs w:val="24"/>
        </w:rPr>
        <w:t>trategies to lower the ass</w:t>
      </w:r>
      <w:r>
        <w:rPr>
          <w:rFonts w:ascii="Times New Roman" w:hAnsi="Times New Roman" w:cs="Times New Roman"/>
          <w:sz w:val="24"/>
          <w:szCs w:val="24"/>
        </w:rPr>
        <w:t>ociated social costs of having game p</w:t>
      </w:r>
      <w:r w:rsidRPr="0068531F">
        <w:rPr>
          <w:rFonts w:ascii="Times New Roman" w:hAnsi="Times New Roman" w:cs="Times New Roman"/>
          <w:sz w:val="24"/>
          <w:szCs w:val="24"/>
        </w:rPr>
        <w:t>arks may be equally impo</w:t>
      </w:r>
      <w:r>
        <w:rPr>
          <w:rFonts w:ascii="Times New Roman" w:hAnsi="Times New Roman" w:cs="Times New Roman"/>
          <w:sz w:val="24"/>
          <w:szCs w:val="24"/>
        </w:rPr>
        <w:t>rtant to surrounding households. T</w:t>
      </w:r>
      <w:r w:rsidRPr="0068531F">
        <w:rPr>
          <w:rFonts w:ascii="Times New Roman" w:hAnsi="Times New Roman" w:cs="Times New Roman"/>
          <w:sz w:val="24"/>
          <w:szCs w:val="24"/>
        </w:rPr>
        <w:t>his impl</w:t>
      </w:r>
      <w:r>
        <w:rPr>
          <w:rFonts w:ascii="Times New Roman" w:hAnsi="Times New Roman" w:cs="Times New Roman"/>
          <w:sz w:val="24"/>
          <w:szCs w:val="24"/>
        </w:rPr>
        <w:t xml:space="preserve">ies a reduction in the </w:t>
      </w:r>
      <w:r w:rsidRPr="0068531F">
        <w:rPr>
          <w:rFonts w:ascii="Times New Roman" w:hAnsi="Times New Roman" w:cs="Times New Roman"/>
          <w:sz w:val="24"/>
          <w:szCs w:val="24"/>
        </w:rPr>
        <w:t>human</w:t>
      </w:r>
      <w:r>
        <w:rPr>
          <w:rFonts w:ascii="Times New Roman" w:hAnsi="Times New Roman" w:cs="Times New Roman"/>
          <w:sz w:val="24"/>
          <w:szCs w:val="24"/>
        </w:rPr>
        <w:t>-wildlife</w:t>
      </w:r>
      <w:r w:rsidRPr="0068531F">
        <w:rPr>
          <w:rFonts w:ascii="Times New Roman" w:hAnsi="Times New Roman" w:cs="Times New Roman"/>
          <w:sz w:val="24"/>
          <w:szCs w:val="24"/>
        </w:rPr>
        <w:t xml:space="preserve"> conflict so that the accrued benefits remain higher to attract the willingness of households to consider the fauna portfolio as a reliable and sustainable livelihood adaptation option. </w:t>
      </w:r>
      <w:r>
        <w:rPr>
          <w:rFonts w:ascii="Times New Roman" w:hAnsi="Times New Roman" w:cs="Times New Roman"/>
          <w:sz w:val="24"/>
          <w:szCs w:val="24"/>
        </w:rPr>
        <w:t>The following approaches may reduce social cost of having game parks to surrounding communities;</w:t>
      </w:r>
    </w:p>
    <w:p w:rsidR="001F0534" w:rsidRDefault="001F0534" w:rsidP="00AE25FC">
      <w:pPr>
        <w:pStyle w:val="ListParagraph"/>
        <w:numPr>
          <w:ilvl w:val="0"/>
          <w:numId w:val="15"/>
        </w:numPr>
        <w:spacing w:line="360" w:lineRule="auto"/>
        <w:jc w:val="both"/>
        <w:rPr>
          <w:rFonts w:ascii="Times New Roman" w:hAnsi="Times New Roman" w:cs="Times New Roman"/>
          <w:sz w:val="24"/>
          <w:szCs w:val="24"/>
        </w:rPr>
      </w:pPr>
      <w:r w:rsidRPr="00DB7E13">
        <w:rPr>
          <w:rFonts w:ascii="Times New Roman" w:hAnsi="Times New Roman" w:cs="Times New Roman"/>
          <w:sz w:val="24"/>
          <w:szCs w:val="24"/>
        </w:rPr>
        <w:t xml:space="preserve">adopting biological bee fence </w:t>
      </w:r>
      <w:r>
        <w:rPr>
          <w:rFonts w:ascii="Times New Roman" w:hAnsi="Times New Roman" w:cs="Times New Roman"/>
          <w:sz w:val="24"/>
          <w:szCs w:val="24"/>
        </w:rPr>
        <w:t xml:space="preserve">as suggested by King (2010) </w:t>
      </w:r>
      <w:r w:rsidRPr="00DB7E13">
        <w:rPr>
          <w:rFonts w:ascii="Times New Roman" w:hAnsi="Times New Roman" w:cs="Times New Roman"/>
          <w:sz w:val="24"/>
          <w:szCs w:val="24"/>
        </w:rPr>
        <w:t>to deter elephants from evading fields of surrounding communities</w:t>
      </w:r>
    </w:p>
    <w:p w:rsidR="001F0534" w:rsidRPr="00DB7E13" w:rsidRDefault="001F0534" w:rsidP="00AE25FC">
      <w:pPr>
        <w:pStyle w:val="ListParagraph"/>
        <w:numPr>
          <w:ilvl w:val="0"/>
          <w:numId w:val="15"/>
        </w:numPr>
        <w:spacing w:line="360" w:lineRule="auto"/>
        <w:jc w:val="both"/>
        <w:rPr>
          <w:rFonts w:ascii="Times New Roman" w:hAnsi="Times New Roman" w:cs="Times New Roman"/>
          <w:sz w:val="24"/>
          <w:szCs w:val="24"/>
        </w:rPr>
      </w:pPr>
      <w:r w:rsidRPr="00DB7E13">
        <w:rPr>
          <w:rFonts w:ascii="Times New Roman" w:hAnsi="Times New Roman" w:cs="Times New Roman"/>
          <w:sz w:val="24"/>
          <w:szCs w:val="24"/>
        </w:rPr>
        <w:t xml:space="preserve">internalisation of social costs (negative externalities) by safari operators </w:t>
      </w:r>
    </w:p>
    <w:p w:rsidR="001F0534" w:rsidRDefault="001F0534" w:rsidP="00080788">
      <w:pPr>
        <w:spacing w:line="360" w:lineRule="auto"/>
        <w:jc w:val="both"/>
        <w:rPr>
          <w:rFonts w:ascii="Times New Roman" w:hAnsi="Times New Roman" w:cs="Times New Roman"/>
          <w:sz w:val="24"/>
          <w:szCs w:val="24"/>
        </w:rPr>
      </w:pPr>
      <w:r w:rsidRPr="0068531F">
        <w:rPr>
          <w:rFonts w:ascii="Times New Roman" w:hAnsi="Times New Roman" w:cs="Times New Roman"/>
          <w:sz w:val="24"/>
          <w:szCs w:val="24"/>
        </w:rPr>
        <w:t xml:space="preserve">An insecure property rights regime for game farming was also cited as one of the possible constraints inhibiting surrounding communities from considering game farming as a livelihood source. </w:t>
      </w:r>
      <w:r>
        <w:rPr>
          <w:rFonts w:ascii="Times New Roman" w:hAnsi="Times New Roman" w:cs="Times New Roman"/>
          <w:sz w:val="24"/>
          <w:szCs w:val="24"/>
        </w:rPr>
        <w:t>The following approach may enhance secure property rights to producer communities;</w:t>
      </w:r>
    </w:p>
    <w:p w:rsidR="001F0534" w:rsidRPr="0026493E" w:rsidRDefault="001F0534" w:rsidP="00AE25FC">
      <w:pPr>
        <w:pStyle w:val="ListParagraph"/>
        <w:numPr>
          <w:ilvl w:val="0"/>
          <w:numId w:val="16"/>
        </w:numPr>
        <w:spacing w:line="360" w:lineRule="auto"/>
        <w:jc w:val="both"/>
        <w:rPr>
          <w:rFonts w:ascii="Times New Roman" w:hAnsi="Times New Roman" w:cs="Times New Roman"/>
          <w:sz w:val="24"/>
          <w:szCs w:val="24"/>
        </w:rPr>
      </w:pPr>
      <w:proofErr w:type="gramStart"/>
      <w:r w:rsidRPr="0026493E">
        <w:rPr>
          <w:rFonts w:ascii="Times New Roman" w:hAnsi="Times New Roman" w:cs="Times New Roman"/>
          <w:sz w:val="24"/>
          <w:szCs w:val="24"/>
        </w:rPr>
        <w:t>full</w:t>
      </w:r>
      <w:proofErr w:type="gramEnd"/>
      <w:r w:rsidRPr="0026493E">
        <w:rPr>
          <w:rFonts w:ascii="Times New Roman" w:hAnsi="Times New Roman" w:cs="Times New Roman"/>
          <w:sz w:val="24"/>
          <w:szCs w:val="24"/>
        </w:rPr>
        <w:t xml:space="preserve"> devolution of user rights to local communities, from the current </w:t>
      </w:r>
      <w:r w:rsidRPr="0026493E">
        <w:rPr>
          <w:rFonts w:ascii="Times New Roman" w:hAnsi="Times New Roman" w:cs="Times New Roman"/>
          <w:color w:val="000000"/>
          <w:sz w:val="24"/>
          <w:szCs w:val="24"/>
        </w:rPr>
        <w:t>statutory rights to use natural resources as part of a local authority</w:t>
      </w:r>
      <w:r w:rsidRPr="0026493E">
        <w:rPr>
          <w:rFonts w:ascii="Times New Roman" w:hAnsi="Times New Roman" w:cs="Times New Roman"/>
          <w:sz w:val="24"/>
          <w:szCs w:val="24"/>
        </w:rPr>
        <w:t xml:space="preserve">. </w:t>
      </w:r>
    </w:p>
    <w:p w:rsidR="001F0534" w:rsidRPr="0068531F" w:rsidRDefault="001F0534" w:rsidP="00080788">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status quo of game p</w:t>
      </w:r>
      <w:r w:rsidRPr="0068531F">
        <w:rPr>
          <w:rFonts w:ascii="Times New Roman" w:hAnsi="Times New Roman" w:cs="Times New Roman"/>
          <w:sz w:val="24"/>
          <w:szCs w:val="24"/>
        </w:rPr>
        <w:t>arks in relation to surrounding communities (insecure property rights, low and unreliable revenue amidst high social costs) may provide no incentive for communities to consider them as a livelihood adaptation</w:t>
      </w:r>
      <w:r>
        <w:rPr>
          <w:rFonts w:ascii="Times New Roman" w:hAnsi="Times New Roman" w:cs="Times New Roman"/>
          <w:sz w:val="24"/>
          <w:szCs w:val="24"/>
        </w:rPr>
        <w:t xml:space="preserve"> option. In essence, there is high incentive to destroy game p</w:t>
      </w:r>
      <w:r w:rsidRPr="0068531F">
        <w:rPr>
          <w:rFonts w:ascii="Times New Roman" w:hAnsi="Times New Roman" w:cs="Times New Roman"/>
          <w:sz w:val="24"/>
          <w:szCs w:val="24"/>
        </w:rPr>
        <w:t xml:space="preserve">arks because they interfere with other sustainable livelihood sources which are critical for the survival of communities (crop damage and livestock predation). </w:t>
      </w:r>
    </w:p>
    <w:p w:rsidR="001F0534" w:rsidRPr="0068531F" w:rsidRDefault="001F0534" w:rsidP="00080788">
      <w:pPr>
        <w:spacing w:line="360" w:lineRule="auto"/>
        <w:jc w:val="both"/>
        <w:rPr>
          <w:rFonts w:ascii="Times New Roman" w:hAnsi="Times New Roman" w:cs="Times New Roman"/>
          <w:b/>
          <w:sz w:val="24"/>
          <w:szCs w:val="24"/>
        </w:rPr>
      </w:pPr>
    </w:p>
    <w:p w:rsidR="001F0534" w:rsidRPr="003E698A" w:rsidRDefault="001F0534" w:rsidP="00080788">
      <w:pPr>
        <w:pStyle w:val="Heading2"/>
        <w:spacing w:before="240" w:line="360" w:lineRule="auto"/>
        <w:rPr>
          <w:rFonts w:ascii="Times New Roman" w:hAnsi="Times New Roman" w:cs="Times New Roman"/>
          <w:b w:val="0"/>
          <w:color w:val="auto"/>
        </w:rPr>
      </w:pPr>
      <w:bookmarkStart w:id="36" w:name="_Toc311701030"/>
      <w:bookmarkStart w:id="37" w:name="_Toc311703938"/>
      <w:r w:rsidRPr="003E698A">
        <w:rPr>
          <w:rFonts w:ascii="Times New Roman" w:hAnsi="Times New Roman" w:cs="Times New Roman"/>
          <w:color w:val="auto"/>
        </w:rPr>
        <w:lastRenderedPageBreak/>
        <w:t>References</w:t>
      </w:r>
      <w:bookmarkEnd w:id="36"/>
      <w:bookmarkEnd w:id="37"/>
    </w:p>
    <w:p w:rsidR="001F0534" w:rsidRPr="0068531F" w:rsidRDefault="001F0534" w:rsidP="00080788">
      <w:pPr>
        <w:autoSpaceDE w:val="0"/>
        <w:autoSpaceDN w:val="0"/>
        <w:adjustRightInd w:val="0"/>
        <w:spacing w:before="240" w:line="36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Adams, R.H., and He, J.J.</w:t>
      </w:r>
      <w:r w:rsidRPr="0068531F">
        <w:rPr>
          <w:rFonts w:ascii="Times New Roman" w:hAnsi="Times New Roman" w:cs="Times New Roman"/>
          <w:sz w:val="24"/>
          <w:szCs w:val="24"/>
        </w:rPr>
        <w:t xml:space="preserve"> 1995.</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Sources of income inequality and poverty in rural Pakistan.</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Research Report, No. 102.</w:t>
      </w:r>
      <w:proofErr w:type="gramEnd"/>
      <w:r w:rsidRPr="0068531F">
        <w:rPr>
          <w:rFonts w:ascii="Times New Roman" w:hAnsi="Times New Roman" w:cs="Times New Roman"/>
          <w:sz w:val="24"/>
          <w:szCs w:val="24"/>
        </w:rPr>
        <w:t xml:space="preserve"> Washington DC: International Food Policy Research Institute.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sz w:val="24"/>
          <w:szCs w:val="24"/>
        </w:rPr>
        <w:t>Adhikari</w:t>
      </w:r>
      <w:proofErr w:type="spellEnd"/>
      <w:r w:rsidRPr="0068531F">
        <w:rPr>
          <w:rFonts w:ascii="Times New Roman" w:hAnsi="Times New Roman" w:cs="Times New Roman"/>
          <w:sz w:val="24"/>
          <w:szCs w:val="24"/>
        </w:rPr>
        <w:t>, B. 2005.</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Poverty, property rights and collective action.</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Understanding the distributive aspects of common property resource management.</w:t>
      </w:r>
      <w:proofErr w:type="gram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 xml:space="preserve">Environment and Development Economics, </w:t>
      </w:r>
      <w:r w:rsidRPr="0068531F">
        <w:rPr>
          <w:rFonts w:ascii="Times New Roman" w:hAnsi="Times New Roman" w:cs="Times New Roman"/>
          <w:sz w:val="24"/>
          <w:szCs w:val="24"/>
        </w:rPr>
        <w:t>10, 7-31.</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r w:rsidRPr="0068531F">
        <w:rPr>
          <w:rFonts w:ascii="Times New Roman" w:eastAsia="Times New Roman" w:hAnsi="Times New Roman" w:cs="Times New Roman"/>
          <w:sz w:val="24"/>
          <w:szCs w:val="24"/>
          <w:lang w:eastAsia="en-ZA"/>
        </w:rPr>
        <w:t>Adugna</w:t>
      </w:r>
      <w:proofErr w:type="spellEnd"/>
      <w:r w:rsidRPr="0068531F">
        <w:rPr>
          <w:rFonts w:ascii="Times New Roman" w:eastAsia="Times New Roman" w:hAnsi="Times New Roman" w:cs="Times New Roman"/>
          <w:sz w:val="24"/>
          <w:szCs w:val="24"/>
          <w:lang w:eastAsia="en-ZA"/>
        </w:rPr>
        <w:t>, L.</w:t>
      </w:r>
      <w:r w:rsidRPr="0068531F">
        <w:rPr>
          <w:rFonts w:ascii="Times New Roman" w:eastAsia="Times New Roman" w:hAnsi="Times New Roman" w:cs="Times New Roman"/>
          <w:b/>
          <w:bCs/>
          <w:sz w:val="24"/>
          <w:szCs w:val="24"/>
          <w:lang w:eastAsia="en-ZA"/>
        </w:rPr>
        <w:t xml:space="preserve"> </w:t>
      </w:r>
      <w:r w:rsidRPr="0068531F">
        <w:rPr>
          <w:rFonts w:ascii="Times New Roman" w:eastAsia="Times New Roman" w:hAnsi="Times New Roman" w:cs="Times New Roman"/>
          <w:sz w:val="24"/>
          <w:szCs w:val="24"/>
          <w:lang w:eastAsia="en-ZA"/>
        </w:rPr>
        <w:t xml:space="preserve">2005. The Dynamics of Livelihood Diversification in Ethiopia Revisited: Evidence from Panel Data, Department of Economics University of Massachusetts, </w:t>
      </w:r>
      <w:proofErr w:type="gramStart"/>
      <w:r w:rsidRPr="0068531F">
        <w:rPr>
          <w:rFonts w:ascii="Times New Roman" w:eastAsia="Times New Roman" w:hAnsi="Times New Roman" w:cs="Times New Roman"/>
          <w:sz w:val="24"/>
          <w:szCs w:val="24"/>
          <w:lang w:eastAsia="en-ZA"/>
        </w:rPr>
        <w:t>Boston</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r w:rsidRPr="0068531F">
        <w:rPr>
          <w:rFonts w:ascii="Times New Roman" w:eastAsia="Times New Roman" w:hAnsi="Times New Roman" w:cs="Times New Roman"/>
          <w:sz w:val="24"/>
          <w:szCs w:val="24"/>
          <w:lang w:eastAsia="en-ZA"/>
        </w:rPr>
        <w:t>Barre</w:t>
      </w:r>
      <w:r>
        <w:rPr>
          <w:rFonts w:ascii="Times New Roman" w:eastAsia="Times New Roman" w:hAnsi="Times New Roman" w:cs="Times New Roman"/>
          <w:sz w:val="24"/>
          <w:szCs w:val="24"/>
          <w:lang w:eastAsia="en-ZA"/>
        </w:rPr>
        <w:t>tt, C.B., Reardon, T., Webb, P.</w:t>
      </w:r>
      <w:r w:rsidRPr="0068531F">
        <w:rPr>
          <w:rFonts w:ascii="Times New Roman" w:eastAsia="Times New Roman" w:hAnsi="Times New Roman" w:cs="Times New Roman"/>
          <w:sz w:val="24"/>
          <w:szCs w:val="24"/>
          <w:lang w:eastAsia="en-ZA"/>
        </w:rPr>
        <w:t xml:space="preserve"> 2001. Non-farm Income Diversification and Household Livelihood Strategies in Rural Africa: Concepts, Dynamics, and Policy Implications. </w:t>
      </w:r>
      <w:proofErr w:type="gramStart"/>
      <w:r w:rsidRPr="0068531F">
        <w:rPr>
          <w:rFonts w:ascii="Times New Roman" w:eastAsia="Times New Roman" w:hAnsi="Times New Roman" w:cs="Times New Roman"/>
          <w:i/>
          <w:sz w:val="24"/>
          <w:szCs w:val="24"/>
          <w:lang w:eastAsia="en-ZA"/>
        </w:rPr>
        <w:t>Food policy,</w:t>
      </w:r>
      <w:r w:rsidRPr="0068531F">
        <w:rPr>
          <w:rFonts w:ascii="Times New Roman" w:eastAsia="Times New Roman" w:hAnsi="Times New Roman" w:cs="Times New Roman"/>
          <w:sz w:val="24"/>
          <w:szCs w:val="24"/>
          <w:lang w:eastAsia="en-ZA"/>
        </w:rPr>
        <w:t xml:space="preserve"> 26, 315-331.</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Pr>
          <w:rFonts w:ascii="Times New Roman" w:eastAsia="Times New Roman" w:hAnsi="Times New Roman" w:cs="Times New Roman"/>
          <w:sz w:val="24"/>
          <w:szCs w:val="24"/>
          <w:lang w:eastAsia="en-ZA"/>
        </w:rPr>
        <w:t>Berehanu</w:t>
      </w:r>
      <w:proofErr w:type="spellEnd"/>
      <w:r>
        <w:rPr>
          <w:rFonts w:ascii="Times New Roman" w:eastAsia="Times New Roman" w:hAnsi="Times New Roman" w:cs="Times New Roman"/>
          <w:sz w:val="24"/>
          <w:szCs w:val="24"/>
          <w:lang w:eastAsia="en-ZA"/>
        </w:rPr>
        <w:t>, E.</w:t>
      </w:r>
      <w:r w:rsidRPr="0068531F">
        <w:rPr>
          <w:rFonts w:ascii="Times New Roman" w:eastAsia="Times New Roman" w:hAnsi="Times New Roman" w:cs="Times New Roman"/>
          <w:sz w:val="24"/>
          <w:szCs w:val="24"/>
          <w:lang w:eastAsia="en-ZA"/>
        </w:rPr>
        <w:t xml:space="preserve"> 2007.</w:t>
      </w:r>
      <w:proofErr w:type="gramEnd"/>
      <w:r w:rsidRPr="0068531F">
        <w:rPr>
          <w:rFonts w:ascii="Times New Roman" w:eastAsia="Times New Roman" w:hAnsi="Times New Roman" w:cs="Times New Roman"/>
          <w:sz w:val="24"/>
          <w:szCs w:val="24"/>
          <w:lang w:eastAsia="en-ZA"/>
        </w:rPr>
        <w:t xml:space="preserve"> </w:t>
      </w:r>
      <w:r w:rsidRPr="00245C7C">
        <w:rPr>
          <w:rFonts w:ascii="Times New Roman" w:eastAsia="Times New Roman" w:hAnsi="Times New Roman" w:cs="Times New Roman"/>
          <w:i/>
          <w:sz w:val="24"/>
          <w:szCs w:val="24"/>
          <w:lang w:eastAsia="en-ZA"/>
        </w:rPr>
        <w:t xml:space="preserve">Livelihood Strategies of Smallholder Farmers and Income Poverty in draught prone areas: </w:t>
      </w:r>
      <w:proofErr w:type="gramStart"/>
      <w:r w:rsidRPr="00245C7C">
        <w:rPr>
          <w:rFonts w:ascii="Times New Roman" w:eastAsia="Times New Roman" w:hAnsi="Times New Roman" w:cs="Times New Roman"/>
          <w:i/>
          <w:sz w:val="24"/>
          <w:szCs w:val="24"/>
          <w:lang w:eastAsia="en-ZA"/>
        </w:rPr>
        <w:t>The</w:t>
      </w:r>
      <w:proofErr w:type="gramEnd"/>
      <w:r w:rsidRPr="00245C7C">
        <w:rPr>
          <w:rFonts w:ascii="Times New Roman" w:eastAsia="Times New Roman" w:hAnsi="Times New Roman" w:cs="Times New Roman"/>
          <w:i/>
          <w:sz w:val="24"/>
          <w:szCs w:val="24"/>
          <w:lang w:eastAsia="en-ZA"/>
        </w:rPr>
        <w:t xml:space="preserve"> case of </w:t>
      </w:r>
      <w:proofErr w:type="spellStart"/>
      <w:r w:rsidRPr="00245C7C">
        <w:rPr>
          <w:rFonts w:ascii="Times New Roman" w:eastAsia="Times New Roman" w:hAnsi="Times New Roman" w:cs="Times New Roman"/>
          <w:i/>
          <w:sz w:val="24"/>
          <w:szCs w:val="24"/>
          <w:lang w:eastAsia="en-ZA"/>
        </w:rPr>
        <w:t>Gena-Bosa</w:t>
      </w:r>
      <w:proofErr w:type="spellEnd"/>
      <w:r w:rsidRPr="00245C7C">
        <w:rPr>
          <w:rFonts w:ascii="Times New Roman" w:eastAsia="Times New Roman" w:hAnsi="Times New Roman" w:cs="Times New Roman"/>
          <w:i/>
          <w:sz w:val="24"/>
          <w:szCs w:val="24"/>
          <w:lang w:eastAsia="en-ZA"/>
        </w:rPr>
        <w:t xml:space="preserve"> </w:t>
      </w:r>
      <w:proofErr w:type="spellStart"/>
      <w:r w:rsidRPr="00245C7C">
        <w:rPr>
          <w:rFonts w:ascii="Times New Roman" w:eastAsia="Times New Roman" w:hAnsi="Times New Roman" w:cs="Times New Roman"/>
          <w:i/>
          <w:sz w:val="24"/>
          <w:szCs w:val="24"/>
          <w:lang w:eastAsia="en-ZA"/>
        </w:rPr>
        <w:t>woreda</w:t>
      </w:r>
      <w:proofErr w:type="spellEnd"/>
      <w:r w:rsidRPr="00245C7C">
        <w:rPr>
          <w:rFonts w:ascii="Times New Roman" w:eastAsia="Times New Roman" w:hAnsi="Times New Roman" w:cs="Times New Roman"/>
          <w:i/>
          <w:sz w:val="24"/>
          <w:szCs w:val="24"/>
          <w:lang w:eastAsia="en-ZA"/>
        </w:rPr>
        <w:t>, SNNPRS</w:t>
      </w:r>
      <w:r w:rsidRPr="0068531F">
        <w:rPr>
          <w:rFonts w:ascii="Times New Roman" w:eastAsia="Times New Roman" w:hAnsi="Times New Roman" w:cs="Times New Roman"/>
          <w:sz w:val="24"/>
          <w:szCs w:val="24"/>
          <w:lang w:eastAsia="en-ZA"/>
        </w:rPr>
        <w:t xml:space="preserve">. </w:t>
      </w:r>
      <w:proofErr w:type="spellStart"/>
      <w:r w:rsidRPr="0068531F">
        <w:rPr>
          <w:rFonts w:ascii="Times New Roman" w:eastAsia="Times New Roman" w:hAnsi="Times New Roman" w:cs="Times New Roman"/>
          <w:sz w:val="24"/>
          <w:szCs w:val="24"/>
          <w:lang w:eastAsia="en-ZA"/>
        </w:rPr>
        <w:t>MSc</w:t>
      </w:r>
      <w:proofErr w:type="spellEnd"/>
      <w:r w:rsidRPr="0068531F">
        <w:rPr>
          <w:rFonts w:ascii="Times New Roman" w:eastAsia="Times New Roman" w:hAnsi="Times New Roman" w:cs="Times New Roman"/>
          <w:sz w:val="24"/>
          <w:szCs w:val="24"/>
          <w:lang w:eastAsia="en-ZA"/>
        </w:rPr>
        <w:t xml:space="preserve"> Thesis Presented to the School of Graduate Studies of </w:t>
      </w:r>
      <w:proofErr w:type="spellStart"/>
      <w:r w:rsidRPr="0068531F">
        <w:rPr>
          <w:rFonts w:ascii="Times New Roman" w:eastAsia="Times New Roman" w:hAnsi="Times New Roman" w:cs="Times New Roman"/>
          <w:sz w:val="24"/>
          <w:szCs w:val="24"/>
          <w:lang w:eastAsia="en-ZA"/>
        </w:rPr>
        <w:t>Haramaya</w:t>
      </w:r>
      <w:proofErr w:type="spellEnd"/>
      <w:r w:rsidRPr="0068531F">
        <w:rPr>
          <w:rFonts w:ascii="Times New Roman" w:eastAsia="Times New Roman" w:hAnsi="Times New Roman" w:cs="Times New Roman"/>
          <w:sz w:val="24"/>
          <w:szCs w:val="24"/>
          <w:lang w:eastAsia="en-ZA"/>
        </w:rPr>
        <w:t xml:space="preserve"> University.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r w:rsidRPr="0068531F">
        <w:rPr>
          <w:rFonts w:ascii="Times New Roman" w:eastAsia="Times New Roman" w:hAnsi="Times New Roman" w:cs="Times New Roman"/>
          <w:sz w:val="24"/>
          <w:szCs w:val="24"/>
          <w:lang w:eastAsia="en-ZA"/>
        </w:rPr>
        <w:t>Bezemer</w:t>
      </w:r>
      <w:proofErr w:type="spellEnd"/>
      <w:r w:rsidRPr="0068531F">
        <w:rPr>
          <w:rFonts w:ascii="Times New Roman" w:eastAsia="Times New Roman" w:hAnsi="Times New Roman" w:cs="Times New Roman"/>
          <w:sz w:val="24"/>
          <w:szCs w:val="24"/>
          <w:lang w:eastAsia="en-ZA"/>
        </w:rPr>
        <w:t xml:space="preserve">, D.J. and </w:t>
      </w:r>
      <w:proofErr w:type="spellStart"/>
      <w:r w:rsidRPr="0068531F">
        <w:rPr>
          <w:rFonts w:ascii="Times New Roman" w:eastAsia="Times New Roman" w:hAnsi="Times New Roman" w:cs="Times New Roman"/>
          <w:sz w:val="24"/>
          <w:szCs w:val="24"/>
          <w:lang w:eastAsia="en-ZA"/>
        </w:rPr>
        <w:t>Lerman</w:t>
      </w:r>
      <w:proofErr w:type="spellEnd"/>
      <w:r w:rsidRPr="0068531F">
        <w:rPr>
          <w:rFonts w:ascii="Times New Roman" w:eastAsia="Times New Roman" w:hAnsi="Times New Roman" w:cs="Times New Roman"/>
          <w:sz w:val="24"/>
          <w:szCs w:val="24"/>
          <w:lang w:eastAsia="en-ZA"/>
        </w:rPr>
        <w:t xml:space="preserve">, Z., 2002. Rural Livelihoods in Armenia: The Centre for Agricultural Economic Research, the Department of Agricultural Economics and Management Discussion Paper No. 4.03.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color w:val="000000"/>
          <w:sz w:val="24"/>
          <w:szCs w:val="24"/>
        </w:rPr>
      </w:pPr>
      <w:proofErr w:type="gramStart"/>
      <w:r w:rsidRPr="0068531F">
        <w:rPr>
          <w:rFonts w:ascii="Times New Roman" w:hAnsi="Times New Roman" w:cs="Times New Roman"/>
          <w:bCs/>
          <w:color w:val="000000"/>
          <w:sz w:val="24"/>
          <w:szCs w:val="24"/>
        </w:rPr>
        <w:t>Bradley, P.N., an</w:t>
      </w:r>
      <w:r>
        <w:rPr>
          <w:rFonts w:ascii="Times New Roman" w:hAnsi="Times New Roman" w:cs="Times New Roman"/>
          <w:bCs/>
          <w:color w:val="000000"/>
          <w:sz w:val="24"/>
          <w:szCs w:val="24"/>
        </w:rPr>
        <w:t>d McNamara K.</w:t>
      </w:r>
      <w:r w:rsidRPr="0068531F">
        <w:rPr>
          <w:rFonts w:ascii="Times New Roman" w:hAnsi="Times New Roman" w:cs="Times New Roman"/>
          <w:bCs/>
          <w:color w:val="000000"/>
          <w:sz w:val="24"/>
          <w:szCs w:val="24"/>
        </w:rPr>
        <w:t xml:space="preserve"> 1993.</w:t>
      </w:r>
      <w:proofErr w:type="gramEnd"/>
      <w:r w:rsidRPr="0068531F">
        <w:rPr>
          <w:rFonts w:ascii="Times New Roman" w:hAnsi="Times New Roman" w:cs="Times New Roman"/>
          <w:color w:val="000000"/>
          <w:sz w:val="24"/>
          <w:szCs w:val="24"/>
        </w:rPr>
        <w:t xml:space="preserve"> </w:t>
      </w:r>
      <w:r w:rsidRPr="0068531F">
        <w:rPr>
          <w:rFonts w:ascii="Times New Roman" w:hAnsi="Times New Roman" w:cs="Times New Roman"/>
          <w:i/>
          <w:color w:val="000000"/>
          <w:sz w:val="24"/>
          <w:szCs w:val="24"/>
        </w:rPr>
        <w:t xml:space="preserve">Living with trees, Policies for Forestry Management </w:t>
      </w:r>
      <w:proofErr w:type="gramStart"/>
      <w:r w:rsidRPr="0068531F">
        <w:rPr>
          <w:rFonts w:ascii="Times New Roman" w:hAnsi="Times New Roman" w:cs="Times New Roman"/>
          <w:i/>
          <w:color w:val="000000"/>
          <w:sz w:val="24"/>
          <w:szCs w:val="24"/>
        </w:rPr>
        <w:t>In</w:t>
      </w:r>
      <w:proofErr w:type="gramEnd"/>
      <w:r w:rsidRPr="0068531F">
        <w:rPr>
          <w:rFonts w:ascii="Times New Roman" w:hAnsi="Times New Roman" w:cs="Times New Roman"/>
          <w:i/>
          <w:color w:val="000000"/>
          <w:sz w:val="24"/>
          <w:szCs w:val="24"/>
        </w:rPr>
        <w:t xml:space="preserve"> Zimbabwe</w:t>
      </w:r>
      <w:r w:rsidRPr="0068531F">
        <w:rPr>
          <w:rFonts w:ascii="Times New Roman" w:hAnsi="Times New Roman" w:cs="Times New Roman"/>
          <w:color w:val="000000"/>
          <w:sz w:val="24"/>
          <w:szCs w:val="24"/>
        </w:rPr>
        <w:t xml:space="preserve">; The International Bank for Reconstruction and Development/ The World Bank, Washington, DC 20433, USA.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gramStart"/>
      <w:r w:rsidRPr="0068531F">
        <w:rPr>
          <w:rFonts w:ascii="Times New Roman" w:eastAsia="Times New Roman" w:hAnsi="Times New Roman" w:cs="Times New Roman"/>
          <w:sz w:val="24"/>
          <w:szCs w:val="24"/>
          <w:lang w:eastAsia="en-ZA"/>
        </w:rPr>
        <w:t xml:space="preserve">Brown, D.R., Stephens, E., C., </w:t>
      </w:r>
      <w:proofErr w:type="spellStart"/>
      <w:r w:rsidRPr="0068531F">
        <w:rPr>
          <w:rFonts w:ascii="Times New Roman" w:eastAsia="Times New Roman" w:hAnsi="Times New Roman" w:cs="Times New Roman"/>
          <w:sz w:val="24"/>
          <w:szCs w:val="24"/>
          <w:lang w:eastAsia="en-ZA"/>
        </w:rPr>
        <w:t>Okuro</w:t>
      </w:r>
      <w:proofErr w:type="spellEnd"/>
      <w:r w:rsidRPr="0068531F">
        <w:rPr>
          <w:rFonts w:ascii="Times New Roman" w:eastAsia="Times New Roman" w:hAnsi="Times New Roman" w:cs="Times New Roman"/>
          <w:sz w:val="24"/>
          <w:szCs w:val="24"/>
          <w:lang w:eastAsia="en-ZA"/>
        </w:rPr>
        <w:t xml:space="preserve">, M.J., </w:t>
      </w:r>
      <w:proofErr w:type="spellStart"/>
      <w:r w:rsidRPr="0068531F">
        <w:rPr>
          <w:rFonts w:ascii="Times New Roman" w:eastAsia="Times New Roman" w:hAnsi="Times New Roman" w:cs="Times New Roman"/>
          <w:sz w:val="24"/>
          <w:szCs w:val="24"/>
          <w:lang w:eastAsia="en-ZA"/>
        </w:rPr>
        <w:t>Murithi</w:t>
      </w:r>
      <w:proofErr w:type="spellEnd"/>
      <w:r w:rsidRPr="0068531F">
        <w:rPr>
          <w:rFonts w:ascii="Times New Roman" w:eastAsia="Times New Roman" w:hAnsi="Times New Roman" w:cs="Times New Roman"/>
          <w:sz w:val="24"/>
          <w:szCs w:val="24"/>
          <w:lang w:eastAsia="en-ZA"/>
        </w:rPr>
        <w:t>, F.M., Barrette</w:t>
      </w:r>
      <w:r>
        <w:rPr>
          <w:rFonts w:ascii="Times New Roman" w:eastAsia="Times New Roman" w:hAnsi="Times New Roman" w:cs="Times New Roman"/>
          <w:sz w:val="24"/>
          <w:szCs w:val="24"/>
          <w:lang w:eastAsia="en-ZA"/>
        </w:rPr>
        <w:t>, C.B.</w:t>
      </w:r>
      <w:r w:rsidRPr="0068531F">
        <w:rPr>
          <w:rFonts w:ascii="Times New Roman" w:eastAsia="Times New Roman" w:hAnsi="Times New Roman" w:cs="Times New Roman"/>
          <w:sz w:val="24"/>
          <w:szCs w:val="24"/>
          <w:lang w:eastAsia="en-ZA"/>
        </w:rPr>
        <w:t xml:space="preserve"> 2006.</w:t>
      </w:r>
      <w:proofErr w:type="gramEnd"/>
      <w:r w:rsidRPr="0068531F">
        <w:rPr>
          <w:rFonts w:ascii="Times New Roman" w:eastAsia="Times New Roman" w:hAnsi="Times New Roman" w:cs="Times New Roman"/>
          <w:sz w:val="24"/>
          <w:szCs w:val="24"/>
          <w:lang w:eastAsia="en-ZA"/>
        </w:rPr>
        <w:t xml:space="preserve"> </w:t>
      </w:r>
      <w:proofErr w:type="gramStart"/>
      <w:r w:rsidRPr="0068531F">
        <w:rPr>
          <w:rFonts w:ascii="Times New Roman" w:eastAsia="Times New Roman" w:hAnsi="Times New Roman" w:cs="Times New Roman"/>
          <w:sz w:val="24"/>
          <w:szCs w:val="24"/>
          <w:lang w:eastAsia="en-ZA"/>
        </w:rPr>
        <w:t>Livelihood Strategies in the Rural Kenyan Highland.</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r>
        <w:rPr>
          <w:rFonts w:ascii="Times New Roman" w:eastAsia="Times New Roman" w:hAnsi="Times New Roman" w:cs="Times New Roman"/>
          <w:sz w:val="24"/>
          <w:szCs w:val="24"/>
          <w:lang w:eastAsia="en-ZA"/>
        </w:rPr>
        <w:t>Carswell</w:t>
      </w:r>
      <w:proofErr w:type="spellEnd"/>
      <w:r>
        <w:rPr>
          <w:rFonts w:ascii="Times New Roman" w:eastAsia="Times New Roman" w:hAnsi="Times New Roman" w:cs="Times New Roman"/>
          <w:sz w:val="24"/>
          <w:szCs w:val="24"/>
          <w:lang w:eastAsia="en-ZA"/>
        </w:rPr>
        <w:t>, G.</w:t>
      </w:r>
      <w:r w:rsidRPr="0068531F">
        <w:rPr>
          <w:rFonts w:ascii="Times New Roman" w:eastAsia="Times New Roman" w:hAnsi="Times New Roman" w:cs="Times New Roman"/>
          <w:sz w:val="24"/>
          <w:szCs w:val="24"/>
          <w:lang w:eastAsia="en-ZA"/>
        </w:rPr>
        <w:t xml:space="preserve"> 2000. </w:t>
      </w:r>
      <w:proofErr w:type="gramStart"/>
      <w:r w:rsidRPr="0068531F">
        <w:rPr>
          <w:rFonts w:ascii="Times New Roman" w:eastAsia="Times New Roman" w:hAnsi="Times New Roman" w:cs="Times New Roman"/>
          <w:sz w:val="24"/>
          <w:szCs w:val="24"/>
          <w:lang w:eastAsia="en-ZA"/>
        </w:rPr>
        <w:t>Livelihood diversification in southern Ethiopia IDS working paper 117.</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r w:rsidRPr="0068531F">
        <w:rPr>
          <w:rFonts w:ascii="Times New Roman" w:eastAsia="Times New Roman" w:hAnsi="Times New Roman" w:cs="Times New Roman"/>
          <w:sz w:val="24"/>
          <w:szCs w:val="24"/>
          <w:lang w:eastAsia="en-ZA"/>
        </w:rPr>
        <w:t>Chambers, R., and Conway,</w:t>
      </w:r>
      <w:r>
        <w:rPr>
          <w:rFonts w:ascii="Times New Roman" w:eastAsia="Times New Roman" w:hAnsi="Times New Roman" w:cs="Times New Roman"/>
          <w:sz w:val="24"/>
          <w:szCs w:val="24"/>
          <w:lang w:eastAsia="en-ZA"/>
        </w:rPr>
        <w:t xml:space="preserve"> G.R.</w:t>
      </w:r>
      <w:r w:rsidRPr="0068531F">
        <w:rPr>
          <w:rFonts w:ascii="Times New Roman" w:eastAsia="Times New Roman" w:hAnsi="Times New Roman" w:cs="Times New Roman"/>
          <w:sz w:val="24"/>
          <w:szCs w:val="24"/>
          <w:lang w:eastAsia="en-ZA"/>
        </w:rPr>
        <w:t xml:space="preserve"> 1992. Sustainable rural livelihoods: practical concepts for 21</w:t>
      </w:r>
      <w:r w:rsidRPr="0068531F">
        <w:rPr>
          <w:rFonts w:ascii="Times New Roman" w:eastAsia="Times New Roman" w:hAnsi="Times New Roman" w:cs="Times New Roman"/>
          <w:sz w:val="24"/>
          <w:szCs w:val="24"/>
          <w:vertAlign w:val="superscript"/>
          <w:lang w:eastAsia="en-ZA"/>
        </w:rPr>
        <w:t>st</w:t>
      </w:r>
      <w:r w:rsidRPr="0068531F">
        <w:rPr>
          <w:rFonts w:ascii="Times New Roman" w:eastAsia="Times New Roman" w:hAnsi="Times New Roman" w:cs="Times New Roman"/>
          <w:sz w:val="24"/>
          <w:szCs w:val="24"/>
          <w:lang w:eastAsia="en-ZA"/>
        </w:rPr>
        <w:t xml:space="preserve"> century. </w:t>
      </w:r>
      <w:proofErr w:type="gramStart"/>
      <w:r w:rsidRPr="0068531F">
        <w:rPr>
          <w:rFonts w:ascii="Times New Roman" w:eastAsia="Times New Roman" w:hAnsi="Times New Roman" w:cs="Times New Roman"/>
          <w:sz w:val="24"/>
          <w:szCs w:val="24"/>
          <w:lang w:eastAsia="en-ZA"/>
        </w:rPr>
        <w:t>Institute of Development Studies Discussion Papers, 296, Cambridge.</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color w:val="000000"/>
          <w:sz w:val="24"/>
          <w:szCs w:val="24"/>
        </w:rPr>
      </w:pPr>
      <w:proofErr w:type="gramStart"/>
      <w:r w:rsidRPr="0068531F">
        <w:rPr>
          <w:rFonts w:ascii="Times New Roman" w:hAnsi="Times New Roman" w:cs="Times New Roman"/>
          <w:color w:val="000000"/>
          <w:sz w:val="24"/>
          <w:szCs w:val="24"/>
        </w:rPr>
        <w:lastRenderedPageBreak/>
        <w:t xml:space="preserve">Child, B., Ward, S. and </w:t>
      </w:r>
      <w:proofErr w:type="spellStart"/>
      <w:r w:rsidRPr="0068531F">
        <w:rPr>
          <w:rFonts w:ascii="Times New Roman" w:hAnsi="Times New Roman" w:cs="Times New Roman"/>
          <w:color w:val="000000"/>
          <w:sz w:val="24"/>
          <w:szCs w:val="24"/>
        </w:rPr>
        <w:t>Tavengwa</w:t>
      </w:r>
      <w:proofErr w:type="spellEnd"/>
      <w:r w:rsidRPr="0068531F">
        <w:rPr>
          <w:rFonts w:ascii="Times New Roman" w:hAnsi="Times New Roman" w:cs="Times New Roman"/>
          <w:color w:val="000000"/>
          <w:sz w:val="24"/>
          <w:szCs w:val="24"/>
        </w:rPr>
        <w:t>, T. 1997.</w:t>
      </w:r>
      <w:proofErr w:type="gramEnd"/>
      <w:r w:rsidRPr="0068531F">
        <w:rPr>
          <w:rFonts w:ascii="Times New Roman" w:hAnsi="Times New Roman" w:cs="Times New Roman"/>
          <w:color w:val="000000"/>
          <w:sz w:val="24"/>
          <w:szCs w:val="24"/>
        </w:rPr>
        <w:t xml:space="preserve"> Zimbabwe’s CAMPFIRE </w:t>
      </w:r>
      <w:proofErr w:type="spellStart"/>
      <w:r w:rsidRPr="0068531F">
        <w:rPr>
          <w:rFonts w:ascii="Times New Roman" w:hAnsi="Times New Roman" w:cs="Times New Roman"/>
          <w:color w:val="000000"/>
          <w:sz w:val="24"/>
          <w:szCs w:val="24"/>
        </w:rPr>
        <w:t>programme</w:t>
      </w:r>
      <w:proofErr w:type="spellEnd"/>
      <w:r w:rsidRPr="0068531F">
        <w:rPr>
          <w:rFonts w:ascii="Times New Roman" w:hAnsi="Times New Roman" w:cs="Times New Roman"/>
          <w:color w:val="000000"/>
          <w:sz w:val="24"/>
          <w:szCs w:val="24"/>
        </w:rPr>
        <w:t>: Natural Resource Management by the people, IUCN-ROSA Environmental Issues Series No. 2, Harare: IUCN-ROSA.</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i/>
          <w:sz w:val="24"/>
          <w:szCs w:val="24"/>
        </w:rPr>
      </w:pPr>
      <w:r>
        <w:rPr>
          <w:rFonts w:ascii="Times New Roman" w:hAnsi="Times New Roman" w:cs="Times New Roman"/>
          <w:sz w:val="24"/>
          <w:szCs w:val="24"/>
        </w:rPr>
        <w:t>Child, G.</w:t>
      </w:r>
      <w:r w:rsidRPr="0068531F">
        <w:rPr>
          <w:rFonts w:ascii="Times New Roman" w:hAnsi="Times New Roman" w:cs="Times New Roman"/>
          <w:sz w:val="24"/>
          <w:szCs w:val="24"/>
        </w:rPr>
        <w:t xml:space="preserve"> 1995. Wildlife and People: the Zimbabwean Success, Harare and New York: Wisdom Foundation Constraints. </w:t>
      </w:r>
      <w:r w:rsidRPr="0068531F">
        <w:rPr>
          <w:rFonts w:ascii="Times New Roman" w:hAnsi="Times New Roman" w:cs="Times New Roman"/>
          <w:i/>
          <w:sz w:val="24"/>
          <w:szCs w:val="24"/>
        </w:rPr>
        <w:t xml:space="preserve">Journal of Development Studies, </w:t>
      </w:r>
      <w:r w:rsidRPr="0068531F">
        <w:rPr>
          <w:rFonts w:ascii="Times New Roman" w:hAnsi="Times New Roman" w:cs="Times New Roman"/>
          <w:sz w:val="24"/>
          <w:szCs w:val="24"/>
        </w:rPr>
        <w:t xml:space="preserve">32 (6), 850-875.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i/>
          <w:sz w:val="24"/>
          <w:szCs w:val="24"/>
        </w:rPr>
      </w:pPr>
      <w:proofErr w:type="spellStart"/>
      <w:r w:rsidRPr="0021441A">
        <w:rPr>
          <w:rFonts w:ascii="Times New Roman" w:hAnsi="Times New Roman" w:cs="Times New Roman"/>
          <w:sz w:val="24"/>
          <w:szCs w:val="24"/>
          <w:lang w:val="fr-FR"/>
        </w:rPr>
        <w:t>Comisión</w:t>
      </w:r>
      <w:proofErr w:type="spellEnd"/>
      <w:r w:rsidRPr="0021441A">
        <w:rPr>
          <w:rFonts w:ascii="Times New Roman" w:hAnsi="Times New Roman" w:cs="Times New Roman"/>
          <w:sz w:val="24"/>
          <w:szCs w:val="24"/>
          <w:lang w:val="fr-FR"/>
        </w:rPr>
        <w:t xml:space="preserve"> </w:t>
      </w:r>
      <w:proofErr w:type="spellStart"/>
      <w:r w:rsidRPr="0021441A">
        <w:rPr>
          <w:rFonts w:ascii="Times New Roman" w:hAnsi="Times New Roman" w:cs="Times New Roman"/>
          <w:sz w:val="24"/>
          <w:szCs w:val="24"/>
          <w:lang w:val="fr-FR"/>
        </w:rPr>
        <w:t>Europea</w:t>
      </w:r>
      <w:proofErr w:type="spellEnd"/>
      <w:r w:rsidRPr="0021441A">
        <w:rPr>
          <w:rFonts w:ascii="Times New Roman" w:hAnsi="Times New Roman" w:cs="Times New Roman"/>
          <w:sz w:val="24"/>
          <w:szCs w:val="24"/>
          <w:lang w:val="fr-FR"/>
        </w:rPr>
        <w:t xml:space="preserve">, 2000. La </w:t>
      </w:r>
      <w:proofErr w:type="spellStart"/>
      <w:r w:rsidRPr="0021441A">
        <w:rPr>
          <w:rFonts w:ascii="Times New Roman" w:hAnsi="Times New Roman" w:cs="Times New Roman"/>
          <w:sz w:val="24"/>
          <w:szCs w:val="24"/>
          <w:lang w:val="fr-FR"/>
        </w:rPr>
        <w:t>economía</w:t>
      </w:r>
      <w:proofErr w:type="spellEnd"/>
      <w:r w:rsidRPr="0021441A">
        <w:rPr>
          <w:rFonts w:ascii="Times New Roman" w:hAnsi="Times New Roman" w:cs="Times New Roman"/>
          <w:sz w:val="24"/>
          <w:szCs w:val="24"/>
          <w:lang w:val="fr-FR"/>
        </w:rPr>
        <w:t xml:space="preserve"> rural en Bolivia: </w:t>
      </w:r>
      <w:proofErr w:type="spellStart"/>
      <w:r w:rsidRPr="0021441A">
        <w:rPr>
          <w:rFonts w:ascii="Times New Roman" w:hAnsi="Times New Roman" w:cs="Times New Roman"/>
          <w:sz w:val="24"/>
          <w:szCs w:val="24"/>
          <w:lang w:val="fr-FR"/>
        </w:rPr>
        <w:t>Estructura</w:t>
      </w:r>
      <w:proofErr w:type="spellEnd"/>
      <w:r w:rsidRPr="0021441A">
        <w:rPr>
          <w:rFonts w:ascii="Times New Roman" w:hAnsi="Times New Roman" w:cs="Times New Roman"/>
          <w:sz w:val="24"/>
          <w:szCs w:val="24"/>
          <w:lang w:val="fr-FR"/>
        </w:rPr>
        <w:t xml:space="preserve"> </w:t>
      </w:r>
      <w:proofErr w:type="gramStart"/>
      <w:r w:rsidRPr="0021441A">
        <w:rPr>
          <w:rFonts w:ascii="Times New Roman" w:hAnsi="Times New Roman" w:cs="Times New Roman"/>
          <w:sz w:val="24"/>
          <w:szCs w:val="24"/>
          <w:lang w:val="fr-FR"/>
        </w:rPr>
        <w:t xml:space="preserve">de </w:t>
      </w:r>
      <w:proofErr w:type="spellStart"/>
      <w:r w:rsidRPr="0021441A">
        <w:rPr>
          <w:rFonts w:ascii="Times New Roman" w:hAnsi="Times New Roman" w:cs="Times New Roman"/>
          <w:sz w:val="24"/>
          <w:szCs w:val="24"/>
          <w:lang w:val="fr-FR"/>
        </w:rPr>
        <w:t>empelo</w:t>
      </w:r>
      <w:proofErr w:type="spellEnd"/>
      <w:proofErr w:type="gramEnd"/>
      <w:r w:rsidRPr="0021441A">
        <w:rPr>
          <w:rFonts w:ascii="Times New Roman" w:hAnsi="Times New Roman" w:cs="Times New Roman"/>
          <w:sz w:val="24"/>
          <w:szCs w:val="24"/>
          <w:lang w:val="fr-FR"/>
        </w:rPr>
        <w:t xml:space="preserve">, </w:t>
      </w:r>
      <w:proofErr w:type="spellStart"/>
      <w:r w:rsidRPr="0021441A">
        <w:rPr>
          <w:rFonts w:ascii="Times New Roman" w:hAnsi="Times New Roman" w:cs="Times New Roman"/>
          <w:sz w:val="24"/>
          <w:szCs w:val="24"/>
          <w:lang w:val="fr-FR"/>
        </w:rPr>
        <w:t>composición</w:t>
      </w:r>
      <w:proofErr w:type="spellEnd"/>
      <w:r w:rsidRPr="0021441A">
        <w:rPr>
          <w:rFonts w:ascii="Times New Roman" w:hAnsi="Times New Roman" w:cs="Times New Roman"/>
          <w:sz w:val="24"/>
          <w:szCs w:val="24"/>
          <w:lang w:val="fr-FR"/>
        </w:rPr>
        <w:t xml:space="preserve"> de </w:t>
      </w:r>
      <w:proofErr w:type="spellStart"/>
      <w:r w:rsidRPr="0021441A">
        <w:rPr>
          <w:rFonts w:ascii="Times New Roman" w:hAnsi="Times New Roman" w:cs="Times New Roman"/>
          <w:sz w:val="24"/>
          <w:szCs w:val="24"/>
          <w:lang w:val="fr-FR"/>
        </w:rPr>
        <w:t>ingresos</w:t>
      </w:r>
      <w:proofErr w:type="spellEnd"/>
      <w:r w:rsidRPr="0021441A">
        <w:rPr>
          <w:rFonts w:ascii="Times New Roman" w:hAnsi="Times New Roman" w:cs="Times New Roman"/>
          <w:sz w:val="24"/>
          <w:szCs w:val="24"/>
          <w:lang w:val="fr-FR"/>
        </w:rPr>
        <w:t xml:space="preserve"> e </w:t>
      </w:r>
      <w:proofErr w:type="spellStart"/>
      <w:r w:rsidRPr="0021441A">
        <w:rPr>
          <w:rFonts w:ascii="Times New Roman" w:hAnsi="Times New Roman" w:cs="Times New Roman"/>
          <w:sz w:val="24"/>
          <w:szCs w:val="24"/>
          <w:lang w:val="fr-FR"/>
        </w:rPr>
        <w:t>integración</w:t>
      </w:r>
      <w:proofErr w:type="spellEnd"/>
      <w:r w:rsidRPr="0021441A">
        <w:rPr>
          <w:rFonts w:ascii="Times New Roman" w:hAnsi="Times New Roman" w:cs="Times New Roman"/>
          <w:sz w:val="24"/>
          <w:szCs w:val="24"/>
          <w:lang w:val="fr-FR"/>
        </w:rPr>
        <w:t xml:space="preserve"> al </w:t>
      </w:r>
      <w:proofErr w:type="spellStart"/>
      <w:r w:rsidRPr="0021441A">
        <w:rPr>
          <w:rFonts w:ascii="Times New Roman" w:hAnsi="Times New Roman" w:cs="Times New Roman"/>
          <w:sz w:val="24"/>
          <w:szCs w:val="24"/>
          <w:lang w:val="fr-FR"/>
        </w:rPr>
        <w:t>mercado</w:t>
      </w:r>
      <w:proofErr w:type="spellEnd"/>
      <w:r w:rsidRPr="0021441A">
        <w:rPr>
          <w:rFonts w:ascii="Times New Roman" w:hAnsi="Times New Roman" w:cs="Times New Roman"/>
          <w:sz w:val="24"/>
          <w:szCs w:val="24"/>
          <w:lang w:val="fr-FR"/>
        </w:rPr>
        <w:t xml:space="preserve">. </w:t>
      </w:r>
      <w:proofErr w:type="spellStart"/>
      <w:proofErr w:type="gramStart"/>
      <w:r w:rsidRPr="0068531F">
        <w:rPr>
          <w:rFonts w:ascii="Times New Roman" w:hAnsi="Times New Roman" w:cs="Times New Roman"/>
          <w:sz w:val="24"/>
          <w:szCs w:val="24"/>
          <w:u w:val="single"/>
        </w:rPr>
        <w:t>Apuntes</w:t>
      </w:r>
      <w:proofErr w:type="spellEnd"/>
      <w:r w:rsidRPr="0068531F">
        <w:rPr>
          <w:rFonts w:ascii="Times New Roman" w:hAnsi="Times New Roman" w:cs="Times New Roman"/>
          <w:sz w:val="24"/>
          <w:szCs w:val="24"/>
          <w:u w:val="single"/>
        </w:rPr>
        <w:t xml:space="preserve"> </w:t>
      </w:r>
      <w:proofErr w:type="spellStart"/>
      <w:r w:rsidRPr="0068531F">
        <w:rPr>
          <w:rFonts w:ascii="Times New Roman" w:hAnsi="Times New Roman" w:cs="Times New Roman"/>
          <w:sz w:val="24"/>
          <w:szCs w:val="24"/>
          <w:u w:val="single"/>
        </w:rPr>
        <w:t>técnicos</w:t>
      </w:r>
      <w:proofErr w:type="spellEnd"/>
      <w:r w:rsidRPr="0068531F">
        <w:rPr>
          <w:rFonts w:ascii="Times New Roman" w:hAnsi="Times New Roman" w:cs="Times New Roman"/>
          <w:sz w:val="24"/>
          <w:szCs w:val="24"/>
          <w:u w:val="single"/>
        </w:rPr>
        <w:t xml:space="preserve"> </w:t>
      </w:r>
      <w:proofErr w:type="spellStart"/>
      <w:r w:rsidRPr="0068531F">
        <w:rPr>
          <w:rFonts w:ascii="Times New Roman" w:hAnsi="Times New Roman" w:cs="Times New Roman"/>
          <w:sz w:val="24"/>
          <w:szCs w:val="24"/>
          <w:u w:val="single"/>
        </w:rPr>
        <w:t>Unidad</w:t>
      </w:r>
      <w:proofErr w:type="spellEnd"/>
      <w:r w:rsidRPr="0068531F">
        <w:rPr>
          <w:rFonts w:ascii="Times New Roman" w:hAnsi="Times New Roman" w:cs="Times New Roman"/>
          <w:sz w:val="24"/>
          <w:szCs w:val="24"/>
          <w:u w:val="single"/>
        </w:rPr>
        <w:t xml:space="preserve"> de </w:t>
      </w:r>
      <w:proofErr w:type="spellStart"/>
      <w:r w:rsidRPr="0068531F">
        <w:rPr>
          <w:rFonts w:ascii="Times New Roman" w:hAnsi="Times New Roman" w:cs="Times New Roman"/>
          <w:sz w:val="24"/>
          <w:szCs w:val="24"/>
          <w:u w:val="single"/>
        </w:rPr>
        <w:t>seguridad</w:t>
      </w:r>
      <w:proofErr w:type="spellEnd"/>
      <w:r w:rsidRPr="0068531F">
        <w:rPr>
          <w:rFonts w:ascii="Times New Roman" w:hAnsi="Times New Roman" w:cs="Times New Roman"/>
          <w:sz w:val="24"/>
          <w:szCs w:val="24"/>
          <w:u w:val="single"/>
        </w:rPr>
        <w:t xml:space="preserve"> </w:t>
      </w:r>
      <w:proofErr w:type="spellStart"/>
      <w:r w:rsidRPr="0068531F">
        <w:rPr>
          <w:rFonts w:ascii="Times New Roman" w:hAnsi="Times New Roman" w:cs="Times New Roman"/>
          <w:sz w:val="24"/>
          <w:szCs w:val="24"/>
          <w:u w:val="single"/>
        </w:rPr>
        <w:t>alimentaria</w:t>
      </w:r>
      <w:proofErr w:type="spellEnd"/>
      <w:r w:rsidRPr="0068531F">
        <w:rPr>
          <w:rFonts w:ascii="Times New Roman" w:hAnsi="Times New Roman" w:cs="Times New Roman"/>
          <w:sz w:val="24"/>
          <w:szCs w:val="24"/>
        </w:rPr>
        <w:t>.</w:t>
      </w:r>
      <w:proofErr w:type="gramEnd"/>
      <w:r w:rsidRPr="0068531F">
        <w:rPr>
          <w:rFonts w:ascii="Times New Roman" w:hAnsi="Times New Roman" w:cs="Times New Roman"/>
          <w:sz w:val="24"/>
          <w:szCs w:val="24"/>
        </w:rPr>
        <w:t xml:space="preserve"> La Paz, Bolivia.</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Davies, S., and </w:t>
      </w:r>
      <w:proofErr w:type="spellStart"/>
      <w:r>
        <w:rPr>
          <w:rFonts w:ascii="Times New Roman" w:hAnsi="Times New Roman" w:cs="Times New Roman"/>
          <w:sz w:val="24"/>
          <w:szCs w:val="24"/>
        </w:rPr>
        <w:t>Hossain</w:t>
      </w:r>
      <w:proofErr w:type="spellEnd"/>
      <w:r>
        <w:rPr>
          <w:rFonts w:ascii="Times New Roman" w:hAnsi="Times New Roman" w:cs="Times New Roman"/>
          <w:sz w:val="24"/>
          <w:szCs w:val="24"/>
        </w:rPr>
        <w:t>, N.</w:t>
      </w:r>
      <w:r w:rsidRPr="0068531F">
        <w:rPr>
          <w:rFonts w:ascii="Times New Roman" w:hAnsi="Times New Roman" w:cs="Times New Roman"/>
          <w:sz w:val="24"/>
          <w:szCs w:val="24"/>
        </w:rPr>
        <w:t xml:space="preserve"> 1997.</w:t>
      </w:r>
      <w:proofErr w:type="gramEnd"/>
      <w:r w:rsidRPr="0068531F">
        <w:rPr>
          <w:rFonts w:ascii="Times New Roman" w:hAnsi="Times New Roman" w:cs="Times New Roman"/>
          <w:sz w:val="24"/>
          <w:szCs w:val="24"/>
        </w:rPr>
        <w:t xml:space="preserve"> Livelihood Adaptation, Public Action and Civil Society: A Review of the Literature, IDS Working Paper 57, Brighton, Institute of Development Studies.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Dercon</w:t>
      </w:r>
      <w:proofErr w:type="spellEnd"/>
      <w:r>
        <w:rPr>
          <w:rFonts w:ascii="Times New Roman" w:hAnsi="Times New Roman" w:cs="Times New Roman"/>
          <w:sz w:val="24"/>
          <w:szCs w:val="24"/>
        </w:rPr>
        <w:t>, S., and Krishnan, P.</w:t>
      </w:r>
      <w:r w:rsidRPr="0068531F">
        <w:rPr>
          <w:rFonts w:ascii="Times New Roman" w:hAnsi="Times New Roman" w:cs="Times New Roman"/>
          <w:sz w:val="24"/>
          <w:szCs w:val="24"/>
        </w:rPr>
        <w:t xml:space="preserve"> 1996. Income portfolios in rural Ethiopia and Tanzania: Choices and constraints. </w:t>
      </w:r>
      <w:proofErr w:type="gramStart"/>
      <w:r w:rsidRPr="0068531F">
        <w:rPr>
          <w:rFonts w:ascii="Times New Roman" w:hAnsi="Times New Roman" w:cs="Times New Roman"/>
          <w:i/>
          <w:sz w:val="24"/>
          <w:szCs w:val="24"/>
        </w:rPr>
        <w:t>Journal of Development Studies, 32 (6), 850-75.</w:t>
      </w:r>
      <w:proofErr w:type="gramEnd"/>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en-ZA"/>
        </w:rPr>
        <w:t>Ellis, F.</w:t>
      </w:r>
      <w:r w:rsidRPr="0068531F">
        <w:rPr>
          <w:rFonts w:ascii="Times New Roman" w:eastAsia="Times New Roman" w:hAnsi="Times New Roman" w:cs="Times New Roman"/>
          <w:sz w:val="24"/>
          <w:szCs w:val="24"/>
          <w:lang w:eastAsia="en-ZA"/>
        </w:rPr>
        <w:t xml:space="preserve"> 2000. </w:t>
      </w:r>
      <w:r w:rsidRPr="0068531F">
        <w:rPr>
          <w:rFonts w:ascii="Times New Roman" w:eastAsia="Times New Roman" w:hAnsi="Times New Roman" w:cs="Times New Roman"/>
          <w:i/>
          <w:sz w:val="24"/>
          <w:szCs w:val="24"/>
          <w:lang w:eastAsia="en-ZA"/>
        </w:rPr>
        <w:t>Rural Livelihoods and Diversity in Developing Countries</w:t>
      </w:r>
      <w:r w:rsidRPr="0068531F">
        <w:rPr>
          <w:rFonts w:ascii="Times New Roman" w:eastAsia="Times New Roman" w:hAnsi="Times New Roman" w:cs="Times New Roman"/>
          <w:sz w:val="24"/>
          <w:szCs w:val="24"/>
          <w:lang w:eastAsia="en-ZA"/>
        </w:rPr>
        <w:t>, Oxford University Press</w:t>
      </w:r>
      <w:r w:rsidRPr="0068531F">
        <w:rPr>
          <w:rFonts w:ascii="Times New Roman" w:hAnsi="Times New Roman" w:cs="Times New Roman"/>
          <w:sz w:val="24"/>
          <w:szCs w:val="24"/>
        </w:rPr>
        <w:t xml:space="preserve">: New York.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gramStart"/>
      <w:r w:rsidRPr="0068531F">
        <w:rPr>
          <w:rFonts w:ascii="Times New Roman" w:hAnsi="Times New Roman" w:cs="Times New Roman"/>
          <w:bCs/>
          <w:sz w:val="24"/>
          <w:szCs w:val="24"/>
        </w:rPr>
        <w:t>Fernandez, A., Richardson, R. B.</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Tschirley</w:t>
      </w:r>
      <w:proofErr w:type="spellEnd"/>
      <w:r>
        <w:rPr>
          <w:rFonts w:ascii="Times New Roman" w:hAnsi="Times New Roman" w:cs="Times New Roman"/>
          <w:bCs/>
          <w:sz w:val="24"/>
          <w:szCs w:val="24"/>
        </w:rPr>
        <w:t xml:space="preserve"> D. T., and </w:t>
      </w:r>
      <w:proofErr w:type="spellStart"/>
      <w:r>
        <w:rPr>
          <w:rFonts w:ascii="Times New Roman" w:hAnsi="Times New Roman" w:cs="Times New Roman"/>
          <w:bCs/>
          <w:sz w:val="24"/>
          <w:szCs w:val="24"/>
        </w:rPr>
        <w:t>Tembo</w:t>
      </w:r>
      <w:proofErr w:type="spellEnd"/>
      <w:r>
        <w:rPr>
          <w:rFonts w:ascii="Times New Roman" w:hAnsi="Times New Roman" w:cs="Times New Roman"/>
          <w:bCs/>
          <w:sz w:val="24"/>
          <w:szCs w:val="24"/>
        </w:rPr>
        <w:t xml:space="preserve"> G.</w:t>
      </w:r>
      <w:r w:rsidRPr="0068531F">
        <w:rPr>
          <w:rFonts w:ascii="Times New Roman" w:hAnsi="Times New Roman" w:cs="Times New Roman"/>
          <w:bCs/>
          <w:sz w:val="24"/>
          <w:szCs w:val="24"/>
        </w:rPr>
        <w:t xml:space="preserve"> 2009.</w:t>
      </w:r>
      <w:proofErr w:type="gramEnd"/>
      <w:r w:rsidRPr="0068531F">
        <w:rPr>
          <w:rFonts w:ascii="Times New Roman" w:hAnsi="Times New Roman" w:cs="Times New Roman"/>
          <w:bCs/>
          <w:sz w:val="24"/>
          <w:szCs w:val="24"/>
        </w:rPr>
        <w:t xml:space="preserve"> Wildlife Conservation in Zambia: Impacts on Rural Household Welfare; Working Paper No. 41:</w:t>
      </w:r>
      <w:r>
        <w:rPr>
          <w:rFonts w:ascii="Times New Roman" w:hAnsi="Times New Roman" w:cs="Times New Roman"/>
          <w:bCs/>
          <w:sz w:val="24"/>
          <w:szCs w:val="24"/>
        </w:rPr>
        <w:t xml:space="preserve"> [www document] URL</w:t>
      </w:r>
      <w:r w:rsidRPr="0068531F">
        <w:rPr>
          <w:rFonts w:ascii="Times New Roman" w:hAnsi="Times New Roman" w:cs="Times New Roman"/>
          <w:bCs/>
          <w:sz w:val="24"/>
          <w:szCs w:val="24"/>
        </w:rPr>
        <w:t xml:space="preserve"> </w:t>
      </w:r>
      <w:hyperlink r:id="rId7" w:history="1">
        <w:r w:rsidRPr="0068531F">
          <w:rPr>
            <w:rStyle w:val="Hyperlink"/>
            <w:rFonts w:ascii="Times New Roman" w:hAnsi="Times New Roman" w:cs="Times New Roman"/>
            <w:sz w:val="24"/>
            <w:szCs w:val="24"/>
            <w:lang w:val="en-GB" w:eastAsia="ar-SA"/>
          </w:rPr>
          <w:t>http://www.aec.msu.edu/agecon/fs2/zambia/index.htm</w:t>
        </w:r>
      </w:hyperlink>
      <w:r w:rsidRPr="0068531F">
        <w:rPr>
          <w:rStyle w:val="Heading3Char"/>
          <w:rFonts w:ascii="Times New Roman" w:hAnsi="Times New Roman"/>
          <w:sz w:val="24"/>
          <w:szCs w:val="24"/>
        </w:rPr>
        <w:t xml:space="preserve"> ,</w:t>
      </w:r>
      <w:r w:rsidRPr="0068531F">
        <w:rPr>
          <w:rFonts w:ascii="Times New Roman" w:hAnsi="Times New Roman" w:cs="Times New Roman"/>
          <w:b/>
          <w:bCs/>
          <w:sz w:val="24"/>
          <w:szCs w:val="24"/>
        </w:rPr>
        <w:t xml:space="preserve"> </w:t>
      </w:r>
      <w:r w:rsidRPr="0068531F">
        <w:rPr>
          <w:rFonts w:ascii="Times New Roman" w:eastAsia="Times New Roman" w:hAnsi="Times New Roman" w:cs="Times New Roman"/>
          <w:sz w:val="24"/>
          <w:szCs w:val="24"/>
          <w:lang w:eastAsia="en-ZA"/>
        </w:rPr>
        <w:t xml:space="preserve">Accessed, February 2011.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r w:rsidRPr="0068531F">
        <w:rPr>
          <w:rFonts w:ascii="Times New Roman" w:hAnsi="Times New Roman" w:cs="Times New Roman"/>
          <w:sz w:val="24"/>
          <w:szCs w:val="24"/>
        </w:rPr>
        <w:t xml:space="preserve">Fisher, M. 2004. </w:t>
      </w:r>
      <w:proofErr w:type="gramStart"/>
      <w:r w:rsidRPr="0068531F">
        <w:rPr>
          <w:rFonts w:ascii="Times New Roman" w:hAnsi="Times New Roman" w:cs="Times New Roman"/>
          <w:sz w:val="24"/>
          <w:szCs w:val="24"/>
        </w:rPr>
        <w:t>Household welfare and forest dependence in southern Malawi.</w:t>
      </w:r>
      <w:proofErr w:type="gram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Environment and Development Economics</w:t>
      </w:r>
      <w:r w:rsidRPr="0068531F">
        <w:rPr>
          <w:rFonts w:ascii="Times New Roman" w:hAnsi="Times New Roman" w:cs="Times New Roman"/>
          <w:sz w:val="24"/>
          <w:szCs w:val="24"/>
        </w:rPr>
        <w:t>, 9 (2), 135-154.</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proofErr w:type="gramStart"/>
      <w:r w:rsidRPr="0068531F">
        <w:rPr>
          <w:rFonts w:ascii="Times New Roman" w:hAnsi="Times New Roman" w:cs="Times New Roman"/>
          <w:sz w:val="24"/>
          <w:szCs w:val="24"/>
        </w:rPr>
        <w:t>Folbre</w:t>
      </w:r>
      <w:proofErr w:type="spellEnd"/>
      <w:r w:rsidRPr="0068531F">
        <w:rPr>
          <w:rFonts w:ascii="Times New Roman" w:hAnsi="Times New Roman" w:cs="Times New Roman"/>
          <w:sz w:val="24"/>
          <w:szCs w:val="24"/>
        </w:rPr>
        <w:t>, N. 1994.</w:t>
      </w:r>
      <w:proofErr w:type="gramEnd"/>
      <w:r w:rsidRPr="0068531F">
        <w:rPr>
          <w:rFonts w:ascii="Times New Roman" w:hAnsi="Times New Roman" w:cs="Times New Roman"/>
          <w:sz w:val="24"/>
          <w:szCs w:val="24"/>
        </w:rPr>
        <w:t xml:space="preserve"> </w:t>
      </w:r>
      <w:r w:rsidRPr="0068531F">
        <w:rPr>
          <w:rFonts w:ascii="Times New Roman" w:hAnsi="Times New Roman" w:cs="Times New Roman"/>
          <w:i/>
          <w:sz w:val="24"/>
          <w:szCs w:val="24"/>
        </w:rPr>
        <w:t>Who pays for the kids: Gender and the structures of constraint</w:t>
      </w:r>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Routledge</w:t>
      </w:r>
      <w:proofErr w:type="spellEnd"/>
      <w:r w:rsidRPr="0068531F">
        <w:rPr>
          <w:rFonts w:ascii="Times New Roman" w:hAnsi="Times New Roman" w:cs="Times New Roman"/>
          <w:sz w:val="24"/>
          <w:szCs w:val="24"/>
        </w:rPr>
        <w:t>: New York.</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proofErr w:type="gramStart"/>
      <w:r w:rsidRPr="0068531F">
        <w:rPr>
          <w:rFonts w:ascii="Times New Roman" w:hAnsi="Times New Roman" w:cs="Times New Roman"/>
          <w:color w:val="000000"/>
          <w:sz w:val="24"/>
          <w:szCs w:val="24"/>
        </w:rPr>
        <w:t>Gadgil</w:t>
      </w:r>
      <w:proofErr w:type="spellEnd"/>
      <w:r w:rsidRPr="0068531F">
        <w:rPr>
          <w:rFonts w:ascii="Times New Roman" w:hAnsi="Times New Roman" w:cs="Times New Roman"/>
          <w:color w:val="000000"/>
          <w:sz w:val="24"/>
          <w:szCs w:val="24"/>
        </w:rPr>
        <w:t xml:space="preserve">, M. and </w:t>
      </w:r>
      <w:proofErr w:type="spellStart"/>
      <w:r w:rsidRPr="0068531F">
        <w:rPr>
          <w:rFonts w:ascii="Times New Roman" w:hAnsi="Times New Roman" w:cs="Times New Roman"/>
          <w:color w:val="000000"/>
          <w:sz w:val="24"/>
          <w:szCs w:val="24"/>
        </w:rPr>
        <w:t>Rao</w:t>
      </w:r>
      <w:proofErr w:type="spellEnd"/>
      <w:r w:rsidRPr="0068531F">
        <w:rPr>
          <w:rFonts w:ascii="Times New Roman" w:hAnsi="Times New Roman" w:cs="Times New Roman"/>
          <w:color w:val="000000"/>
          <w:sz w:val="24"/>
          <w:szCs w:val="24"/>
        </w:rPr>
        <w:t>, P.R.S. 1994.</w:t>
      </w:r>
      <w:proofErr w:type="gramEnd"/>
      <w:r w:rsidRPr="0068531F">
        <w:rPr>
          <w:rFonts w:ascii="Times New Roman" w:hAnsi="Times New Roman" w:cs="Times New Roman"/>
          <w:color w:val="000000"/>
          <w:sz w:val="24"/>
          <w:szCs w:val="24"/>
        </w:rPr>
        <w:t xml:space="preserve"> </w:t>
      </w:r>
      <w:proofErr w:type="gramStart"/>
      <w:r w:rsidRPr="0068531F">
        <w:rPr>
          <w:rFonts w:ascii="Times New Roman" w:hAnsi="Times New Roman" w:cs="Times New Roman"/>
          <w:color w:val="000000"/>
          <w:sz w:val="24"/>
          <w:szCs w:val="24"/>
        </w:rPr>
        <w:t>A System of Positive Incentives to Conserve Biodiversity.</w:t>
      </w:r>
      <w:proofErr w:type="gramEnd"/>
      <w:r w:rsidRPr="0068531F">
        <w:rPr>
          <w:rFonts w:ascii="Times New Roman" w:hAnsi="Times New Roman" w:cs="Times New Roman"/>
          <w:color w:val="000000"/>
          <w:sz w:val="24"/>
          <w:szCs w:val="24"/>
        </w:rPr>
        <w:t xml:space="preserve"> </w:t>
      </w:r>
      <w:proofErr w:type="gramStart"/>
      <w:r w:rsidRPr="0068531F">
        <w:rPr>
          <w:rFonts w:ascii="Times New Roman" w:hAnsi="Times New Roman" w:cs="Times New Roman"/>
          <w:i/>
          <w:color w:val="000000"/>
          <w:sz w:val="24"/>
          <w:szCs w:val="24"/>
        </w:rPr>
        <w:t>Economic and Political Weekly</w:t>
      </w:r>
      <w:r w:rsidRPr="0068531F">
        <w:rPr>
          <w:rFonts w:ascii="Times New Roman" w:hAnsi="Times New Roman" w:cs="Times New Roman"/>
          <w:color w:val="000000"/>
          <w:sz w:val="24"/>
          <w:szCs w:val="24"/>
        </w:rPr>
        <w:t>, August 6, 2103-2107.</w:t>
      </w:r>
      <w:proofErr w:type="gramEnd"/>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color w:val="000000"/>
          <w:sz w:val="24"/>
          <w:szCs w:val="24"/>
        </w:rPr>
        <w:t>Gadgil</w:t>
      </w:r>
      <w:proofErr w:type="spellEnd"/>
      <w:r w:rsidRPr="0068531F">
        <w:rPr>
          <w:rFonts w:ascii="Times New Roman" w:hAnsi="Times New Roman" w:cs="Times New Roman"/>
          <w:color w:val="000000"/>
          <w:sz w:val="24"/>
          <w:szCs w:val="24"/>
        </w:rPr>
        <w:t xml:space="preserve">, M. and </w:t>
      </w:r>
      <w:proofErr w:type="spellStart"/>
      <w:r w:rsidRPr="0068531F">
        <w:rPr>
          <w:rFonts w:ascii="Times New Roman" w:hAnsi="Times New Roman" w:cs="Times New Roman"/>
          <w:color w:val="000000"/>
          <w:sz w:val="24"/>
          <w:szCs w:val="24"/>
        </w:rPr>
        <w:t>Rao</w:t>
      </w:r>
      <w:proofErr w:type="spellEnd"/>
      <w:r w:rsidRPr="0068531F">
        <w:rPr>
          <w:rFonts w:ascii="Times New Roman" w:hAnsi="Times New Roman" w:cs="Times New Roman"/>
          <w:color w:val="000000"/>
          <w:sz w:val="24"/>
          <w:szCs w:val="24"/>
        </w:rPr>
        <w:t>, P.R.S. 1995.</w:t>
      </w:r>
      <w:proofErr w:type="gramEnd"/>
      <w:r w:rsidRPr="0068531F">
        <w:rPr>
          <w:rFonts w:ascii="Times New Roman" w:hAnsi="Times New Roman" w:cs="Times New Roman"/>
          <w:color w:val="000000"/>
          <w:sz w:val="24"/>
          <w:szCs w:val="24"/>
        </w:rPr>
        <w:t xml:space="preserve"> Designing Incentives to Conserve India’s Biodiversity, in Hanna, S. and </w:t>
      </w:r>
      <w:proofErr w:type="spellStart"/>
      <w:r w:rsidRPr="0068531F">
        <w:rPr>
          <w:rFonts w:ascii="Times New Roman" w:hAnsi="Times New Roman" w:cs="Times New Roman"/>
          <w:color w:val="000000"/>
          <w:sz w:val="24"/>
          <w:szCs w:val="24"/>
        </w:rPr>
        <w:t>Munasinghe</w:t>
      </w:r>
      <w:proofErr w:type="spellEnd"/>
      <w:r w:rsidRPr="0068531F">
        <w:rPr>
          <w:rFonts w:ascii="Times New Roman" w:hAnsi="Times New Roman" w:cs="Times New Roman"/>
          <w:color w:val="000000"/>
          <w:sz w:val="24"/>
          <w:szCs w:val="24"/>
        </w:rPr>
        <w:t>, M. (</w:t>
      </w:r>
      <w:proofErr w:type="gramStart"/>
      <w:r w:rsidRPr="0068531F">
        <w:rPr>
          <w:rFonts w:ascii="Times New Roman" w:hAnsi="Times New Roman" w:cs="Times New Roman"/>
          <w:color w:val="000000"/>
          <w:sz w:val="24"/>
          <w:szCs w:val="24"/>
        </w:rPr>
        <w:t>eds</w:t>
      </w:r>
      <w:proofErr w:type="gramEnd"/>
      <w:r w:rsidRPr="0068531F">
        <w:rPr>
          <w:rFonts w:ascii="Times New Roman" w:hAnsi="Times New Roman" w:cs="Times New Roman"/>
          <w:color w:val="000000"/>
          <w:sz w:val="24"/>
          <w:szCs w:val="24"/>
        </w:rPr>
        <w:t xml:space="preserve">.). Property Rights in a Social and </w:t>
      </w:r>
      <w:proofErr w:type="spellStart"/>
      <w:r w:rsidRPr="0068531F">
        <w:rPr>
          <w:rFonts w:ascii="Times New Roman" w:hAnsi="Times New Roman" w:cs="Times New Roman"/>
          <w:color w:val="000000"/>
          <w:sz w:val="24"/>
          <w:szCs w:val="24"/>
        </w:rPr>
        <w:t>Ecologica</w:t>
      </w:r>
      <w:proofErr w:type="spellEnd"/>
      <w:r w:rsidRPr="0068531F">
        <w:rPr>
          <w:rFonts w:ascii="Times New Roman" w:hAnsi="Times New Roman" w:cs="Times New Roman"/>
          <w:color w:val="000000"/>
          <w:sz w:val="24"/>
          <w:szCs w:val="24"/>
        </w:rPr>
        <w:t xml:space="preserve"> Context: Case Studies and Design Applications, Washington D.C: World Bank, 53-62.</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eastAsia="Times New Roman" w:hAnsi="Times New Roman" w:cs="Times New Roman"/>
          <w:sz w:val="24"/>
          <w:szCs w:val="24"/>
          <w:lang w:eastAsia="en-ZA"/>
        </w:rPr>
        <w:lastRenderedPageBreak/>
        <w:t>Galab</w:t>
      </w:r>
      <w:proofErr w:type="spellEnd"/>
      <w:r w:rsidRPr="0068531F">
        <w:rPr>
          <w:rFonts w:ascii="Times New Roman" w:eastAsia="Times New Roman" w:hAnsi="Times New Roman" w:cs="Times New Roman"/>
          <w:sz w:val="24"/>
          <w:szCs w:val="24"/>
          <w:lang w:eastAsia="en-ZA"/>
        </w:rPr>
        <w:t xml:space="preserve">, S., </w:t>
      </w:r>
      <w:proofErr w:type="spellStart"/>
      <w:r w:rsidRPr="0068531F">
        <w:rPr>
          <w:rFonts w:ascii="Times New Roman" w:eastAsia="Times New Roman" w:hAnsi="Times New Roman" w:cs="Times New Roman"/>
          <w:sz w:val="24"/>
          <w:szCs w:val="24"/>
          <w:lang w:eastAsia="en-ZA"/>
        </w:rPr>
        <w:t>Fenn</w:t>
      </w:r>
      <w:proofErr w:type="spellEnd"/>
      <w:r w:rsidRPr="0068531F">
        <w:rPr>
          <w:rFonts w:ascii="Times New Roman" w:eastAsia="Times New Roman" w:hAnsi="Times New Roman" w:cs="Times New Roman"/>
          <w:sz w:val="24"/>
          <w:szCs w:val="24"/>
          <w:lang w:eastAsia="en-ZA"/>
        </w:rPr>
        <w:t xml:space="preserve">, B., Jones, N., </w:t>
      </w:r>
      <w:proofErr w:type="spellStart"/>
      <w:r w:rsidRPr="0068531F">
        <w:rPr>
          <w:rFonts w:ascii="Times New Roman" w:eastAsia="Times New Roman" w:hAnsi="Times New Roman" w:cs="Times New Roman"/>
          <w:sz w:val="24"/>
          <w:szCs w:val="24"/>
          <w:lang w:eastAsia="en-ZA"/>
        </w:rPr>
        <w:t>Raju</w:t>
      </w:r>
      <w:proofErr w:type="spellEnd"/>
      <w:r w:rsidRPr="0068531F">
        <w:rPr>
          <w:rFonts w:ascii="Times New Roman" w:eastAsia="Times New Roman" w:hAnsi="Times New Roman" w:cs="Times New Roman"/>
          <w:sz w:val="24"/>
          <w:szCs w:val="24"/>
          <w:lang w:eastAsia="en-ZA"/>
        </w:rPr>
        <w:t xml:space="preserve">, D. S. </w:t>
      </w:r>
      <w:r>
        <w:rPr>
          <w:rFonts w:ascii="Times New Roman" w:eastAsia="Times New Roman" w:hAnsi="Times New Roman" w:cs="Times New Roman"/>
          <w:sz w:val="24"/>
          <w:szCs w:val="24"/>
          <w:lang w:eastAsia="en-ZA"/>
        </w:rPr>
        <w:t>R., Wilson, I., and Reddy M. G.</w:t>
      </w:r>
      <w:r w:rsidRPr="0068531F">
        <w:rPr>
          <w:rFonts w:ascii="Times New Roman" w:eastAsia="Times New Roman" w:hAnsi="Times New Roman" w:cs="Times New Roman"/>
          <w:sz w:val="24"/>
          <w:szCs w:val="24"/>
          <w:lang w:eastAsia="en-ZA"/>
        </w:rPr>
        <w:t xml:space="preserve"> 2002.</w:t>
      </w:r>
      <w:proofErr w:type="gramEnd"/>
      <w:r w:rsidRPr="0068531F">
        <w:rPr>
          <w:rFonts w:ascii="Times New Roman" w:eastAsia="Times New Roman" w:hAnsi="Times New Roman" w:cs="Times New Roman"/>
          <w:sz w:val="24"/>
          <w:szCs w:val="24"/>
          <w:lang w:eastAsia="en-ZA"/>
        </w:rPr>
        <w:t xml:space="preserve"> Livelihood Diversification in Rural Andhra Pradesh: Household asset portfolios and implications for poverty reduction working paper no. 3 4.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iCs/>
          <w:sz w:val="24"/>
          <w:szCs w:val="24"/>
        </w:rPr>
        <w:t>Gaspert</w:t>
      </w:r>
      <w:proofErr w:type="spellEnd"/>
      <w:r w:rsidRPr="0068531F">
        <w:rPr>
          <w:rFonts w:ascii="Times New Roman" w:hAnsi="Times New Roman" w:cs="Times New Roman"/>
          <w:iCs/>
          <w:sz w:val="24"/>
          <w:szCs w:val="24"/>
        </w:rPr>
        <w:t xml:space="preserve">, F., </w:t>
      </w:r>
      <w:proofErr w:type="spellStart"/>
      <w:r w:rsidRPr="0068531F">
        <w:rPr>
          <w:rFonts w:ascii="Times New Roman" w:hAnsi="Times New Roman" w:cs="Times New Roman"/>
          <w:iCs/>
          <w:sz w:val="24"/>
          <w:szCs w:val="24"/>
        </w:rPr>
        <w:t>Jabbar</w:t>
      </w:r>
      <w:proofErr w:type="spellEnd"/>
      <w:r w:rsidRPr="0068531F">
        <w:rPr>
          <w:rFonts w:ascii="Times New Roman" w:hAnsi="Times New Roman" w:cs="Times New Roman"/>
          <w:iCs/>
          <w:sz w:val="24"/>
          <w:szCs w:val="24"/>
        </w:rPr>
        <w:t xml:space="preserve">, M., </w:t>
      </w:r>
      <w:proofErr w:type="spellStart"/>
      <w:r w:rsidRPr="0068531F">
        <w:rPr>
          <w:rFonts w:ascii="Times New Roman" w:hAnsi="Times New Roman" w:cs="Times New Roman"/>
          <w:iCs/>
          <w:sz w:val="24"/>
          <w:szCs w:val="24"/>
        </w:rPr>
        <w:t>Melard</w:t>
      </w:r>
      <w:proofErr w:type="spellEnd"/>
      <w:r w:rsidRPr="0068531F">
        <w:rPr>
          <w:rFonts w:ascii="Times New Roman" w:hAnsi="Times New Roman" w:cs="Times New Roman"/>
          <w:iCs/>
          <w:sz w:val="24"/>
          <w:szCs w:val="24"/>
        </w:rPr>
        <w:t xml:space="preserve">, C. and </w:t>
      </w:r>
      <w:proofErr w:type="spellStart"/>
      <w:r w:rsidRPr="0068531F">
        <w:rPr>
          <w:rFonts w:ascii="Times New Roman" w:hAnsi="Times New Roman" w:cs="Times New Roman"/>
          <w:iCs/>
          <w:sz w:val="24"/>
          <w:szCs w:val="24"/>
        </w:rPr>
        <w:t>Platteau</w:t>
      </w:r>
      <w:proofErr w:type="spellEnd"/>
      <w:r w:rsidRPr="0068531F">
        <w:rPr>
          <w:rFonts w:ascii="Times New Roman" w:hAnsi="Times New Roman" w:cs="Times New Roman"/>
          <w:iCs/>
          <w:sz w:val="24"/>
          <w:szCs w:val="24"/>
        </w:rPr>
        <w:t>, J.P. 1999.</w:t>
      </w:r>
      <w:proofErr w:type="gramEnd"/>
      <w:r w:rsidRPr="0068531F">
        <w:rPr>
          <w:rFonts w:ascii="Times New Roman" w:hAnsi="Times New Roman" w:cs="Times New Roman"/>
          <w:iCs/>
          <w:sz w:val="24"/>
          <w:szCs w:val="24"/>
        </w:rPr>
        <w:t xml:space="preserve"> Participation in the construction of a local public good with indivisibilities: an application to watershed development in Ethiopia, CRED, University of Namur, Belgium, mimeo.</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sz w:val="24"/>
          <w:szCs w:val="24"/>
        </w:rPr>
        <w:t>Gbetibouo</w:t>
      </w:r>
      <w:proofErr w:type="spellEnd"/>
      <w:r w:rsidRPr="0068531F">
        <w:rPr>
          <w:rFonts w:ascii="Times New Roman" w:hAnsi="Times New Roman" w:cs="Times New Roman"/>
          <w:sz w:val="24"/>
          <w:szCs w:val="24"/>
        </w:rPr>
        <w:t xml:space="preserve">, G. A., Hassan R.M., and </w:t>
      </w:r>
      <w:proofErr w:type="spellStart"/>
      <w:r w:rsidRPr="0068531F">
        <w:rPr>
          <w:rFonts w:ascii="Times New Roman" w:hAnsi="Times New Roman" w:cs="Times New Roman"/>
          <w:sz w:val="24"/>
          <w:szCs w:val="24"/>
        </w:rPr>
        <w:t>Ringler</w:t>
      </w:r>
      <w:proofErr w:type="spellEnd"/>
      <w:r w:rsidRPr="0068531F">
        <w:rPr>
          <w:rFonts w:ascii="Times New Roman" w:hAnsi="Times New Roman" w:cs="Times New Roman"/>
          <w:sz w:val="24"/>
          <w:szCs w:val="24"/>
        </w:rPr>
        <w:t xml:space="preserve"> C. 2010.</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Modelling farmers` adaptation strategies for climate change and variability: The case of the Limpopo Basin, South Africa.</w:t>
      </w:r>
      <w:proofErr w:type="gramEnd"/>
      <w:r w:rsidRPr="0068531F">
        <w:rPr>
          <w:rFonts w:ascii="Times New Roman" w:hAnsi="Times New Roman" w:cs="Times New Roman"/>
          <w:sz w:val="24"/>
          <w:szCs w:val="24"/>
        </w:rPr>
        <w:t xml:space="preserve"> </w:t>
      </w:r>
      <w:proofErr w:type="spellStart"/>
      <w:r w:rsidRPr="0068531F">
        <w:rPr>
          <w:rFonts w:ascii="Times New Roman" w:hAnsi="Times New Roman" w:cs="Times New Roman"/>
          <w:i/>
          <w:sz w:val="24"/>
          <w:szCs w:val="24"/>
        </w:rPr>
        <w:t>Agrekon</w:t>
      </w:r>
      <w:proofErr w:type="spellEnd"/>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49, 217-234.</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gramStart"/>
      <w:r w:rsidRPr="0068531F">
        <w:rPr>
          <w:rFonts w:ascii="Times New Roman" w:eastAsia="Times New Roman" w:hAnsi="Times New Roman" w:cs="Times New Roman"/>
          <w:sz w:val="24"/>
          <w:szCs w:val="24"/>
          <w:lang w:eastAsia="en-ZA"/>
        </w:rPr>
        <w:t>Greene, H.W. 2003.</w:t>
      </w:r>
      <w:proofErr w:type="gramEnd"/>
      <w:r w:rsidRPr="0068531F">
        <w:rPr>
          <w:rFonts w:ascii="Times New Roman" w:eastAsia="Times New Roman" w:hAnsi="Times New Roman" w:cs="Times New Roman"/>
          <w:sz w:val="24"/>
          <w:szCs w:val="24"/>
          <w:lang w:eastAsia="en-ZA"/>
        </w:rPr>
        <w:t xml:space="preserve"> </w:t>
      </w:r>
      <w:r w:rsidRPr="0068531F">
        <w:rPr>
          <w:rFonts w:ascii="Times New Roman" w:eastAsia="Times New Roman" w:hAnsi="Times New Roman" w:cs="Times New Roman"/>
          <w:i/>
          <w:sz w:val="24"/>
          <w:szCs w:val="24"/>
          <w:lang w:eastAsia="en-ZA"/>
        </w:rPr>
        <w:t>Econometric Analysis</w:t>
      </w:r>
      <w:r w:rsidRPr="0068531F">
        <w:rPr>
          <w:rFonts w:ascii="Times New Roman" w:eastAsia="Times New Roman" w:hAnsi="Times New Roman" w:cs="Times New Roman"/>
          <w:sz w:val="24"/>
          <w:szCs w:val="24"/>
          <w:lang w:eastAsia="en-ZA"/>
        </w:rPr>
        <w:t xml:space="preserve">: Fifth Edition. New Jersey: Prentice-Hall.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r w:rsidRPr="0068531F">
        <w:rPr>
          <w:rFonts w:ascii="Times New Roman" w:eastAsia="Times New Roman" w:hAnsi="Times New Roman" w:cs="Times New Roman"/>
          <w:sz w:val="24"/>
          <w:szCs w:val="24"/>
          <w:lang w:eastAsia="en-ZA"/>
        </w:rPr>
        <w:t xml:space="preserve">Grossman, L. 1996. </w:t>
      </w:r>
      <w:proofErr w:type="gramStart"/>
      <w:r w:rsidRPr="0068531F">
        <w:rPr>
          <w:rFonts w:ascii="Times New Roman" w:eastAsia="Times New Roman" w:hAnsi="Times New Roman" w:cs="Times New Roman"/>
          <w:sz w:val="24"/>
          <w:szCs w:val="24"/>
          <w:lang w:eastAsia="en-ZA"/>
        </w:rPr>
        <w:t>The cultural ecology of economic development.</w:t>
      </w:r>
      <w:proofErr w:type="gramEnd"/>
      <w:r w:rsidRPr="0068531F">
        <w:rPr>
          <w:rFonts w:ascii="Times New Roman" w:eastAsia="Times New Roman" w:hAnsi="Times New Roman" w:cs="Times New Roman"/>
          <w:sz w:val="24"/>
          <w:szCs w:val="24"/>
          <w:lang w:eastAsia="en-ZA"/>
        </w:rPr>
        <w:t xml:space="preserve"> </w:t>
      </w:r>
      <w:proofErr w:type="gramStart"/>
      <w:r w:rsidRPr="0068531F">
        <w:rPr>
          <w:rFonts w:ascii="Times New Roman" w:eastAsia="Times New Roman" w:hAnsi="Times New Roman" w:cs="Times New Roman"/>
          <w:i/>
          <w:sz w:val="24"/>
          <w:szCs w:val="24"/>
          <w:lang w:eastAsia="en-ZA"/>
        </w:rPr>
        <w:t>Annals of association of American Geographers,</w:t>
      </w:r>
      <w:r w:rsidRPr="0068531F">
        <w:rPr>
          <w:rFonts w:ascii="Times New Roman" w:eastAsia="Times New Roman" w:hAnsi="Times New Roman" w:cs="Times New Roman"/>
          <w:sz w:val="24"/>
          <w:szCs w:val="24"/>
          <w:lang w:eastAsia="en-ZA"/>
        </w:rPr>
        <w:t xml:space="preserve"> 71, 220-236.</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Hasler</w:t>
      </w:r>
      <w:proofErr w:type="spellEnd"/>
      <w:r>
        <w:rPr>
          <w:rFonts w:ascii="Times New Roman" w:hAnsi="Times New Roman" w:cs="Times New Roman"/>
          <w:sz w:val="24"/>
          <w:szCs w:val="24"/>
        </w:rPr>
        <w:t>, R.</w:t>
      </w:r>
      <w:r w:rsidRPr="0068531F">
        <w:rPr>
          <w:rFonts w:ascii="Times New Roman" w:hAnsi="Times New Roman" w:cs="Times New Roman"/>
          <w:sz w:val="24"/>
          <w:szCs w:val="24"/>
        </w:rPr>
        <w:t xml:space="preserve"> 1999. </w:t>
      </w:r>
      <w:proofErr w:type="gramStart"/>
      <w:r w:rsidRPr="0068531F">
        <w:rPr>
          <w:rFonts w:ascii="Times New Roman" w:hAnsi="Times New Roman" w:cs="Times New Roman"/>
          <w:sz w:val="24"/>
          <w:szCs w:val="24"/>
        </w:rPr>
        <w:t xml:space="preserve">An Overview of the Social, Ecological and Economic Achievements and Challenges of Zimbabwe’s CAMPFIRE </w:t>
      </w:r>
      <w:proofErr w:type="spellStart"/>
      <w:r w:rsidRPr="0068531F">
        <w:rPr>
          <w:rFonts w:ascii="Times New Roman" w:hAnsi="Times New Roman" w:cs="Times New Roman"/>
          <w:sz w:val="24"/>
          <w:szCs w:val="24"/>
        </w:rPr>
        <w:t>programme</w:t>
      </w:r>
      <w:proofErr w:type="spellEnd"/>
      <w:r w:rsidRPr="0068531F">
        <w:rPr>
          <w:rFonts w:ascii="Times New Roman" w:hAnsi="Times New Roman" w:cs="Times New Roman"/>
          <w:sz w:val="24"/>
          <w:szCs w:val="24"/>
        </w:rPr>
        <w:t>, International Institute for Environment and Development, Evaluating Eden Series Discussion Paper No. 3, London.</w:t>
      </w:r>
      <w:proofErr w:type="gramEnd"/>
      <w:r w:rsidRPr="0068531F">
        <w:rPr>
          <w:rFonts w:ascii="Times New Roman" w:hAnsi="Times New Roman" w:cs="Times New Roman"/>
          <w:sz w:val="24"/>
          <w:szCs w:val="24"/>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gramStart"/>
      <w:r w:rsidRPr="0068531F">
        <w:rPr>
          <w:rFonts w:ascii="Times New Roman" w:eastAsia="Times New Roman" w:hAnsi="Times New Roman" w:cs="Times New Roman"/>
          <w:sz w:val="24"/>
          <w:szCs w:val="24"/>
          <w:lang w:eastAsia="en-ZA"/>
        </w:rPr>
        <w:t>Holden,</w:t>
      </w:r>
      <w:r>
        <w:rPr>
          <w:rFonts w:ascii="Times New Roman" w:eastAsia="Times New Roman" w:hAnsi="Times New Roman" w:cs="Times New Roman"/>
          <w:sz w:val="24"/>
          <w:szCs w:val="24"/>
          <w:lang w:eastAsia="en-ZA"/>
        </w:rPr>
        <w:t xml:space="preserve"> S., </w:t>
      </w:r>
      <w:proofErr w:type="spellStart"/>
      <w:r>
        <w:rPr>
          <w:rFonts w:ascii="Times New Roman" w:eastAsia="Times New Roman" w:hAnsi="Times New Roman" w:cs="Times New Roman"/>
          <w:sz w:val="24"/>
          <w:szCs w:val="24"/>
          <w:lang w:eastAsia="en-ZA"/>
        </w:rPr>
        <w:t>Bekele</w:t>
      </w:r>
      <w:proofErr w:type="spellEnd"/>
      <w:r>
        <w:rPr>
          <w:rFonts w:ascii="Times New Roman" w:eastAsia="Times New Roman" w:hAnsi="Times New Roman" w:cs="Times New Roman"/>
          <w:sz w:val="24"/>
          <w:szCs w:val="24"/>
          <w:lang w:eastAsia="en-ZA"/>
        </w:rPr>
        <w:t>, S., and Pender, J.</w:t>
      </w:r>
      <w:r w:rsidRPr="0068531F">
        <w:rPr>
          <w:rFonts w:ascii="Times New Roman" w:eastAsia="Times New Roman" w:hAnsi="Times New Roman" w:cs="Times New Roman"/>
          <w:sz w:val="24"/>
          <w:szCs w:val="24"/>
          <w:lang w:eastAsia="en-ZA"/>
        </w:rPr>
        <w:t xml:space="preserve"> 2004.</w:t>
      </w:r>
      <w:proofErr w:type="gramEnd"/>
      <w:r w:rsidRPr="0068531F">
        <w:rPr>
          <w:rFonts w:ascii="Times New Roman" w:eastAsia="Times New Roman" w:hAnsi="Times New Roman" w:cs="Times New Roman"/>
          <w:sz w:val="24"/>
          <w:szCs w:val="24"/>
          <w:lang w:eastAsia="en-ZA"/>
        </w:rPr>
        <w:t xml:space="preserve"> </w:t>
      </w:r>
      <w:proofErr w:type="gramStart"/>
      <w:r w:rsidRPr="0068531F">
        <w:rPr>
          <w:rFonts w:ascii="Times New Roman" w:eastAsia="Times New Roman" w:hAnsi="Times New Roman" w:cs="Times New Roman"/>
          <w:sz w:val="24"/>
          <w:szCs w:val="24"/>
          <w:lang w:eastAsia="en-ZA"/>
        </w:rPr>
        <w:t xml:space="preserve">Non–farm income, household welfare, and sustainable land management in a less </w:t>
      </w:r>
      <w:proofErr w:type="spellStart"/>
      <w:r w:rsidRPr="0068531F">
        <w:rPr>
          <w:rFonts w:ascii="Times New Roman" w:eastAsia="Times New Roman" w:hAnsi="Times New Roman" w:cs="Times New Roman"/>
          <w:sz w:val="24"/>
          <w:szCs w:val="24"/>
          <w:lang w:eastAsia="en-ZA"/>
        </w:rPr>
        <w:t>favoured</w:t>
      </w:r>
      <w:proofErr w:type="spellEnd"/>
      <w:r w:rsidRPr="0068531F">
        <w:rPr>
          <w:rFonts w:ascii="Times New Roman" w:eastAsia="Times New Roman" w:hAnsi="Times New Roman" w:cs="Times New Roman"/>
          <w:sz w:val="24"/>
          <w:szCs w:val="24"/>
          <w:lang w:eastAsia="en-ZA"/>
        </w:rPr>
        <w:t xml:space="preserve"> area in the Ethiopian highlands.</w:t>
      </w:r>
      <w:proofErr w:type="gramEnd"/>
      <w:r w:rsidRPr="0068531F">
        <w:rPr>
          <w:rFonts w:ascii="Times New Roman" w:eastAsia="Times New Roman" w:hAnsi="Times New Roman" w:cs="Times New Roman"/>
          <w:sz w:val="24"/>
          <w:szCs w:val="24"/>
          <w:lang w:eastAsia="en-ZA"/>
        </w:rPr>
        <w:t xml:space="preserve"> </w:t>
      </w:r>
      <w:proofErr w:type="gramStart"/>
      <w:r w:rsidRPr="0068531F">
        <w:rPr>
          <w:rFonts w:ascii="Times New Roman" w:eastAsia="Times New Roman" w:hAnsi="Times New Roman" w:cs="Times New Roman"/>
          <w:sz w:val="24"/>
          <w:szCs w:val="24"/>
          <w:lang w:eastAsia="en-ZA"/>
        </w:rPr>
        <w:t>Department of Economics and Resource Management Agricultural University of Norway.</w:t>
      </w:r>
      <w:proofErr w:type="gramEnd"/>
      <w:r w:rsidRPr="0068531F">
        <w:rPr>
          <w:rFonts w:ascii="Times New Roman" w:eastAsia="Times New Roman" w:hAnsi="Times New Roman" w:cs="Times New Roman"/>
          <w:sz w:val="24"/>
          <w:szCs w:val="24"/>
          <w:lang w:eastAsia="en-ZA"/>
        </w:rPr>
        <w:t xml:space="preserve">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color w:val="000000"/>
          <w:sz w:val="24"/>
          <w:szCs w:val="24"/>
        </w:rPr>
      </w:pPr>
      <w:proofErr w:type="gramStart"/>
      <w:r w:rsidRPr="0068531F">
        <w:rPr>
          <w:rFonts w:ascii="Times New Roman" w:hAnsi="Times New Roman" w:cs="Times New Roman"/>
          <w:sz w:val="24"/>
          <w:szCs w:val="24"/>
        </w:rPr>
        <w:t xml:space="preserve">Jimenez, W., and </w:t>
      </w:r>
      <w:proofErr w:type="spellStart"/>
      <w:r w:rsidRPr="0068531F">
        <w:rPr>
          <w:rFonts w:ascii="Times New Roman" w:hAnsi="Times New Roman" w:cs="Times New Roman"/>
          <w:sz w:val="24"/>
          <w:szCs w:val="24"/>
        </w:rPr>
        <w:t>Lizarraga</w:t>
      </w:r>
      <w:proofErr w:type="spellEnd"/>
      <w:r w:rsidRPr="0068531F">
        <w:rPr>
          <w:rFonts w:ascii="Times New Roman" w:hAnsi="Times New Roman" w:cs="Times New Roman"/>
          <w:sz w:val="24"/>
          <w:szCs w:val="24"/>
        </w:rPr>
        <w:t>, S. 2003.</w:t>
      </w:r>
      <w:proofErr w:type="gramEnd"/>
      <w:r w:rsidRPr="0068531F">
        <w:rPr>
          <w:rFonts w:ascii="Times New Roman" w:hAnsi="Times New Roman" w:cs="Times New Roman"/>
          <w:sz w:val="24"/>
          <w:szCs w:val="24"/>
        </w:rPr>
        <w:t xml:space="preserve"> </w:t>
      </w:r>
      <w:proofErr w:type="spellStart"/>
      <w:r w:rsidRPr="00297437">
        <w:rPr>
          <w:rFonts w:ascii="Times New Roman" w:hAnsi="Times New Roman" w:cs="Times New Roman"/>
          <w:sz w:val="24"/>
          <w:szCs w:val="24"/>
          <w:lang w:val="fr-FR"/>
        </w:rPr>
        <w:t>Ingresos</w:t>
      </w:r>
      <w:proofErr w:type="spellEnd"/>
      <w:r w:rsidRPr="00297437">
        <w:rPr>
          <w:rFonts w:ascii="Times New Roman" w:hAnsi="Times New Roman" w:cs="Times New Roman"/>
          <w:sz w:val="24"/>
          <w:szCs w:val="24"/>
          <w:lang w:val="fr-FR"/>
        </w:rPr>
        <w:t xml:space="preserve"> y </w:t>
      </w:r>
      <w:proofErr w:type="spellStart"/>
      <w:r w:rsidRPr="00297437">
        <w:rPr>
          <w:rFonts w:ascii="Times New Roman" w:hAnsi="Times New Roman" w:cs="Times New Roman"/>
          <w:sz w:val="24"/>
          <w:szCs w:val="24"/>
          <w:lang w:val="fr-FR"/>
        </w:rPr>
        <w:t>Desigualdad</w:t>
      </w:r>
      <w:proofErr w:type="spellEnd"/>
      <w:r w:rsidRPr="00297437">
        <w:rPr>
          <w:rFonts w:ascii="Times New Roman" w:hAnsi="Times New Roman" w:cs="Times New Roman"/>
          <w:sz w:val="24"/>
          <w:szCs w:val="24"/>
          <w:lang w:val="fr-FR"/>
        </w:rPr>
        <w:t xml:space="preserve"> en el Area Rural de Bolivia, </w:t>
      </w:r>
      <w:proofErr w:type="spellStart"/>
      <w:r w:rsidRPr="00297437">
        <w:rPr>
          <w:rFonts w:ascii="Times New Roman" w:hAnsi="Times New Roman" w:cs="Times New Roman"/>
          <w:sz w:val="24"/>
          <w:szCs w:val="24"/>
          <w:lang w:val="fr-FR"/>
        </w:rPr>
        <w:t>Unidad</w:t>
      </w:r>
      <w:proofErr w:type="spellEnd"/>
      <w:r w:rsidRPr="00297437">
        <w:rPr>
          <w:rFonts w:ascii="Times New Roman" w:hAnsi="Times New Roman" w:cs="Times New Roman"/>
          <w:sz w:val="24"/>
          <w:szCs w:val="24"/>
          <w:lang w:val="fr-FR"/>
        </w:rPr>
        <w:t xml:space="preserve"> de </w:t>
      </w:r>
      <w:proofErr w:type="spellStart"/>
      <w:r w:rsidRPr="00297437">
        <w:rPr>
          <w:rFonts w:ascii="Times New Roman" w:hAnsi="Times New Roman" w:cs="Times New Roman"/>
          <w:sz w:val="24"/>
          <w:szCs w:val="24"/>
          <w:lang w:val="fr-FR"/>
        </w:rPr>
        <w:t>Analisis</w:t>
      </w:r>
      <w:proofErr w:type="spellEnd"/>
      <w:r w:rsidRPr="00297437">
        <w:rPr>
          <w:rFonts w:ascii="Times New Roman" w:hAnsi="Times New Roman" w:cs="Times New Roman"/>
          <w:sz w:val="24"/>
          <w:szCs w:val="24"/>
          <w:lang w:val="fr-FR"/>
        </w:rPr>
        <w:t xml:space="preserve"> de </w:t>
      </w:r>
      <w:proofErr w:type="spellStart"/>
      <w:r w:rsidRPr="00297437">
        <w:rPr>
          <w:rFonts w:ascii="Times New Roman" w:hAnsi="Times New Roman" w:cs="Times New Roman"/>
          <w:sz w:val="24"/>
          <w:szCs w:val="24"/>
          <w:lang w:val="fr-FR"/>
        </w:rPr>
        <w:t>Politicas</w:t>
      </w:r>
      <w:proofErr w:type="spellEnd"/>
      <w:r w:rsidRPr="00297437">
        <w:rPr>
          <w:rFonts w:ascii="Times New Roman" w:hAnsi="Times New Roman" w:cs="Times New Roman"/>
          <w:sz w:val="24"/>
          <w:szCs w:val="24"/>
          <w:lang w:val="fr-FR"/>
        </w:rPr>
        <w:t xml:space="preserve"> Sociales y </w:t>
      </w:r>
      <w:proofErr w:type="spellStart"/>
      <w:r w:rsidRPr="00297437">
        <w:rPr>
          <w:rFonts w:ascii="Times New Roman" w:hAnsi="Times New Roman" w:cs="Times New Roman"/>
          <w:sz w:val="24"/>
          <w:szCs w:val="24"/>
          <w:lang w:val="fr-FR"/>
        </w:rPr>
        <w:t>Economicas</w:t>
      </w:r>
      <w:proofErr w:type="spellEnd"/>
      <w:r w:rsidRPr="00297437">
        <w:rPr>
          <w:rFonts w:ascii="Times New Roman" w:hAnsi="Times New Roman" w:cs="Times New Roman"/>
          <w:sz w:val="24"/>
          <w:szCs w:val="24"/>
          <w:lang w:val="fr-FR"/>
        </w:rPr>
        <w:t xml:space="preserve">. </w:t>
      </w:r>
      <w:proofErr w:type="spellStart"/>
      <w:r w:rsidRPr="0068531F">
        <w:rPr>
          <w:rFonts w:ascii="Times New Roman" w:hAnsi="Times New Roman" w:cs="Times New Roman"/>
          <w:sz w:val="24"/>
          <w:szCs w:val="24"/>
        </w:rPr>
        <w:t>Analisis</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Economico</w:t>
      </w:r>
      <w:proofErr w:type="spellEnd"/>
      <w:r w:rsidRPr="0068531F">
        <w:rPr>
          <w:rFonts w:ascii="Times New Roman" w:hAnsi="Times New Roman" w:cs="Times New Roman"/>
          <w:sz w:val="24"/>
          <w:szCs w:val="24"/>
        </w:rPr>
        <w:t>-UDAPE.</w:t>
      </w:r>
    </w:p>
    <w:p w:rsidR="001F0534" w:rsidRPr="00954BC7" w:rsidRDefault="001F0534" w:rsidP="00080788">
      <w:pPr>
        <w:spacing w:line="360" w:lineRule="auto"/>
        <w:ind w:left="851" w:hanging="851"/>
        <w:jc w:val="both"/>
        <w:rPr>
          <w:rFonts w:ascii="Times New Roman" w:hAnsi="Times New Roman" w:cs="Times New Roman"/>
          <w:sz w:val="24"/>
          <w:szCs w:val="24"/>
        </w:rPr>
      </w:pPr>
      <w:proofErr w:type="spellStart"/>
      <w:proofErr w:type="gramStart"/>
      <w:r w:rsidRPr="00954BC7">
        <w:rPr>
          <w:rFonts w:ascii="Times New Roman" w:hAnsi="Times New Roman" w:cs="Times New Roman"/>
          <w:sz w:val="24"/>
          <w:szCs w:val="24"/>
        </w:rPr>
        <w:t>Kabubo-Mariara</w:t>
      </w:r>
      <w:proofErr w:type="spellEnd"/>
      <w:r w:rsidRPr="00954BC7">
        <w:rPr>
          <w:rFonts w:ascii="Times New Roman" w:hAnsi="Times New Roman" w:cs="Times New Roman"/>
          <w:sz w:val="24"/>
          <w:szCs w:val="24"/>
        </w:rPr>
        <w:t>, J. 2008.</w:t>
      </w:r>
      <w:proofErr w:type="gramEnd"/>
      <w:r w:rsidRPr="00954BC7">
        <w:rPr>
          <w:rFonts w:ascii="Times New Roman" w:hAnsi="Times New Roman" w:cs="Times New Roman"/>
          <w:sz w:val="24"/>
          <w:szCs w:val="24"/>
        </w:rPr>
        <w:t xml:space="preserve"> Forestry dependence and household welfare: empirical evidence from Kenya. CEEPA Discussion Paper No. 41, Centre for Environmental Economics and Policy in Africa, University of Pretoria.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iCs/>
          <w:sz w:val="24"/>
          <w:szCs w:val="24"/>
        </w:rPr>
        <w:t>Kohlin</w:t>
      </w:r>
      <w:proofErr w:type="spellEnd"/>
      <w:r w:rsidRPr="0068531F">
        <w:rPr>
          <w:rFonts w:ascii="Times New Roman" w:hAnsi="Times New Roman" w:cs="Times New Roman"/>
          <w:iCs/>
          <w:sz w:val="24"/>
          <w:szCs w:val="24"/>
        </w:rPr>
        <w:t>, G. and Parks, P.J. 2001.</w:t>
      </w:r>
      <w:proofErr w:type="gramEnd"/>
      <w:r w:rsidRPr="0068531F">
        <w:rPr>
          <w:rFonts w:ascii="Times New Roman" w:hAnsi="Times New Roman" w:cs="Times New Roman"/>
          <w:iCs/>
          <w:sz w:val="24"/>
          <w:szCs w:val="24"/>
        </w:rPr>
        <w:t xml:space="preserve"> </w:t>
      </w:r>
      <w:proofErr w:type="gramStart"/>
      <w:r w:rsidRPr="0068531F">
        <w:rPr>
          <w:rFonts w:ascii="Times New Roman" w:hAnsi="Times New Roman" w:cs="Times New Roman"/>
          <w:iCs/>
          <w:sz w:val="24"/>
          <w:szCs w:val="24"/>
        </w:rPr>
        <w:t>Spatial variability and disincentives to harvest.</w:t>
      </w:r>
      <w:proofErr w:type="gramEnd"/>
      <w:r w:rsidRPr="0068531F">
        <w:rPr>
          <w:rFonts w:ascii="Times New Roman" w:hAnsi="Times New Roman" w:cs="Times New Roman"/>
          <w:iCs/>
          <w:sz w:val="24"/>
          <w:szCs w:val="24"/>
        </w:rPr>
        <w:t xml:space="preserve"> </w:t>
      </w:r>
      <w:r w:rsidRPr="0068531F">
        <w:rPr>
          <w:rFonts w:ascii="Times New Roman" w:hAnsi="Times New Roman" w:cs="Times New Roman"/>
          <w:i/>
          <w:iCs/>
          <w:sz w:val="24"/>
          <w:szCs w:val="24"/>
        </w:rPr>
        <w:t>Land Economics</w:t>
      </w:r>
      <w:r w:rsidRPr="0068531F">
        <w:rPr>
          <w:rFonts w:ascii="Times New Roman" w:hAnsi="Times New Roman" w:cs="Times New Roman"/>
          <w:iCs/>
          <w:sz w:val="24"/>
          <w:szCs w:val="24"/>
        </w:rPr>
        <w:t>, 77, 206-300.</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r>
        <w:rPr>
          <w:rFonts w:ascii="Times New Roman" w:eastAsia="Times New Roman" w:hAnsi="Times New Roman" w:cs="Times New Roman"/>
          <w:sz w:val="24"/>
          <w:szCs w:val="24"/>
          <w:lang w:eastAsia="en-ZA"/>
        </w:rPr>
        <w:lastRenderedPageBreak/>
        <w:t>Lanjouw</w:t>
      </w:r>
      <w:proofErr w:type="spellEnd"/>
      <w:r>
        <w:rPr>
          <w:rFonts w:ascii="Times New Roman" w:eastAsia="Times New Roman" w:hAnsi="Times New Roman" w:cs="Times New Roman"/>
          <w:sz w:val="24"/>
          <w:szCs w:val="24"/>
          <w:lang w:eastAsia="en-ZA"/>
        </w:rPr>
        <w:t xml:space="preserve">, J.O., and </w:t>
      </w:r>
      <w:proofErr w:type="spellStart"/>
      <w:r>
        <w:rPr>
          <w:rFonts w:ascii="Times New Roman" w:eastAsia="Times New Roman" w:hAnsi="Times New Roman" w:cs="Times New Roman"/>
          <w:sz w:val="24"/>
          <w:szCs w:val="24"/>
          <w:lang w:eastAsia="en-ZA"/>
        </w:rPr>
        <w:t>Lanjouw</w:t>
      </w:r>
      <w:proofErr w:type="spellEnd"/>
      <w:r>
        <w:rPr>
          <w:rFonts w:ascii="Times New Roman" w:eastAsia="Times New Roman" w:hAnsi="Times New Roman" w:cs="Times New Roman"/>
          <w:sz w:val="24"/>
          <w:szCs w:val="24"/>
          <w:lang w:eastAsia="en-ZA"/>
        </w:rPr>
        <w:t>, P.</w:t>
      </w:r>
      <w:r w:rsidRPr="0068531F">
        <w:rPr>
          <w:rFonts w:ascii="Times New Roman" w:eastAsia="Times New Roman" w:hAnsi="Times New Roman" w:cs="Times New Roman"/>
          <w:sz w:val="24"/>
          <w:szCs w:val="24"/>
          <w:lang w:eastAsia="en-ZA"/>
        </w:rPr>
        <w:t xml:space="preserve"> 1995. Rural non-farm employment</w:t>
      </w:r>
      <w:r w:rsidRPr="0068531F">
        <w:rPr>
          <w:rFonts w:ascii="Times New Roman" w:eastAsia="Times New Roman" w:hAnsi="Times New Roman" w:cs="Times New Roman"/>
          <w:b/>
          <w:bCs/>
          <w:i/>
          <w:iCs/>
          <w:sz w:val="24"/>
          <w:szCs w:val="24"/>
          <w:lang w:eastAsia="en-ZA"/>
        </w:rPr>
        <w:t xml:space="preserve">: </w:t>
      </w:r>
      <w:r w:rsidRPr="0068531F">
        <w:rPr>
          <w:rFonts w:ascii="Times New Roman" w:eastAsia="Times New Roman" w:hAnsi="Times New Roman" w:cs="Times New Roman"/>
          <w:sz w:val="24"/>
          <w:szCs w:val="24"/>
          <w:lang w:eastAsia="en-ZA"/>
        </w:rPr>
        <w:t xml:space="preserve">Policy research working paper 1463.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Muchapondwa</w:t>
      </w:r>
      <w:proofErr w:type="spellEnd"/>
      <w:r>
        <w:rPr>
          <w:rFonts w:ascii="Times New Roman" w:hAnsi="Times New Roman" w:cs="Times New Roman"/>
          <w:color w:val="000000"/>
          <w:sz w:val="24"/>
          <w:szCs w:val="24"/>
        </w:rPr>
        <w:t>, E.</w:t>
      </w:r>
      <w:r w:rsidRPr="0068531F">
        <w:rPr>
          <w:rFonts w:ascii="Times New Roman" w:hAnsi="Times New Roman" w:cs="Times New Roman"/>
          <w:color w:val="000000"/>
          <w:sz w:val="24"/>
          <w:szCs w:val="24"/>
        </w:rPr>
        <w:t xml:space="preserve"> 2003.</w:t>
      </w:r>
      <w:proofErr w:type="gramEnd"/>
      <w:r w:rsidRPr="0068531F">
        <w:rPr>
          <w:rFonts w:ascii="Times New Roman" w:hAnsi="Times New Roman" w:cs="Times New Roman"/>
          <w:color w:val="000000"/>
          <w:sz w:val="24"/>
          <w:szCs w:val="24"/>
        </w:rPr>
        <w:t xml:space="preserve"> </w:t>
      </w:r>
      <w:proofErr w:type="gramStart"/>
      <w:r w:rsidRPr="0068531F">
        <w:rPr>
          <w:rFonts w:ascii="Times New Roman" w:hAnsi="Times New Roman" w:cs="Times New Roman"/>
          <w:bCs/>
          <w:i/>
          <w:color w:val="000000"/>
          <w:sz w:val="24"/>
          <w:szCs w:val="24"/>
        </w:rPr>
        <w:t>The Economics of Community-Based Wildlife Conservation in Zimbabwe.</w:t>
      </w:r>
      <w:proofErr w:type="gramEnd"/>
      <w:r w:rsidRPr="0068531F">
        <w:rPr>
          <w:rFonts w:ascii="Times New Roman" w:hAnsi="Times New Roman" w:cs="Times New Roman"/>
          <w:bCs/>
          <w:color w:val="000000"/>
          <w:sz w:val="24"/>
          <w:szCs w:val="24"/>
        </w:rPr>
        <w:t xml:space="preserve"> </w:t>
      </w:r>
      <w:proofErr w:type="gramStart"/>
      <w:r w:rsidRPr="0068531F">
        <w:rPr>
          <w:rFonts w:ascii="Times New Roman" w:hAnsi="Times New Roman" w:cs="Times New Roman"/>
          <w:color w:val="000000"/>
          <w:sz w:val="24"/>
          <w:szCs w:val="24"/>
        </w:rPr>
        <w:t>PhD Thesis, Department of Economics.</w:t>
      </w:r>
      <w:proofErr w:type="gramEnd"/>
      <w:r w:rsidRPr="0068531F">
        <w:rPr>
          <w:rFonts w:ascii="Times New Roman" w:hAnsi="Times New Roman" w:cs="Times New Roman"/>
          <w:color w:val="000000"/>
          <w:sz w:val="24"/>
          <w:szCs w:val="24"/>
        </w:rPr>
        <w:t xml:space="preserve"> </w:t>
      </w:r>
      <w:proofErr w:type="spellStart"/>
      <w:proofErr w:type="gramStart"/>
      <w:r w:rsidRPr="0068531F">
        <w:rPr>
          <w:rFonts w:ascii="Times New Roman" w:hAnsi="Times New Roman" w:cs="Times New Roman"/>
          <w:color w:val="000000"/>
          <w:sz w:val="24"/>
          <w:szCs w:val="24"/>
        </w:rPr>
        <w:t>Göteborg</w:t>
      </w:r>
      <w:proofErr w:type="spellEnd"/>
      <w:r w:rsidRPr="0068531F">
        <w:rPr>
          <w:rFonts w:ascii="Times New Roman" w:hAnsi="Times New Roman" w:cs="Times New Roman"/>
          <w:color w:val="000000"/>
          <w:sz w:val="24"/>
          <w:szCs w:val="24"/>
        </w:rPr>
        <w:t xml:space="preserve"> University Sweden and University of Zimbabwe Harare.</w:t>
      </w:r>
      <w:proofErr w:type="gramEnd"/>
      <w:r w:rsidRPr="0068531F">
        <w:rPr>
          <w:rFonts w:ascii="Times New Roman" w:hAnsi="Times New Roman" w:cs="Times New Roman"/>
          <w:color w:val="000000"/>
          <w:sz w:val="24"/>
          <w:szCs w:val="24"/>
        </w:rPr>
        <w:t xml:space="preserve">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r w:rsidRPr="0068531F">
        <w:rPr>
          <w:rFonts w:ascii="Times New Roman" w:hAnsi="Times New Roman" w:cs="Times New Roman"/>
          <w:sz w:val="24"/>
          <w:szCs w:val="24"/>
        </w:rPr>
        <w:t>Muchapon</w:t>
      </w:r>
      <w:r>
        <w:rPr>
          <w:rFonts w:ascii="Times New Roman" w:hAnsi="Times New Roman" w:cs="Times New Roman"/>
          <w:sz w:val="24"/>
          <w:szCs w:val="24"/>
        </w:rPr>
        <w:t>dwa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Carlsson</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Kohlin</w:t>
      </w:r>
      <w:proofErr w:type="spellEnd"/>
      <w:r>
        <w:rPr>
          <w:rFonts w:ascii="Times New Roman" w:hAnsi="Times New Roman" w:cs="Times New Roman"/>
          <w:sz w:val="24"/>
          <w:szCs w:val="24"/>
        </w:rPr>
        <w:t xml:space="preserve"> F.</w:t>
      </w:r>
      <w:r w:rsidRPr="0068531F">
        <w:rPr>
          <w:rFonts w:ascii="Times New Roman" w:hAnsi="Times New Roman" w:cs="Times New Roman"/>
          <w:sz w:val="24"/>
          <w:szCs w:val="24"/>
        </w:rPr>
        <w:t xml:space="preserve"> 2008. Wildlife management in Zimbabwe: Evidence from a contingency study. </w:t>
      </w:r>
      <w:r w:rsidRPr="0068531F">
        <w:rPr>
          <w:rFonts w:ascii="Times New Roman" w:hAnsi="Times New Roman" w:cs="Times New Roman"/>
          <w:i/>
          <w:sz w:val="24"/>
          <w:szCs w:val="24"/>
        </w:rPr>
        <w:t>South African Journal of Economics,</w:t>
      </w:r>
      <w:r w:rsidRPr="0068531F">
        <w:rPr>
          <w:rFonts w:ascii="Times New Roman" w:hAnsi="Times New Roman" w:cs="Times New Roman"/>
          <w:sz w:val="24"/>
          <w:szCs w:val="24"/>
        </w:rPr>
        <w:t xml:space="preserve"> Vol. 76:4. </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r w:rsidRPr="0068531F">
        <w:rPr>
          <w:rFonts w:ascii="Times New Roman" w:hAnsi="Times New Roman" w:cs="Times New Roman"/>
          <w:sz w:val="24"/>
          <w:szCs w:val="24"/>
        </w:rPr>
        <w:t>Narain</w:t>
      </w:r>
      <w:proofErr w:type="spellEnd"/>
      <w:r w:rsidRPr="0068531F">
        <w:rPr>
          <w:rFonts w:ascii="Times New Roman" w:hAnsi="Times New Roman" w:cs="Times New Roman"/>
          <w:sz w:val="24"/>
          <w:szCs w:val="24"/>
        </w:rPr>
        <w:t xml:space="preserve">, U., Gupta, S. and </w:t>
      </w:r>
      <w:proofErr w:type="spellStart"/>
      <w:r w:rsidRPr="0068531F">
        <w:rPr>
          <w:rFonts w:ascii="Times New Roman" w:hAnsi="Times New Roman" w:cs="Times New Roman"/>
          <w:sz w:val="24"/>
          <w:szCs w:val="24"/>
        </w:rPr>
        <w:t>Van`t</w:t>
      </w:r>
      <w:proofErr w:type="spellEnd"/>
      <w:r w:rsidRPr="0068531F">
        <w:rPr>
          <w:rFonts w:ascii="Times New Roman" w:hAnsi="Times New Roman" w:cs="Times New Roman"/>
          <w:sz w:val="24"/>
          <w:szCs w:val="24"/>
        </w:rPr>
        <w:t xml:space="preserve"> </w:t>
      </w:r>
      <w:proofErr w:type="spellStart"/>
      <w:r w:rsidRPr="0068531F">
        <w:rPr>
          <w:rFonts w:ascii="Times New Roman" w:hAnsi="Times New Roman" w:cs="Times New Roman"/>
          <w:sz w:val="24"/>
          <w:szCs w:val="24"/>
        </w:rPr>
        <w:t>Veld</w:t>
      </w:r>
      <w:proofErr w:type="spellEnd"/>
      <w:r w:rsidRPr="0068531F">
        <w:rPr>
          <w:rFonts w:ascii="Times New Roman" w:hAnsi="Times New Roman" w:cs="Times New Roman"/>
          <w:sz w:val="24"/>
          <w:szCs w:val="24"/>
        </w:rPr>
        <w:t xml:space="preserve">, K. 2005. Poverty and the environment: Exploring the relationship between household incomes, private assets, and natural assets. Poverty Reduction and Environmental Management (PREM) </w:t>
      </w:r>
      <w:proofErr w:type="spellStart"/>
      <w:proofErr w:type="gramStart"/>
      <w:r w:rsidRPr="0068531F">
        <w:rPr>
          <w:rFonts w:ascii="Times New Roman" w:hAnsi="Times New Roman" w:cs="Times New Roman"/>
          <w:sz w:val="24"/>
          <w:szCs w:val="24"/>
        </w:rPr>
        <w:t>programme</w:t>
      </w:r>
      <w:proofErr w:type="spellEnd"/>
      <w:r w:rsidRPr="0068531F">
        <w:rPr>
          <w:rFonts w:ascii="Times New Roman" w:hAnsi="Times New Roman" w:cs="Times New Roman"/>
          <w:sz w:val="24"/>
          <w:szCs w:val="24"/>
        </w:rPr>
        <w:t>,</w:t>
      </w:r>
      <w:proofErr w:type="gramEnd"/>
      <w:r w:rsidRPr="0068531F">
        <w:rPr>
          <w:rFonts w:ascii="Times New Roman" w:hAnsi="Times New Roman" w:cs="Times New Roman"/>
          <w:sz w:val="24"/>
          <w:szCs w:val="24"/>
        </w:rPr>
        <w:t xml:space="preserve"> mimeo.</w:t>
      </w:r>
    </w:p>
    <w:p w:rsidR="001F0534" w:rsidRPr="0068531F" w:rsidRDefault="001F0534" w:rsidP="00080788">
      <w:pPr>
        <w:spacing w:line="360" w:lineRule="auto"/>
        <w:ind w:left="851" w:hanging="851"/>
        <w:jc w:val="both"/>
        <w:rPr>
          <w:rFonts w:ascii="Times New Roman" w:hAnsi="Times New Roman" w:cs="Times New Roman"/>
          <w:sz w:val="24"/>
          <w:szCs w:val="24"/>
        </w:rPr>
      </w:pPr>
      <w:proofErr w:type="spellStart"/>
      <w:r w:rsidRPr="0068531F">
        <w:rPr>
          <w:rFonts w:ascii="Times New Roman" w:hAnsi="Times New Roman" w:cs="Times New Roman"/>
          <w:sz w:val="24"/>
          <w:szCs w:val="24"/>
        </w:rPr>
        <w:t>Nyatana</w:t>
      </w:r>
      <w:proofErr w:type="spellEnd"/>
      <w:r w:rsidRPr="0068531F">
        <w:rPr>
          <w:rFonts w:ascii="Times New Roman" w:hAnsi="Times New Roman" w:cs="Times New Roman"/>
          <w:sz w:val="24"/>
          <w:szCs w:val="24"/>
        </w:rPr>
        <w:t xml:space="preserve"> Joint Management Trust, (NJMT) 2011. </w:t>
      </w:r>
      <w:proofErr w:type="spellStart"/>
      <w:proofErr w:type="gramStart"/>
      <w:r>
        <w:rPr>
          <w:rFonts w:ascii="Times New Roman" w:hAnsi="Times New Roman" w:cs="Times New Roman"/>
          <w:sz w:val="24"/>
          <w:szCs w:val="24"/>
        </w:rPr>
        <w:t>Nyatana</w:t>
      </w:r>
      <w:proofErr w:type="spellEnd"/>
      <w:r>
        <w:rPr>
          <w:rFonts w:ascii="Times New Roman" w:hAnsi="Times New Roman" w:cs="Times New Roman"/>
          <w:sz w:val="24"/>
          <w:szCs w:val="24"/>
        </w:rPr>
        <w:t xml:space="preserve"> Joint Management Trust </w:t>
      </w:r>
      <w:r w:rsidRPr="0068531F">
        <w:rPr>
          <w:rFonts w:ascii="Times New Roman" w:hAnsi="Times New Roman" w:cs="Times New Roman"/>
          <w:sz w:val="24"/>
          <w:szCs w:val="24"/>
        </w:rPr>
        <w:t>Annual Trust Report.</w:t>
      </w:r>
      <w:proofErr w:type="gramEnd"/>
      <w:r w:rsidRPr="0068531F">
        <w:rPr>
          <w:rFonts w:ascii="Times New Roman" w:hAnsi="Times New Roman" w:cs="Times New Roman"/>
          <w:sz w:val="24"/>
          <w:szCs w:val="24"/>
        </w:rPr>
        <w:t xml:space="preserve"> Unpublished Report </w:t>
      </w:r>
    </w:p>
    <w:p w:rsidR="001F0534" w:rsidRPr="0068531F" w:rsidRDefault="001F0534" w:rsidP="00080788">
      <w:pPr>
        <w:spacing w:line="360" w:lineRule="auto"/>
        <w:ind w:left="851" w:hanging="851"/>
        <w:jc w:val="both"/>
        <w:rPr>
          <w:rFonts w:ascii="Times New Roman" w:hAnsi="Times New Roman" w:cs="Times New Roman"/>
          <w:sz w:val="24"/>
          <w:szCs w:val="24"/>
        </w:rPr>
      </w:pPr>
      <w:r w:rsidRPr="0068531F">
        <w:rPr>
          <w:rFonts w:ascii="Times New Roman" w:eastAsia="Times New Roman" w:hAnsi="Times New Roman" w:cs="Times New Roman"/>
          <w:sz w:val="24"/>
          <w:szCs w:val="24"/>
          <w:lang w:eastAsia="en-ZA"/>
        </w:rPr>
        <w:t xml:space="preserve">O`Sullivan, </w:t>
      </w:r>
      <w:r>
        <w:rPr>
          <w:rFonts w:ascii="Times New Roman" w:eastAsia="Times New Roman" w:hAnsi="Times New Roman" w:cs="Times New Roman"/>
          <w:sz w:val="24"/>
          <w:szCs w:val="24"/>
          <w:lang w:eastAsia="en-ZA"/>
        </w:rPr>
        <w:t xml:space="preserve">A., </w:t>
      </w:r>
      <w:proofErr w:type="spellStart"/>
      <w:r>
        <w:rPr>
          <w:rFonts w:ascii="Times New Roman" w:eastAsia="Times New Roman" w:hAnsi="Times New Roman" w:cs="Times New Roman"/>
          <w:sz w:val="24"/>
          <w:szCs w:val="24"/>
          <w:lang w:eastAsia="en-ZA"/>
        </w:rPr>
        <w:t>Sheffrin</w:t>
      </w:r>
      <w:proofErr w:type="spellEnd"/>
      <w:r>
        <w:rPr>
          <w:rFonts w:ascii="Times New Roman" w:eastAsia="Times New Roman" w:hAnsi="Times New Roman" w:cs="Times New Roman"/>
          <w:sz w:val="24"/>
          <w:szCs w:val="24"/>
          <w:lang w:eastAsia="en-ZA"/>
        </w:rPr>
        <w:t>, D., and Perez, S.</w:t>
      </w:r>
      <w:r w:rsidRPr="0068531F">
        <w:rPr>
          <w:rFonts w:ascii="Times New Roman" w:eastAsia="Times New Roman" w:hAnsi="Times New Roman" w:cs="Times New Roman"/>
          <w:sz w:val="24"/>
          <w:szCs w:val="24"/>
          <w:lang w:eastAsia="en-ZA"/>
        </w:rPr>
        <w:t xml:space="preserve"> 2006. </w:t>
      </w:r>
      <w:r w:rsidRPr="0068531F">
        <w:rPr>
          <w:rFonts w:ascii="Times New Roman" w:eastAsia="Times New Roman" w:hAnsi="Times New Roman" w:cs="Times New Roman"/>
          <w:i/>
          <w:sz w:val="24"/>
          <w:szCs w:val="24"/>
          <w:lang w:eastAsia="en-ZA"/>
        </w:rPr>
        <w:t>Economics: Principles, Applications and Tools</w:t>
      </w:r>
      <w:r w:rsidRPr="0068531F">
        <w:rPr>
          <w:rFonts w:ascii="Times New Roman" w:eastAsia="Times New Roman" w:hAnsi="Times New Roman" w:cs="Times New Roman"/>
          <w:sz w:val="24"/>
          <w:szCs w:val="24"/>
          <w:lang w:eastAsia="en-ZA"/>
        </w:rPr>
        <w:t xml:space="preserve"> (5</w:t>
      </w:r>
      <w:r w:rsidRPr="0068531F">
        <w:rPr>
          <w:rFonts w:ascii="Times New Roman" w:eastAsia="Times New Roman" w:hAnsi="Times New Roman" w:cs="Times New Roman"/>
          <w:sz w:val="24"/>
          <w:szCs w:val="24"/>
          <w:vertAlign w:val="superscript"/>
          <w:lang w:eastAsia="en-ZA"/>
        </w:rPr>
        <w:t>th</w:t>
      </w:r>
      <w:r w:rsidRPr="0068531F">
        <w:rPr>
          <w:rFonts w:ascii="Times New Roman" w:eastAsia="Times New Roman" w:hAnsi="Times New Roman" w:cs="Times New Roman"/>
          <w:sz w:val="24"/>
          <w:szCs w:val="24"/>
          <w:lang w:eastAsia="en-ZA"/>
        </w:rPr>
        <w:t xml:space="preserve"> Edition). Prentice Hall, New York.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r>
        <w:rPr>
          <w:rFonts w:ascii="Times New Roman" w:hAnsi="Times New Roman" w:cs="Times New Roman"/>
          <w:sz w:val="24"/>
          <w:szCs w:val="24"/>
        </w:rPr>
        <w:t>Patel, H.</w:t>
      </w:r>
      <w:r w:rsidRPr="0068531F">
        <w:rPr>
          <w:rFonts w:ascii="Times New Roman" w:hAnsi="Times New Roman" w:cs="Times New Roman"/>
          <w:sz w:val="24"/>
          <w:szCs w:val="24"/>
        </w:rPr>
        <w:t xml:space="preserve"> 1998. Sustainable Utilization and African Wildlife Policy: The Case of Zimbabwe’s Communal Areas Management Programme for Indigenous Resources (CAMPFIRE) – Rhetoric or Reality? Indigenous Environmental Policy Center (IEPC) Research Report, March. </w:t>
      </w:r>
      <w:r w:rsidRPr="0068531F">
        <w:rPr>
          <w:rFonts w:ascii="Times New Roman" w:eastAsia="Times New Roman" w:hAnsi="Times New Roman" w:cs="Times New Roman"/>
          <w:sz w:val="24"/>
          <w:szCs w:val="24"/>
          <w:lang w:eastAsia="en-ZA"/>
        </w:rPr>
        <w:t>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r w:rsidRPr="0068531F">
        <w:rPr>
          <w:rFonts w:ascii="Times New Roman" w:eastAsia="Times New Roman" w:hAnsi="Times New Roman" w:cs="Times New Roman"/>
          <w:sz w:val="24"/>
          <w:szCs w:val="24"/>
          <w:lang w:eastAsia="en-ZA"/>
        </w:rPr>
        <w:t>Rao</w:t>
      </w:r>
      <w:proofErr w:type="spellEnd"/>
      <w:r w:rsidRPr="0068531F">
        <w:rPr>
          <w:rFonts w:ascii="Times New Roman" w:eastAsia="Times New Roman" w:hAnsi="Times New Roman" w:cs="Times New Roman"/>
          <w:sz w:val="24"/>
          <w:szCs w:val="24"/>
          <w:lang w:eastAsia="en-ZA"/>
        </w:rPr>
        <w:t xml:space="preserve">, J., </w:t>
      </w:r>
      <w:proofErr w:type="spellStart"/>
      <w:r w:rsidRPr="0068531F">
        <w:rPr>
          <w:rFonts w:ascii="Times New Roman" w:eastAsia="Times New Roman" w:hAnsi="Times New Roman" w:cs="Times New Roman"/>
          <w:sz w:val="24"/>
          <w:szCs w:val="24"/>
          <w:lang w:eastAsia="en-ZA"/>
        </w:rPr>
        <w:t>Niehof</w:t>
      </w:r>
      <w:proofErr w:type="spellEnd"/>
      <w:r w:rsidRPr="0068531F">
        <w:rPr>
          <w:rFonts w:ascii="Times New Roman" w:eastAsia="Times New Roman" w:hAnsi="Times New Roman" w:cs="Times New Roman"/>
          <w:sz w:val="24"/>
          <w:szCs w:val="24"/>
          <w:lang w:eastAsia="en-ZA"/>
        </w:rPr>
        <w:t xml:space="preserve">, A., Price, L., and </w:t>
      </w:r>
      <w:proofErr w:type="spellStart"/>
      <w:r>
        <w:rPr>
          <w:rFonts w:ascii="Times New Roman" w:eastAsia="Times New Roman" w:hAnsi="Times New Roman" w:cs="Times New Roman"/>
          <w:sz w:val="24"/>
          <w:szCs w:val="24"/>
          <w:lang w:eastAsia="en-ZA"/>
        </w:rPr>
        <w:t>Moerbeek</w:t>
      </w:r>
      <w:proofErr w:type="spellEnd"/>
      <w:r>
        <w:rPr>
          <w:rFonts w:ascii="Times New Roman" w:eastAsia="Times New Roman" w:hAnsi="Times New Roman" w:cs="Times New Roman"/>
          <w:sz w:val="24"/>
          <w:szCs w:val="24"/>
          <w:lang w:eastAsia="en-ZA"/>
        </w:rPr>
        <w:t>, H.</w:t>
      </w:r>
      <w:r w:rsidRPr="0068531F">
        <w:rPr>
          <w:rFonts w:ascii="Times New Roman" w:eastAsia="Times New Roman" w:hAnsi="Times New Roman" w:cs="Times New Roman"/>
          <w:sz w:val="24"/>
          <w:szCs w:val="24"/>
          <w:lang w:eastAsia="en-ZA"/>
        </w:rPr>
        <w:t xml:space="preserve"> 2004. Food Security through the Livelihoods Lens: an integrative approach (the case of less </w:t>
      </w:r>
      <w:proofErr w:type="spellStart"/>
      <w:r w:rsidRPr="0068531F">
        <w:rPr>
          <w:rFonts w:ascii="Times New Roman" w:eastAsia="Times New Roman" w:hAnsi="Times New Roman" w:cs="Times New Roman"/>
          <w:sz w:val="24"/>
          <w:szCs w:val="24"/>
          <w:lang w:eastAsia="en-ZA"/>
        </w:rPr>
        <w:t>favoured</w:t>
      </w:r>
      <w:proofErr w:type="spellEnd"/>
      <w:r w:rsidRPr="0068531F">
        <w:rPr>
          <w:rFonts w:ascii="Times New Roman" w:eastAsia="Times New Roman" w:hAnsi="Times New Roman" w:cs="Times New Roman"/>
          <w:sz w:val="24"/>
          <w:szCs w:val="24"/>
          <w:lang w:eastAsia="en-ZA"/>
        </w:rPr>
        <w:t xml:space="preserve"> areas in the Philippines); </w:t>
      </w:r>
      <w:r>
        <w:rPr>
          <w:rFonts w:ascii="Times New Roman" w:hAnsi="Times New Roman" w:cs="Times New Roman"/>
          <w:bCs/>
          <w:sz w:val="24"/>
          <w:szCs w:val="24"/>
        </w:rPr>
        <w:t>[www document] URL</w:t>
      </w:r>
      <w:r w:rsidRPr="0068531F">
        <w:rPr>
          <w:rFonts w:ascii="Times New Roman" w:hAnsi="Times New Roman" w:cs="Times New Roman"/>
          <w:bCs/>
          <w:sz w:val="24"/>
          <w:szCs w:val="24"/>
        </w:rPr>
        <w:t xml:space="preserve"> </w:t>
      </w:r>
      <w:hyperlink r:id="rId8" w:history="1">
        <w:r w:rsidRPr="0068531F">
          <w:rPr>
            <w:rStyle w:val="Hyperlink"/>
            <w:rFonts w:ascii="Times New Roman" w:eastAsia="Times New Roman" w:hAnsi="Times New Roman" w:cs="Times New Roman"/>
            <w:sz w:val="24"/>
            <w:szCs w:val="24"/>
            <w:lang w:eastAsia="en-ZA"/>
          </w:rPr>
          <w:t>http://www:slswau.nl/mi/response/Rao.pdf</w:t>
        </w:r>
      </w:hyperlink>
      <w:r w:rsidRPr="0068531F">
        <w:rPr>
          <w:rFonts w:ascii="Times New Roman" w:eastAsia="Times New Roman" w:hAnsi="Times New Roman" w:cs="Times New Roman"/>
          <w:sz w:val="24"/>
          <w:szCs w:val="24"/>
          <w:lang w:eastAsia="en-ZA"/>
        </w:rPr>
        <w:t xml:space="preserve"> , Accessed</w:t>
      </w:r>
      <w:r>
        <w:rPr>
          <w:rFonts w:ascii="Times New Roman" w:eastAsia="Times New Roman" w:hAnsi="Times New Roman" w:cs="Times New Roman"/>
          <w:sz w:val="24"/>
          <w:szCs w:val="24"/>
          <w:lang w:eastAsia="en-ZA"/>
        </w:rPr>
        <w:t>,</w:t>
      </w:r>
      <w:r w:rsidRPr="0068531F">
        <w:rPr>
          <w:rFonts w:ascii="Times New Roman" w:eastAsia="Times New Roman" w:hAnsi="Times New Roman" w:cs="Times New Roman"/>
          <w:sz w:val="24"/>
          <w:szCs w:val="24"/>
          <w:lang w:eastAsia="en-ZA"/>
        </w:rPr>
        <w:t xml:space="preserve"> December 2010.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hAnsi="Times New Roman" w:cs="Times New Roman"/>
          <w:sz w:val="24"/>
          <w:szCs w:val="24"/>
        </w:rPr>
        <w:t>Rukuni</w:t>
      </w:r>
      <w:proofErr w:type="spellEnd"/>
      <w:r w:rsidRPr="0068531F">
        <w:rPr>
          <w:rFonts w:ascii="Times New Roman" w:hAnsi="Times New Roman" w:cs="Times New Roman"/>
          <w:sz w:val="24"/>
          <w:szCs w:val="24"/>
        </w:rPr>
        <w:t xml:space="preserve">, M., </w:t>
      </w:r>
      <w:proofErr w:type="spellStart"/>
      <w:r w:rsidRPr="0068531F">
        <w:rPr>
          <w:rFonts w:ascii="Times New Roman" w:hAnsi="Times New Roman" w:cs="Times New Roman"/>
          <w:color w:val="231F20"/>
          <w:sz w:val="24"/>
          <w:szCs w:val="24"/>
        </w:rPr>
        <w:t>Tawonenzi</w:t>
      </w:r>
      <w:proofErr w:type="spellEnd"/>
      <w:r w:rsidRPr="0068531F">
        <w:rPr>
          <w:rFonts w:ascii="Times New Roman" w:hAnsi="Times New Roman" w:cs="Times New Roman"/>
          <w:color w:val="231F20"/>
          <w:sz w:val="24"/>
          <w:szCs w:val="24"/>
        </w:rPr>
        <w:t xml:space="preserve">, P. and </w:t>
      </w:r>
      <w:proofErr w:type="spellStart"/>
      <w:r w:rsidRPr="0068531F">
        <w:rPr>
          <w:rFonts w:ascii="Times New Roman" w:hAnsi="Times New Roman" w:cs="Times New Roman"/>
          <w:color w:val="231F20"/>
          <w:sz w:val="24"/>
          <w:szCs w:val="24"/>
        </w:rPr>
        <w:t>Eicher</w:t>
      </w:r>
      <w:proofErr w:type="spellEnd"/>
      <w:r w:rsidRPr="0068531F">
        <w:rPr>
          <w:rFonts w:ascii="Times New Roman" w:hAnsi="Times New Roman" w:cs="Times New Roman"/>
          <w:color w:val="231F20"/>
          <w:sz w:val="24"/>
          <w:szCs w:val="24"/>
        </w:rPr>
        <w:t>, E.K.</w:t>
      </w:r>
      <w:r w:rsidRPr="0068531F">
        <w:rPr>
          <w:rFonts w:ascii="Times New Roman" w:hAnsi="Times New Roman" w:cs="Times New Roman"/>
          <w:sz w:val="24"/>
          <w:szCs w:val="24"/>
        </w:rPr>
        <w:t xml:space="preserve"> 2006.</w:t>
      </w:r>
      <w:proofErr w:type="gramEnd"/>
      <w:r w:rsidRPr="0068531F">
        <w:rPr>
          <w:rFonts w:ascii="Times New Roman" w:hAnsi="Times New Roman" w:cs="Times New Roman"/>
          <w:sz w:val="24"/>
          <w:szCs w:val="24"/>
        </w:rPr>
        <w:t xml:space="preserve"> </w:t>
      </w:r>
      <w:proofErr w:type="gramStart"/>
      <w:r w:rsidRPr="0068531F">
        <w:rPr>
          <w:rFonts w:ascii="Times New Roman" w:hAnsi="Times New Roman" w:cs="Times New Roman"/>
          <w:i/>
          <w:sz w:val="24"/>
          <w:szCs w:val="24"/>
        </w:rPr>
        <w:t xml:space="preserve">The prime movers of </w:t>
      </w:r>
      <w:r w:rsidRPr="0068531F">
        <w:rPr>
          <w:rFonts w:ascii="Times New Roman" w:hAnsi="Times New Roman" w:cs="Times New Roman"/>
          <w:i/>
          <w:iCs/>
          <w:sz w:val="24"/>
          <w:szCs w:val="24"/>
        </w:rPr>
        <w:t>Zimbabwe’s agricultural revolution.</w:t>
      </w:r>
      <w:proofErr w:type="gramEnd"/>
      <w:r w:rsidRPr="0068531F">
        <w:rPr>
          <w:rFonts w:ascii="Times New Roman" w:hAnsi="Times New Roman" w:cs="Times New Roman"/>
          <w:i/>
          <w:iCs/>
          <w:sz w:val="24"/>
          <w:szCs w:val="24"/>
        </w:rPr>
        <w:t xml:space="preserve"> </w:t>
      </w:r>
      <w:r w:rsidRPr="0068531F">
        <w:rPr>
          <w:rFonts w:ascii="Times New Roman" w:hAnsi="Times New Roman" w:cs="Times New Roman"/>
          <w:i/>
          <w:sz w:val="24"/>
          <w:szCs w:val="24"/>
        </w:rPr>
        <w:t xml:space="preserve">In </w:t>
      </w:r>
      <w:proofErr w:type="spellStart"/>
      <w:r w:rsidRPr="0068531F">
        <w:rPr>
          <w:rFonts w:ascii="Times New Roman" w:hAnsi="Times New Roman" w:cs="Times New Roman"/>
          <w:i/>
          <w:sz w:val="24"/>
          <w:szCs w:val="24"/>
        </w:rPr>
        <w:t>Munyuki-Hungwe</w:t>
      </w:r>
      <w:proofErr w:type="spellEnd"/>
      <w:r w:rsidRPr="0068531F">
        <w:rPr>
          <w:rFonts w:ascii="Times New Roman" w:hAnsi="Times New Roman" w:cs="Times New Roman"/>
          <w:i/>
          <w:sz w:val="24"/>
          <w:szCs w:val="24"/>
        </w:rPr>
        <w:t xml:space="preserve"> M and </w:t>
      </w:r>
      <w:proofErr w:type="spellStart"/>
      <w:r w:rsidRPr="0068531F">
        <w:rPr>
          <w:rFonts w:ascii="Times New Roman" w:hAnsi="Times New Roman" w:cs="Times New Roman"/>
          <w:i/>
          <w:sz w:val="24"/>
          <w:szCs w:val="24"/>
        </w:rPr>
        <w:t>Muatondi</w:t>
      </w:r>
      <w:proofErr w:type="spellEnd"/>
      <w:r w:rsidRPr="0068531F">
        <w:rPr>
          <w:rFonts w:ascii="Times New Roman" w:hAnsi="Times New Roman" w:cs="Times New Roman"/>
          <w:i/>
          <w:sz w:val="24"/>
          <w:szCs w:val="24"/>
        </w:rPr>
        <w:t xml:space="preserve"> P (</w:t>
      </w:r>
      <w:proofErr w:type="spellStart"/>
      <w:r w:rsidRPr="0068531F">
        <w:rPr>
          <w:rFonts w:ascii="Times New Roman" w:hAnsi="Times New Roman" w:cs="Times New Roman"/>
          <w:i/>
          <w:sz w:val="24"/>
          <w:szCs w:val="24"/>
        </w:rPr>
        <w:t>Eds</w:t>
      </w:r>
      <w:proofErr w:type="spellEnd"/>
      <w:r w:rsidRPr="0068531F">
        <w:rPr>
          <w:rFonts w:ascii="Times New Roman" w:hAnsi="Times New Roman" w:cs="Times New Roman"/>
          <w:i/>
          <w:sz w:val="24"/>
          <w:szCs w:val="24"/>
        </w:rPr>
        <w:t>): Zimbabwe’s agricultural revolution revisited.</w:t>
      </w:r>
      <w:r w:rsidRPr="0068531F">
        <w:rPr>
          <w:rFonts w:ascii="Times New Roman" w:hAnsi="Times New Roman" w:cs="Times New Roman"/>
          <w:sz w:val="24"/>
          <w:szCs w:val="24"/>
        </w:rPr>
        <w:t xml:space="preserve"> </w:t>
      </w:r>
      <w:proofErr w:type="gramStart"/>
      <w:r w:rsidRPr="0068531F">
        <w:rPr>
          <w:rFonts w:ascii="Times New Roman" w:hAnsi="Times New Roman" w:cs="Times New Roman"/>
          <w:sz w:val="24"/>
          <w:szCs w:val="24"/>
        </w:rPr>
        <w:t>University of Zimbabwe Publication Harare.</w:t>
      </w:r>
      <w:proofErr w:type="gramEnd"/>
      <w:r w:rsidRPr="0068531F">
        <w:rPr>
          <w:rFonts w:ascii="Times New Roman" w:hAnsi="Times New Roman" w:cs="Times New Roman"/>
          <w:sz w:val="24"/>
          <w:szCs w:val="24"/>
        </w:rPr>
        <w:t xml:space="preserve">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gramStart"/>
      <w:r w:rsidRPr="0068531F">
        <w:rPr>
          <w:rFonts w:ascii="Times New Roman" w:eastAsia="Times New Roman" w:hAnsi="Times New Roman" w:cs="Times New Roman"/>
          <w:sz w:val="24"/>
          <w:szCs w:val="24"/>
          <w:lang w:eastAsia="en-ZA"/>
        </w:rPr>
        <w:t>Samuel, G-S.</w:t>
      </w:r>
      <w:proofErr w:type="gramEnd"/>
      <w:r w:rsidRPr="0068531F">
        <w:rPr>
          <w:rFonts w:ascii="Times New Roman" w:eastAsia="Times New Roman" w:hAnsi="Times New Roman" w:cs="Times New Roman"/>
          <w:sz w:val="24"/>
          <w:szCs w:val="24"/>
          <w:lang w:eastAsia="en-ZA"/>
        </w:rPr>
        <w:t xml:space="preserve"> 2003. Summary report on recent economic and agricultural policy. Paper prepared for the </w:t>
      </w:r>
      <w:r w:rsidRPr="00245C7C">
        <w:rPr>
          <w:rFonts w:ascii="Times New Roman" w:eastAsia="Times New Roman" w:hAnsi="Times New Roman" w:cs="Times New Roman"/>
          <w:i/>
          <w:sz w:val="24"/>
          <w:szCs w:val="24"/>
          <w:lang w:eastAsia="en-ZA"/>
        </w:rPr>
        <w:t>Roles of Agriculture International Conference</w:t>
      </w:r>
      <w:r w:rsidRPr="0068531F">
        <w:rPr>
          <w:rFonts w:ascii="Times New Roman" w:eastAsia="Times New Roman" w:hAnsi="Times New Roman" w:cs="Times New Roman"/>
          <w:sz w:val="24"/>
          <w:szCs w:val="24"/>
          <w:lang w:eastAsia="en-ZA"/>
        </w:rPr>
        <w:t xml:space="preserve"> 20-22 October, 2003 Rome, Italy. </w:t>
      </w:r>
    </w:p>
    <w:p w:rsidR="001F0534" w:rsidRPr="0068531F" w:rsidRDefault="001F0534" w:rsidP="00080788">
      <w:pPr>
        <w:autoSpaceDE w:val="0"/>
        <w:autoSpaceDN w:val="0"/>
        <w:adjustRightInd w:val="0"/>
        <w:spacing w:line="360" w:lineRule="auto"/>
        <w:ind w:left="851" w:hanging="851"/>
        <w:jc w:val="both"/>
        <w:rPr>
          <w:rFonts w:ascii="Times New Roman" w:eastAsia="Times New Roman" w:hAnsi="Times New Roman" w:cs="Times New Roman"/>
          <w:sz w:val="24"/>
          <w:szCs w:val="24"/>
          <w:lang w:eastAsia="en-ZA"/>
        </w:rPr>
      </w:pPr>
      <w:proofErr w:type="spellStart"/>
      <w:proofErr w:type="gramStart"/>
      <w:r w:rsidRPr="0068531F">
        <w:rPr>
          <w:rFonts w:ascii="Times New Roman" w:eastAsia="Times New Roman" w:hAnsi="Times New Roman" w:cs="Times New Roman"/>
          <w:sz w:val="24"/>
          <w:szCs w:val="24"/>
          <w:lang w:eastAsia="en-ZA"/>
        </w:rPr>
        <w:lastRenderedPageBreak/>
        <w:t>Tembo</w:t>
      </w:r>
      <w:proofErr w:type="spellEnd"/>
      <w:r w:rsidRPr="0068531F">
        <w:rPr>
          <w:rFonts w:ascii="Times New Roman" w:eastAsia="Times New Roman" w:hAnsi="Times New Roman" w:cs="Times New Roman"/>
          <w:sz w:val="24"/>
          <w:szCs w:val="24"/>
          <w:lang w:eastAsia="en-ZA"/>
        </w:rPr>
        <w:t xml:space="preserve">, G., </w:t>
      </w:r>
      <w:proofErr w:type="spellStart"/>
      <w:r w:rsidRPr="0068531F">
        <w:rPr>
          <w:rFonts w:ascii="Times New Roman" w:eastAsia="Times New Roman" w:hAnsi="Times New Roman" w:cs="Times New Roman"/>
          <w:sz w:val="24"/>
          <w:szCs w:val="24"/>
          <w:lang w:eastAsia="en-ZA"/>
        </w:rPr>
        <w:t>Bandyopadhyay</w:t>
      </w:r>
      <w:proofErr w:type="spellEnd"/>
      <w:r w:rsidRPr="0068531F">
        <w:rPr>
          <w:rFonts w:ascii="Times New Roman" w:eastAsia="Times New Roman" w:hAnsi="Times New Roman" w:cs="Times New Roman"/>
          <w:sz w:val="24"/>
          <w:szCs w:val="24"/>
          <w:lang w:eastAsia="en-ZA"/>
        </w:rPr>
        <w:t xml:space="preserve">, S., and </w:t>
      </w:r>
      <w:proofErr w:type="spellStart"/>
      <w:r w:rsidRPr="0068531F">
        <w:rPr>
          <w:rFonts w:ascii="Times New Roman" w:eastAsia="Times New Roman" w:hAnsi="Times New Roman" w:cs="Times New Roman"/>
          <w:sz w:val="24"/>
          <w:szCs w:val="24"/>
          <w:lang w:eastAsia="en-ZA"/>
        </w:rPr>
        <w:t>Pavy</w:t>
      </w:r>
      <w:proofErr w:type="spellEnd"/>
      <w:r w:rsidRPr="0068531F">
        <w:rPr>
          <w:rFonts w:ascii="Times New Roman" w:eastAsia="Times New Roman" w:hAnsi="Times New Roman" w:cs="Times New Roman"/>
          <w:sz w:val="24"/>
          <w:szCs w:val="24"/>
          <w:lang w:eastAsia="en-ZA"/>
        </w:rPr>
        <w:t xml:space="preserve"> J-M.</w:t>
      </w:r>
      <w:proofErr w:type="gramEnd"/>
      <w:r w:rsidRPr="0068531F">
        <w:rPr>
          <w:rFonts w:ascii="Times New Roman" w:eastAsia="Times New Roman" w:hAnsi="Times New Roman" w:cs="Times New Roman"/>
          <w:sz w:val="24"/>
          <w:szCs w:val="24"/>
          <w:lang w:eastAsia="en-ZA"/>
        </w:rPr>
        <w:t xml:space="preserve"> 2009. Policy Synthesis Project – Zambia. </w:t>
      </w:r>
      <w:proofErr w:type="gramStart"/>
      <w:r w:rsidRPr="0068531F">
        <w:rPr>
          <w:rFonts w:ascii="Times New Roman" w:eastAsia="Times New Roman" w:hAnsi="Times New Roman" w:cs="Times New Roman"/>
          <w:sz w:val="24"/>
          <w:szCs w:val="24"/>
          <w:lang w:eastAsia="en-ZA"/>
        </w:rPr>
        <w:t>Ministry of Agriculture and Cooperatives, Agricultural Consultative Forum and Michigan State University, Lusaka, Zambia.</w:t>
      </w:r>
      <w:proofErr w:type="gramEnd"/>
      <w:r w:rsidRPr="0068531F">
        <w:rPr>
          <w:rFonts w:ascii="Times New Roman" w:eastAsia="Times New Roman" w:hAnsi="Times New Roman" w:cs="Times New Roman"/>
          <w:sz w:val="24"/>
          <w:szCs w:val="24"/>
          <w:lang w:eastAsia="en-ZA"/>
        </w:rPr>
        <w:t xml:space="preserve"> </w:t>
      </w:r>
      <w:proofErr w:type="gramStart"/>
      <w:r w:rsidRPr="0068531F">
        <w:rPr>
          <w:rFonts w:ascii="Times New Roman" w:eastAsia="Times New Roman" w:hAnsi="Times New Roman" w:cs="Times New Roman"/>
          <w:sz w:val="24"/>
          <w:szCs w:val="24"/>
          <w:lang w:eastAsia="en-ZA"/>
        </w:rPr>
        <w:t xml:space="preserve">No. 35; </w:t>
      </w:r>
      <w:r>
        <w:rPr>
          <w:rFonts w:ascii="Times New Roman" w:hAnsi="Times New Roman" w:cs="Times New Roman"/>
          <w:bCs/>
          <w:sz w:val="24"/>
          <w:szCs w:val="24"/>
        </w:rPr>
        <w:t>[www document] URL</w:t>
      </w:r>
      <w:r w:rsidRPr="0068531F">
        <w:rPr>
          <w:rFonts w:ascii="Times New Roman" w:hAnsi="Times New Roman" w:cs="Times New Roman"/>
          <w:bCs/>
          <w:sz w:val="24"/>
          <w:szCs w:val="24"/>
        </w:rPr>
        <w:t xml:space="preserve"> </w:t>
      </w:r>
      <w:hyperlink r:id="rId9" w:history="1">
        <w:r w:rsidRPr="0068531F">
          <w:rPr>
            <w:rStyle w:val="Hyperlink"/>
            <w:rFonts w:ascii="Times New Roman" w:hAnsi="Times New Roman" w:cs="Times New Roman"/>
            <w:sz w:val="24"/>
            <w:szCs w:val="24"/>
            <w:lang w:val="en-GB" w:eastAsia="en-ZA"/>
          </w:rPr>
          <w:t>http://www.aec.msu.edu/agecon/fs2/zambia/ondex.htm</w:t>
        </w:r>
      </w:hyperlink>
      <w:r w:rsidRPr="0068531F">
        <w:rPr>
          <w:rStyle w:val="Heading3Char"/>
          <w:rFonts w:ascii="Times New Roman" w:hAnsi="Times New Roman"/>
          <w:sz w:val="24"/>
          <w:szCs w:val="24"/>
          <w:lang w:eastAsia="en-ZA"/>
        </w:rPr>
        <w:t xml:space="preserve"> ,</w:t>
      </w:r>
      <w:r w:rsidRPr="0068531F">
        <w:rPr>
          <w:rFonts w:ascii="Times New Roman" w:hAnsi="Times New Roman" w:cs="Times New Roman"/>
          <w:sz w:val="24"/>
          <w:szCs w:val="24"/>
        </w:rPr>
        <w:t xml:space="preserve"> </w:t>
      </w:r>
      <w:r w:rsidRPr="0068531F">
        <w:rPr>
          <w:rFonts w:ascii="Times New Roman" w:eastAsia="Times New Roman" w:hAnsi="Times New Roman" w:cs="Times New Roman"/>
          <w:sz w:val="24"/>
          <w:szCs w:val="24"/>
          <w:lang w:eastAsia="en-ZA"/>
        </w:rPr>
        <w:t>Accessed</w:t>
      </w:r>
      <w:r>
        <w:rPr>
          <w:rFonts w:ascii="Times New Roman" w:eastAsia="Times New Roman" w:hAnsi="Times New Roman" w:cs="Times New Roman"/>
          <w:sz w:val="24"/>
          <w:szCs w:val="24"/>
          <w:lang w:eastAsia="en-ZA"/>
        </w:rPr>
        <w:t>,</w:t>
      </w:r>
      <w:r w:rsidRPr="0068531F">
        <w:rPr>
          <w:rFonts w:ascii="Times New Roman" w:eastAsia="Times New Roman" w:hAnsi="Times New Roman" w:cs="Times New Roman"/>
          <w:sz w:val="24"/>
          <w:szCs w:val="24"/>
          <w:lang w:eastAsia="en-ZA"/>
        </w:rPr>
        <w:t xml:space="preserve"> February 2011.</w:t>
      </w:r>
      <w:proofErr w:type="gramEnd"/>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iCs/>
          <w:sz w:val="24"/>
          <w:szCs w:val="24"/>
        </w:rPr>
      </w:pPr>
      <w:r w:rsidRPr="0068531F">
        <w:rPr>
          <w:rFonts w:ascii="Times New Roman" w:hAnsi="Times New Roman" w:cs="Times New Roman"/>
          <w:sz w:val="24"/>
          <w:szCs w:val="24"/>
        </w:rPr>
        <w:t xml:space="preserve">Valentine, T. 1993. Drought, Transfer Entitlements, and Income Distribution: The Botswana Experience. </w:t>
      </w:r>
      <w:r w:rsidRPr="0068531F">
        <w:rPr>
          <w:rFonts w:ascii="Times New Roman" w:hAnsi="Times New Roman" w:cs="Times New Roman"/>
          <w:bCs/>
          <w:i/>
          <w:sz w:val="24"/>
          <w:szCs w:val="24"/>
        </w:rPr>
        <w:t>World Development</w:t>
      </w:r>
      <w:r w:rsidRPr="0068531F">
        <w:rPr>
          <w:rFonts w:ascii="Times New Roman" w:hAnsi="Times New Roman" w:cs="Times New Roman"/>
          <w:i/>
          <w:sz w:val="24"/>
          <w:szCs w:val="24"/>
        </w:rPr>
        <w:t xml:space="preserve">, </w:t>
      </w:r>
      <w:r w:rsidRPr="0068531F">
        <w:rPr>
          <w:rFonts w:ascii="Times New Roman" w:hAnsi="Times New Roman" w:cs="Times New Roman"/>
          <w:sz w:val="24"/>
          <w:szCs w:val="24"/>
        </w:rPr>
        <w:t>21 (1), 109-126.</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proofErr w:type="gramStart"/>
      <w:r w:rsidRPr="0068531F">
        <w:rPr>
          <w:rFonts w:ascii="Times New Roman" w:hAnsi="Times New Roman" w:cs="Times New Roman"/>
          <w:iCs/>
          <w:sz w:val="24"/>
          <w:szCs w:val="24"/>
        </w:rPr>
        <w:t>Varughese</w:t>
      </w:r>
      <w:proofErr w:type="spellEnd"/>
      <w:r w:rsidRPr="0068531F">
        <w:rPr>
          <w:rFonts w:ascii="Times New Roman" w:hAnsi="Times New Roman" w:cs="Times New Roman"/>
          <w:iCs/>
          <w:sz w:val="24"/>
          <w:szCs w:val="24"/>
        </w:rPr>
        <w:t xml:space="preserve">, G. and </w:t>
      </w:r>
      <w:proofErr w:type="spellStart"/>
      <w:r w:rsidRPr="0068531F">
        <w:rPr>
          <w:rFonts w:ascii="Times New Roman" w:hAnsi="Times New Roman" w:cs="Times New Roman"/>
          <w:iCs/>
          <w:sz w:val="24"/>
          <w:szCs w:val="24"/>
        </w:rPr>
        <w:t>Ostrom</w:t>
      </w:r>
      <w:proofErr w:type="spellEnd"/>
      <w:r w:rsidRPr="0068531F">
        <w:rPr>
          <w:rFonts w:ascii="Times New Roman" w:hAnsi="Times New Roman" w:cs="Times New Roman"/>
          <w:iCs/>
          <w:sz w:val="24"/>
          <w:szCs w:val="24"/>
        </w:rPr>
        <w:t>, E. 2001.</w:t>
      </w:r>
      <w:proofErr w:type="gramEnd"/>
      <w:r w:rsidRPr="0068531F">
        <w:rPr>
          <w:rFonts w:ascii="Times New Roman" w:hAnsi="Times New Roman" w:cs="Times New Roman"/>
          <w:iCs/>
          <w:sz w:val="24"/>
          <w:szCs w:val="24"/>
        </w:rPr>
        <w:t xml:space="preserve"> The contested role of heterogeneity in collective action: some evidence from community forestry in Nepal. </w:t>
      </w:r>
      <w:r w:rsidRPr="0068531F">
        <w:rPr>
          <w:rFonts w:ascii="Times New Roman" w:hAnsi="Times New Roman" w:cs="Times New Roman"/>
          <w:i/>
          <w:iCs/>
          <w:sz w:val="24"/>
          <w:szCs w:val="24"/>
        </w:rPr>
        <w:t>World Development,</w:t>
      </w:r>
      <w:r w:rsidRPr="0068531F">
        <w:rPr>
          <w:rFonts w:ascii="Times New Roman" w:hAnsi="Times New Roman" w:cs="Times New Roman"/>
          <w:iCs/>
          <w:sz w:val="24"/>
          <w:szCs w:val="24"/>
        </w:rPr>
        <w:t xml:space="preserve"> 29, 747-765.</w:t>
      </w:r>
    </w:p>
    <w:p w:rsidR="001F0534" w:rsidRPr="0068531F" w:rsidRDefault="001F0534" w:rsidP="00080788">
      <w:pPr>
        <w:autoSpaceDE w:val="0"/>
        <w:autoSpaceDN w:val="0"/>
        <w:adjustRightInd w:val="0"/>
        <w:spacing w:line="360" w:lineRule="auto"/>
        <w:ind w:left="851" w:hanging="851"/>
        <w:jc w:val="both"/>
        <w:rPr>
          <w:rFonts w:ascii="Times New Roman" w:hAnsi="Times New Roman" w:cs="Times New Roman"/>
          <w:sz w:val="24"/>
          <w:szCs w:val="24"/>
        </w:rPr>
      </w:pPr>
      <w:proofErr w:type="spellStart"/>
      <w:r w:rsidRPr="0068531F">
        <w:rPr>
          <w:rFonts w:ascii="Times New Roman" w:hAnsi="Times New Roman" w:cs="Times New Roman"/>
          <w:sz w:val="24"/>
          <w:szCs w:val="24"/>
        </w:rPr>
        <w:t>Vedeld</w:t>
      </w:r>
      <w:proofErr w:type="spellEnd"/>
      <w:r w:rsidRPr="0068531F">
        <w:rPr>
          <w:rFonts w:ascii="Times New Roman" w:hAnsi="Times New Roman" w:cs="Times New Roman"/>
          <w:sz w:val="24"/>
          <w:szCs w:val="24"/>
        </w:rPr>
        <w:t xml:space="preserve">, A., </w:t>
      </w:r>
      <w:proofErr w:type="spellStart"/>
      <w:r w:rsidRPr="0068531F">
        <w:rPr>
          <w:rFonts w:ascii="Times New Roman" w:hAnsi="Times New Roman" w:cs="Times New Roman"/>
          <w:sz w:val="24"/>
          <w:szCs w:val="24"/>
        </w:rPr>
        <w:t>Angelsen</w:t>
      </w:r>
      <w:proofErr w:type="spellEnd"/>
      <w:r w:rsidRPr="0068531F">
        <w:rPr>
          <w:rFonts w:ascii="Times New Roman" w:hAnsi="Times New Roman" w:cs="Times New Roman"/>
          <w:sz w:val="24"/>
          <w:szCs w:val="24"/>
        </w:rPr>
        <w:t xml:space="preserve">, A., </w:t>
      </w:r>
      <w:proofErr w:type="spellStart"/>
      <w:r w:rsidRPr="0068531F">
        <w:rPr>
          <w:rFonts w:ascii="Times New Roman" w:hAnsi="Times New Roman" w:cs="Times New Roman"/>
          <w:sz w:val="24"/>
          <w:szCs w:val="24"/>
        </w:rPr>
        <w:t>Sjaastad</w:t>
      </w:r>
      <w:proofErr w:type="spellEnd"/>
      <w:r w:rsidRPr="0068531F">
        <w:rPr>
          <w:rFonts w:ascii="Times New Roman" w:hAnsi="Times New Roman" w:cs="Times New Roman"/>
          <w:sz w:val="24"/>
          <w:szCs w:val="24"/>
        </w:rPr>
        <w:t xml:space="preserve">, E. and </w:t>
      </w:r>
      <w:proofErr w:type="spellStart"/>
      <w:r w:rsidRPr="0068531F">
        <w:rPr>
          <w:rFonts w:ascii="Times New Roman" w:hAnsi="Times New Roman" w:cs="Times New Roman"/>
          <w:sz w:val="24"/>
          <w:szCs w:val="24"/>
        </w:rPr>
        <w:t>Kobugare</w:t>
      </w:r>
      <w:proofErr w:type="spellEnd"/>
      <w:r w:rsidRPr="0068531F">
        <w:rPr>
          <w:rFonts w:ascii="Times New Roman" w:hAnsi="Times New Roman" w:cs="Times New Roman"/>
          <w:sz w:val="24"/>
          <w:szCs w:val="24"/>
        </w:rPr>
        <w:t xml:space="preserve"> Beg, G. 2004. </w:t>
      </w:r>
      <w:proofErr w:type="gramStart"/>
      <w:r w:rsidRPr="0068531F">
        <w:rPr>
          <w:rFonts w:ascii="Times New Roman" w:hAnsi="Times New Roman" w:cs="Times New Roman"/>
          <w:sz w:val="24"/>
          <w:szCs w:val="24"/>
        </w:rPr>
        <w:t>Counting on the environment: Forest incomes and the rural poor.</w:t>
      </w:r>
      <w:proofErr w:type="gramEnd"/>
      <w:r w:rsidRPr="0068531F">
        <w:rPr>
          <w:rFonts w:ascii="Times New Roman" w:hAnsi="Times New Roman" w:cs="Times New Roman"/>
          <w:sz w:val="24"/>
          <w:szCs w:val="24"/>
        </w:rPr>
        <w:t xml:space="preserve"> The World Bank Environment Department, Environmental Economics Series, Paper No. 98. Washington DC.</w:t>
      </w:r>
    </w:p>
    <w:p w:rsidR="006A1D4E" w:rsidRDefault="001F0534" w:rsidP="00080788">
      <w:pPr>
        <w:spacing w:line="360" w:lineRule="auto"/>
        <w:ind w:left="851" w:hanging="851"/>
        <w:jc w:val="both"/>
      </w:pPr>
      <w:proofErr w:type="spellStart"/>
      <w:r w:rsidRPr="0068531F">
        <w:rPr>
          <w:rFonts w:ascii="Times New Roman" w:hAnsi="Times New Roman" w:cs="Times New Roman"/>
          <w:sz w:val="24"/>
          <w:szCs w:val="24"/>
        </w:rPr>
        <w:t>Wasser</w:t>
      </w:r>
      <w:proofErr w:type="spellEnd"/>
      <w:r w:rsidRPr="0068531F">
        <w:rPr>
          <w:rFonts w:ascii="Times New Roman" w:hAnsi="Times New Roman" w:cs="Times New Roman"/>
          <w:sz w:val="24"/>
          <w:szCs w:val="24"/>
        </w:rPr>
        <w:t xml:space="preserve">, S., Poole, J., Lee, P., Lindsay, K., Dobson, A., Hart, J., Douglas-Hamilton, I., </w:t>
      </w:r>
      <w:proofErr w:type="spellStart"/>
      <w:r w:rsidRPr="0068531F">
        <w:rPr>
          <w:rFonts w:ascii="Times New Roman" w:hAnsi="Times New Roman" w:cs="Times New Roman"/>
          <w:sz w:val="24"/>
          <w:szCs w:val="24"/>
        </w:rPr>
        <w:t>Wittemyer</w:t>
      </w:r>
      <w:proofErr w:type="spellEnd"/>
      <w:r w:rsidRPr="0068531F">
        <w:rPr>
          <w:rFonts w:ascii="Times New Roman" w:hAnsi="Times New Roman" w:cs="Times New Roman"/>
          <w:sz w:val="24"/>
          <w:szCs w:val="24"/>
        </w:rPr>
        <w:t xml:space="preserve">, G., </w:t>
      </w:r>
      <w:proofErr w:type="spellStart"/>
      <w:r w:rsidRPr="0068531F">
        <w:rPr>
          <w:rFonts w:ascii="Times New Roman" w:hAnsi="Times New Roman" w:cs="Times New Roman"/>
          <w:sz w:val="24"/>
          <w:szCs w:val="24"/>
        </w:rPr>
        <w:t>Granli</w:t>
      </w:r>
      <w:proofErr w:type="spellEnd"/>
      <w:r w:rsidRPr="0068531F">
        <w:rPr>
          <w:rFonts w:ascii="Times New Roman" w:hAnsi="Times New Roman" w:cs="Times New Roman"/>
          <w:sz w:val="24"/>
          <w:szCs w:val="24"/>
        </w:rPr>
        <w:t xml:space="preserve">, P., Morgan, B., Gunn, J., </w:t>
      </w:r>
      <w:proofErr w:type="spellStart"/>
      <w:r w:rsidRPr="0068531F">
        <w:rPr>
          <w:rFonts w:ascii="Times New Roman" w:hAnsi="Times New Roman" w:cs="Times New Roman"/>
          <w:sz w:val="24"/>
          <w:szCs w:val="24"/>
        </w:rPr>
        <w:t>Alberts</w:t>
      </w:r>
      <w:proofErr w:type="spellEnd"/>
      <w:r w:rsidRPr="0068531F">
        <w:rPr>
          <w:rFonts w:ascii="Times New Roman" w:hAnsi="Times New Roman" w:cs="Times New Roman"/>
          <w:sz w:val="24"/>
          <w:szCs w:val="24"/>
        </w:rPr>
        <w:t xml:space="preserve">, S., </w:t>
      </w:r>
      <w:proofErr w:type="spellStart"/>
      <w:r w:rsidRPr="0068531F">
        <w:rPr>
          <w:rFonts w:ascii="Times New Roman" w:hAnsi="Times New Roman" w:cs="Times New Roman"/>
          <w:sz w:val="24"/>
          <w:szCs w:val="24"/>
        </w:rPr>
        <w:t>Beyers</w:t>
      </w:r>
      <w:proofErr w:type="spellEnd"/>
      <w:r w:rsidRPr="0068531F">
        <w:rPr>
          <w:rFonts w:ascii="Times New Roman" w:hAnsi="Times New Roman" w:cs="Times New Roman"/>
          <w:sz w:val="24"/>
          <w:szCs w:val="24"/>
        </w:rPr>
        <w:t xml:space="preserve">, R., </w:t>
      </w:r>
      <w:proofErr w:type="spellStart"/>
      <w:r w:rsidRPr="0068531F">
        <w:rPr>
          <w:rFonts w:ascii="Times New Roman" w:hAnsi="Times New Roman" w:cs="Times New Roman"/>
          <w:sz w:val="24"/>
          <w:szCs w:val="24"/>
        </w:rPr>
        <w:t>Chiyo</w:t>
      </w:r>
      <w:proofErr w:type="spellEnd"/>
      <w:r w:rsidRPr="0068531F">
        <w:rPr>
          <w:rFonts w:ascii="Times New Roman" w:hAnsi="Times New Roman" w:cs="Times New Roman"/>
          <w:sz w:val="24"/>
          <w:szCs w:val="24"/>
        </w:rPr>
        <w:t xml:space="preserve">, P., </w:t>
      </w:r>
      <w:proofErr w:type="spellStart"/>
      <w:r w:rsidRPr="0068531F">
        <w:rPr>
          <w:rFonts w:ascii="Times New Roman" w:hAnsi="Times New Roman" w:cs="Times New Roman"/>
          <w:sz w:val="24"/>
          <w:szCs w:val="24"/>
        </w:rPr>
        <w:t>Croze</w:t>
      </w:r>
      <w:proofErr w:type="spellEnd"/>
      <w:r w:rsidRPr="0068531F">
        <w:rPr>
          <w:rFonts w:ascii="Times New Roman" w:hAnsi="Times New Roman" w:cs="Times New Roman"/>
          <w:sz w:val="24"/>
          <w:szCs w:val="24"/>
        </w:rPr>
        <w:t xml:space="preserve">, H., Estes, R., </w:t>
      </w:r>
      <w:proofErr w:type="spellStart"/>
      <w:r w:rsidRPr="0068531F">
        <w:rPr>
          <w:rFonts w:ascii="Times New Roman" w:hAnsi="Times New Roman" w:cs="Times New Roman"/>
          <w:sz w:val="24"/>
          <w:szCs w:val="24"/>
        </w:rPr>
        <w:t>Gobush</w:t>
      </w:r>
      <w:proofErr w:type="spellEnd"/>
      <w:r w:rsidRPr="0068531F">
        <w:rPr>
          <w:rFonts w:ascii="Times New Roman" w:hAnsi="Times New Roman" w:cs="Times New Roman"/>
          <w:sz w:val="24"/>
          <w:szCs w:val="24"/>
        </w:rPr>
        <w:t xml:space="preserve">, K., </w:t>
      </w:r>
      <w:proofErr w:type="spellStart"/>
      <w:r w:rsidRPr="0068531F">
        <w:rPr>
          <w:rFonts w:ascii="Times New Roman" w:hAnsi="Times New Roman" w:cs="Times New Roman"/>
          <w:sz w:val="24"/>
          <w:szCs w:val="24"/>
        </w:rPr>
        <w:t>Joram</w:t>
      </w:r>
      <w:proofErr w:type="spellEnd"/>
      <w:r w:rsidRPr="0068531F">
        <w:rPr>
          <w:rFonts w:ascii="Times New Roman" w:hAnsi="Times New Roman" w:cs="Times New Roman"/>
          <w:sz w:val="24"/>
          <w:szCs w:val="24"/>
        </w:rPr>
        <w:t xml:space="preserve">, P., </w:t>
      </w:r>
      <w:proofErr w:type="spellStart"/>
      <w:r w:rsidRPr="0068531F">
        <w:rPr>
          <w:rFonts w:ascii="Times New Roman" w:hAnsi="Times New Roman" w:cs="Times New Roman"/>
          <w:sz w:val="24"/>
          <w:szCs w:val="24"/>
        </w:rPr>
        <w:t>Kikoti</w:t>
      </w:r>
      <w:proofErr w:type="spellEnd"/>
      <w:r w:rsidRPr="0068531F">
        <w:rPr>
          <w:rFonts w:ascii="Times New Roman" w:hAnsi="Times New Roman" w:cs="Times New Roman"/>
          <w:sz w:val="24"/>
          <w:szCs w:val="24"/>
        </w:rPr>
        <w:t xml:space="preserve">, A., Kingdom, J., King, L., Macdonald, D., Moss, C., </w:t>
      </w:r>
      <w:proofErr w:type="spellStart"/>
      <w:r w:rsidRPr="0068531F">
        <w:rPr>
          <w:rFonts w:ascii="Times New Roman" w:hAnsi="Times New Roman" w:cs="Times New Roman"/>
          <w:sz w:val="24"/>
          <w:szCs w:val="24"/>
        </w:rPr>
        <w:t>Mutayoba</w:t>
      </w:r>
      <w:proofErr w:type="spellEnd"/>
      <w:r w:rsidRPr="0068531F">
        <w:rPr>
          <w:rFonts w:ascii="Times New Roman" w:hAnsi="Times New Roman" w:cs="Times New Roman"/>
          <w:sz w:val="24"/>
          <w:szCs w:val="24"/>
        </w:rPr>
        <w:t xml:space="preserve">, B., </w:t>
      </w:r>
      <w:proofErr w:type="spellStart"/>
      <w:r w:rsidRPr="0068531F">
        <w:rPr>
          <w:rFonts w:ascii="Times New Roman" w:hAnsi="Times New Roman" w:cs="Times New Roman"/>
          <w:sz w:val="24"/>
          <w:szCs w:val="24"/>
        </w:rPr>
        <w:t>Njumbi</w:t>
      </w:r>
      <w:proofErr w:type="spellEnd"/>
      <w:r w:rsidRPr="0068531F">
        <w:rPr>
          <w:rFonts w:ascii="Times New Roman" w:hAnsi="Times New Roman" w:cs="Times New Roman"/>
          <w:sz w:val="24"/>
          <w:szCs w:val="24"/>
        </w:rPr>
        <w:t xml:space="preserve">, S., </w:t>
      </w:r>
      <w:proofErr w:type="spellStart"/>
      <w:r w:rsidRPr="0068531F">
        <w:rPr>
          <w:rFonts w:ascii="Times New Roman" w:hAnsi="Times New Roman" w:cs="Times New Roman"/>
          <w:sz w:val="24"/>
          <w:szCs w:val="24"/>
        </w:rPr>
        <w:t>Omondi</w:t>
      </w:r>
      <w:proofErr w:type="spellEnd"/>
      <w:r w:rsidRPr="0068531F">
        <w:rPr>
          <w:rFonts w:ascii="Times New Roman" w:hAnsi="Times New Roman" w:cs="Times New Roman"/>
          <w:sz w:val="24"/>
          <w:szCs w:val="24"/>
        </w:rPr>
        <w:t xml:space="preserve">, P. and Nowak, K. 2010. Elephants, Ivory, and Trade: </w:t>
      </w:r>
      <w:r>
        <w:rPr>
          <w:rFonts w:ascii="Times New Roman" w:hAnsi="Times New Roman" w:cs="Times New Roman"/>
          <w:bCs/>
          <w:sz w:val="24"/>
          <w:szCs w:val="24"/>
        </w:rPr>
        <w:t>[www document] URL</w:t>
      </w:r>
      <w:r w:rsidRPr="0068531F">
        <w:rPr>
          <w:rFonts w:ascii="Times New Roman" w:hAnsi="Times New Roman" w:cs="Times New Roman"/>
          <w:bCs/>
          <w:sz w:val="24"/>
          <w:szCs w:val="24"/>
        </w:rPr>
        <w:t xml:space="preserve"> </w:t>
      </w:r>
      <w:hyperlink r:id="rId10" w:history="1">
        <w:r w:rsidRPr="0068531F">
          <w:rPr>
            <w:rStyle w:val="Hyperlink"/>
            <w:rFonts w:ascii="Times New Roman" w:hAnsi="Times New Roman" w:cs="Times New Roman"/>
            <w:sz w:val="24"/>
            <w:szCs w:val="24"/>
          </w:rPr>
          <w:t>http://www.sciencemag.org/cgi/content/short/327/5971/1331</w:t>
        </w:r>
      </w:hyperlink>
      <w:r>
        <w:rPr>
          <w:rFonts w:ascii="Times New Roman" w:hAnsi="Times New Roman" w:cs="Times New Roman"/>
          <w:sz w:val="24"/>
          <w:szCs w:val="24"/>
        </w:rPr>
        <w:t xml:space="preserve"> , Accessed, </w:t>
      </w:r>
      <w:r w:rsidRPr="0068531F">
        <w:rPr>
          <w:rFonts w:ascii="Times New Roman" w:hAnsi="Times New Roman" w:cs="Times New Roman"/>
          <w:sz w:val="24"/>
          <w:szCs w:val="24"/>
        </w:rPr>
        <w:t>May 2010.</w:t>
      </w:r>
    </w:p>
    <w:sectPr w:rsidR="006A1D4E" w:rsidSect="006A1D4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9D" w:rsidRDefault="00A82A9D" w:rsidP="001F0534">
      <w:pPr>
        <w:spacing w:after="0" w:line="240" w:lineRule="auto"/>
      </w:pPr>
      <w:r>
        <w:separator/>
      </w:r>
    </w:p>
  </w:endnote>
  <w:endnote w:type="continuationSeparator" w:id="0">
    <w:p w:rsidR="00A82A9D" w:rsidRDefault="00A82A9D" w:rsidP="001F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BMBE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BMBB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8117"/>
      <w:docPartObj>
        <w:docPartGallery w:val="Page Numbers (Bottom of Page)"/>
        <w:docPartUnique/>
      </w:docPartObj>
    </w:sdtPr>
    <w:sdtEndPr>
      <w:rPr>
        <w:color w:val="7F7F7F" w:themeColor="background1" w:themeShade="7F"/>
        <w:spacing w:val="60"/>
      </w:rPr>
    </w:sdtEndPr>
    <w:sdtContent>
      <w:p w:rsidR="00C2367D" w:rsidRDefault="007170DA">
        <w:pPr>
          <w:pStyle w:val="Footer"/>
          <w:pBdr>
            <w:top w:val="single" w:sz="4" w:space="1" w:color="D9D9D9" w:themeColor="background1" w:themeShade="D9"/>
          </w:pBdr>
          <w:rPr>
            <w:b/>
          </w:rPr>
        </w:pPr>
        <w:r w:rsidRPr="007170DA">
          <w:fldChar w:fldCharType="begin"/>
        </w:r>
        <w:r w:rsidR="00AA5228">
          <w:instrText xml:space="preserve"> PAGE   \* MERGEFORMAT </w:instrText>
        </w:r>
        <w:r w:rsidRPr="007170DA">
          <w:fldChar w:fldCharType="separate"/>
        </w:r>
        <w:r w:rsidR="0021441A" w:rsidRPr="0021441A">
          <w:rPr>
            <w:b/>
            <w:noProof/>
          </w:rPr>
          <w:t>1</w:t>
        </w:r>
        <w:r>
          <w:rPr>
            <w:b/>
            <w:noProof/>
          </w:rPr>
          <w:fldChar w:fldCharType="end"/>
        </w:r>
        <w:r w:rsidR="00C2367D">
          <w:rPr>
            <w:b/>
          </w:rPr>
          <w:t xml:space="preserve"> | </w:t>
        </w:r>
        <w:r w:rsidR="00C2367D">
          <w:rPr>
            <w:color w:val="7F7F7F" w:themeColor="background1" w:themeShade="7F"/>
            <w:spacing w:val="60"/>
          </w:rPr>
          <w:t>Page</w:t>
        </w:r>
      </w:p>
    </w:sdtContent>
  </w:sdt>
  <w:p w:rsidR="00C2367D" w:rsidRDefault="00C23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9D" w:rsidRDefault="00A82A9D" w:rsidP="001F0534">
      <w:pPr>
        <w:spacing w:after="0" w:line="240" w:lineRule="auto"/>
      </w:pPr>
      <w:r>
        <w:separator/>
      </w:r>
    </w:p>
  </w:footnote>
  <w:footnote w:type="continuationSeparator" w:id="0">
    <w:p w:rsidR="00A82A9D" w:rsidRDefault="00A82A9D" w:rsidP="001F0534">
      <w:pPr>
        <w:spacing w:after="0" w:line="240" w:lineRule="auto"/>
      </w:pPr>
      <w:r>
        <w:continuationSeparator/>
      </w:r>
    </w:p>
  </w:footnote>
  <w:footnote w:id="1">
    <w:p w:rsidR="001F0534" w:rsidRPr="002D2EBA" w:rsidRDefault="001F0534" w:rsidP="001F0534">
      <w:pPr>
        <w:ind w:left="142" w:hanging="142"/>
        <w:jc w:val="both"/>
        <w:rPr>
          <w:rFonts w:ascii="Times New Roman" w:hAnsi="Times New Roman" w:cs="Times New Roman"/>
          <w:sz w:val="16"/>
          <w:szCs w:val="16"/>
        </w:rPr>
      </w:pPr>
      <w:r w:rsidRPr="002D2EBA">
        <w:rPr>
          <w:rFonts w:ascii="Times New Roman" w:hAnsi="Times New Roman" w:cs="Times New Roman"/>
          <w:sz w:val="16"/>
          <w:szCs w:val="16"/>
          <w:vertAlign w:val="superscript"/>
        </w:rPr>
        <w:footnoteRef/>
      </w:r>
      <w:r w:rsidRPr="002D2EBA">
        <w:rPr>
          <w:rFonts w:ascii="Times New Roman" w:hAnsi="Times New Roman" w:cs="Times New Roman"/>
          <w:sz w:val="16"/>
          <w:szCs w:val="16"/>
        </w:rPr>
        <w:t xml:space="preserve"> The IIA assumption requires that the likelihood of a household using a certain adaptation strategy needs to be independent of alternative adaptation strategies used by the same household. Thus, the IIA assumption implies independent and </w:t>
      </w:r>
      <w:proofErr w:type="spellStart"/>
      <w:r w:rsidRPr="002D2EBA">
        <w:rPr>
          <w:rFonts w:ascii="Times New Roman" w:hAnsi="Times New Roman" w:cs="Times New Roman"/>
          <w:sz w:val="16"/>
          <w:szCs w:val="16"/>
        </w:rPr>
        <w:t>homoscedastic</w:t>
      </w:r>
      <w:proofErr w:type="spellEnd"/>
      <w:r w:rsidRPr="002D2EBA">
        <w:rPr>
          <w:rFonts w:ascii="Times New Roman" w:hAnsi="Times New Roman" w:cs="Times New Roman"/>
          <w:sz w:val="16"/>
          <w:szCs w:val="16"/>
        </w:rPr>
        <w:t xml:space="preserve"> disturbance terms of the adaptation model in Equation (1) (</w:t>
      </w:r>
      <w:proofErr w:type="spellStart"/>
      <w:r w:rsidRPr="002D2EBA">
        <w:rPr>
          <w:rFonts w:ascii="Times New Roman" w:hAnsi="Times New Roman" w:cs="Times New Roman"/>
          <w:sz w:val="16"/>
          <w:szCs w:val="16"/>
        </w:rPr>
        <w:t>Gbetibouo</w:t>
      </w:r>
      <w:proofErr w:type="spellEnd"/>
      <w:r w:rsidRPr="002D2EBA">
        <w:rPr>
          <w:rFonts w:ascii="Times New Roman" w:hAnsi="Times New Roman" w:cs="Times New Roman"/>
          <w:sz w:val="16"/>
          <w:szCs w:val="16"/>
        </w:rPr>
        <w:t xml:space="preserve">, Hassan and </w:t>
      </w:r>
      <w:proofErr w:type="spellStart"/>
      <w:r w:rsidRPr="002D2EBA">
        <w:rPr>
          <w:rFonts w:ascii="Times New Roman" w:hAnsi="Times New Roman" w:cs="Times New Roman"/>
          <w:sz w:val="16"/>
          <w:szCs w:val="16"/>
        </w:rPr>
        <w:t>Ringler</w:t>
      </w:r>
      <w:proofErr w:type="spellEnd"/>
      <w:r w:rsidRPr="002D2EBA">
        <w:rPr>
          <w:rFonts w:ascii="Times New Roman" w:hAnsi="Times New Roman" w:cs="Times New Roman"/>
          <w:sz w:val="16"/>
          <w:szCs w:val="16"/>
        </w:rPr>
        <w:t xml:space="preserve">, 2010). </w:t>
      </w:r>
    </w:p>
  </w:footnote>
  <w:footnote w:id="2">
    <w:p w:rsidR="001F0534" w:rsidRPr="0068531F" w:rsidRDefault="001F0534" w:rsidP="001F0534">
      <w:pPr>
        <w:pStyle w:val="FootnoteText"/>
        <w:spacing w:line="360" w:lineRule="auto"/>
        <w:ind w:left="142" w:hanging="142"/>
        <w:jc w:val="both"/>
        <w:rPr>
          <w:rFonts w:ascii="Times New Roman" w:hAnsi="Times New Roman"/>
          <w:sz w:val="16"/>
          <w:szCs w:val="16"/>
        </w:rPr>
      </w:pPr>
      <w:r w:rsidRPr="0068531F">
        <w:rPr>
          <w:rStyle w:val="FootnoteReference"/>
          <w:rFonts w:ascii="Times New Roman" w:hAnsi="Times New Roman"/>
          <w:sz w:val="16"/>
          <w:szCs w:val="16"/>
        </w:rPr>
        <w:footnoteRef/>
      </w:r>
      <w:r w:rsidRPr="0068531F">
        <w:rPr>
          <w:rFonts w:ascii="Times New Roman" w:hAnsi="Times New Roman"/>
          <w:sz w:val="16"/>
          <w:szCs w:val="16"/>
        </w:rPr>
        <w:t xml:space="preserve"> </w:t>
      </w:r>
      <w:r w:rsidR="005539B3">
        <w:rPr>
          <w:rFonts w:ascii="Times New Roman" w:hAnsi="Times New Roman"/>
          <w:sz w:val="16"/>
          <w:szCs w:val="16"/>
        </w:rPr>
        <w:t xml:space="preserve"> </w:t>
      </w:r>
      <w:proofErr w:type="spellStart"/>
      <w:r w:rsidRPr="0068531F">
        <w:rPr>
          <w:rFonts w:ascii="Times New Roman" w:hAnsi="Times New Roman"/>
          <w:sz w:val="16"/>
          <w:szCs w:val="16"/>
        </w:rPr>
        <w:t>Kabubo-Mariara</w:t>
      </w:r>
      <w:proofErr w:type="spellEnd"/>
      <w:r w:rsidRPr="0068531F">
        <w:rPr>
          <w:rFonts w:ascii="Times New Roman" w:hAnsi="Times New Roman"/>
          <w:sz w:val="16"/>
          <w:szCs w:val="16"/>
        </w:rPr>
        <w:t xml:space="preserve"> (2008) notes that a more permanent measure of classifying rural communities into either rich or poor may be one that takes into account more permanent measures of wealth such as land holding, livestock units and other fixed assets. It is against this background that this study used the following six livelihood strategic assets as suggested by local communities from the study area: (a) Land holding, (b) Total livestock units, (c) Farm capital inputs, (d) Household assets (e) Quality of dwelling (f) Household-head`s education </w:t>
      </w:r>
    </w:p>
  </w:footnote>
  <w:footnote w:id="3">
    <w:p w:rsidR="005846E5" w:rsidRPr="00877C7B" w:rsidRDefault="005846E5" w:rsidP="005846E5">
      <w:pPr>
        <w:pStyle w:val="FootnoteText"/>
        <w:rPr>
          <w:rFonts w:ascii="Times New Roman" w:hAnsi="Times New Roman"/>
          <w:sz w:val="16"/>
          <w:szCs w:val="16"/>
          <w:lang w:val="en-ZA"/>
        </w:rPr>
      </w:pPr>
      <w:r w:rsidRPr="00877C7B">
        <w:rPr>
          <w:rStyle w:val="FootnoteReference"/>
          <w:rFonts w:ascii="Times New Roman" w:hAnsi="Times New Roman"/>
          <w:sz w:val="16"/>
          <w:szCs w:val="16"/>
        </w:rPr>
        <w:footnoteRef/>
      </w:r>
      <w:r w:rsidRPr="00877C7B">
        <w:rPr>
          <w:rFonts w:ascii="Times New Roman" w:hAnsi="Times New Roman"/>
          <w:sz w:val="16"/>
          <w:szCs w:val="16"/>
        </w:rPr>
        <w:t xml:space="preserve"> Claiming the </w:t>
      </w:r>
      <w:r w:rsidRPr="00877C7B">
        <w:rPr>
          <w:rFonts w:ascii="Times New Roman" w:hAnsi="Times New Roman"/>
          <w:color w:val="000000"/>
          <w:sz w:val="16"/>
          <w:szCs w:val="16"/>
        </w:rPr>
        <w:t>right of proprietorship as private landholders, through their Rural Di</w:t>
      </w:r>
      <w:r>
        <w:rPr>
          <w:rFonts w:ascii="Times New Roman" w:hAnsi="Times New Roman"/>
          <w:color w:val="000000"/>
          <w:sz w:val="16"/>
          <w:szCs w:val="16"/>
        </w:rPr>
        <w:t>strict Councils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CDC"/>
    <w:multiLevelType w:val="hybridMultilevel"/>
    <w:tmpl w:val="AA760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9D2066"/>
    <w:multiLevelType w:val="hybridMultilevel"/>
    <w:tmpl w:val="5E322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6B3847"/>
    <w:multiLevelType w:val="hybridMultilevel"/>
    <w:tmpl w:val="8E3AD142"/>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2CB315AB"/>
    <w:multiLevelType w:val="hybridMultilevel"/>
    <w:tmpl w:val="D48CA5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E12BC9"/>
    <w:multiLevelType w:val="hybridMultilevel"/>
    <w:tmpl w:val="11D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16856"/>
    <w:multiLevelType w:val="hybridMultilevel"/>
    <w:tmpl w:val="0A1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2B4F"/>
    <w:multiLevelType w:val="hybridMultilevel"/>
    <w:tmpl w:val="6B203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1F3967"/>
    <w:multiLevelType w:val="hybridMultilevel"/>
    <w:tmpl w:val="A3F6BE66"/>
    <w:lvl w:ilvl="0" w:tplc="1C09000F">
      <w:start w:val="1"/>
      <w:numFmt w:val="decimal"/>
      <w:lvlText w:val="%1."/>
      <w:lvlJc w:val="left"/>
      <w:pPr>
        <w:ind w:left="525"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
    <w:nsid w:val="4C3002AF"/>
    <w:multiLevelType w:val="hybridMultilevel"/>
    <w:tmpl w:val="DCA42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216F2"/>
    <w:multiLevelType w:val="hybridMultilevel"/>
    <w:tmpl w:val="F40E4B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201E13"/>
    <w:multiLevelType w:val="hybridMultilevel"/>
    <w:tmpl w:val="60AAF5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7987385"/>
    <w:multiLevelType w:val="hybridMultilevel"/>
    <w:tmpl w:val="375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11317"/>
    <w:multiLevelType w:val="hybridMultilevel"/>
    <w:tmpl w:val="3E4C3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192B5C"/>
    <w:multiLevelType w:val="hybridMultilevel"/>
    <w:tmpl w:val="3EE2F0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FF14BB"/>
    <w:multiLevelType w:val="hybridMultilevel"/>
    <w:tmpl w:val="EAB49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55570A"/>
    <w:multiLevelType w:val="hybridMultilevel"/>
    <w:tmpl w:val="C308916E"/>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num w:numId="1">
    <w:abstractNumId w:val="11"/>
  </w:num>
  <w:num w:numId="2">
    <w:abstractNumId w:val="3"/>
  </w:num>
  <w:num w:numId="3">
    <w:abstractNumId w:val="14"/>
  </w:num>
  <w:num w:numId="4">
    <w:abstractNumId w:val="13"/>
  </w:num>
  <w:num w:numId="5">
    <w:abstractNumId w:val="8"/>
  </w:num>
  <w:num w:numId="6">
    <w:abstractNumId w:val="12"/>
  </w:num>
  <w:num w:numId="7">
    <w:abstractNumId w:val="9"/>
  </w:num>
  <w:num w:numId="8">
    <w:abstractNumId w:val="7"/>
  </w:num>
  <w:num w:numId="9">
    <w:abstractNumId w:val="15"/>
  </w:num>
  <w:num w:numId="10">
    <w:abstractNumId w:val="2"/>
  </w:num>
  <w:num w:numId="11">
    <w:abstractNumId w:val="10"/>
  </w:num>
  <w:num w:numId="12">
    <w:abstractNumId w:val="5"/>
  </w:num>
  <w:num w:numId="13">
    <w:abstractNumId w:val="4"/>
  </w:num>
  <w:num w:numId="14">
    <w:abstractNumId w:val="0"/>
  </w:num>
  <w:num w:numId="15">
    <w:abstractNumId w:val="6"/>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1F0534"/>
    <w:rsid w:val="00080788"/>
    <w:rsid w:val="00096419"/>
    <w:rsid w:val="000C2126"/>
    <w:rsid w:val="000F517B"/>
    <w:rsid w:val="00126A0D"/>
    <w:rsid w:val="00134C9E"/>
    <w:rsid w:val="001F0534"/>
    <w:rsid w:val="00201010"/>
    <w:rsid w:val="0021441A"/>
    <w:rsid w:val="00297437"/>
    <w:rsid w:val="002C7CF1"/>
    <w:rsid w:val="00415A39"/>
    <w:rsid w:val="004C1C8B"/>
    <w:rsid w:val="004D2F54"/>
    <w:rsid w:val="005539B3"/>
    <w:rsid w:val="005846E5"/>
    <w:rsid w:val="006A1D4E"/>
    <w:rsid w:val="007170DA"/>
    <w:rsid w:val="008B0E49"/>
    <w:rsid w:val="00A82A9D"/>
    <w:rsid w:val="00AA5228"/>
    <w:rsid w:val="00AE25FC"/>
    <w:rsid w:val="00BA5C88"/>
    <w:rsid w:val="00C2367D"/>
    <w:rsid w:val="00C43955"/>
    <w:rsid w:val="00E008BC"/>
    <w:rsid w:val="00E217DE"/>
    <w:rsid w:val="00E83E15"/>
    <w:rsid w:val="00EA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19"/>
  </w:style>
  <w:style w:type="paragraph" w:styleId="Heading1">
    <w:name w:val="heading 1"/>
    <w:basedOn w:val="Default"/>
    <w:next w:val="Default"/>
    <w:link w:val="Heading1Char"/>
    <w:uiPriority w:val="99"/>
    <w:qFormat/>
    <w:rsid w:val="001F0534"/>
    <w:pPr>
      <w:outlineLvl w:val="0"/>
    </w:pPr>
    <w:rPr>
      <w:rFonts w:ascii="MBMBEE+TimesNewRoman,Bold" w:hAnsi="MBMBEE+TimesNewRoman,Bold" w:cstheme="minorBidi"/>
      <w:color w:val="auto"/>
      <w:lang w:val="en-US"/>
    </w:rPr>
  </w:style>
  <w:style w:type="paragraph" w:styleId="Heading2">
    <w:name w:val="heading 2"/>
    <w:basedOn w:val="Normal"/>
    <w:next w:val="Normal"/>
    <w:link w:val="Heading2Char"/>
    <w:uiPriority w:val="99"/>
    <w:unhideWhenUsed/>
    <w:qFormat/>
    <w:rsid w:val="001F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F0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05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Default"/>
    <w:next w:val="Default"/>
    <w:link w:val="Heading5Char"/>
    <w:uiPriority w:val="99"/>
    <w:qFormat/>
    <w:rsid w:val="001F0534"/>
    <w:pPr>
      <w:outlineLvl w:val="4"/>
    </w:pPr>
    <w:rPr>
      <w:rFonts w:ascii="MBMBEE+TimesNewRoman,Bold" w:hAnsi="MBMBEE+TimesNewRoman,Bold" w:cstheme="min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34"/>
    <w:pPr>
      <w:autoSpaceDE w:val="0"/>
      <w:autoSpaceDN w:val="0"/>
      <w:adjustRightInd w:val="0"/>
      <w:spacing w:after="0" w:line="240" w:lineRule="auto"/>
    </w:pPr>
    <w:rPr>
      <w:rFonts w:ascii="MBMBBK+TimesNewRoman" w:hAnsi="MBMBBK+TimesNewRoman" w:cs="MBMBBK+TimesNewRoman"/>
      <w:color w:val="000000"/>
      <w:sz w:val="24"/>
      <w:szCs w:val="24"/>
      <w:lang w:val="en-GB"/>
    </w:rPr>
  </w:style>
  <w:style w:type="character" w:customStyle="1" w:styleId="Heading1Char">
    <w:name w:val="Heading 1 Char"/>
    <w:basedOn w:val="DefaultParagraphFont"/>
    <w:link w:val="Heading1"/>
    <w:uiPriority w:val="99"/>
    <w:rsid w:val="001F0534"/>
    <w:rPr>
      <w:rFonts w:ascii="MBMBEE+TimesNewRoman,Bold" w:hAnsi="MBMBEE+TimesNewRoman,Bold"/>
      <w:sz w:val="24"/>
      <w:szCs w:val="24"/>
      <w:lang w:val="en-US"/>
    </w:rPr>
  </w:style>
  <w:style w:type="character" w:customStyle="1" w:styleId="Heading2Char">
    <w:name w:val="Heading 2 Char"/>
    <w:basedOn w:val="DefaultParagraphFont"/>
    <w:link w:val="Heading2"/>
    <w:uiPriority w:val="99"/>
    <w:rsid w:val="001F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F0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05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1F0534"/>
    <w:rPr>
      <w:rFonts w:ascii="MBMBEE+TimesNewRoman,Bold" w:hAnsi="MBMBEE+TimesNewRoman,Bold"/>
      <w:sz w:val="24"/>
      <w:szCs w:val="24"/>
      <w:lang w:val="en-US"/>
    </w:rPr>
  </w:style>
  <w:style w:type="paragraph" w:styleId="Footer">
    <w:name w:val="footer"/>
    <w:basedOn w:val="Normal"/>
    <w:link w:val="FooterChar"/>
    <w:uiPriority w:val="99"/>
    <w:unhideWhenUsed/>
    <w:rsid w:val="001F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34"/>
  </w:style>
  <w:style w:type="paragraph" w:styleId="BalloonText">
    <w:name w:val="Balloon Text"/>
    <w:basedOn w:val="Normal"/>
    <w:link w:val="BalloonTextChar"/>
    <w:uiPriority w:val="99"/>
    <w:unhideWhenUsed/>
    <w:rsid w:val="001F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0534"/>
    <w:rPr>
      <w:rFonts w:ascii="Tahoma" w:hAnsi="Tahoma" w:cs="Tahoma"/>
      <w:sz w:val="16"/>
      <w:szCs w:val="16"/>
    </w:rPr>
  </w:style>
  <w:style w:type="character" w:styleId="Hyperlink">
    <w:name w:val="Hyperlink"/>
    <w:basedOn w:val="DefaultParagraphFont"/>
    <w:uiPriority w:val="99"/>
    <w:unhideWhenUsed/>
    <w:rsid w:val="001F0534"/>
    <w:rPr>
      <w:color w:val="0000FF"/>
      <w:u w:val="single"/>
    </w:rPr>
  </w:style>
  <w:style w:type="paragraph" w:styleId="TOC2">
    <w:name w:val="toc 2"/>
    <w:basedOn w:val="Normal"/>
    <w:next w:val="Normal"/>
    <w:autoRedefine/>
    <w:uiPriority w:val="39"/>
    <w:unhideWhenUsed/>
    <w:rsid w:val="001F0534"/>
    <w:pPr>
      <w:tabs>
        <w:tab w:val="right" w:leader="dot" w:pos="9016"/>
      </w:tabs>
      <w:spacing w:after="100"/>
      <w:ind w:left="220"/>
    </w:pPr>
    <w:rPr>
      <w:rFonts w:ascii="Times New Roman" w:hAnsi="Times New Roman" w:cs="Times New Roman"/>
      <w:noProof/>
      <w:color w:val="000000" w:themeColor="text1"/>
    </w:rPr>
  </w:style>
  <w:style w:type="paragraph" w:styleId="TOC1">
    <w:name w:val="toc 1"/>
    <w:basedOn w:val="Normal"/>
    <w:next w:val="Normal"/>
    <w:autoRedefine/>
    <w:uiPriority w:val="39"/>
    <w:unhideWhenUsed/>
    <w:rsid w:val="001F0534"/>
    <w:pPr>
      <w:tabs>
        <w:tab w:val="right" w:leader="dot" w:pos="9016"/>
      </w:tabs>
      <w:spacing w:after="100"/>
    </w:pPr>
    <w:rPr>
      <w:rFonts w:ascii="Times New Roman" w:eastAsia="Calibri" w:hAnsi="Times New Roman" w:cs="Times New Roman"/>
      <w:noProof/>
    </w:rPr>
  </w:style>
  <w:style w:type="paragraph" w:styleId="TOC3">
    <w:name w:val="toc 3"/>
    <w:basedOn w:val="Normal"/>
    <w:next w:val="Normal"/>
    <w:autoRedefine/>
    <w:uiPriority w:val="39"/>
    <w:unhideWhenUsed/>
    <w:rsid w:val="001F0534"/>
    <w:pPr>
      <w:spacing w:after="100"/>
      <w:ind w:left="440"/>
    </w:pPr>
  </w:style>
  <w:style w:type="paragraph" w:styleId="TOC4">
    <w:name w:val="toc 4"/>
    <w:basedOn w:val="Normal"/>
    <w:next w:val="Normal"/>
    <w:autoRedefine/>
    <w:uiPriority w:val="39"/>
    <w:unhideWhenUsed/>
    <w:rsid w:val="001F0534"/>
    <w:pPr>
      <w:tabs>
        <w:tab w:val="right" w:leader="dot" w:pos="9016"/>
      </w:tabs>
      <w:spacing w:after="100"/>
      <w:ind w:left="660"/>
    </w:pPr>
    <w:rPr>
      <w:rFonts w:ascii="Times New Roman" w:hAnsi="Times New Roman" w:cs="Times New Roman"/>
      <w:noProof/>
      <w:color w:val="000000" w:themeColor="text1"/>
    </w:rPr>
  </w:style>
  <w:style w:type="character" w:customStyle="1" w:styleId="HeaderChar">
    <w:name w:val="Header Char"/>
    <w:basedOn w:val="DefaultParagraphFont"/>
    <w:link w:val="Header"/>
    <w:uiPriority w:val="99"/>
    <w:semiHidden/>
    <w:rsid w:val="001F0534"/>
  </w:style>
  <w:style w:type="paragraph" w:styleId="Header">
    <w:name w:val="header"/>
    <w:basedOn w:val="Normal"/>
    <w:link w:val="HeaderChar"/>
    <w:uiPriority w:val="99"/>
    <w:semiHidden/>
    <w:unhideWhenUsed/>
    <w:rsid w:val="001F0534"/>
    <w:pPr>
      <w:tabs>
        <w:tab w:val="center" w:pos="4513"/>
        <w:tab w:val="right" w:pos="9026"/>
      </w:tabs>
      <w:spacing w:after="0" w:line="240" w:lineRule="auto"/>
    </w:pPr>
  </w:style>
  <w:style w:type="character" w:customStyle="1" w:styleId="BodyTextChar">
    <w:name w:val="Body Text Char"/>
    <w:basedOn w:val="DefaultParagraphFont"/>
    <w:link w:val="BodyText"/>
    <w:semiHidden/>
    <w:rsid w:val="001F0534"/>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F0534"/>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1F0534"/>
    <w:rPr>
      <w:rFonts w:ascii="Calibri" w:eastAsia="Calibri" w:hAnsi="Calibri" w:cs="Times New Roman"/>
      <w:sz w:val="20"/>
      <w:szCs w:val="20"/>
    </w:rPr>
  </w:style>
  <w:style w:type="character" w:customStyle="1" w:styleId="FootnoteTextChar">
    <w:name w:val="Footnote Text Char"/>
    <w:basedOn w:val="DefaultParagraphFont"/>
    <w:link w:val="FootnoteText"/>
    <w:rsid w:val="001F0534"/>
    <w:rPr>
      <w:rFonts w:ascii="Calibri" w:eastAsia="Calibri" w:hAnsi="Calibri" w:cs="Times New Roman"/>
      <w:sz w:val="20"/>
      <w:szCs w:val="20"/>
      <w:lang w:val="en-US"/>
    </w:rPr>
  </w:style>
  <w:style w:type="character" w:styleId="FootnoteReference">
    <w:name w:val="footnote reference"/>
    <w:basedOn w:val="DefaultParagraphFont"/>
    <w:rsid w:val="001F0534"/>
    <w:rPr>
      <w:vertAlign w:val="superscript"/>
    </w:rPr>
  </w:style>
  <w:style w:type="paragraph" w:styleId="ListParagraph">
    <w:name w:val="List Paragraph"/>
    <w:basedOn w:val="Normal"/>
    <w:uiPriority w:val="34"/>
    <w:qFormat/>
    <w:rsid w:val="001F0534"/>
    <w:pPr>
      <w:ind w:left="720"/>
      <w:contextualSpacing/>
    </w:pPr>
    <w:rPr>
      <w:lang w:val="en-GB"/>
    </w:rPr>
  </w:style>
  <w:style w:type="paragraph" w:styleId="NormalWeb">
    <w:name w:val="Normal (Web)"/>
    <w:basedOn w:val="Normal"/>
    <w:uiPriority w:val="99"/>
    <w:unhideWhenUsed/>
    <w:rsid w:val="001F05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0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1F0534"/>
    <w:rPr>
      <w:rFonts w:asciiTheme="majorHAnsi" w:eastAsiaTheme="majorEastAsia" w:hAnsiTheme="majorHAnsi" w:cstheme="majorBidi"/>
      <w:color w:val="17365D" w:themeColor="text2" w:themeShade="BF"/>
      <w:spacing w:val="5"/>
      <w:kern w:val="28"/>
      <w:sz w:val="52"/>
      <w:szCs w:val="52"/>
      <w:lang w:val="en-GB"/>
    </w:rPr>
  </w:style>
  <w:style w:type="character" w:customStyle="1" w:styleId="FootnoteCharacters">
    <w:name w:val="Footnote Characters"/>
    <w:basedOn w:val="DefaultParagraphFont"/>
    <w:rsid w:val="001F0534"/>
    <w:rPr>
      <w:vertAlign w:val="superscript"/>
    </w:rPr>
  </w:style>
  <w:style w:type="paragraph" w:customStyle="1" w:styleId="WW-Default">
    <w:name w:val="WW-Default"/>
    <w:rsid w:val="001F0534"/>
    <w:pPr>
      <w:suppressAutoHyphens/>
      <w:autoSpaceDE w:val="0"/>
      <w:spacing w:after="0" w:line="240" w:lineRule="auto"/>
    </w:pPr>
    <w:rPr>
      <w:rFonts w:ascii="MBMBBK+TimesNewRoman" w:eastAsia="Calibri" w:hAnsi="MBMBBK+TimesNewRoman" w:cs="MBMBBK+TimesNewRoman"/>
      <w:color w:val="000000"/>
      <w:sz w:val="24"/>
      <w:szCs w:val="24"/>
      <w:lang w:val="en-GB" w:eastAsia="ar-SA"/>
    </w:rPr>
  </w:style>
  <w:style w:type="paragraph" w:styleId="BodyText2">
    <w:name w:val="Body Text 2"/>
    <w:basedOn w:val="Normal"/>
    <w:link w:val="BodyText2Char"/>
    <w:rsid w:val="001F0534"/>
    <w:pPr>
      <w:suppressAutoHyphens/>
      <w:spacing w:after="120" w:line="480" w:lineRule="auto"/>
    </w:pPr>
    <w:rPr>
      <w:rFonts w:ascii="Calibri" w:eastAsia="Calibri" w:hAnsi="Calibri" w:cs="Calibri"/>
      <w:lang w:val="en-GB" w:eastAsia="ar-SA"/>
    </w:rPr>
  </w:style>
  <w:style w:type="character" w:customStyle="1" w:styleId="BodyText2Char">
    <w:name w:val="Body Text 2 Char"/>
    <w:basedOn w:val="DefaultParagraphFont"/>
    <w:link w:val="BodyText2"/>
    <w:rsid w:val="001F0534"/>
    <w:rPr>
      <w:rFonts w:ascii="Calibri" w:eastAsia="Calibri" w:hAnsi="Calibri" w:cs="Calibri"/>
      <w:lang w:val="en-GB" w:eastAsia="ar-SA"/>
    </w:rPr>
  </w:style>
  <w:style w:type="paragraph" w:styleId="NoSpacing">
    <w:name w:val="No Spacing"/>
    <w:uiPriority w:val="1"/>
    <w:qFormat/>
    <w:rsid w:val="001F0534"/>
    <w:pPr>
      <w:spacing w:after="0" w:line="240" w:lineRule="auto"/>
    </w:pPr>
  </w:style>
  <w:style w:type="paragraph" w:customStyle="1" w:styleId="CM6">
    <w:name w:val="CM6"/>
    <w:basedOn w:val="Default"/>
    <w:next w:val="Default"/>
    <w:uiPriority w:val="99"/>
    <w:rsid w:val="001F0534"/>
    <w:pPr>
      <w:spacing w:line="218" w:lineRule="atLeast"/>
    </w:pPr>
    <w:rPr>
      <w:rFonts w:ascii="Times New Roman" w:hAnsi="Times New Roman" w:cs="Times New Roman"/>
      <w:color w:val="auto"/>
      <w:lang w:val="en-ZA"/>
    </w:rPr>
  </w:style>
  <w:style w:type="paragraph" w:customStyle="1" w:styleId="CM2">
    <w:name w:val="CM2"/>
    <w:basedOn w:val="Default"/>
    <w:next w:val="Default"/>
    <w:uiPriority w:val="99"/>
    <w:rsid w:val="001F0534"/>
    <w:pPr>
      <w:spacing w:line="233" w:lineRule="atLeast"/>
    </w:pPr>
    <w:rPr>
      <w:rFonts w:ascii="Times New Roman" w:hAnsi="Times New Roman" w:cs="Times New Roman"/>
      <w:color w:val="auto"/>
      <w:lang w:val="en-ZA"/>
    </w:rPr>
  </w:style>
  <w:style w:type="paragraph" w:customStyle="1" w:styleId="CM8">
    <w:name w:val="CM8"/>
    <w:basedOn w:val="Default"/>
    <w:next w:val="Default"/>
    <w:uiPriority w:val="99"/>
    <w:rsid w:val="001F0534"/>
    <w:pPr>
      <w:spacing w:line="218" w:lineRule="atLeast"/>
    </w:pPr>
    <w:rPr>
      <w:rFonts w:ascii="Times New Roman" w:hAnsi="Times New Roman" w:cs="Times New Roman"/>
      <w:color w:val="auto"/>
      <w:lang w:val="en-ZA"/>
    </w:rPr>
  </w:style>
  <w:style w:type="paragraph" w:styleId="BodyTextIndent3">
    <w:name w:val="Body Text Indent 3"/>
    <w:basedOn w:val="Normal"/>
    <w:link w:val="BodyTextIndent3Char"/>
    <w:rsid w:val="001F053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1F0534"/>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semiHidden/>
    <w:rsid w:val="001F0534"/>
    <w:rPr>
      <w:sz w:val="16"/>
      <w:szCs w:val="16"/>
    </w:rPr>
  </w:style>
  <w:style w:type="paragraph" w:styleId="BodyText3">
    <w:name w:val="Body Text 3"/>
    <w:basedOn w:val="Normal"/>
    <w:link w:val="BodyText3Char"/>
    <w:uiPriority w:val="99"/>
    <w:semiHidden/>
    <w:unhideWhenUsed/>
    <w:rsid w:val="001F0534"/>
    <w:pPr>
      <w:spacing w:after="120"/>
    </w:pPr>
    <w:rPr>
      <w:sz w:val="16"/>
      <w:szCs w:val="16"/>
    </w:rPr>
  </w:style>
  <w:style w:type="character" w:customStyle="1" w:styleId="BodyText3Char1">
    <w:name w:val="Body Text 3 Char1"/>
    <w:basedOn w:val="DefaultParagraphFont"/>
    <w:uiPriority w:val="99"/>
    <w:semiHidden/>
    <w:rsid w:val="001F0534"/>
    <w:rPr>
      <w:sz w:val="16"/>
      <w:szCs w:val="16"/>
    </w:rPr>
  </w:style>
  <w:style w:type="character" w:styleId="Strong">
    <w:name w:val="Strong"/>
    <w:basedOn w:val="DefaultParagraphFont"/>
    <w:uiPriority w:val="22"/>
    <w:qFormat/>
    <w:rsid w:val="001F0534"/>
    <w:rPr>
      <w:b/>
      <w:bCs/>
    </w:rPr>
  </w:style>
  <w:style w:type="character" w:styleId="Emphasis">
    <w:name w:val="Emphasis"/>
    <w:basedOn w:val="DefaultParagraphFont"/>
    <w:uiPriority w:val="20"/>
    <w:qFormat/>
    <w:rsid w:val="001F0534"/>
    <w:rPr>
      <w:i/>
      <w:iCs/>
    </w:rPr>
  </w:style>
  <w:style w:type="character" w:customStyle="1" w:styleId="CommentTextChar">
    <w:name w:val="Comment Text Char"/>
    <w:basedOn w:val="DefaultParagraphFont"/>
    <w:link w:val="CommentText"/>
    <w:uiPriority w:val="99"/>
    <w:semiHidden/>
    <w:rsid w:val="001F0534"/>
    <w:rPr>
      <w:sz w:val="20"/>
      <w:szCs w:val="20"/>
    </w:rPr>
  </w:style>
  <w:style w:type="paragraph" w:styleId="CommentText">
    <w:name w:val="annotation text"/>
    <w:basedOn w:val="Normal"/>
    <w:link w:val="CommentTextChar"/>
    <w:uiPriority w:val="99"/>
    <w:semiHidden/>
    <w:unhideWhenUsed/>
    <w:rsid w:val="001F0534"/>
    <w:pPr>
      <w:spacing w:line="240" w:lineRule="auto"/>
    </w:pPr>
    <w:rPr>
      <w:sz w:val="20"/>
      <w:szCs w:val="20"/>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1">
    <w:name w:val="Comment Subject Char1"/>
    <w:basedOn w:val="CommentTextChar"/>
    <w:uiPriority w:val="99"/>
    <w:semiHidden/>
    <w:rsid w:val="001F0534"/>
    <w:rPr>
      <w:b/>
      <w:bCs/>
      <w:sz w:val="20"/>
      <w:szCs w:val="20"/>
    </w:rPr>
  </w:style>
  <w:style w:type="paragraph" w:styleId="Caption">
    <w:name w:val="caption"/>
    <w:basedOn w:val="Normal"/>
    <w:next w:val="Normal"/>
    <w:uiPriority w:val="35"/>
    <w:unhideWhenUsed/>
    <w:qFormat/>
    <w:rsid w:val="001F0534"/>
    <w:pPr>
      <w:spacing w:line="240" w:lineRule="auto"/>
    </w:pPr>
    <w:rPr>
      <w:b/>
      <w:bCs/>
      <w:color w:val="4F81BD" w:themeColor="accent1"/>
      <w:sz w:val="18"/>
      <w:szCs w:val="18"/>
    </w:rPr>
  </w:style>
  <w:style w:type="paragraph" w:styleId="TOC5">
    <w:name w:val="toc 5"/>
    <w:basedOn w:val="Normal"/>
    <w:next w:val="Normal"/>
    <w:autoRedefine/>
    <w:uiPriority w:val="39"/>
    <w:unhideWhenUsed/>
    <w:rsid w:val="001F0534"/>
    <w:pPr>
      <w:spacing w:after="100"/>
      <w:ind w:left="880"/>
    </w:pPr>
    <w:rPr>
      <w:lang w:eastAsia="en-ZA"/>
    </w:rPr>
  </w:style>
  <w:style w:type="paragraph" w:styleId="TOC6">
    <w:name w:val="toc 6"/>
    <w:basedOn w:val="Normal"/>
    <w:next w:val="Normal"/>
    <w:autoRedefine/>
    <w:uiPriority w:val="39"/>
    <w:unhideWhenUsed/>
    <w:rsid w:val="001F0534"/>
    <w:pPr>
      <w:spacing w:after="100"/>
      <w:ind w:left="1100"/>
    </w:pPr>
    <w:rPr>
      <w:lang w:eastAsia="en-ZA"/>
    </w:rPr>
  </w:style>
  <w:style w:type="paragraph" w:styleId="TOC7">
    <w:name w:val="toc 7"/>
    <w:basedOn w:val="Normal"/>
    <w:next w:val="Normal"/>
    <w:autoRedefine/>
    <w:uiPriority w:val="39"/>
    <w:unhideWhenUsed/>
    <w:rsid w:val="001F0534"/>
    <w:pPr>
      <w:spacing w:after="100"/>
      <w:ind w:left="1320"/>
    </w:pPr>
    <w:rPr>
      <w:lang w:eastAsia="en-ZA"/>
    </w:rPr>
  </w:style>
  <w:style w:type="paragraph" w:styleId="TOC8">
    <w:name w:val="toc 8"/>
    <w:basedOn w:val="Normal"/>
    <w:next w:val="Normal"/>
    <w:autoRedefine/>
    <w:uiPriority w:val="39"/>
    <w:unhideWhenUsed/>
    <w:rsid w:val="001F0534"/>
    <w:pPr>
      <w:spacing w:after="100"/>
      <w:ind w:left="1540"/>
    </w:pPr>
    <w:rPr>
      <w:lang w:eastAsia="en-ZA"/>
    </w:rPr>
  </w:style>
  <w:style w:type="paragraph" w:styleId="TOC9">
    <w:name w:val="toc 9"/>
    <w:basedOn w:val="Normal"/>
    <w:next w:val="Normal"/>
    <w:autoRedefine/>
    <w:uiPriority w:val="39"/>
    <w:unhideWhenUsed/>
    <w:rsid w:val="001F0534"/>
    <w:pPr>
      <w:spacing w:after="100"/>
      <w:ind w:left="1760"/>
    </w:pPr>
    <w:rPr>
      <w:lang w:eastAsia="en-ZA"/>
    </w:rPr>
  </w:style>
  <w:style w:type="character" w:customStyle="1" w:styleId="apple-converted-space">
    <w:name w:val="apple-converted-space"/>
    <w:basedOn w:val="DefaultParagraphFont"/>
    <w:rsid w:val="001F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F0534"/>
    <w:pPr>
      <w:outlineLvl w:val="0"/>
    </w:pPr>
    <w:rPr>
      <w:rFonts w:ascii="MBMBEE+TimesNewRoman,Bold" w:hAnsi="MBMBEE+TimesNewRoman,Bold" w:cstheme="minorBidi"/>
      <w:color w:val="auto"/>
      <w:lang w:val="en-US"/>
    </w:rPr>
  </w:style>
  <w:style w:type="paragraph" w:styleId="Heading2">
    <w:name w:val="heading 2"/>
    <w:basedOn w:val="Normal"/>
    <w:next w:val="Normal"/>
    <w:link w:val="Heading2Char"/>
    <w:uiPriority w:val="99"/>
    <w:unhideWhenUsed/>
    <w:qFormat/>
    <w:rsid w:val="001F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F0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05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Default"/>
    <w:next w:val="Default"/>
    <w:link w:val="Heading5Char"/>
    <w:uiPriority w:val="99"/>
    <w:qFormat/>
    <w:rsid w:val="001F0534"/>
    <w:pPr>
      <w:outlineLvl w:val="4"/>
    </w:pPr>
    <w:rPr>
      <w:rFonts w:ascii="MBMBEE+TimesNewRoman,Bold" w:hAnsi="MBMBEE+TimesNewRoman,Bold" w:cstheme="min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34"/>
    <w:pPr>
      <w:autoSpaceDE w:val="0"/>
      <w:autoSpaceDN w:val="0"/>
      <w:adjustRightInd w:val="0"/>
      <w:spacing w:after="0" w:line="240" w:lineRule="auto"/>
    </w:pPr>
    <w:rPr>
      <w:rFonts w:ascii="MBMBBK+TimesNewRoman" w:hAnsi="MBMBBK+TimesNewRoman" w:cs="MBMBBK+TimesNewRoman"/>
      <w:color w:val="000000"/>
      <w:sz w:val="24"/>
      <w:szCs w:val="24"/>
      <w:lang w:val="en-GB"/>
    </w:rPr>
  </w:style>
  <w:style w:type="character" w:customStyle="1" w:styleId="Heading1Char">
    <w:name w:val="Heading 1 Char"/>
    <w:basedOn w:val="DefaultParagraphFont"/>
    <w:link w:val="Heading1"/>
    <w:uiPriority w:val="99"/>
    <w:rsid w:val="001F0534"/>
    <w:rPr>
      <w:rFonts w:ascii="MBMBEE+TimesNewRoman,Bold" w:hAnsi="MBMBEE+TimesNewRoman,Bold"/>
      <w:sz w:val="24"/>
      <w:szCs w:val="24"/>
      <w:lang w:val="en-US"/>
    </w:rPr>
  </w:style>
  <w:style w:type="character" w:customStyle="1" w:styleId="Heading2Char">
    <w:name w:val="Heading 2 Char"/>
    <w:basedOn w:val="DefaultParagraphFont"/>
    <w:link w:val="Heading2"/>
    <w:uiPriority w:val="99"/>
    <w:rsid w:val="001F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F0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05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1F0534"/>
    <w:rPr>
      <w:rFonts w:ascii="MBMBEE+TimesNewRoman,Bold" w:hAnsi="MBMBEE+TimesNewRoman,Bold"/>
      <w:sz w:val="24"/>
      <w:szCs w:val="24"/>
      <w:lang w:val="en-US"/>
    </w:rPr>
  </w:style>
  <w:style w:type="paragraph" w:styleId="Footer">
    <w:name w:val="footer"/>
    <w:basedOn w:val="Normal"/>
    <w:link w:val="FooterChar"/>
    <w:uiPriority w:val="99"/>
    <w:unhideWhenUsed/>
    <w:rsid w:val="001F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34"/>
  </w:style>
  <w:style w:type="paragraph" w:styleId="BalloonText">
    <w:name w:val="Balloon Text"/>
    <w:basedOn w:val="Normal"/>
    <w:link w:val="BalloonTextChar"/>
    <w:uiPriority w:val="99"/>
    <w:unhideWhenUsed/>
    <w:rsid w:val="001F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0534"/>
    <w:rPr>
      <w:rFonts w:ascii="Tahoma" w:hAnsi="Tahoma" w:cs="Tahoma"/>
      <w:sz w:val="16"/>
      <w:szCs w:val="16"/>
    </w:rPr>
  </w:style>
  <w:style w:type="character" w:styleId="Hyperlink">
    <w:name w:val="Hyperlink"/>
    <w:basedOn w:val="DefaultParagraphFont"/>
    <w:uiPriority w:val="99"/>
    <w:unhideWhenUsed/>
    <w:rsid w:val="001F0534"/>
    <w:rPr>
      <w:color w:val="0000FF"/>
      <w:u w:val="single"/>
    </w:rPr>
  </w:style>
  <w:style w:type="paragraph" w:styleId="TOC2">
    <w:name w:val="toc 2"/>
    <w:basedOn w:val="Normal"/>
    <w:next w:val="Normal"/>
    <w:autoRedefine/>
    <w:uiPriority w:val="39"/>
    <w:unhideWhenUsed/>
    <w:rsid w:val="001F0534"/>
    <w:pPr>
      <w:tabs>
        <w:tab w:val="right" w:leader="dot" w:pos="9016"/>
      </w:tabs>
      <w:spacing w:after="100"/>
      <w:ind w:left="220"/>
    </w:pPr>
    <w:rPr>
      <w:rFonts w:ascii="Times New Roman" w:hAnsi="Times New Roman" w:cs="Times New Roman"/>
      <w:noProof/>
      <w:color w:val="000000" w:themeColor="text1"/>
    </w:rPr>
  </w:style>
  <w:style w:type="paragraph" w:styleId="TOC1">
    <w:name w:val="toc 1"/>
    <w:basedOn w:val="Normal"/>
    <w:next w:val="Normal"/>
    <w:autoRedefine/>
    <w:uiPriority w:val="39"/>
    <w:unhideWhenUsed/>
    <w:rsid w:val="001F0534"/>
    <w:pPr>
      <w:tabs>
        <w:tab w:val="right" w:leader="dot" w:pos="9016"/>
      </w:tabs>
      <w:spacing w:after="100"/>
    </w:pPr>
    <w:rPr>
      <w:rFonts w:ascii="Times New Roman" w:eastAsia="Calibri" w:hAnsi="Times New Roman" w:cs="Times New Roman"/>
      <w:noProof/>
    </w:rPr>
  </w:style>
  <w:style w:type="paragraph" w:styleId="TOC3">
    <w:name w:val="toc 3"/>
    <w:basedOn w:val="Normal"/>
    <w:next w:val="Normal"/>
    <w:autoRedefine/>
    <w:uiPriority w:val="39"/>
    <w:unhideWhenUsed/>
    <w:rsid w:val="001F0534"/>
    <w:pPr>
      <w:spacing w:after="100"/>
      <w:ind w:left="440"/>
    </w:pPr>
  </w:style>
  <w:style w:type="paragraph" w:styleId="TOC4">
    <w:name w:val="toc 4"/>
    <w:basedOn w:val="Normal"/>
    <w:next w:val="Normal"/>
    <w:autoRedefine/>
    <w:uiPriority w:val="39"/>
    <w:unhideWhenUsed/>
    <w:rsid w:val="001F0534"/>
    <w:pPr>
      <w:tabs>
        <w:tab w:val="right" w:leader="dot" w:pos="9016"/>
      </w:tabs>
      <w:spacing w:after="100"/>
      <w:ind w:left="660"/>
    </w:pPr>
    <w:rPr>
      <w:rFonts w:ascii="Times New Roman" w:hAnsi="Times New Roman" w:cs="Times New Roman"/>
      <w:noProof/>
      <w:color w:val="000000" w:themeColor="text1"/>
    </w:rPr>
  </w:style>
  <w:style w:type="character" w:customStyle="1" w:styleId="HeaderChar">
    <w:name w:val="Header Char"/>
    <w:basedOn w:val="DefaultParagraphFont"/>
    <w:link w:val="Header"/>
    <w:uiPriority w:val="99"/>
    <w:semiHidden/>
    <w:rsid w:val="001F0534"/>
  </w:style>
  <w:style w:type="paragraph" w:styleId="Header">
    <w:name w:val="header"/>
    <w:basedOn w:val="Normal"/>
    <w:link w:val="HeaderChar"/>
    <w:uiPriority w:val="99"/>
    <w:semiHidden/>
    <w:unhideWhenUsed/>
    <w:rsid w:val="001F0534"/>
    <w:pPr>
      <w:tabs>
        <w:tab w:val="center" w:pos="4513"/>
        <w:tab w:val="right" w:pos="9026"/>
      </w:tabs>
      <w:spacing w:after="0" w:line="240" w:lineRule="auto"/>
    </w:pPr>
  </w:style>
  <w:style w:type="character" w:customStyle="1" w:styleId="BodyTextChar">
    <w:name w:val="Body Text Char"/>
    <w:basedOn w:val="DefaultParagraphFont"/>
    <w:link w:val="BodyText"/>
    <w:semiHidden/>
    <w:rsid w:val="001F0534"/>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F0534"/>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1F0534"/>
    <w:rPr>
      <w:rFonts w:ascii="Calibri" w:eastAsia="Calibri" w:hAnsi="Calibri" w:cs="Times New Roman"/>
      <w:sz w:val="20"/>
      <w:szCs w:val="20"/>
    </w:rPr>
  </w:style>
  <w:style w:type="character" w:customStyle="1" w:styleId="FootnoteTextChar">
    <w:name w:val="Footnote Text Char"/>
    <w:basedOn w:val="DefaultParagraphFont"/>
    <w:link w:val="FootnoteText"/>
    <w:rsid w:val="001F0534"/>
    <w:rPr>
      <w:rFonts w:ascii="Calibri" w:eastAsia="Calibri" w:hAnsi="Calibri" w:cs="Times New Roman"/>
      <w:sz w:val="20"/>
      <w:szCs w:val="20"/>
      <w:lang w:val="en-US"/>
    </w:rPr>
  </w:style>
  <w:style w:type="character" w:styleId="FootnoteReference">
    <w:name w:val="footnote reference"/>
    <w:basedOn w:val="DefaultParagraphFont"/>
    <w:rsid w:val="001F0534"/>
    <w:rPr>
      <w:vertAlign w:val="superscript"/>
    </w:rPr>
  </w:style>
  <w:style w:type="paragraph" w:styleId="ListParagraph">
    <w:name w:val="List Paragraph"/>
    <w:basedOn w:val="Normal"/>
    <w:uiPriority w:val="34"/>
    <w:qFormat/>
    <w:rsid w:val="001F0534"/>
    <w:pPr>
      <w:ind w:left="720"/>
      <w:contextualSpacing/>
    </w:pPr>
    <w:rPr>
      <w:lang w:val="en-GB"/>
    </w:rPr>
  </w:style>
  <w:style w:type="paragraph" w:styleId="NormalWeb">
    <w:name w:val="Normal (Web)"/>
    <w:basedOn w:val="Normal"/>
    <w:uiPriority w:val="99"/>
    <w:unhideWhenUsed/>
    <w:rsid w:val="001F05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0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1F0534"/>
    <w:rPr>
      <w:rFonts w:asciiTheme="majorHAnsi" w:eastAsiaTheme="majorEastAsia" w:hAnsiTheme="majorHAnsi" w:cstheme="majorBidi"/>
      <w:color w:val="17365D" w:themeColor="text2" w:themeShade="BF"/>
      <w:spacing w:val="5"/>
      <w:kern w:val="28"/>
      <w:sz w:val="52"/>
      <w:szCs w:val="52"/>
      <w:lang w:val="en-GB"/>
    </w:rPr>
  </w:style>
  <w:style w:type="character" w:customStyle="1" w:styleId="FootnoteCharacters">
    <w:name w:val="Footnote Characters"/>
    <w:basedOn w:val="DefaultParagraphFont"/>
    <w:rsid w:val="001F0534"/>
    <w:rPr>
      <w:vertAlign w:val="superscript"/>
    </w:rPr>
  </w:style>
  <w:style w:type="paragraph" w:customStyle="1" w:styleId="WW-Default">
    <w:name w:val="WW-Default"/>
    <w:rsid w:val="001F0534"/>
    <w:pPr>
      <w:suppressAutoHyphens/>
      <w:autoSpaceDE w:val="0"/>
      <w:spacing w:after="0" w:line="240" w:lineRule="auto"/>
    </w:pPr>
    <w:rPr>
      <w:rFonts w:ascii="MBMBBK+TimesNewRoman" w:eastAsia="Calibri" w:hAnsi="MBMBBK+TimesNewRoman" w:cs="MBMBBK+TimesNewRoman"/>
      <w:color w:val="000000"/>
      <w:sz w:val="24"/>
      <w:szCs w:val="24"/>
      <w:lang w:val="en-GB" w:eastAsia="ar-SA"/>
    </w:rPr>
  </w:style>
  <w:style w:type="paragraph" w:styleId="BodyText2">
    <w:name w:val="Body Text 2"/>
    <w:basedOn w:val="Normal"/>
    <w:link w:val="BodyText2Char"/>
    <w:rsid w:val="001F0534"/>
    <w:pPr>
      <w:suppressAutoHyphens/>
      <w:spacing w:after="120" w:line="480" w:lineRule="auto"/>
    </w:pPr>
    <w:rPr>
      <w:rFonts w:ascii="Calibri" w:eastAsia="Calibri" w:hAnsi="Calibri" w:cs="Calibri"/>
      <w:lang w:val="en-GB" w:eastAsia="ar-SA"/>
    </w:rPr>
  </w:style>
  <w:style w:type="character" w:customStyle="1" w:styleId="BodyText2Char">
    <w:name w:val="Body Text 2 Char"/>
    <w:basedOn w:val="DefaultParagraphFont"/>
    <w:link w:val="BodyText2"/>
    <w:rsid w:val="001F0534"/>
    <w:rPr>
      <w:rFonts w:ascii="Calibri" w:eastAsia="Calibri" w:hAnsi="Calibri" w:cs="Calibri"/>
      <w:lang w:val="en-GB" w:eastAsia="ar-SA"/>
    </w:rPr>
  </w:style>
  <w:style w:type="paragraph" w:styleId="NoSpacing">
    <w:name w:val="No Spacing"/>
    <w:uiPriority w:val="1"/>
    <w:qFormat/>
    <w:rsid w:val="001F0534"/>
    <w:pPr>
      <w:spacing w:after="0" w:line="240" w:lineRule="auto"/>
    </w:pPr>
  </w:style>
  <w:style w:type="paragraph" w:customStyle="1" w:styleId="CM6">
    <w:name w:val="CM6"/>
    <w:basedOn w:val="Default"/>
    <w:next w:val="Default"/>
    <w:uiPriority w:val="99"/>
    <w:rsid w:val="001F0534"/>
    <w:pPr>
      <w:spacing w:line="218" w:lineRule="atLeast"/>
    </w:pPr>
    <w:rPr>
      <w:rFonts w:ascii="Times New Roman" w:hAnsi="Times New Roman" w:cs="Times New Roman"/>
      <w:color w:val="auto"/>
      <w:lang w:val="en-ZA"/>
    </w:rPr>
  </w:style>
  <w:style w:type="paragraph" w:customStyle="1" w:styleId="CM2">
    <w:name w:val="CM2"/>
    <w:basedOn w:val="Default"/>
    <w:next w:val="Default"/>
    <w:uiPriority w:val="99"/>
    <w:rsid w:val="001F0534"/>
    <w:pPr>
      <w:spacing w:line="233" w:lineRule="atLeast"/>
    </w:pPr>
    <w:rPr>
      <w:rFonts w:ascii="Times New Roman" w:hAnsi="Times New Roman" w:cs="Times New Roman"/>
      <w:color w:val="auto"/>
      <w:lang w:val="en-ZA"/>
    </w:rPr>
  </w:style>
  <w:style w:type="paragraph" w:customStyle="1" w:styleId="CM8">
    <w:name w:val="CM8"/>
    <w:basedOn w:val="Default"/>
    <w:next w:val="Default"/>
    <w:uiPriority w:val="99"/>
    <w:rsid w:val="001F0534"/>
    <w:pPr>
      <w:spacing w:line="218" w:lineRule="atLeast"/>
    </w:pPr>
    <w:rPr>
      <w:rFonts w:ascii="Times New Roman" w:hAnsi="Times New Roman" w:cs="Times New Roman"/>
      <w:color w:val="auto"/>
      <w:lang w:val="en-ZA"/>
    </w:rPr>
  </w:style>
  <w:style w:type="paragraph" w:styleId="BodyTextIndent3">
    <w:name w:val="Body Text Indent 3"/>
    <w:basedOn w:val="Normal"/>
    <w:link w:val="BodyTextIndent3Char"/>
    <w:rsid w:val="001F053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1F0534"/>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semiHidden/>
    <w:rsid w:val="001F0534"/>
    <w:rPr>
      <w:sz w:val="16"/>
      <w:szCs w:val="16"/>
    </w:rPr>
  </w:style>
  <w:style w:type="paragraph" w:styleId="BodyText3">
    <w:name w:val="Body Text 3"/>
    <w:basedOn w:val="Normal"/>
    <w:link w:val="BodyText3Char"/>
    <w:uiPriority w:val="99"/>
    <w:semiHidden/>
    <w:unhideWhenUsed/>
    <w:rsid w:val="001F0534"/>
    <w:pPr>
      <w:spacing w:after="120"/>
    </w:pPr>
    <w:rPr>
      <w:sz w:val="16"/>
      <w:szCs w:val="16"/>
    </w:rPr>
  </w:style>
  <w:style w:type="character" w:customStyle="1" w:styleId="BodyText3Char1">
    <w:name w:val="Body Text 3 Char1"/>
    <w:basedOn w:val="DefaultParagraphFont"/>
    <w:uiPriority w:val="99"/>
    <w:semiHidden/>
    <w:rsid w:val="001F0534"/>
    <w:rPr>
      <w:sz w:val="16"/>
      <w:szCs w:val="16"/>
    </w:rPr>
  </w:style>
  <w:style w:type="character" w:styleId="Strong">
    <w:name w:val="Strong"/>
    <w:basedOn w:val="DefaultParagraphFont"/>
    <w:uiPriority w:val="22"/>
    <w:qFormat/>
    <w:rsid w:val="001F0534"/>
    <w:rPr>
      <w:b/>
      <w:bCs/>
    </w:rPr>
  </w:style>
  <w:style w:type="character" w:styleId="Emphasis">
    <w:name w:val="Emphasis"/>
    <w:basedOn w:val="DefaultParagraphFont"/>
    <w:uiPriority w:val="20"/>
    <w:qFormat/>
    <w:rsid w:val="001F0534"/>
    <w:rPr>
      <w:i/>
      <w:iCs/>
    </w:rPr>
  </w:style>
  <w:style w:type="character" w:customStyle="1" w:styleId="CommentTextChar">
    <w:name w:val="Comment Text Char"/>
    <w:basedOn w:val="DefaultParagraphFont"/>
    <w:link w:val="CommentText"/>
    <w:uiPriority w:val="99"/>
    <w:semiHidden/>
    <w:rsid w:val="001F0534"/>
    <w:rPr>
      <w:sz w:val="20"/>
      <w:szCs w:val="20"/>
    </w:rPr>
  </w:style>
  <w:style w:type="paragraph" w:styleId="CommentText">
    <w:name w:val="annotation text"/>
    <w:basedOn w:val="Normal"/>
    <w:link w:val="CommentTextChar"/>
    <w:uiPriority w:val="99"/>
    <w:semiHidden/>
    <w:unhideWhenUsed/>
    <w:rsid w:val="001F0534"/>
    <w:pPr>
      <w:spacing w:line="240" w:lineRule="auto"/>
    </w:pPr>
    <w:rPr>
      <w:sz w:val="20"/>
      <w:szCs w:val="20"/>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1">
    <w:name w:val="Comment Subject Char1"/>
    <w:basedOn w:val="CommentTextChar"/>
    <w:uiPriority w:val="99"/>
    <w:semiHidden/>
    <w:rsid w:val="001F0534"/>
    <w:rPr>
      <w:b/>
      <w:bCs/>
      <w:sz w:val="20"/>
      <w:szCs w:val="20"/>
    </w:rPr>
  </w:style>
  <w:style w:type="paragraph" w:styleId="Caption">
    <w:name w:val="caption"/>
    <w:basedOn w:val="Normal"/>
    <w:next w:val="Normal"/>
    <w:uiPriority w:val="35"/>
    <w:unhideWhenUsed/>
    <w:qFormat/>
    <w:rsid w:val="001F0534"/>
    <w:pPr>
      <w:spacing w:line="240" w:lineRule="auto"/>
    </w:pPr>
    <w:rPr>
      <w:b/>
      <w:bCs/>
      <w:color w:val="4F81BD" w:themeColor="accent1"/>
      <w:sz w:val="18"/>
      <w:szCs w:val="18"/>
    </w:rPr>
  </w:style>
  <w:style w:type="paragraph" w:styleId="TOC5">
    <w:name w:val="toc 5"/>
    <w:basedOn w:val="Normal"/>
    <w:next w:val="Normal"/>
    <w:autoRedefine/>
    <w:uiPriority w:val="39"/>
    <w:unhideWhenUsed/>
    <w:rsid w:val="001F0534"/>
    <w:pPr>
      <w:spacing w:after="100"/>
      <w:ind w:left="880"/>
    </w:pPr>
    <w:rPr>
      <w:lang w:eastAsia="en-ZA"/>
    </w:rPr>
  </w:style>
  <w:style w:type="paragraph" w:styleId="TOC6">
    <w:name w:val="toc 6"/>
    <w:basedOn w:val="Normal"/>
    <w:next w:val="Normal"/>
    <w:autoRedefine/>
    <w:uiPriority w:val="39"/>
    <w:unhideWhenUsed/>
    <w:rsid w:val="001F0534"/>
    <w:pPr>
      <w:spacing w:after="100"/>
      <w:ind w:left="1100"/>
    </w:pPr>
    <w:rPr>
      <w:lang w:eastAsia="en-ZA"/>
    </w:rPr>
  </w:style>
  <w:style w:type="paragraph" w:styleId="TOC7">
    <w:name w:val="toc 7"/>
    <w:basedOn w:val="Normal"/>
    <w:next w:val="Normal"/>
    <w:autoRedefine/>
    <w:uiPriority w:val="39"/>
    <w:unhideWhenUsed/>
    <w:rsid w:val="001F0534"/>
    <w:pPr>
      <w:spacing w:after="100"/>
      <w:ind w:left="1320"/>
    </w:pPr>
    <w:rPr>
      <w:lang w:eastAsia="en-ZA"/>
    </w:rPr>
  </w:style>
  <w:style w:type="paragraph" w:styleId="TOC8">
    <w:name w:val="toc 8"/>
    <w:basedOn w:val="Normal"/>
    <w:next w:val="Normal"/>
    <w:autoRedefine/>
    <w:uiPriority w:val="39"/>
    <w:unhideWhenUsed/>
    <w:rsid w:val="001F0534"/>
    <w:pPr>
      <w:spacing w:after="100"/>
      <w:ind w:left="1540"/>
    </w:pPr>
    <w:rPr>
      <w:lang w:eastAsia="en-ZA"/>
    </w:rPr>
  </w:style>
  <w:style w:type="paragraph" w:styleId="TOC9">
    <w:name w:val="toc 9"/>
    <w:basedOn w:val="Normal"/>
    <w:next w:val="Normal"/>
    <w:autoRedefine/>
    <w:uiPriority w:val="39"/>
    <w:unhideWhenUsed/>
    <w:rsid w:val="001F0534"/>
    <w:pPr>
      <w:spacing w:after="100"/>
      <w:ind w:left="1760"/>
    </w:pPr>
    <w:rPr>
      <w:lang w:eastAsia="en-ZA"/>
    </w:rPr>
  </w:style>
  <w:style w:type="character" w:customStyle="1" w:styleId="apple-converted-space">
    <w:name w:val="apple-converted-space"/>
    <w:basedOn w:val="DefaultParagraphFont"/>
    <w:rsid w:val="001F0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swau.nl/mi/response/Ra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c.msu.edu/agecon/fs2/zambia/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iencemag.org/cgi/content/short/327/5971/1331" TargetMode="External"/><Relationship Id="rId4" Type="http://schemas.openxmlformats.org/officeDocument/2006/relationships/webSettings" Target="webSettings.xml"/><Relationship Id="rId9" Type="http://schemas.openxmlformats.org/officeDocument/2006/relationships/hyperlink" Target="http://www.aec.msu.edu/agecon/fs2/zambia/ondex.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8250</Words>
  <Characters>47029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c:creator>
  <cp:lastModifiedBy>Henry Jordaan</cp:lastModifiedBy>
  <cp:revision>4</cp:revision>
  <dcterms:created xsi:type="dcterms:W3CDTF">2012-06-15T16:35:00Z</dcterms:created>
  <dcterms:modified xsi:type="dcterms:W3CDTF">2012-10-16T09:13:00Z</dcterms:modified>
</cp:coreProperties>
</file>