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вход стационарной линейной системы с частотной характеристикой </w:t>
      </w:r>
      <m:oMathPara>
        <m:oMathParaPr/>
        <m:oMath>
          <m:r>
            <w:rPr>
              <w:rFonts w:ascii="Cambria Math" w:hAnsi="Cambria Math" w:cs="Times New Roman"/>
              <w:sz w:val="28"/>
              <w:szCs w:val="28"/>
            </w:rPr>
            <m:rPr/>
            <m:t>W(jω)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поступает стационарный случайный процесс </w:t>
      </w:r>
      <m:oMathPara>
        <m:oMathParaPr/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X(t)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ковариационной функцией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K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x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τ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)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Требуется определить: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 Спектральную плотность выходного сигнала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(ω)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 Дисперсию выходного сигнала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установившемся режиме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Дано: 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Студенты, фамилии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(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АЛЕЕВА)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которых начинаются с букв А, Б, В,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Г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Д, Е, выполняют контрольное задание для следующих ковариационных функций и частотной характеристики системы:</w:t>
      </w:r>
      <w:r/>
    </w:p>
    <w:p>
      <w:pPr>
        <w:jc w:val="center"/>
        <w:rPr>
          <w:rFonts w:ascii="Times New Roman" w:hAnsi="Times New Roman" w:cs="Times New Roman" w:eastAsia="Calibri"/>
          <w:sz w:val="28"/>
          <w:szCs w:val="28"/>
        </w:rPr>
      </w:pPr>
      <w:r/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K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x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τ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e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τ</m:t>
                  </m:r>
                </m:e>
              </m:d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,</m:t>
          </m:r>
        </m:oMath>
      </m:oMathPara>
      <w:r/>
      <w:r/>
    </w:p>
    <w:p>
      <w:pPr>
        <w:jc w:val="center"/>
        <w:rPr>
          <w:rFonts w:ascii="Times New Roman" w:hAnsi="Times New Roman" w:cs="Times New Roman" w:eastAsia="Calibri"/>
          <w:sz w:val="28"/>
          <w:szCs w:val="28"/>
        </w:rPr>
      </w:pPr>
      <w:r/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rPr/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K(1+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jω)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jω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.</m:t>
          </m:r>
        </m:oMath>
      </m:oMathPara>
      <w:r/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исходные данные к контрольной работе </w:t>
      </w:r>
      <m:oMathPara>
        <m:oMathParaPr/>
        <m:oMath>
          <m:r>
            <w:rPr>
              <w:rFonts w:ascii="Cambria Math" w:hAnsi="Cambria Math" w:cs="Times New Roman"/>
              <w:sz w:val="28"/>
              <w:szCs w:val="28"/>
            </w:rPr>
            <m:rPr/>
            <m:t>σ,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α, β, </m:t>
          </m:r>
          <m:r>
            <w:rPr>
              <w:rFonts w:ascii="Cambria Math" w:hAnsi="Cambria Math" w:cs="Times New Roman" w:eastAsia="Calibri"/>
              <w:sz w:val="28"/>
              <w:szCs w:val="28"/>
              <w:lang w:val="en-US"/>
            </w:rPr>
            <m:rPr/>
            <m:t>k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 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 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необходимые для определения ковариационной функции и частотной характеристики системы, из таблицы 1 в соответствии с вариантом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jc w:val="right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Таблица 1</w:t>
      </w:r>
      <w:r/>
    </w:p>
    <w:tbl>
      <w:tblPr>
        <w:tblStyle w:val="117"/>
        <w:tblW w:w="0" w:type="auto"/>
        <w:tblLook w:val="04A0" w:firstRow="1" w:lastRow="0" w:firstColumn="1" w:lastColumn="0" w:noHBand="0" w:noVBand="1"/>
      </w:tblPr>
      <w:tblGrid>
        <w:gridCol w:w="1285"/>
        <w:gridCol w:w="1184"/>
        <w:gridCol w:w="1184"/>
        <w:gridCol w:w="1183"/>
        <w:gridCol w:w="1183"/>
        <w:gridCol w:w="1184"/>
        <w:gridCol w:w="1184"/>
        <w:gridCol w:w="1184"/>
      </w:tblGrid>
      <w:tr>
        <w:trPr/>
        <w:tc>
          <w:tcPr>
            <w:tcW w:w="12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варианта</w:t>
            </w:r>
            <w:r/>
          </w:p>
        </w:tc>
        <w:tc>
          <w:tcPr>
            <w:gridSpan w:val="3"/>
            <w:tcW w:w="3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параметров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ковариационной функции входного сигнала, </w:t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Times New Roman" w:eastAsia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eastAsia="Calibri"/>
                        <w:sz w:val="28"/>
                        <w:szCs w:val="28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 w:hAnsi="Cambria Math" w:cs="Times New Roman" w:eastAsia="Calibri"/>
                        <w:sz w:val="28"/>
                        <w:szCs w:val="28"/>
                      </w:rPr>
                      <m:rPr/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 w:eastAsia="Calibr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 w:eastAsia="Calibri"/>
                        <w:sz w:val="28"/>
                        <w:szCs w:val="28"/>
                      </w:rPr>
                      <m:rPr/>
                      <m:t>τ</m:t>
                    </m:r>
                  </m:e>
                </m:d>
              </m:oMath>
            </m:oMathPara>
            <w:r/>
            <w:r/>
          </w:p>
        </w:tc>
        <w:tc>
          <w:tcPr>
            <w:gridSpan w:val="4"/>
            <w:tcW w:w="47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 параметров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частотной характеристики системы, </w:t>
            </w:r>
            <m:oMathPara>
              <m:oMathParaPr/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jω</m:t>
                    </m:r>
                  </m:e>
                </m:d>
              </m:oMath>
            </m:oMathPara>
            <w:r/>
            <w:r/>
          </w:p>
        </w:tc>
      </w:tr>
      <w:tr>
        <w:trPr/>
        <w:tc>
          <w:tcPr>
            <w:tcW w:w="12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/>
            <m:oMathPara>
              <m:oMathParaPr/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σ, м</m:t>
                </m:r>
              </m:oMath>
            </m:oMathPara>
            <w:r/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/>
            <m:oMathPara>
              <m:oMathParaPr/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α,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-1</m:t>
                    </m:r>
                  </m:sup>
                </m:sSup>
              </m:oMath>
            </m:oMathPara>
            <w:r/>
            <w:r/>
          </w:p>
        </w:tc>
        <w:tc>
          <w:tcPr>
            <w:tcW w:w="1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/>
            <m:oMathPara>
              <m:oMathParaPr/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β,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-1</m:t>
                    </m:r>
                  </m:sup>
                </m:sSup>
              </m:oMath>
            </m:oMathPara>
            <w:r/>
            <w:r/>
          </w:p>
        </w:tc>
        <w:tc>
          <w:tcPr>
            <w:tcW w:w="1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K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/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, с</m:t>
                </m:r>
              </m:oMath>
            </m:oMathPara>
            <w:r/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/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rPr/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rPr/>
                  <m:t>, с</m:t>
                </m:r>
              </m:oMath>
            </m:oMathPara>
            <w:r/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ξ</w:t>
            </w:r>
            <w:r/>
          </w:p>
        </w:tc>
      </w:tr>
      <w:tr>
        <w:trPr/>
        <w:tc>
          <w:tcPr>
            <w:tcW w:w="12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</w:t>
            </w:r>
            <w:r/>
          </w:p>
        </w:tc>
        <w:tc>
          <w:tcPr>
            <w:tcW w:w="1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0.01</w:t>
            </w:r>
            <w:r/>
          </w:p>
        </w:tc>
        <w:tc>
          <w:tcPr>
            <w:tcW w:w="1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0.99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0.714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</w:r>
      <w:r/>
    </w:p>
    <w:p>
      <w:pPr>
        <w:pStyle w:val="11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Спектральная плотность входного сигнала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Para>
        <m:oMathParaPr/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rPr/>
            <m:t>(ω)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преобразованию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Хинчина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):</w:t>
      </w:r>
      <w:r/>
    </w:p>
    <w:p>
      <w:pPr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/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nary>
            <m:naryPr>
              <m:grow m:val="false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-jωτ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rPr/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τ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rPr/>
            <m:t>dτ=</m:t>
          </m:r>
          <m:nary>
            <m:naryPr>
              <m:grow m:val="false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-jωτ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rPr/>
            <m:t>∙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e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τ</m:t>
                  </m:r>
                </m:e>
              </m:d>
            </m:sup>
          </m:sSup>
          <m:r>
            <w:rPr>
              <w:rFonts w:ascii="Cambria Math" w:hAnsi="Cambria Math" w:cs="Times New Roman" w:eastAsia="Calibri"/>
              <w:sz w:val="28"/>
              <w:szCs w:val="28"/>
              <w:lang w:val="en-US"/>
            </w:rPr>
            <m:rPr/>
            <m:t>dτ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=</w:t>
      </w:r>
      <m:oMathPara>
        <m:oMathParaPr/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/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nary>
                <m:naryPr>
                  <m:grow m:val="false"/>
                  <m:limLoc m:val="undOvr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-jωτ+ατ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dτ</m:t>
                  </m:r>
                </m:e>
              </m:nary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nary>
                <m:naryPr>
                  <m:grow m:val="false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+∞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-jωτ-ατ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dτ</m:t>
                  </m:r>
                </m:e>
              </m:nary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nary>
                <m:naryPr>
                  <m:grow m:val="false"/>
                  <m:limLoc m:val="undOvr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-∞</m:t>
                  </m:r>
                </m:sub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α-jω</m:t>
                          </m:r>
                        </m:e>
                      </m:d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τ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dt+</m:t>
              </m:r>
              <m:nary>
                <m:naryPr>
                  <m:grow m:val="false"/>
                  <m:limLoc m:val="undOvr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b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+∞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α+jω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dt</m:t>
                  </m:r>
                </m:e>
              </m:nary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 w:eastAsia="Calibr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 w:eastAsia="Calibri"/>
                                  <w:sz w:val="28"/>
                                  <w:szCs w:val="28"/>
                                </w:rPr>
                                <m:rPr/>
                                <m:t>α-jω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τ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α-jω</m:t>
                      </m:r>
                    </m:den>
                  </m:f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  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 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 w:eastAsia="Calibr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 w:eastAsia="Calibri"/>
                                  <w:sz w:val="28"/>
                                  <w:szCs w:val="28"/>
                                </w:rPr>
                                <m:rPr/>
                                <m:t>α+jω</m:t>
                              </m:r>
                            </m:e>
                          </m:d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α+jω</m:t>
                      </m:r>
                    </m:den>
                  </m:f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    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σ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α-jω</m:t>
                  </m:r>
                </m:den>
              </m:f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-0-0+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α+jω</m:t>
                  </m:r>
                </m:den>
              </m:f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α-jω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α+jω</m:t>
              </m:r>
            </m:den>
          </m:f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α+jω</m:t>
                  </m:r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α-jω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α-jω</m:t>
                  </m:r>
                </m:e>
              </m:d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α+jω</m:t>
                  </m:r>
                </m:e>
              </m:d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α-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num>
            <m:den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.</m:t>
          </m:r>
        </m:oMath>
      </m:oMathPara>
      <w:r/>
      <w:r/>
    </w:p>
    <w:p>
      <w:pPr>
        <w:pStyle w:val="118"/>
        <w:numPr>
          <w:ilvl w:val="0"/>
          <w:numId w:val="1"/>
        </w:numPr>
        <w:rPr>
          <w:rFonts w:ascii="Times New Roman" w:hAnsi="Times New Roman" w:cs="Times New Roman" w:eastAsia="Calibri"/>
          <w:sz w:val="28"/>
          <w:szCs w:val="28"/>
          <w:lang w:val="en-US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Спектральная плотность выходного сигнала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(ω)</m:t>
          </m:r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sz w:val="28"/>
          <w:szCs w:val="28"/>
          <w:lang w:val="en-US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jω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K(1+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jω)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jω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den>
          </m:f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sz w:val="28"/>
          <w:szCs w:val="28"/>
          <w:lang w:val="en-US"/>
        </w:rPr>
      </w:pPr>
      <w:r/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jω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/>
              <w:sz w:val="28"/>
              <w:szCs w:val="28"/>
            </w:rPr>
            <m:rPr/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rPr/>
            <m:t>∙W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-jω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jω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jω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jω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jω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den>
          </m:f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  <w:lang w:val="en-US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  <w:lang w:val="en-US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den>
          </m:f>
        </m:oMath>
      </m:oMathPara>
      <w:r/>
      <w:r/>
    </w:p>
    <w:p>
      <w:pPr>
        <w:pStyle w:val="118"/>
        <w:numPr>
          <w:ilvl w:val="0"/>
          <w:numId w:val="1"/>
        </w:num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Дисперсия выходного сигнала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установившемся режиме:</w:t>
      </w:r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  <w:lang w:val="en-US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2π</m:t>
              </m:r>
            </m:den>
          </m:f>
          <m:nary>
            <m:naryPr>
              <m:grow m:val="false"/>
              <m:limLoc m:val="undOvr"/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+∞</m:t>
              </m:r>
            </m:sup>
            <m:e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  <w:lang w:val="en-US"/>
                    </w:rPr>
                    <m:rPr/>
                    <m:t>S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dω=</m:t>
              </m:r>
            </m:e>
          </m:nary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∙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π</m:t>
              </m:r>
            </m:den>
          </m:f>
          <m:nary>
            <m:naryPr>
              <m:grow m:val="false"/>
              <m:limLoc m:val="undOvr"/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1+</m:t>
                      </m:r>
                      <m:sSubSup>
                        <m:sSubSupPr>
                          <m:alnScr m:val="false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1+</m:t>
                      </m:r>
                      <m:sSubSup>
                        <m:sSubSupPr>
                          <m:alnScr m:val="false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rPr/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∙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σ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dω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=</m:t>
              </m:r>
            </m:e>
          </m:nary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π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∙2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den>
          </m:f>
          <m:nary>
            <m:naryPr>
              <m:grow m:val="false"/>
              <m:limLoc m:val="undOvr"/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(1+</m:t>
                  </m:r>
                  <m:sSubSup>
                    <m:sSubSupPr>
                      <m:alnScr m:val="false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(1+</m:t>
                  </m:r>
                  <m:sSubSup>
                    <m:sSubSupPr>
                      <m:alnScr m:val="false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)∙</m:t>
                  </m:r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(α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p>
                  </m:s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dω</m:t>
              </m:r>
            </m:e>
          </m:nary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Числитель:</w:t>
      </w:r>
      <w:r/>
    </w:p>
    <w:p>
      <w:pPr>
        <w:ind w:left="360"/>
        <w:rPr>
          <w:rFonts w:ascii="Times New Roman" w:hAnsi="Times New Roman" w:cs="Times New Roman" w:eastAsia="Calibri"/>
          <w:sz w:val="28"/>
          <w:szCs w:val="28"/>
        </w:rPr>
      </w:pPr>
      <w:r/>
      <m:oMathPara>
        <m:oMathParaPr/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G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(jω)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2n-2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(jω)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2n-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4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. ..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n-1</m:t>
              </m:r>
            </m:sub>
          </m:sSub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  <w:lang w:val="en-US"/>
        </w:rPr>
      </w:pPr>
      <w:r/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G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/>
              <w:sz w:val="28"/>
              <w:szCs w:val="28"/>
            </w:rPr>
            <m:rPr/>
            <m:t>1+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+1=-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+1=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</m:t>
          </m:r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  <w:t xml:space="preserve">где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/>
              <w:sz w:val="28"/>
              <w:szCs w:val="28"/>
            </w:rPr>
            <m:rPr/>
            <m:t>-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</m:oMath>
      </m:oMathPara>
      <w:r>
        <w:rPr>
          <w:rFonts w:ascii="Times New Roman" w:hAnsi="Times New Roman" w:cs="Times New Roman" w:eastAsia="Calibri"/>
          <w:i/>
          <w:sz w:val="28"/>
          <w:szCs w:val="28"/>
        </w:rPr>
        <w:t xml:space="preserve">,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b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=1</m:t>
          </m:r>
        </m:oMath>
      </m:oMathPara>
      <w:r>
        <w:rPr>
          <w:rFonts w:ascii="Times New Roman" w:hAnsi="Times New Roman" w:cs="Times New Roman" w:eastAsia="Calibri"/>
          <w:i/>
          <w:sz w:val="28"/>
          <w:szCs w:val="28"/>
        </w:rPr>
        <w:t xml:space="preserve"> .</w:t>
      </w:r>
      <w:r/>
    </w:p>
    <w:p>
      <w:pPr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Знаменатель:</w:t>
      </w:r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A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A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-1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 . . . 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;</m:t>
          </m:r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A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A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/>
              <w:sz w:val="28"/>
              <w:szCs w:val="28"/>
            </w:rPr>
            <m:rPr/>
            <m:t>(1+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)∙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(α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)∙</m:t>
          </m:r>
          <m:r>
            <w:rPr>
              <w:rFonts w:ascii="Cambria Math" w:hAnsi="Cambria Math" w:cs="Times New Roman"/>
              <w:sz w:val="28"/>
              <w:szCs w:val="28"/>
            </w:rPr>
            <m:rPr/>
            <m:t>(1-</m:t>
          </m:r>
          <m:sSubSup>
            <m:sSubSupPr>
              <m:alnScr m:val="false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rPr/>
            <m:t>)∙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(α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-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)=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1+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  <w:lang w:val="en-US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1-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α+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α-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;</m:t>
          </m:r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  <w:lang w:val="en-US"/>
        </w:rPr>
      </w:pPr>
      <w:r/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A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1+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  <w:lang w:val="en-US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=α+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jω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jω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α+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jωjω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α+jω+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jωα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(j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ω)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(j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ω)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jω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+α=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  <w:lang w:val="en-US"/>
            </w:rPr>
            <m:rPr/>
            <m:t>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0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(j</m:t>
          </m:r>
          <m:sSup>
            <m:sSup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ω)</m:t>
              </m:r>
            </m:e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p>
          </m:sSup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jω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+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</m:t>
          </m:r>
        </m:oMath>
      </m:oMathPara>
      <w:r/>
      <w:r/>
    </w:p>
    <w:p>
      <w:pPr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  <w:t xml:space="preserve">     где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T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,</m:t>
          </m:r>
        </m:oMath>
      </m:oMathPara>
      <w:r>
        <w:rPr>
          <w:rFonts w:ascii="Times New Roman" w:hAnsi="Times New Roman" w:cs="Times New Roman" w:eastAsia="Calibri"/>
          <w:i/>
          <w:sz w:val="28"/>
          <w:szCs w:val="28"/>
        </w:rPr>
        <w:t xml:space="preserve">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e>
          </m:d>
        </m:oMath>
      </m:oMathPara>
      <w:r>
        <w:rPr>
          <w:rFonts w:ascii="Times New Roman" w:hAnsi="Times New Roman" w:cs="Times New Roman" w:eastAsia="Calibri"/>
          <w:i/>
          <w:sz w:val="28"/>
          <w:szCs w:val="28"/>
        </w:rPr>
        <w:t xml:space="preserve">,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a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=α</m:t>
          </m:r>
        </m:oMath>
      </m:oMathPara>
      <w:r>
        <w:rPr>
          <w:rFonts w:ascii="Times New Roman" w:hAnsi="Times New Roman" w:cs="Times New Roman" w:eastAsia="Calibri"/>
          <w:i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Представим подынтегральное выражение в виде:</w:t>
      </w:r>
      <w:r/>
    </w:p>
    <w:p>
      <w:pPr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G</m:t>
              </m:r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jω</m:t>
                  </m:r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A</m:t>
              </m:r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-jω</m:t>
                  </m:r>
                </m:e>
              </m:d>
            </m:den>
          </m:f>
        </m:oMath>
      </m:oMathPara>
      <w:r/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Обозначим через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I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b>
          </m:sSub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искомый интеграл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I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2π</m:t>
              </m:r>
            </m:den>
          </m:f>
          <m:nary>
            <m:naryPr>
              <m:grow m:val="false"/>
              <m:limLoc m:val="undOvr"/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-∞</m:t>
              </m:r>
            </m:sub>
            <m: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+∞</m:t>
              </m:r>
            </m:sup>
            <m:e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  <w:lang w:val="en-US"/>
                    </w:rPr>
                    <m:rPr/>
                    <m:t>S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</m:d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dω=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num>
                <m:den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2π</m:t>
                  </m:r>
                </m:den>
              </m:f>
              <m:nary>
                <m:naryPr>
                  <m:grow m:val="false"/>
                  <m:limLoc m:val="undOvr"/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-∞</m:t>
                  </m:r>
                </m:sub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+∞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jω</m:t>
                          </m:r>
                        </m:e>
                      </m:d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  <w:lang w:val="en-US"/>
                        </w:rPr>
                        <m:rPr/>
                        <m:t>dω</m:t>
                      </m:r>
                    </m:num>
                    <m:den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jω</m:t>
                          </m:r>
                        </m:e>
                      </m:d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 w:cs="Times New Roman" w:eastAsia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 w:eastAsia="Calibri"/>
                              <w:sz w:val="28"/>
                              <w:szCs w:val="28"/>
                            </w:rPr>
                            <m:rPr/>
                            <m:t>-jω</m:t>
                          </m:r>
                        </m:e>
                      </m:d>
                    </m:den>
                  </m:f>
                </m:e>
              </m:nary>
            </m:e>
          </m:nary>
        </m:oMath>
      </m:oMathPara>
      <w:r/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Интеграл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I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табулирован и определяется следующей формулой:</w:t>
      </w:r>
      <w:r/>
    </w:p>
    <w:p>
      <w:pPr>
        <w:rPr>
          <w:rFonts w:ascii="Cambria Math" w:hAnsi="Cambria Math" w:cs="Times New Roman" w:eastAsia="Calibri"/>
          <w:sz w:val="28"/>
          <w:szCs w:val="28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I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n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b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a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a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sub>
              </m:sSub>
            </m:den>
          </m:f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π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I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π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-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b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a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a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sub>
              </m:sSub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π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∙1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α</m:t>
                  </m:r>
                </m:den>
              </m:f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2∙</m:t>
              </m:r>
              <m:sSub>
                <m:sSub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b>
              </m:s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∙</m:t>
              </m:r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 w:eastAsia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 w:eastAsia="Calibri"/>
                          <w:sz w:val="28"/>
                          <w:szCs w:val="28"/>
                        </w:rPr>
                        <m:rPr/>
                        <m:t>2</m:t>
                      </m:r>
                    </m:sub>
                  </m:sSub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+</m:t>
                  </m:r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e>
              </m:d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0.99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∙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∙0.2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3.14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0.5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f>
                <m:f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1.5</m:t>
                  </m:r>
                </m:num>
                <m:den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0.2</m:t>
                  </m:r>
                </m:den>
              </m:f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2∙1.5∙</m:t>
              </m:r>
              <m:d>
                <m:d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1.5</m:t>
                  </m:r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∙0.2+1</m:t>
                  </m:r>
                </m:e>
              </m:d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0.19602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3.14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(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0.25+7.5</m:t>
              </m:r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)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3∙1.3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</m:oMath>
      </m:oMathPara>
      <w:r>
        <w:br/>
      </w:r>
      <m:oMathPara>
        <m:oMathParaPr>
          <m:jc m:val="left"/>
        </m:oMathParaPr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0.19602∙7.75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3.14∙3.9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1.519155</m:t>
              </m:r>
            </m:num>
            <m:den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12.246</m:t>
              </m:r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=0.124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м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.</m:t>
          </m:r>
        </m:oMath>
      </m:oMathPara>
      <w:r/>
      <w:r/>
    </w:p>
    <w:p>
      <w:pPr>
        <w:ind w:left="360"/>
        <w:rPr>
          <w:rFonts w:ascii="Times New Roman" w:hAnsi="Times New Roman" w:cs="Times New Roman" w:eastAsia="Calibri"/>
          <w:i/>
          <w:sz w:val="28"/>
          <w:szCs w:val="28"/>
        </w:rPr>
      </w:pPr>
      <w:r/>
      <m:oMathPara>
        <m:oMathParaPr/>
        <m:oMath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Выводы: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в данной контрльной работе мы нашли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пектральную плотность выходного сигнала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  <w:lang w:val="en-US"/>
                </w:rPr>
                <m:rPr/>
                <m:t>S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ω</m:t>
              </m:r>
            </m:e>
          </m:d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(1+</m:t>
              </m:r>
              <m:sSubSup>
                <m:sSubSupPr>
                  <m:alnScr m:val="false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rPr/>
            <m:t>∙</m:t>
          </m:r>
          <m:f>
            <m:f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2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σ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α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+</m:t>
              </m:r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ω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den>
          </m:f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 ,</m:t>
          </m:r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исперсию выходного сигнала </w:t>
      </w:r>
      <m:oMathPara>
        <m:oMathParaPr/>
        <m:oMath>
          <m:sSub>
            <m:sSub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D</m:t>
              </m:r>
            </m:e>
            <m:sub>
              <m:r>
                <w:rPr>
                  <w:rFonts w:ascii="Cambria Math" w:hAnsi="Cambria Math" w:cs="Times New Roman" w:eastAsia="Calibri"/>
                  <w:sz w:val="28"/>
                  <w:szCs w:val="28"/>
                </w:rPr>
                <m:rPr/>
                <m:t>Y</m:t>
              </m:r>
            </m:sub>
          </m:sSub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=</m:t>
          </m:r>
          <m:r>
            <w:rPr>
              <w:rFonts w:ascii="Cambria Math" w:hAnsi="Cambria Math" w:cs="Times New Roman" w:eastAsia="Calibri"/>
              <w:sz w:val="28"/>
              <w:szCs w:val="28"/>
            </w:rPr>
            <m:rPr/>
            <m:t>0.124</m:t>
          </m:r>
          <m:d>
            <m:dPr>
              <m:ctrlPr>
                <w:rPr>
                  <w:rFonts w:ascii="Cambria Math" w:hAnsi="Cambria Math" w:cs="Times New Roman" w:eastAsia="Calibri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 w:eastAsia="Calibr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м</m:t>
                  </m:r>
                </m:e>
                <m:sup>
                  <m:r>
                    <w:rPr>
                      <w:rFonts w:ascii="Cambria Math" w:hAnsi="Cambria Math" w:cs="Times New Roman" w:eastAsia="Calibri"/>
                      <w:sz w:val="28"/>
                      <w:szCs w:val="28"/>
                    </w:rPr>
                    <m:rPr/>
                    <m:t>2</m:t>
                  </m:r>
                </m:sup>
              </m:sSup>
            </m:e>
          </m:d>
        </m:oMath>
      </m:oMathPara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установившемся режиме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ambria Math">
    <w:panose1 w:val="02040503050406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10"/>
    <w:next w:val="11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10"/>
    <w:next w:val="11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10"/>
    <w:next w:val="11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10"/>
    <w:next w:val="11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10"/>
    <w:next w:val="11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10"/>
    <w:next w:val="11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10"/>
    <w:next w:val="11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10"/>
    <w:next w:val="11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10"/>
    <w:next w:val="11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10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10"/>
    <w:next w:val="11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10"/>
    <w:next w:val="110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10"/>
    <w:next w:val="11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10"/>
    <w:next w:val="11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10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10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30">
    <w:name w:val="Lined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10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1"/>
    <w:uiPriority w:val="99"/>
    <w:semiHidden/>
    <w:rPr>
      <w:sz w:val="20"/>
    </w:rPr>
  </w:style>
  <w:style w:type="character" w:styleId="54">
    <w:name w:val="footnote reference"/>
    <w:basedOn w:val="111"/>
    <w:uiPriority w:val="99"/>
    <w:semiHidden/>
    <w:unhideWhenUsed/>
    <w:rPr>
      <w:vertAlign w:val="superscript"/>
    </w:rPr>
  </w:style>
  <w:style w:type="paragraph" w:styleId="110" w:default="1">
    <w:name w:val="Normal"/>
    <w:qFormat/>
  </w:style>
  <w:style w:type="character" w:styleId="111" w:default="1">
    <w:name w:val="Default Paragraph Font"/>
    <w:uiPriority w:val="1"/>
    <w:semiHidden/>
    <w:unhideWhenUsed/>
  </w:style>
  <w:style w:type="table" w:styleId="1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3" w:default="1">
    <w:name w:val="No List"/>
    <w:uiPriority w:val="99"/>
    <w:semiHidden/>
    <w:unhideWhenUsed/>
  </w:style>
  <w:style w:type="character" w:styleId="114">
    <w:name w:val="Placeholder Text"/>
    <w:basedOn w:val="111"/>
    <w:uiPriority w:val="99"/>
    <w:semiHidden/>
    <w:rPr>
      <w:color w:val="808080"/>
    </w:rPr>
  </w:style>
  <w:style w:type="paragraph" w:styleId="115">
    <w:name w:val="Balloon Text"/>
    <w:basedOn w:val="11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16">
    <w:name w:val="Текст выноски Знак"/>
    <w:basedOn w:val="111"/>
    <w:uiPriority w:val="99"/>
    <w:semiHidden/>
    <w:rPr>
      <w:rFonts w:ascii="Tahoma" w:hAnsi="Tahoma" w:cs="Tahoma"/>
      <w:sz w:val="16"/>
      <w:szCs w:val="16"/>
    </w:rPr>
  </w:style>
  <w:style w:type="table" w:styleId="117">
    <w:name w:val="Table Grid"/>
    <w:basedOn w:val="1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18">
    <w:name w:val="List Paragraph"/>
    <w:basedOn w:val="11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