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b/>
          <w:sz w:val="24"/>
          <w:b/>
          <w:szCs w:val="24"/>
          <w:rFonts w:cs="Calibri" w:cstheme="minorHAnsi"/>
        </w:rPr>
      </w:pPr>
      <w:r>
        <w:rPr>
          <w:rFonts w:cs="Calibri" w:cstheme="minorHAnsi"/>
          <w:b/>
          <w:sz w:val="24"/>
          <w:szCs w:val="24"/>
        </w:rPr>
        <w:t>Locating EV Charging Stations</w:t>
      </w:r>
    </w:p>
    <w:p>
      <w:pPr>
        <w:pStyle w:val="Normal"/>
        <w:rPr>
          <w:sz w:val="24"/>
          <w:sz w:val="24"/>
          <w:szCs w:val="24"/>
        </w:rPr>
      </w:pPr>
      <w:r>
        <w:rPr>
          <w:sz w:val="24"/>
          <w:szCs w:val="24"/>
        </w:rPr>
        <w:t xml:space="preserve">A growing EV charging infrastructure exists in the metropolitan Washington region as a result of stimulus funding through state governments and private investment. To facilitate EV deployment in the region, investment in EV charging stations should to address the needs of EV owners, or the investments made will go unused and EV ownership will continue to be a small minority of vehicles on the road. </w:t>
      </w:r>
    </w:p>
    <w:p>
      <w:pPr>
        <w:pStyle w:val="Normal"/>
        <w:rPr>
          <w:sz w:val="24"/>
          <w:sz w:val="24"/>
          <w:szCs w:val="24"/>
        </w:rPr>
      </w:pPr>
      <w:r>
        <w:rPr>
          <w:sz w:val="24"/>
          <w:szCs w:val="24"/>
        </w:rPr>
      </w:r>
    </w:p>
    <w:p>
      <w:pPr>
        <w:pStyle w:val="ListParagraph"/>
        <w:spacing w:before="0" w:after="0"/>
        <w:ind w:left="0" w:hanging="0"/>
        <w:rPr>
          <w:sz w:val="24"/>
          <w:sz w:val="24"/>
          <w:szCs w:val="24"/>
        </w:rPr>
      </w:pPr>
      <w:r>
        <w:rPr>
          <w:sz w:val="24"/>
          <w:szCs w:val="24"/>
        </w:rPr>
        <w:t xml:space="preserve">Information about driving behavior in the region and EV ownership are important factors in making decisions about investing in EVSE equipment. Experience in regions having developed EV infrastructure indicates that most EV charging is done at home.  The next most frequent location for charging is at major places of employment. </w:t>
      </w:r>
    </w:p>
    <w:p>
      <w:pPr>
        <w:pStyle w:val="ListParagraph"/>
        <w:spacing w:before="0" w:after="0"/>
        <w:ind w:left="0" w:hanging="0"/>
        <w:rPr>
          <w:sz w:val="24"/>
          <w:sz w:val="24"/>
          <w:szCs w:val="24"/>
        </w:rPr>
      </w:pPr>
      <w:r>
        <w:rPr>
          <w:sz w:val="24"/>
          <w:szCs w:val="24"/>
        </w:rPr>
      </w:r>
    </w:p>
    <w:p>
      <w:pPr>
        <w:pStyle w:val="ListParagraph"/>
        <w:spacing w:before="0" w:after="0"/>
        <w:ind w:left="0" w:hanging="0"/>
        <w:rPr>
          <w:sz w:val="24"/>
          <w:sz w:val="24"/>
          <w:szCs w:val="24"/>
        </w:rPr>
      </w:pPr>
      <w:r>
        <w:rPr>
          <w:sz w:val="24"/>
          <w:szCs w:val="24"/>
        </w:rPr>
        <w:t>Information about household travel demand data has potential and EV ownership in the region will be important to deciding where and how many charging stations to locate at places of major employment, retail, public facilities and entertainment destinations. Some of this data is presented in this report but more analysis is needed.</w:t>
      </w:r>
    </w:p>
    <w:p>
      <w:pPr>
        <w:pStyle w:val="ListParagraph"/>
        <w:spacing w:before="0" w:after="0"/>
        <w:ind w:left="0" w:hanging="0"/>
        <w:rPr>
          <w:sz w:val="24"/>
          <w:sz w:val="24"/>
          <w:szCs w:val="24"/>
        </w:rPr>
      </w:pPr>
      <w:r>
        <w:rPr>
          <w:sz w:val="24"/>
          <w:szCs w:val="24"/>
        </w:rPr>
      </w:r>
    </w:p>
    <w:p>
      <w:pPr>
        <w:pStyle w:val="ListParagraph"/>
        <w:spacing w:before="0" w:after="0"/>
        <w:ind w:left="0" w:hanging="0"/>
        <w:rPr>
          <w:sz w:val="24"/>
          <w:sz w:val="24"/>
          <w:szCs w:val="24"/>
        </w:rPr>
      </w:pPr>
      <w:r>
        <w:rPr>
          <w:sz w:val="24"/>
          <w:szCs w:val="24"/>
        </w:rPr>
        <w:t xml:space="preserve">The Stakeholder group addressed the questions of where EV infrastructure should be located and considered  the challenges of providing destination charging and providing access to charging for residents of multi-unit buildings. This section presents baseline information on EV ownership outlook and siting along with general site location recommendations.  Deployment planning strategies are presented with a preliminary regional needs analysis with best practices and examples to improve the network going forward.  </w:t>
      </w:r>
    </w:p>
    <w:p>
      <w:pPr>
        <w:pStyle w:val="Normal"/>
        <w:rPr>
          <w:sz w:val="24"/>
          <w:u w:val="single"/>
          <w:b/>
          <w:sz w:val="24"/>
          <w:b/>
          <w:szCs w:val="24"/>
        </w:rPr>
      </w:pPr>
      <w:r>
        <w:rPr>
          <w:b/>
          <w:sz w:val="24"/>
          <w:szCs w:val="24"/>
          <w:u w:val="single"/>
        </w:rPr>
      </w:r>
    </w:p>
    <w:p>
      <w:pPr>
        <w:pStyle w:val="Normal"/>
        <w:rPr>
          <w:sz w:val="24"/>
          <w:u w:val="single"/>
          <w:b/>
          <w:sz w:val="24"/>
          <w:b/>
          <w:szCs w:val="24"/>
        </w:rPr>
      </w:pPr>
      <w:r>
        <w:rPr>
          <w:b/>
          <w:sz w:val="24"/>
          <w:szCs w:val="24"/>
          <w:u w:val="single"/>
        </w:rPr>
        <w:t>EV Ownership</w:t>
      </w:r>
    </w:p>
    <w:p>
      <w:pPr>
        <w:pStyle w:val="Normal"/>
        <w:rPr>
          <w:sz w:val="24"/>
          <w:u w:val="single"/>
          <w:b/>
          <w:sz w:val="24"/>
          <w:b/>
          <w:szCs w:val="24"/>
        </w:rPr>
      </w:pPr>
      <w:r>
        <w:rPr>
          <w:b/>
          <w:sz w:val="24"/>
          <w:szCs w:val="24"/>
          <w:u w:val="single"/>
        </w:rPr>
      </w:r>
    </w:p>
    <w:p>
      <w:pPr>
        <w:pStyle w:val="Normal"/>
        <w:rPr>
          <w:sz w:val="24"/>
          <w:b/>
          <w:sz w:val="24"/>
          <w:b/>
          <w:szCs w:val="24"/>
        </w:rPr>
      </w:pPr>
      <w:r>
        <w:rPr>
          <w:b/>
          <w:sz w:val="24"/>
          <w:szCs w:val="24"/>
        </w:rPr>
        <w:t>Outlook for EV Markets</w:t>
      </w:r>
    </w:p>
    <w:p>
      <w:pPr>
        <w:pStyle w:val="Normal"/>
        <w:rPr>
          <w:sz w:val="24"/>
          <w:sz w:val="24"/>
          <w:szCs w:val="24"/>
        </w:rPr>
      </w:pPr>
      <w:r>
        <w:rPr>
          <w:sz w:val="24"/>
          <w:szCs w:val="24"/>
        </w:rPr>
        <w:t>As Corporate Average Fuel Economy (CAFE) standards increase, automobile original equipment manufacturers (OEMs) are investing more in electric vehicles.  In July 2011, President Obama announced that vehicle manufacturers would be required to meet a fleet-wide average fuel economy of 55 miles per gallon by 2025.  In order to meet a 35.5 mpg in 2016, manufacturers are responding by releasing more high-efficiency vehicles.  Since 2009, the number of and subcompact vehicles rated at least 30 mpg has tripled, and large increases have also been seen in the mid-size and crossover categories as well.</w:t>
      </w:r>
      <w:r>
        <w:rPr>
          <w:rStyle w:val="FootnoteAnchor"/>
          <w:sz w:val="24"/>
          <w:szCs w:val="24"/>
        </w:rPr>
        <w:footnoteReference w:id="2"/>
      </w:r>
      <w:r>
        <w:rPr>
          <w:sz w:val="24"/>
          <w:szCs w:val="24"/>
        </w:rPr>
        <w:t xml:space="preserve">   Electric vehicles, which offer ratings of 75 to over 100 miles per gallon equivalent (MPGe), will play an increasingly important role in auto manufacturers’ fleets as they seek to meet the ambitious 2025 goal.</w:t>
      </w:r>
      <w:r>
        <w:rPr>
          <w:rStyle w:val="FootnoteAnchor"/>
          <w:sz w:val="24"/>
          <w:szCs w:val="24"/>
        </w:rPr>
        <w:footnoteReference w:id="3"/>
      </w:r>
      <w:r>
        <w:rPr>
          <w:sz w:val="24"/>
          <w:szCs w:val="24"/>
        </w:rPr>
        <w:t xml:space="preserve">  </w:t>
      </w:r>
      <w:r>
        <mc:AlternateContent>
          <mc:Choice Requires="wps">
            <w:drawing>
              <wp:anchor behindDoc="0" distT="0" distB="0" distL="114300" distR="114300" simplePos="0" locked="0" layoutInCell="1" allowOverlap="1" relativeHeight="6">
                <wp:simplePos x="0" y="0"/>
                <wp:positionH relativeFrom="column">
                  <wp:posOffset>2933065</wp:posOffset>
                </wp:positionH>
                <wp:positionV relativeFrom="paragraph">
                  <wp:posOffset>49530</wp:posOffset>
                </wp:positionV>
                <wp:extent cx="3288665" cy="1835150"/>
                <wp:effectExtent l="0" t="0" r="17145" b="17145"/>
                <wp:wrapSquare wrapText="bothSides"/>
                <wp:docPr id="1" name=""/>
                <a:graphic xmlns:a="http://schemas.openxmlformats.org/drawingml/2006/main">
                  <a:graphicData uri="http://schemas.microsoft.com/office/word/2010/wordprocessingShape">
                    <wps:wsp>
                      <wps:cNvSpPr txBox="1"/>
                      <wps:spPr>
                        <a:xfrm>
                          <a:off x="0" y="0"/>
                          <a:ext cx="3288665" cy="1835150"/>
                        </a:xfrm>
                        <a:prstGeom prst="rect"/>
                        <a:solidFill>
                          <a:srgbClr val="9BBB59"/>
                        </a:solidFill>
                        <a:ln w="38100">
                          <a:solidFill>
                            <a:srgbClr val="F2F2F2"/>
                          </a:solidFill>
                        </a:ln>
                        <a:effectLst>
                          <a:outerShdw dist="24130" dir="2700000">
                            <a:srgbClr val="4E6128"/>
                          </a:outerShdw>
                        </a:effectLst>
                      </wps:spPr>
                      <wps:txbx>
                        <w:txbxContent>
                          <w:p>
                            <w:pPr>
                              <w:pStyle w:val="FrameContents"/>
                              <w:jc w:val="center"/>
                              <w:rPr>
                                <w:b/>
                                <w:b/>
                                <w:color w:val="FFFFFF" w:themeColor="background1"/>
                              </w:rPr>
                            </w:pPr>
                            <w:r>
                              <w:rPr>
                                <w:b/>
                                <w:color w:val="FFFFFF" w:themeColor="background1"/>
                              </w:rPr>
                              <w:t>Summary: Factors Affecting EV Demand</w:t>
                            </w:r>
                          </w:p>
                          <w:p>
                            <w:pPr>
                              <w:pStyle w:val="FrameContents"/>
                              <w:rPr>
                                <w:color w:val="FFFFFF" w:themeColor="background1"/>
                              </w:rPr>
                            </w:pPr>
                            <w:r>
                              <w:rPr>
                                <w:i/>
                                <w:color w:val="FFFFFF" w:themeColor="background1"/>
                              </w:rPr>
                              <w:t>Global:</w:t>
                            </w:r>
                            <w:r>
                              <w:rPr>
                                <w:color w:val="FFFFFF" w:themeColor="background1"/>
                              </w:rPr>
                              <w:t xml:space="preserve"> Gasoline Prices</w:t>
                            </w:r>
                          </w:p>
                          <w:p>
                            <w:pPr>
                              <w:pStyle w:val="FrameContents"/>
                              <w:rPr>
                                <w:color w:val="FFFFFF" w:themeColor="background1"/>
                              </w:rPr>
                            </w:pPr>
                            <w:r>
                              <w:rPr>
                                <w:i/>
                                <w:color w:val="FFFFFF" w:themeColor="background1"/>
                              </w:rPr>
                              <w:t>National:</w:t>
                            </w:r>
                            <w:r>
                              <w:rPr>
                                <w:color w:val="FFFFFF" w:themeColor="background1"/>
                              </w:rPr>
                              <w:t xml:space="preserve"> Federal Grants, CAFÉ Standards, Tax Credits</w:t>
                            </w:r>
                          </w:p>
                          <w:p>
                            <w:pPr>
                              <w:pStyle w:val="FrameContents"/>
                              <w:rPr>
                                <w:color w:val="FFFFFF" w:themeColor="background1"/>
                              </w:rPr>
                            </w:pPr>
                            <w:r>
                              <w:rPr>
                                <w:i/>
                                <w:color w:val="FFFFFF" w:themeColor="background1"/>
                              </w:rPr>
                              <w:t>Regional:</w:t>
                            </w:r>
                            <w:r>
                              <w:rPr>
                                <w:color w:val="FFFFFF" w:themeColor="background1"/>
                              </w:rPr>
                              <w:t xml:space="preserve"> Electricity Prices</w:t>
                            </w:r>
                          </w:p>
                          <w:p>
                            <w:pPr>
                              <w:pStyle w:val="FrameContents"/>
                              <w:rPr>
                                <w:color w:val="FFFFFF" w:themeColor="background1"/>
                              </w:rPr>
                            </w:pPr>
                            <w:r>
                              <w:rPr>
                                <w:i/>
                                <w:color w:val="FFFFFF" w:themeColor="background1"/>
                              </w:rPr>
                              <w:t>State &amp; Local:</w:t>
                            </w:r>
                            <w:r>
                              <w:rPr>
                                <w:color w:val="FFFFFF" w:themeColor="background1"/>
                              </w:rPr>
                              <w:t xml:space="preserve"> Incentives and Requirements</w:t>
                            </w:r>
                          </w:p>
                          <w:p>
                            <w:pPr>
                              <w:pStyle w:val="FrameContents"/>
                            </w:pPr>
                            <w:r>
                              <w:rPr>
                                <w:i/>
                                <w:color w:val="FFFFFF" w:themeColor="background1"/>
                              </w:rPr>
                              <w:t xml:space="preserve">Consumer/Purchaser: Cost, Range, </w:t>
                            </w:r>
                            <w:r>
                              <w:rPr>
                                <w:color w:val="FFFFFF" w:themeColor="background1"/>
                              </w:rPr>
                              <w:t>Availability of EV models and availability of charging infrastructure</w:t>
                            </w:r>
                          </w:p>
                        </w:txbxContent>
                      </wps:txbx>
                      <wps:bodyPr anchor="t" lIns="91440" tIns="45720" rIns="91440" bIns="45720">
                        <a:noAutofit/>
                      </wps:bodyPr>
                    </wps:wsp>
                  </a:graphicData>
                </a:graphic>
              </wp:anchor>
            </w:drawing>
          </mc:Choice>
          <mc:Fallback>
            <w:pict>
              <v:rect fillcolor="#9BBB59" strokecolor="#F2F2F2" strokeweight="3pt" style="position:absolute;width:258.95pt;height:144.5pt;mso-wrap-distance-left:9pt;mso-wrap-distance-right:9pt;mso-wrap-distance-top:0pt;mso-wrap-distance-bottom:0pt;margin-top:3.9pt;margin-left:230.95pt">
                <v:shadow on="t" color="#4E6128" offset="1.35pt,1.35pt"/>
                <v:textbox>
                  <w:txbxContent>
                    <w:p>
                      <w:pPr>
                        <w:pStyle w:val="FrameContents"/>
                        <w:jc w:val="center"/>
                        <w:rPr>
                          <w:b/>
                          <w:b/>
                          <w:color w:val="FFFFFF" w:themeColor="background1"/>
                        </w:rPr>
                      </w:pPr>
                      <w:r>
                        <w:rPr>
                          <w:b/>
                          <w:color w:val="FFFFFF" w:themeColor="background1"/>
                        </w:rPr>
                        <w:t>Summary: Factors Affecting EV Demand</w:t>
                      </w:r>
                    </w:p>
                    <w:p>
                      <w:pPr>
                        <w:pStyle w:val="FrameContents"/>
                        <w:rPr>
                          <w:color w:val="FFFFFF" w:themeColor="background1"/>
                        </w:rPr>
                      </w:pPr>
                      <w:r>
                        <w:rPr>
                          <w:i/>
                          <w:color w:val="FFFFFF" w:themeColor="background1"/>
                        </w:rPr>
                        <w:t>Global:</w:t>
                      </w:r>
                      <w:r>
                        <w:rPr>
                          <w:color w:val="FFFFFF" w:themeColor="background1"/>
                        </w:rPr>
                        <w:t xml:space="preserve"> Gasoline Prices</w:t>
                      </w:r>
                    </w:p>
                    <w:p>
                      <w:pPr>
                        <w:pStyle w:val="FrameContents"/>
                        <w:rPr>
                          <w:color w:val="FFFFFF" w:themeColor="background1"/>
                        </w:rPr>
                      </w:pPr>
                      <w:r>
                        <w:rPr>
                          <w:i/>
                          <w:color w:val="FFFFFF" w:themeColor="background1"/>
                        </w:rPr>
                        <w:t>National:</w:t>
                      </w:r>
                      <w:r>
                        <w:rPr>
                          <w:color w:val="FFFFFF" w:themeColor="background1"/>
                        </w:rPr>
                        <w:t xml:space="preserve"> Federal Grants, CAFÉ Standards, Tax Credits</w:t>
                      </w:r>
                    </w:p>
                    <w:p>
                      <w:pPr>
                        <w:pStyle w:val="FrameContents"/>
                        <w:rPr>
                          <w:color w:val="FFFFFF" w:themeColor="background1"/>
                        </w:rPr>
                      </w:pPr>
                      <w:r>
                        <w:rPr>
                          <w:i/>
                          <w:color w:val="FFFFFF" w:themeColor="background1"/>
                        </w:rPr>
                        <w:t>Regional:</w:t>
                      </w:r>
                      <w:r>
                        <w:rPr>
                          <w:color w:val="FFFFFF" w:themeColor="background1"/>
                        </w:rPr>
                        <w:t xml:space="preserve"> Electricity Prices</w:t>
                      </w:r>
                    </w:p>
                    <w:p>
                      <w:pPr>
                        <w:pStyle w:val="FrameContents"/>
                        <w:rPr>
                          <w:color w:val="FFFFFF" w:themeColor="background1"/>
                        </w:rPr>
                      </w:pPr>
                      <w:r>
                        <w:rPr>
                          <w:i/>
                          <w:color w:val="FFFFFF" w:themeColor="background1"/>
                        </w:rPr>
                        <w:t>State &amp; Local:</w:t>
                      </w:r>
                      <w:r>
                        <w:rPr>
                          <w:color w:val="FFFFFF" w:themeColor="background1"/>
                        </w:rPr>
                        <w:t xml:space="preserve"> Incentives and Requirements</w:t>
                      </w:r>
                    </w:p>
                    <w:p>
                      <w:pPr>
                        <w:pStyle w:val="FrameContents"/>
                      </w:pPr>
                      <w:r>
                        <w:rPr>
                          <w:i/>
                          <w:color w:val="FFFFFF" w:themeColor="background1"/>
                        </w:rPr>
                        <w:t xml:space="preserve">Consumer/Purchaser: Cost, Range, </w:t>
                      </w:r>
                      <w:r>
                        <w:rPr>
                          <w:color w:val="FFFFFF" w:themeColor="background1"/>
                        </w:rPr>
                        <w:t>Availability of EV models and availability of charging infrastructure</w:t>
                      </w:r>
                    </w:p>
                  </w:txbxContent>
                </v:textbox>
                <w10:wrap type="square"/>
              </v:rect>
            </w:pict>
          </mc:Fallback>
        </mc:AlternateContent>
      </w:r>
    </w:p>
    <w:p>
      <w:pPr>
        <w:pStyle w:val="Normal"/>
        <w:rPr>
          <w:sz w:val="24"/>
          <w:sz w:val="24"/>
          <w:szCs w:val="24"/>
        </w:rPr>
      </w:pPr>
      <w:r>
        <w:rPr>
          <w:sz w:val="24"/>
          <w:szCs w:val="24"/>
        </w:rPr>
      </w:r>
    </w:p>
    <w:p>
      <w:pPr>
        <w:pStyle w:val="Normal"/>
        <w:rPr>
          <w:sz w:val="24"/>
          <w:sz w:val="24"/>
          <w:szCs w:val="24"/>
        </w:rPr>
      </w:pPr>
      <w:r>
        <w:rPr>
          <w:sz w:val="24"/>
          <w:szCs w:val="24"/>
        </w:rPr>
        <w:t>While interest in electric vehicles is growing, the EV market share has not grown significantly over the past five years.  Since 2007, the yearly proportion of EVs out of all vehicles sold has hovered between two and three percent.</w:t>
      </w:r>
      <w:r>
        <w:rPr>
          <w:rStyle w:val="FootnoteAnchor"/>
          <w:sz w:val="24"/>
          <w:szCs w:val="24"/>
        </w:rPr>
        <w:footnoteReference w:id="4"/>
      </w:r>
      <w:r>
        <w:rPr>
          <w:sz w:val="24"/>
          <w:szCs w:val="24"/>
        </w:rPr>
        <w:t xml:space="preserve">  In that time, 1.3 million electric drive vehicles have been sold, including hybrid, plug-in hybrid, extended-range, battery, and fuel cell vehicles.</w:t>
      </w:r>
      <w:r>
        <w:rPr>
          <w:rStyle w:val="FootnoteAnchor"/>
          <w:sz w:val="24"/>
          <w:szCs w:val="24"/>
        </w:rPr>
        <w:footnoteReference w:id="5"/>
      </w:r>
      <w:r>
        <w:rPr>
          <w:sz w:val="24"/>
          <w:szCs w:val="24"/>
        </w:rPr>
        <w:t xml:space="preserve"> </w:t>
      </w:r>
    </w:p>
    <w:p>
      <w:pPr>
        <w:pStyle w:val="Normal"/>
        <w:rPr>
          <w:sz w:val="24"/>
          <w:sz w:val="24"/>
          <w:szCs w:val="24"/>
        </w:rPr>
      </w:pPr>
      <w:r>
        <w:rPr>
          <w:sz w:val="24"/>
          <w:szCs w:val="24"/>
        </w:rPr>
      </w:r>
    </w:p>
    <w:p>
      <w:pPr>
        <w:pStyle w:val="Normal"/>
        <w:rPr>
          <w:sz w:val="24"/>
          <w:sz w:val="24"/>
          <w:szCs w:val="24"/>
        </w:rPr>
      </w:pPr>
      <w:r>
        <w:rPr>
          <w:sz w:val="24"/>
          <w:szCs w:val="24"/>
        </w:rPr>
        <w:t>Industry experts suspect that constraints on the availability of the most popular models, the Nissan Leaf EV and the Chevrolet Volt PHEV, have held back growth in the electric vehicle segment in recent years.  In 2011, the Leaf was only available in 30 states, and all cars produced that year had been claimed by pre-orders from 2010.  This left only a few unclaimed pre-orders available to car shoppers that year.  Chevrolet also did not begin offering the Volt nationally until fall 2011.  As the roll-out progressed, sales have increased.  Both companies have announced higher production for 2012, which is expected to open the market to additional growth.</w:t>
      </w:r>
      <w:r>
        <w:rPr>
          <w:rStyle w:val="FootnoteAnchor"/>
          <w:sz w:val="24"/>
          <w:szCs w:val="24"/>
        </w:rPr>
        <w:footnoteReference w:id="6"/>
      </w:r>
      <w:r>
        <w:rPr>
          <w:sz w:val="24"/>
          <w:szCs w:val="24"/>
        </w:rPr>
        <w:t xml:space="preserve"> </w:t>
      </w:r>
    </w:p>
    <w:p>
      <w:pPr>
        <w:pStyle w:val="Normal"/>
        <w:rPr>
          <w:sz w:val="24"/>
          <w:sz w:val="24"/>
          <w:szCs w:val="24"/>
        </w:rPr>
      </w:pPr>
      <w:r>
        <w:rPr>
          <w:sz w:val="24"/>
          <w:szCs w:val="24"/>
        </w:rPr>
      </w:r>
    </w:p>
    <w:p>
      <w:pPr>
        <w:pStyle w:val="Normal"/>
        <w:rPr>
          <w:sz w:val="24"/>
          <w:sz w:val="24"/>
          <w:szCs w:val="24"/>
        </w:rPr>
      </w:pPr>
      <w:r>
        <w:rPr>
          <w:sz w:val="24"/>
          <w:szCs w:val="24"/>
        </w:rPr>
        <w:t>Additionally, limited vehicle selection is attributed to low growth rates in this sector. Compared to the wide array of model types in the internal combustion sector, there are currently only two EV models available nationally.   A number of new vehicle models are expected for national rollout in 2013 and 2014, however, which should further open the market.  See Appendix ___ for a detailed description of OEM vehicle offerings.</w:t>
      </w:r>
      <w:r>
        <mc:AlternateContent>
          <mc:Choice Requires="wps">
            <w:drawing>
              <wp:anchor behindDoc="0" distT="0" distB="0" distL="114300" distR="114300" simplePos="0" locked="0" layoutInCell="1" allowOverlap="1" relativeHeight="2">
                <wp:simplePos x="0" y="0"/>
                <wp:positionH relativeFrom="column">
                  <wp:posOffset>2633980</wp:posOffset>
                </wp:positionH>
                <wp:positionV relativeFrom="paragraph">
                  <wp:posOffset>1268730</wp:posOffset>
                </wp:positionV>
                <wp:extent cx="3724275" cy="2731135"/>
                <wp:effectExtent l="0" t="0" r="0" b="0"/>
                <wp:wrapSquare wrapText="bothSides"/>
                <wp:docPr id="2" name=""/>
                <a:graphic xmlns:a="http://schemas.openxmlformats.org/drawingml/2006/main">
                  <a:graphicData uri="http://schemas.microsoft.com/office/word/2010/wordprocessingShape">
                    <wps:wsp>
                      <wps:cNvSpPr txBox="1"/>
                      <wps:spPr>
                        <a:xfrm>
                          <a:off x="0" y="0"/>
                          <a:ext cx="3724275" cy="2731135"/>
                        </a:xfrm>
                        <a:prstGeom prst="rect"/>
                        <a:solidFill>
                          <a:srgbClr val="FFFFFF"/>
                        </a:solidFill>
                        <a:ln w="635">
                          <a:solidFill>
                            <a:srgbClr val="000000"/>
                          </a:solidFill>
                        </a:ln>
                      </wps:spPr>
                      <wps:txbx>
                        <w:txbxContent>
                          <w:p>
                            <w:pPr>
                              <w:pStyle w:val="FrameContents"/>
                            </w:pPr>
                            <w:r>
                              <w:rPr/>
                              <w:drawing>
                                <wp:inline distT="0" distB="0" distL="0" distR="0">
                                  <wp:extent cx="3457575" cy="2533015"/>
                                  <wp:effectExtent l="0" t="0" r="0" b="0"/>
                                  <wp:docPr id="3" name="Picture" descr="C:\Users\jrohlfs\AppData\Local\Microsoft\Windows\Temporary Internet Files\Content.Outlook\D5X59LCU\2011_vs_2008_vs_2005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Users\jrohlfs\AppData\Local\Microsoft\Windows\Temporary Internet Files\Content.Outlook\D5X59LCU\2011_vs_2008_vs_2005 (2).png"/>
                                          <pic:cNvPicPr>
                                            <a:picLocks noChangeAspect="1" noChangeArrowheads="1"/>
                                          </pic:cNvPicPr>
                                        </pic:nvPicPr>
                                        <pic:blipFill>
                                          <a:blip r:embed="rId2"/>
                                          <a:stretch>
                                            <a:fillRect/>
                                          </a:stretch>
                                        </pic:blipFill>
                                        <pic:spPr bwMode="auto">
                                          <a:xfrm>
                                            <a:off x="0" y="0"/>
                                            <a:ext cx="3457575" cy="2533015"/>
                                          </a:xfrm>
                                          <a:prstGeom prst="rect">
                                            <a:avLst/>
                                          </a:prstGeom>
                                          <a:noFill/>
                                          <a:ln w="9525">
                                            <a:noFill/>
                                            <a:miter lim="800000"/>
                                            <a:headEnd/>
                                            <a:tailEnd/>
                                          </a:ln>
                                        </pic:spPr>
                                      </pic:pic>
                                    </a:graphicData>
                                  </a:graphic>
                                </wp:inline>
                              </w:drawing>
                            </w:r>
                          </w:p>
                        </w:txbxContent>
                      </wps:txbx>
                      <wps:bodyPr anchor="t" lIns="91440" tIns="45720" rIns="91440" bIns="45720">
                        <a:noAutofit/>
                      </wps:bodyPr>
                    </wps:wsp>
                  </a:graphicData>
                </a:graphic>
              </wp:anchor>
            </w:drawing>
          </mc:Choice>
          <mc:Fallback>
            <w:pict>
              <v:rect fillcolor="#FFFFFF" strokecolor="#000000" strokeweight="0pt" style="position:absolute;width:293.25pt;height:215.05pt;mso-wrap-distance-left:9pt;mso-wrap-distance-right:9pt;mso-wrap-distance-top:0pt;mso-wrap-distance-bottom:0pt;margin-top:99.9pt;margin-left:207.4pt">
                <v:textbox>
                  <w:txbxContent>
                    <w:p>
                      <w:pPr>
                        <w:pStyle w:val="FrameContents"/>
                      </w:pPr>
                      <w:r>
                        <w:rPr/>
                        <w:drawing>
                          <wp:inline distT="0" distB="0" distL="0" distR="0">
                            <wp:extent cx="3457575" cy="2533015"/>
                            <wp:effectExtent l="0" t="0" r="0" b="0"/>
                            <wp:docPr id="4" name="Picture" descr="C:\Users\jrohlfs\AppData\Local\Microsoft\Windows\Temporary Internet Files\Content.Outlook\D5X59LCU\2011_vs_2008_vs_2005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jrohlfs\AppData\Local\Microsoft\Windows\Temporary Internet Files\Content.Outlook\D5X59LCU\2011_vs_2008_vs_2005 (2).png"/>
                                    <pic:cNvPicPr>
                                      <a:picLocks noChangeAspect="1" noChangeArrowheads="1"/>
                                    </pic:cNvPicPr>
                                  </pic:nvPicPr>
                                  <pic:blipFill>
                                    <a:blip r:embed="rId2"/>
                                    <a:stretch>
                                      <a:fillRect/>
                                    </a:stretch>
                                  </pic:blipFill>
                                  <pic:spPr bwMode="auto">
                                    <a:xfrm>
                                      <a:off x="0" y="0"/>
                                      <a:ext cx="3457575" cy="2533015"/>
                                    </a:xfrm>
                                    <a:prstGeom prst="rect">
                                      <a:avLst/>
                                    </a:prstGeom>
                                    <a:noFill/>
                                    <a:ln w="9525">
                                      <a:noFill/>
                                      <a:miter lim="800000"/>
                                      <a:headEnd/>
                                      <a:tailEnd/>
                                    </a:ln>
                                  </pic:spPr>
                                </pic:pic>
                              </a:graphicData>
                            </a:graphic>
                          </wp:inline>
                        </w:drawing>
                      </w:r>
                    </w:p>
                  </w:txbxContent>
                </v:textbox>
                <w10:wrap type="square"/>
              </v:rect>
            </w:pict>
          </mc:Fallback>
        </mc:AlternateContent>
      </w:r>
    </w:p>
    <w:p>
      <w:pPr>
        <w:pStyle w:val="Normal"/>
        <w:rPr>
          <w:sz w:val="24"/>
          <w:sz w:val="24"/>
          <w:szCs w:val="24"/>
        </w:rPr>
      </w:pPr>
      <w:r>
        <w:rPr>
          <w:sz w:val="24"/>
          <w:szCs w:val="24"/>
        </w:rPr>
      </w:r>
    </w:p>
    <w:p>
      <w:pPr>
        <w:pStyle w:val="Normal"/>
        <w:rPr>
          <w:sz w:val="24"/>
          <w:sz w:val="24"/>
          <w:szCs w:val="24"/>
        </w:rPr>
      </w:pPr>
      <w:r>
        <w:rPr>
          <w:sz w:val="24"/>
          <w:szCs w:val="24"/>
        </w:rPr>
        <w:t>OEMs are also currently offering the Leaf and Chevy Volt in the metropolitan Washington region.  To date, based on vehicle registration data, it is estimated that there are _____ EVs operating in region.   Plug-in hybrid electric vehicles (PHEVs) such as the Toyota Prius are also being sold in the region.  Fitzgerald Toyota in Gaithersburg Maryland offers a service to convert the standard Prius to a PHEV.   Starting in April, Toyota also began to offer PHEV Prius at the point of sale.</w:t>
      </w:r>
    </w:p>
    <w:p>
      <w:pPr>
        <w:pStyle w:val="Normal"/>
        <w:rPr>
          <w:sz w:val="24"/>
          <w:sz w:val="24"/>
          <w:szCs w:val="24"/>
        </w:rPr>
      </w:pPr>
      <w:r>
        <w:rPr>
          <w:sz w:val="24"/>
          <w:szCs w:val="24"/>
        </w:rPr>
      </w:r>
    </w:p>
    <w:p>
      <w:pPr>
        <w:pStyle w:val="Normal"/>
        <w:spacing w:lineRule="auto" w:line="276" w:before="0" w:after="200"/>
        <w:rPr>
          <w:sz w:val="24"/>
          <w:b/>
          <w:sz w:val="24"/>
          <w:b/>
          <w:szCs w:val="24"/>
        </w:rPr>
      </w:pPr>
      <w:r>
        <w:rPr>
          <w:b/>
          <w:sz w:val="24"/>
          <w:szCs w:val="24"/>
        </w:rPr>
      </w:r>
      <w:r>
        <w:br w:type="page"/>
      </w:r>
    </w:p>
    <w:p>
      <w:pPr>
        <w:pStyle w:val="Normal"/>
        <w:rPr>
          <w:sz w:val="24"/>
          <w:b/>
          <w:sz w:val="24"/>
          <w:b/>
          <w:szCs w:val="24"/>
        </w:rPr>
      </w:pPr>
      <w:r>
        <w:rPr>
          <w:b/>
          <w:sz w:val="24"/>
          <w:szCs w:val="24"/>
        </w:rPr>
        <w:t xml:space="preserve">Regional Forecast for EV ownership </w:t>
      </w:r>
    </w:p>
    <w:p>
      <w:pPr>
        <w:pStyle w:val="Normal"/>
        <w:rPr>
          <w:sz w:val="24"/>
          <w:sz w:val="24"/>
          <w:szCs w:val="24"/>
        </w:rPr>
      </w:pPr>
      <w:r>
        <w:rPr>
          <w:sz w:val="24"/>
          <w:szCs w:val="24"/>
        </w:rPr>
        <w:t>There is no way to accurately predict the exact number of EV that will be operating in the region in the next 2, 5, or 10 years or where to site EVSE to best accommodate potential future charging needs.   Currently, there are an estimated  less than 500 EVs registered in the metropolitan Washington region.  As of 2009, there were believed to be approximately 57,000 EVs in operation nationwide.</w:t>
      </w:r>
      <w:r>
        <w:rPr>
          <w:rStyle w:val="FootnoteAnchor"/>
          <w:sz w:val="24"/>
          <w:szCs w:val="24"/>
        </w:rPr>
        <w:footnoteReference w:id="7"/>
      </w:r>
      <w:r>
        <w:rPr>
          <w:sz w:val="24"/>
          <w:szCs w:val="24"/>
        </w:rPr>
        <w:t xml:space="preserve">  The US DOE projects that there could be 1.2 million EVs on the road by 2015.</w:t>
      </w:r>
      <w:r>
        <w:rPr>
          <w:rStyle w:val="FootnoteAnchor"/>
          <w:sz w:val="24"/>
          <w:szCs w:val="24"/>
        </w:rPr>
        <w:footnoteReference w:id="8"/>
      </w:r>
      <w:r>
        <w:rPr>
          <w:sz w:val="24"/>
          <w:szCs w:val="24"/>
        </w:rPr>
        <w:t xml:space="preserve">  </w:t>
      </w:r>
      <w:r>
        <mc:AlternateContent>
          <mc:Choice Requires="wps">
            <w:drawing>
              <wp:anchor behindDoc="0" distT="0" distB="0" distL="114300" distR="114300" simplePos="0" locked="0" layoutInCell="1" allowOverlap="1" relativeHeight="4">
                <wp:simplePos x="0" y="0"/>
                <wp:positionH relativeFrom="column">
                  <wp:posOffset>3333115</wp:posOffset>
                </wp:positionH>
                <wp:positionV relativeFrom="paragraph">
                  <wp:posOffset>526415</wp:posOffset>
                </wp:positionV>
                <wp:extent cx="3146425" cy="3881120"/>
                <wp:effectExtent l="0" t="0" r="0" b="0"/>
                <wp:wrapSquare wrapText="bothSides"/>
                <wp:docPr id="5" name=""/>
                <a:graphic xmlns:a="http://schemas.openxmlformats.org/drawingml/2006/main">
                  <a:graphicData uri="http://schemas.microsoft.com/office/word/2010/wordprocessingShape">
                    <wps:wsp>
                      <wps:cNvSpPr txBox="1"/>
                      <wps:spPr>
                        <a:xfrm>
                          <a:off x="0" y="0"/>
                          <a:ext cx="3146425" cy="3881120"/>
                        </a:xfrm>
                        <a:prstGeom prst="rect"/>
                        <a:solidFill>
                          <a:srgbClr val="FFFFFF"/>
                        </a:solidFill>
                        <a:ln w="635">
                          <a:solidFill>
                            <a:srgbClr val="000000"/>
                          </a:solidFill>
                        </a:ln>
                      </wps:spPr>
                      <wps:txbx>
                        <w:txbxContent>
                          <w:p>
                            <w:pPr>
                              <w:pStyle w:val="FrameContents"/>
                              <w:rPr>
                                <w:b/>
                                <w:b/>
                              </w:rPr>
                            </w:pPr>
                            <w:r>
                              <w:rPr>
                                <w:b/>
                              </w:rPr>
                              <w:t>Number of Hybrid Vehicles per Household</w:t>
                            </w:r>
                          </w:p>
                          <w:p>
                            <w:pPr>
                              <w:pStyle w:val="FrameContents"/>
                            </w:pPr>
                            <w:r>
                              <w:rPr/>
                              <w:drawing>
                                <wp:inline distT="0" distB="0" distL="0" distR="0">
                                  <wp:extent cx="2789555" cy="3265805"/>
                                  <wp:effectExtent l="0" t="0" r="0" b="0"/>
                                  <wp:docPr id="6" name="Picture" descr="pcthybrid_f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pcthybrid_fips.jpg"/>
                                          <pic:cNvPicPr>
                                            <a:picLocks noChangeAspect="1" noChangeArrowheads="1"/>
                                          </pic:cNvPicPr>
                                        </pic:nvPicPr>
                                        <pic:blipFill>
                                          <a:blip r:embed="rId3"/>
                                          <a:stretch>
                                            <a:fillRect/>
                                          </a:stretch>
                                        </pic:blipFill>
                                        <pic:spPr bwMode="auto">
                                          <a:xfrm>
                                            <a:off x="0" y="0"/>
                                            <a:ext cx="2789555" cy="3265805"/>
                                          </a:xfrm>
                                          <a:prstGeom prst="rect">
                                            <a:avLst/>
                                          </a:prstGeom>
                                          <a:noFill/>
                                          <a:ln w="9525">
                                            <a:noFill/>
                                            <a:miter lim="800000"/>
                                            <a:headEnd/>
                                            <a:tailEnd/>
                                          </a:ln>
                                        </pic:spPr>
                                      </pic:pic>
                                    </a:graphicData>
                                  </a:graphic>
                                </wp:inline>
                              </w:drawing>
                            </w:r>
                          </w:p>
                          <w:p>
                            <w:pPr>
                              <w:pStyle w:val="FrameContents"/>
                            </w:pPr>
                            <w:r>
                              <w:rPr>
                                <w:sz w:val="18"/>
                              </w:rPr>
                              <w:t>Source:  COG Department of Transportation Planning ( 2011)</w:t>
                            </w:r>
                          </w:p>
                        </w:txbxContent>
                      </wps:txbx>
                      <wps:bodyPr anchor="t" lIns="91440" tIns="45720" rIns="91440" bIns="45720">
                        <a:noAutofit/>
                      </wps:bodyPr>
                    </wps:wsp>
                  </a:graphicData>
                </a:graphic>
              </wp:anchor>
            </w:drawing>
          </mc:Choice>
          <mc:Fallback>
            <w:pict>
              <v:rect fillcolor="#FFFFFF" strokecolor="#000000" strokeweight="0pt" style="position:absolute;width:247.75pt;height:305.6pt;mso-wrap-distance-left:9pt;mso-wrap-distance-right:9pt;mso-wrap-distance-top:0pt;mso-wrap-distance-bottom:0pt;margin-top:41.45pt;margin-left:262.45pt">
                <v:textbox>
                  <w:txbxContent>
                    <w:p>
                      <w:pPr>
                        <w:pStyle w:val="FrameContents"/>
                        <w:rPr>
                          <w:b/>
                          <w:b/>
                        </w:rPr>
                      </w:pPr>
                      <w:r>
                        <w:rPr>
                          <w:b/>
                        </w:rPr>
                        <w:t>Number of Hybrid Vehicles per Household</w:t>
                      </w:r>
                    </w:p>
                    <w:p>
                      <w:pPr>
                        <w:pStyle w:val="FrameContents"/>
                      </w:pPr>
                      <w:r>
                        <w:rPr/>
                        <w:drawing>
                          <wp:inline distT="0" distB="0" distL="0" distR="0">
                            <wp:extent cx="2789555" cy="3265805"/>
                            <wp:effectExtent l="0" t="0" r="0" b="0"/>
                            <wp:docPr id="7" name="Picture" descr="pcthybrid_f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pcthybrid_fips.jpg"/>
                                    <pic:cNvPicPr>
                                      <a:picLocks noChangeAspect="1" noChangeArrowheads="1"/>
                                    </pic:cNvPicPr>
                                  </pic:nvPicPr>
                                  <pic:blipFill>
                                    <a:blip r:embed="rId3"/>
                                    <a:stretch>
                                      <a:fillRect/>
                                    </a:stretch>
                                  </pic:blipFill>
                                  <pic:spPr bwMode="auto">
                                    <a:xfrm>
                                      <a:off x="0" y="0"/>
                                      <a:ext cx="2789555" cy="3265805"/>
                                    </a:xfrm>
                                    <a:prstGeom prst="rect">
                                      <a:avLst/>
                                    </a:prstGeom>
                                    <a:noFill/>
                                    <a:ln w="9525">
                                      <a:noFill/>
                                      <a:miter lim="800000"/>
                                      <a:headEnd/>
                                      <a:tailEnd/>
                                    </a:ln>
                                  </pic:spPr>
                                </pic:pic>
                              </a:graphicData>
                            </a:graphic>
                          </wp:inline>
                        </w:drawing>
                      </w:r>
                    </w:p>
                    <w:p>
                      <w:pPr>
                        <w:pStyle w:val="FrameContents"/>
                      </w:pPr>
                      <w:r>
                        <w:rPr>
                          <w:sz w:val="18"/>
                        </w:rPr>
                        <w:t>Source:  COG Department of Transportation Planning ( 2011)</w:t>
                      </w:r>
                    </w:p>
                  </w:txbxContent>
                </v:textbox>
                <w10:wrap type="square"/>
              </v:rect>
            </w:pict>
          </mc:Fallback>
        </mc:AlternateContent>
      </w:r>
    </w:p>
    <w:p>
      <w:pPr>
        <w:pStyle w:val="Normal"/>
        <w:rPr>
          <w:sz w:val="24"/>
          <w:sz w:val="24"/>
          <w:szCs w:val="24"/>
        </w:rPr>
      </w:pPr>
      <w:r>
        <w:rPr>
          <w:sz w:val="24"/>
          <w:szCs w:val="24"/>
        </w:rPr>
      </w:r>
    </w:p>
    <w:p>
      <w:pPr>
        <w:pStyle w:val="Normal"/>
        <w:rPr>
          <w:sz w:val="24"/>
          <w:sz w:val="24"/>
          <w:szCs w:val="24"/>
        </w:rPr>
      </w:pPr>
      <w:r>
        <w:rPr>
          <w:sz w:val="24"/>
          <w:szCs w:val="24"/>
        </w:rPr>
        <w:t xml:space="preserve">One approach to predicting future EV demand is to analyze the experience of hybrid vehicles and the early adopters.  COG staff analyzed registration data available from the Transportation Planning Board (TPB) from 2005-2011.  In just six years, the number of registered hybrid vehicles grew by more than 600 percent.  However, total registered hybrid vehicles in the region still represent approximately 1.5 percent of all vehicle registrations.  </w:t>
      </w:r>
    </w:p>
    <w:p>
      <w:pPr>
        <w:pStyle w:val="Normal"/>
        <w:rPr>
          <w:sz w:val="24"/>
          <w:sz w:val="24"/>
          <w:szCs w:val="24"/>
        </w:rPr>
      </w:pPr>
      <w:r>
        <w:rPr>
          <w:sz w:val="24"/>
          <w:szCs w:val="24"/>
        </w:rPr>
      </w:r>
    </w:p>
    <w:p>
      <w:pPr>
        <w:pStyle w:val="Normal"/>
        <w:rPr>
          <w:sz w:val="24"/>
          <w:sz w:val="24"/>
          <w:szCs w:val="24"/>
        </w:rPr>
      </w:pPr>
      <w:r>
        <w:rPr>
          <w:sz w:val="24"/>
          <w:szCs w:val="24"/>
        </w:rPr>
        <w:t>COG staff was also able to document generally where the early adopters of hybrid vehicles are located.   If EV market adoption in the region resembles anything like the growth in hybrids the region could experience the following trends:</w:t>
      </w:r>
    </w:p>
    <w:p>
      <w:pPr>
        <w:pStyle w:val="ListParagraph"/>
        <w:numPr>
          <w:ilvl w:val="0"/>
          <w:numId w:val="12"/>
        </w:numPr>
        <w:rPr>
          <w:sz w:val="24"/>
          <w:sz w:val="24"/>
          <w:szCs w:val="24"/>
        </w:rPr>
      </w:pPr>
      <w:r>
        <w:rPr/>
        <w:t>E</w:t>
      </w:r>
      <w:r>
        <w:rPr>
          <w:sz w:val="24"/>
          <w:szCs w:val="24"/>
        </w:rPr>
        <w:t>arly adopters may be found in clusters, with potentially higher concentrations in Fairfax, Arlington, Alexandria, and DC.</w:t>
      </w:r>
    </w:p>
    <w:p>
      <w:pPr>
        <w:pStyle w:val="ListParagraph"/>
        <w:numPr>
          <w:ilvl w:val="0"/>
          <w:numId w:val="12"/>
        </w:numPr>
        <w:rPr>
          <w:sz w:val="24"/>
          <w:sz w:val="24"/>
          <w:szCs w:val="24"/>
        </w:rPr>
      </w:pPr>
      <w:r>
        <w:rPr>
          <w:sz w:val="24"/>
          <w:szCs w:val="24"/>
        </w:rPr>
        <w:t xml:space="preserve">There was a heavy concentration in the  outer suburbs in Virginia.  </w:t>
      </w:r>
    </w:p>
    <w:p>
      <w:pPr>
        <w:pStyle w:val="ListParagraph"/>
        <w:numPr>
          <w:ilvl w:val="0"/>
          <w:numId w:val="12"/>
        </w:numPr>
        <w:rPr>
          <w:sz w:val="24"/>
          <w:sz w:val="24"/>
          <w:szCs w:val="24"/>
        </w:rPr>
      </w:pPr>
      <w:r>
        <w:rPr>
          <w:sz w:val="24"/>
          <w:szCs w:val="24"/>
        </w:rPr>
        <w:t>As a low estimate, by 2015/2020, the region could have 1,500 to 3,000 EVs operating on the roadways.</w:t>
      </w:r>
    </w:p>
    <w:p>
      <w:pPr>
        <w:pStyle w:val="ListParagraph"/>
        <w:numPr>
          <w:ilvl w:val="0"/>
          <w:numId w:val="12"/>
        </w:numPr>
        <w:rPr>
          <w:sz w:val="24"/>
          <w:sz w:val="24"/>
          <w:szCs w:val="24"/>
        </w:rPr>
      </w:pPr>
      <w:r>
        <w:rPr>
          <w:sz w:val="24"/>
          <w:szCs w:val="24"/>
        </w:rPr>
        <w:t>As a high estimate, if EVs are adopted as rapidly as hybrids, the region could see anywhere from 50,000 to 75,000 EVs operating on the roadways by 2020.</w:t>
      </w:r>
    </w:p>
    <w:p>
      <w:pPr>
        <w:pStyle w:val="Normal"/>
        <w:ind w:left="360" w:hanging="0"/>
        <w:rPr>
          <w:sz w:val="24"/>
          <w:sz w:val="24"/>
          <w:szCs w:val="24"/>
        </w:rPr>
      </w:pPr>
      <w:r>
        <w:rPr>
          <w:sz w:val="24"/>
          <w:szCs w:val="24"/>
        </w:rPr>
      </w:r>
    </w:p>
    <w:p>
      <w:pPr>
        <w:pStyle w:val="Normal"/>
        <w:spacing w:lineRule="auto" w:line="276" w:before="0" w:after="200"/>
        <w:rPr>
          <w:sz w:val="24"/>
          <w:b/>
          <w:sz w:val="24"/>
          <w:b/>
          <w:szCs w:val="24"/>
        </w:rPr>
      </w:pPr>
      <w:r>
        <w:rPr>
          <w:b/>
          <w:sz w:val="24"/>
          <w:szCs w:val="24"/>
        </w:rPr>
      </w:r>
      <w:r>
        <w:br w:type="page"/>
      </w:r>
    </w:p>
    <w:p>
      <w:pPr>
        <w:pStyle w:val="Normal"/>
        <w:rPr>
          <w:sz w:val="24"/>
          <w:sz w:val="24"/>
          <w:szCs w:val="24"/>
        </w:rPr>
      </w:pPr>
      <w:r>
        <w:rPr>
          <w:sz w:val="24"/>
          <w:szCs w:val="24"/>
        </w:rPr>
      </w:r>
    </w:p>
    <w:p>
      <w:pPr>
        <w:pStyle w:val="Normal"/>
        <w:rPr>
          <w:sz w:val="24"/>
          <w:b/>
          <w:sz w:val="24"/>
          <w:b/>
          <w:szCs w:val="24"/>
        </w:rPr>
      </w:pPr>
      <w:r>
        <w:rPr>
          <w:b/>
          <w:sz w:val="24"/>
          <w:szCs w:val="24"/>
        </w:rPr>
        <w:t>Factors Impacting EV Adoption and Location</w:t>
      </w:r>
    </w:p>
    <w:p>
      <w:pPr>
        <w:pStyle w:val="Normal"/>
        <w:rPr>
          <w:sz w:val="24"/>
          <w:b/>
          <w:sz w:val="24"/>
          <w:b/>
          <w:szCs w:val="24"/>
        </w:rPr>
      </w:pPr>
      <w:r>
        <w:rPr>
          <w:b/>
          <w:sz w:val="24"/>
          <w:szCs w:val="24"/>
        </w:rPr>
      </w:r>
    </w:p>
    <w:p>
      <w:pPr>
        <w:pStyle w:val="Normal"/>
        <w:rPr>
          <w:sz w:val="24"/>
          <w:sz w:val="24"/>
          <w:szCs w:val="24"/>
        </w:rPr>
      </w:pPr>
      <w:r>
        <w:rPr>
          <w:sz w:val="24"/>
          <w:szCs w:val="24"/>
        </w:rPr>
        <w:t>Predicting potential ownership of electric vehicle, and understanding common planning guidelines for number of charging stations typically needed per vehicle, could assist in identifying needs for charging station deployment. Some of the factors that may impact adoption of EVs, the location of EVs, and the potential need for public/private charging infrastructure siting in the metropolitan Washington region could include:</w:t>
      </w:r>
    </w:p>
    <w:p>
      <w:pPr>
        <w:pStyle w:val="ListParagraph"/>
        <w:numPr>
          <w:ilvl w:val="0"/>
          <w:numId w:val="13"/>
        </w:numPr>
        <w:rPr>
          <w:sz w:val="24"/>
          <w:sz w:val="24"/>
          <w:szCs w:val="24"/>
        </w:rPr>
      </w:pPr>
      <w:r>
        <w:rPr>
          <w:sz w:val="24"/>
          <w:szCs w:val="24"/>
        </w:rPr>
        <w:t>Jurisdiction Location, with respect to the central core</w:t>
      </w:r>
      <w:r>
        <w:rPr>
          <w:rStyle w:val="FootnoteAnchor"/>
          <w:sz w:val="24"/>
          <w:szCs w:val="24"/>
        </w:rPr>
        <w:footnoteReference w:id="9"/>
      </w:r>
    </w:p>
    <w:p>
      <w:pPr>
        <w:pStyle w:val="ListParagraph"/>
        <w:numPr>
          <w:ilvl w:val="0"/>
          <w:numId w:val="13"/>
        </w:numPr>
        <w:rPr>
          <w:sz w:val="24"/>
          <w:sz w:val="24"/>
          <w:szCs w:val="24"/>
        </w:rPr>
      </w:pPr>
      <w:r>
        <w:rPr>
          <w:sz w:val="24"/>
          <w:szCs w:val="24"/>
        </w:rPr>
        <w:t>Number of Vehicles per Household</w:t>
      </w:r>
    </w:p>
    <w:p>
      <w:pPr>
        <w:pStyle w:val="ListParagraph"/>
        <w:numPr>
          <w:ilvl w:val="0"/>
          <w:numId w:val="13"/>
        </w:numPr>
        <w:rPr>
          <w:sz w:val="24"/>
          <w:sz w:val="24"/>
          <w:szCs w:val="24"/>
        </w:rPr>
      </w:pPr>
      <w:r>
        <w:rPr>
          <w:sz w:val="24"/>
          <w:szCs w:val="24"/>
        </w:rPr>
        <w:t>Number of Trips</w:t>
      </w:r>
    </w:p>
    <w:p>
      <w:pPr>
        <w:pStyle w:val="ListParagraph"/>
        <w:numPr>
          <w:ilvl w:val="0"/>
          <w:numId w:val="13"/>
        </w:numPr>
        <w:rPr>
          <w:sz w:val="24"/>
          <w:sz w:val="24"/>
          <w:szCs w:val="24"/>
        </w:rPr>
      </w:pPr>
      <w:r>
        <w:rPr>
          <w:sz w:val="24"/>
          <w:szCs w:val="24"/>
        </w:rPr>
        <w:t>Number of Trips by Destination</w:t>
      </w:r>
    </w:p>
    <w:p>
      <w:pPr>
        <w:pStyle w:val="ListParagraph"/>
        <w:numPr>
          <w:ilvl w:val="0"/>
          <w:numId w:val="13"/>
        </w:numPr>
        <w:rPr>
          <w:sz w:val="24"/>
          <w:sz w:val="24"/>
          <w:szCs w:val="24"/>
        </w:rPr>
      </w:pPr>
      <w:r>
        <w:rPr>
          <w:sz w:val="24"/>
          <w:szCs w:val="24"/>
        </w:rPr>
        <w:t>Trip Length</w:t>
      </w:r>
    </w:p>
    <w:p>
      <w:pPr>
        <w:pStyle w:val="ListParagraph"/>
        <w:numPr>
          <w:ilvl w:val="0"/>
          <w:numId w:val="13"/>
        </w:numPr>
        <w:rPr>
          <w:sz w:val="24"/>
          <w:sz w:val="24"/>
          <w:szCs w:val="24"/>
        </w:rPr>
      </w:pPr>
      <w:r>
        <w:rPr>
          <w:sz w:val="24"/>
          <w:szCs w:val="24"/>
        </w:rPr>
        <w:t xml:space="preserve">Household Income Level </w:t>
      </w:r>
    </w:p>
    <w:p>
      <w:pPr>
        <w:pStyle w:val="ListParagraph"/>
        <w:numPr>
          <w:ilvl w:val="0"/>
          <w:numId w:val="13"/>
        </w:numPr>
        <w:rPr>
          <w:sz w:val="24"/>
          <w:sz w:val="24"/>
          <w:szCs w:val="24"/>
        </w:rPr>
      </w:pPr>
      <w:r>
        <w:rPr>
          <w:sz w:val="24"/>
          <w:szCs w:val="24"/>
        </w:rPr>
        <w:t>Length of Commute Trips</w:t>
      </w:r>
    </w:p>
    <w:p>
      <w:pPr>
        <w:pStyle w:val="ListParagraph"/>
        <w:numPr>
          <w:ilvl w:val="0"/>
          <w:numId w:val="13"/>
        </w:numPr>
        <w:rPr>
          <w:sz w:val="24"/>
          <w:sz w:val="24"/>
          <w:szCs w:val="24"/>
        </w:rPr>
      </w:pPr>
      <w:r>
        <w:rPr>
          <w:sz w:val="24"/>
          <w:szCs w:val="24"/>
        </w:rPr>
        <w:t>Desire to lower fuel costs through higher fuel efficiency</w:t>
      </w:r>
    </w:p>
    <w:p>
      <w:pPr>
        <w:pStyle w:val="ListParagraph"/>
        <w:numPr>
          <w:ilvl w:val="0"/>
          <w:numId w:val="13"/>
        </w:numPr>
        <w:spacing w:lineRule="auto" w:line="276"/>
        <w:rPr>
          <w:sz w:val="24"/>
          <w:b/>
          <w:sz w:val="24"/>
          <w:b/>
          <w:szCs w:val="24"/>
          <w:rFonts w:cs="Calibri" w:cstheme="minorHAnsi"/>
        </w:rPr>
      </w:pPr>
      <w:r>
        <w:rPr>
          <w:sz w:val="24"/>
          <w:szCs w:val="24"/>
        </w:rPr>
        <w:t>HOV exemptions for EVs (only applicable in Virginia through Special Clean Fuel plate)</w:t>
      </w:r>
    </w:p>
    <w:p>
      <w:pPr>
        <w:pStyle w:val="Normal"/>
        <w:spacing w:lineRule="auto" w:line="276"/>
        <w:ind w:left="360" w:hanging="0"/>
        <w:rPr>
          <w:sz w:val="24"/>
          <w:b/>
          <w:sz w:val="24"/>
          <w:b/>
          <w:szCs w:val="24"/>
          <w:rFonts w:cs="Calibri" w:cstheme="minorHAnsi"/>
        </w:rPr>
      </w:pPr>
      <w:r>
        <w:rPr>
          <w:rFonts w:cs="Calibri" w:cstheme="minorHAnsi"/>
          <w:b/>
          <w:sz w:val="24"/>
          <w:szCs w:val="24"/>
        </w:rPr>
      </w:r>
    </w:p>
    <w:p>
      <w:pPr>
        <w:pStyle w:val="Normal"/>
        <w:spacing w:lineRule="auto" w:line="276"/>
        <w:rPr>
          <w:sz w:val="24"/>
          <w:b/>
          <w:sz w:val="24"/>
          <w:b/>
          <w:szCs w:val="24"/>
          <w:rFonts w:cs="Calibri" w:cstheme="minorHAnsi"/>
        </w:rPr>
      </w:pPr>
      <w:r>
        <w:rPr>
          <w:rFonts w:cs="Calibri" w:cstheme="minorHAnsi"/>
          <w:b/>
          <w:sz w:val="24"/>
          <w:szCs w:val="24"/>
        </w:rPr>
        <w:t>Summary of Vehicle Ownership and Travel Patterns for Metropolitan Washington</w:t>
      </w:r>
    </w:p>
    <w:p>
      <w:pPr>
        <w:pStyle w:val="Normal"/>
        <w:rPr>
          <w:sz w:val="24"/>
          <w:sz w:val="24"/>
          <w:szCs w:val="24"/>
          <w:rFonts w:cs="Calibri" w:cstheme="minorHAnsi"/>
        </w:rPr>
      </w:pPr>
      <w:r>
        <w:rPr>
          <w:rFonts w:cs="Calibri" w:cstheme="minorHAnsi"/>
          <w:sz w:val="24"/>
          <w:szCs w:val="24"/>
        </w:rPr>
        <w:t xml:space="preserve">Electric vehicles have the potential to be effectively deployed to meet the transportation needs of the population in the region.  Using information from the COG Household Travel Survey and Travel Demand Model, in the region data indicate that most trips are relatively short, and are associated with destinations that would be good candidates for charging solutions - workplace, shopping, schools, recreational sites.  For most daily commutes and other trip purposes, the relatively short length of the trips would not cause significant range anxiety.  In the near term, the region may experience higher adoption rates in the inner suburbs and core, and in areas with relatively higher household income and in households with multiple cars.  </w: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t>[placeholder for information from COG DTP staff on trip types/lengths, etc]</w:t>
      </w:r>
    </w:p>
    <w:p>
      <w:pPr>
        <w:pStyle w:val="Normal"/>
        <w:spacing w:lineRule="auto" w:line="276" w:before="0" w:after="200"/>
        <w:rPr>
          <w:sz w:val="24"/>
          <w:sz w:val="24"/>
          <w:szCs w:val="24"/>
          <w:rFonts w:cs="Calibri" w:cstheme="minorHAnsi"/>
        </w:rPr>
      </w:pPr>
      <w:r>
        <w:rPr>
          <w:rFonts w:cs="Calibri" w:cstheme="minorHAnsi"/>
          <w:sz w:val="24"/>
          <w:szCs w:val="24"/>
        </w:rPr>
      </w:r>
      <w:r>
        <w:br w:type="page"/>
      </w:r>
    </w:p>
    <w:p>
      <w:pPr>
        <w:pStyle w:val="Normal"/>
        <w:rPr>
          <w:sz w:val="24"/>
          <w:b/>
          <w:sz w:val="24"/>
          <w:b/>
          <w:szCs w:val="24"/>
          <w:rFonts w:cs="Calibri" w:cstheme="minorHAnsi"/>
        </w:rPr>
      </w:pPr>
      <w:r>
        <w:rPr>
          <w:rFonts w:cs="Calibri" w:cstheme="minorHAnsi"/>
          <w:b/>
          <w:sz w:val="24"/>
          <w:szCs w:val="24"/>
        </w:rPr>
        <w:t>Small Area Case Study: Highway 270 and Democracy Boulevard in Maryland</w: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t xml:space="preserve">COG Transportation Staff conducted a sample siting analysis for electric vehicle infrastructure for illustrative purposes, using data from the 2007/2008 Household Travel Survey. Transportation Analysis Zones (TAZ) with the highest number of home to work trips made by car were identified.  The zone in the region with the greatest number of these trips that was not a major military installation was found to be north of Bethesda in Montgomery County.  Zone 702, shown below, exhibits several factors that indicate potential for charging station demand. </w:t>
      </w:r>
      <w:r>
        <mc:AlternateContent>
          <mc:Choice Requires="wps">
            <w:drawing>
              <wp:anchor behindDoc="0" distT="0" distB="0" distL="114300" distR="114300" simplePos="0" locked="0" layoutInCell="1" allowOverlap="1" relativeHeight="5">
                <wp:simplePos x="0" y="0"/>
                <wp:positionH relativeFrom="column">
                  <wp:posOffset>3284220</wp:posOffset>
                </wp:positionH>
                <wp:positionV relativeFrom="paragraph">
                  <wp:posOffset>1102360</wp:posOffset>
                </wp:positionV>
                <wp:extent cx="3279775" cy="3576320"/>
                <wp:effectExtent l="0" t="0" r="0" b="0"/>
                <wp:wrapSquare wrapText="bothSides"/>
                <wp:docPr id="8" name=""/>
                <a:graphic xmlns:a="http://schemas.openxmlformats.org/drawingml/2006/main">
                  <a:graphicData uri="http://schemas.microsoft.com/office/word/2010/wordprocessingShape">
                    <wps:wsp>
                      <wps:cNvSpPr txBox="1"/>
                      <wps:spPr>
                        <a:xfrm>
                          <a:off x="0" y="0"/>
                          <a:ext cx="3279775" cy="3576320"/>
                        </a:xfrm>
                        <a:prstGeom prst="rect"/>
                        <a:solidFill>
                          <a:srgbClr val="FFFFFF"/>
                        </a:solidFill>
                        <a:ln w="635">
                          <a:solidFill>
                            <a:srgbClr val="000000"/>
                          </a:solidFill>
                        </a:ln>
                      </wps:spPr>
                      <wps:txbx>
                        <w:txbxContent>
                          <w:p>
                            <w:pPr>
                              <w:pStyle w:val="FrameContents"/>
                              <w:rPr>
                                <w:sz w:val="24"/>
                                <w:sz w:val="24"/>
                                <w:szCs w:val="24"/>
                              </w:rPr>
                            </w:pPr>
                            <w:r>
                              <w:rPr/>
                              <w:drawing>
                                <wp:inline distT="0" distB="0" distL="0" distR="0">
                                  <wp:extent cx="1964055" cy="147320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FrameContents"/>
                              <w:rPr>
                                <w:sz w:val="24"/>
                                <w:sz w:val="24"/>
                                <w:szCs w:val="24"/>
                              </w:rPr>
                            </w:pPr>
                            <w:r>
                              <w:rPr>
                                <w:sz w:val="24"/>
                                <w:szCs w:val="24"/>
                              </w:rPr>
                            </w:r>
                          </w:p>
                          <w:p>
                            <w:pPr>
                              <w:pStyle w:val="FrameContents"/>
                            </w:pPr>
                            <w:r>
                              <w:rPr>
                                <w:sz w:val="24"/>
                                <w:szCs w:val="24"/>
                              </w:rPr>
                              <w:t xml:space="preserve">Figure </w:t>
                            </w:r>
                            <w:r>
                              <w:rPr>
                                <w:sz w:val="24"/>
                                <w:szCs w:val="24"/>
                              </w:rPr>
                              <w:fldChar w:fldCharType="begin"/>
                            </w:r>
                            <w:r>
                              <w:instrText> SEQ Figure \* ARABIC </w:instrText>
                            </w:r>
                            <w:r>
                              <w:fldChar w:fldCharType="separate"/>
                            </w:r>
                            <w:r>
                              <w:t>1</w:t>
                            </w:r>
                            <w:r>
                              <w:fldChar w:fldCharType="end"/>
                            </w:r>
                            <w:r>
                              <w:rPr>
                                <w:sz w:val="24"/>
                                <w:szCs w:val="24"/>
                              </w:rPr>
                              <w:t>. Breakdown of Where Workers of TAZ 702 Live. 77% of workers who drive live within the 20 mile EV range of TAZ 702.</w:t>
                            </w:r>
                          </w:p>
                        </w:txbxContent>
                      </wps:txbx>
                      <wps:bodyPr anchor="t" lIns="91440" tIns="45720" rIns="91440" bIns="45720">
                        <a:noAutofit/>
                      </wps:bodyPr>
                    </wps:wsp>
                  </a:graphicData>
                </a:graphic>
              </wp:anchor>
            </w:drawing>
          </mc:Choice>
          <mc:Fallback>
            <w:pict>
              <v:rect fillcolor="#FFFFFF" strokecolor="#000000" strokeweight="0pt" style="position:absolute;width:258.25pt;height:281.6pt;mso-wrap-distance-left:9pt;mso-wrap-distance-right:9pt;mso-wrap-distance-top:0pt;mso-wrap-distance-bottom:0pt;margin-top:86.8pt;margin-left:258.6pt">
                <v:textbox>
                  <w:txbxContent>
                    <w:p>
                      <w:pPr>
                        <w:pStyle w:val="FrameContents"/>
                        <w:rPr>
                          <w:sz w:val="24"/>
                          <w:sz w:val="24"/>
                          <w:szCs w:val="24"/>
                        </w:rPr>
                      </w:pPr>
                      <w:r>
                        <w:rPr/>
                        <w:drawing>
                          <wp:inline distT="0" distB="0" distL="0" distR="0">
                            <wp:extent cx="1964055" cy="147320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FrameContents"/>
                        <w:rPr>
                          <w:sz w:val="24"/>
                          <w:sz w:val="24"/>
                          <w:szCs w:val="24"/>
                        </w:rPr>
                      </w:pPr>
                      <w:r>
                        <w:rPr>
                          <w:sz w:val="24"/>
                          <w:szCs w:val="24"/>
                        </w:rPr>
                      </w:r>
                    </w:p>
                    <w:p>
                      <w:pPr>
                        <w:pStyle w:val="FrameContents"/>
                      </w:pPr>
                      <w:r>
                        <w:rPr>
                          <w:sz w:val="24"/>
                          <w:szCs w:val="24"/>
                        </w:rPr>
                        <w:t xml:space="preserve">Figure </w:t>
                      </w:r>
                      <w:r>
                        <w:rPr>
                          <w:sz w:val="24"/>
                          <w:szCs w:val="24"/>
                        </w:rPr>
                        <w:fldChar w:fldCharType="begin"/>
                      </w:r>
                      <w:r>
                        <w:instrText> SEQ Figure \* ARABIC </w:instrText>
                      </w:r>
                      <w:r>
                        <w:fldChar w:fldCharType="separate"/>
                      </w:r>
                      <w:r>
                        <w:t>1</w:t>
                      </w:r>
                      <w:r>
                        <w:fldChar w:fldCharType="end"/>
                      </w:r>
                      <w:r>
                        <w:rPr>
                          <w:sz w:val="24"/>
                          <w:szCs w:val="24"/>
                        </w:rPr>
                        <w:t>. Breakdown of Where Workers of TAZ 702 Live. 77% of workers who drive live within the 20 mile EV range of TAZ 702.</w:t>
                      </w:r>
                    </w:p>
                  </w:txbxContent>
                </v:textbox>
                <w10:wrap type="square"/>
              </v:rect>
            </w:pict>
          </mc:Fallback>
        </mc:AlternateConten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t>This area is difficult to access other than in a private vehicle and it contains major employers with whom local governments could partner to encourage EV usage.   Additionally most workers live within 20 miles, about the current electric vehicle range (see Figure XX). If commuters had access to charging stations at this location, even workers that did not have access to a private driveway or private garage could potentially commute via electric vehicle. Currently, there is just one publicly accessible charging station in the area located at the Sun Trust Bank at Democracy Boulevard and Old Georgetown road, with three Level 2 chargers. Areas with these characteristics could be targeted with policies to encourage installation of additional stations, while not inducing proportionally more vehicle trips.</w:t>
      </w:r>
    </w:p>
    <w:p>
      <w:pPr>
        <w:pStyle w:val="Normal"/>
        <w:rPr>
          <w:sz w:val="24"/>
          <w:sz w:val="24"/>
          <w:szCs w:val="24"/>
          <w:rFonts w:cs="Calibri" w:cstheme="minorHAnsi"/>
        </w:rPr>
      </w:pPr>
      <w:r>
        <w:rPr>
          <w:rFonts w:cs="Calibri" w:cstheme="minorHAnsi"/>
          <w:sz w:val="24"/>
          <w:szCs w:val="24"/>
        </w:rPr>
      </w:r>
    </w:p>
    <w:p>
      <w:pPr>
        <w:pStyle w:val="Normal"/>
        <w:keepNext/>
        <w:rPr>
          <w:sz w:val="24"/>
          <w:sz w:val="24"/>
          <w:szCs w:val="24"/>
        </w:rPr>
      </w:pPr>
      <w:r>
        <w:rPr>
          <w:sz w:val="24"/>
          <w:szCs w:val="24"/>
        </w:rPr>
      </w:r>
      <w:r>
        <mc:AlternateContent>
          <mc:Choice Requires="wps">
            <w:drawing>
              <wp:anchor behindDoc="0" distT="0" distB="0" distL="114300" distR="114300" simplePos="0" locked="0" layoutInCell="1" allowOverlap="1" relativeHeight="9">
                <wp:simplePos x="0" y="0"/>
                <wp:positionH relativeFrom="column">
                  <wp:posOffset>24130</wp:posOffset>
                </wp:positionH>
                <wp:positionV relativeFrom="paragraph">
                  <wp:posOffset>40640</wp:posOffset>
                </wp:positionV>
                <wp:extent cx="3753485" cy="2893060"/>
                <wp:effectExtent l="0" t="0" r="0" b="0"/>
                <wp:wrapNone/>
                <wp:docPr id="11" name=""/>
                <a:graphic xmlns:a="http://schemas.openxmlformats.org/drawingml/2006/main">
                  <a:graphicData uri="http://schemas.microsoft.com/office/word/2010/wordprocessingShape">
                    <wps:wsp>
                      <wps:cNvSpPr txBox="1"/>
                      <wps:spPr>
                        <a:xfrm>
                          <a:off x="0" y="0"/>
                          <a:ext cx="3753485" cy="2893060"/>
                        </a:xfrm>
                        <a:prstGeom prst="rect"/>
                        <a:solidFill>
                          <a:srgbClr val="FFFFFF"/>
                        </a:solidFill>
                        <a:ln w="635">
                          <a:solidFill>
                            <a:srgbClr val="000000"/>
                          </a:solidFill>
                        </a:ln>
                      </wps:spPr>
                      <wps:txbx>
                        <w:txbxContent>
                          <w:p>
                            <w:pPr>
                              <w:pStyle w:val="FrameContents"/>
                              <w:rPr>
                                <w:sz w:val="24"/>
                                <w:b/>
                                <w:sz w:val="24"/>
                                <w:b/>
                                <w:szCs w:val="24"/>
                                <w:bCs/>
                                <w:color w:val="4F81BD" w:themeColor="accent1"/>
                              </w:rPr>
                            </w:pPr>
                            <w:r>
                              <w:rPr/>
                            </w:r>
                          </w:p>
                          <w:p>
                            <w:pPr>
                              <w:pStyle w:val="FrameContents"/>
                              <w:rPr>
                                <w:sz w:val="24"/>
                                <w:b/>
                                <w:sz w:val="24"/>
                                <w:b/>
                                <w:szCs w:val="24"/>
                                <w:bCs/>
                                <w:color w:val="4F81BD" w:themeColor="accent1"/>
                              </w:rPr>
                            </w:pPr>
                            <w:r>
                              <w:rPr>
                                <w:b/>
                                <w:bCs/>
                                <w:color w:val="4F81BD" w:themeColor="accent1"/>
                                <w:sz w:val="24"/>
                                <w:szCs w:val="24"/>
                              </w:rPr>
                            </w:r>
                          </w:p>
                          <w:p>
                            <w:pPr>
                              <w:pStyle w:val="FrameContents"/>
                            </w:pPr>
                            <w:r>
                              <w:rPr>
                                <w:b/>
                                <w:bCs/>
                                <w:color w:val="4F81BD" w:themeColor="accent1"/>
                                <w:szCs w:val="24"/>
                              </w:rPr>
                              <w:t>Figure. Transportation Analysis Zone 702. Source: googlemaps.com</w:t>
                            </w:r>
                          </w:p>
                        </w:txbxContent>
                      </wps:txbx>
                      <wps:bodyPr anchor="t" lIns="91440" tIns="45720" rIns="91440" bIns="45720">
                        <a:noAutofit/>
                      </wps:bodyPr>
                    </wps:wsp>
                  </a:graphicData>
                </a:graphic>
              </wp:anchor>
            </w:drawing>
          </mc:Choice>
          <mc:Fallback>
            <w:pict>
              <v:rect fillcolor="#FFFFFF" strokecolor="#000000" strokeweight="0pt" style="position:absolute;width:295.55pt;height:227.8pt;mso-wrap-distance-left:9pt;mso-wrap-distance-right:9pt;mso-wrap-distance-top:0pt;mso-wrap-distance-bottom:0pt;margin-top:3.2pt;margin-left:1.9pt">
                <v:textbox>
                  <w:txbxContent>
                    <w:p>
                      <w:pPr>
                        <w:pStyle w:val="FrameContents"/>
                        <w:rPr>
                          <w:sz w:val="24"/>
                          <w:b/>
                          <w:sz w:val="24"/>
                          <w:b/>
                          <w:szCs w:val="24"/>
                          <w:bCs/>
                          <w:color w:val="4F81BD" w:themeColor="accent1"/>
                        </w:rPr>
                      </w:pPr>
                      <w:r>
                        <w:rPr/>
                      </w:r>
                    </w:p>
                    <w:p>
                      <w:pPr>
                        <w:pStyle w:val="FrameContents"/>
                        <w:rPr>
                          <w:sz w:val="24"/>
                          <w:b/>
                          <w:sz w:val="24"/>
                          <w:b/>
                          <w:szCs w:val="24"/>
                          <w:bCs/>
                          <w:color w:val="4F81BD" w:themeColor="accent1"/>
                        </w:rPr>
                      </w:pPr>
                      <w:r>
                        <w:rPr>
                          <w:b/>
                          <w:bCs/>
                          <w:color w:val="4F81BD" w:themeColor="accent1"/>
                          <w:sz w:val="24"/>
                          <w:szCs w:val="24"/>
                        </w:rPr>
                      </w:r>
                    </w:p>
                    <w:p>
                      <w:pPr>
                        <w:pStyle w:val="FrameContents"/>
                      </w:pPr>
                      <w:r>
                        <w:rPr>
                          <w:b/>
                          <w:bCs/>
                          <w:color w:val="4F81BD" w:themeColor="accent1"/>
                          <w:szCs w:val="24"/>
                        </w:rPr>
                        <w:t>Figure. Transportation Analysis Zone 702. Source: googlemaps.com</w:t>
                      </w:r>
                    </w:p>
                  </w:txbxContent>
                </v:textbox>
              </v:rect>
            </w:pict>
          </mc:Fallback>
        </mc:AlternateContent>
      </w:r>
    </w:p>
    <w:p>
      <w:pPr>
        <w:pStyle w:val="Normal"/>
        <w:keepNext/>
        <w:rPr>
          <w:sz w:val="24"/>
          <w:sz w:val="24"/>
          <w:szCs w:val="24"/>
        </w:rPr>
      </w:pPr>
      <w:r>
        <w:rPr>
          <w:sz w:val="24"/>
          <w:szCs w:val="24"/>
        </w:rPr>
      </w:r>
    </w:p>
    <w:p>
      <w:pPr>
        <w:pStyle w:val="Normal"/>
        <w:keepNext/>
        <w:rPr>
          <w:sz w:val="24"/>
          <w:sz w:val="24"/>
          <w:szCs w:val="24"/>
        </w:rPr>
      </w:pPr>
      <w:r>
        <w:rPr>
          <w:sz w:val="24"/>
          <w:szCs w:val="24"/>
        </w:rPr>
      </w:r>
    </w:p>
    <w:p>
      <w:pPr>
        <w:pStyle w:val="Normal"/>
        <w:rPr>
          <w:sz w:val="24"/>
          <w:b/>
          <w:sz w:val="24"/>
          <w:b/>
          <w:szCs w:val="24"/>
          <w:rFonts w:cs="Calibri" w:cstheme="minorHAnsi"/>
        </w:rPr>
      </w:pPr>
      <w:r>
        <w:rPr>
          <w:rFonts w:cs="Calibri" w:cstheme="minorHAnsi"/>
          <w:b/>
          <w:sz w:val="24"/>
          <w:szCs w:val="24"/>
        </w:rPr>
      </w:r>
    </w:p>
    <w:p>
      <w:pPr>
        <w:pStyle w:val="Normal"/>
        <w:rPr>
          <w:sz w:val="24"/>
          <w:b/>
          <w:sz w:val="24"/>
          <w:b/>
          <w:szCs w:val="24"/>
          <w:rFonts w:cs="Calibri" w:cstheme="minorHAnsi"/>
        </w:rPr>
      </w:pPr>
      <w:r>
        <w:rPr>
          <w:rFonts w:cs="Calibri" w:cstheme="minorHAnsi"/>
          <w:b/>
          <w:sz w:val="24"/>
          <w:szCs w:val="24"/>
        </w:rPr>
      </w:r>
    </w:p>
    <w:p>
      <w:pPr>
        <w:pStyle w:val="Normal"/>
        <w:rPr>
          <w:sz w:val="24"/>
          <w:b/>
          <w:sz w:val="24"/>
          <w:b/>
          <w:szCs w:val="24"/>
          <w:rFonts w:cs="Calibri" w:cstheme="minorHAnsi"/>
        </w:rPr>
      </w:pPr>
      <w:r>
        <w:rPr>
          <w:rFonts w:cs="Calibri" w:cstheme="minorHAnsi"/>
          <w:b/>
          <w:sz w:val="24"/>
          <w:szCs w:val="24"/>
        </w:rPr>
      </w:r>
    </w:p>
    <w:p>
      <w:pPr>
        <w:pStyle w:val="Caption1"/>
        <w:spacing w:before="0" w:after="0"/>
        <w:rPr>
          <w:sz w:val="24"/>
          <w:b/>
          <w:sz w:val="24"/>
          <w:b/>
          <w:szCs w:val="24"/>
          <w:bCs/>
          <w:rFonts w:cs="Calibri" w:cstheme="minorHAnsi"/>
          <w:color w:val="4F81BD"/>
        </w:rPr>
      </w:pPr>
      <w:r>
        <w:rPr>
          <w:rFonts w:cs="Calibri" w:cstheme="minorHAnsi"/>
          <w:sz w:val="24"/>
          <w:szCs w:val="24"/>
        </w:rPr>
      </w:r>
    </w:p>
    <w:p>
      <w:pPr>
        <w:pStyle w:val="Normal"/>
        <w:rPr>
          <w:sz w:val="24"/>
          <w:u w:val="single"/>
          <w:b/>
          <w:sz w:val="24"/>
          <w:b/>
          <w:szCs w:val="24"/>
          <w:rFonts w:cs="Calibri" w:cstheme="minorHAnsi"/>
        </w:rPr>
      </w:pPr>
      <w:r>
        <w:rPr>
          <w:rFonts w:cs="Calibri" w:cstheme="minorHAnsi"/>
          <w:b/>
          <w:sz w:val="24"/>
          <w:szCs w:val="24"/>
          <w:u w:val="single"/>
        </w:rPr>
      </w:r>
    </w:p>
    <w:p>
      <w:pPr>
        <w:pStyle w:val="Normal"/>
        <w:rPr>
          <w:sz w:val="24"/>
          <w:u w:val="single"/>
          <w:b/>
          <w:sz w:val="24"/>
          <w:b/>
          <w:szCs w:val="24"/>
          <w:rFonts w:cs="Calibri" w:cstheme="minorHAnsi"/>
        </w:rPr>
      </w:pPr>
      <w:r>
        <w:rPr>
          <w:rFonts w:cs="Calibri" w:cstheme="minorHAnsi"/>
          <w:b/>
          <w:sz w:val="24"/>
          <w:szCs w:val="24"/>
          <w:u w:val="single"/>
        </w:rPr>
      </w:r>
    </w:p>
    <w:p>
      <w:pPr>
        <w:pStyle w:val="Normal"/>
        <w:rPr>
          <w:sz w:val="24"/>
          <w:u w:val="single"/>
          <w:b/>
          <w:sz w:val="24"/>
          <w:b/>
          <w:szCs w:val="24"/>
          <w:rFonts w:cs="Calibri" w:cstheme="minorHAnsi"/>
        </w:rPr>
      </w:pPr>
      <w:r>
        <w:rPr>
          <w:rFonts w:cs="Calibri" w:cstheme="minorHAnsi"/>
          <w:b/>
          <w:sz w:val="24"/>
          <w:szCs w:val="24"/>
          <w:u w:val="single"/>
        </w:rPr>
      </w:r>
    </w:p>
    <w:p>
      <w:pPr>
        <w:pStyle w:val="Normal"/>
        <w:rPr>
          <w:sz w:val="24"/>
          <w:u w:val="single"/>
          <w:b/>
          <w:sz w:val="24"/>
          <w:b/>
          <w:szCs w:val="24"/>
          <w:rFonts w:cs="Calibri" w:cstheme="minorHAnsi"/>
        </w:rPr>
      </w:pPr>
      <w:r>
        <w:rPr>
          <w:rFonts w:cs="Calibri" w:cstheme="minorHAnsi"/>
          <w:b/>
          <w:sz w:val="24"/>
          <w:szCs w:val="24"/>
          <w:u w:val="single"/>
        </w:rPr>
      </w:r>
    </w:p>
    <w:p>
      <w:pPr>
        <w:pStyle w:val="Normal"/>
        <w:rPr>
          <w:sz w:val="24"/>
          <w:u w:val="single"/>
          <w:b/>
          <w:sz w:val="24"/>
          <w:b/>
          <w:szCs w:val="24"/>
          <w:rFonts w:cs="Calibri" w:cstheme="minorHAnsi"/>
        </w:rPr>
      </w:pPr>
      <w:r>
        <w:rPr>
          <w:rFonts w:cs="Calibri" w:cstheme="minorHAnsi"/>
          <w:b/>
          <w:sz w:val="24"/>
          <w:szCs w:val="24"/>
          <w:u w:val="single"/>
        </w:rPr>
      </w:r>
    </w:p>
    <w:p>
      <w:pPr>
        <w:pStyle w:val="Normal"/>
        <w:rPr>
          <w:sz w:val="24"/>
          <w:u w:val="single"/>
          <w:b/>
          <w:sz w:val="24"/>
          <w:b/>
          <w:szCs w:val="24"/>
          <w:rFonts w:cs="Calibri" w:cstheme="minorHAnsi"/>
        </w:rPr>
      </w:pPr>
      <w:r>
        <w:rPr>
          <w:rFonts w:cs="Calibri" w:cstheme="minorHAnsi"/>
          <w:b/>
          <w:sz w:val="24"/>
          <w:szCs w:val="24"/>
          <w:u w:val="single"/>
        </w:rPr>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r>
    </w:p>
    <w:p>
      <w:pPr>
        <w:pStyle w:val="Normal"/>
        <w:spacing w:lineRule="auto" w:line="276" w:before="0" w:after="200"/>
        <w:rPr>
          <w:sz w:val="24"/>
          <w:u w:val="single"/>
          <w:b/>
          <w:sz w:val="24"/>
          <w:b/>
          <w:szCs w:val="24"/>
        </w:rPr>
      </w:pPr>
      <w:r>
        <w:rPr>
          <w:b/>
          <w:sz w:val="24"/>
          <w:szCs w:val="24"/>
          <w:u w:val="single"/>
        </w:rPr>
      </w:r>
      <w:r>
        <w:br w:type="page"/>
      </w:r>
    </w:p>
    <w:p>
      <w:pPr>
        <w:pStyle w:val="Normal"/>
        <w:rPr>
          <w:sz w:val="24"/>
          <w:u w:val="single"/>
          <w:b/>
          <w:sz w:val="24"/>
          <w:b/>
          <w:szCs w:val="24"/>
        </w:rPr>
      </w:pPr>
      <w:r>
        <w:rPr>
          <w:b/>
          <w:sz w:val="24"/>
          <w:szCs w:val="24"/>
          <w:u w:val="single"/>
        </w:rPr>
        <w:t>EVSE Site Locations</w:t>
      </w:r>
    </w:p>
    <w:p>
      <w:pPr>
        <w:pStyle w:val="Normal"/>
        <w:rPr>
          <w:sz w:val="24"/>
          <w:sz w:val="24"/>
          <w:szCs w:val="24"/>
          <w:rFonts w:cs="Calibri" w:cstheme="minorHAnsi"/>
        </w:rPr>
      </w:pPr>
      <w:r>
        <w:rPr>
          <w:rFonts w:cs="Calibri" w:cstheme="minorHAnsi"/>
          <w:sz w:val="24"/>
          <w:szCs w:val="24"/>
        </w:rPr>
      </w:r>
      <w:r>
        <mc:AlternateContent>
          <mc:Choice Requires="wps">
            <w:drawing>
              <wp:anchor behindDoc="0" distT="0" distB="0" distL="114300" distR="114300" simplePos="0" locked="0" layoutInCell="1" allowOverlap="1" relativeHeight="7">
                <wp:simplePos x="0" y="0"/>
                <wp:positionH relativeFrom="column">
                  <wp:posOffset>2696845</wp:posOffset>
                </wp:positionH>
                <wp:positionV relativeFrom="paragraph">
                  <wp:posOffset>59055</wp:posOffset>
                </wp:positionV>
                <wp:extent cx="3751580" cy="3292475"/>
                <wp:effectExtent l="0" t="0" r="0" b="0"/>
                <wp:wrapSquare wrapText="bothSides"/>
                <wp:docPr id="12" name=""/>
                <a:graphic xmlns:a="http://schemas.openxmlformats.org/drawingml/2006/main">
                  <a:graphicData uri="http://schemas.microsoft.com/office/word/2010/wordprocessingShape">
                    <wps:wsp>
                      <wps:cNvSpPr txBox="1"/>
                      <wps:spPr>
                        <a:xfrm>
                          <a:off x="0" y="0"/>
                          <a:ext cx="3751580" cy="3292475"/>
                        </a:xfrm>
                        <a:prstGeom prst="rect"/>
                        <a:solidFill>
                          <a:srgbClr val="FFFFFF"/>
                        </a:solidFill>
                        <a:ln w="635">
                          <a:solidFill>
                            <a:srgbClr val="000000"/>
                          </a:solidFill>
                        </a:ln>
                      </wps:spPr>
                      <wps:txbx>
                        <w:txbxContent>
                          <w:p>
                            <w:pPr>
                              <w:pStyle w:val="FrameContents"/>
                              <w:shd w:themeFill="text2" w:fill="548DD4" w:val="clear"/>
                              <w:jc w:val="center"/>
                              <w:rPr>
                                <w:color w:val="FFFFFF" w:themeColor="background1"/>
                              </w:rPr>
                            </w:pPr>
                            <w:r>
                              <w:rPr>
                                <w:color w:val="FFFFFF" w:themeColor="background1"/>
                              </w:rPr>
                              <w:t xml:space="preserve">As part of their </w:t>
                            </w:r>
                            <w:r>
                              <w:rPr>
                                <w:i/>
                                <w:iCs/>
                                <w:color w:val="FFFFFF" w:themeColor="background1"/>
                              </w:rPr>
                              <w:t>Park and Charge</w:t>
                            </w:r>
                            <w:r>
                              <w:rPr>
                                <w:color w:val="FFFFFF" w:themeColor="background1"/>
                              </w:rPr>
                              <w:t xml:space="preserve"> Pilot Program, the District of Columbia installed the first public curbside electric vehicle charging station in the United States at the intersection of 14</w:t>
                            </w:r>
                            <w:r>
                              <w:rPr>
                                <w:color w:val="FFFFFF" w:themeColor="background1"/>
                                <w:vertAlign w:val="superscript"/>
                              </w:rPr>
                              <w:t>th</w:t>
                            </w:r>
                            <w:r>
                              <w:rPr>
                                <w:color w:val="FFFFFF" w:themeColor="background1"/>
                              </w:rPr>
                              <w:t xml:space="preserve"> &amp; U St. NW in 2010 in partnership with ChargePoint America and Pepco and partially supported by federal grants. Between installation and April 2012, the station was utilized for 135 charging sessions. The District plans to open at least two more stations at the Washington Canal Park in May, 2012.</w:t>
                            </w:r>
                          </w:p>
                          <w:p>
                            <w:pPr>
                              <w:pStyle w:val="FrameContents"/>
                              <w:shd w:themeFill="text2" w:fill="548DD4" w:val="clear"/>
                              <w:jc w:val="center"/>
                            </w:pPr>
                            <w:r>
                              <w:rPr/>
                              <w:drawing>
                                <wp:inline distT="0" distB="127000" distL="0" distR="0">
                                  <wp:extent cx="1964690" cy="1473835"/>
                                  <wp:effectExtent l="0" t="0" r="0" b="0"/>
                                  <wp:docPr id="13" name=""/>
                                  <a:graphic xmlns:a="http://schemas.openxmlformats.org/drawingml/2006/main">
                                    <a:graphicData uri="http://schemas.microsoft.com/office/word/2010/wordprocessingShape"/>
                                  </a:graphic>
                                </wp:inline>
                              </w:drawing>
                            </w:r>
                            <w:r>
                              <w:rPr>
                                <w:color w:val="FFFFFF" w:themeColor="background1"/>
                                <w:sz w:val="18"/>
                              </w:rPr>
                              <w:t>http://ddot.dc.gov/DC/DDOT/Services/Parking+Services/View+All/Park+and+Charge+Pilot</w:t>
                            </w:r>
                          </w:p>
                        </w:txbxContent>
                      </wps:txbx>
                      <wps:bodyPr anchor="t" lIns="91440" tIns="45720" rIns="91440" bIns="45720">
                        <a:noAutofit/>
                      </wps:bodyPr>
                    </wps:wsp>
                  </a:graphicData>
                </a:graphic>
              </wp:anchor>
            </w:drawing>
          </mc:Choice>
          <mc:Fallback>
            <w:pict>
              <v:rect fillcolor="#FFFFFF" strokecolor="#000000" strokeweight="0pt" style="position:absolute;width:295.4pt;height:259.25pt;mso-wrap-distance-left:9pt;mso-wrap-distance-right:9pt;mso-wrap-distance-top:0pt;mso-wrap-distance-bottom:0pt;margin-top:4.65pt;margin-left:212.35pt">
                <v:textbox>
                  <w:txbxContent>
                    <w:p>
                      <w:pPr>
                        <w:pStyle w:val="FrameContents"/>
                        <w:shd w:themeFill="text2" w:fill="548DD4" w:val="clear"/>
                        <w:jc w:val="center"/>
                        <w:rPr>
                          <w:color w:val="FFFFFF" w:themeColor="background1"/>
                        </w:rPr>
                      </w:pPr>
                      <w:r>
                        <w:rPr>
                          <w:color w:val="FFFFFF" w:themeColor="background1"/>
                        </w:rPr>
                        <w:t xml:space="preserve">As part of their </w:t>
                      </w:r>
                      <w:r>
                        <w:rPr>
                          <w:i/>
                          <w:iCs/>
                          <w:color w:val="FFFFFF" w:themeColor="background1"/>
                        </w:rPr>
                        <w:t>Park and Charge</w:t>
                      </w:r>
                      <w:r>
                        <w:rPr>
                          <w:color w:val="FFFFFF" w:themeColor="background1"/>
                        </w:rPr>
                        <w:t xml:space="preserve"> Pilot Program, the District of Columbia installed the first public curbside electric vehicle charging station in the United States at the intersection of 14</w:t>
                      </w:r>
                      <w:r>
                        <w:rPr>
                          <w:color w:val="FFFFFF" w:themeColor="background1"/>
                          <w:vertAlign w:val="superscript"/>
                        </w:rPr>
                        <w:t>th</w:t>
                      </w:r>
                      <w:r>
                        <w:rPr>
                          <w:color w:val="FFFFFF" w:themeColor="background1"/>
                        </w:rPr>
                        <w:t xml:space="preserve"> &amp; U St. NW in 2010 in partnership with ChargePoint America and Pepco and partially supported by federal grants. Between installation and April 2012, the station was utilized for 135 charging sessions. The District plans to open at least two more stations at the Washington Canal Park in May, 2012.</w:t>
                      </w:r>
                    </w:p>
                    <w:p>
                      <w:pPr>
                        <w:pStyle w:val="FrameContents"/>
                        <w:shd w:themeFill="text2" w:fill="548DD4" w:val="clear"/>
                        <w:jc w:val="center"/>
                      </w:pPr>
                      <w:r>
                        <w:rPr/>
                        <mc:AlternateContent>
                          <mc:Choice Requires="wps">
                            <w:drawing>
                              <wp:inline distT="0" distB="127000" distL="0" distR="0">
                                <wp:extent cx="1964690" cy="1473835"/>
                                <wp:effectExtent l="0" t="0" r="0" b="0"/>
                                <wp:docPr id="14" name=""/>
                                <a:graphic xmlns:a="http://schemas.openxmlformats.org/drawingml/2006/main">
                                  <a:graphicData uri="http://schemas.microsoft.com/office/word/2010/wordprocessingShape"/>
                                </a:graphic>
                              </wp:inline>
                            </w:drawing>
                          </mc:Choice>
                          <mc:Fallback>
                            <w:pict>
                              <v:rect id="shape_0" style="position:absolute;margin-left:0pt;margin-top:0pt;width:154.6pt;height:115.95pt"/>
                            </w:pict>
                          </mc:Fallback>
                        </mc:AlternateContent>
                      </w:r>
                      <w:r>
                        <w:rPr>
                          <w:color w:val="FFFFFF" w:themeColor="background1"/>
                          <w:sz w:val="18"/>
                        </w:rPr>
                        <w:t>http://ddot.dc.gov/DC/DDOT/Services/Parking+Services/View+All/Park+and+Charge+Pilot</w:t>
                      </w:r>
                    </w:p>
                  </w:txbxContent>
                </v:textbox>
                <w10:wrap type="square"/>
              </v:rect>
            </w:pict>
          </mc:Fallback>
        </mc:AlternateContent>
      </w:r>
    </w:p>
    <w:p>
      <w:pPr>
        <w:pStyle w:val="Normal"/>
        <w:rPr>
          <w:sz w:val="24"/>
          <w:sz w:val="24"/>
          <w:szCs w:val="24"/>
          <w:rFonts w:cs="Calibri" w:cstheme="minorHAnsi"/>
        </w:rPr>
      </w:pPr>
      <w:r>
        <w:rPr>
          <w:rFonts w:cs="Calibri" w:cstheme="minorHAnsi"/>
          <w:sz w:val="24"/>
          <w:szCs w:val="24"/>
        </w:rPr>
        <w:t xml:space="preserve">For PEV owners, most charging will likely occur at home, with workplace charging a close second. Multi-family and urban dwellers without a dedicated garage or driveway will require innovative charging solutions.  Public charging should be provided in strategic locations based upon driver lifestyle destinations—shopping, theater, hairdresser, park &amp; ride and so forth.  EV car sharing and rental programs provide additional opportunities for non-PEV owners. </w: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t xml:space="preserve">This section identifies considerations and recommendations for deploying electric vehicle charging stations, or EV infrastructure in specific site types.  Many sources recommend taking an adaptive approach—laying the groundwork in new development and redeveloping areas for future infrastructure capability. </w:t>
      </w:r>
    </w:p>
    <w:p>
      <w:pPr>
        <w:pStyle w:val="ListParagraph"/>
        <w:ind w:left="0" w:hanging="0"/>
        <w:rPr>
          <w:sz w:val="24"/>
          <w:sz w:val="24"/>
          <w:szCs w:val="24"/>
          <w:rFonts w:cs="Calibri" w:cstheme="minorHAnsi"/>
        </w:rPr>
      </w:pPr>
      <w:r>
        <w:rPr>
          <w:rFonts w:cs="Calibri" w:cstheme="minorHAnsi"/>
          <w:sz w:val="24"/>
          <w:szCs w:val="24"/>
        </w:rPr>
      </w:r>
    </w:p>
    <w:p>
      <w:pPr>
        <w:pStyle w:val="Normal"/>
        <w:rPr>
          <w:sz w:val="24"/>
          <w:b/>
          <w:sz w:val="24"/>
          <w:b/>
          <w:szCs w:val="24"/>
          <w:rFonts w:cs="Calibri" w:cstheme="minorHAnsi"/>
        </w:rPr>
      </w:pPr>
      <w:r>
        <w:rPr>
          <w:rFonts w:cs="Calibri" w:cstheme="minorHAnsi"/>
          <w:b/>
          <w:sz w:val="24"/>
          <w:szCs w:val="24"/>
        </w:rPr>
        <w:t>Considerations and Opportunities by Site Type</w:t>
      </w:r>
    </w:p>
    <w:p>
      <w:pPr>
        <w:pStyle w:val="ListParagraph"/>
        <w:ind w:left="0" w:hanging="0"/>
        <w:rPr>
          <w:sz w:val="24"/>
          <w:sz w:val="24"/>
          <w:szCs w:val="24"/>
          <w:rFonts w:cs="Calibri" w:cstheme="minorHAnsi"/>
        </w:rPr>
      </w:pPr>
      <w:r>
        <w:rPr>
          <w:rFonts w:cs="Calibri" w:cstheme="minorHAnsi"/>
          <w:sz w:val="24"/>
          <w:szCs w:val="24"/>
        </w:rPr>
      </w:r>
    </w:p>
    <w:p>
      <w:pPr>
        <w:pStyle w:val="ListParagraph"/>
        <w:ind w:left="0" w:hanging="0"/>
        <w:rPr>
          <w:sz w:val="24"/>
          <w:b/>
          <w:sz w:val="24"/>
          <w:b/>
          <w:szCs w:val="24"/>
          <w:rFonts w:cs="Calibri" w:cstheme="minorHAnsi"/>
        </w:rPr>
      </w:pPr>
      <w:r>
        <w:rPr>
          <w:rFonts w:cs="Calibri" w:cstheme="minorHAnsi"/>
          <w:b/>
          <w:i/>
          <w:sz w:val="24"/>
          <w:szCs w:val="24"/>
        </w:rPr>
        <w:t>1) Homes (Vehicle spends 8 – 12 hours parked)</w:t>
      </w:r>
      <w:r>
        <w:rPr>
          <w:rFonts w:cs="Calibri" w:cstheme="minorHAnsi"/>
          <w:b/>
          <w:sz w:val="24"/>
          <w:szCs w:val="24"/>
        </w:rPr>
        <w:t xml:space="preserve"> </w:t>
      </w:r>
      <w:r>
        <w:rPr>
          <w:rFonts w:cs="Calibri" w:cstheme="minorHAnsi"/>
          <w:sz w:val="24"/>
          <w:szCs w:val="24"/>
        </w:rPr>
        <w:t xml:space="preserve">will see the highest demand for charging. </w:t>
      </w:r>
      <w:r>
        <mc:AlternateContent>
          <mc:Choice Requires="wps">
            <w:drawing>
              <wp:anchor behindDoc="0" distT="0" distB="0" distL="114300" distR="114300" simplePos="0" locked="0" layoutInCell="1" allowOverlap="1" relativeHeight="3">
                <wp:simplePos x="0" y="0"/>
                <wp:positionH relativeFrom="column">
                  <wp:posOffset>1995805</wp:posOffset>
                </wp:positionH>
                <wp:positionV relativeFrom="paragraph">
                  <wp:posOffset>39370</wp:posOffset>
                </wp:positionV>
                <wp:extent cx="4293235" cy="3759200"/>
                <wp:effectExtent l="0" t="0" r="0" b="0"/>
                <wp:wrapSquare wrapText="bothSides"/>
                <wp:docPr id="15" name=""/>
                <a:graphic xmlns:a="http://schemas.openxmlformats.org/drawingml/2006/main">
                  <a:graphicData uri="http://schemas.microsoft.com/office/word/2010/wordprocessingShape">
                    <wps:wsp>
                      <wps:cNvSpPr txBox="1"/>
                      <wps:spPr>
                        <a:xfrm>
                          <a:off x="0" y="0"/>
                          <a:ext cx="4293235" cy="3759200"/>
                        </a:xfrm>
                        <a:prstGeom prst="rect"/>
                        <a:solidFill>
                          <a:srgbClr val="FFFFFF"/>
                        </a:solidFill>
                        <a:ln w="635">
                          <a:solidFill>
                            <a:srgbClr val="000000"/>
                          </a:solidFill>
                        </a:ln>
                      </wps:spPr>
                      <wps:txbx>
                        <w:txbxContent>
                          <w:p>
                            <w:pPr>
                              <w:pStyle w:val="Caption1"/>
                            </w:pPr>
                            <w:r>
                              <w:rPr/>
                              <w:drawing>
                                <wp:inline distT="0" distB="0" distL="0" distR="0">
                                  <wp:extent cx="5942965" cy="7691120"/>
                                  <wp:effectExtent l="0" t="0" r="0" b="0"/>
                                  <wp:docPr id="1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Caption1"/>
                              <w:rPr>
                                <w:i/>
                                <w:i/>
                                <w:rFonts w:cs="Calibri" w:cstheme="minorHAnsi"/>
                              </w:rPr>
                            </w:pPr>
                            <w:r>
                              <w:rPr/>
                              <w:t>Figure.  Housing Type by Jurisdiction. A majority of residents in DC and Alexandria life in multifamily or single family attached housing, while single family home ownership is common in other jurisdictions. Source: 2007/2008 Household Travel Survey.</w:t>
                            </w:r>
                          </w:p>
                          <w:p>
                            <w:pPr>
                              <w:pStyle w:val="FrameContents"/>
                            </w:pPr>
                            <w:r>
                              <w:rPr/>
                            </w:r>
                          </w:p>
                        </w:txbxContent>
                      </wps:txbx>
                      <wps:bodyPr anchor="t" lIns="91440" tIns="45720" rIns="91440" bIns="45720">
                        <a:noAutofit/>
                      </wps:bodyPr>
                    </wps:wsp>
                  </a:graphicData>
                </a:graphic>
              </wp:anchor>
            </w:drawing>
          </mc:Choice>
          <mc:Fallback>
            <w:pict>
              <v:rect fillcolor="#FFFFFF" strokecolor="#000000" strokeweight="0pt" style="position:absolute;width:338.05pt;height:296pt;mso-wrap-distance-left:9pt;mso-wrap-distance-right:9pt;mso-wrap-distance-top:0pt;mso-wrap-distance-bottom:0pt;margin-top:3.1pt;margin-left:157.15pt">
                <v:textbox>
                  <w:txbxContent>
                    <w:p>
                      <w:pPr>
                        <w:pStyle w:val="Caption1"/>
                      </w:pPr>
                      <w:r>
                        <w:rPr/>
                        <w:drawing>
                          <wp:inline distT="0" distB="0" distL="0" distR="0">
                            <wp:extent cx="5942965" cy="7691120"/>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Caption1"/>
                        <w:rPr>
                          <w:i/>
                          <w:i/>
                          <w:rFonts w:cs="Calibri" w:cstheme="minorHAnsi"/>
                        </w:rPr>
                      </w:pPr>
                      <w:r>
                        <w:rPr/>
                        <w:t>Figure.  Housing Type by Jurisdiction. A majority of residents in DC and Alexandria life in multifamily or single family attached housing, while single family home ownership is common in other jurisdictions. Source: 2007/2008 Household Travel Survey.</w:t>
                      </w:r>
                    </w:p>
                    <w:p>
                      <w:pPr>
                        <w:pStyle w:val="FrameContents"/>
                      </w:pPr>
                      <w:r>
                        <w:rPr/>
                      </w:r>
                    </w:p>
                  </w:txbxContent>
                </v:textbox>
                <w10:wrap type="square"/>
              </v:rect>
            </w:pict>
          </mc:Fallback>
        </mc:AlternateContent>
      </w:r>
    </w:p>
    <w:p>
      <w:pPr>
        <w:pStyle w:val="ListParagraph"/>
        <w:keepNext/>
        <w:ind w:left="360" w:hanging="0"/>
        <w:rPr>
          <w:sz w:val="24"/>
          <w:sz w:val="24"/>
          <w:szCs w:val="24"/>
          <w:rFonts w:cs="Calibri" w:cstheme="minorHAnsi"/>
        </w:rPr>
      </w:pPr>
      <w:r>
        <w:rPr>
          <w:rFonts w:cs="Calibri" w:cstheme="minorHAnsi"/>
          <w:i/>
          <w:sz w:val="24"/>
          <w:szCs w:val="24"/>
        </w:rPr>
        <w:t>Single family homes</w:t>
      </w:r>
      <w:r>
        <w:rPr>
          <w:rFonts w:cs="Calibri" w:cstheme="minorHAnsi"/>
          <w:sz w:val="24"/>
          <w:szCs w:val="24"/>
        </w:rPr>
        <w:t xml:space="preserve"> which have garages or driveways are the most straight-forward locations. </w:t>
        <w:br/>
      </w:r>
    </w:p>
    <w:p>
      <w:pPr>
        <w:pStyle w:val="ListParagraph"/>
        <w:keepNext/>
        <w:ind w:left="360" w:hanging="0"/>
        <w:rPr>
          <w:sz w:val="24"/>
          <w:sz w:val="24"/>
          <w:szCs w:val="24"/>
        </w:rPr>
      </w:pPr>
      <w:r>
        <w:rPr>
          <w:rFonts w:cs="Calibri" w:cstheme="minorHAnsi"/>
          <w:sz w:val="24"/>
          <w:szCs w:val="24"/>
        </w:rPr>
        <w:t xml:space="preserve">As shown in the Figure, single family home ownership is common in many regional jurisdictions. A local permit may be required if a EV charging unit is installed. </w:t>
      </w:r>
    </w:p>
    <w:p>
      <w:pPr>
        <w:pStyle w:val="ListParagraph"/>
        <w:ind w:left="360" w:hanging="0"/>
        <w:rPr>
          <w:sz w:val="24"/>
          <w:sz w:val="24"/>
          <w:szCs w:val="24"/>
          <w:rFonts w:cs="Calibri" w:cstheme="minorHAnsi"/>
        </w:rPr>
      </w:pPr>
      <w:r>
        <w:rPr>
          <w:rFonts w:cs="Calibri" w:cstheme="minorHAnsi"/>
          <w:sz w:val="24"/>
          <w:szCs w:val="24"/>
        </w:rPr>
      </w:r>
    </w:p>
    <w:p>
      <w:pPr>
        <w:pStyle w:val="ListParagraph"/>
        <w:ind w:left="360" w:hanging="0"/>
        <w:rPr>
          <w:sz w:val="24"/>
          <w:sz w:val="24"/>
          <w:szCs w:val="24"/>
          <w:rFonts w:cs="Calibri" w:cstheme="minorHAnsi"/>
        </w:rPr>
      </w:pPr>
      <w:r>
        <w:rPr>
          <w:rFonts w:cs="Calibri" w:cstheme="minorHAnsi"/>
          <w:i/>
          <w:sz w:val="24"/>
          <w:szCs w:val="24"/>
        </w:rPr>
        <w:t xml:space="preserve">Town Homes </w:t>
      </w:r>
      <w:r>
        <w:rPr>
          <w:rFonts w:cs="Calibri" w:cstheme="minorHAnsi"/>
          <w:sz w:val="24"/>
          <w:szCs w:val="24"/>
        </w:rPr>
        <w:t xml:space="preserve">without garages or driveways will have special charging station location needs. </w:t>
      </w:r>
    </w:p>
    <w:p>
      <w:pPr>
        <w:pStyle w:val="ListParagraph"/>
        <w:ind w:left="360" w:hanging="0"/>
        <w:rPr>
          <w:sz w:val="24"/>
          <w:sz w:val="24"/>
          <w:szCs w:val="24"/>
          <w:rFonts w:cs="Calibri" w:cstheme="minorHAnsi"/>
        </w:rPr>
      </w:pPr>
      <w:r>
        <w:rPr>
          <w:rFonts w:cs="Calibri" w:cstheme="minorHAnsi"/>
          <w:sz w:val="24"/>
          <w:szCs w:val="24"/>
        </w:rPr>
      </w:r>
    </w:p>
    <w:p>
      <w:pPr>
        <w:pStyle w:val="ListParagraph"/>
        <w:ind w:left="360" w:hanging="0"/>
        <w:rPr>
          <w:sz w:val="24"/>
          <w:sz w:val="24"/>
          <w:szCs w:val="24"/>
          <w:rFonts w:cs="Calibri" w:cstheme="minorHAnsi"/>
        </w:rPr>
      </w:pPr>
      <w:r>
        <w:rPr>
          <w:rFonts w:cs="Calibri" w:cstheme="minorHAnsi"/>
          <w:i/>
          <w:sz w:val="24"/>
          <w:szCs w:val="24"/>
        </w:rPr>
        <w:t xml:space="preserve">Apartments/Condos </w:t>
      </w:r>
      <w:r>
        <w:rPr>
          <w:rFonts w:cs="Calibri" w:cstheme="minorHAnsi"/>
          <w:sz w:val="24"/>
          <w:szCs w:val="24"/>
        </w:rPr>
        <w:t xml:space="preserve">and other multiple unit dwellings have particularly difficult challenges due to limited and/or shared parking and lack of access to electrical conduits. Multifamily residential units vary in their needs regarding EV infrastructure implementation. Home Owner Associations (HOAs) may need to be educated about electric vehicle charging stations, their requirements and how to locate them. </w:t>
      </w:r>
      <w:r>
        <mc:AlternateContent>
          <mc:Choice Requires="wps">
            <w:drawing>
              <wp:anchor behindDoc="0" distT="0" distB="0" distL="114300" distR="114300" simplePos="0" locked="0" layoutInCell="1" allowOverlap="1" relativeHeight="8">
                <wp:simplePos x="0" y="0"/>
                <wp:positionH relativeFrom="column">
                  <wp:posOffset>2994025</wp:posOffset>
                </wp:positionH>
                <wp:positionV relativeFrom="paragraph">
                  <wp:posOffset>596900</wp:posOffset>
                </wp:positionV>
                <wp:extent cx="2886710" cy="5765800"/>
                <wp:effectExtent l="0" t="0" r="0" b="0"/>
                <wp:wrapSquare wrapText="bothSides"/>
                <wp:docPr id="18" name=""/>
                <a:graphic xmlns:a="http://schemas.openxmlformats.org/drawingml/2006/main">
                  <a:graphicData uri="http://schemas.microsoft.com/office/word/2010/wordprocessingShape">
                    <wps:wsp>
                      <wps:cNvSpPr txBox="1"/>
                      <wps:spPr>
                        <a:xfrm>
                          <a:off x="0" y="0"/>
                          <a:ext cx="2886710" cy="5765800"/>
                        </a:xfrm>
                        <a:prstGeom prst="rect"/>
                        <a:solidFill>
                          <a:srgbClr val="4F81BD"/>
                        </a:solidFill>
                        <a:ln w="635">
                          <a:solidFill>
                            <a:srgbClr val="000000"/>
                          </a:solidFill>
                        </a:ln>
                      </wps:spPr>
                      <wps:txbx>
                        <w:txbxContent>
                          <w:p>
                            <w:pPr>
                              <w:pStyle w:val="FrameContents"/>
                              <w:jc w:val="center"/>
                              <w:rPr>
                                <w:b/>
                                <w:b/>
                                <w:color w:val="FFFFFF" w:themeColor="background1"/>
                              </w:rPr>
                            </w:pPr>
                            <w:r>
                              <w:rPr>
                                <w:b/>
                                <w:color w:val="FFFFFF" w:themeColor="background1"/>
                              </w:rPr>
                              <w:t>Charging Location Guidelines by Charging Level Type</w:t>
                            </w:r>
                          </w:p>
                          <w:p>
                            <w:pPr>
                              <w:pStyle w:val="FrameContents"/>
                              <w:jc w:val="right"/>
                              <w:rPr>
                                <w:color w:val="FFFFFF" w:themeColor="background1"/>
                              </w:rPr>
                            </w:pPr>
                            <w:r>
                              <w:rPr>
                                <w:color w:val="FFFFFF" w:themeColor="background1"/>
                              </w:rPr>
                              <w:t>--adapted from EV Project</w:t>
                            </w:r>
                          </w:p>
                          <w:p>
                            <w:pPr>
                              <w:pStyle w:val="FrameContents"/>
                              <w:rPr>
                                <w:color w:val="FFFFFF" w:themeColor="background1"/>
                              </w:rPr>
                            </w:pPr>
                            <w:r>
                              <w:rPr>
                                <w:color w:val="FFFFFF" w:themeColor="background1"/>
                              </w:rPr>
                            </w:r>
                          </w:p>
                          <w:p>
                            <w:pPr>
                              <w:pStyle w:val="FrameContents"/>
                              <w:rPr>
                                <w:u w:val="single"/>
                                <w:color w:val="FFFFFF" w:themeColor="background1"/>
                              </w:rPr>
                            </w:pPr>
                            <w:r>
                              <w:rPr>
                                <w:color w:val="FFFFFF" w:themeColor="background1"/>
                                <w:u w:val="single"/>
                              </w:rPr>
                              <w:t xml:space="preserve">Level 1 Locations – Full charge up to 24 hours  </w:t>
                            </w:r>
                          </w:p>
                          <w:p>
                            <w:pPr>
                              <w:pStyle w:val="FrameContents"/>
                              <w:rPr>
                                <w:color w:val="FFFFFF" w:themeColor="background1"/>
                              </w:rPr>
                            </w:pPr>
                            <w:r>
                              <w:rPr>
                                <w:color w:val="FFFFFF" w:themeColor="background1"/>
                              </w:rPr>
                              <w:t>Residential Locations</w:t>
                            </w:r>
                          </w:p>
                          <w:p>
                            <w:pPr>
                              <w:pStyle w:val="FrameContents"/>
                              <w:numPr>
                                <w:ilvl w:val="0"/>
                                <w:numId w:val="9"/>
                              </w:numPr>
                              <w:rPr>
                                <w:color w:val="FFFFFF" w:themeColor="background1"/>
                              </w:rPr>
                            </w:pPr>
                            <w:r>
                              <w:rPr>
                                <w:color w:val="FFFFFF" w:themeColor="background1"/>
                              </w:rPr>
                              <w:t>Lightly traveled BEVs, PHEVs</w:t>
                            </w:r>
                          </w:p>
                          <w:p>
                            <w:pPr>
                              <w:pStyle w:val="FrameContents"/>
                              <w:numPr>
                                <w:ilvl w:val="0"/>
                                <w:numId w:val="9"/>
                              </w:numPr>
                              <w:rPr>
                                <w:color w:val="FFFFFF" w:themeColor="background1"/>
                              </w:rPr>
                            </w:pPr>
                            <w:r>
                              <w:rPr>
                                <w:color w:val="FFFFFF" w:themeColor="background1"/>
                              </w:rPr>
                              <w:t>All night charging available</w:t>
                            </w:r>
                          </w:p>
                          <w:p>
                            <w:pPr>
                              <w:pStyle w:val="FrameContents"/>
                              <w:rPr>
                                <w:color w:val="FFFFFF" w:themeColor="background1"/>
                              </w:rPr>
                            </w:pPr>
                            <w:r>
                              <w:rPr>
                                <w:color w:val="FFFFFF" w:themeColor="background1"/>
                              </w:rPr>
                              <w:t>Workplace Locations</w:t>
                            </w:r>
                          </w:p>
                          <w:p>
                            <w:pPr>
                              <w:pStyle w:val="FrameContents"/>
                              <w:numPr>
                                <w:ilvl w:val="0"/>
                                <w:numId w:val="9"/>
                              </w:numPr>
                              <w:rPr>
                                <w:color w:val="FFFFFF" w:themeColor="background1"/>
                              </w:rPr>
                            </w:pPr>
                            <w:r>
                              <w:rPr>
                                <w:color w:val="FFFFFF" w:themeColor="background1"/>
                              </w:rPr>
                              <w:t>All day charging available</w:t>
                            </w:r>
                          </w:p>
                          <w:p>
                            <w:pPr>
                              <w:pStyle w:val="FrameContents"/>
                              <w:rPr>
                                <w:color w:val="FFFFFF" w:themeColor="background1"/>
                              </w:rPr>
                            </w:pPr>
                            <w:r>
                              <w:rPr>
                                <w:color w:val="FFFFFF" w:themeColor="background1"/>
                              </w:rPr>
                              <w:t>Emergency Use</w:t>
                            </w:r>
                          </w:p>
                          <w:p>
                            <w:pPr>
                              <w:pStyle w:val="FrameContents"/>
                              <w:numPr>
                                <w:ilvl w:val="0"/>
                                <w:numId w:val="9"/>
                              </w:numPr>
                              <w:rPr>
                                <w:color w:val="FFFFFF" w:themeColor="background1"/>
                              </w:rPr>
                            </w:pPr>
                            <w:r>
                              <w:rPr>
                                <w:color w:val="FFFFFF" w:themeColor="background1"/>
                              </w:rPr>
                              <w:t>Carry converter in trunk for backup use with any compatible electric socket</w:t>
                            </w:r>
                          </w:p>
                          <w:p>
                            <w:pPr>
                              <w:pStyle w:val="FrameContents"/>
                              <w:rPr>
                                <w:color w:val="FFFFFF" w:themeColor="background1"/>
                              </w:rPr>
                            </w:pPr>
                            <w:r>
                              <w:rPr>
                                <w:color w:val="FFFFFF" w:themeColor="background1"/>
                              </w:rPr>
                            </w:r>
                          </w:p>
                          <w:p>
                            <w:pPr>
                              <w:pStyle w:val="FrameContents"/>
                              <w:rPr>
                                <w:color w:val="FFFFFF" w:themeColor="background1"/>
                              </w:rPr>
                            </w:pPr>
                            <w:r>
                              <w:rPr>
                                <w:color w:val="FFFFFF" w:themeColor="background1"/>
                                <w:u w:val="single"/>
                              </w:rPr>
                              <w:t>AC Level 2 Locations - Full charge 4 to 6 hours</w:t>
                            </w:r>
                          </w:p>
                          <w:p>
                            <w:pPr>
                              <w:pStyle w:val="FrameContents"/>
                              <w:rPr>
                                <w:color w:val="FFFFFF" w:themeColor="background1"/>
                              </w:rPr>
                            </w:pPr>
                            <w:r>
                              <w:rPr>
                                <w:color w:val="FFFFFF" w:themeColor="background1"/>
                              </w:rPr>
                              <w:t>Destination Locations</w:t>
                            </w:r>
                          </w:p>
                          <w:p>
                            <w:pPr>
                              <w:pStyle w:val="FrameContents"/>
                              <w:numPr>
                                <w:ilvl w:val="0"/>
                                <w:numId w:val="10"/>
                              </w:numPr>
                              <w:rPr>
                                <w:color w:val="FFFFFF" w:themeColor="background1"/>
                              </w:rPr>
                            </w:pPr>
                            <w:r>
                              <w:rPr>
                                <w:color w:val="FFFFFF" w:themeColor="background1"/>
                              </w:rPr>
                              <w:t>Where people shop, play, gather</w:t>
                            </w:r>
                          </w:p>
                          <w:p>
                            <w:pPr>
                              <w:pStyle w:val="FrameContents"/>
                              <w:numPr>
                                <w:ilvl w:val="0"/>
                                <w:numId w:val="10"/>
                              </w:numPr>
                              <w:rPr>
                                <w:color w:val="FFFFFF" w:themeColor="background1"/>
                              </w:rPr>
                            </w:pPr>
                            <w:r>
                              <w:rPr>
                                <w:color w:val="FFFFFF" w:themeColor="background1"/>
                              </w:rPr>
                              <w:t>Target is 1 to 3 hour stays</w:t>
                            </w:r>
                          </w:p>
                          <w:p>
                            <w:pPr>
                              <w:pStyle w:val="FrameContents"/>
                              <w:numPr>
                                <w:ilvl w:val="0"/>
                                <w:numId w:val="10"/>
                              </w:numPr>
                              <w:rPr>
                                <w:color w:val="FFFFFF" w:themeColor="background1"/>
                              </w:rPr>
                            </w:pPr>
                            <w:r>
                              <w:rPr>
                                <w:color w:val="FFFFFF" w:themeColor="background1"/>
                              </w:rPr>
                              <w:t>Expand effective operating range</w:t>
                            </w:r>
                          </w:p>
                          <w:p>
                            <w:pPr>
                              <w:pStyle w:val="FrameContents"/>
                              <w:numPr>
                                <w:ilvl w:val="0"/>
                                <w:numId w:val="10"/>
                              </w:numPr>
                              <w:rPr>
                                <w:color w:val="FFFFFF" w:themeColor="background1"/>
                              </w:rPr>
                            </w:pPr>
                            <w:r>
                              <w:rPr>
                                <w:color w:val="FFFFFF" w:themeColor="background1"/>
                              </w:rPr>
                              <w:t>Higher turnover</w:t>
                            </w:r>
                          </w:p>
                          <w:p>
                            <w:pPr>
                              <w:pStyle w:val="FrameContents"/>
                              <w:rPr>
                                <w:color w:val="FFFFFF" w:themeColor="background1"/>
                              </w:rPr>
                            </w:pPr>
                            <w:r>
                              <w:rPr>
                                <w:color w:val="FFFFFF" w:themeColor="background1"/>
                              </w:rPr>
                              <w:t>Workplace Locations</w:t>
                            </w:r>
                          </w:p>
                          <w:p>
                            <w:pPr>
                              <w:pStyle w:val="FrameContents"/>
                              <w:rPr>
                                <w:color w:val="FFFFFF" w:themeColor="background1"/>
                              </w:rPr>
                            </w:pPr>
                            <w:r>
                              <w:rPr>
                                <w:color w:val="FFFFFF" w:themeColor="background1"/>
                              </w:rPr>
                              <w:t>Parking Garages</w:t>
                            </w:r>
                          </w:p>
                          <w:p>
                            <w:pPr>
                              <w:pStyle w:val="FrameContents"/>
                              <w:rPr>
                                <w:u w:val="single"/>
                                <w:color w:val="FFFFFF" w:themeColor="background1"/>
                              </w:rPr>
                            </w:pPr>
                            <w:r>
                              <w:rPr>
                                <w:color w:val="FFFFFF" w:themeColor="background1"/>
                                <w:u w:val="single"/>
                              </w:rPr>
                            </w:r>
                          </w:p>
                          <w:p>
                            <w:pPr>
                              <w:pStyle w:val="FrameContents"/>
                              <w:rPr>
                                <w:u w:val="single"/>
                                <w:color w:val="FFFFFF" w:themeColor="background1"/>
                              </w:rPr>
                            </w:pPr>
                            <w:r>
                              <w:rPr>
                                <w:color w:val="FFFFFF" w:themeColor="background1"/>
                                <w:u w:val="single"/>
                              </w:rPr>
                              <w:t>DC Fast Charging – Full charge 20-30 minutes</w:t>
                            </w:r>
                          </w:p>
                          <w:p>
                            <w:pPr>
                              <w:pStyle w:val="FrameContents"/>
                              <w:rPr>
                                <w:color w:val="FFFFFF" w:themeColor="background1"/>
                              </w:rPr>
                            </w:pPr>
                            <w:r>
                              <w:rPr>
                                <w:color w:val="FFFFFF" w:themeColor="background1"/>
                              </w:rPr>
                              <w:t xml:space="preserve">(None yet available in Washington area) </w:t>
                            </w:r>
                          </w:p>
                          <w:p>
                            <w:pPr>
                              <w:pStyle w:val="FrameContents"/>
                              <w:rPr>
                                <w:color w:val="FFFFFF" w:themeColor="background1"/>
                              </w:rPr>
                            </w:pPr>
                            <w:r>
                              <w:rPr>
                                <w:color w:val="FFFFFF" w:themeColor="background1"/>
                              </w:rPr>
                              <w:t>Destination Locations</w:t>
                            </w:r>
                          </w:p>
                          <w:p>
                            <w:pPr>
                              <w:pStyle w:val="FrameContents"/>
                              <w:numPr>
                                <w:ilvl w:val="0"/>
                                <w:numId w:val="11"/>
                              </w:numPr>
                              <w:rPr>
                                <w:color w:val="FFFFFF" w:themeColor="background1"/>
                              </w:rPr>
                            </w:pPr>
                            <w:r>
                              <w:rPr>
                                <w:color w:val="FFFFFF" w:themeColor="background1"/>
                              </w:rPr>
                              <w:t>Short stops: convenience stores, fast food, rest stops</w:t>
                            </w:r>
                          </w:p>
                          <w:p>
                            <w:pPr>
                              <w:pStyle w:val="FrameContents"/>
                              <w:numPr>
                                <w:ilvl w:val="0"/>
                                <w:numId w:val="11"/>
                              </w:numPr>
                              <w:rPr>
                                <w:color w:val="FFFFFF" w:themeColor="background1"/>
                              </w:rPr>
                            </w:pPr>
                            <w:r>
                              <w:rPr>
                                <w:color w:val="FFFFFF" w:themeColor="background1"/>
                              </w:rPr>
                              <w:t>Target is 15-30 minute stays</w:t>
                            </w:r>
                          </w:p>
                          <w:p>
                            <w:pPr>
                              <w:pStyle w:val="FrameContents"/>
                              <w:numPr>
                                <w:ilvl w:val="0"/>
                                <w:numId w:val="11"/>
                              </w:numPr>
                              <w:rPr>
                                <w:color w:val="FFFFFF" w:themeColor="background1"/>
                              </w:rPr>
                            </w:pPr>
                            <w:r>
                              <w:rPr>
                                <w:color w:val="FFFFFF" w:themeColor="background1"/>
                              </w:rPr>
                              <w:t>“</w:t>
                            </w:r>
                            <w:r>
                              <w:rPr>
                                <w:color w:val="FFFFFF" w:themeColor="background1"/>
                              </w:rPr>
                              <w:t>Safety Net” Locations</w:t>
                            </w:r>
                          </w:p>
                          <w:p>
                            <w:pPr>
                              <w:pStyle w:val="FrameContents"/>
                              <w:numPr>
                                <w:ilvl w:val="0"/>
                                <w:numId w:val="11"/>
                              </w:numPr>
                              <w:rPr>
                                <w:color w:val="FFFFFF" w:themeColor="background1"/>
                              </w:rPr>
                            </w:pPr>
                            <w:r>
                              <w:rPr>
                                <w:color w:val="FFFFFF" w:themeColor="background1"/>
                              </w:rPr>
                              <w:t>Serve “Garageless” EV Owners</w:t>
                            </w:r>
                          </w:p>
                          <w:p>
                            <w:pPr>
                              <w:pStyle w:val="FrameContents"/>
                              <w:rPr>
                                <w:color w:val="FFFFFF" w:themeColor="background1"/>
                              </w:rPr>
                            </w:pPr>
                            <w:r>
                              <w:rPr>
                                <w:color w:val="FFFFFF" w:themeColor="background1"/>
                              </w:rPr>
                              <w:t>Freeway Corridors</w:t>
                            </w:r>
                          </w:p>
                          <w:p>
                            <w:pPr>
                              <w:pStyle w:val="FrameContents"/>
                            </w:pPr>
                            <w:r>
                              <w:rPr>
                                <w:color w:val="FFFFFF" w:themeColor="background1"/>
                              </w:rPr>
                              <w:t xml:space="preserve">Typically High Traffic Areas </w:t>
                            </w:r>
                          </w:p>
                        </w:txbxContent>
                      </wps:txbx>
                      <wps:bodyPr anchor="t" lIns="91440" tIns="45720" rIns="91440" bIns="45720">
                        <a:noAutofit/>
                      </wps:bodyPr>
                    </wps:wsp>
                  </a:graphicData>
                </a:graphic>
              </wp:anchor>
            </w:drawing>
          </mc:Choice>
          <mc:Fallback>
            <w:pict>
              <v:rect fillcolor="#4F81BD" strokecolor="#000000" strokeweight="0pt" style="position:absolute;width:227.3pt;height:454pt;mso-wrap-distance-left:9pt;mso-wrap-distance-right:9pt;mso-wrap-distance-top:0pt;mso-wrap-distance-bottom:0pt;margin-top:47pt;margin-left:235.75pt">
                <v:textbox>
                  <w:txbxContent>
                    <w:p>
                      <w:pPr>
                        <w:pStyle w:val="FrameContents"/>
                        <w:jc w:val="center"/>
                        <w:rPr>
                          <w:b/>
                          <w:b/>
                          <w:color w:val="FFFFFF" w:themeColor="background1"/>
                        </w:rPr>
                      </w:pPr>
                      <w:r>
                        <w:rPr>
                          <w:b/>
                          <w:color w:val="FFFFFF" w:themeColor="background1"/>
                        </w:rPr>
                        <w:t>Charging Location Guidelines by Charging Level Type</w:t>
                      </w:r>
                    </w:p>
                    <w:p>
                      <w:pPr>
                        <w:pStyle w:val="FrameContents"/>
                        <w:jc w:val="right"/>
                        <w:rPr>
                          <w:color w:val="FFFFFF" w:themeColor="background1"/>
                        </w:rPr>
                      </w:pPr>
                      <w:r>
                        <w:rPr>
                          <w:color w:val="FFFFFF" w:themeColor="background1"/>
                        </w:rPr>
                        <w:t>--adapted from EV Project</w:t>
                      </w:r>
                    </w:p>
                    <w:p>
                      <w:pPr>
                        <w:pStyle w:val="FrameContents"/>
                        <w:rPr>
                          <w:color w:val="FFFFFF" w:themeColor="background1"/>
                        </w:rPr>
                      </w:pPr>
                      <w:r>
                        <w:rPr>
                          <w:color w:val="FFFFFF" w:themeColor="background1"/>
                        </w:rPr>
                      </w:r>
                    </w:p>
                    <w:p>
                      <w:pPr>
                        <w:pStyle w:val="FrameContents"/>
                        <w:rPr>
                          <w:u w:val="single"/>
                          <w:color w:val="FFFFFF" w:themeColor="background1"/>
                        </w:rPr>
                      </w:pPr>
                      <w:r>
                        <w:rPr>
                          <w:color w:val="FFFFFF" w:themeColor="background1"/>
                          <w:u w:val="single"/>
                        </w:rPr>
                        <w:t xml:space="preserve">Level 1 Locations – Full charge up to 24 hours  </w:t>
                      </w:r>
                    </w:p>
                    <w:p>
                      <w:pPr>
                        <w:pStyle w:val="FrameContents"/>
                        <w:rPr>
                          <w:color w:val="FFFFFF" w:themeColor="background1"/>
                        </w:rPr>
                      </w:pPr>
                      <w:r>
                        <w:rPr>
                          <w:color w:val="FFFFFF" w:themeColor="background1"/>
                        </w:rPr>
                        <w:t>Residential Locations</w:t>
                      </w:r>
                    </w:p>
                    <w:p>
                      <w:pPr>
                        <w:pStyle w:val="FrameContents"/>
                        <w:numPr>
                          <w:ilvl w:val="0"/>
                          <w:numId w:val="9"/>
                        </w:numPr>
                        <w:rPr>
                          <w:color w:val="FFFFFF" w:themeColor="background1"/>
                        </w:rPr>
                      </w:pPr>
                      <w:r>
                        <w:rPr>
                          <w:color w:val="FFFFFF" w:themeColor="background1"/>
                        </w:rPr>
                        <w:t>Lightly traveled BEVs, PHEVs</w:t>
                      </w:r>
                    </w:p>
                    <w:p>
                      <w:pPr>
                        <w:pStyle w:val="FrameContents"/>
                        <w:numPr>
                          <w:ilvl w:val="0"/>
                          <w:numId w:val="9"/>
                        </w:numPr>
                        <w:rPr>
                          <w:color w:val="FFFFFF" w:themeColor="background1"/>
                        </w:rPr>
                      </w:pPr>
                      <w:r>
                        <w:rPr>
                          <w:color w:val="FFFFFF" w:themeColor="background1"/>
                        </w:rPr>
                        <w:t>All night charging available</w:t>
                      </w:r>
                    </w:p>
                    <w:p>
                      <w:pPr>
                        <w:pStyle w:val="FrameContents"/>
                        <w:rPr>
                          <w:color w:val="FFFFFF" w:themeColor="background1"/>
                        </w:rPr>
                      </w:pPr>
                      <w:r>
                        <w:rPr>
                          <w:color w:val="FFFFFF" w:themeColor="background1"/>
                        </w:rPr>
                        <w:t>Workplace Locations</w:t>
                      </w:r>
                    </w:p>
                    <w:p>
                      <w:pPr>
                        <w:pStyle w:val="FrameContents"/>
                        <w:numPr>
                          <w:ilvl w:val="0"/>
                          <w:numId w:val="9"/>
                        </w:numPr>
                        <w:rPr>
                          <w:color w:val="FFFFFF" w:themeColor="background1"/>
                        </w:rPr>
                      </w:pPr>
                      <w:r>
                        <w:rPr>
                          <w:color w:val="FFFFFF" w:themeColor="background1"/>
                        </w:rPr>
                        <w:t>All day charging available</w:t>
                      </w:r>
                    </w:p>
                    <w:p>
                      <w:pPr>
                        <w:pStyle w:val="FrameContents"/>
                        <w:rPr>
                          <w:color w:val="FFFFFF" w:themeColor="background1"/>
                        </w:rPr>
                      </w:pPr>
                      <w:r>
                        <w:rPr>
                          <w:color w:val="FFFFFF" w:themeColor="background1"/>
                        </w:rPr>
                        <w:t>Emergency Use</w:t>
                      </w:r>
                    </w:p>
                    <w:p>
                      <w:pPr>
                        <w:pStyle w:val="FrameContents"/>
                        <w:numPr>
                          <w:ilvl w:val="0"/>
                          <w:numId w:val="9"/>
                        </w:numPr>
                        <w:rPr>
                          <w:color w:val="FFFFFF" w:themeColor="background1"/>
                        </w:rPr>
                      </w:pPr>
                      <w:r>
                        <w:rPr>
                          <w:color w:val="FFFFFF" w:themeColor="background1"/>
                        </w:rPr>
                        <w:t>Carry converter in trunk for backup use with any compatible electric socket</w:t>
                      </w:r>
                    </w:p>
                    <w:p>
                      <w:pPr>
                        <w:pStyle w:val="FrameContents"/>
                        <w:rPr>
                          <w:color w:val="FFFFFF" w:themeColor="background1"/>
                        </w:rPr>
                      </w:pPr>
                      <w:r>
                        <w:rPr>
                          <w:color w:val="FFFFFF" w:themeColor="background1"/>
                        </w:rPr>
                      </w:r>
                    </w:p>
                    <w:p>
                      <w:pPr>
                        <w:pStyle w:val="FrameContents"/>
                        <w:rPr>
                          <w:color w:val="FFFFFF" w:themeColor="background1"/>
                        </w:rPr>
                      </w:pPr>
                      <w:r>
                        <w:rPr>
                          <w:color w:val="FFFFFF" w:themeColor="background1"/>
                          <w:u w:val="single"/>
                        </w:rPr>
                        <w:t>AC Level 2 Locations - Full charge 4 to 6 hours</w:t>
                      </w:r>
                    </w:p>
                    <w:p>
                      <w:pPr>
                        <w:pStyle w:val="FrameContents"/>
                        <w:rPr>
                          <w:color w:val="FFFFFF" w:themeColor="background1"/>
                        </w:rPr>
                      </w:pPr>
                      <w:r>
                        <w:rPr>
                          <w:color w:val="FFFFFF" w:themeColor="background1"/>
                        </w:rPr>
                        <w:t>Destination Locations</w:t>
                      </w:r>
                    </w:p>
                    <w:p>
                      <w:pPr>
                        <w:pStyle w:val="FrameContents"/>
                        <w:numPr>
                          <w:ilvl w:val="0"/>
                          <w:numId w:val="10"/>
                        </w:numPr>
                        <w:rPr>
                          <w:color w:val="FFFFFF" w:themeColor="background1"/>
                        </w:rPr>
                      </w:pPr>
                      <w:r>
                        <w:rPr>
                          <w:color w:val="FFFFFF" w:themeColor="background1"/>
                        </w:rPr>
                        <w:t>Where people shop, play, gather</w:t>
                      </w:r>
                    </w:p>
                    <w:p>
                      <w:pPr>
                        <w:pStyle w:val="FrameContents"/>
                        <w:numPr>
                          <w:ilvl w:val="0"/>
                          <w:numId w:val="10"/>
                        </w:numPr>
                        <w:rPr>
                          <w:color w:val="FFFFFF" w:themeColor="background1"/>
                        </w:rPr>
                      </w:pPr>
                      <w:r>
                        <w:rPr>
                          <w:color w:val="FFFFFF" w:themeColor="background1"/>
                        </w:rPr>
                        <w:t>Target is 1 to 3 hour stays</w:t>
                      </w:r>
                    </w:p>
                    <w:p>
                      <w:pPr>
                        <w:pStyle w:val="FrameContents"/>
                        <w:numPr>
                          <w:ilvl w:val="0"/>
                          <w:numId w:val="10"/>
                        </w:numPr>
                        <w:rPr>
                          <w:color w:val="FFFFFF" w:themeColor="background1"/>
                        </w:rPr>
                      </w:pPr>
                      <w:r>
                        <w:rPr>
                          <w:color w:val="FFFFFF" w:themeColor="background1"/>
                        </w:rPr>
                        <w:t>Expand effective operating range</w:t>
                      </w:r>
                    </w:p>
                    <w:p>
                      <w:pPr>
                        <w:pStyle w:val="FrameContents"/>
                        <w:numPr>
                          <w:ilvl w:val="0"/>
                          <w:numId w:val="10"/>
                        </w:numPr>
                        <w:rPr>
                          <w:color w:val="FFFFFF" w:themeColor="background1"/>
                        </w:rPr>
                      </w:pPr>
                      <w:r>
                        <w:rPr>
                          <w:color w:val="FFFFFF" w:themeColor="background1"/>
                        </w:rPr>
                        <w:t>Higher turnover</w:t>
                      </w:r>
                    </w:p>
                    <w:p>
                      <w:pPr>
                        <w:pStyle w:val="FrameContents"/>
                        <w:rPr>
                          <w:color w:val="FFFFFF" w:themeColor="background1"/>
                        </w:rPr>
                      </w:pPr>
                      <w:r>
                        <w:rPr>
                          <w:color w:val="FFFFFF" w:themeColor="background1"/>
                        </w:rPr>
                        <w:t>Workplace Locations</w:t>
                      </w:r>
                    </w:p>
                    <w:p>
                      <w:pPr>
                        <w:pStyle w:val="FrameContents"/>
                        <w:rPr>
                          <w:color w:val="FFFFFF" w:themeColor="background1"/>
                        </w:rPr>
                      </w:pPr>
                      <w:r>
                        <w:rPr>
                          <w:color w:val="FFFFFF" w:themeColor="background1"/>
                        </w:rPr>
                        <w:t>Parking Garages</w:t>
                      </w:r>
                    </w:p>
                    <w:p>
                      <w:pPr>
                        <w:pStyle w:val="FrameContents"/>
                        <w:rPr>
                          <w:u w:val="single"/>
                          <w:color w:val="FFFFFF" w:themeColor="background1"/>
                        </w:rPr>
                      </w:pPr>
                      <w:r>
                        <w:rPr>
                          <w:color w:val="FFFFFF" w:themeColor="background1"/>
                          <w:u w:val="single"/>
                        </w:rPr>
                      </w:r>
                    </w:p>
                    <w:p>
                      <w:pPr>
                        <w:pStyle w:val="FrameContents"/>
                        <w:rPr>
                          <w:u w:val="single"/>
                          <w:color w:val="FFFFFF" w:themeColor="background1"/>
                        </w:rPr>
                      </w:pPr>
                      <w:r>
                        <w:rPr>
                          <w:color w:val="FFFFFF" w:themeColor="background1"/>
                          <w:u w:val="single"/>
                        </w:rPr>
                        <w:t>DC Fast Charging – Full charge 20-30 minutes</w:t>
                      </w:r>
                    </w:p>
                    <w:p>
                      <w:pPr>
                        <w:pStyle w:val="FrameContents"/>
                        <w:rPr>
                          <w:color w:val="FFFFFF" w:themeColor="background1"/>
                        </w:rPr>
                      </w:pPr>
                      <w:r>
                        <w:rPr>
                          <w:color w:val="FFFFFF" w:themeColor="background1"/>
                        </w:rPr>
                        <w:t xml:space="preserve">(None yet available in Washington area) </w:t>
                      </w:r>
                    </w:p>
                    <w:p>
                      <w:pPr>
                        <w:pStyle w:val="FrameContents"/>
                        <w:rPr>
                          <w:color w:val="FFFFFF" w:themeColor="background1"/>
                        </w:rPr>
                      </w:pPr>
                      <w:r>
                        <w:rPr>
                          <w:color w:val="FFFFFF" w:themeColor="background1"/>
                        </w:rPr>
                        <w:t>Destination Locations</w:t>
                      </w:r>
                    </w:p>
                    <w:p>
                      <w:pPr>
                        <w:pStyle w:val="FrameContents"/>
                        <w:numPr>
                          <w:ilvl w:val="0"/>
                          <w:numId w:val="11"/>
                        </w:numPr>
                        <w:rPr>
                          <w:color w:val="FFFFFF" w:themeColor="background1"/>
                        </w:rPr>
                      </w:pPr>
                      <w:r>
                        <w:rPr>
                          <w:color w:val="FFFFFF" w:themeColor="background1"/>
                        </w:rPr>
                        <w:t>Short stops: convenience stores, fast food, rest stops</w:t>
                      </w:r>
                    </w:p>
                    <w:p>
                      <w:pPr>
                        <w:pStyle w:val="FrameContents"/>
                        <w:numPr>
                          <w:ilvl w:val="0"/>
                          <w:numId w:val="11"/>
                        </w:numPr>
                        <w:rPr>
                          <w:color w:val="FFFFFF" w:themeColor="background1"/>
                        </w:rPr>
                      </w:pPr>
                      <w:r>
                        <w:rPr>
                          <w:color w:val="FFFFFF" w:themeColor="background1"/>
                        </w:rPr>
                        <w:t>Target is 15-30 minute stays</w:t>
                      </w:r>
                    </w:p>
                    <w:p>
                      <w:pPr>
                        <w:pStyle w:val="FrameContents"/>
                        <w:numPr>
                          <w:ilvl w:val="0"/>
                          <w:numId w:val="11"/>
                        </w:numPr>
                        <w:rPr>
                          <w:color w:val="FFFFFF" w:themeColor="background1"/>
                        </w:rPr>
                      </w:pPr>
                      <w:r>
                        <w:rPr>
                          <w:color w:val="FFFFFF" w:themeColor="background1"/>
                        </w:rPr>
                        <w:t>“</w:t>
                      </w:r>
                      <w:r>
                        <w:rPr>
                          <w:color w:val="FFFFFF" w:themeColor="background1"/>
                        </w:rPr>
                        <w:t>Safety Net” Locations</w:t>
                      </w:r>
                    </w:p>
                    <w:p>
                      <w:pPr>
                        <w:pStyle w:val="FrameContents"/>
                        <w:numPr>
                          <w:ilvl w:val="0"/>
                          <w:numId w:val="11"/>
                        </w:numPr>
                        <w:rPr>
                          <w:color w:val="FFFFFF" w:themeColor="background1"/>
                        </w:rPr>
                      </w:pPr>
                      <w:r>
                        <w:rPr>
                          <w:color w:val="FFFFFF" w:themeColor="background1"/>
                        </w:rPr>
                        <w:t>Serve “Garageless” EV Owners</w:t>
                      </w:r>
                    </w:p>
                    <w:p>
                      <w:pPr>
                        <w:pStyle w:val="FrameContents"/>
                        <w:rPr>
                          <w:color w:val="FFFFFF" w:themeColor="background1"/>
                        </w:rPr>
                      </w:pPr>
                      <w:r>
                        <w:rPr>
                          <w:color w:val="FFFFFF" w:themeColor="background1"/>
                        </w:rPr>
                        <w:t>Freeway Corridors</w:t>
                      </w:r>
                    </w:p>
                    <w:p>
                      <w:pPr>
                        <w:pStyle w:val="FrameContents"/>
                      </w:pPr>
                      <w:r>
                        <w:rPr>
                          <w:color w:val="FFFFFF" w:themeColor="background1"/>
                        </w:rPr>
                        <w:t xml:space="preserve">Typically High Traffic Areas </w:t>
                      </w:r>
                    </w:p>
                  </w:txbxContent>
                </v:textbox>
                <w10:wrap type="square"/>
              </v:rect>
            </w:pict>
          </mc:Fallback>
        </mc:AlternateContent>
      </w:r>
    </w:p>
    <w:p>
      <w:pPr>
        <w:pStyle w:val="ListParagraph"/>
        <w:ind w:left="360" w:hanging="0"/>
        <w:rPr>
          <w:sz w:val="24"/>
          <w:sz w:val="24"/>
          <w:szCs w:val="24"/>
          <w:rFonts w:cs="Calibri" w:cstheme="minorHAnsi"/>
        </w:rPr>
      </w:pPr>
      <w:r>
        <w:rPr>
          <w:rFonts w:cs="Calibri" w:cstheme="minorHAnsi"/>
          <w:sz w:val="24"/>
          <w:szCs w:val="24"/>
        </w:rPr>
        <w:t xml:space="preserve"> </w:t>
      </w:r>
    </w:p>
    <w:p>
      <w:pPr>
        <w:pStyle w:val="ListParagraph"/>
        <w:ind w:left="360" w:hanging="0"/>
        <w:rPr>
          <w:sz w:val="24"/>
          <w:sz w:val="24"/>
          <w:szCs w:val="24"/>
          <w:rFonts w:cs="Calibri" w:cstheme="minorHAnsi"/>
        </w:rPr>
      </w:pPr>
      <w:r>
        <w:rPr>
          <w:rFonts w:cs="Calibri" w:cstheme="minorHAnsi"/>
          <w:b/>
          <w:i/>
          <w:sz w:val="24"/>
          <w:szCs w:val="24"/>
        </w:rPr>
        <w:t>2) Work (Vehicle spends typically 6 – 10 hours parked)</w:t>
      </w:r>
      <w:r>
        <w:rPr>
          <w:rFonts w:cs="Calibri" w:cstheme="minorHAnsi"/>
          <w:sz w:val="24"/>
          <w:szCs w:val="24"/>
        </w:rPr>
        <w:t xml:space="preserve"> may be the second most used approach to charge EVs, behind home charging. Workplace charging provides opportunities to attract high quality employees and present an innovative image.</w:t>
      </w:r>
    </w:p>
    <w:p>
      <w:pPr>
        <w:pStyle w:val="ListParagraph"/>
        <w:ind w:left="0" w:hanging="0"/>
        <w:rPr>
          <w:sz w:val="24"/>
          <w:i/>
          <w:b/>
          <w:sz w:val="24"/>
          <w:i/>
          <w:b/>
          <w:szCs w:val="24"/>
          <w:rFonts w:cs="Calibri" w:cstheme="minorHAnsi"/>
        </w:rPr>
      </w:pPr>
      <w:r>
        <w:rPr>
          <w:rFonts w:cs="Calibri" w:cstheme="minorHAnsi"/>
          <w:b/>
          <w:i/>
          <w:sz w:val="24"/>
          <w:szCs w:val="24"/>
        </w:rPr>
      </w:r>
    </w:p>
    <w:p>
      <w:pPr>
        <w:pStyle w:val="ListParagraph"/>
        <w:ind w:left="360" w:hanging="0"/>
        <w:rPr>
          <w:sz w:val="24"/>
          <w:sz w:val="24"/>
          <w:szCs w:val="24"/>
          <w:rFonts w:cs="Calibri" w:cstheme="minorHAnsi"/>
        </w:rPr>
      </w:pPr>
      <w:r>
        <w:rPr>
          <w:rFonts w:cs="Calibri" w:cstheme="minorHAnsi"/>
          <w:sz w:val="24"/>
          <w:szCs w:val="24"/>
        </w:rPr>
        <w:t xml:space="preserve">Workplace destinations include </w:t>
      </w:r>
      <w:r>
        <w:rPr>
          <w:rFonts w:cs="Calibri" w:cstheme="minorHAnsi"/>
          <w:i/>
          <w:sz w:val="24"/>
          <w:szCs w:val="24"/>
        </w:rPr>
        <w:t>office parks, hotels (business trips), institutions and universities, convention centers, hospitals, fleet depots and motorpools, non-profits, and park &amp; ride lots</w:t>
      </w:r>
      <w:r>
        <w:rPr>
          <w:rFonts w:cs="Calibri" w:cstheme="minorHAnsi"/>
          <w:sz w:val="24"/>
          <w:szCs w:val="24"/>
        </w:rPr>
        <w:t>.</w:t>
      </w:r>
      <w:r>
        <w:rPr>
          <w:rFonts w:cs="Calibri" w:cstheme="minorHAnsi"/>
          <w:i/>
          <w:sz w:val="24"/>
          <w:szCs w:val="24"/>
        </w:rPr>
        <w:t xml:space="preserve"> </w:t>
      </w:r>
      <w:r>
        <w:rPr>
          <w:rFonts w:cs="Calibri" w:cstheme="minorHAnsi"/>
          <w:sz w:val="24"/>
          <w:szCs w:val="24"/>
        </w:rPr>
        <w:t>Stakeholders found that many</w:t>
      </w:r>
      <w:r>
        <w:rPr>
          <w:rFonts w:cs="Calibri" w:cstheme="minorHAnsi"/>
          <w:i/>
          <w:sz w:val="24"/>
          <w:szCs w:val="24"/>
        </w:rPr>
        <w:t xml:space="preserve"> </w:t>
      </w:r>
      <w:r>
        <w:rPr>
          <w:rFonts w:cs="Calibri" w:cstheme="minorHAnsi"/>
          <w:sz w:val="24"/>
          <w:szCs w:val="24"/>
        </w:rPr>
        <w:t xml:space="preserve">building owners and operations are uninformed about EV charging station installation requirements. Some workplaces may have limited parking. Building owners may need to consider permitting, parking lot management, and turnover of charging parking spaces. Surface parking lots and garages have different site-level issues, addressed in other sections of this report. </w:t>
      </w:r>
    </w:p>
    <w:p>
      <w:pPr>
        <w:pStyle w:val="Normal"/>
        <w:spacing w:lineRule="auto" w:line="276" w:before="0" w:after="200"/>
        <w:rPr>
          <w:sz w:val="24"/>
          <w:i/>
          <w:b/>
          <w:sz w:val="24"/>
          <w:i/>
          <w:b/>
          <w:szCs w:val="24"/>
          <w:rFonts w:cs="Calibri" w:cstheme="minorHAnsi"/>
        </w:rPr>
      </w:pPr>
      <w:r>
        <w:rPr>
          <w:rFonts w:cs="Calibri" w:cstheme="minorHAnsi"/>
          <w:b/>
          <w:i/>
          <w:sz w:val="24"/>
          <w:szCs w:val="24"/>
        </w:rPr>
      </w:r>
    </w:p>
    <w:p>
      <w:pPr>
        <w:pStyle w:val="Normal"/>
        <w:spacing w:lineRule="auto" w:line="276" w:before="0" w:after="200"/>
        <w:rPr>
          <w:sz w:val="24"/>
          <w:sz w:val="24"/>
          <w:szCs w:val="24"/>
          <w:rFonts w:cs="Calibri" w:cstheme="minorHAnsi"/>
        </w:rPr>
      </w:pPr>
      <w:r>
        <w:rPr>
          <w:rFonts w:cs="Calibri" w:cstheme="minorHAnsi"/>
          <w:b/>
          <w:i/>
          <w:sz w:val="24"/>
          <w:szCs w:val="24"/>
        </w:rPr>
        <w:t>3) Amenities and Recreation Destinations</w:t>
      </w:r>
      <w:r>
        <w:rPr>
          <w:rFonts w:cs="Calibri" w:cstheme="minorHAnsi"/>
          <w:sz w:val="24"/>
          <w:szCs w:val="24"/>
        </w:rPr>
        <w:t xml:space="preserve"> </w:t>
      </w:r>
      <w:r>
        <w:rPr>
          <w:rFonts w:cs="Calibri" w:cstheme="minorHAnsi"/>
          <w:b/>
          <w:i/>
          <w:sz w:val="24"/>
          <w:szCs w:val="24"/>
        </w:rPr>
        <w:t xml:space="preserve">(Vehicle spends typically 1+ hours) </w:t>
      </w:r>
      <w:r>
        <w:rPr>
          <w:rFonts w:cs="Calibri" w:cstheme="minorHAnsi"/>
          <w:sz w:val="24"/>
          <w:szCs w:val="24"/>
        </w:rPr>
        <w:t>are the third most used location.</w:t>
      </w:r>
      <w:r>
        <w:rPr>
          <w:sz w:val="24"/>
          <w:szCs w:val="24"/>
        </w:rPr>
        <w:t xml:space="preserve"> </w:t>
      </w:r>
    </w:p>
    <w:p>
      <w:pPr>
        <w:pStyle w:val="ListParagraph"/>
        <w:ind w:left="432" w:hanging="0"/>
        <w:rPr>
          <w:sz w:val="24"/>
          <w:i/>
          <w:sz w:val="24"/>
          <w:i/>
          <w:szCs w:val="24"/>
          <w:rFonts w:cs="Calibri" w:cstheme="minorHAnsi"/>
        </w:rPr>
      </w:pPr>
      <w:r>
        <w:rPr>
          <w:rFonts w:cs="Calibri" w:cstheme="minorHAnsi"/>
          <w:sz w:val="24"/>
          <w:szCs w:val="24"/>
        </w:rPr>
        <w:t>Amenities Destinations include</w:t>
      </w:r>
      <w:r>
        <w:rPr>
          <w:rFonts w:cs="Calibri" w:cstheme="minorHAnsi"/>
          <w:i/>
          <w:sz w:val="24"/>
          <w:szCs w:val="24"/>
        </w:rPr>
        <w:t xml:space="preserve"> Surface Parking Lots or Garages, Shopping Malls or other Retail locations, Cultural Centers, Restaurants, Sporting Venues, Universities, Curbside in cities, Parks and Recreation areas, Airports, Gas stations</w:t>
      </w:r>
      <w:r>
        <w:rPr>
          <w:rFonts w:cs="Calibri" w:cstheme="minorHAnsi"/>
          <w:sz w:val="24"/>
          <w:szCs w:val="24"/>
        </w:rPr>
        <w:t xml:space="preserve"> or </w:t>
      </w:r>
      <w:r>
        <w:rPr>
          <w:rFonts w:cs="Calibri" w:cstheme="minorHAnsi"/>
          <w:i/>
          <w:sz w:val="24"/>
          <w:szCs w:val="24"/>
        </w:rPr>
        <w:t>rest stops</w:t>
      </w:r>
      <w:r>
        <w:rPr>
          <w:rFonts w:cs="Calibri" w:cstheme="minorHAnsi"/>
          <w:sz w:val="24"/>
          <w:szCs w:val="24"/>
        </w:rPr>
        <w:t xml:space="preserve">. When locating EV charging stations, issues include permitting, training and education on technical installation practices, and some parking space turnover management (less applicable than for workplaces). Gas stations and rest stops are feasible only if adjacent to other uses or designed for long stays, such as mixed use locations. </w:t>
      </w:r>
      <w:r>
        <w:rPr>
          <w:rFonts w:cs="Calibri" w:cstheme="minorHAnsi"/>
          <w:i/>
          <w:sz w:val="24"/>
          <w:szCs w:val="24"/>
        </w:rPr>
        <w:t>Electric vehicle dealerships</w:t>
      </w:r>
      <w:r>
        <w:rPr>
          <w:rFonts w:cs="Calibri" w:cstheme="minorHAnsi"/>
          <w:sz w:val="24"/>
          <w:szCs w:val="24"/>
        </w:rPr>
        <w:t xml:space="preserve"> are also advantageous locations for charging stations.</w:t>
      </w:r>
    </w:p>
    <w:p>
      <w:pPr>
        <w:pStyle w:val="ListParagraph"/>
        <w:ind w:left="432" w:hanging="0"/>
        <w:rPr>
          <w:sz w:val="24"/>
          <w:sz w:val="24"/>
          <w:szCs w:val="24"/>
          <w:rFonts w:cs="Calibri" w:cstheme="minorHAnsi"/>
        </w:rPr>
      </w:pPr>
      <w:r>
        <w:rPr>
          <w:rFonts w:cs="Calibri" w:cstheme="minorHAnsi"/>
          <w:sz w:val="24"/>
          <w:szCs w:val="24"/>
        </w:rPr>
      </w:r>
    </w:p>
    <w:p>
      <w:pPr>
        <w:pStyle w:val="ListParagraph"/>
        <w:ind w:left="0" w:hanging="0"/>
        <w:rPr>
          <w:sz w:val="24"/>
          <w:sz w:val="24"/>
          <w:szCs w:val="24"/>
          <w:rFonts w:cs="Calibri" w:cstheme="minorHAnsi"/>
        </w:rPr>
      </w:pPr>
      <w:r>
        <w:rPr>
          <w:rFonts w:cs="Calibri" w:cstheme="minorHAnsi"/>
          <w:b/>
          <w:i/>
          <w:sz w:val="24"/>
          <w:szCs w:val="24"/>
        </w:rPr>
        <w:t>4) Public Facilities (Vehicle spends 1+ hours)</w:t>
      </w:r>
      <w:r>
        <w:rPr>
          <w:rFonts w:cs="Calibri" w:cstheme="minorHAnsi"/>
          <w:sz w:val="24"/>
          <w:szCs w:val="24"/>
        </w:rPr>
        <w:t xml:space="preserve"> that are publicly accessible can be positioned to complement existing privately-financed stations. </w:t>
      </w:r>
    </w:p>
    <w:p>
      <w:pPr>
        <w:pStyle w:val="ListParagraph"/>
        <w:ind w:left="432" w:hanging="0"/>
        <w:rPr>
          <w:sz w:val="24"/>
          <w:i/>
          <w:b/>
          <w:sz w:val="24"/>
          <w:i/>
          <w:b/>
          <w:szCs w:val="24"/>
          <w:rFonts w:cs="Calibri" w:cstheme="minorHAnsi"/>
        </w:rPr>
      </w:pPr>
      <w:r>
        <w:rPr>
          <w:rFonts w:cs="Calibri" w:cstheme="minorHAnsi"/>
          <w:sz w:val="24"/>
          <w:szCs w:val="24"/>
        </w:rPr>
        <w:t>Public Facilities that could support charging stations</w:t>
      </w:r>
      <w:r>
        <w:rPr>
          <w:rFonts w:cs="Calibri" w:cstheme="minorHAnsi"/>
          <w:i/>
          <w:sz w:val="24"/>
          <w:szCs w:val="24"/>
        </w:rPr>
        <w:t xml:space="preserve"> include City Halls, Libraries, Courthouses, town squares, and other public institutions. </w:t>
      </w:r>
      <w:r>
        <w:rPr>
          <w:rFonts w:cs="Calibri" w:cstheme="minorHAnsi"/>
          <w:sz w:val="24"/>
          <w:szCs w:val="24"/>
        </w:rPr>
        <w:t>Beyond serving their employees, charging stations that serve customers in public facilities can educate vehicle owners and reduce range anxiety, assisting in kick-starting the market. Public facilities charging stations can demonstrate feasibility and highlight air quality benefits of Electric Vehicles. Charging stations</w:t>
      </w:r>
      <w:r>
        <w:rPr>
          <w:rFonts w:cs="Calibri" w:cstheme="minorHAnsi"/>
          <w:i/>
          <w:sz w:val="24"/>
          <w:szCs w:val="24"/>
        </w:rPr>
        <w:t xml:space="preserve"> serving on-street parking</w:t>
      </w:r>
      <w:r>
        <w:rPr>
          <w:rFonts w:cs="Calibri" w:cstheme="minorHAnsi"/>
          <w:sz w:val="24"/>
          <w:szCs w:val="24"/>
        </w:rPr>
        <w:t xml:space="preserve"> in the right-of-way is a special case that poses significant cost barriers and site-survey needs in order to access the power source and meet the requirement for second utility meter. (see Municipal policy section) </w:t>
      </w:r>
    </w:p>
    <w:p>
      <w:pPr>
        <w:pStyle w:val="ListParagraph"/>
        <w:ind w:left="0" w:hanging="0"/>
        <w:rPr>
          <w:sz w:val="24"/>
          <w:sz w:val="24"/>
          <w:szCs w:val="24"/>
          <w:rFonts w:cs="Calibri" w:cstheme="minorHAnsi"/>
        </w:rPr>
      </w:pPr>
      <w:r>
        <w:rPr>
          <w:rFonts w:cs="Calibri" w:cstheme="minorHAnsi"/>
          <w:sz w:val="24"/>
          <w:szCs w:val="24"/>
        </w:rPr>
      </w:r>
    </w:p>
    <w:p>
      <w:pPr>
        <w:pStyle w:val="ListParagraph"/>
        <w:ind w:left="0" w:hanging="0"/>
        <w:rPr>
          <w:sz w:val="24"/>
          <w:sz w:val="24"/>
          <w:szCs w:val="24"/>
          <w:rFonts w:cs="Calibri" w:cstheme="minorHAnsi"/>
        </w:rPr>
      </w:pPr>
      <w:r>
        <w:rPr>
          <w:rFonts w:cs="Calibri" w:cstheme="minorHAnsi"/>
          <w:b/>
          <w:i/>
          <w:sz w:val="24"/>
          <w:szCs w:val="24"/>
        </w:rPr>
        <w:t>5) Car Rental and Car Sharing (Vehicle spends varying amount of time parked)</w:t>
      </w:r>
      <w:r>
        <w:rPr>
          <w:rFonts w:cs="Calibri" w:cstheme="minorHAnsi"/>
          <w:b/>
          <w:sz w:val="24"/>
          <w:szCs w:val="24"/>
        </w:rPr>
        <w:t xml:space="preserve"> </w:t>
      </w:r>
      <w:r>
        <w:rPr>
          <w:rFonts w:cs="Calibri" w:cstheme="minorHAnsi"/>
          <w:sz w:val="24"/>
          <w:szCs w:val="24"/>
        </w:rPr>
        <w:t xml:space="preserve">can provide unique educational opportunities and space-efficient solutions for travelers and urban dwellers. </w:t>
      </w:r>
    </w:p>
    <w:p>
      <w:pPr>
        <w:pStyle w:val="ListParagraph"/>
        <w:rPr>
          <w:sz w:val="24"/>
          <w:i/>
          <w:sz w:val="24"/>
          <w:i/>
          <w:szCs w:val="24"/>
          <w:rFonts w:cs="Calibri" w:cstheme="minorHAnsi"/>
        </w:rPr>
      </w:pPr>
      <w:r>
        <w:rPr>
          <w:rFonts w:cs="Calibri" w:cstheme="minorHAnsi"/>
          <w:sz w:val="24"/>
          <w:szCs w:val="24"/>
        </w:rPr>
        <w:t xml:space="preserve">Rental and Car Sharing charging stations could be located in </w:t>
      </w:r>
      <w:r>
        <w:rPr>
          <w:rFonts w:cs="Calibri" w:cstheme="minorHAnsi"/>
          <w:i/>
          <w:sz w:val="24"/>
          <w:szCs w:val="24"/>
        </w:rPr>
        <w:t>car share parking spots (i.e. Zip Car), rental car depots, tourist or business destinations, and area hotels.</w:t>
      </w:r>
    </w:p>
    <w:p>
      <w:pPr>
        <w:pStyle w:val="ListParagraph"/>
        <w:rPr>
          <w:sz w:val="24"/>
          <w:sz w:val="24"/>
          <w:szCs w:val="24"/>
          <w:rFonts w:cs="Calibri" w:cstheme="minorHAnsi"/>
        </w:rPr>
      </w:pPr>
      <w:r>
        <w:rPr>
          <w:rFonts w:cs="Calibri" w:cstheme="minorHAnsi"/>
          <w:sz w:val="24"/>
          <w:szCs w:val="24"/>
        </w:rPr>
        <w:t xml:space="preserve">EV car rental and EV car sharing are well-suited for shorter travel and errands. The Stakeholders see a potential business model for a network of EV charging stations for business travelers and tourists. This system would require special agreement between rental car operators, hotels, and attractions. </w:t>
      </w:r>
    </w:p>
    <w:p>
      <w:pPr>
        <w:pStyle w:val="ListParagraph"/>
        <w:rPr>
          <w:sz w:val="24"/>
          <w:sz w:val="24"/>
          <w:szCs w:val="24"/>
          <w:rFonts w:cs="Calibri" w:cstheme="minorHAnsi"/>
        </w:rPr>
      </w:pPr>
      <w:r>
        <w:rPr>
          <w:rFonts w:cs="Calibri" w:cstheme="minorHAnsi"/>
          <w:sz w:val="24"/>
          <w:szCs w:val="24"/>
        </w:rPr>
        <w:t xml:space="preserve">Car sharing can help meet the needs of multifamily dwelling residents without increasing needed parking spaces. Car sharing and car rental can perform an additional benefit of allowing drivers to experience an electric vehicle and how it operates, serving as a stepping stone for future EV use. </w:t>
      </w:r>
    </w:p>
    <w:p>
      <w:pPr>
        <w:pStyle w:val="ListParagraph"/>
        <w:rPr>
          <w:sz w:val="24"/>
          <w:b/>
          <w:sz w:val="24"/>
          <w:b/>
          <w:szCs w:val="24"/>
          <w:rFonts w:cs="Calibri" w:cstheme="minorHAnsi"/>
        </w:rPr>
      </w:pPr>
      <w:r>
        <w:rPr>
          <w:rFonts w:cs="Calibri" w:cstheme="minorHAnsi"/>
          <w:b/>
          <w:sz w:val="24"/>
          <w:szCs w:val="24"/>
        </w:rPr>
      </w:r>
    </w:p>
    <w:p>
      <w:pPr>
        <w:pStyle w:val="Normal"/>
        <w:spacing w:lineRule="auto" w:line="276" w:before="0" w:after="200"/>
        <w:rPr>
          <w:sz w:val="24"/>
          <w:b/>
          <w:sz w:val="24"/>
          <w:b/>
          <w:szCs w:val="24"/>
          <w:rFonts w:cs="Calibri" w:cstheme="minorHAnsi"/>
        </w:rPr>
      </w:pPr>
      <w:r>
        <w:rPr>
          <w:rFonts w:cs="Calibri" w:cstheme="minorHAnsi"/>
          <w:b/>
          <w:sz w:val="24"/>
          <w:szCs w:val="24"/>
        </w:rPr>
      </w:r>
      <w:r>
        <w:br w:type="page"/>
      </w:r>
    </w:p>
    <w:p>
      <w:pPr>
        <w:pStyle w:val="Normal"/>
        <w:jc w:val="center"/>
        <w:rPr>
          <w:sz w:val="24"/>
          <w:b/>
          <w:sz w:val="24"/>
          <w:b/>
          <w:szCs w:val="24"/>
          <w:rFonts w:cs="Calibri" w:cstheme="minorHAnsi"/>
        </w:rPr>
      </w:pPr>
      <w:r>
        <w:rPr>
          <w:rFonts w:cs="Calibri" w:cstheme="minorHAnsi"/>
          <w:b/>
          <w:sz w:val="24"/>
          <w:szCs w:val="24"/>
        </w:rPr>
        <w:t>Summary of Opportunities and Issues by Site Type</w:t>
      </w:r>
    </w:p>
    <w:tbl>
      <w:tblPr>
        <w:tblStyle w:val="TableGrid"/>
        <w:tblW w:w="8793" w:type="dxa"/>
        <w:jc w:val="center"/>
        <w:tblInd w:w="0" w:type="dxa"/>
        <w:tblBorders/>
        <w:tblCellMar>
          <w:top w:w="0" w:type="dxa"/>
          <w:left w:w="108" w:type="dxa"/>
          <w:bottom w:w="0" w:type="dxa"/>
          <w:right w:w="108" w:type="dxa"/>
        </w:tblCellMar>
      </w:tblPr>
      <w:tblGrid>
        <w:gridCol w:w="1867"/>
        <w:gridCol w:w="2724"/>
        <w:gridCol w:w="4202"/>
      </w:tblGrid>
      <w:tr>
        <w:trPr/>
        <w:tc>
          <w:tcPr>
            <w:tcW w:w="1867" w:type="dxa"/>
            <w:tcBorders/>
            <w:shd w:fill="auto" w:val="clear"/>
            <w:tcMar>
              <w:left w:w="108" w:type="dxa"/>
            </w:tcMar>
          </w:tcPr>
          <w:p>
            <w:pPr>
              <w:pStyle w:val="Normal"/>
              <w:spacing w:before="0" w:after="0"/>
              <w:rPr>
                <w:sz w:val="24"/>
                <w:b/>
                <w:sz w:val="24"/>
                <w:b/>
                <w:szCs w:val="24"/>
                <w:rFonts w:ascii="Calibri" w:hAnsi="Calibri" w:cs="Calibri" w:asciiTheme="minorHAnsi" w:cstheme="minorHAnsi" w:hAnsiTheme="minorHAnsi"/>
              </w:rPr>
            </w:pPr>
            <w:r>
              <w:rPr>
                <w:rFonts w:cs="Calibri" w:cstheme="minorHAnsi"/>
                <w:b/>
                <w:sz w:val="24"/>
                <w:szCs w:val="24"/>
              </w:rPr>
              <w:t>Location</w:t>
            </w:r>
          </w:p>
        </w:tc>
        <w:tc>
          <w:tcPr>
            <w:tcW w:w="2724" w:type="dxa"/>
            <w:tcBorders/>
            <w:shd w:fill="auto" w:val="clear"/>
            <w:tcMar>
              <w:left w:w="108" w:type="dxa"/>
            </w:tcMar>
          </w:tcPr>
          <w:p>
            <w:pPr>
              <w:pStyle w:val="Normal"/>
              <w:spacing w:before="0" w:after="0"/>
              <w:rPr>
                <w:sz w:val="24"/>
                <w:b/>
                <w:sz w:val="24"/>
                <w:b/>
                <w:szCs w:val="24"/>
                <w:rFonts w:ascii="Calibri" w:hAnsi="Calibri" w:cs="Calibri" w:asciiTheme="minorHAnsi" w:cstheme="minorHAnsi" w:hAnsiTheme="minorHAnsi"/>
              </w:rPr>
            </w:pPr>
            <w:r>
              <w:rPr>
                <w:rFonts w:cs="Calibri" w:cstheme="minorHAnsi"/>
                <w:b/>
                <w:sz w:val="24"/>
                <w:szCs w:val="24"/>
              </w:rPr>
              <w:t>Opportunities</w:t>
            </w:r>
          </w:p>
        </w:tc>
        <w:tc>
          <w:tcPr>
            <w:tcW w:w="4202" w:type="dxa"/>
            <w:tcBorders/>
            <w:shd w:fill="auto" w:val="clear"/>
            <w:tcMar>
              <w:left w:w="108" w:type="dxa"/>
            </w:tcMar>
          </w:tcPr>
          <w:p>
            <w:pPr>
              <w:pStyle w:val="Normal"/>
              <w:spacing w:before="0" w:after="0"/>
              <w:rPr>
                <w:sz w:val="24"/>
                <w:b/>
                <w:sz w:val="24"/>
                <w:b/>
                <w:szCs w:val="24"/>
                <w:rFonts w:ascii="Calibri" w:hAnsi="Calibri" w:cs="Calibri" w:asciiTheme="minorHAnsi" w:cstheme="minorHAnsi" w:hAnsiTheme="minorHAnsi"/>
              </w:rPr>
            </w:pPr>
            <w:r>
              <w:rPr>
                <w:rFonts w:cs="Calibri" w:cstheme="minorHAnsi"/>
                <w:b/>
                <w:sz w:val="24"/>
                <w:szCs w:val="24"/>
              </w:rPr>
              <w:t>Barriers/Limitations</w:t>
            </w:r>
          </w:p>
        </w:tc>
      </w:tr>
      <w:tr>
        <w:trPr/>
        <w:tc>
          <w:tcPr>
            <w:tcW w:w="1867" w:type="dxa"/>
            <w:tcBorders/>
            <w:shd w:fill="auto" w:val="clear"/>
            <w:tcMar>
              <w:left w:w="108" w:type="dxa"/>
            </w:tcMar>
          </w:tcPr>
          <w:p>
            <w:pPr>
              <w:pStyle w:val="Normal"/>
              <w:spacing w:before="0" w:after="0"/>
              <w:rPr>
                <w:sz w:val="24"/>
                <w:sz w:val="24"/>
                <w:szCs w:val="24"/>
                <w:rFonts w:ascii="Calibri" w:hAnsi="Calibri" w:cs="Calibri" w:asciiTheme="minorHAnsi" w:cstheme="minorHAnsi" w:hAnsiTheme="minorHAnsi"/>
              </w:rPr>
            </w:pPr>
            <w:r>
              <w:rPr>
                <w:rFonts w:cs="Calibri" w:cstheme="minorHAnsi"/>
                <w:sz w:val="24"/>
                <w:szCs w:val="24"/>
              </w:rPr>
              <w:t>Single Family Home (with driveway or garage)</w:t>
            </w:r>
          </w:p>
        </w:tc>
        <w:tc>
          <w:tcPr>
            <w:tcW w:w="2724" w:type="dxa"/>
            <w:tcBorders/>
            <w:shd w:fill="auto" w:val="clear"/>
            <w:tcMar>
              <w:left w:w="108" w:type="dxa"/>
            </w:tcMar>
          </w:tcPr>
          <w:p>
            <w:pPr>
              <w:pStyle w:val="Normal"/>
              <w:numPr>
                <w:ilvl w:val="0"/>
                <w:numId w:val="2"/>
              </w:numPr>
              <w:spacing w:before="0" w:after="0"/>
              <w:rPr>
                <w:sz w:val="24"/>
                <w:sz w:val="24"/>
                <w:szCs w:val="24"/>
                <w:rFonts w:ascii="Calibri" w:hAnsi="Calibri" w:cs="Calibri" w:asciiTheme="minorHAnsi" w:cstheme="minorHAnsi" w:hAnsiTheme="minorHAnsi"/>
              </w:rPr>
            </w:pPr>
            <w:r>
              <w:rPr>
                <w:rFonts w:cs="Calibri" w:cstheme="minorHAnsi"/>
                <w:sz w:val="24"/>
                <w:szCs w:val="24"/>
              </w:rPr>
              <w:t>Highest charging demand</w:t>
            </w:r>
          </w:p>
        </w:tc>
        <w:tc>
          <w:tcPr>
            <w:tcW w:w="4202" w:type="dxa"/>
            <w:tcBorders/>
            <w:shd w:fill="auto" w:val="clear"/>
            <w:tcMar>
              <w:left w:w="108" w:type="dxa"/>
            </w:tcMar>
          </w:tcPr>
          <w:p>
            <w:pPr>
              <w:pStyle w:val="Normal"/>
              <w:numPr>
                <w:ilvl w:val="0"/>
                <w:numId w:val="2"/>
              </w:numPr>
              <w:spacing w:before="0" w:after="0"/>
              <w:rPr>
                <w:sz w:val="24"/>
                <w:sz w:val="24"/>
                <w:szCs w:val="24"/>
                <w:rFonts w:ascii="Calibri" w:hAnsi="Calibri" w:cs="Calibri" w:asciiTheme="minorHAnsi" w:cstheme="minorHAnsi" w:hAnsiTheme="minorHAnsi"/>
              </w:rPr>
            </w:pPr>
            <w:r>
              <w:rPr>
                <w:rFonts w:cs="Calibri" w:cstheme="minorHAnsi"/>
                <w:sz w:val="24"/>
                <w:szCs w:val="24"/>
              </w:rPr>
              <w:t>Many potential owners may not live in SFHs or have private driveway/garages</w:t>
            </w:r>
          </w:p>
          <w:p>
            <w:pPr>
              <w:pStyle w:val="Normal"/>
              <w:numPr>
                <w:ilvl w:val="0"/>
                <w:numId w:val="2"/>
              </w:numPr>
              <w:spacing w:before="0" w:after="0"/>
              <w:rPr>
                <w:sz w:val="24"/>
                <w:sz w:val="24"/>
                <w:szCs w:val="24"/>
                <w:rFonts w:ascii="Calibri" w:hAnsi="Calibri" w:cs="Calibri" w:asciiTheme="minorHAnsi" w:cstheme="minorHAnsi" w:hAnsiTheme="minorHAnsi"/>
              </w:rPr>
            </w:pPr>
            <w:r>
              <w:rPr>
                <w:rFonts w:cs="Calibri" w:cstheme="minorHAnsi"/>
                <w:sz w:val="24"/>
                <w:szCs w:val="24"/>
              </w:rPr>
              <w:t xml:space="preserve">Knowledge </w:t>
            </w:r>
          </w:p>
          <w:p>
            <w:pPr>
              <w:pStyle w:val="Normal"/>
              <w:numPr>
                <w:ilvl w:val="0"/>
                <w:numId w:val="2"/>
              </w:numPr>
              <w:spacing w:before="0" w:after="0"/>
              <w:rPr>
                <w:sz w:val="24"/>
                <w:sz w:val="24"/>
                <w:szCs w:val="24"/>
                <w:rFonts w:ascii="Calibri" w:hAnsi="Calibri" w:cs="Calibri" w:asciiTheme="minorHAnsi" w:cstheme="minorHAnsi" w:hAnsiTheme="minorHAnsi"/>
              </w:rPr>
            </w:pPr>
            <w:r>
              <w:rPr>
                <w:rFonts w:cs="Calibri" w:cstheme="minorHAnsi"/>
                <w:sz w:val="24"/>
                <w:szCs w:val="24"/>
              </w:rPr>
              <w:t>Permitting process</w:t>
            </w:r>
          </w:p>
        </w:tc>
      </w:tr>
      <w:tr>
        <w:trPr/>
        <w:tc>
          <w:tcPr>
            <w:tcW w:w="1867" w:type="dxa"/>
            <w:tcBorders/>
            <w:shd w:fill="auto" w:val="clear"/>
            <w:tcMar>
              <w:left w:w="108" w:type="dxa"/>
            </w:tcMar>
          </w:tcPr>
          <w:p>
            <w:pPr>
              <w:pStyle w:val="Normal"/>
              <w:spacing w:before="0" w:after="0"/>
              <w:rPr>
                <w:sz w:val="24"/>
                <w:sz w:val="24"/>
                <w:szCs w:val="24"/>
                <w:rFonts w:ascii="Calibri" w:hAnsi="Calibri" w:cs="Calibri" w:asciiTheme="minorHAnsi" w:cstheme="minorHAnsi" w:hAnsiTheme="minorHAnsi"/>
              </w:rPr>
            </w:pPr>
            <w:r>
              <w:rPr>
                <w:rFonts w:cs="Calibri" w:cstheme="minorHAnsi"/>
                <w:sz w:val="24"/>
                <w:szCs w:val="24"/>
              </w:rPr>
              <w:t>Multifamily Residential</w:t>
            </w:r>
          </w:p>
        </w:tc>
        <w:tc>
          <w:tcPr>
            <w:tcW w:w="2724" w:type="dxa"/>
            <w:tcBorders/>
            <w:shd w:fill="auto" w:val="clear"/>
            <w:tcMar>
              <w:left w:w="108" w:type="dxa"/>
            </w:tcMar>
          </w:tcPr>
          <w:p>
            <w:pPr>
              <w:pStyle w:val="Normal"/>
              <w:numPr>
                <w:ilvl w:val="0"/>
                <w:numId w:val="2"/>
              </w:numPr>
              <w:spacing w:before="0" w:after="0"/>
              <w:rPr>
                <w:sz w:val="24"/>
                <w:sz w:val="24"/>
                <w:szCs w:val="24"/>
                <w:rFonts w:ascii="Calibri" w:hAnsi="Calibri" w:cs="Calibri" w:asciiTheme="minorHAnsi" w:cstheme="minorHAnsi" w:hAnsiTheme="minorHAnsi"/>
              </w:rPr>
            </w:pPr>
            <w:r>
              <w:rPr>
                <w:rFonts w:cs="Calibri" w:cstheme="minorHAnsi"/>
                <w:sz w:val="24"/>
                <w:szCs w:val="24"/>
              </w:rPr>
              <w:t>Potentially high demand</w:t>
            </w:r>
          </w:p>
          <w:p>
            <w:pPr>
              <w:pStyle w:val="Normal"/>
              <w:numPr>
                <w:ilvl w:val="0"/>
                <w:numId w:val="2"/>
              </w:numPr>
              <w:spacing w:before="0" w:after="0"/>
              <w:rPr>
                <w:sz w:val="24"/>
                <w:sz w:val="24"/>
                <w:szCs w:val="24"/>
                <w:rFonts w:ascii="Calibri" w:hAnsi="Calibri" w:cs="Calibri" w:asciiTheme="minorHAnsi" w:cstheme="minorHAnsi" w:hAnsiTheme="minorHAnsi"/>
              </w:rPr>
            </w:pPr>
            <w:r>
              <w:rPr>
                <w:rFonts w:cs="Calibri" w:cstheme="minorHAnsi"/>
                <w:sz w:val="24"/>
                <w:szCs w:val="24"/>
              </w:rPr>
              <w:t>Many contain parking facilities</w:t>
            </w:r>
          </w:p>
          <w:p>
            <w:pPr>
              <w:pStyle w:val="Normal"/>
              <w:numPr>
                <w:ilvl w:val="0"/>
                <w:numId w:val="2"/>
              </w:numPr>
              <w:spacing w:before="0" w:after="0"/>
              <w:rPr>
                <w:sz w:val="24"/>
                <w:sz w:val="24"/>
                <w:szCs w:val="24"/>
                <w:rFonts w:ascii="Calibri" w:hAnsi="Calibri" w:cs="Calibri" w:asciiTheme="minorHAnsi" w:cstheme="minorHAnsi" w:hAnsiTheme="minorHAnsi"/>
              </w:rPr>
            </w:pPr>
            <w:r>
              <w:rPr>
                <w:rFonts w:cs="Calibri" w:cstheme="minorHAnsi"/>
                <w:sz w:val="24"/>
                <w:szCs w:val="24"/>
              </w:rPr>
              <w:t>Opportunity for car-sharing</w:t>
            </w:r>
          </w:p>
        </w:tc>
        <w:tc>
          <w:tcPr>
            <w:tcW w:w="4202" w:type="dxa"/>
            <w:tcBorders/>
            <w:shd w:fill="auto" w:val="clear"/>
            <w:tcMar>
              <w:left w:w="108" w:type="dxa"/>
            </w:tcMar>
          </w:tcPr>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Some may have limited parking spaces</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 xml:space="preserve">Property owners information gap </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Permitting process</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Technical capability</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Turnover management</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Parking lot management</w:t>
            </w:r>
          </w:p>
        </w:tc>
      </w:tr>
      <w:tr>
        <w:trPr/>
        <w:tc>
          <w:tcPr>
            <w:tcW w:w="1867" w:type="dxa"/>
            <w:tcBorders/>
            <w:shd w:fill="auto" w:val="clear"/>
            <w:tcMar>
              <w:left w:w="108" w:type="dxa"/>
            </w:tcMar>
          </w:tcPr>
          <w:p>
            <w:pPr>
              <w:pStyle w:val="Normal"/>
              <w:spacing w:before="0" w:after="0"/>
              <w:rPr>
                <w:sz w:val="24"/>
                <w:sz w:val="24"/>
                <w:szCs w:val="24"/>
                <w:rFonts w:ascii="Calibri" w:hAnsi="Calibri" w:cs="Calibri" w:asciiTheme="minorHAnsi" w:cstheme="minorHAnsi" w:hAnsiTheme="minorHAnsi"/>
              </w:rPr>
            </w:pPr>
            <w:r>
              <w:rPr>
                <w:rFonts w:cs="Calibri" w:cstheme="minorHAnsi"/>
                <w:sz w:val="24"/>
                <w:szCs w:val="24"/>
              </w:rPr>
              <w:t xml:space="preserve">Workplace </w:t>
            </w:r>
          </w:p>
        </w:tc>
        <w:tc>
          <w:tcPr>
            <w:tcW w:w="2724" w:type="dxa"/>
            <w:tcBorders/>
            <w:shd w:fill="auto" w:val="clear"/>
            <w:tcMar>
              <w:left w:w="108" w:type="dxa"/>
            </w:tcMar>
          </w:tcPr>
          <w:p>
            <w:pPr>
              <w:pStyle w:val="Normal"/>
              <w:numPr>
                <w:ilvl w:val="0"/>
                <w:numId w:val="8"/>
              </w:numPr>
              <w:spacing w:before="0" w:after="0"/>
              <w:rPr>
                <w:sz w:val="24"/>
                <w:sz w:val="24"/>
                <w:szCs w:val="24"/>
                <w:rFonts w:ascii="Calibri" w:hAnsi="Calibri" w:cs="Calibri" w:asciiTheme="minorHAnsi" w:cstheme="minorHAnsi" w:hAnsiTheme="minorHAnsi"/>
              </w:rPr>
            </w:pPr>
            <w:r>
              <w:rPr>
                <w:rFonts w:cs="Calibri" w:cstheme="minorHAnsi"/>
                <w:sz w:val="24"/>
                <w:szCs w:val="24"/>
              </w:rPr>
              <w:t>Second highest charging demand behind residential</w:t>
            </w:r>
          </w:p>
        </w:tc>
        <w:tc>
          <w:tcPr>
            <w:tcW w:w="4202" w:type="dxa"/>
            <w:tcBorders/>
            <w:shd w:fill="auto" w:val="clear"/>
            <w:tcMar>
              <w:left w:w="108" w:type="dxa"/>
            </w:tcMar>
          </w:tcPr>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Knowledge</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Permitting process</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Technical capability</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Charging turnover management</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Parking lot management</w:t>
            </w:r>
          </w:p>
        </w:tc>
      </w:tr>
      <w:tr>
        <w:trPr/>
        <w:tc>
          <w:tcPr>
            <w:tcW w:w="1867" w:type="dxa"/>
            <w:tcBorders/>
            <w:shd w:fill="auto" w:val="clear"/>
            <w:tcMar>
              <w:left w:w="108" w:type="dxa"/>
            </w:tcMar>
          </w:tcPr>
          <w:p>
            <w:pPr>
              <w:pStyle w:val="Normal"/>
              <w:spacing w:before="0" w:after="0"/>
              <w:rPr>
                <w:sz w:val="24"/>
                <w:sz w:val="24"/>
                <w:szCs w:val="24"/>
                <w:rFonts w:ascii="Calibri" w:hAnsi="Calibri" w:cs="Calibri" w:asciiTheme="minorHAnsi" w:cstheme="minorHAnsi" w:hAnsiTheme="minorHAnsi"/>
              </w:rPr>
            </w:pPr>
            <w:r>
              <w:rPr>
                <w:rFonts w:cs="Calibri" w:cstheme="minorHAnsi"/>
                <w:sz w:val="24"/>
                <w:szCs w:val="24"/>
              </w:rPr>
              <w:t>Amenities and Recreation</w:t>
            </w:r>
          </w:p>
        </w:tc>
        <w:tc>
          <w:tcPr>
            <w:tcW w:w="2724" w:type="dxa"/>
            <w:tcBorders/>
            <w:shd w:fill="auto" w:val="clear"/>
            <w:tcMar>
              <w:left w:w="108" w:type="dxa"/>
            </w:tcMar>
          </w:tcPr>
          <w:p>
            <w:pPr>
              <w:pStyle w:val="Normal"/>
              <w:numPr>
                <w:ilvl w:val="0"/>
                <w:numId w:val="6"/>
              </w:numPr>
              <w:spacing w:before="0" w:after="0"/>
              <w:rPr>
                <w:sz w:val="24"/>
                <w:sz w:val="24"/>
                <w:szCs w:val="24"/>
                <w:rFonts w:ascii="Calibri" w:hAnsi="Calibri" w:cs="Calibri" w:asciiTheme="minorHAnsi" w:cstheme="minorHAnsi" w:hAnsiTheme="minorHAnsi"/>
              </w:rPr>
            </w:pPr>
            <w:r>
              <w:rPr>
                <w:rFonts w:cs="Calibri" w:cstheme="minorHAnsi"/>
                <w:sz w:val="24"/>
                <w:szCs w:val="24"/>
              </w:rPr>
              <w:t>Third highest charging demand</w:t>
            </w:r>
          </w:p>
        </w:tc>
        <w:tc>
          <w:tcPr>
            <w:tcW w:w="4202" w:type="dxa"/>
            <w:tcBorders/>
            <w:shd w:fill="auto" w:val="clear"/>
            <w:tcMar>
              <w:left w:w="108" w:type="dxa"/>
            </w:tcMar>
          </w:tcPr>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Knowledge</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Permitting process</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Technical capability</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Turnover management</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Parking lot management</w:t>
            </w:r>
          </w:p>
        </w:tc>
      </w:tr>
      <w:tr>
        <w:trPr/>
        <w:tc>
          <w:tcPr>
            <w:tcW w:w="1867" w:type="dxa"/>
            <w:tcBorders/>
            <w:shd w:fill="auto" w:val="clear"/>
            <w:tcMar>
              <w:left w:w="108" w:type="dxa"/>
            </w:tcMar>
          </w:tcPr>
          <w:p>
            <w:pPr>
              <w:pStyle w:val="Normal"/>
              <w:spacing w:before="0" w:after="0"/>
              <w:rPr>
                <w:sz w:val="24"/>
                <w:sz w:val="24"/>
                <w:szCs w:val="24"/>
                <w:rFonts w:ascii="Calibri" w:hAnsi="Calibri" w:cs="Calibri" w:asciiTheme="minorHAnsi" w:cstheme="minorHAnsi" w:hAnsiTheme="minorHAnsi"/>
              </w:rPr>
            </w:pPr>
            <w:r>
              <w:rPr>
                <w:rFonts w:cs="Calibri" w:cstheme="minorHAnsi"/>
                <w:sz w:val="24"/>
                <w:szCs w:val="24"/>
              </w:rPr>
              <w:t>Rentals</w:t>
            </w:r>
          </w:p>
        </w:tc>
        <w:tc>
          <w:tcPr>
            <w:tcW w:w="2724" w:type="dxa"/>
            <w:tcBorders/>
            <w:shd w:fill="auto" w:val="clear"/>
            <w:tcMar>
              <w:left w:w="108" w:type="dxa"/>
            </w:tcMar>
          </w:tcPr>
          <w:p>
            <w:pPr>
              <w:pStyle w:val="Normal"/>
              <w:numPr>
                <w:ilvl w:val="0"/>
                <w:numId w:val="3"/>
              </w:numPr>
              <w:spacing w:before="0" w:after="0"/>
              <w:rPr>
                <w:sz w:val="24"/>
                <w:sz w:val="24"/>
                <w:szCs w:val="24"/>
                <w:rFonts w:ascii="Calibri" w:hAnsi="Calibri" w:cs="Calibri" w:asciiTheme="minorHAnsi" w:cstheme="minorHAnsi" w:hAnsiTheme="minorHAnsi"/>
              </w:rPr>
            </w:pPr>
            <w:r>
              <w:rPr>
                <w:rFonts w:cs="Calibri" w:cstheme="minorHAnsi"/>
                <w:sz w:val="24"/>
                <w:szCs w:val="24"/>
              </w:rPr>
              <w:t>Capitalize on tourism market</w:t>
            </w:r>
          </w:p>
          <w:p>
            <w:pPr>
              <w:pStyle w:val="Normal"/>
              <w:numPr>
                <w:ilvl w:val="0"/>
                <w:numId w:val="3"/>
              </w:numPr>
              <w:spacing w:before="0" w:after="0"/>
              <w:rPr>
                <w:sz w:val="24"/>
                <w:sz w:val="24"/>
                <w:szCs w:val="24"/>
                <w:rFonts w:ascii="Calibri" w:hAnsi="Calibri" w:cs="Calibri" w:asciiTheme="minorHAnsi" w:cstheme="minorHAnsi" w:hAnsiTheme="minorHAnsi"/>
              </w:rPr>
            </w:pPr>
            <w:r>
              <w:rPr>
                <w:rFonts w:cs="Calibri" w:cstheme="minorHAnsi"/>
                <w:sz w:val="24"/>
                <w:szCs w:val="24"/>
              </w:rPr>
              <w:t>Stepping stone to ownership</w:t>
            </w:r>
          </w:p>
        </w:tc>
        <w:tc>
          <w:tcPr>
            <w:tcW w:w="4202" w:type="dxa"/>
            <w:tcBorders/>
            <w:shd w:fill="auto" w:val="clear"/>
            <w:tcMar>
              <w:left w:w="108" w:type="dxa"/>
            </w:tcMar>
          </w:tcPr>
          <w:p>
            <w:pPr>
              <w:pStyle w:val="Normal"/>
              <w:numPr>
                <w:ilvl w:val="0"/>
                <w:numId w:val="3"/>
              </w:numPr>
              <w:spacing w:before="0" w:after="0"/>
              <w:rPr>
                <w:sz w:val="24"/>
                <w:sz w:val="24"/>
                <w:szCs w:val="24"/>
                <w:rFonts w:ascii="Calibri" w:hAnsi="Calibri" w:cs="Calibri" w:asciiTheme="minorHAnsi" w:cstheme="minorHAnsi" w:hAnsiTheme="minorHAnsi"/>
              </w:rPr>
            </w:pPr>
            <w:r>
              <w:rPr>
                <w:rFonts w:cs="Calibri" w:cstheme="minorHAnsi"/>
                <w:sz w:val="24"/>
                <w:szCs w:val="24"/>
              </w:rPr>
              <w:t>Need network with rental companies, hotels and destination parking</w:t>
            </w:r>
          </w:p>
        </w:tc>
      </w:tr>
      <w:tr>
        <w:trPr/>
        <w:tc>
          <w:tcPr>
            <w:tcW w:w="1867" w:type="dxa"/>
            <w:tcBorders/>
            <w:shd w:fill="auto" w:val="clear"/>
            <w:tcMar>
              <w:left w:w="108" w:type="dxa"/>
            </w:tcMar>
          </w:tcPr>
          <w:p>
            <w:pPr>
              <w:pStyle w:val="Normal"/>
              <w:spacing w:before="0" w:after="0"/>
              <w:rPr>
                <w:sz w:val="24"/>
                <w:sz w:val="24"/>
                <w:szCs w:val="24"/>
                <w:rFonts w:ascii="Calibri" w:hAnsi="Calibri" w:cs="Calibri" w:asciiTheme="minorHAnsi" w:cstheme="minorHAnsi" w:hAnsiTheme="minorHAnsi"/>
              </w:rPr>
            </w:pPr>
            <w:r>
              <w:rPr>
                <w:rFonts w:cs="Calibri" w:cstheme="minorHAnsi"/>
                <w:sz w:val="24"/>
                <w:szCs w:val="24"/>
              </w:rPr>
              <w:t>EV Car sharing</w:t>
            </w:r>
          </w:p>
        </w:tc>
        <w:tc>
          <w:tcPr>
            <w:tcW w:w="2724" w:type="dxa"/>
            <w:tcBorders/>
            <w:shd w:fill="auto" w:val="clear"/>
            <w:tcMar>
              <w:left w:w="108" w:type="dxa"/>
            </w:tcMar>
          </w:tcPr>
          <w:p>
            <w:pPr>
              <w:pStyle w:val="Normal"/>
              <w:numPr>
                <w:ilvl w:val="0"/>
                <w:numId w:val="4"/>
              </w:numPr>
              <w:spacing w:before="0" w:after="0"/>
              <w:rPr>
                <w:sz w:val="24"/>
                <w:sz w:val="24"/>
                <w:szCs w:val="24"/>
                <w:rFonts w:ascii="Calibri" w:hAnsi="Calibri" w:cs="Calibri" w:asciiTheme="minorHAnsi" w:cstheme="minorHAnsi" w:hAnsiTheme="minorHAnsi"/>
              </w:rPr>
            </w:pPr>
            <w:r>
              <w:rPr>
                <w:rFonts w:cs="Calibri" w:cstheme="minorHAnsi"/>
                <w:sz w:val="24"/>
                <w:szCs w:val="24"/>
              </w:rPr>
              <w:t>Regular car sharing already exists</w:t>
            </w:r>
          </w:p>
          <w:p>
            <w:pPr>
              <w:pStyle w:val="Normal"/>
              <w:numPr>
                <w:ilvl w:val="0"/>
                <w:numId w:val="4"/>
              </w:numPr>
              <w:spacing w:before="0" w:after="0"/>
              <w:rPr>
                <w:sz w:val="24"/>
                <w:sz w:val="24"/>
                <w:szCs w:val="24"/>
                <w:rFonts w:ascii="Calibri" w:hAnsi="Calibri" w:cs="Calibri" w:asciiTheme="minorHAnsi" w:cstheme="minorHAnsi" w:hAnsiTheme="minorHAnsi"/>
              </w:rPr>
            </w:pPr>
            <w:r>
              <w:rPr>
                <w:rFonts w:cs="Calibri" w:cstheme="minorHAnsi"/>
                <w:sz w:val="24"/>
                <w:szCs w:val="24"/>
              </w:rPr>
              <w:t>Zipcar planning to offer a few EVs</w:t>
            </w:r>
          </w:p>
        </w:tc>
        <w:tc>
          <w:tcPr>
            <w:tcW w:w="4202" w:type="dxa"/>
            <w:tcBorders/>
            <w:shd w:fill="auto" w:val="clear"/>
            <w:tcMar>
              <w:left w:w="108" w:type="dxa"/>
            </w:tcMar>
          </w:tcPr>
          <w:p>
            <w:pPr>
              <w:pStyle w:val="Normal"/>
              <w:numPr>
                <w:ilvl w:val="0"/>
                <w:numId w:val="4"/>
              </w:numPr>
              <w:spacing w:before="0" w:after="0"/>
              <w:rPr>
                <w:sz w:val="24"/>
                <w:sz w:val="24"/>
                <w:szCs w:val="24"/>
                <w:rFonts w:ascii="Calibri" w:hAnsi="Calibri" w:cs="Calibri" w:asciiTheme="minorHAnsi" w:cstheme="minorHAnsi" w:hAnsiTheme="minorHAnsi"/>
              </w:rPr>
            </w:pPr>
            <w:r>
              <w:rPr>
                <w:rFonts w:cs="Calibri" w:cstheme="minorHAnsi"/>
                <w:sz w:val="24"/>
                <w:szCs w:val="24"/>
              </w:rPr>
              <w:t>Permitting/technical</w:t>
            </w:r>
          </w:p>
        </w:tc>
      </w:tr>
      <w:tr>
        <w:trPr/>
        <w:tc>
          <w:tcPr>
            <w:tcW w:w="1867" w:type="dxa"/>
            <w:tcBorders/>
            <w:shd w:fill="auto" w:val="clear"/>
            <w:tcMar>
              <w:left w:w="108" w:type="dxa"/>
            </w:tcMar>
          </w:tcPr>
          <w:p>
            <w:pPr>
              <w:pStyle w:val="Normal"/>
              <w:spacing w:before="0" w:after="0"/>
              <w:rPr>
                <w:sz w:val="24"/>
                <w:sz w:val="24"/>
                <w:szCs w:val="24"/>
                <w:rFonts w:ascii="Calibri" w:hAnsi="Calibri" w:cs="Calibri" w:asciiTheme="minorHAnsi" w:cstheme="minorHAnsi" w:hAnsiTheme="minorHAnsi"/>
              </w:rPr>
            </w:pPr>
            <w:r>
              <w:rPr>
                <w:rFonts w:cs="Calibri" w:cstheme="minorHAnsi"/>
                <w:sz w:val="24"/>
                <w:szCs w:val="24"/>
              </w:rPr>
              <w:t>Public Facilities</w:t>
            </w:r>
          </w:p>
        </w:tc>
        <w:tc>
          <w:tcPr>
            <w:tcW w:w="2724" w:type="dxa"/>
            <w:tcBorders/>
            <w:shd w:fill="auto" w:val="clear"/>
            <w:tcMar>
              <w:left w:w="108" w:type="dxa"/>
            </w:tcMar>
          </w:tcPr>
          <w:p>
            <w:pPr>
              <w:pStyle w:val="Normal"/>
              <w:numPr>
                <w:ilvl w:val="0"/>
                <w:numId w:val="5"/>
              </w:numPr>
              <w:spacing w:before="0" w:after="0"/>
              <w:rPr>
                <w:sz w:val="24"/>
                <w:sz w:val="24"/>
                <w:szCs w:val="24"/>
                <w:rFonts w:ascii="Calibri" w:hAnsi="Calibri" w:cs="Calibri" w:asciiTheme="minorHAnsi" w:cstheme="minorHAnsi" w:hAnsiTheme="minorHAnsi"/>
              </w:rPr>
            </w:pPr>
            <w:r>
              <w:rPr>
                <w:rFonts w:cs="Calibri" w:cstheme="minorHAnsi"/>
                <w:sz w:val="24"/>
                <w:szCs w:val="24"/>
              </w:rPr>
              <w:t>Could help kick-start market</w:t>
            </w:r>
          </w:p>
          <w:p>
            <w:pPr>
              <w:pStyle w:val="Normal"/>
              <w:numPr>
                <w:ilvl w:val="0"/>
                <w:numId w:val="5"/>
              </w:numPr>
              <w:spacing w:before="0" w:after="0"/>
              <w:rPr>
                <w:sz w:val="24"/>
                <w:sz w:val="24"/>
                <w:szCs w:val="24"/>
                <w:rFonts w:ascii="Calibri" w:hAnsi="Calibri" w:cs="Calibri" w:asciiTheme="minorHAnsi" w:cstheme="minorHAnsi" w:hAnsiTheme="minorHAnsi"/>
              </w:rPr>
            </w:pPr>
            <w:r>
              <w:rPr>
                <w:rFonts w:cs="Calibri" w:cstheme="minorHAnsi"/>
                <w:sz w:val="24"/>
                <w:szCs w:val="24"/>
              </w:rPr>
              <w:t>Demonstrate environmental responsibility</w:t>
            </w:r>
          </w:p>
          <w:p>
            <w:pPr>
              <w:pStyle w:val="Normal"/>
              <w:numPr>
                <w:ilvl w:val="0"/>
                <w:numId w:val="5"/>
              </w:numPr>
              <w:spacing w:before="0" w:after="0"/>
              <w:rPr>
                <w:sz w:val="24"/>
                <w:sz w:val="24"/>
                <w:szCs w:val="24"/>
                <w:rFonts w:ascii="Calibri" w:hAnsi="Calibri" w:cs="Calibri" w:asciiTheme="minorHAnsi" w:cstheme="minorHAnsi" w:hAnsiTheme="minorHAnsi"/>
              </w:rPr>
            </w:pPr>
            <w:r>
              <w:rPr>
                <w:rFonts w:cs="Calibri" w:cstheme="minorHAnsi"/>
                <w:sz w:val="24"/>
                <w:szCs w:val="24"/>
              </w:rPr>
              <w:t>Improved air quality</w:t>
            </w:r>
          </w:p>
        </w:tc>
        <w:tc>
          <w:tcPr>
            <w:tcW w:w="4202" w:type="dxa"/>
            <w:tcBorders/>
            <w:shd w:fill="auto" w:val="clear"/>
            <w:tcMar>
              <w:left w:w="108" w:type="dxa"/>
            </w:tcMar>
          </w:tcPr>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Knowledge</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Permitting process</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Technical capability</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Charging turnover management</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Parking lot management</w:t>
            </w:r>
          </w:p>
          <w:p>
            <w:pPr>
              <w:pStyle w:val="Normal"/>
              <w:numPr>
                <w:ilvl w:val="0"/>
                <w:numId w:val="1"/>
              </w:numPr>
              <w:spacing w:before="0" w:after="0"/>
              <w:rPr>
                <w:sz w:val="24"/>
                <w:sz w:val="24"/>
                <w:szCs w:val="24"/>
                <w:rFonts w:ascii="Calibri" w:hAnsi="Calibri" w:cs="Calibri" w:asciiTheme="minorHAnsi" w:cstheme="minorHAnsi" w:hAnsiTheme="minorHAnsi"/>
              </w:rPr>
            </w:pPr>
            <w:r>
              <w:rPr>
                <w:rFonts w:cs="Calibri" w:cstheme="minorHAnsi"/>
                <w:sz w:val="24"/>
                <w:szCs w:val="24"/>
              </w:rPr>
              <w:t>On-street - special case</w:t>
            </w:r>
          </w:p>
        </w:tc>
      </w:tr>
    </w:tbl>
    <w:p>
      <w:pPr>
        <w:pStyle w:val="Normal"/>
        <w:rPr>
          <w:sz w:val="24"/>
          <w:b/>
          <w:sz w:val="24"/>
          <w:b/>
          <w:szCs w:val="24"/>
        </w:rPr>
      </w:pPr>
      <w:r>
        <w:rPr>
          <w:b/>
          <w:sz w:val="24"/>
          <w:szCs w:val="24"/>
        </w:rPr>
      </w:r>
    </w:p>
    <w:p>
      <w:pPr>
        <w:pStyle w:val="Normal"/>
        <w:spacing w:lineRule="auto" w:line="276" w:before="0" w:after="200"/>
        <w:rPr>
          <w:sz w:val="24"/>
          <w:b/>
          <w:sz w:val="24"/>
          <w:b/>
          <w:szCs w:val="24"/>
        </w:rPr>
      </w:pPr>
      <w:r>
        <w:rPr>
          <w:b/>
          <w:sz w:val="24"/>
          <w:szCs w:val="24"/>
        </w:rPr>
      </w:r>
      <w:r>
        <w:br w:type="page"/>
      </w:r>
    </w:p>
    <w:p>
      <w:pPr>
        <w:pStyle w:val="Normal"/>
        <w:rPr>
          <w:sz w:val="24"/>
          <w:b/>
          <w:sz w:val="24"/>
          <w:b/>
          <w:szCs w:val="24"/>
        </w:rPr>
      </w:pPr>
      <w:r>
        <w:rPr>
          <w:b/>
          <w:sz w:val="24"/>
          <w:szCs w:val="24"/>
        </w:rPr>
        <w:t>Regional Projects and EVSE Inventory</w:t>
      </w:r>
    </w:p>
    <w:p>
      <w:pPr>
        <w:pStyle w:val="Normal"/>
        <w:rPr>
          <w:sz w:val="24"/>
          <w:sz w:val="24"/>
          <w:szCs w:val="24"/>
        </w:rPr>
      </w:pPr>
      <w:r>
        <w:rPr>
          <w:sz w:val="24"/>
          <w:szCs w:val="24"/>
        </w:rPr>
      </w:r>
    </w:p>
    <w:p>
      <w:pPr>
        <w:pStyle w:val="Normal"/>
        <w:rPr>
          <w:sz w:val="24"/>
          <w:sz w:val="24"/>
          <w:szCs w:val="24"/>
          <w:rFonts w:cs="Calibri" w:cstheme="minorHAnsi"/>
        </w:rPr>
      </w:pPr>
      <w:r>
        <w:rPr>
          <w:sz w:val="24"/>
          <w:szCs w:val="24"/>
        </w:rPr>
        <w:t xml:space="preserve">Several federally stimulated initiatives </w:t>
      </w:r>
      <w:r>
        <w:rPr>
          <w:rFonts w:cs="Calibri" w:cstheme="minorHAnsi"/>
          <w:sz w:val="24"/>
          <w:szCs w:val="24"/>
        </w:rPr>
        <w:t xml:space="preserve">are currently siting public and residential EV infrastructure in parts of the metropolitan Washington region.  They include Coulomb’s ChargePoint America Program, Maryland Electric Vehicle Infrastructure Program (EVIP)/BEVI (Baltimore-Washington Electric Vehicle Initiative), and ECOtality’s The EV Project.  Private efforts are underway in Northern Virginia for additional stations in Arlington Potomac Regional Park, the Virginia Center for Innovative Technology, in Fairfax County, and at Loudoun County park and ride lots.  </w: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t xml:space="preserve">Some COG member jurisdictions are taking actions to support EV deployment. Fairfax County has submitted a proposal to the U.S. DOE to use a portion of their EECBG funding for the purchase and installation of 10 Level 2 electric-vehicle charging stations at County facilities.  The County is also focusing on putting electric vehicle charging stations in the Tyson’s Corner area; plans include guidance on anticipated needs for the future and site design elements.  Fairfax County is looking for direction from EV Coalition to establish some model practices across the region. </w: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t xml:space="preserve">The District of Columbia’s Climate Action Plan provides for a substantial incorporation of electric vehicles into the government fleet.  The DC Water and Sewer Authority plans to replace 79 utility vehicles with electric vehicles.  The Action Plan aspires to convert 65% of the District Columbia’s utility vehicles to electric vehicles by 2012; 200 replacements by 2020; and 350 replacements by 2050.  The Action Plan also calls for expansion of public and private infrastructure to support electric vehicle charging stations around the city.  </w:t>
      </w:r>
    </w:p>
    <w:p>
      <w:pPr>
        <w:pStyle w:val="Normal"/>
        <w:rPr>
          <w:sz w:val="24"/>
          <w:sz w:val="24"/>
          <w:szCs w:val="24"/>
          <w:rFonts w:cs="Calibri" w:cstheme="minorHAnsi"/>
        </w:rPr>
      </w:pPr>
      <w:r>
        <w:rPr>
          <w:rFonts w:cs="Calibri" w:cstheme="minorHAnsi"/>
          <w:sz w:val="24"/>
          <w:szCs w:val="24"/>
        </w:rPr>
      </w:r>
    </w:p>
    <w:p>
      <w:pPr>
        <w:pStyle w:val="Normal"/>
        <w:rPr>
          <w:sz w:val="24"/>
          <w:b/>
          <w:sz w:val="24"/>
          <w:b/>
          <w:szCs w:val="24"/>
          <w:rFonts w:cs="Calibri" w:cstheme="minorHAnsi"/>
        </w:rPr>
      </w:pPr>
      <w:r>
        <w:rPr>
          <w:rFonts w:cs="Calibri" w:cstheme="minorHAnsi"/>
          <w:b/>
          <w:sz w:val="24"/>
          <w:szCs w:val="24"/>
        </w:rPr>
        <w:t>Inventory of EV Charging Stations, Publicly Accessible</w:t>
      </w:r>
    </w:p>
    <w:p>
      <w:pPr>
        <w:pStyle w:val="Normal"/>
        <w:rPr>
          <w:sz w:val="24"/>
          <w:sz w:val="24"/>
          <w:szCs w:val="24"/>
          <w:rFonts w:cs="Calibri" w:cstheme="minorHAnsi"/>
        </w:rPr>
      </w:pPr>
      <w:r>
        <w:rPr>
          <w:rFonts w:cs="Calibri" w:cstheme="minorHAnsi"/>
          <w:sz w:val="24"/>
          <w:szCs w:val="24"/>
        </w:rPr>
        <w:t xml:space="preserve">COG staff developed an inventory of electric vehicle charging stations for the Washington region. A robust network of charging stations is beginning to take shape in the region. (Maps 1 and 2) Altogether, the inventory identified 332 chargers in 133 charging station locations, 11 of which are planned stations.  The District of Columbia has the most charging stations among COG jurisdictions (36), followed by Arlington County (15), Fairfax County (18), and Charles County (11); DC and Arlington have the highest number of chargers (85 and 62). About 40% of the chargers are Level 1 and the remaining 60% are Level 2. No fast chargers were installed when the inventory was developed.  The inventory indicates EVSEs are being installed by building managers in a variety of land uses. </w: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tab/>
        <w:tab/>
        <w:t>EVSE Stations by location type, Metro. Washington</w:t>
      </w:r>
      <w:r>
        <w:rPr>
          <w:rStyle w:val="FootnoteAnchor"/>
          <w:rFonts w:cs="Calibri" w:cstheme="minorHAnsi"/>
          <w:sz w:val="24"/>
          <w:szCs w:val="24"/>
        </w:rPr>
        <w:footnoteReference w:id="10"/>
      </w:r>
    </w:p>
    <w:tbl>
      <w:tblPr>
        <w:tblStyle w:val="LightList-Accent11"/>
        <w:tblW w:w="5069" w:type="dxa"/>
        <w:jc w:val="center"/>
        <w:tblInd w:w="0" w:type="dxa"/>
        <w:tblBorders>
          <w:bottom w:val="nil"/>
          <w:right w:val="nil"/>
          <w:insideH w:val="nil"/>
          <w:insideV w:val="nil"/>
        </w:tblBorders>
        <w:tblCellMar>
          <w:top w:w="0" w:type="dxa"/>
          <w:left w:w="107" w:type="dxa"/>
          <w:bottom w:w="0" w:type="dxa"/>
          <w:right w:w="108" w:type="dxa"/>
        </w:tblCellMar>
      </w:tblPr>
      <w:tblGrid>
        <w:gridCol w:w="2308"/>
        <w:gridCol w:w="1700"/>
        <w:gridCol w:w="1061"/>
      </w:tblGrid>
      <w:tr>
        <w:trPr>
          <w:trHeight w:val="288" w:hRule="atLeast"/>
        </w:trPr>
        <w:tc>
          <w:tcPr>
            <w:tcW w:w="2308" w:type="dxa"/>
            <w:tcBorders>
              <w:bottom w:val="nil"/>
              <w:right w:val="nil"/>
              <w:insideH w:val="nil"/>
              <w:insideV w:val="nil"/>
            </w:tcBorders>
            <w:shd w:color="auto" w:fill="4F81BD" w:themeFill="accent1" w:val="clear"/>
            <w:tcMar>
              <w:left w:w="107" w:type="dxa"/>
            </w:tcMar>
          </w:tcPr>
          <w:p>
            <w:pPr>
              <w:pStyle w:val="Normal"/>
              <w:spacing w:before="0" w:after="0"/>
              <w:rPr>
                <w:b/>
                <w:b/>
                <w:bCs/>
                <w:rFonts w:ascii="Calibri" w:hAnsi="Calibri" w:eastAsia="Times New Roman" w:cs="Calibri"/>
                <w:color w:val="FFFFFF" w:themeColor="background1"/>
              </w:rPr>
            </w:pPr>
            <w:r>
              <w:rPr>
                <w:rFonts w:eastAsia="Times New Roman" w:cs="Calibri"/>
                <w:b/>
                <w:bCs/>
                <w:color w:val="FFFFFF" w:themeColor="background1"/>
              </w:rPr>
            </w:r>
          </w:p>
        </w:tc>
        <w:tc>
          <w:tcPr>
            <w:tcW w:w="1700" w:type="dxa"/>
            <w:tcBorders>
              <w:left w:val="nil"/>
              <w:bottom w:val="nil"/>
              <w:right w:val="nil"/>
              <w:insideH w:val="nil"/>
              <w:insideV w:val="nil"/>
            </w:tcBorders>
            <w:shd w:color="auto" w:fill="4F81BD" w:themeFill="accent1" w:val="clear"/>
          </w:tcPr>
          <w:p>
            <w:pPr>
              <w:pStyle w:val="Normal"/>
              <w:spacing w:before="0" w:after="0"/>
              <w:rPr>
                <w:rFonts w:ascii="Calibri" w:hAnsi="Calibri" w:eastAsia="Times New Roman" w:cs="Calibri"/>
                <w:color w:val="000000"/>
              </w:rPr>
            </w:pPr>
            <w:r>
              <w:rPr>
                <w:rFonts w:eastAsia="Times New Roman" w:cs="Calibri"/>
                <w:b/>
                <w:bCs/>
                <w:color w:val="000000"/>
              </w:rPr>
              <w:t>Stations</w:t>
            </w:r>
          </w:p>
        </w:tc>
        <w:tc>
          <w:tcPr>
            <w:tcW w:w="1061" w:type="dxa"/>
            <w:tcBorders>
              <w:left w:val="nil"/>
              <w:bottom w:val="nil"/>
              <w:insideH w:val="nil"/>
            </w:tcBorders>
            <w:shd w:color="auto" w:fill="4F81BD" w:themeFill="accent1" w:val="clear"/>
          </w:tcPr>
          <w:p>
            <w:pPr>
              <w:pStyle w:val="Normal"/>
              <w:spacing w:before="0" w:after="0"/>
              <w:rPr>
                <w:rFonts w:ascii="Calibri" w:hAnsi="Calibri" w:eastAsia="Times New Roman" w:cs="Calibri"/>
                <w:color w:val="000000"/>
              </w:rPr>
            </w:pPr>
            <w:r>
              <w:rPr>
                <w:rFonts w:eastAsia="Times New Roman" w:cs="Calibri"/>
                <w:b/>
                <w:bCs/>
                <w:color w:val="000000"/>
              </w:rPr>
              <w:t>Chargers</w:t>
            </w:r>
          </w:p>
        </w:tc>
      </w:tr>
      <w:tr>
        <w:trPr>
          <w:trHeight w:val="288" w:hRule="atLeast"/>
        </w:trPr>
        <w:tc>
          <w:tcPr>
            <w:tcW w:w="2308" w:type="dxa"/>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Office</w:t>
            </w:r>
          </w:p>
        </w:tc>
        <w:tc>
          <w:tcPr>
            <w:tcW w:w="1700"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45</w:t>
            </w:r>
          </w:p>
        </w:tc>
        <w:tc>
          <w:tcPr>
            <w:tcW w:w="1061"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110</w:t>
            </w:r>
          </w:p>
        </w:tc>
      </w:tr>
      <w:tr>
        <w:trPr>
          <w:trHeight w:val="288" w:hRule="atLeast"/>
        </w:trPr>
        <w:tc>
          <w:tcPr>
            <w:tcW w:w="2308" w:type="dxa"/>
            <w:tcBorders>
              <w:top w:val="nil"/>
              <w:bottom w:val="nil"/>
              <w:right w:val="nil"/>
              <w:insideH w:val="nil"/>
              <w:insideV w:val="nil"/>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Shopping</w:t>
            </w:r>
          </w:p>
        </w:tc>
        <w:tc>
          <w:tcPr>
            <w:tcW w:w="1700" w:type="dxa"/>
            <w:tcBorders>
              <w:top w:val="nil"/>
              <w:left w:val="nil"/>
              <w:bottom w:val="nil"/>
              <w:right w:val="nil"/>
              <w:insideH w:val="nil"/>
              <w:insideV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20</w:t>
            </w:r>
          </w:p>
        </w:tc>
        <w:tc>
          <w:tcPr>
            <w:tcW w:w="1061" w:type="dxa"/>
            <w:tcBorders>
              <w:top w:val="nil"/>
              <w:left w:val="nil"/>
              <w:bottom w:val="nil"/>
              <w:insideH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48</w:t>
            </w:r>
          </w:p>
        </w:tc>
      </w:tr>
      <w:tr>
        <w:trPr>
          <w:trHeight w:val="288" w:hRule="atLeast"/>
        </w:trPr>
        <w:tc>
          <w:tcPr>
            <w:tcW w:w="2308" w:type="dxa"/>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Dealership</w:t>
            </w:r>
          </w:p>
        </w:tc>
        <w:tc>
          <w:tcPr>
            <w:tcW w:w="1700"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17</w:t>
            </w:r>
          </w:p>
        </w:tc>
        <w:tc>
          <w:tcPr>
            <w:tcW w:w="1061"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20</w:t>
            </w:r>
          </w:p>
        </w:tc>
      </w:tr>
      <w:tr>
        <w:trPr>
          <w:trHeight w:val="288" w:hRule="atLeast"/>
        </w:trPr>
        <w:tc>
          <w:tcPr>
            <w:tcW w:w="2308" w:type="dxa"/>
            <w:tcBorders>
              <w:top w:val="nil"/>
              <w:bottom w:val="nil"/>
              <w:right w:val="nil"/>
              <w:insideH w:val="nil"/>
              <w:insideV w:val="nil"/>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Government</w:t>
            </w:r>
          </w:p>
        </w:tc>
        <w:tc>
          <w:tcPr>
            <w:tcW w:w="1700" w:type="dxa"/>
            <w:tcBorders>
              <w:top w:val="nil"/>
              <w:left w:val="nil"/>
              <w:bottom w:val="nil"/>
              <w:right w:val="nil"/>
              <w:insideH w:val="nil"/>
              <w:insideV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11</w:t>
            </w:r>
          </w:p>
        </w:tc>
        <w:tc>
          <w:tcPr>
            <w:tcW w:w="1061" w:type="dxa"/>
            <w:tcBorders>
              <w:top w:val="nil"/>
              <w:left w:val="nil"/>
              <w:bottom w:val="nil"/>
              <w:insideH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27</w:t>
            </w:r>
          </w:p>
        </w:tc>
      </w:tr>
      <w:tr>
        <w:trPr>
          <w:trHeight w:val="288" w:hRule="atLeast"/>
        </w:trPr>
        <w:tc>
          <w:tcPr>
            <w:tcW w:w="2308" w:type="dxa"/>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University</w:t>
            </w:r>
          </w:p>
        </w:tc>
        <w:tc>
          <w:tcPr>
            <w:tcW w:w="1700"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10</w:t>
            </w:r>
          </w:p>
        </w:tc>
        <w:tc>
          <w:tcPr>
            <w:tcW w:w="1061"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25</w:t>
            </w:r>
          </w:p>
        </w:tc>
      </w:tr>
      <w:tr>
        <w:trPr>
          <w:trHeight w:val="288" w:hRule="atLeast"/>
        </w:trPr>
        <w:tc>
          <w:tcPr>
            <w:tcW w:w="2308" w:type="dxa"/>
            <w:tcBorders>
              <w:top w:val="nil"/>
              <w:bottom w:val="nil"/>
              <w:right w:val="nil"/>
              <w:insideH w:val="nil"/>
              <w:insideV w:val="nil"/>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Mixed Use</w:t>
            </w:r>
          </w:p>
        </w:tc>
        <w:tc>
          <w:tcPr>
            <w:tcW w:w="1700" w:type="dxa"/>
            <w:tcBorders>
              <w:top w:val="nil"/>
              <w:left w:val="nil"/>
              <w:bottom w:val="nil"/>
              <w:right w:val="nil"/>
              <w:insideH w:val="nil"/>
              <w:insideV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10</w:t>
            </w:r>
          </w:p>
        </w:tc>
        <w:tc>
          <w:tcPr>
            <w:tcW w:w="1061" w:type="dxa"/>
            <w:tcBorders>
              <w:top w:val="nil"/>
              <w:left w:val="nil"/>
              <w:bottom w:val="nil"/>
              <w:insideH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38</w:t>
            </w:r>
          </w:p>
        </w:tc>
      </w:tr>
      <w:tr>
        <w:trPr>
          <w:trHeight w:val="288" w:hRule="atLeast"/>
        </w:trPr>
        <w:tc>
          <w:tcPr>
            <w:tcW w:w="2308" w:type="dxa"/>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Multifamily Dwelling Unit</w:t>
            </w:r>
          </w:p>
        </w:tc>
        <w:tc>
          <w:tcPr>
            <w:tcW w:w="1700"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7</w:t>
            </w:r>
          </w:p>
        </w:tc>
        <w:tc>
          <w:tcPr>
            <w:tcW w:w="1061"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11</w:t>
            </w:r>
          </w:p>
        </w:tc>
      </w:tr>
      <w:tr>
        <w:trPr>
          <w:trHeight w:val="288" w:hRule="atLeast"/>
        </w:trPr>
        <w:tc>
          <w:tcPr>
            <w:tcW w:w="2308" w:type="dxa"/>
            <w:tcBorders>
              <w:top w:val="nil"/>
              <w:bottom w:val="nil"/>
              <w:right w:val="nil"/>
              <w:insideH w:val="nil"/>
              <w:insideV w:val="nil"/>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Recreation</w:t>
            </w:r>
          </w:p>
        </w:tc>
        <w:tc>
          <w:tcPr>
            <w:tcW w:w="1700" w:type="dxa"/>
            <w:tcBorders>
              <w:top w:val="nil"/>
              <w:left w:val="nil"/>
              <w:bottom w:val="nil"/>
              <w:right w:val="nil"/>
              <w:insideH w:val="nil"/>
              <w:insideV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5</w:t>
            </w:r>
          </w:p>
        </w:tc>
        <w:tc>
          <w:tcPr>
            <w:tcW w:w="1061" w:type="dxa"/>
            <w:tcBorders>
              <w:top w:val="nil"/>
              <w:left w:val="nil"/>
              <w:bottom w:val="nil"/>
              <w:insideH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26</w:t>
            </w:r>
          </w:p>
        </w:tc>
      </w:tr>
      <w:tr>
        <w:trPr>
          <w:trHeight w:val="288" w:hRule="atLeast"/>
        </w:trPr>
        <w:tc>
          <w:tcPr>
            <w:tcW w:w="2308" w:type="dxa"/>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Hotel</w:t>
            </w:r>
          </w:p>
        </w:tc>
        <w:tc>
          <w:tcPr>
            <w:tcW w:w="1700"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3</w:t>
            </w:r>
          </w:p>
        </w:tc>
        <w:tc>
          <w:tcPr>
            <w:tcW w:w="1061"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6</w:t>
            </w:r>
          </w:p>
        </w:tc>
      </w:tr>
      <w:tr>
        <w:trPr>
          <w:trHeight w:val="288" w:hRule="atLeast"/>
        </w:trPr>
        <w:tc>
          <w:tcPr>
            <w:tcW w:w="2308" w:type="dxa"/>
            <w:tcBorders>
              <w:top w:val="nil"/>
              <w:bottom w:val="nil"/>
              <w:right w:val="nil"/>
              <w:insideH w:val="nil"/>
              <w:insideV w:val="nil"/>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Transportation Hub</w:t>
            </w:r>
          </w:p>
        </w:tc>
        <w:tc>
          <w:tcPr>
            <w:tcW w:w="1700" w:type="dxa"/>
            <w:tcBorders>
              <w:top w:val="nil"/>
              <w:left w:val="nil"/>
              <w:bottom w:val="nil"/>
              <w:right w:val="nil"/>
              <w:insideH w:val="nil"/>
              <w:insideV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2</w:t>
            </w:r>
          </w:p>
        </w:tc>
        <w:tc>
          <w:tcPr>
            <w:tcW w:w="1061" w:type="dxa"/>
            <w:tcBorders>
              <w:top w:val="nil"/>
              <w:left w:val="nil"/>
              <w:bottom w:val="nil"/>
              <w:insideH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4</w:t>
            </w:r>
          </w:p>
        </w:tc>
      </w:tr>
      <w:tr>
        <w:trPr>
          <w:trHeight w:val="288" w:hRule="atLeast"/>
        </w:trPr>
        <w:tc>
          <w:tcPr>
            <w:tcW w:w="2308" w:type="dxa"/>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Airport</w:t>
            </w:r>
          </w:p>
        </w:tc>
        <w:tc>
          <w:tcPr>
            <w:tcW w:w="1700"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2</w:t>
            </w:r>
          </w:p>
        </w:tc>
        <w:tc>
          <w:tcPr>
            <w:tcW w:w="1061" w:type="dxa"/>
            <w:tcBorders/>
            <w:shd w:fill="auto"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16</w:t>
            </w:r>
          </w:p>
        </w:tc>
      </w:tr>
      <w:tr>
        <w:trPr>
          <w:trHeight w:val="288" w:hRule="atLeast"/>
        </w:trPr>
        <w:tc>
          <w:tcPr>
            <w:tcW w:w="2308" w:type="dxa"/>
            <w:tcBorders>
              <w:top w:val="nil"/>
              <w:bottom w:val="nil"/>
              <w:right w:val="nil"/>
              <w:insideH w:val="nil"/>
              <w:insideV w:val="nil"/>
            </w:tcBorders>
            <w:shd w:fill="auto"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Restaurant</w:t>
            </w:r>
          </w:p>
        </w:tc>
        <w:tc>
          <w:tcPr>
            <w:tcW w:w="1700" w:type="dxa"/>
            <w:tcBorders>
              <w:top w:val="nil"/>
              <w:left w:val="nil"/>
              <w:bottom w:val="nil"/>
              <w:right w:val="nil"/>
              <w:insideH w:val="nil"/>
              <w:insideV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1</w:t>
            </w:r>
          </w:p>
        </w:tc>
        <w:tc>
          <w:tcPr>
            <w:tcW w:w="1061" w:type="dxa"/>
            <w:tcBorders>
              <w:top w:val="nil"/>
              <w:left w:val="nil"/>
              <w:bottom w:val="nil"/>
              <w:insideH w:val="nil"/>
            </w:tcBorders>
            <w:shd w:fill="auto" w:val="clear"/>
          </w:tcPr>
          <w:p>
            <w:pPr>
              <w:pStyle w:val="Normal"/>
              <w:spacing w:before="0" w:after="0"/>
              <w:jc w:val="right"/>
              <w:rPr>
                <w:rFonts w:ascii="Calibri" w:hAnsi="Calibri" w:eastAsia="Times New Roman" w:cs="Calibri"/>
                <w:color w:val="000000"/>
              </w:rPr>
            </w:pPr>
            <w:r>
              <w:rPr>
                <w:rFonts w:eastAsia="Times New Roman" w:cs="Calibri"/>
                <w:color w:val="000000"/>
              </w:rPr>
              <w:t>1</w:t>
            </w:r>
          </w:p>
        </w:tc>
      </w:tr>
      <w:tr>
        <w:trPr>
          <w:trHeight w:val="288" w:hRule="atLeast"/>
        </w:trPr>
        <w:tc>
          <w:tcPr>
            <w:tcW w:w="2308" w:type="dxa"/>
            <w:tcBorders/>
            <w:shd w:color="auto" w:fill="D9D9D9" w:themeFill="background1" w:themeFillShade="d9" w:val="clear"/>
            <w:tcMar>
              <w:left w:w="107" w:type="dxa"/>
            </w:tcMar>
          </w:tcPr>
          <w:p>
            <w:pPr>
              <w:pStyle w:val="Normal"/>
              <w:spacing w:before="0" w:after="0"/>
              <w:rPr>
                <w:rFonts w:ascii="Calibri" w:hAnsi="Calibri" w:eastAsia="Times New Roman" w:cs="Calibri"/>
                <w:color w:val="000000"/>
              </w:rPr>
            </w:pPr>
            <w:r>
              <w:rPr>
                <w:rFonts w:eastAsia="Times New Roman" w:cs="Calibri"/>
                <w:b/>
                <w:bCs/>
                <w:color w:val="000000"/>
              </w:rPr>
              <w:t>Total</w:t>
            </w:r>
          </w:p>
        </w:tc>
        <w:tc>
          <w:tcPr>
            <w:tcW w:w="1700" w:type="dxa"/>
            <w:tcBorders/>
            <w:shd w:color="auto" w:fill="D9D9D9" w:themeFill="background1" w:themeFillShade="d9"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133</w:t>
            </w:r>
          </w:p>
        </w:tc>
        <w:tc>
          <w:tcPr>
            <w:tcW w:w="1061" w:type="dxa"/>
            <w:tcBorders/>
            <w:shd w:color="auto" w:fill="D9D9D9" w:themeFill="background1" w:themeFillShade="d9" w:val="clear"/>
            <w:tcMar>
              <w:left w:w="107" w:type="dxa"/>
            </w:tcMar>
          </w:tcPr>
          <w:p>
            <w:pPr>
              <w:pStyle w:val="Normal"/>
              <w:spacing w:before="0" w:after="0"/>
              <w:jc w:val="right"/>
              <w:rPr>
                <w:rFonts w:ascii="Calibri" w:hAnsi="Calibri" w:eastAsia="Times New Roman" w:cs="Calibri"/>
                <w:color w:val="000000"/>
              </w:rPr>
            </w:pPr>
            <w:r>
              <w:rPr>
                <w:rFonts w:eastAsia="Times New Roman" w:cs="Calibri"/>
                <w:color w:val="000000"/>
              </w:rPr>
              <w:t>332</w:t>
            </w:r>
          </w:p>
        </w:tc>
      </w:tr>
    </w:tbl>
    <w:p>
      <w:pPr>
        <w:pStyle w:val="Normal"/>
        <w:rPr>
          <w:sz w:val="24"/>
          <w:sz w:val="24"/>
          <w:szCs w:val="24"/>
        </w:rPr>
      </w:pPr>
      <w:r>
        <w:rPr>
          <w:sz w:val="24"/>
          <w:szCs w:val="24"/>
        </w:rPr>
      </w:r>
    </w:p>
    <w:p>
      <w:pPr>
        <w:pStyle w:val="Normal"/>
        <w:rPr>
          <w:sz w:val="24"/>
          <w:sz w:val="24"/>
          <w:szCs w:val="24"/>
          <w:rFonts w:cs="Calibri" w:cstheme="minorHAnsi"/>
        </w:rPr>
      </w:pPr>
      <w:r>
        <w:rPr>
          <w:rFonts w:cs="Calibri" w:cstheme="minorHAnsi"/>
          <w:sz w:val="24"/>
          <w:szCs w:val="24"/>
        </w:rPr>
        <w:t>Home charging stations are not represented in the inventory, except for multifamily dwelling units. Although there are many electric vehicle infrastructure development programs occurring in the region that involve installation of home charging stations</w:t>
      </w:r>
      <w:r>
        <w:rPr>
          <w:rStyle w:val="FootnoteAnchor"/>
          <w:rFonts w:cs="Calibri" w:cstheme="minorHAnsi"/>
          <w:sz w:val="24"/>
          <w:szCs w:val="24"/>
        </w:rPr>
        <w:footnoteReference w:id="11"/>
      </w:r>
      <w:r>
        <w:rPr>
          <w:rFonts w:cs="Calibri" w:cstheme="minorHAnsi"/>
          <w:sz w:val="24"/>
          <w:szCs w:val="24"/>
        </w:rPr>
        <w:t xml:space="preserve">, published data on these stations is incomplete for several reasons: </w:t>
      </w:r>
    </w:p>
    <w:p>
      <w:pPr>
        <w:pStyle w:val="Normal"/>
        <w:numPr>
          <w:ilvl w:val="0"/>
          <w:numId w:val="14"/>
        </w:numPr>
        <w:rPr>
          <w:sz w:val="24"/>
          <w:sz w:val="24"/>
          <w:szCs w:val="24"/>
          <w:rFonts w:cs="Calibri" w:cstheme="minorHAnsi"/>
        </w:rPr>
      </w:pPr>
      <w:r>
        <w:rPr>
          <w:rFonts w:cs="Calibri" w:cstheme="minorHAnsi"/>
          <w:sz w:val="24"/>
          <w:szCs w:val="24"/>
        </w:rPr>
        <w:t>Stations are not published on EVSE provider websites or on the Alternative Fuels Data Center since they are not available for public use</w:t>
      </w:r>
    </w:p>
    <w:p>
      <w:pPr>
        <w:pStyle w:val="Normal"/>
        <w:numPr>
          <w:ilvl w:val="0"/>
          <w:numId w:val="14"/>
        </w:numPr>
        <w:rPr>
          <w:sz w:val="24"/>
          <w:sz w:val="24"/>
          <w:szCs w:val="24"/>
          <w:rFonts w:cs="Calibri" w:cstheme="minorHAnsi"/>
        </w:rPr>
      </w:pPr>
      <w:r>
        <w:rPr>
          <w:rFonts w:cs="Calibri" w:cstheme="minorHAnsi"/>
          <w:sz w:val="24"/>
          <w:szCs w:val="24"/>
        </w:rPr>
        <w:t>Many individuals choose not to voluntarily share their location information with Plugshare, a crowd-source EV station website</w:t>
      </w:r>
    </w:p>
    <w:p>
      <w:pPr>
        <w:pStyle w:val="Normal"/>
        <w:numPr>
          <w:ilvl w:val="0"/>
          <w:numId w:val="14"/>
        </w:numPr>
        <w:rPr>
          <w:sz w:val="24"/>
          <w:sz w:val="24"/>
          <w:szCs w:val="24"/>
          <w:rFonts w:cs="Calibri" w:cstheme="minorHAnsi"/>
        </w:rPr>
      </w:pPr>
      <w:r>
        <w:rPr>
          <w:rFonts w:cs="Calibri" w:cstheme="minorHAnsi"/>
          <w:sz w:val="24"/>
          <w:szCs w:val="24"/>
        </w:rPr>
        <w:t xml:space="preserve">Local governments issue general electrical permits for residential electrical work. </w: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r>
    </w:p>
    <w:p>
      <w:pPr>
        <w:pStyle w:val="Normal"/>
        <w:rPr>
          <w:sz w:val="24"/>
          <w:b/>
          <w:sz w:val="24"/>
          <w:b/>
          <w:szCs w:val="24"/>
          <w:rFonts w:cs="Calibri" w:cstheme="minorHAnsi"/>
        </w:rPr>
      </w:pPr>
      <w:r>
        <w:rPr>
          <w:rFonts w:cs="Calibri" w:cstheme="minorHAnsi"/>
          <w:b/>
          <w:sz w:val="24"/>
          <w:szCs w:val="24"/>
        </w:rPr>
        <w:t>Regional EVSE Infrastructure Maps</w:t>
      </w:r>
    </w:p>
    <w:p>
      <w:pPr>
        <w:pStyle w:val="Normal"/>
        <w:rPr>
          <w:sz w:val="24"/>
          <w:sz w:val="24"/>
          <w:szCs w:val="24"/>
          <w:rFonts w:cs="Calibri" w:cstheme="minorHAnsi"/>
        </w:rPr>
      </w:pPr>
      <w:r>
        <w:rPr>
          <w:rFonts w:cs="Calibri" w:cstheme="minorHAnsi"/>
          <w:sz w:val="24"/>
          <w:szCs w:val="24"/>
        </w:rPr>
        <w:t>Map 1 depicts published charging station location of existing, planned, public, and private stations</w:t>
      </w:r>
      <w:r>
        <w:rPr>
          <w:rStyle w:val="FootnoteAnchor"/>
          <w:rFonts w:cs="Calibri" w:cstheme="minorHAnsi"/>
          <w:sz w:val="24"/>
          <w:szCs w:val="24"/>
        </w:rPr>
        <w:footnoteReference w:id="12"/>
      </w:r>
      <w:r>
        <w:rPr>
          <w:rFonts w:cs="Calibri" w:cstheme="minorHAnsi"/>
          <w:sz w:val="24"/>
          <w:szCs w:val="24"/>
        </w:rPr>
        <w:t xml:space="preserve">. Since charging stations may have more than one charger present, Map 2 depicts the number of actual chargers at each location by the size of the symbol. The maps also depict the location of ‘Regional Activity Clusters’ as defined by Region Forward and major highways. Most stations are located along major highways or in Activity Clusters. Sources for the inventory included DOE’s Alternative Fuels Data Center, a COG survey of local jurisdictions, and several EVSE websites including ChargePoint America, SemaCharge, 350Green, Blink, and Car Charging, Inc. In addition, Plugshare, Google Maps, Clean Technica, and property websites assisted in identifying charging station location information. Some property managers were contacted to collect additional information. </w: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
    </w:p>
    <w:p>
      <w:pPr>
        <w:pStyle w:val="Normal"/>
        <w:rPr>
          <w:sz w:val="24"/>
          <w:sz w:val="24"/>
          <w:szCs w:val="24"/>
          <w:rFonts w:cs="Calibri" w:cstheme="minorHAnsi"/>
        </w:rPr>
      </w:pPr>
      <w:r>
        <w:rPr/>
        <mc:AlternateContent>
          <mc:Choice Requires="wps">
            <w:drawing>
              <wp:inline distT="0" distB="127000" distL="0" distR="0">
                <wp:extent cx="5943600" cy="7691755"/>
                <wp:effectExtent l="0" t="0" r="0" b="0"/>
                <wp:docPr id="19" name=""/>
                <a:graphic xmlns:a="http://schemas.openxmlformats.org/drawingml/2006/main">
                  <a:graphicData uri="http://schemas.microsoft.com/office/word/2010/wordprocessingShape"/>
                </a:graphic>
              </wp:inline>
            </w:drawing>
          </mc:Choice>
          <mc:Fallback>
            <w:pict>
              <v:rect id="shape_0" style="position:absolute;margin-left:0pt;margin-top:0pt;width:467.9pt;height:605.55pt"/>
            </w:pict>
          </mc:Fallback>
        </mc:AlternateContent>
      </w:r>
    </w:p>
    <w:p>
      <w:pPr>
        <w:pStyle w:val="Normal"/>
        <w:rPr>
          <w:sz w:val="24"/>
          <w:sz w:val="24"/>
          <w:szCs w:val="24"/>
          <w:rFonts w:cs="Calibri" w:cstheme="minorHAnsi"/>
        </w:rPr>
      </w:pPr>
      <w:r>
        <w:rPr>
          <w:rFonts w:cs="Calibri" w:cstheme="minorHAnsi"/>
          <w:sz w:val="24"/>
          <w:szCs w:val="24"/>
        </w:rPr>
        <w:t xml:space="preserve"> </w:t>
      </w:r>
    </w:p>
    <w:p>
      <w:pPr>
        <w:pStyle w:val="Normal"/>
      </w:pPr>
      <w:r>
        <w:rPr/>
      </w:r>
    </w:p>
    <w:p>
      <w:pPr>
        <w:pStyle w:val="Normal"/>
        <w:rPr>
          <w:sz w:val="24"/>
          <w:sz w:val="24"/>
          <w:szCs w:val="24"/>
        </w:rPr>
      </w:pPr>
      <w:r>
        <w:rPr>
          <w:sz w:val="24"/>
          <w:szCs w:val="24"/>
        </w:rPr>
      </w:r>
    </w:p>
    <w:p>
      <w:pPr>
        <w:pStyle w:val="Normal"/>
        <w:rPr>
          <w:sz w:val="24"/>
          <w:sz w:val="24"/>
          <w:szCs w:val="24"/>
        </w:rPr>
      </w:pPr>
      <w:r>
        <w:rPr>
          <w:sz w:val="24"/>
          <w:szCs w:val="24"/>
        </w:rPr>
      </w:r>
    </w:p>
    <w:p>
      <w:pPr>
        <w:pStyle w:val="Normal"/>
        <w:spacing w:lineRule="auto" w:line="276" w:before="0" w:after="200"/>
        <w:rPr>
          <w:sz w:val="24"/>
          <w:b/>
          <w:sz w:val="24"/>
          <w:b/>
          <w:szCs w:val="24"/>
          <w:rFonts w:cs="Calibri" w:cstheme="minorHAnsi"/>
        </w:rPr>
      </w:pPr>
      <w:r>
        <w:rPr>
          <w:rFonts w:cs="Calibri" w:cstheme="minorHAnsi"/>
          <w:b/>
          <w:sz w:val="24"/>
          <w:szCs w:val="24"/>
        </w:rPr>
        <w:t>Stakeholder Recommendations and Findings Summary</w:t>
      </w:r>
    </w:p>
    <w:p>
      <w:pPr>
        <w:pStyle w:val="Normal"/>
        <w:rPr>
          <w:sz w:val="24"/>
          <w:sz w:val="24"/>
          <w:szCs w:val="24"/>
          <w:rFonts w:cs="Calibri" w:cstheme="minorHAnsi"/>
        </w:rPr>
      </w:pPr>
      <w:r>
        <w:rPr>
          <w:rFonts w:cs="Calibri" w:cstheme="minorHAnsi"/>
          <w:sz w:val="24"/>
          <w:szCs w:val="24"/>
        </w:rPr>
        <w:t xml:space="preserve">Facilitating charging station implementation through investments, incentives, guidelines, and requirements can reduce range anxiety, promote innovation and environmental sustainability, and help to overcome market barriers to region-wide deployment. The main barriers to all location types are cost of installation, access to power source, parking space turnover management, need for streamlined permitting and inspections, and lack of information and training resources.   </w: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t>The recommendations below were ranked low to medium cost and were med-high on facilitation EV deployment. Most are recommended to be implemented in the near term (0 to 2 years).</w:t>
      </w:r>
    </w:p>
    <w:p>
      <w:pPr>
        <w:pStyle w:val="Normal"/>
        <w:rPr>
          <w:sz w:val="24"/>
          <w:sz w:val="24"/>
          <w:szCs w:val="24"/>
          <w:rFonts w:cs="Calibri" w:cstheme="minorHAnsi"/>
        </w:rPr>
      </w:pPr>
      <w:r>
        <w:rPr>
          <w:rFonts w:cs="Calibri" w:cstheme="minorHAnsi"/>
          <w:sz w:val="24"/>
          <w:szCs w:val="24"/>
        </w:rPr>
      </w:r>
    </w:p>
    <w:p>
      <w:pPr>
        <w:pStyle w:val="Normal"/>
        <w:rPr>
          <w:sz w:val="24"/>
          <w:sz w:val="24"/>
          <w:szCs w:val="24"/>
          <w:rFonts w:cs="Calibri" w:cstheme="minorHAnsi"/>
        </w:rPr>
      </w:pPr>
      <w:r>
        <w:rPr>
          <w:rFonts w:cs="Calibri" w:cstheme="minorHAnsi"/>
          <w:sz w:val="24"/>
          <w:szCs w:val="24"/>
        </w:rPr>
      </w:r>
    </w:p>
    <w:p>
      <w:pPr>
        <w:pStyle w:val="Normal"/>
        <w:spacing w:before="0" w:after="120"/>
        <w:rPr>
          <w:sz w:val="24"/>
          <w:b/>
          <w:sz w:val="24"/>
          <w:b/>
          <w:szCs w:val="24"/>
          <w:rFonts w:cs="Calibri" w:cstheme="minorHAnsi"/>
        </w:rPr>
      </w:pPr>
      <w:r>
        <w:rPr>
          <w:rFonts w:cs="Calibri" w:cstheme="minorHAnsi"/>
          <w:b/>
          <w:sz w:val="24"/>
          <w:szCs w:val="24"/>
        </w:rPr>
        <w:t>Recommendation 1:Promote EVSE siting in strategic locations and monitor EV use and EVSE installation</w:t>
      </w:r>
    </w:p>
    <w:p>
      <w:pPr>
        <w:pStyle w:val="Normal"/>
        <w:numPr>
          <w:ilvl w:val="0"/>
          <w:numId w:val="16"/>
        </w:numPr>
        <w:ind w:left="1080" w:hanging="360"/>
        <w:rPr>
          <w:sz w:val="24"/>
          <w:sz w:val="24"/>
          <w:szCs w:val="24"/>
          <w:bCs/>
          <w:rFonts w:cs="Calibri" w:cstheme="minorHAnsi"/>
        </w:rPr>
      </w:pPr>
      <w:r>
        <w:rPr>
          <w:rFonts w:cs="Calibri" w:cstheme="minorHAnsi"/>
          <w:bCs/>
          <w:sz w:val="24"/>
          <w:szCs w:val="24"/>
        </w:rPr>
        <w:t>Charging will take place primarily at home, secondarily at the workplace, and third at other destinations.</w:t>
      </w:r>
      <w:r>
        <w:rPr>
          <w:rFonts w:cs="Calibri" w:cstheme="minorHAnsi"/>
          <w:sz w:val="24"/>
          <w:szCs w:val="24"/>
        </w:rPr>
        <w:t xml:space="preserve"> Taking that into account, charging station siting should be driven by the market and consumer needs. </w:t>
      </w:r>
      <w:r>
        <w:rPr>
          <w:rFonts w:cs="Calibri" w:cstheme="minorHAnsi"/>
          <w:bCs/>
          <w:sz w:val="24"/>
          <w:szCs w:val="24"/>
        </w:rPr>
        <w:t xml:space="preserve"> EV owners with garages or driveways can benefit from streamlining of permitting and educational resources.  Multifamily housing and urban dwellers are a special case due to lack of owner garage access or access to an electrical outlet.</w:t>
      </w:r>
    </w:p>
    <w:p>
      <w:pPr>
        <w:pStyle w:val="Normal"/>
        <w:numPr>
          <w:ilvl w:val="0"/>
          <w:numId w:val="16"/>
        </w:numPr>
        <w:ind w:left="1080" w:hanging="360"/>
        <w:rPr>
          <w:sz w:val="24"/>
          <w:sz w:val="24"/>
          <w:szCs w:val="24"/>
          <w:bCs/>
          <w:rFonts w:cs="Calibri" w:cstheme="minorHAnsi"/>
        </w:rPr>
      </w:pPr>
      <w:r>
        <w:rPr>
          <w:rFonts w:cs="Calibri" w:cstheme="minorHAnsi"/>
          <w:bCs/>
          <w:sz w:val="24"/>
          <w:szCs w:val="24"/>
        </w:rPr>
        <w:t>Many workplace locations with parking are feasible locations for charging stations since vehicles are parked for 6-10 hours, such as office parks, surface parking lots, hotels, convention centers, hospitals, airports, fleet depots, and park and ride facilities</w:t>
      </w:r>
      <w:r>
        <w:rPr>
          <w:rStyle w:val="FootnoteAnchor"/>
          <w:rFonts w:cs="Calibri" w:cstheme="minorHAnsi"/>
          <w:bCs/>
          <w:sz w:val="24"/>
          <w:szCs w:val="24"/>
        </w:rPr>
        <w:footnoteReference w:id="13"/>
      </w:r>
      <w:r>
        <w:rPr>
          <w:rFonts w:cs="Calibri" w:cstheme="minorHAnsi"/>
          <w:bCs/>
          <w:sz w:val="24"/>
          <w:szCs w:val="24"/>
        </w:rPr>
        <w:t>.</w:t>
      </w:r>
    </w:p>
    <w:p>
      <w:pPr>
        <w:pStyle w:val="Normal"/>
        <w:numPr>
          <w:ilvl w:val="0"/>
          <w:numId w:val="16"/>
        </w:numPr>
        <w:ind w:left="1080" w:hanging="360"/>
        <w:rPr>
          <w:sz w:val="24"/>
          <w:sz w:val="24"/>
          <w:szCs w:val="24"/>
          <w:bCs/>
          <w:rFonts w:cs="Calibri" w:cstheme="minorHAnsi"/>
        </w:rPr>
      </w:pPr>
      <w:r>
        <w:rPr>
          <w:rFonts w:cs="Calibri" w:cstheme="minorHAnsi"/>
          <w:bCs/>
          <w:sz w:val="24"/>
          <w:szCs w:val="24"/>
        </w:rPr>
        <w:t xml:space="preserve">Other destination parking includes shopping centers, and transportation hubs. For recreational destinations, suggested charging locations include surface parking lots or garages, shopping malls or other retail locations, cultural centers, restaurants, sporting venues, universities, curbside in cities, parks and recreation areas, airports and gas stations located at rest stops. </w:t>
      </w:r>
    </w:p>
    <w:p>
      <w:pPr>
        <w:pStyle w:val="Normal"/>
        <w:numPr>
          <w:ilvl w:val="0"/>
          <w:numId w:val="16"/>
        </w:numPr>
        <w:ind w:left="1080" w:hanging="360"/>
        <w:rPr>
          <w:sz w:val="24"/>
          <w:sz w:val="24"/>
          <w:szCs w:val="24"/>
          <w:bCs/>
          <w:rFonts w:cs="Calibri" w:cstheme="minorHAnsi"/>
        </w:rPr>
      </w:pPr>
      <w:r>
        <w:rPr>
          <w:rFonts w:cs="Calibri" w:cstheme="minorHAnsi"/>
          <w:bCs/>
          <w:sz w:val="24"/>
          <w:szCs w:val="24"/>
        </w:rPr>
        <w:t xml:space="preserve">City halls, libraries and on-street are places where public charging could be located. </w:t>
      </w:r>
    </w:p>
    <w:p>
      <w:pPr>
        <w:pStyle w:val="Normal"/>
        <w:numPr>
          <w:ilvl w:val="0"/>
          <w:numId w:val="16"/>
        </w:numPr>
        <w:ind w:left="1080" w:hanging="360"/>
        <w:rPr>
          <w:sz w:val="24"/>
          <w:sz w:val="24"/>
          <w:szCs w:val="24"/>
          <w:bCs/>
          <w:rFonts w:cs="Calibri" w:cstheme="minorHAnsi"/>
        </w:rPr>
      </w:pPr>
      <w:r>
        <w:rPr>
          <w:rFonts w:cs="Calibri" w:cstheme="minorHAnsi"/>
          <w:bCs/>
          <w:sz w:val="24"/>
          <w:szCs w:val="24"/>
        </w:rPr>
        <w:t>EV car sharing and rental programs provide additional opportunities for charging locations.</w:t>
      </w:r>
    </w:p>
    <w:p>
      <w:pPr>
        <w:pStyle w:val="Normal"/>
        <w:numPr>
          <w:ilvl w:val="0"/>
          <w:numId w:val="16"/>
        </w:numPr>
        <w:ind w:left="1080" w:hanging="360"/>
        <w:rPr>
          <w:sz w:val="24"/>
          <w:sz w:val="24"/>
          <w:szCs w:val="24"/>
          <w:bCs/>
          <w:rFonts w:cs="Calibri" w:cstheme="minorHAnsi"/>
        </w:rPr>
      </w:pPr>
      <w:r>
        <w:rPr>
          <w:rFonts w:cs="Calibri" w:cstheme="minorHAnsi"/>
          <w:bCs/>
          <w:sz w:val="24"/>
          <w:szCs w:val="24"/>
        </w:rPr>
        <w:t>Benchmark EV sales and use in Washington region and compare to other cities to identify additional needs or barriers</w:t>
      </w:r>
    </w:p>
    <w:p>
      <w:pPr>
        <w:pStyle w:val="Normal"/>
        <w:ind w:left="1080" w:hanging="0"/>
        <w:rPr>
          <w:sz w:val="24"/>
          <w:sz w:val="24"/>
          <w:szCs w:val="24"/>
          <w:bCs/>
          <w:rFonts w:cs="Calibri" w:cstheme="minorHAnsi"/>
        </w:rPr>
      </w:pPr>
      <w:r>
        <w:rPr>
          <w:rFonts w:cs="Calibri" w:cstheme="minorHAnsi"/>
          <w:bCs/>
          <w:sz w:val="24"/>
          <w:szCs w:val="24"/>
        </w:rPr>
      </w:r>
    </w:p>
    <w:p>
      <w:pPr>
        <w:pStyle w:val="ListParagraph"/>
        <w:ind w:left="0" w:hanging="0"/>
        <w:rPr>
          <w:sz w:val="24"/>
          <w:b/>
          <w:sz w:val="24"/>
          <w:b/>
          <w:szCs w:val="24"/>
          <w:rFonts w:cs="Calibri" w:cstheme="minorHAnsi"/>
        </w:rPr>
      </w:pPr>
      <w:r>
        <w:rPr>
          <w:rFonts w:cs="Calibri" w:cstheme="minorHAnsi"/>
          <w:b/>
          <w:sz w:val="24"/>
          <w:szCs w:val="24"/>
        </w:rPr>
        <w:t xml:space="preserve">Recommendation 2:Equip new commercial, multifamily residential, and major public construction and redevelopment in advance with a feasible level of inexpensive technology-enabling infrastructure to reduce future installation expense </w:t>
      </w:r>
    </w:p>
    <w:p>
      <w:pPr>
        <w:pStyle w:val="ListParagraph"/>
        <w:numPr>
          <w:ilvl w:val="1"/>
          <w:numId w:val="7"/>
        </w:numPr>
        <w:rPr>
          <w:sz w:val="24"/>
          <w:sz w:val="24"/>
          <w:szCs w:val="24"/>
          <w:rFonts w:cs="Calibri" w:cstheme="minorHAnsi"/>
        </w:rPr>
      </w:pPr>
      <w:r>
        <w:rPr>
          <w:rFonts w:cs="Calibri" w:cstheme="minorHAnsi"/>
          <w:sz w:val="24"/>
          <w:szCs w:val="24"/>
        </w:rPr>
        <w:t>Provide the physical space for transformer capacity to allow the future installation of full-lot electrification.</w:t>
      </w:r>
    </w:p>
    <w:p>
      <w:pPr>
        <w:pStyle w:val="ListParagraph"/>
        <w:numPr>
          <w:ilvl w:val="1"/>
          <w:numId w:val="7"/>
        </w:numPr>
        <w:rPr>
          <w:sz w:val="24"/>
          <w:sz w:val="24"/>
          <w:szCs w:val="24"/>
          <w:rFonts w:cs="Calibri" w:cstheme="minorHAnsi"/>
          <w:color w:val="000000" w:themeColor="text1"/>
        </w:rPr>
      </w:pPr>
      <w:r>
        <w:rPr>
          <w:rFonts w:cs="Calibri" w:cstheme="minorHAnsi"/>
          <w:sz w:val="24"/>
          <w:szCs w:val="24"/>
        </w:rPr>
        <w:t>The ele</w:t>
      </w:r>
      <w:r>
        <w:rPr>
          <w:rFonts w:cs="Calibri" w:cstheme="minorHAnsi"/>
          <w:color w:val="000000" w:themeColor="text1"/>
          <w:sz w:val="24"/>
          <w:szCs w:val="24"/>
        </w:rPr>
        <w:t>ctrical room should have physical space to allow future installation of a switchboard and capacity for sub-metering.</w:t>
      </w:r>
    </w:p>
    <w:p>
      <w:pPr>
        <w:pStyle w:val="ListParagraph"/>
        <w:numPr>
          <w:ilvl w:val="1"/>
          <w:numId w:val="7"/>
        </w:numPr>
        <w:rPr>
          <w:sz w:val="24"/>
          <w:sz w:val="24"/>
          <w:szCs w:val="24"/>
          <w:rFonts w:cs="Calibri" w:cstheme="minorHAnsi"/>
          <w:color w:val="000000" w:themeColor="text1"/>
        </w:rPr>
      </w:pPr>
      <w:r>
        <w:rPr>
          <w:rFonts w:cs="Calibri" w:cstheme="minorHAnsi"/>
          <w:color w:val="000000" w:themeColor="text1"/>
          <w:sz w:val="24"/>
          <w:szCs w:val="24"/>
        </w:rPr>
        <w:t>Parking area construction should include conduit bank and conduit between the facility’s electrical room and the spaces needed for future electrification.</w:t>
      </w:r>
    </w:p>
    <w:p>
      <w:pPr>
        <w:pStyle w:val="ListParagraph"/>
        <w:ind w:left="0" w:hanging="0"/>
        <w:rPr>
          <w:sz w:val="24"/>
          <w:sz w:val="24"/>
          <w:szCs w:val="24"/>
          <w:rFonts w:cs="Calibri" w:cstheme="minorHAnsi"/>
          <w:color w:val="000000" w:themeColor="text1"/>
        </w:rPr>
      </w:pPr>
      <w:r>
        <w:rPr>
          <w:rFonts w:cs="Calibri" w:cstheme="minorHAnsi"/>
          <w:color w:val="000000" w:themeColor="text1"/>
          <w:sz w:val="24"/>
          <w:szCs w:val="24"/>
        </w:rPr>
      </w:r>
    </w:p>
    <w:p>
      <w:pPr>
        <w:pStyle w:val="ListParagraph"/>
        <w:ind w:left="0" w:hanging="0"/>
        <w:rPr>
          <w:sz w:val="24"/>
          <w:b/>
          <w:sz w:val="24"/>
          <w:b/>
          <w:szCs w:val="24"/>
          <w:rFonts w:cs="Calibri" w:cstheme="minorHAnsi"/>
          <w:color w:val="000000" w:themeColor="text1"/>
        </w:rPr>
      </w:pPr>
      <w:r>
        <w:rPr>
          <w:rFonts w:cs="Calibri" w:cstheme="minorHAnsi"/>
          <w:b/>
          <w:color w:val="000000" w:themeColor="text1"/>
          <w:sz w:val="24"/>
          <w:szCs w:val="24"/>
        </w:rPr>
        <w:t xml:space="preserve">Recommendation 3: </w:t>
        <w:tab/>
        <w:t>Address Multifamily Residential EV Charging Challenges</w:t>
      </w:r>
    </w:p>
    <w:p>
      <w:pPr>
        <w:pStyle w:val="ListParagraph"/>
        <w:numPr>
          <w:ilvl w:val="0"/>
          <w:numId w:val="20"/>
        </w:numPr>
        <w:rPr>
          <w:sz w:val="24"/>
          <w:sz w:val="24"/>
          <w:szCs w:val="24"/>
          <w:rFonts w:cs="Calibri" w:cstheme="minorHAnsi"/>
          <w:color w:val="000000" w:themeColor="text1"/>
        </w:rPr>
      </w:pPr>
      <w:r>
        <w:rPr>
          <w:rFonts w:cs="Calibri" w:cstheme="minorHAnsi"/>
          <w:color w:val="000000" w:themeColor="text1"/>
          <w:sz w:val="24"/>
          <w:szCs w:val="24"/>
        </w:rPr>
        <w:t>Follow best practices and heed lessons learned in pilot programs from other U.S. cities.</w:t>
      </w:r>
    </w:p>
    <w:p>
      <w:pPr>
        <w:pStyle w:val="ListParagraph"/>
        <w:numPr>
          <w:ilvl w:val="0"/>
          <w:numId w:val="20"/>
        </w:numPr>
        <w:rPr>
          <w:sz w:val="24"/>
          <w:sz w:val="24"/>
          <w:szCs w:val="24"/>
          <w:rFonts w:cs="Calibri" w:cstheme="minorHAnsi"/>
        </w:rPr>
      </w:pPr>
      <w:r>
        <w:rPr>
          <w:rFonts w:cs="Calibri" w:cstheme="minorHAnsi"/>
          <w:color w:val="000000" w:themeColor="text1"/>
          <w:sz w:val="24"/>
          <w:szCs w:val="24"/>
        </w:rPr>
        <w:t xml:space="preserve">Connect property owners and managers, HOAs and Condo associations with educational resources relating to </w:t>
      </w:r>
      <w:r>
        <w:rPr>
          <w:rFonts w:cs="Calibri" w:cstheme="minorHAnsi"/>
          <w:sz w:val="24"/>
          <w:szCs w:val="24"/>
        </w:rPr>
        <w:t xml:space="preserve">EVSE implementation. </w:t>
      </w:r>
    </w:p>
    <w:p>
      <w:pPr>
        <w:pStyle w:val="ListParagraph"/>
        <w:numPr>
          <w:ilvl w:val="0"/>
          <w:numId w:val="20"/>
        </w:numPr>
        <w:rPr>
          <w:sz w:val="24"/>
          <w:sz w:val="24"/>
          <w:szCs w:val="24"/>
          <w:rFonts w:cs="Calibri" w:cstheme="minorHAnsi"/>
        </w:rPr>
      </w:pPr>
      <w:r>
        <w:rPr>
          <w:rFonts w:cs="Calibri" w:cstheme="minorHAnsi"/>
          <w:sz w:val="24"/>
          <w:szCs w:val="24"/>
        </w:rPr>
        <w:t>Requirements should depend upon whether or not the units have or manage a parking facility.</w:t>
      </w:r>
    </w:p>
    <w:p>
      <w:pPr>
        <w:pStyle w:val="ListParagraph"/>
        <w:numPr>
          <w:ilvl w:val="0"/>
          <w:numId w:val="20"/>
        </w:numPr>
        <w:rPr>
          <w:sz w:val="24"/>
          <w:sz w:val="24"/>
          <w:szCs w:val="24"/>
          <w:rFonts w:cs="Calibri" w:cstheme="minorHAnsi"/>
        </w:rPr>
      </w:pPr>
      <w:r>
        <w:rPr>
          <w:rFonts w:cs="Calibri" w:cstheme="minorHAnsi"/>
          <w:sz w:val="24"/>
          <w:szCs w:val="24"/>
        </w:rPr>
        <w:t>Managers could incorporate EV into the parking ratio.</w:t>
      </w:r>
    </w:p>
    <w:p>
      <w:pPr>
        <w:pStyle w:val="ListParagraph"/>
        <w:numPr>
          <w:ilvl w:val="0"/>
          <w:numId w:val="20"/>
        </w:numPr>
        <w:rPr>
          <w:sz w:val="24"/>
          <w:sz w:val="24"/>
          <w:szCs w:val="24"/>
          <w:rFonts w:cs="Calibri" w:cstheme="minorHAnsi"/>
        </w:rPr>
      </w:pPr>
      <w:r>
        <w:rPr>
          <w:rFonts w:cs="Calibri" w:cstheme="minorHAnsi"/>
          <w:sz w:val="24"/>
          <w:szCs w:val="24"/>
        </w:rPr>
        <w:t>Car-sharing and charger-sharing can help meet the needs of multifamily building residents.</w:t>
      </w:r>
    </w:p>
    <w:p>
      <w:pPr>
        <w:pStyle w:val="ListParagraph"/>
        <w:ind w:left="0" w:hanging="0"/>
        <w:rPr>
          <w:sz w:val="24"/>
          <w:sz w:val="24"/>
          <w:szCs w:val="24"/>
          <w:rFonts w:cs="Calibri" w:cstheme="minorHAnsi"/>
        </w:rPr>
      </w:pPr>
      <w:r>
        <w:rPr>
          <w:rFonts w:cs="Calibri" w:cstheme="minorHAnsi"/>
          <w:sz w:val="24"/>
          <w:szCs w:val="24"/>
        </w:rPr>
      </w:r>
    </w:p>
    <w:p>
      <w:pPr>
        <w:pStyle w:val="ListParagraph"/>
        <w:ind w:left="0" w:hanging="0"/>
        <w:rPr>
          <w:sz w:val="24"/>
          <w:b/>
          <w:sz w:val="24"/>
          <w:b/>
          <w:szCs w:val="24"/>
          <w:rFonts w:cs="Calibri" w:cstheme="minorHAnsi"/>
        </w:rPr>
      </w:pPr>
      <w:r>
        <w:rPr>
          <w:rFonts w:cs="Calibri" w:cstheme="minorHAnsi"/>
          <w:b/>
          <w:sz w:val="24"/>
          <w:szCs w:val="24"/>
        </w:rPr>
        <w:t>Recommendation 4:</w:t>
        <w:tab/>
        <w:t xml:space="preserve">Facilitate Workplace Charging </w:t>
      </w:r>
    </w:p>
    <w:p>
      <w:pPr>
        <w:pStyle w:val="ListParagraph"/>
        <w:numPr>
          <w:ilvl w:val="0"/>
          <w:numId w:val="17"/>
        </w:numPr>
        <w:rPr>
          <w:sz w:val="24"/>
          <w:sz w:val="24"/>
          <w:szCs w:val="24"/>
          <w:rFonts w:cs="Calibri" w:cstheme="minorHAnsi"/>
        </w:rPr>
      </w:pPr>
      <w:r>
        <w:rPr>
          <w:rFonts w:cs="Calibri" w:cstheme="minorHAnsi"/>
          <w:sz w:val="24"/>
          <w:szCs w:val="24"/>
        </w:rPr>
        <w:t>Identify prime workplace charging locations based on commuting patterns, survey of fleet needs and EV charger installation plans</w:t>
      </w:r>
    </w:p>
    <w:p>
      <w:pPr>
        <w:pStyle w:val="ListParagraph"/>
        <w:numPr>
          <w:ilvl w:val="0"/>
          <w:numId w:val="17"/>
        </w:numPr>
        <w:rPr>
          <w:sz w:val="24"/>
          <w:sz w:val="24"/>
          <w:szCs w:val="24"/>
          <w:rFonts w:cs="Calibri" w:cstheme="minorHAnsi"/>
        </w:rPr>
      </w:pPr>
      <w:r>
        <w:rPr>
          <w:rFonts w:cs="Calibri" w:cstheme="minorHAnsi"/>
          <w:sz w:val="24"/>
          <w:szCs w:val="24"/>
        </w:rPr>
        <w:t xml:space="preserve">Through COG Commuter Connections, AOBA, and other associations, connect employers and property managers with EVSE installation procedures and resources. </w:t>
      </w:r>
    </w:p>
    <w:p>
      <w:pPr>
        <w:pStyle w:val="ListParagraph"/>
        <w:numPr>
          <w:ilvl w:val="0"/>
          <w:numId w:val="17"/>
        </w:numPr>
        <w:rPr>
          <w:sz w:val="24"/>
          <w:sz w:val="24"/>
          <w:szCs w:val="24"/>
          <w:highlight w:val="yellow"/>
          <w:rFonts w:cs="Calibri" w:cstheme="minorHAnsi"/>
        </w:rPr>
      </w:pPr>
      <w:r>
        <w:rPr>
          <w:rFonts w:cs="Calibri" w:cstheme="minorHAnsi"/>
          <w:sz w:val="24"/>
          <w:szCs w:val="24"/>
        </w:rPr>
        <w:t>Develop partnerships between corporate offices and EV dealerships/ service providers to deploy fleet EVs and charging stations</w:t>
      </w:r>
      <w:r>
        <w:rPr>
          <w:rFonts w:cs="Calibri" w:cstheme="minorHAnsi"/>
          <w:sz w:val="24"/>
          <w:szCs w:val="24"/>
          <w:highlight w:val="yellow"/>
        </w:rPr>
        <w:t>.</w:t>
      </w:r>
    </w:p>
    <w:p>
      <w:pPr>
        <w:pStyle w:val="ListParagraph"/>
        <w:ind w:left="0" w:hanging="0"/>
        <w:rPr>
          <w:sz w:val="24"/>
          <w:sz w:val="24"/>
          <w:szCs w:val="24"/>
          <w:rFonts w:cs="Calibri" w:cstheme="minorHAnsi"/>
        </w:rPr>
      </w:pPr>
      <w:r>
        <w:rPr>
          <w:rFonts w:cs="Calibri" w:cstheme="minorHAnsi"/>
          <w:sz w:val="24"/>
          <w:szCs w:val="24"/>
        </w:rPr>
      </w:r>
    </w:p>
    <w:p>
      <w:pPr>
        <w:pStyle w:val="ListParagraph"/>
        <w:ind w:left="0" w:hanging="0"/>
        <w:rPr>
          <w:sz w:val="24"/>
          <w:b/>
          <w:sz w:val="24"/>
          <w:b/>
          <w:szCs w:val="24"/>
          <w:rFonts w:cs="Calibri" w:cstheme="minorHAnsi"/>
        </w:rPr>
      </w:pPr>
      <w:r>
        <w:rPr>
          <w:rFonts w:cs="Calibri" w:cstheme="minorHAnsi"/>
          <w:b/>
          <w:sz w:val="24"/>
          <w:szCs w:val="24"/>
        </w:rPr>
        <w:t>Recommendation 5:</w:t>
        <w:tab/>
        <w:t>Tourist Market Opportunity</w:t>
      </w:r>
    </w:p>
    <w:p>
      <w:pPr>
        <w:pStyle w:val="ListParagraph"/>
        <w:numPr>
          <w:ilvl w:val="0"/>
          <w:numId w:val="19"/>
        </w:numPr>
        <w:rPr>
          <w:sz w:val="24"/>
          <w:sz w:val="24"/>
          <w:szCs w:val="24"/>
          <w:rFonts w:cs="Calibri" w:cstheme="minorHAnsi"/>
        </w:rPr>
      </w:pPr>
      <w:r>
        <w:rPr>
          <w:rFonts w:cs="Calibri" w:cstheme="minorHAnsi"/>
          <w:sz w:val="24"/>
          <w:szCs w:val="24"/>
        </w:rPr>
        <w:t xml:space="preserve">Work with rental car companies, hotels, public on-street parking locations close to tourist destinations to set up a mini-rental infrastructure </w:t>
      </w:r>
    </w:p>
    <w:p>
      <w:pPr>
        <w:pStyle w:val="ListParagraph"/>
        <w:ind w:left="0" w:hanging="0"/>
        <w:rPr>
          <w:sz w:val="24"/>
          <w:sz w:val="24"/>
          <w:szCs w:val="24"/>
          <w:rFonts w:cs="Calibri" w:cstheme="minorHAnsi"/>
        </w:rPr>
      </w:pPr>
      <w:r>
        <w:rPr>
          <w:rFonts w:cs="Calibri" w:cstheme="minorHAnsi"/>
          <w:sz w:val="24"/>
          <w:szCs w:val="24"/>
        </w:rPr>
      </w:r>
    </w:p>
    <w:p>
      <w:pPr>
        <w:pStyle w:val="ListParagraph"/>
        <w:ind w:left="0" w:hanging="0"/>
        <w:rPr>
          <w:sz w:val="24"/>
          <w:b/>
          <w:sz w:val="24"/>
          <w:b/>
          <w:szCs w:val="24"/>
          <w:rFonts w:cs="Calibri" w:cstheme="minorHAnsi"/>
        </w:rPr>
      </w:pPr>
      <w:r>
        <w:rPr>
          <w:rFonts w:cs="Calibri" w:cstheme="minorHAnsi"/>
          <w:b/>
          <w:sz w:val="24"/>
          <w:szCs w:val="24"/>
        </w:rPr>
        <w:t>Recommendation 6:</w:t>
        <w:tab/>
        <w:t xml:space="preserve"> Public EV Infrastructure Investment</w:t>
      </w:r>
    </w:p>
    <w:p>
      <w:pPr>
        <w:pStyle w:val="ListParagraph"/>
        <w:numPr>
          <w:ilvl w:val="0"/>
          <w:numId w:val="15"/>
        </w:numPr>
        <w:rPr>
          <w:sz w:val="24"/>
          <w:sz w:val="24"/>
          <w:szCs w:val="24"/>
          <w:rFonts w:cs="Calibri" w:cstheme="minorHAnsi"/>
        </w:rPr>
      </w:pPr>
      <w:r>
        <w:rPr>
          <w:rFonts w:cs="Calibri" w:cstheme="minorHAnsi"/>
          <w:sz w:val="24"/>
          <w:szCs w:val="24"/>
        </w:rPr>
        <w:t>Offer a variety of incentives, such as tax credits, access to HOV lanes, fast-tracking permitting processes and/or free parking benefits to consumers who purchase and drive an electric car.</w:t>
      </w:r>
    </w:p>
    <w:p>
      <w:pPr>
        <w:pStyle w:val="ListParagraph"/>
        <w:numPr>
          <w:ilvl w:val="0"/>
          <w:numId w:val="15"/>
        </w:numPr>
        <w:rPr>
          <w:sz w:val="24"/>
          <w:sz w:val="24"/>
          <w:szCs w:val="24"/>
          <w:rFonts w:cs="Calibri" w:cstheme="minorHAnsi"/>
        </w:rPr>
      </w:pPr>
      <w:r>
        <w:rPr>
          <w:rFonts w:cs="Calibri" w:cstheme="minorHAnsi"/>
          <w:sz w:val="24"/>
          <w:szCs w:val="24"/>
        </w:rPr>
        <w:t xml:space="preserve">Municipalities should lay down a conduit for future on-street EV parking during right-of-way redevelopment. </w:t>
      </w:r>
    </w:p>
    <w:p>
      <w:pPr>
        <w:pStyle w:val="ListParagraph"/>
        <w:numPr>
          <w:ilvl w:val="0"/>
          <w:numId w:val="15"/>
        </w:numPr>
        <w:rPr>
          <w:sz w:val="24"/>
          <w:sz w:val="24"/>
          <w:szCs w:val="24"/>
          <w:rFonts w:cs="Calibri" w:cstheme="minorHAnsi"/>
        </w:rPr>
      </w:pPr>
      <w:r>
        <w:rPr>
          <w:rFonts w:cs="Calibri" w:cstheme="minorHAnsi"/>
          <w:sz w:val="24"/>
          <w:szCs w:val="24"/>
        </w:rPr>
        <w:t>Companies could sponsor charging stations.</w:t>
      </w:r>
    </w:p>
    <w:p>
      <w:pPr>
        <w:pStyle w:val="ListParagraph"/>
        <w:numPr>
          <w:ilvl w:val="0"/>
          <w:numId w:val="15"/>
        </w:numPr>
        <w:rPr>
          <w:sz w:val="24"/>
          <w:sz w:val="24"/>
          <w:szCs w:val="24"/>
          <w:rFonts w:cs="Calibri" w:cstheme="minorHAnsi"/>
        </w:rPr>
      </w:pPr>
      <w:r>
        <w:rPr>
          <w:rFonts w:cs="Calibri" w:cstheme="minorHAnsi"/>
          <w:sz w:val="24"/>
          <w:szCs w:val="24"/>
        </w:rPr>
        <w:t>Governments can grant special use permits for parking spaces. Develop guidance for non-governmental entities seeking permitting of on-street charging.</w:t>
      </w:r>
    </w:p>
    <w:p>
      <w:pPr>
        <w:pStyle w:val="ListParagraph"/>
        <w:numPr>
          <w:ilvl w:val="0"/>
          <w:numId w:val="15"/>
        </w:numPr>
        <w:rPr>
          <w:sz w:val="24"/>
          <w:sz w:val="24"/>
          <w:szCs w:val="24"/>
          <w:rFonts w:cs="Calibri" w:cstheme="minorHAnsi"/>
        </w:rPr>
      </w:pPr>
      <w:r>
        <w:rPr>
          <w:rFonts w:cs="Calibri" w:cstheme="minorHAnsi"/>
          <w:sz w:val="24"/>
          <w:szCs w:val="24"/>
        </w:rPr>
        <w:t>Certify a meter in the charging station itself instead of including a separate utility meter.</w:t>
      </w:r>
    </w:p>
    <w:p>
      <w:pPr>
        <w:pStyle w:val="ListParagraph"/>
        <w:ind w:left="0" w:hanging="0"/>
        <w:rPr>
          <w:sz w:val="24"/>
          <w:b/>
          <w:sz w:val="24"/>
          <w:b/>
          <w:szCs w:val="24"/>
          <w:rFonts w:cs="Calibri" w:cstheme="minorHAnsi"/>
        </w:rPr>
      </w:pPr>
      <w:r>
        <w:rPr>
          <w:rFonts w:cs="Calibri" w:cstheme="minorHAnsi"/>
          <w:b/>
          <w:sz w:val="24"/>
          <w:szCs w:val="24"/>
        </w:rPr>
      </w:r>
    </w:p>
    <w:p>
      <w:pPr>
        <w:pStyle w:val="ListParagraph"/>
        <w:ind w:left="0" w:hanging="0"/>
        <w:rPr>
          <w:sz w:val="24"/>
          <w:b/>
          <w:sz w:val="24"/>
          <w:b/>
          <w:szCs w:val="24"/>
          <w:rFonts w:cs="Calibri" w:cstheme="minorHAnsi"/>
        </w:rPr>
      </w:pPr>
      <w:r>
        <w:rPr>
          <w:rFonts w:cs="Calibri" w:cstheme="minorHAnsi"/>
          <w:b/>
          <w:sz w:val="24"/>
          <w:szCs w:val="24"/>
        </w:rPr>
        <w:t xml:space="preserve">Recommendation 7: </w:t>
        <w:tab/>
        <w:t>Access to public charging stations for Levels 1 and 2</w:t>
      </w:r>
    </w:p>
    <w:p>
      <w:pPr>
        <w:pStyle w:val="ListParagraph"/>
        <w:numPr>
          <w:ilvl w:val="0"/>
          <w:numId w:val="18"/>
        </w:numPr>
        <w:rPr>
          <w:sz w:val="24"/>
          <w:sz w:val="24"/>
          <w:szCs w:val="24"/>
          <w:rFonts w:cs="Calibri" w:cstheme="minorHAnsi"/>
        </w:rPr>
      </w:pPr>
      <w:r>
        <w:rPr>
          <w:rFonts w:cs="Calibri" w:cstheme="minorHAnsi"/>
          <w:sz w:val="24"/>
          <w:szCs w:val="24"/>
        </w:rPr>
        <w:t>EV owners suggest municipalities issue EV Charging Passes at low monthly charge that allows EV owners to use a network of simple 110V charging outlets.</w:t>
      </w:r>
    </w:p>
    <w:p>
      <w:pPr>
        <w:pStyle w:val="ListParagraph"/>
        <w:numPr>
          <w:ilvl w:val="0"/>
          <w:numId w:val="18"/>
        </w:numPr>
        <w:rPr>
          <w:sz w:val="24"/>
          <w:sz w:val="24"/>
          <w:szCs w:val="24"/>
          <w:rFonts w:cs="Calibri" w:cstheme="minorHAnsi"/>
        </w:rPr>
      </w:pPr>
      <w:r>
        <w:rPr>
          <w:rFonts w:cs="Calibri" w:cstheme="minorHAnsi"/>
          <w:sz w:val="24"/>
          <w:szCs w:val="24"/>
        </w:rPr>
        <w:t>Level 1 should be located in low-turnover locations such as home or workplace. Level 2 stations should be in locations with high turnover, or with valet service or with one load control for multiple spots.</w:t>
      </w:r>
    </w:p>
    <w:p>
      <w:pPr>
        <w:pStyle w:val="ListParagraph"/>
        <w:numPr>
          <w:ilvl w:val="0"/>
          <w:numId w:val="18"/>
        </w:numPr>
        <w:spacing w:lineRule="auto" w:line="276" w:before="0" w:after="200"/>
      </w:pPr>
      <w:r>
        <w:rPr>
          <w:rFonts w:cs="Calibri" w:cstheme="minorHAnsi"/>
          <w:sz w:val="24"/>
          <w:szCs w:val="24"/>
        </w:rPr>
        <w:t>For level 2, allow owners the ability to control turnover, such as raising the rate after 2 hours.</w:t>
      </w:r>
    </w:p>
    <w:sectPr>
      <w:headerReference w:type="default" r:id="rId8"/>
      <w:footerReference w:type="default" r:id="rId9"/>
      <w:footnotePr>
        <w:numFmt w:val="decimal"/>
      </w:footnotePr>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rFonts w:ascii="Cambria" w:hAnsi="Cambria" w:asciiTheme="majorHAnsi" w:hAnsiTheme="majorHAnsi"/>
      </w:rPr>
    </w:pPr>
    <w:r>
      <w:rPr>
        <w:rFonts w:ascii="Cambria" w:hAnsi="Cambria" w:asciiTheme="majorHAnsi" w:hAnsiTheme="majorHAnsi"/>
      </w:rPr>
      <w:t>Draft May 2012</w:t>
      <w:tab/>
      <w:tab/>
      <w:t xml:space="preserve">Page </w:t>
    </w:r>
    <w:r>
      <w:rPr>
        <w:rFonts w:ascii="Cambria" w:hAnsi="Cambria" w:asciiTheme="majorHAnsi" w:hAnsiTheme="majorHAnsi"/>
      </w:rPr>
      <w:fldChar w:fldCharType="begin"/>
    </w:r>
    <w:r>
      <w:instrText> PAGE </w:instrText>
    </w:r>
    <w:r>
      <w:fldChar w:fldCharType="separate"/>
    </w:r>
    <w:r>
      <w:t>17</w:t>
    </w:r>
    <w:r>
      <w:fldChar w:fldCharType="end"/>
    </w:r>
  </w:p>
  <w:p>
    <w:pPr>
      <w:pStyle w:val="Foote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rmal"/>
        <w:rPr/>
      </w:pPr>
      <w:r>
        <w:rPr/>
        <w:footnoteRef/>
      </w:r>
    </w:p>
    <w:p>
      <w:pPr>
        <w:pStyle w:val="Normal"/>
      </w:pPr>
      <w:r>
        <w:rPr>
          <w:rStyle w:val="Footnotereference"/>
        </w:rPr>
        <w:tab/>
      </w:r>
      <w:r>
        <w:rPr/>
        <w:t xml:space="preserve"> </w:t>
      </w:r>
      <w:hyperlink r:id="rId1">
        <w:r>
          <w:rPr>
            <w:rStyle w:val="InternetLink"/>
          </w:rPr>
          <w:t>http://www.nrdc.org/energy/files/relieving-pain-at-the-pump.pdf</w:t>
        </w:r>
      </w:hyperlink>
    </w:p>
    <w:p>
      <w:pPr>
        <w:pStyle w:val="Footnote"/>
      </w:pPr>
      <w:r>
        <w:rPr/>
      </w:r>
    </w:p>
  </w:footnote>
  <w:footnote w:id="3">
    <w:p>
      <w:pPr>
        <w:pStyle w:val="Normal"/>
        <w:rPr/>
      </w:pPr>
      <w:r>
        <w:rPr/>
        <w:footnoteRef/>
      </w:r>
    </w:p>
    <w:p>
      <w:pPr>
        <w:pStyle w:val="Normal"/>
      </w:pPr>
      <w:r>
        <w:rPr>
          <w:rStyle w:val="Footnotereference"/>
        </w:rPr>
        <w:tab/>
      </w:r>
      <w:r>
        <w:rPr/>
        <w:t xml:space="preserve"> </w:t>
      </w:r>
      <w:hyperlink r:id="rId2">
        <w:r>
          <w:rPr>
            <w:rStyle w:val="InternetLink"/>
          </w:rPr>
          <w:t>http://www.fueleconomy.gov/feg/evsbs.shtml</w:t>
        </w:r>
      </w:hyperlink>
    </w:p>
    <w:p>
      <w:pPr>
        <w:pStyle w:val="Footnote"/>
      </w:pPr>
      <w:r>
        <w:rPr/>
      </w:r>
    </w:p>
  </w:footnote>
  <w:footnote w:id="4">
    <w:p>
      <w:pPr>
        <w:pStyle w:val="Normal"/>
        <w:rPr/>
      </w:pPr>
      <w:r>
        <w:rPr/>
        <w:footnoteRef/>
      </w:r>
    </w:p>
    <w:p>
      <w:pPr>
        <w:pStyle w:val="Normal"/>
      </w:pPr>
      <w:r>
        <w:rPr>
          <w:rStyle w:val="Footnotereference"/>
        </w:rPr>
        <w:tab/>
      </w:r>
      <w:r>
        <w:rPr/>
        <w:t xml:space="preserve"> </w:t>
      </w:r>
      <w:hyperlink r:id="rId3">
        <w:r>
          <w:rPr>
            <w:rStyle w:val="InternetLink"/>
          </w:rPr>
          <w:t>http://electricdrive.org/index.php?ht=d/sp/i/20952/pid/20952</w:t>
        </w:r>
      </w:hyperlink>
    </w:p>
    <w:p>
      <w:pPr>
        <w:pStyle w:val="Footnote"/>
      </w:pPr>
      <w:r>
        <w:rPr/>
      </w:r>
    </w:p>
  </w:footnote>
  <w:footnote w:id="5">
    <w:p>
      <w:pPr>
        <w:pStyle w:val="Normal"/>
        <w:rPr/>
      </w:pPr>
      <w:r>
        <w:rPr/>
        <w:footnoteRef/>
      </w:r>
    </w:p>
    <w:p>
      <w:pPr>
        <w:pStyle w:val="Normal"/>
      </w:pPr>
      <w:r>
        <w:rPr>
          <w:rStyle w:val="Footnotereference"/>
        </w:rPr>
        <w:tab/>
      </w:r>
      <w:r>
        <w:rPr/>
        <w:t xml:space="preserve"> </w:t>
      </w:r>
      <w:hyperlink r:id="rId4">
        <w:r>
          <w:rPr>
            <w:rStyle w:val="InternetLink"/>
          </w:rPr>
          <w:t>http://electricdrive.org/index.php?ht=d/sp/i/20952/pid/20952</w:t>
        </w:r>
      </w:hyperlink>
    </w:p>
    <w:p>
      <w:pPr>
        <w:pStyle w:val="Footnote"/>
      </w:pPr>
      <w:r>
        <w:rPr/>
      </w:r>
    </w:p>
  </w:footnote>
  <w:footnote w:id="6">
    <w:p>
      <w:pPr>
        <w:pStyle w:val="Normal"/>
        <w:rPr/>
      </w:pPr>
      <w:r>
        <w:rPr/>
        <w:footnoteRef/>
      </w:r>
    </w:p>
    <w:p>
      <w:pPr>
        <w:pStyle w:val="Normal"/>
      </w:pPr>
      <w:r>
        <w:rPr>
          <w:rStyle w:val="Footnotereference"/>
        </w:rPr>
        <w:tab/>
      </w:r>
      <w:r>
        <w:rPr/>
        <w:t xml:space="preserve"> </w:t>
      </w:r>
      <w:hyperlink r:id="rId5">
        <w:r>
          <w:rPr>
            <w:rStyle w:val="InternetLink"/>
          </w:rPr>
          <w:t>http://www.edmunds.com/industry-center/commentary/upcoming-revenge-of-the-electric-car.html</w:t>
        </w:r>
      </w:hyperlink>
    </w:p>
    <w:p>
      <w:pPr>
        <w:pStyle w:val="Footnote"/>
      </w:pPr>
      <w:r>
        <w:rPr/>
      </w:r>
    </w:p>
  </w:footnote>
  <w:footnote w:id="7">
    <w:p>
      <w:pPr>
        <w:pStyle w:val="Normal"/>
        <w:rPr/>
      </w:pPr>
      <w:r>
        <w:rPr/>
        <w:footnoteRef/>
      </w:r>
    </w:p>
    <w:p>
      <w:pPr>
        <w:pStyle w:val="Normal"/>
      </w:pPr>
      <w:r>
        <w:rPr>
          <w:rStyle w:val="Footnotereference"/>
        </w:rPr>
        <w:tab/>
      </w:r>
      <w:r>
        <w:rPr/>
        <w:t xml:space="preserve"> </w:t>
      </w:r>
      <w:r>
        <w:rPr/>
        <w:t xml:space="preserve">EIA's Alternatives to Traditional Transportation Fuels, Table V1.  Available at </w:t>
      </w:r>
      <w:hyperlink r:id="rId6">
        <w:r>
          <w:rPr>
            <w:rStyle w:val="InternetLink"/>
          </w:rPr>
          <w:t>http://www.eia.gov/renewable/</w:t>
        </w:r>
      </w:hyperlink>
    </w:p>
    <w:p>
      <w:pPr>
        <w:pStyle w:val="Footnote"/>
      </w:pPr>
      <w:r>
        <w:rPr/>
      </w:r>
    </w:p>
  </w:footnote>
  <w:footnote w:id="8">
    <w:p>
      <w:pPr>
        <w:pStyle w:val="Normal"/>
        <w:rPr/>
      </w:pPr>
      <w:r>
        <w:rPr/>
        <w:footnoteRef/>
      </w:r>
    </w:p>
    <w:p>
      <w:pPr>
        <w:pStyle w:val="Normal"/>
      </w:pPr>
      <w:r>
        <w:rPr>
          <w:rStyle w:val="Footnotereference"/>
        </w:rPr>
        <w:tab/>
      </w:r>
      <w:r>
        <w:rPr/>
        <w:t xml:space="preserve"> </w:t>
      </w:r>
      <w:hyperlink r:id="rId7">
        <w:r>
          <w:rPr>
            <w:rStyle w:val="InternetLink"/>
          </w:rPr>
          <w:t>http://www1.eere.energy.gov/vehiclesandfuels/pdfs/1_million_electric_vehicles_rpt.pdf</w:t>
        </w:r>
      </w:hyperlink>
    </w:p>
    <w:p>
      <w:pPr>
        <w:pStyle w:val="Footnote"/>
      </w:pPr>
      <w:r>
        <w:rPr/>
      </w:r>
    </w:p>
  </w:footnote>
  <w:footnote w:id="9">
    <w:p>
      <w:pPr>
        <w:pStyle w:val="Normal"/>
        <w:rPr/>
      </w:pPr>
      <w:r>
        <w:rPr/>
        <w:footnoteRef/>
      </w:r>
    </w:p>
    <w:p>
      <w:pPr>
        <w:pStyle w:val="Footnotetext"/>
      </w:pPr>
      <w:r>
        <w:rPr>
          <w:rStyle w:val="Footnotereference"/>
        </w:rPr>
        <w:tab/>
      </w:r>
      <w:r>
        <w:rPr>
          <w:rFonts w:cs="Calibri" w:cstheme="minorHAnsi"/>
          <w:color w:val="000000" w:themeColor="text1"/>
          <w:sz w:val="20"/>
          <w:szCs w:val="20"/>
        </w:rPr>
        <w:t xml:space="preserve"> </w:t>
      </w:r>
      <w:r>
        <w:rPr>
          <w:rFonts w:cs="Calibri" w:cstheme="minorHAnsi"/>
          <w:color w:val="000000" w:themeColor="text1"/>
          <w:sz w:val="20"/>
          <w:szCs w:val="20"/>
        </w:rPr>
        <w:t xml:space="preserve">COG DTP, 2009.  </w:t>
      </w:r>
      <w:r>
        <w:rPr>
          <w:rFonts w:eastAsia="+mn-ea" w:cs="Calibri" w:cstheme="minorHAnsi"/>
          <w:bCs/>
          <w:color w:val="000000" w:themeColor="text1"/>
          <w:sz w:val="20"/>
          <w:szCs w:val="20"/>
        </w:rPr>
        <w:t>Presentation of Some Initial Findings by Robert E. Griffiths,  Technical Services Director to the National Capital Region Transportation Planning Board, Metropolitan Washington Council of Governments, January 28, 2009.</w:t>
      </w:r>
    </w:p>
    <w:p>
      <w:pPr>
        <w:pStyle w:val="Footnote"/>
      </w:pPr>
      <w:r>
        <w:rPr/>
      </w:r>
    </w:p>
  </w:footnote>
  <w:footnote w:id="10">
    <w:p>
      <w:pPr>
        <w:pStyle w:val="Normal"/>
        <w:rPr/>
      </w:pPr>
      <w:r>
        <w:rPr/>
        <w:footnoteRef/>
      </w:r>
    </w:p>
    <w:p>
      <w:pPr>
        <w:pStyle w:val="Footnotetext"/>
      </w:pPr>
      <w:r>
        <w:rPr>
          <w:rStyle w:val="Footnotereference"/>
        </w:rPr>
        <w:tab/>
      </w:r>
      <w:r>
        <w:rPr/>
        <w:t xml:space="preserve"> </w:t>
      </w:r>
      <w:r>
        <w:rPr>
          <w:rFonts w:cs="Calibri" w:cstheme="minorHAnsi"/>
          <w:sz w:val="24"/>
          <w:szCs w:val="24"/>
        </w:rPr>
        <w:t>Recreation includes parks, arts centers, and recreation centers. Mixed Use describes sites that have a mix of retail, offices, and housing. Multi-Family Dwelling Units consist of condominiums or apartments. Government stations were located at facilities such as libraries, town halls, and government offices.</w:t>
      </w:r>
    </w:p>
    <w:p>
      <w:pPr>
        <w:pStyle w:val="Footnote"/>
      </w:pPr>
      <w:r>
        <w:rPr/>
      </w:r>
    </w:p>
  </w:footnote>
  <w:footnote w:id="11">
    <w:p>
      <w:pPr>
        <w:pStyle w:val="Normal"/>
        <w:rPr/>
      </w:pPr>
      <w:r>
        <w:rPr/>
        <w:footnoteRef/>
      </w:r>
    </w:p>
    <w:p>
      <w:pPr>
        <w:pStyle w:val="Normal"/>
      </w:pPr>
      <w:r>
        <w:rPr>
          <w:rStyle w:val="Footnotereference"/>
        </w:rPr>
        <w:tab/>
      </w:r>
      <w:r>
        <w:rPr/>
        <w:t xml:space="preserve"> </w:t>
      </w:r>
      <w:r>
        <w:rPr/>
        <w:t>Other regions that the EV Project is operating in report that 80 to 99% of Level 2 charging stations are installed at home locations</w:t>
      </w:r>
    </w:p>
    <w:p>
      <w:pPr>
        <w:pStyle w:val="Footnote"/>
      </w:pPr>
      <w:r>
        <w:rPr/>
      </w:r>
    </w:p>
  </w:footnote>
  <w:footnote w:id="12">
    <w:p>
      <w:pPr>
        <w:pStyle w:val="Normal"/>
        <w:rPr/>
      </w:pPr>
      <w:r>
        <w:rPr/>
        <w:footnoteRef/>
      </w:r>
    </w:p>
    <w:p>
      <w:pPr>
        <w:pStyle w:val="Normal"/>
      </w:pPr>
      <w:r>
        <w:rPr>
          <w:rStyle w:val="Footnotereference"/>
        </w:rPr>
        <w:tab/>
      </w:r>
      <w:r>
        <w:rPr/>
        <w:t xml:space="preserve"> </w:t>
      </w:r>
      <w:r>
        <w:rPr/>
        <w:t xml:space="preserve">Maps do not include single family home stations. </w:t>
      </w:r>
    </w:p>
    <w:p>
      <w:pPr>
        <w:pStyle w:val="Footnote"/>
      </w:pPr>
      <w:r>
        <w:rPr/>
      </w:r>
    </w:p>
  </w:footnote>
  <w:footnote w:id="13">
    <w:p>
      <w:pPr>
        <w:pStyle w:val="Normal"/>
        <w:rPr/>
      </w:pPr>
      <w:r>
        <w:rPr/>
        <w:footnoteRef/>
      </w:r>
    </w:p>
    <w:p>
      <w:pPr>
        <w:pStyle w:val="Normal"/>
      </w:pPr>
      <w:r>
        <w:rPr>
          <w:rStyle w:val="Footnotereference"/>
        </w:rPr>
        <w:tab/>
      </w:r>
      <w:r>
        <w:rPr/>
        <w:t xml:space="preserve"> </w:t>
      </w:r>
      <w:r>
        <w:rPr/>
        <w:t>Locations such as Park and Ride and Airports may necessitate EVSE valet service since cars are parked for longer periods of time.</w:t>
      </w:r>
    </w:p>
    <w:p>
      <w:pPr>
        <w:pStyle w:val="Footnote"/>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t xml:space="preserve">  </w:t>
    </w:r>
    <w:r>
      <w:rPr/>
      <w:tab/>
      <w:t>***SUBGROUP REVIEW DRAFT***</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rPr>
        <w:b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lowerLetter"/>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lvl w:ilvl="0">
      <w:start w:val="1"/>
      <w:numFmt w:val="lowerLetter"/>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lvl w:ilvl="0">
      <w:start w:val="1"/>
      <w:numFmt w:val="lowerLetter"/>
      <w:lvlText w:val="%1."/>
      <w:lvlJc w:val="left"/>
      <w:pPr>
        <w:ind w:left="1440" w:hanging="360"/>
      </w:pPr>
      <w:rPr>
        <w:b w:val="fals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77"/>
  <w:defaultTabStop w:val="720"/>
  <w:footnotePr>
    <w:numFmt w:val="decimal"/>
    <w:footnote w:id="0"/>
    <w:footnote w:id="1"/>
  </w:foot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QFormat="0" w:defUnhideWhenUsed="1" w:defSemiHidden="1" w:count="267"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f2b0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2">
    <w:name w:val="Heading 2"/>
    <w:basedOn w:val="Normal"/>
    <w:next w:val="Normal"/>
    <w:link w:val="Heading2Char"/>
    <w:uiPriority w:val="9"/>
    <w:unhideWhenUsed/>
    <w:qFormat/>
    <w:rsid w:val="00213215"/>
    <w:pPr>
      <w:spacing w:lineRule="auto" w:line="276" w:before="200" w:after="0"/>
      <w:outlineLvl w:val="1"/>
    </w:pPr>
    <w:rPr>
      <w:rFonts w:ascii="Cambria" w:hAnsi="Cambria" w:eastAsia="" w:cs="" w:asciiTheme="majorHAnsi" w:cstheme="majorBidi" w:eastAsiaTheme="majorEastAsia" w:hAnsiTheme="majorHAnsi"/>
      <w:b/>
      <w:bCs/>
      <w:sz w:val="26"/>
      <w:szCs w:val="26"/>
      <w:lang w:bidi="en-US"/>
    </w:rPr>
  </w:style>
  <w:style w:type="character" w:styleId="DefaultParagraphFont" w:default="1">
    <w:name w:val="Default Paragraph Font"/>
    <w:uiPriority w:val="1"/>
    <w:semiHidden/>
    <w:unhideWhenUsed/>
    <w:rPr/>
  </w:style>
  <w:style w:type="character" w:styleId="BalloonTextChar" w:customStyle="1">
    <w:name w:val="Balloon Text Char"/>
    <w:basedOn w:val="DefaultParagraphFont"/>
    <w:link w:val="BalloonText"/>
    <w:uiPriority w:val="99"/>
    <w:semiHidden/>
    <w:rsid w:val="004d2a82"/>
    <w:rPr>
      <w:rFonts w:ascii="Tahoma" w:hAnsi="Tahoma" w:cs="Tahoma"/>
      <w:sz w:val="16"/>
      <w:szCs w:val="16"/>
    </w:rPr>
  </w:style>
  <w:style w:type="character" w:styleId="HeaderChar" w:customStyle="1">
    <w:name w:val="Header Char"/>
    <w:basedOn w:val="DefaultParagraphFont"/>
    <w:link w:val="Header"/>
    <w:uiPriority w:val="99"/>
    <w:semiHidden/>
    <w:rsid w:val="009b4dec"/>
    <w:rPr/>
  </w:style>
  <w:style w:type="character" w:styleId="FooterChar" w:customStyle="1">
    <w:name w:val="Footer Char"/>
    <w:basedOn w:val="DefaultParagraphFont"/>
    <w:link w:val="Footer"/>
    <w:uiPriority w:val="99"/>
    <w:rsid w:val="009b4dec"/>
    <w:rPr/>
  </w:style>
  <w:style w:type="character" w:styleId="InternetLink">
    <w:name w:val="Internet Link"/>
    <w:basedOn w:val="DefaultParagraphFont"/>
    <w:uiPriority w:val="99"/>
    <w:unhideWhenUsed/>
    <w:rsid w:val="00a92f88"/>
    <w:rPr>
      <w:color w:val="0000FF" w:themeColor="hyperlink"/>
      <w:u w:val="single"/>
      <w:lang w:val="zxx" w:eastAsia="zxx" w:bidi="zxx"/>
    </w:rPr>
  </w:style>
  <w:style w:type="character" w:styleId="FootnoteTextChar" w:customStyle="1">
    <w:name w:val="Footnote Text Char"/>
    <w:basedOn w:val="DefaultParagraphFont"/>
    <w:link w:val="FootnoteText"/>
    <w:uiPriority w:val="99"/>
    <w:semiHidden/>
    <w:rsid w:val="00a92f88"/>
    <w:rPr>
      <w:sz w:val="20"/>
      <w:szCs w:val="20"/>
    </w:rPr>
  </w:style>
  <w:style w:type="character" w:styleId="Footnotereference">
    <w:name w:val="footnote reference"/>
    <w:basedOn w:val="DefaultParagraphFont"/>
    <w:uiPriority w:val="99"/>
    <w:semiHidden/>
    <w:unhideWhenUsed/>
    <w:rsid w:val="00a92f88"/>
    <w:rPr>
      <w:vertAlign w:val="superscript"/>
    </w:rPr>
  </w:style>
  <w:style w:type="character" w:styleId="FollowedHyperlink">
    <w:name w:val="FollowedHyperlink"/>
    <w:basedOn w:val="DefaultParagraphFont"/>
    <w:uiPriority w:val="99"/>
    <w:semiHidden/>
    <w:unhideWhenUsed/>
    <w:rsid w:val="00825a85"/>
    <w:rPr>
      <w:color w:val="800080" w:themeColor="followedHyperlink"/>
      <w:u w:val="single"/>
    </w:rPr>
  </w:style>
  <w:style w:type="character" w:styleId="Heading2Char" w:customStyle="1">
    <w:name w:val="Heading 2 Char"/>
    <w:basedOn w:val="DefaultParagraphFont"/>
    <w:link w:val="Heading2"/>
    <w:uiPriority w:val="9"/>
    <w:rsid w:val="00213215"/>
    <w:rPr>
      <w:rFonts w:ascii="Cambria" w:hAnsi="Cambria" w:eastAsia="" w:cs="" w:asciiTheme="majorHAnsi" w:cstheme="majorBidi" w:eastAsiaTheme="majorEastAsia" w:hAnsiTheme="majorHAnsi"/>
      <w:b/>
      <w:bCs/>
      <w:sz w:val="26"/>
      <w:szCs w:val="26"/>
      <w:lang w:bidi="en-US"/>
    </w:rPr>
  </w:style>
  <w:style w:type="character" w:styleId="Strong">
    <w:name w:val="Strong"/>
    <w:basedOn w:val="DefaultParagraphFont"/>
    <w:uiPriority w:val="22"/>
    <w:qFormat/>
    <w:rsid w:val="00213215"/>
    <w:rPr>
      <w:b/>
      <w:bCs/>
    </w:rPr>
  </w:style>
  <w:style w:type="character" w:styleId="ListLabel1">
    <w:name w:val="ListLabel 1"/>
    <w:rPr>
      <w:rFonts w:cs="Courier New"/>
    </w:rPr>
  </w:style>
  <w:style w:type="character" w:styleId="ListLabel2">
    <w:name w:val="ListLabel 2"/>
    <w:rPr>
      <w:rFonts w:eastAsia="Calibri" w:cs="Calibri"/>
    </w:rPr>
  </w:style>
  <w:style w:type="character" w:styleId="ListLabel3">
    <w:name w:val="ListLabel 3"/>
    <w:rPr>
      <w:b w:val="false"/>
    </w:rPr>
  </w:style>
  <w:style w:type="character" w:styleId="ListLabel4">
    <w:name w:val="ListLabel 4"/>
    <w:rPr>
      <w:rFonts w:eastAsia="Calibri" w:cs=""/>
    </w:rPr>
  </w:style>
  <w:style w:type="character" w:styleId="ListLabel5">
    <w:name w:val="ListLabel 5"/>
    <w:rPr>
      <w:rFonts w:cs="Times New Roman"/>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WenQuanYi Micro Hei"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ListParagraph">
    <w:name w:val="List Paragraph"/>
    <w:basedOn w:val="Normal"/>
    <w:uiPriority w:val="34"/>
    <w:qFormat/>
    <w:rsid w:val="004d2a82"/>
    <w:pPr>
      <w:spacing w:before="0" w:after="0"/>
      <w:ind w:left="720" w:hanging="0"/>
      <w:contextualSpacing/>
    </w:pPr>
    <w:rPr/>
  </w:style>
  <w:style w:type="paragraph" w:styleId="BalloonText">
    <w:name w:val="Balloon Text"/>
    <w:basedOn w:val="Normal"/>
    <w:link w:val="BalloonTextChar"/>
    <w:uiPriority w:val="99"/>
    <w:semiHidden/>
    <w:unhideWhenUsed/>
    <w:rsid w:val="004d2a82"/>
    <w:pPr/>
    <w:rPr>
      <w:rFonts w:ascii="Tahoma" w:hAnsi="Tahoma" w:cs="Tahoma"/>
      <w:sz w:val="16"/>
      <w:szCs w:val="16"/>
    </w:rPr>
  </w:style>
  <w:style w:type="paragraph" w:styleId="Header">
    <w:name w:val="Header"/>
    <w:basedOn w:val="Normal"/>
    <w:link w:val="HeaderChar"/>
    <w:uiPriority w:val="99"/>
    <w:semiHidden/>
    <w:unhideWhenUsed/>
    <w:rsid w:val="009b4dec"/>
    <w:pPr>
      <w:tabs>
        <w:tab w:val="center" w:pos="4680" w:leader="none"/>
        <w:tab w:val="right" w:pos="9360" w:leader="none"/>
      </w:tabs>
    </w:pPr>
    <w:rPr/>
  </w:style>
  <w:style w:type="paragraph" w:styleId="Footer">
    <w:name w:val="Footer"/>
    <w:basedOn w:val="Normal"/>
    <w:link w:val="FooterChar"/>
    <w:uiPriority w:val="99"/>
    <w:unhideWhenUsed/>
    <w:rsid w:val="009b4dec"/>
    <w:pPr>
      <w:tabs>
        <w:tab w:val="center" w:pos="4680" w:leader="none"/>
        <w:tab w:val="right" w:pos="9360" w:leader="none"/>
      </w:tabs>
    </w:pPr>
    <w:rPr/>
  </w:style>
  <w:style w:type="paragraph" w:styleId="NormalWeb">
    <w:name w:val="Normal (Web)"/>
    <w:basedOn w:val="Normal"/>
    <w:uiPriority w:val="99"/>
    <w:unhideWhenUsed/>
    <w:rsid w:val="006a557b"/>
    <w:pPr>
      <w:spacing w:before="280" w:after="280"/>
    </w:pPr>
    <w:rPr>
      <w:rFonts w:ascii="Times New Roman" w:hAnsi="Times New Roman" w:eastAsia="Times New Roman" w:cs="Times New Roman"/>
      <w:sz w:val="24"/>
      <w:szCs w:val="24"/>
    </w:rPr>
  </w:style>
  <w:style w:type="paragraph" w:styleId="Default" w:customStyle="1">
    <w:name w:val="Default"/>
    <w:rsid w:val="001d4358"/>
    <w:pPr>
      <w:widowControl/>
      <w:suppressAutoHyphens w:val="true"/>
      <w:bidi w:val="0"/>
      <w:spacing w:lineRule="auto" w:line="240" w:before="0" w:after="0"/>
      <w:jc w:val="left"/>
    </w:pPr>
    <w:rPr>
      <w:rFonts w:ascii="Arial" w:hAnsi="Arial" w:cs="Arial" w:eastAsia="Calibri"/>
      <w:color w:val="000000"/>
      <w:sz w:val="24"/>
      <w:szCs w:val="24"/>
      <w:lang w:val="en-US" w:eastAsia="en-US" w:bidi="ar-SA"/>
    </w:rPr>
  </w:style>
  <w:style w:type="paragraph" w:styleId="NoSpacing">
    <w:name w:val="No Spacing"/>
    <w:uiPriority w:val="1"/>
    <w:qFormat/>
    <w:rsid w:val="00a92f8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Footnotetext">
    <w:name w:val="footnote text"/>
    <w:basedOn w:val="Normal"/>
    <w:link w:val="FootnoteTextChar"/>
    <w:uiPriority w:val="99"/>
    <w:semiHidden/>
    <w:unhideWhenUsed/>
    <w:rsid w:val="00a92f88"/>
    <w:pPr/>
    <w:rPr>
      <w:sz w:val="20"/>
      <w:szCs w:val="20"/>
    </w:rPr>
  </w:style>
  <w:style w:type="paragraph" w:styleId="Caption1">
    <w:name w:val="caption"/>
    <w:basedOn w:val="Normal"/>
    <w:next w:val="Normal"/>
    <w:uiPriority w:val="35"/>
    <w:unhideWhenUsed/>
    <w:qFormat/>
    <w:rsid w:val="00617361"/>
    <w:pPr>
      <w:spacing w:before="0" w:after="200"/>
    </w:pPr>
    <w:rPr>
      <w:b/>
      <w:bCs/>
      <w:color w:val="4F81BD" w:themeColor="accent1"/>
      <w:sz w:val="18"/>
      <w:szCs w:val="18"/>
    </w:rPr>
  </w:style>
  <w:style w:type="paragraph" w:styleId="FrameContents">
    <w:name w:val="Frame Contents"/>
    <w:basedOn w:val="Normal"/>
    <w:pPr/>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 w:type="table" w:styleId="TableGrid">
    <w:name w:val="Table Grid"/>
    <w:basedOn w:val="TableNormal"/>
    <w:uiPriority w:val="59"/>
    <w:rsid w:val="00945a51"/>
    <w:pPr>
      <w:spacing w:line="240" w:after="0" w:lineRule="auto"/>
    </w:pPr>
    <w:rPr>
      <w:sz w:val="20"/>
      <w:szCs w:val="20"/>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 w:type="table" w:styleId="LightShading-Accent5">
    <w:name w:val="Light Shading Accent 5"/>
    <w:basedOn w:val="TableNormal"/>
    <w:uiPriority w:val="60"/>
    <w:rsid w:val="00097eb2"/>
    <w:pPr>
      <w:spacing w:line="240" w:after="0" w:lineRule="auto"/>
    </w:pPr>
    <w:rPr>
      <w:color w:themeShade="bf" w:themeColor="accent5" w:val="31849B"/>
    </w:rPr>
    <w:tblPr>
      <w:tblStyleRowBandSize w:val="1"/>
      <w:tblStyleColBandSize w:val="1"/>
      <w:tblInd w:type="dxa" w:w="0"/>
      <w:tblBorders>
        <w:top w:space="0" w:sz="8" w:themeColor="accent5" w:color="4BACC6" w:val="single"/>
        <w:bottom w:space="0" w:sz="8" w:themeColor="accent5" w:color="4BACC6" w:val="single"/>
      </w:tblBorders>
      <w:tblCellMar>
        <w:top w:w="0" w:type="dxa"/>
        <w:left w:w="108" w:type="dxa"/>
        <w:bottom w:w="0" w:type="dxa"/>
        <w:right w:w="108" w:type="dxa"/>
      </w:tblCellMar>
    </w:tblPr>
    <w:tblStylePr w:type="firstRow">
      <w:pPr>
        <w:spacing w:line="240" w:after="0" w:lineRule="auto" w:before="0"/>
      </w:pPr>
      <w:rPr>
        <w:b/>
        <w:bCs/>
      </w:rPr>
      <w:tblPr/>
      <w:tcPr>
        <w:tcBorders>
          <w:top w:space="0" w:sz="8" w:themeColor="accent5" w:color="4BACC6" w:val="single"/>
          <w:left w:val="nil"/>
          <w:bottom w:space="0" w:sz="8" w:themeColor="accent5" w:color="4BACC6" w:val="single"/>
          <w:right w:val="nil"/>
          <w:insideH w:val="nil"/>
          <w:insideV w:val="nil"/>
        </w:tcBorders>
      </w:tcPr>
    </w:tblStylePr>
    <w:tblStylePr w:type="lastRow">
      <w:pPr>
        <w:spacing w:line="240" w:after="0" w:lineRule="auto" w:before="0"/>
      </w:pPr>
      <w:rPr>
        <w:b/>
        <w:bCs/>
      </w:rPr>
      <w:tblPr/>
      <w:tcPr>
        <w:tcBorders>
          <w:top w:space="0" w:sz="8" w:themeColor="accent5" w:color="4BACC6" w:val="single"/>
          <w:left w:val="nil"/>
          <w:bottom w:space="0" w:sz="8" w:themeColor="accent5" w:color="4BACC6"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accent5" w:fill="D2EAF1" w:color="auto" w:val="clear"/>
      </w:tcPr>
    </w:tblStylePr>
    <w:tblStylePr w:type="band1Horz">
      <w:tblPr/>
      <w:tcPr>
        <w:tcBorders>
          <w:left w:val="nil"/>
          <w:right w:val="nil"/>
          <w:insideH w:val="nil"/>
          <w:insideV w:val="nil"/>
        </w:tcBorders>
        <w:shd w:themeFillTint="3f" w:themeFill="accent5" w:fill="D2EAF1" w:color="auto" w:val="clear"/>
      </w:tcPr>
    </w:tblStylePr>
  </w:style>
  <w:style w:type="table" w:styleId="LightShading-Accent3">
    <w:name w:val="Light Shading Accent 3"/>
    <w:basedOn w:val="TableNormal"/>
    <w:uiPriority w:val="60"/>
    <w:rsid w:val="00097eb2"/>
    <w:pPr>
      <w:spacing w:line="240" w:after="0" w:lineRule="auto"/>
    </w:pPr>
    <w:rPr>
      <w:color w:themeShade="bf" w:themeColor="accent3" w:val="76923C"/>
    </w:rPr>
    <w:tblPr>
      <w:tblStyleRowBandSize w:val="1"/>
      <w:tblStyleColBandSize w:val="1"/>
      <w:tblInd w:type="dxa" w:w="0"/>
      <w:tblBorders>
        <w:top w:space="0" w:sz="8" w:themeColor="accent3" w:color="9BBB59" w:val="single"/>
        <w:bottom w:space="0" w:sz="8" w:themeColor="accent3" w:color="9BBB59" w:val="single"/>
      </w:tblBorders>
      <w:tblCellMar>
        <w:top w:w="0" w:type="dxa"/>
        <w:left w:w="108" w:type="dxa"/>
        <w:bottom w:w="0" w:type="dxa"/>
        <w:right w:w="108" w:type="dxa"/>
      </w:tblCellMar>
    </w:tblPr>
    <w:tblStylePr w:type="firstRow">
      <w:pPr>
        <w:spacing w:line="240" w:after="0" w:lineRule="auto" w:before="0"/>
      </w:pPr>
      <w:rPr>
        <w:b/>
        <w:bCs/>
      </w:rPr>
      <w:tblPr/>
      <w:tcPr>
        <w:tcBorders>
          <w:top w:space="0" w:sz="8" w:themeColor="accent3" w:color="9BBB59" w:val="single"/>
          <w:left w:val="nil"/>
          <w:bottom w:space="0" w:sz="8" w:themeColor="accent3" w:color="9BBB59" w:val="single"/>
          <w:right w:val="nil"/>
          <w:insideH w:val="nil"/>
          <w:insideV w:val="nil"/>
        </w:tcBorders>
      </w:tcPr>
    </w:tblStylePr>
    <w:tblStylePr w:type="lastRow">
      <w:pPr>
        <w:spacing w:line="240" w:after="0" w:lineRule="auto" w:before="0"/>
      </w:pPr>
      <w:rPr>
        <w:b/>
        <w:bCs/>
      </w:rPr>
      <w:tblPr/>
      <w:tcPr>
        <w:tcBorders>
          <w:top w:space="0" w:sz="8" w:themeColor="accent3" w:color="9BBB59" w:val="single"/>
          <w:left w:val="nil"/>
          <w:bottom w:space="0" w:sz="8" w:themeColor="accent3" w:color="9BBB59" w:val="single"/>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themeFillTint="3f" w:themeFill="accent3" w:fill="E6EED5" w:color="auto" w:val="clear"/>
      </w:tcPr>
    </w:tblStylePr>
    <w:tblStylePr w:type="band1Horz">
      <w:tblPr/>
      <w:tcPr>
        <w:tcBorders>
          <w:left w:val="nil"/>
          <w:right w:val="nil"/>
          <w:insideH w:val="nil"/>
          <w:insideV w:val="nil"/>
        </w:tcBorders>
        <w:shd w:themeFillTint="3f" w:themeFill="accent3" w:fill="E6EED5" w:color="auto" w:val="clear"/>
      </w:tcPr>
    </w:tblStylePr>
  </w:style>
  <w:style w:type="table" w:styleId="LightList-Accent3">
    <w:name w:val="Light List Accent 3"/>
    <w:basedOn w:val="TableNormal"/>
    <w:uiPriority w:val="61"/>
    <w:rsid w:val="00097eb2"/>
    <w:pPr>
      <w:spacing w:line="240" w:after="0" w:lineRule="auto"/>
    </w:pPr>
    <w:tblPr>
      <w:tblStyleRowBandSize w:val="1"/>
      <w:tblStyleColBandSize w:val="1"/>
      <w:tblInd w:type="dxa" w:w="0"/>
      <w:tblBorders>
        <w:top w:space="0" w:sz="8" w:themeColor="accent3" w:color="9BBB59" w:val="single"/>
        <w:left w:space="0" w:sz="8" w:themeColor="accent3" w:color="9BBB59" w:val="single"/>
        <w:bottom w:space="0" w:sz="8" w:themeColor="accent3" w:color="9BBB59" w:val="single"/>
        <w:right w:space="0" w:sz="8" w:themeColor="accent3" w:color="9BBB59" w:val="single"/>
      </w:tblBorders>
      <w:tblCellMar>
        <w:top w:w="0" w:type="dxa"/>
        <w:left w:w="108" w:type="dxa"/>
        <w:bottom w:w="0" w:type="dxa"/>
        <w:right w:w="108" w:type="dxa"/>
      </w:tblCellMar>
    </w:tblPr>
    <w:tblStylePr w:type="firstRow">
      <w:pPr>
        <w:spacing w:line="240" w:after="0" w:lineRule="auto" w:before="0"/>
      </w:pPr>
      <w:rPr>
        <w:b/>
        <w:bCs/>
        <w:color w:themeColor="background1" w:val="FFFFFF"/>
      </w:rPr>
      <w:tblPr/>
      <w:tcPr>
        <w:shd w:themeFill="accent3" w:fill="9BBB59" w:color="auto" w:val="clear"/>
      </w:tcPr>
    </w:tblStylePr>
    <w:tblStylePr w:type="lastRow">
      <w:pPr>
        <w:spacing w:line="240" w:after="0" w:lineRule="auto" w:before="0"/>
      </w:pPr>
      <w:rPr>
        <w:b/>
        <w:bCs/>
      </w:rPr>
      <w:tblPr/>
      <w:tcPr>
        <w:tcBorders>
          <w:top w:space="0" w:sz="6" w:themeColor="accent3" w:color="9BBB59" w:val="double"/>
          <w:left w:space="0" w:sz="8" w:themeColor="accent3" w:color="9BBB59" w:val="single"/>
          <w:bottom w:space="0" w:sz="8" w:themeColor="accent3" w:color="9BBB59" w:val="single"/>
          <w:right w:space="0" w:sz="8" w:themeColor="accent3" w:color="9BBB59" w:val="single"/>
        </w:tcBorders>
      </w:tcPr>
    </w:tblStylePr>
    <w:tblStylePr w:type="firstCol">
      <w:rPr>
        <w:b/>
        <w:bCs/>
      </w:rPr>
      <w:tblPr/>
    </w:tblStylePr>
    <w:tblStylePr w:type="lastCol">
      <w:rPr>
        <w:b/>
        <w:bCs/>
      </w:rPr>
      <w:tblPr/>
    </w:tblStylePr>
    <w:tblStylePr w:type="band1Vert">
      <w:tblPr/>
      <w:tcPr>
        <w:tcBorders>
          <w:top w:space="0" w:sz="8" w:themeColor="accent3" w:color="9BBB59" w:val="single"/>
          <w:left w:space="0" w:sz="8" w:themeColor="accent3" w:color="9BBB59" w:val="single"/>
          <w:bottom w:space="0" w:sz="8" w:themeColor="accent3" w:color="9BBB59" w:val="single"/>
          <w:right w:space="0" w:sz="8" w:themeColor="accent3" w:color="9BBB59" w:val="single"/>
        </w:tcBorders>
      </w:tcPr>
    </w:tblStylePr>
    <w:tblStylePr w:type="band1Horz">
      <w:tblPr/>
      <w:tcPr>
        <w:tcBorders>
          <w:top w:space="0" w:sz="8" w:themeColor="accent3" w:color="9BBB59" w:val="single"/>
          <w:left w:space="0" w:sz="8" w:themeColor="accent3" w:color="9BBB59" w:val="single"/>
          <w:bottom w:space="0" w:sz="8" w:themeColor="accent3" w:color="9BBB59" w:val="single"/>
          <w:right w:space="0" w:sz="8" w:themeColor="accent3" w:color="9BBB59" w:val="single"/>
        </w:tcBorders>
      </w:tcPr>
    </w:tblStylePr>
  </w:style>
  <w:style w:type="table" w:customStyle="1" w:styleId="LightList-Accent11">
    <w:name w:val="Light List - Accent 11"/>
    <w:basedOn w:val="TableNormal"/>
    <w:uiPriority w:val="61"/>
    <w:rsid w:val="00665ed1"/>
    <w:pPr>
      <w:spacing w:line="240" w:after="0" w:lineRule="auto"/>
    </w:pPr>
    <w:tblPr>
      <w:tblStyleRowBandSize w:val="1"/>
      <w:tblStyleColBandSize w:val="1"/>
      <w:tblInd w:type="dxa" w:w="0"/>
      <w:tblBorders>
        <w:top w:space="0" w:sz="8" w:themeColor="accent1" w:color="4F81BD" w:val="single"/>
        <w:left w:space="0" w:sz="8" w:themeColor="accent1" w:color="4F81BD" w:val="single"/>
        <w:bottom w:space="0" w:sz="8" w:themeColor="accent1" w:color="4F81BD" w:val="single"/>
        <w:right w:space="0" w:sz="8" w:themeColor="accent1" w:color="4F81BD" w:val="single"/>
      </w:tblBorders>
      <w:tblCellMar>
        <w:top w:w="0" w:type="dxa"/>
        <w:left w:w="108" w:type="dxa"/>
        <w:bottom w:w="0" w:type="dxa"/>
        <w:right w:w="108" w:type="dxa"/>
      </w:tblCellMar>
    </w:tblPr>
    <w:tblStylePr w:type="firstRow">
      <w:pPr>
        <w:spacing w:line="240" w:after="0" w:lineRule="auto" w:before="0"/>
      </w:pPr>
      <w:rPr>
        <w:b/>
        <w:bCs/>
        <w:color w:themeColor="background1" w:val="FFFFFF"/>
      </w:rPr>
      <w:tblPr/>
      <w:tcPr>
        <w:shd w:themeFill="accent1" w:fill="4F81BD" w:color="auto" w:val="clear"/>
      </w:tcPr>
    </w:tblStylePr>
    <w:tblStylePr w:type="lastRow">
      <w:pPr>
        <w:spacing w:line="240" w:after="0" w:lineRule="auto" w:before="0"/>
      </w:pPr>
      <w:rPr>
        <w:b/>
        <w:bCs/>
      </w:rPr>
      <w:tblPr/>
      <w:tcPr>
        <w:tcBorders>
          <w:top w:space="0" w:sz="6" w:themeColor="accent1" w:color="4F81BD" w:val="double"/>
          <w:left w:space="0" w:sz="8" w:themeColor="accent1" w:color="4F81BD" w:val="single"/>
          <w:bottom w:space="0" w:sz="8" w:themeColor="accent1" w:color="4F81BD" w:val="single"/>
          <w:right w:space="0" w:sz="8" w:themeColor="accent1" w:color="4F81BD" w:val="single"/>
        </w:tcBorders>
      </w:tcPr>
    </w:tblStylePr>
    <w:tblStylePr w:type="firstCol">
      <w:rPr>
        <w:b/>
        <w:bCs/>
      </w:rPr>
      <w:tblPr/>
    </w:tblStylePr>
    <w:tblStylePr w:type="lastCol">
      <w:rPr>
        <w:b/>
        <w:bCs/>
      </w:rPr>
      <w:tblPr/>
    </w:tblStylePr>
    <w:tblStylePr w:type="band1Vert">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tblStylePr w:type="band1Horz">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Relationship Id="rId16" Type="http://schemas.openxmlformats.org/officeDocument/2006/relationships/customXml" Target="../customXml/item2.xml"/><Relationship Id="rId17" Type="http://schemas.openxmlformats.org/officeDocument/2006/relationships/customXml" Target="../customXml/item3.xml"/><Relationship Id="rId18" Type="http://schemas.openxmlformats.org/officeDocument/2006/relationships/customXml" Target="../customXml/item4.xml"/>
</Relationships>
</file>

<file path=word/_rels/footnotes.xml.rels><?xml version="1.0" encoding="UTF-8"?>
<Relationships xmlns="http://schemas.openxmlformats.org/package/2006/relationships"><Relationship Id="rId1" Type="http://schemas.openxmlformats.org/officeDocument/2006/relationships/hyperlink" Target="http://www.nrdc.org/energy/files/relieving-pain-at-the-pump.pdf" TargetMode="External"/><Relationship Id="rId2" Type="http://schemas.openxmlformats.org/officeDocument/2006/relationships/hyperlink" Target="http://www.fueleconomy.gov/feg/evsbs.shtml" TargetMode="External"/><Relationship Id="rId3" Type="http://schemas.openxmlformats.org/officeDocument/2006/relationships/hyperlink" Target="http://electricdrive.org/index.php?ht=d/sp/i/20952/pid/20952" TargetMode="External"/><Relationship Id="rId4" Type="http://schemas.openxmlformats.org/officeDocument/2006/relationships/hyperlink" Target="http://electricdrive.org/index.php?ht=d/sp/i/20952/pid/20952" TargetMode="External"/><Relationship Id="rId5" Type="http://schemas.openxmlformats.org/officeDocument/2006/relationships/hyperlink" Target="http://www.edmunds.com/industry-center/commentary/upcoming-revenge-of-the-electric-car.html" TargetMode="External"/><Relationship Id="rId6" Type="http://schemas.openxmlformats.org/officeDocument/2006/relationships/hyperlink" Target="http://www.eia.gov/renewable/" TargetMode="External"/><Relationship Id="rId7" Type="http://schemas.openxmlformats.org/officeDocument/2006/relationships/hyperlink" Target="http://www1.eere.energy.gov/vehiclesandfuels/pdfs/1_million_electric_vehicles_rpt.pdf"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Pt>
            <c:idx val="8"/>
            <c:spPr>
              <a:solidFill>
                <a:srgbClr val="b8cd97"/>
              </a:solidFill>
              <a:ln>
                <a:noFill/>
              </a:ln>
            </c:spPr>
          </c:dPt>
          <c:dPt>
            <c:idx val="9"/>
            <c:spPr>
              <a:solidFill>
                <a:srgbClr val="a99bbd"/>
              </a:solidFill>
              <a:ln>
                <a:noFill/>
              </a:ln>
            </c:spPr>
          </c:dPt>
          <c:dLbls>
            <c:showLegendKey val="0"/>
            <c:showVal val="1"/>
            <c:showCatName val="1"/>
            <c:showSerName val="0"/>
            <c:showPercent val="0"/>
          </c:dLbls>
          <c:cat>
            <c:strRef>
              <c:f>categories</c:f>
              <c:strCache>
                <c:ptCount val="10"/>
                <c:pt idx="0">
                  <c:v>DC</c:v>
                </c:pt>
                <c:pt idx="1">
                  <c:v>AA</c:v>
                </c:pt>
                <c:pt idx="2">
                  <c:v>FRD</c:v>
                </c:pt>
                <c:pt idx="3">
                  <c:v>HW</c:v>
                </c:pt>
                <c:pt idx="4">
                  <c:v>MC</c:v>
                </c:pt>
                <c:pt idx="5">
                  <c:v>PG</c:v>
                </c:pt>
                <c:pt idx="6">
                  <c:v>ARL</c:v>
                </c:pt>
                <c:pt idx="7">
                  <c:v>FFX</c:v>
                </c:pt>
                <c:pt idx="8">
                  <c:v>LDN</c:v>
                </c:pt>
                <c:pt idx="9">
                  <c:v>ALX</c:v>
                </c:pt>
              </c:strCache>
            </c:strRef>
          </c:cat>
          <c:val>
            <c:numRef>
              <c:f>0</c:f>
              <c:numCache>
                <c:formatCode>General</c:formatCode>
                <c:ptCount val="10"/>
                <c:pt idx="0">
                  <c:v>13.17</c:v>
                </c:pt>
                <c:pt idx="1">
                  <c:v>3.59</c:v>
                </c:pt>
                <c:pt idx="2">
                  <c:v>7.25</c:v>
                </c:pt>
                <c:pt idx="3">
                  <c:v>1.4</c:v>
                </c:pt>
                <c:pt idx="4">
                  <c:v>58.61</c:v>
                </c:pt>
                <c:pt idx="5">
                  <c:v>1.56</c:v>
                </c:pt>
                <c:pt idx="6">
                  <c:v>5.05</c:v>
                </c:pt>
                <c:pt idx="7">
                  <c:v>6.4</c:v>
                </c:pt>
                <c:pt idx="8">
                  <c:v>2.2</c:v>
                </c:pt>
                <c:pt idx="9">
                  <c:v>0.78</c:v>
                </c:pt>
              </c:numCache>
            </c:numRef>
          </c:val>
        </c:ser>
        <c:firstSliceAng val="0"/>
      </c:pieChart>
      <c:spPr>
        <a:solidFill>
          <a:srgbClr val="ffffff"/>
        </a:solidFill>
        <a:ln>
          <a:noFill/>
        </a:ln>
      </c:spPr>
    </c:plotArea>
    <c:plotVisOnly val="1"/>
  </c:chart>
  <c:spPr>
    <a:noFill/>
    <a:ln>
      <a:solidFill>
        <a:srgbClr val="000000"/>
      </a:solid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chart>
    <c:plotArea>
      <c:layout/>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Pt>
            <c:idx val="8"/>
            <c:spPr>
              <a:solidFill>
                <a:srgbClr val="b8cd97"/>
              </a:solidFill>
              <a:ln>
                <a:noFill/>
              </a:ln>
            </c:spPr>
          </c:dPt>
          <c:dPt>
            <c:idx val="9"/>
            <c:spPr>
              <a:solidFill>
                <a:srgbClr val="a99bbd"/>
              </a:solidFill>
              <a:ln>
                <a:noFill/>
              </a:ln>
            </c:spPr>
          </c:dPt>
          <c:dLbls>
            <c:showLegendKey val="0"/>
            <c:showVal val="1"/>
            <c:showCatName val="1"/>
            <c:showSerName val="0"/>
            <c:showPercent val="0"/>
          </c:dLbls>
          <c:cat>
            <c:strRef>
              <c:f>categories</c:f>
              <c:strCache>
                <c:ptCount val="10"/>
                <c:pt idx="0">
                  <c:v>DC</c:v>
                </c:pt>
                <c:pt idx="1">
                  <c:v>AA</c:v>
                </c:pt>
                <c:pt idx="2">
                  <c:v>FRD</c:v>
                </c:pt>
                <c:pt idx="3">
                  <c:v>HW</c:v>
                </c:pt>
                <c:pt idx="4">
                  <c:v>MC</c:v>
                </c:pt>
                <c:pt idx="5">
                  <c:v>PG</c:v>
                </c:pt>
                <c:pt idx="6">
                  <c:v>ARL</c:v>
                </c:pt>
                <c:pt idx="7">
                  <c:v>FFX</c:v>
                </c:pt>
                <c:pt idx="8">
                  <c:v>LDN</c:v>
                </c:pt>
                <c:pt idx="9">
                  <c:v>ALX</c:v>
                </c:pt>
              </c:strCache>
            </c:strRef>
          </c:cat>
          <c:val>
            <c:numRef>
              <c:f>0</c:f>
              <c:numCache>
                <c:formatCode>General</c:formatCode>
                <c:ptCount val="10"/>
                <c:pt idx="0">
                  <c:v>13.17</c:v>
                </c:pt>
                <c:pt idx="1">
                  <c:v>3.59</c:v>
                </c:pt>
                <c:pt idx="2">
                  <c:v>7.25</c:v>
                </c:pt>
                <c:pt idx="3">
                  <c:v>1.4</c:v>
                </c:pt>
                <c:pt idx="4">
                  <c:v>58.61</c:v>
                </c:pt>
                <c:pt idx="5">
                  <c:v>1.56</c:v>
                </c:pt>
                <c:pt idx="6">
                  <c:v>5.05</c:v>
                </c:pt>
                <c:pt idx="7">
                  <c:v>6.4</c:v>
                </c:pt>
                <c:pt idx="8">
                  <c:v>2.2</c:v>
                </c:pt>
                <c:pt idx="9">
                  <c:v>0.78</c:v>
                </c:pt>
              </c:numCache>
            </c:numRef>
          </c:val>
        </c:ser>
        <c:firstSliceAng val="0"/>
      </c:pieChart>
      <c:spPr>
        <a:solidFill>
          <a:srgbClr val="ffffff"/>
        </a:solidFill>
        <a:ln>
          <a:noFill/>
        </a:ln>
      </c:spPr>
    </c:plotArea>
    <c:plotVisOnly val="1"/>
  </c:chart>
  <c:spPr>
    <a:noFill/>
    <a:ln>
      <a:solidFill>
        <a:srgbClr val="000000"/>
      </a:solid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stacked"/>
        <c:ser>
          <c:idx val="0"/>
          <c:order val="0"/>
          <c:tx>
            <c:strRef>
              <c:f>label 0</c:f>
              <c:strCache>
                <c:ptCount val="1"/>
                <c:pt idx="0">
                  <c:v>Single Family Detached</c:v>
                </c:pt>
              </c:strCache>
            </c:strRef>
          </c:tx>
          <c:spPr>
            <a:solidFill>
              <a:srgbClr val="4f81bd"/>
            </a:solidFill>
            <a:ln>
              <a:noFill/>
            </a:ln>
          </c:spPr>
          <c:cat>
            <c:strRef>
              <c:f>categories</c:f>
              <c:strCache>
                <c:ptCount val="8"/>
                <c:pt idx="0">
                  <c:v>DC</c:v>
                </c:pt>
                <c:pt idx="1">
                  <c:v>Arlington</c:v>
                </c:pt>
                <c:pt idx="2">
                  <c:v>Alexandria</c:v>
                </c:pt>
                <c:pt idx="3">
                  <c:v>Montgomery</c:v>
                </c:pt>
                <c:pt idx="4">
                  <c:v>Prince George's</c:v>
                </c:pt>
                <c:pt idx="5">
                  <c:v>Fairfax Co.</c:v>
                </c:pt>
                <c:pt idx="6">
                  <c:v>Loudoun</c:v>
                </c:pt>
                <c:pt idx="7">
                  <c:v>Prince William</c:v>
                </c:pt>
              </c:strCache>
            </c:strRef>
          </c:cat>
          <c:val>
            <c:numRef>
              <c:f>0</c:f>
              <c:numCache>
                <c:formatCode>General</c:formatCode>
                <c:ptCount val="8"/>
                <c:pt idx="0">
                  <c:v>0.337634956674855</c:v>
                </c:pt>
                <c:pt idx="1">
                  <c:v>0.504175698026569</c:v>
                </c:pt>
                <c:pt idx="2">
                  <c:v>0.286026088772108</c:v>
                </c:pt>
                <c:pt idx="3">
                  <c:v>0.737012894459279</c:v>
                </c:pt>
                <c:pt idx="4">
                  <c:v>0.727452257636995</c:v>
                </c:pt>
                <c:pt idx="5">
                  <c:v>0.680346406456238</c:v>
                </c:pt>
                <c:pt idx="6">
                  <c:v>0.659129948881393</c:v>
                </c:pt>
                <c:pt idx="7">
                  <c:v>0.762069698903174</c:v>
                </c:pt>
              </c:numCache>
            </c:numRef>
          </c:val>
        </c:ser>
        <c:ser>
          <c:idx val="1"/>
          <c:order val="1"/>
          <c:tx>
            <c:strRef>
              <c:f>label 1</c:f>
              <c:strCache>
                <c:ptCount val="1"/>
                <c:pt idx="0">
                  <c:v>Single Family Attached</c:v>
                </c:pt>
              </c:strCache>
            </c:strRef>
          </c:tx>
          <c:spPr>
            <a:solidFill>
              <a:srgbClr val="c0504d"/>
            </a:solidFill>
            <a:ln>
              <a:noFill/>
            </a:ln>
          </c:spPr>
          <c:cat>
            <c:strRef>
              <c:f>categories</c:f>
              <c:strCache>
                <c:ptCount val="8"/>
                <c:pt idx="0">
                  <c:v>DC</c:v>
                </c:pt>
                <c:pt idx="1">
                  <c:v>Arlington</c:v>
                </c:pt>
                <c:pt idx="2">
                  <c:v>Alexandria</c:v>
                </c:pt>
                <c:pt idx="3">
                  <c:v>Montgomery</c:v>
                </c:pt>
                <c:pt idx="4">
                  <c:v>Prince George's</c:v>
                </c:pt>
                <c:pt idx="5">
                  <c:v>Fairfax Co.</c:v>
                </c:pt>
                <c:pt idx="6">
                  <c:v>Loudoun</c:v>
                </c:pt>
                <c:pt idx="7">
                  <c:v>Prince William</c:v>
                </c:pt>
              </c:strCache>
            </c:strRef>
          </c:cat>
          <c:val>
            <c:numRef>
              <c:f>1</c:f>
              <c:numCache>
                <c:formatCode>General</c:formatCode>
                <c:ptCount val="8"/>
                <c:pt idx="0">
                  <c:v>0.306260908515206</c:v>
                </c:pt>
                <c:pt idx="1">
                  <c:v>0.123850342499377</c:v>
                </c:pt>
                <c:pt idx="2">
                  <c:v>0.259689732323676</c:v>
                </c:pt>
                <c:pt idx="3">
                  <c:v>0.141022181257266</c:v>
                </c:pt>
                <c:pt idx="4">
                  <c:v>0.114769017632715</c:v>
                </c:pt>
                <c:pt idx="5">
                  <c:v>0.194549441480429</c:v>
                </c:pt>
                <c:pt idx="6">
                  <c:v>0.241640969390923</c:v>
                </c:pt>
                <c:pt idx="7">
                  <c:v>0.153861189600868</c:v>
                </c:pt>
              </c:numCache>
            </c:numRef>
          </c:val>
        </c:ser>
        <c:ser>
          <c:idx val="2"/>
          <c:order val="2"/>
          <c:tx>
            <c:strRef>
              <c:f>label 2</c:f>
              <c:strCache>
                <c:ptCount val="1"/>
                <c:pt idx="0">
                  <c:v>Multi-Family</c:v>
                </c:pt>
              </c:strCache>
            </c:strRef>
          </c:tx>
          <c:spPr>
            <a:solidFill>
              <a:srgbClr val="9bbb59"/>
            </a:solidFill>
            <a:ln>
              <a:noFill/>
            </a:ln>
          </c:spPr>
          <c:cat>
            <c:strRef>
              <c:f>categories</c:f>
              <c:strCache>
                <c:ptCount val="8"/>
                <c:pt idx="0">
                  <c:v>DC</c:v>
                </c:pt>
                <c:pt idx="1">
                  <c:v>Arlington</c:v>
                </c:pt>
                <c:pt idx="2">
                  <c:v>Alexandria</c:v>
                </c:pt>
                <c:pt idx="3">
                  <c:v>Montgomery</c:v>
                </c:pt>
                <c:pt idx="4">
                  <c:v>Prince George's</c:v>
                </c:pt>
                <c:pt idx="5">
                  <c:v>Fairfax Co.</c:v>
                </c:pt>
                <c:pt idx="6">
                  <c:v>Loudoun</c:v>
                </c:pt>
                <c:pt idx="7">
                  <c:v>Prince William</c:v>
                </c:pt>
              </c:strCache>
            </c:strRef>
          </c:cat>
          <c:val>
            <c:numRef>
              <c:f>2</c:f>
              <c:numCache>
                <c:formatCode>General</c:formatCode>
                <c:ptCount val="8"/>
                <c:pt idx="0">
                  <c:v>0.350007336700493</c:v>
                </c:pt>
                <c:pt idx="1">
                  <c:v>0.37197622518107</c:v>
                </c:pt>
                <c:pt idx="2">
                  <c:v>0.454284178904218</c:v>
                </c:pt>
                <c:pt idx="3">
                  <c:v>0.121965399392494</c:v>
                </c:pt>
                <c:pt idx="4">
                  <c:v>0.155632312939856</c:v>
                </c:pt>
                <c:pt idx="5">
                  <c:v>0.11840072688221</c:v>
                </c:pt>
                <c:pt idx="6">
                  <c:v>0.0992332208861938</c:v>
                </c:pt>
                <c:pt idx="7">
                  <c:v>0.0831775353879083</c:v>
                </c:pt>
              </c:numCache>
            </c:numRef>
          </c:val>
        </c:ser>
        <c:gapWidth val="150"/>
        <c:overlap val="100"/>
        <c:axId val="96465435"/>
        <c:axId val="22584053"/>
      </c:barChart>
      <c:lineChart>
        <c:grouping val="stacked"/>
        <c:ser>
          <c:idx val="3"/>
          <c:order val="3"/>
          <c:tx>
            <c:strRef>
              <c:f>label 3</c:f>
              <c:strCache>
                <c:ptCount val="1"/>
                <c:pt idx="0">
                  <c:v>Own Home</c:v>
                </c:pt>
              </c:strCache>
            </c:strRef>
          </c:tx>
          <c:spPr>
            <a:solidFill>
              <a:srgbClr val="7d5fa0"/>
            </a:solidFill>
            <a:ln w="28440">
              <a:solidFill>
                <a:srgbClr val="7d5fa0"/>
              </a:solidFill>
              <a:round/>
            </a:ln>
          </c:spPr>
          <c:marker>
            <c:symbol val="square"/>
            <c:size val="5"/>
            <c:spPr>
              <a:solidFill>
                <a:srgbClr val="ee4000"/>
              </a:solidFill>
            </c:spPr>
          </c:marker>
          <c:dLbls>
            <c:showLegendKey val="0"/>
            <c:showVal val="0"/>
            <c:showCatName val="0"/>
            <c:showSerName val="0"/>
            <c:showPercent val="0"/>
          </c:dLbls>
          <c:cat>
            <c:strRef>
              <c:f>categories</c:f>
              <c:strCache>
                <c:ptCount val="8"/>
                <c:pt idx="0">
                  <c:v>DC</c:v>
                </c:pt>
                <c:pt idx="1">
                  <c:v>Arlington</c:v>
                </c:pt>
                <c:pt idx="2">
                  <c:v>Alexandria</c:v>
                </c:pt>
                <c:pt idx="3">
                  <c:v>Montgomery</c:v>
                </c:pt>
                <c:pt idx="4">
                  <c:v>Prince George's</c:v>
                </c:pt>
                <c:pt idx="5">
                  <c:v>Fairfax Co.</c:v>
                </c:pt>
                <c:pt idx="6">
                  <c:v>Loudoun</c:v>
                </c:pt>
                <c:pt idx="7">
                  <c:v>Prince William</c:v>
                </c:pt>
              </c:strCache>
            </c:strRef>
          </c:cat>
          <c:val>
            <c:numRef>
              <c:f>3</c:f>
              <c:numCache>
                <c:formatCode>General</c:formatCode>
                <c:ptCount val="8"/>
                <c:pt idx="0">
                  <c:v>0.5722</c:v>
                </c:pt>
                <c:pt idx="1">
                  <c:v>0.6054</c:v>
                </c:pt>
                <c:pt idx="2">
                  <c:v>0.636700000000003</c:v>
                </c:pt>
                <c:pt idx="3">
                  <c:v>0.817800000000001</c:v>
                </c:pt>
                <c:pt idx="4">
                  <c:v>0.742800000000003</c:v>
                </c:pt>
                <c:pt idx="5">
                  <c:v>0.820600000000003</c:v>
                </c:pt>
                <c:pt idx="6">
                  <c:v>0.8504</c:v>
                </c:pt>
                <c:pt idx="7">
                  <c:v>0.820000000000001</c:v>
                </c:pt>
              </c:numCache>
            </c:numRef>
          </c:val>
          <c:smooth val="0"/>
        </c:ser>
        <c:hiLowLines>
          <c:spPr>
            <a:ln>
              <a:noFill/>
            </a:ln>
          </c:spPr>
        </c:hiLowLines>
        <c:upDownBars>
          <c:gapWidth val="150"/>
          <c:upBars/>
          <c:downBars/>
        </c:upDownBars>
        <c:marker val="1"/>
        <c:axId val="68327129"/>
        <c:axId val="72546005"/>
      </c:lineChart>
      <c:catAx>
        <c:axId val="96465435"/>
        <c:scaling>
          <c:orientation val="minMax"/>
        </c:scaling>
        <c:delete val="0"/>
        <c:axPos val="b"/>
        <c:majorTickMark val="out"/>
        <c:minorTickMark val="none"/>
        <c:tickLblPos val="nextTo"/>
        <c:spPr>
          <a:ln w="9360">
            <a:solidFill>
              <a:srgbClr val="878787"/>
            </a:solidFill>
            <a:round/>
          </a:ln>
        </c:spPr>
        <c:crossAx val="22584053"/>
        <c:crosses val="autoZero"/>
        <c:auto val="1"/>
        <c:lblAlgn val="ctr"/>
        <c:lblOffset val="100"/>
      </c:catAx>
      <c:valAx>
        <c:axId val="22584053"/>
        <c:scaling>
          <c:orientation val="minMax"/>
          <c:max val="1"/>
        </c:scaling>
        <c:delete val="0"/>
        <c:axPos val="l"/>
        <c:majorGridlines>
          <c:spPr>
            <a:ln w="9360">
              <a:solidFill>
                <a:srgbClr val="878787"/>
              </a:solidFill>
              <a:round/>
            </a:ln>
          </c:spPr>
        </c:majorGridlines>
        <c:majorTickMark val="none"/>
        <c:minorTickMark val="none"/>
        <c:tickLblPos val="nextTo"/>
        <c:spPr>
          <a:ln w="9360">
            <a:solidFill>
              <a:srgbClr val="878787"/>
            </a:solidFill>
            <a:round/>
          </a:ln>
        </c:spPr>
        <c:crossAx val="96465435"/>
        <c:crosses val="autoZero"/>
      </c:valAx>
      <c:catAx>
        <c:axId val="68327129"/>
        <c:scaling>
          <c:orientation val="minMax"/>
        </c:scaling>
        <c:delete val="0"/>
        <c:axPos val="b"/>
        <c:majorTickMark val="out"/>
        <c:minorTickMark val="none"/>
        <c:tickLblPos val="nextTo"/>
        <c:spPr>
          <a:ln w="9360">
            <a:solidFill>
              <a:srgbClr val="878787"/>
            </a:solidFill>
            <a:round/>
          </a:ln>
        </c:spPr>
        <c:crossAx val="72546005"/>
        <c:crosses val="autoZero"/>
        <c:auto val="1"/>
        <c:lblAlgn val="ctr"/>
        <c:lblOffset val="100"/>
      </c:catAx>
      <c:valAx>
        <c:axId val="72546005"/>
        <c:scaling>
          <c:orientation val="minMax"/>
          <c:max val="1"/>
        </c:scaling>
        <c:delete val="0"/>
        <c:axPos val="l"/>
        <c:majorGridlines>
          <c:spPr>
            <a:ln w="9360">
              <a:solidFill>
                <a:srgbClr val="878787"/>
              </a:solidFill>
              <a:round/>
            </a:ln>
          </c:spPr>
        </c:majorGridlines>
        <c:majorTickMark val="none"/>
        <c:minorTickMark val="none"/>
        <c:tickLblPos val="nextTo"/>
        <c:spPr>
          <a:ln w="9360">
            <a:solidFill>
              <a:srgbClr val="878787"/>
            </a:solidFill>
            <a:round/>
          </a:ln>
        </c:spPr>
        <c:crossAx val="68327129"/>
        <c:crosses val="autoZero"/>
      </c:valAx>
      <c:spPr>
        <a:solidFill>
          <a:srgbClr val="ffffff"/>
        </a:solidFill>
        <a:ln>
          <a:noFill/>
        </a:ln>
      </c:spPr>
    </c:plotArea>
    <c:legend>
      <c:legendPos val="t"/>
      <c:overlay val="0"/>
      <c:spPr>
        <a:noFill/>
        <a:ln>
          <a:noFill/>
        </a:ln>
      </c:spPr>
    </c:legend>
    <c:plotVisOnly val="1"/>
  </c:chart>
  <c:spPr>
    <a:no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stacked"/>
        <c:ser>
          <c:idx val="0"/>
          <c:order val="0"/>
          <c:tx>
            <c:strRef>
              <c:f>label 0</c:f>
              <c:strCache>
                <c:ptCount val="1"/>
                <c:pt idx="0">
                  <c:v>Single Family Detached</c:v>
                </c:pt>
              </c:strCache>
            </c:strRef>
          </c:tx>
          <c:spPr>
            <a:solidFill>
              <a:srgbClr val="4f81bd"/>
            </a:solidFill>
            <a:ln>
              <a:noFill/>
            </a:ln>
          </c:spPr>
          <c:cat>
            <c:strRef>
              <c:f>categories</c:f>
              <c:strCache>
                <c:ptCount val="8"/>
                <c:pt idx="0">
                  <c:v>DC</c:v>
                </c:pt>
                <c:pt idx="1">
                  <c:v>Arlington</c:v>
                </c:pt>
                <c:pt idx="2">
                  <c:v>Alexandria</c:v>
                </c:pt>
                <c:pt idx="3">
                  <c:v>Montgomery</c:v>
                </c:pt>
                <c:pt idx="4">
                  <c:v>Prince George's</c:v>
                </c:pt>
                <c:pt idx="5">
                  <c:v>Fairfax Co.</c:v>
                </c:pt>
                <c:pt idx="6">
                  <c:v>Loudoun</c:v>
                </c:pt>
                <c:pt idx="7">
                  <c:v>Prince William</c:v>
                </c:pt>
              </c:strCache>
            </c:strRef>
          </c:cat>
          <c:val>
            <c:numRef>
              <c:f>0</c:f>
              <c:numCache>
                <c:formatCode>General</c:formatCode>
                <c:ptCount val="8"/>
                <c:pt idx="0">
                  <c:v>0.337634956674855</c:v>
                </c:pt>
                <c:pt idx="1">
                  <c:v>0.504175698026569</c:v>
                </c:pt>
                <c:pt idx="2">
                  <c:v>0.286026088772108</c:v>
                </c:pt>
                <c:pt idx="3">
                  <c:v>0.737012894459279</c:v>
                </c:pt>
                <c:pt idx="4">
                  <c:v>0.727452257636995</c:v>
                </c:pt>
                <c:pt idx="5">
                  <c:v>0.680346406456238</c:v>
                </c:pt>
                <c:pt idx="6">
                  <c:v>0.659129948881393</c:v>
                </c:pt>
                <c:pt idx="7">
                  <c:v>0.762069698903174</c:v>
                </c:pt>
              </c:numCache>
            </c:numRef>
          </c:val>
        </c:ser>
        <c:ser>
          <c:idx val="1"/>
          <c:order val="1"/>
          <c:tx>
            <c:strRef>
              <c:f>label 1</c:f>
              <c:strCache>
                <c:ptCount val="1"/>
                <c:pt idx="0">
                  <c:v>Single Family Attached</c:v>
                </c:pt>
              </c:strCache>
            </c:strRef>
          </c:tx>
          <c:spPr>
            <a:solidFill>
              <a:srgbClr val="c0504d"/>
            </a:solidFill>
            <a:ln>
              <a:noFill/>
            </a:ln>
          </c:spPr>
          <c:cat>
            <c:strRef>
              <c:f>categories</c:f>
              <c:strCache>
                <c:ptCount val="8"/>
                <c:pt idx="0">
                  <c:v>DC</c:v>
                </c:pt>
                <c:pt idx="1">
                  <c:v>Arlington</c:v>
                </c:pt>
                <c:pt idx="2">
                  <c:v>Alexandria</c:v>
                </c:pt>
                <c:pt idx="3">
                  <c:v>Montgomery</c:v>
                </c:pt>
                <c:pt idx="4">
                  <c:v>Prince George's</c:v>
                </c:pt>
                <c:pt idx="5">
                  <c:v>Fairfax Co.</c:v>
                </c:pt>
                <c:pt idx="6">
                  <c:v>Loudoun</c:v>
                </c:pt>
                <c:pt idx="7">
                  <c:v>Prince William</c:v>
                </c:pt>
              </c:strCache>
            </c:strRef>
          </c:cat>
          <c:val>
            <c:numRef>
              <c:f>1</c:f>
              <c:numCache>
                <c:formatCode>General</c:formatCode>
                <c:ptCount val="8"/>
                <c:pt idx="0">
                  <c:v>0.306260908515206</c:v>
                </c:pt>
                <c:pt idx="1">
                  <c:v>0.123850342499377</c:v>
                </c:pt>
                <c:pt idx="2">
                  <c:v>0.259689732323676</c:v>
                </c:pt>
                <c:pt idx="3">
                  <c:v>0.141022181257266</c:v>
                </c:pt>
                <c:pt idx="4">
                  <c:v>0.114769017632715</c:v>
                </c:pt>
                <c:pt idx="5">
                  <c:v>0.194549441480429</c:v>
                </c:pt>
                <c:pt idx="6">
                  <c:v>0.241640969390923</c:v>
                </c:pt>
                <c:pt idx="7">
                  <c:v>0.153861189600868</c:v>
                </c:pt>
              </c:numCache>
            </c:numRef>
          </c:val>
        </c:ser>
        <c:ser>
          <c:idx val="2"/>
          <c:order val="2"/>
          <c:tx>
            <c:strRef>
              <c:f>label 2</c:f>
              <c:strCache>
                <c:ptCount val="1"/>
                <c:pt idx="0">
                  <c:v>Multi-Family</c:v>
                </c:pt>
              </c:strCache>
            </c:strRef>
          </c:tx>
          <c:spPr>
            <a:solidFill>
              <a:srgbClr val="9bbb59"/>
            </a:solidFill>
            <a:ln>
              <a:noFill/>
            </a:ln>
          </c:spPr>
          <c:cat>
            <c:strRef>
              <c:f>categories</c:f>
              <c:strCache>
                <c:ptCount val="8"/>
                <c:pt idx="0">
                  <c:v>DC</c:v>
                </c:pt>
                <c:pt idx="1">
                  <c:v>Arlington</c:v>
                </c:pt>
                <c:pt idx="2">
                  <c:v>Alexandria</c:v>
                </c:pt>
                <c:pt idx="3">
                  <c:v>Montgomery</c:v>
                </c:pt>
                <c:pt idx="4">
                  <c:v>Prince George's</c:v>
                </c:pt>
                <c:pt idx="5">
                  <c:v>Fairfax Co.</c:v>
                </c:pt>
                <c:pt idx="6">
                  <c:v>Loudoun</c:v>
                </c:pt>
                <c:pt idx="7">
                  <c:v>Prince William</c:v>
                </c:pt>
              </c:strCache>
            </c:strRef>
          </c:cat>
          <c:val>
            <c:numRef>
              <c:f>2</c:f>
              <c:numCache>
                <c:formatCode>General</c:formatCode>
                <c:ptCount val="8"/>
                <c:pt idx="0">
                  <c:v>0.350007336700493</c:v>
                </c:pt>
                <c:pt idx="1">
                  <c:v>0.37197622518107</c:v>
                </c:pt>
                <c:pt idx="2">
                  <c:v>0.454284178904218</c:v>
                </c:pt>
                <c:pt idx="3">
                  <c:v>0.121965399392494</c:v>
                </c:pt>
                <c:pt idx="4">
                  <c:v>0.155632312939856</c:v>
                </c:pt>
                <c:pt idx="5">
                  <c:v>0.11840072688221</c:v>
                </c:pt>
                <c:pt idx="6">
                  <c:v>0.0992332208861938</c:v>
                </c:pt>
                <c:pt idx="7">
                  <c:v>0.0831775353879083</c:v>
                </c:pt>
              </c:numCache>
            </c:numRef>
          </c:val>
        </c:ser>
        <c:gapWidth val="150"/>
        <c:overlap val="100"/>
        <c:axId val="25248980"/>
        <c:axId val="17372538"/>
      </c:barChart>
      <c:lineChart>
        <c:grouping val="stacked"/>
        <c:ser>
          <c:idx val="3"/>
          <c:order val="3"/>
          <c:tx>
            <c:strRef>
              <c:f>label 3</c:f>
              <c:strCache>
                <c:ptCount val="1"/>
                <c:pt idx="0">
                  <c:v>Own Home</c:v>
                </c:pt>
              </c:strCache>
            </c:strRef>
          </c:tx>
          <c:spPr>
            <a:solidFill>
              <a:srgbClr val="7d5fa0"/>
            </a:solidFill>
            <a:ln w="28440">
              <a:solidFill>
                <a:srgbClr val="7d5fa0"/>
              </a:solidFill>
              <a:round/>
            </a:ln>
          </c:spPr>
          <c:marker>
            <c:symbol val="square"/>
            <c:size val="5"/>
            <c:spPr>
              <a:solidFill>
                <a:srgbClr val="ee4000"/>
              </a:solidFill>
            </c:spPr>
          </c:marker>
          <c:dLbls>
            <c:showLegendKey val="0"/>
            <c:showVal val="0"/>
            <c:showCatName val="0"/>
            <c:showSerName val="0"/>
            <c:showPercent val="0"/>
          </c:dLbls>
          <c:cat>
            <c:strRef>
              <c:f>categories</c:f>
              <c:strCache>
                <c:ptCount val="8"/>
                <c:pt idx="0">
                  <c:v>DC</c:v>
                </c:pt>
                <c:pt idx="1">
                  <c:v>Arlington</c:v>
                </c:pt>
                <c:pt idx="2">
                  <c:v>Alexandria</c:v>
                </c:pt>
                <c:pt idx="3">
                  <c:v>Montgomery</c:v>
                </c:pt>
                <c:pt idx="4">
                  <c:v>Prince George's</c:v>
                </c:pt>
                <c:pt idx="5">
                  <c:v>Fairfax Co.</c:v>
                </c:pt>
                <c:pt idx="6">
                  <c:v>Loudoun</c:v>
                </c:pt>
                <c:pt idx="7">
                  <c:v>Prince William</c:v>
                </c:pt>
              </c:strCache>
            </c:strRef>
          </c:cat>
          <c:val>
            <c:numRef>
              <c:f>3</c:f>
              <c:numCache>
                <c:formatCode>General</c:formatCode>
                <c:ptCount val="8"/>
                <c:pt idx="0">
                  <c:v>0.5722</c:v>
                </c:pt>
                <c:pt idx="1">
                  <c:v>0.6054</c:v>
                </c:pt>
                <c:pt idx="2">
                  <c:v>0.636700000000003</c:v>
                </c:pt>
                <c:pt idx="3">
                  <c:v>0.817800000000001</c:v>
                </c:pt>
                <c:pt idx="4">
                  <c:v>0.742800000000003</c:v>
                </c:pt>
                <c:pt idx="5">
                  <c:v>0.820600000000003</c:v>
                </c:pt>
                <c:pt idx="6">
                  <c:v>0.8504</c:v>
                </c:pt>
                <c:pt idx="7">
                  <c:v>0.820000000000001</c:v>
                </c:pt>
              </c:numCache>
            </c:numRef>
          </c:val>
          <c:smooth val="0"/>
        </c:ser>
        <c:hiLowLines>
          <c:spPr>
            <a:ln>
              <a:noFill/>
            </a:ln>
          </c:spPr>
        </c:hiLowLines>
        <c:upDownBars>
          <c:gapWidth val="150"/>
          <c:upBars/>
          <c:downBars/>
        </c:upDownBars>
        <c:marker val="1"/>
        <c:axId val="36506171"/>
        <c:axId val="32882091"/>
      </c:lineChart>
      <c:catAx>
        <c:axId val="25248980"/>
        <c:scaling>
          <c:orientation val="minMax"/>
        </c:scaling>
        <c:delete val="0"/>
        <c:axPos val="b"/>
        <c:majorTickMark val="out"/>
        <c:minorTickMark val="none"/>
        <c:tickLblPos val="nextTo"/>
        <c:spPr>
          <a:ln w="9360">
            <a:solidFill>
              <a:srgbClr val="878787"/>
            </a:solidFill>
            <a:round/>
          </a:ln>
        </c:spPr>
        <c:crossAx val="17372538"/>
        <c:crosses val="autoZero"/>
        <c:auto val="1"/>
        <c:lblAlgn val="ctr"/>
        <c:lblOffset val="100"/>
      </c:catAx>
      <c:valAx>
        <c:axId val="17372538"/>
        <c:scaling>
          <c:orientation val="minMax"/>
          <c:max val="1"/>
        </c:scaling>
        <c:delete val="0"/>
        <c:axPos val="l"/>
        <c:majorGridlines>
          <c:spPr>
            <a:ln w="9360">
              <a:solidFill>
                <a:srgbClr val="878787"/>
              </a:solidFill>
              <a:round/>
            </a:ln>
          </c:spPr>
        </c:majorGridlines>
        <c:majorTickMark val="none"/>
        <c:minorTickMark val="none"/>
        <c:tickLblPos val="nextTo"/>
        <c:spPr>
          <a:ln w="9360">
            <a:solidFill>
              <a:srgbClr val="878787"/>
            </a:solidFill>
            <a:round/>
          </a:ln>
        </c:spPr>
        <c:crossAx val="25248980"/>
        <c:crosses val="autoZero"/>
      </c:valAx>
      <c:catAx>
        <c:axId val="36506171"/>
        <c:scaling>
          <c:orientation val="minMax"/>
        </c:scaling>
        <c:delete val="0"/>
        <c:axPos val="b"/>
        <c:majorTickMark val="out"/>
        <c:minorTickMark val="none"/>
        <c:tickLblPos val="nextTo"/>
        <c:spPr>
          <a:ln w="9360">
            <a:solidFill>
              <a:srgbClr val="878787"/>
            </a:solidFill>
            <a:round/>
          </a:ln>
        </c:spPr>
        <c:crossAx val="32882091"/>
        <c:crosses val="autoZero"/>
        <c:auto val="1"/>
        <c:lblAlgn val="ctr"/>
        <c:lblOffset val="100"/>
      </c:catAx>
      <c:valAx>
        <c:axId val="32882091"/>
        <c:scaling>
          <c:orientation val="minMax"/>
          <c:max val="1"/>
        </c:scaling>
        <c:delete val="0"/>
        <c:axPos val="l"/>
        <c:majorGridlines>
          <c:spPr>
            <a:ln w="9360">
              <a:solidFill>
                <a:srgbClr val="878787"/>
              </a:solidFill>
              <a:round/>
            </a:ln>
          </c:spPr>
        </c:majorGridlines>
        <c:majorTickMark val="none"/>
        <c:minorTickMark val="none"/>
        <c:tickLblPos val="nextTo"/>
        <c:spPr>
          <a:ln w="9360">
            <a:solidFill>
              <a:srgbClr val="878787"/>
            </a:solidFill>
            <a:round/>
          </a:ln>
        </c:spPr>
        <c:crossAx val="36506171"/>
        <c:crosses val="autoZero"/>
      </c:valAx>
      <c:spPr>
        <a:solidFill>
          <a:srgbClr val="ffffff"/>
        </a:solidFill>
        <a:ln>
          <a:noFill/>
        </a:ln>
      </c:spPr>
    </c:plotArea>
    <c:legend>
      <c:legendPos val="t"/>
      <c:overlay val="0"/>
      <c:spPr>
        <a:noFill/>
        <a:ln>
          <a:noFill/>
        </a:ln>
      </c:spPr>
    </c:legend>
    <c:plotVisOnly val="1"/>
  </c:chart>
  <c:spPr>
    <a:noFill/>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12C434B375B1459914D426475E6043" ma:contentTypeVersion="0" ma:contentTypeDescription="Create a new document." ma:contentTypeScope="" ma:versionID="25895d401e6ba634c4063d19550b525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B7718E-41F5-41D6-B7B2-6E50B8F52C55}"/>
</file>

<file path=customXml/itemProps2.xml><?xml version="1.0" encoding="utf-8"?>
<ds:datastoreItem xmlns:ds="http://schemas.openxmlformats.org/officeDocument/2006/customXml" ds:itemID="{06E9D1B5-88B0-4848-9D0E-A69D389D05F1}"/>
</file>

<file path=customXml/itemProps3.xml><?xml version="1.0" encoding="utf-8"?>
<ds:datastoreItem xmlns:ds="http://schemas.openxmlformats.org/officeDocument/2006/customXml" ds:itemID="{75ED4068-FFE4-462E-9F06-120043663A2F}"/>
</file>

<file path=customXml/itemProps4.xml><?xml version="1.0" encoding="utf-8"?>
<ds:datastoreItem xmlns:ds="http://schemas.openxmlformats.org/officeDocument/2006/customXml" ds:itemID="{94A70D2D-E7ED-434A-9CD1-DD98DED8EC36}"/>
</file>

<file path=docProps/app.xml><?xml version="1.0" encoding="utf-8"?>
<Properties xmlns="http://schemas.openxmlformats.org/officeDocument/2006/extended-properties" xmlns:vt="http://schemas.openxmlformats.org/officeDocument/2006/docPropsVTypes">
  <Template>Normal.dotm</Template>
  <TotalTime>4</TotalTime>
  <Application>Microsoft Office Word</Application>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2012-06-01T19:18:00Z</dcterms:created>
  <dc:creator>Jeffrey King</dc:creator>
  <dc:language>en-IN</dc:language>
  <cp:lastModifiedBy>jrohlfs</cp:lastModifiedBy>
  <cp:lastPrinted>2012-05-25T18:33:00Z</cp:lastPrinted>
  <dcterms:modified xsi:type="dcterms:W3CDTF">2012-06-01T19:28:00Z</dcterms:modified>
  <cp:revision>3</cp:revision>
</cp:coreProperties>
</file>