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721" w:tblpY="433"/>
        <w:tblOverlap w:val="never"/>
        <w:tblW w:w="10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0"/>
        <w:gridCol w:w="4500"/>
      </w:tblGrid>
      <w:tr>
        <w:trPr>
          <w:cantSplit/>
          <w:trHeight w:val="331" w:hRule="atLeast"/>
        </w:trPr>
        <w:tc>
          <w:tcPr>
            <w:tcW w:w="6300" w:type="dxa"/>
            <w:vAlign w:val="top"/>
          </w:tcPr>
          <w:p>
            <w:pPr>
              <w:pageBreakBefore/>
            </w:pPr>
            <w:bookmarkStart w:id="3" w:name="_GoBack"/>
            <w:bookmarkEnd w:id="3"/>
            <w:r>
              <w:rPr>
                <w:rFonts w:ascii="Segoe UI" w:hAnsi="Segoe UI" w:eastAsia="Segoe UI"/>
                <w:sz w:val="20"/>
                <w:szCs w:val="22"/>
                <w:lang w:bidi="ar-SA"/>
              </w:rPr>
              <w:pict>
                <v:shape id="Picture 0" o:spid="_x0000_s1025" type="#_x0000_t75" style="position:absolute;left:0;margin-left:-9.95pt;margin-top:-0.9pt;height:112.7pt;width:561.35pt;mso-position-horizontal-relative:page;mso-position-vertical-relative:page;rotation:0f;z-index:-251658240;" o:ole="f" fillcolor="#FFFFFF" filled="f" o:preferrelative="t" stroked="f" coordorigin="0,0" coordsize="21600,21600" o:allowincell="f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anchorlock/>
                </v:shape>
              </w:pict>
            </w:r>
          </w:p>
        </w:tc>
        <w:tc>
          <w:tcPr>
            <w:tcW w:w="4500" w:type="dxa"/>
            <w:vAlign w:val="top"/>
          </w:tcPr>
          <w:p>
            <w:pPr>
              <w:rPr>
                <w:sz w:val="20"/>
              </w:rPr>
            </w:pPr>
          </w:p>
        </w:tc>
      </w:tr>
      <w:tr>
        <w:trPr>
          <w:cantSplit/>
          <w:trHeight w:val="1728" w:hRule="atLeast"/>
        </w:trPr>
        <w:tc>
          <w:tcPr>
            <w:tcW w:w="6300" w:type="dxa"/>
            <w:vAlign w:val="top"/>
          </w:tcPr>
          <w:p>
            <w:pPr>
              <w:pStyle w:val="41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Как правильно лицензировать операционную систему </w:t>
            </w:r>
            <w:r>
              <w:t>Windows</w:t>
            </w:r>
            <w:r>
              <w:rPr>
                <w:sz w:val="20"/>
                <w:lang/>
              </w:rPr>
              <w:t xml:space="preserve"> 8 - основные требования лицензий</w:t>
            </w:r>
          </w:p>
        </w:tc>
        <w:tc>
          <w:tcPr>
            <w:tcW w:w="4500" w:type="dxa"/>
            <w:vAlign w:val="top"/>
          </w:tcPr>
          <w:p>
            <w:pPr>
              <w:pStyle w:val="41"/>
              <w:rPr>
                <w:sz w:val="20"/>
                <w:lang/>
              </w:rPr>
            </w:pPr>
          </w:p>
        </w:tc>
      </w:tr>
    </w:tbl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 w:line="36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Документ отвечает на базовые вопросы российских клиентов и партнёров корпорации Microsoft по лицензированию </w:t>
      </w:r>
      <w:r>
        <w:rPr>
          <w:rFonts w:eastAsia="Times New Roman" w:cs="Times New Roman"/>
          <w:color w:val="505050"/>
          <w:szCs w:val="20"/>
        </w:rPr>
        <w:t>Windows</w:t>
      </w:r>
      <w:r>
        <w:rPr>
          <w:rFonts w:eastAsia="Times New Roman" w:cs="Times New Roman"/>
          <w:color w:val="505050"/>
          <w:szCs w:val="20"/>
          <w:lang/>
        </w:rPr>
        <w:t xml:space="preserve"> 8</w:t>
      </w:r>
      <w:r>
        <w:rPr>
          <w:rFonts w:eastAsia="Times New Roman" w:cs="Times New Roman"/>
          <w:b/>
          <w:color w:val="505050"/>
          <w:szCs w:val="20"/>
          <w:lang/>
        </w:rPr>
        <w:t xml:space="preserve"> </w:t>
      </w:r>
      <w:r>
        <w:rPr>
          <w:rFonts w:eastAsia="Times New Roman" w:cs="Times New Roman"/>
          <w:color w:val="505050"/>
          <w:szCs w:val="20"/>
          <w:lang/>
        </w:rPr>
        <w:t>для настольных персональных компьютеров (ПК)</w:t>
      </w:r>
      <w:r>
        <w:rPr>
          <w:rFonts w:eastAsia="Times New Roman" w:cs="Times New Roman"/>
          <w:b/>
          <w:bCs/>
          <w:color w:val="505050"/>
          <w:szCs w:val="20"/>
          <w:lang/>
        </w:rPr>
        <w:t xml:space="preserve"> </w:t>
      </w:r>
      <w:r>
        <w:rPr>
          <w:rFonts w:eastAsia="Times New Roman" w:cs="Times New Roman"/>
          <w:color w:val="505050"/>
          <w:szCs w:val="20"/>
          <w:lang/>
        </w:rPr>
        <w:t>и содержит рекомендации, основанные на требованиях лицензионных соглашений корпорации Microsoft по вопросам:</w:t>
      </w:r>
    </w:p>
    <w:p>
      <w:pPr>
        <w:pStyle w:val="25"/>
        <w:numPr>
          <w:ilvl w:val="0"/>
          <w:numId w:val="2"/>
        </w:numPr>
        <w:spacing w:after="120" w:line="36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Как правильно выбрать вид лицензии </w:t>
      </w:r>
      <w:r>
        <w:rPr>
          <w:rFonts w:eastAsia="Times New Roman" w:cs="Times New Roman"/>
          <w:color w:val="505050"/>
          <w:szCs w:val="20"/>
        </w:rPr>
        <w:t>Windows</w:t>
      </w:r>
      <w:r>
        <w:rPr>
          <w:rFonts w:eastAsia="Times New Roman" w:cs="Times New Roman"/>
          <w:color w:val="505050"/>
          <w:szCs w:val="20"/>
          <w:lang/>
        </w:rPr>
        <w:t xml:space="preserve"> 8 для новых и уже используемых ПК? </w:t>
      </w:r>
    </w:p>
    <w:p>
      <w:pPr>
        <w:pStyle w:val="25"/>
        <w:numPr>
          <w:ilvl w:val="0"/>
          <w:numId w:val="2"/>
        </w:numPr>
        <w:spacing w:after="120" w:line="36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Что является подтверждением прав пользователя на использование уже установленной </w:t>
      </w:r>
      <w:r>
        <w:rPr>
          <w:rFonts w:eastAsia="Times New Roman" w:cs="Times New Roman"/>
          <w:color w:val="505050"/>
          <w:szCs w:val="20"/>
        </w:rPr>
        <w:t>Windows</w:t>
      </w:r>
      <w:r>
        <w:rPr>
          <w:rFonts w:eastAsia="Times New Roman" w:cs="Times New Roman"/>
          <w:color w:val="505050"/>
          <w:szCs w:val="20"/>
          <w:lang/>
        </w:rPr>
        <w:t xml:space="preserve"> 8? </w:t>
      </w:r>
    </w:p>
    <w:p>
      <w:pPr>
        <w:pStyle w:val="25"/>
        <w:numPr>
          <w:ilvl w:val="0"/>
          <w:numId w:val="2"/>
        </w:numPr>
        <w:spacing w:after="120" w:line="36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Как проверить подлинность установленной копии </w:t>
      </w:r>
      <w:r>
        <w:rPr>
          <w:rFonts w:eastAsia="Times New Roman" w:cs="Times New Roman"/>
          <w:color w:val="505050"/>
          <w:szCs w:val="20"/>
        </w:rPr>
        <w:t>Windows</w:t>
      </w:r>
      <w:r>
        <w:rPr>
          <w:rFonts w:eastAsia="Times New Roman" w:cs="Times New Roman"/>
          <w:color w:val="505050"/>
          <w:szCs w:val="20"/>
          <w:lang/>
        </w:rPr>
        <w:t xml:space="preserve"> 8?</w:t>
      </w: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Документ </w:t>
      </w:r>
      <w:r>
        <w:rPr>
          <w:rFonts w:eastAsia="Times New Roman" w:cs="Times New Roman"/>
          <w:b/>
          <w:color w:val="505050"/>
          <w:szCs w:val="20"/>
          <w:lang/>
        </w:rPr>
        <w:t>не содержит</w:t>
      </w:r>
      <w:r>
        <w:rPr>
          <w:rFonts w:eastAsia="Times New Roman" w:cs="Times New Roman"/>
          <w:color w:val="505050"/>
          <w:szCs w:val="20"/>
          <w:lang/>
        </w:rPr>
        <w:t xml:space="preserve"> информацию о правилах использования, характеристиках версий, видах и возможностях программ корпоративного лицензирования и </w:t>
      </w:r>
      <w:r>
        <w:rPr>
          <w:rFonts w:eastAsia="Times New Roman" w:cs="Times New Roman"/>
          <w:color w:val="505050"/>
          <w:szCs w:val="20"/>
        </w:rPr>
        <w:t>Software</w:t>
      </w:r>
      <w:r>
        <w:rPr>
          <w:rFonts w:eastAsia="Times New Roman" w:cs="Times New Roman"/>
          <w:color w:val="505050"/>
          <w:szCs w:val="20"/>
          <w:lang/>
        </w:rPr>
        <w:t xml:space="preserve"> </w:t>
      </w:r>
      <w:r>
        <w:rPr>
          <w:rFonts w:eastAsia="Times New Roman" w:cs="Times New Roman"/>
          <w:color w:val="505050"/>
          <w:szCs w:val="20"/>
        </w:rPr>
        <w:t>Assurance</w:t>
      </w:r>
      <w:r>
        <w:rPr>
          <w:rFonts w:eastAsia="Times New Roman" w:cs="Times New Roman"/>
          <w:color w:val="505050"/>
          <w:szCs w:val="20"/>
          <w:lang/>
        </w:rPr>
        <w:t>.</w:t>
      </w: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Основанием данных рекомендаций являются документы корпорации Microsoft, действительные на март 2013 года. Они могут быть изменены. Актуальная информация доступна в лицензионных соглашениях, на сайте </w:t>
      </w:r>
      <w:r>
        <w:fldChar w:fldCharType="begin"/>
      </w:r>
      <w:r>
        <w:instrText xml:space="preserve">HYPERLINK "http://www.microsoft.com/rus"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www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microsoft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com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rus</w:t>
      </w:r>
      <w:r>
        <w:fldChar w:fldCharType="end"/>
      </w:r>
      <w:r>
        <w:rPr>
          <w:rFonts w:eastAsia="Times New Roman" w:cs="Times New Roman"/>
          <w:b/>
          <w:bCs/>
          <w:color w:val="505050"/>
          <w:szCs w:val="20"/>
          <w:lang/>
        </w:rPr>
        <w:t xml:space="preserve"> </w:t>
      </w:r>
      <w:r>
        <w:rPr>
          <w:rFonts w:eastAsia="Times New Roman" w:cs="Times New Roman"/>
          <w:color w:val="505050"/>
          <w:szCs w:val="20"/>
          <w:lang/>
        </w:rPr>
        <w:t xml:space="preserve"> и в партнёрских разделах сайта.</w:t>
      </w: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keepNext/>
        <w:numPr>
          <w:ilvl w:val="0"/>
          <w:numId w:val="3"/>
        </w:numPr>
        <w:spacing w:before="480" w:after="160" w:line="420" w:lineRule="exact"/>
        <w:outlineLvl w:val="0"/>
        <w:rPr>
          <w:rFonts w:ascii="Segoe UI Light" w:hAnsi="Segoe UI Light" w:eastAsia="Times New Roman" w:cs="Times New Roman"/>
          <w:b/>
          <w:bCs/>
          <w:color w:val="68217A"/>
          <w:kern w:val="36"/>
          <w:sz w:val="36"/>
          <w:szCs w:val="20"/>
          <w:lang/>
        </w:rPr>
      </w:pPr>
      <w:r>
        <w:rPr>
          <w:rFonts w:ascii="Segoe UI Light" w:hAnsi="Segoe UI Light" w:eastAsia="Times New Roman" w:cs="Times New Roman"/>
          <w:bCs/>
          <w:color w:val="68217A"/>
          <w:kern w:val="36"/>
          <w:sz w:val="36"/>
          <w:szCs w:val="20"/>
          <w:lang/>
        </w:rPr>
        <w:t>Выбор лицензии операционной системы Windows 8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Существует 2 типа лицензий:  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</w:p>
    <w:p>
      <w:pPr>
        <w:pStyle w:val="25"/>
        <w:numPr>
          <w:ilvl w:val="0"/>
          <w:numId w:val="4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b/>
          <w:bCs/>
          <w:color w:val="505050"/>
          <w:szCs w:val="20"/>
          <w:lang/>
        </w:rPr>
        <w:t>Полная или базовая лицензия</w:t>
      </w:r>
      <w:r>
        <w:rPr>
          <w:rFonts w:eastAsia="Times New Roman" w:cs="Times New Roman"/>
          <w:b/>
          <w:color w:val="505050"/>
          <w:szCs w:val="20"/>
          <w:lang/>
        </w:rPr>
        <w:t xml:space="preserve"> </w:t>
      </w:r>
      <w:r>
        <w:rPr>
          <w:rFonts w:eastAsia="Times New Roman" w:cs="Times New Roman"/>
          <w:color w:val="505050"/>
          <w:szCs w:val="20"/>
          <w:lang/>
        </w:rPr>
        <w:t xml:space="preserve">всегда должна присутствовать на ПК с </w:t>
      </w:r>
      <w:r>
        <w:rPr>
          <w:rFonts w:eastAsia="Times New Roman" w:cs="Times New Roman"/>
          <w:color w:val="505050"/>
          <w:szCs w:val="20"/>
        </w:rPr>
        <w:t>Windows</w:t>
      </w:r>
      <w:r>
        <w:rPr>
          <w:rFonts w:eastAsia="Times New Roman" w:cs="Times New Roman"/>
          <w:color w:val="505050"/>
          <w:szCs w:val="20"/>
          <w:lang/>
        </w:rPr>
        <w:t xml:space="preserve">. Наличие полной лицензии подтверждается наклейкой-сертификатом СОА на системном блоке или внутри коробки лицензионной операционной системы (ОС) Windows или наклейкой подлинности </w:t>
      </w:r>
      <w:r>
        <w:rPr>
          <w:rFonts w:eastAsia="Times New Roman" w:cs="Times New Roman"/>
          <w:color w:val="505050"/>
          <w:szCs w:val="20"/>
        </w:rPr>
        <w:t>GML</w:t>
      </w:r>
      <w:r>
        <w:rPr>
          <w:rFonts w:eastAsia="Times New Roman" w:cs="Times New Roman"/>
          <w:color w:val="505050"/>
          <w:szCs w:val="20"/>
          <w:lang/>
        </w:rPr>
        <w:t>. Организациям необходимо иметь документы, подтверждающие покупку лицензий.</w:t>
      </w:r>
    </w:p>
    <w:p>
      <w:pPr>
        <w:pStyle w:val="25"/>
        <w:numPr>
          <w:ilvl w:val="0"/>
          <w:numId w:val="4"/>
        </w:numPr>
        <w:spacing w:after="120"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b/>
          <w:bCs/>
          <w:color w:val="505050"/>
          <w:szCs w:val="20"/>
          <w:lang/>
        </w:rPr>
        <w:t>Лицензия на обновление</w:t>
      </w:r>
      <w:r>
        <w:rPr>
          <w:rFonts w:eastAsia="Times New Roman" w:cs="Times New Roman"/>
          <w:color w:val="505050"/>
          <w:szCs w:val="20"/>
          <w:lang/>
        </w:rPr>
        <w:t xml:space="preserve">, которая позволяет обновить полную лицензию до новой или более функциональной версии </w:t>
      </w:r>
      <w:r>
        <w:rPr>
          <w:rFonts w:eastAsia="Times New Roman" w:cs="Times New Roman"/>
          <w:color w:val="505050"/>
          <w:szCs w:val="20"/>
        </w:rPr>
        <w:t>Windows</w:t>
      </w:r>
      <w:r>
        <w:rPr>
          <w:rFonts w:eastAsia="Times New Roman" w:cs="Times New Roman"/>
          <w:color w:val="505050"/>
          <w:szCs w:val="20"/>
          <w:lang/>
        </w:rPr>
        <w:t>. Таким образом, для установки обновления до Windows 8 или W</w:t>
      </w:r>
      <w:r>
        <w:rPr>
          <w:rFonts w:eastAsia="Times New Roman" w:cs="Times New Roman"/>
          <w:color w:val="505050"/>
          <w:szCs w:val="20"/>
        </w:rPr>
        <w:t>indows</w:t>
      </w:r>
      <w:r>
        <w:rPr>
          <w:rFonts w:eastAsia="Times New Roman" w:cs="Times New Roman"/>
          <w:color w:val="505050"/>
          <w:szCs w:val="20"/>
          <w:lang/>
        </w:rPr>
        <w:t xml:space="preserve"> 8 Профессиональная, на ПК уже должна быть установлена </w:t>
      </w:r>
      <w:r>
        <w:rPr>
          <w:rFonts w:eastAsia="Times New Roman" w:cs="Times New Roman"/>
          <w:color w:val="505050"/>
          <w:szCs w:val="20"/>
          <w:u w:val="single"/>
          <w:lang/>
        </w:rPr>
        <w:t>лицензионная</w:t>
      </w:r>
      <w:r>
        <w:rPr>
          <w:rFonts w:eastAsia="Times New Roman" w:cs="Times New Roman"/>
          <w:color w:val="505050"/>
          <w:szCs w:val="20"/>
          <w:lang/>
        </w:rPr>
        <w:t xml:space="preserve"> Windows XP SP3, Windows Vista или Windows 7. </w:t>
      </w:r>
    </w:p>
    <w:p>
      <w:pPr>
        <w:keepNext/>
        <w:keepLines/>
        <w:spacing w:before="240" w:line="240" w:lineRule="auto"/>
        <w:outlineLvl w:val="2"/>
        <w:rPr>
          <w:b/>
          <w:bCs/>
          <w:sz w:val="20"/>
          <w:szCs w:val="26"/>
          <w:lang/>
        </w:rPr>
      </w:pPr>
    </w:p>
    <w:p>
      <w:pPr>
        <w:keepNext/>
        <w:keepLines/>
        <w:spacing w:before="240" w:line="260" w:lineRule="atLeast"/>
        <w:outlineLvl w:val="2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 xml:space="preserve">1.1 Сценарии приобретения ОС </w:t>
      </w:r>
      <w:r>
        <w:rPr>
          <w:b/>
          <w:bCs/>
          <w:sz w:val="20"/>
          <w:szCs w:val="26"/>
        </w:rPr>
        <w:t>Windows</w:t>
      </w:r>
      <w:r>
        <w:rPr>
          <w:b/>
          <w:bCs/>
          <w:sz w:val="20"/>
          <w:szCs w:val="26"/>
          <w:lang/>
        </w:rPr>
        <w:t xml:space="preserve"> 8 для нового компьютера</w:t>
      </w: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</w:p>
    <w:p>
      <w:pPr>
        <w:pStyle w:val="25"/>
        <w:numPr>
          <w:ilvl w:val="0"/>
          <w:numId w:val="5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Оптимальным и наиболее экономичным вариантом приобретения является лицензионная OEM-версия Windows 8, предустановленная сборщиком систем и поставляемая вместе с новым компьютером. </w:t>
      </w:r>
    </w:p>
    <w:p>
      <w:pPr>
        <w:pStyle w:val="25"/>
        <w:numPr>
          <w:ilvl w:val="0"/>
          <w:numId w:val="5"/>
        </w:numPr>
        <w:spacing w:after="120"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Если вы приобрели новый компьютер с лицензионной ОС Windows одной из предыдущих версий, включая Windows XP SP3, Vista, Windows 7, то для перехода на Windows 8 можно использовать обновления до Windows 8, предлагаемые как в рознице в виде коробочных продуктов, так и через Интернет в виде электронных лицензий (ESD) на сайтах Microsoft и партнёров </w:t>
      </w:r>
      <w:r>
        <w:rPr>
          <w:rFonts w:eastAsia="Times New Roman" w:cs="Times New Roman"/>
          <w:color w:val="505050"/>
          <w:szCs w:val="20"/>
        </w:rPr>
        <w:t>Microsoft</w:t>
      </w:r>
      <w:r>
        <w:rPr>
          <w:rFonts w:eastAsia="Times New Roman" w:cs="Times New Roman"/>
          <w:color w:val="505050"/>
          <w:szCs w:val="20"/>
          <w:lang/>
        </w:rPr>
        <w:t xml:space="preserve"> (далее – «партнёров»).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cs="Times New Roman"/>
          <w:color w:val="000000"/>
          <w:szCs w:val="18"/>
          <w:lang/>
        </w:rPr>
      </w:pPr>
      <w:r>
        <w:rPr>
          <w:rFonts w:eastAsia="Times New Roman" w:cs="Times New Roman"/>
          <w:color w:val="505050"/>
          <w:szCs w:val="20"/>
          <w:lang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</w:t>
      </w:r>
    </w:p>
    <w:p>
      <w:pPr>
        <w:spacing w:after="120"/>
        <w:ind w:left="360" w:hanging="360"/>
        <w:rPr>
          <w:rFonts w:eastAsia="Times New Roman" w:cs="Times New Roman"/>
          <w:color w:val="505050"/>
          <w:szCs w:val="20"/>
          <w:lang/>
        </w:rPr>
      </w:pPr>
    </w:p>
    <w:p>
      <w:pPr>
        <w:pStyle w:val="25"/>
        <w:numPr>
          <w:ilvl w:val="0"/>
          <w:numId w:val="6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Если пользователь собирает ПК самостоятельно и для собственного использования, им может быть приобретена и установлена версия COEM DIY (аббревиатура от Do It Yourself – «сделай сам»), содержащая Персональную лицензию (Personal Use License). Также COEM DIY может быть использована в качестве дополнительной операционной системы в локальной виртуальной машине, либо в отдельном разделе жесткого диска. Однако, есть и обоснованные ограничения по её использованию</w:t>
      </w:r>
      <w:r>
        <w:rPr>
          <w:rFonts w:eastAsia="Times New Roman" w:cs="Times New Roman"/>
          <w:color w:val="505050"/>
          <w:szCs w:val="20"/>
        </w:rPr>
        <w:t>.</w:t>
      </w:r>
    </w:p>
    <w:p>
      <w:pPr>
        <w:pStyle w:val="25"/>
        <w:spacing w:after="120"/>
        <w:ind w:left="7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Windows 8 в рамках Персональной лицензии нельзя использовать:</w:t>
      </w:r>
    </w:p>
    <w:p>
      <w:pPr>
        <w:numPr>
          <w:ilvl w:val="1"/>
          <w:numId w:val="7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Для обновления ранее установленной ОС</w:t>
      </w:r>
    </w:p>
    <w:p>
      <w:pPr>
        <w:numPr>
          <w:ilvl w:val="1"/>
          <w:numId w:val="7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Для легализации ранее установленной ОС</w:t>
      </w:r>
    </w:p>
    <w:p>
      <w:pPr>
        <w:numPr>
          <w:ilvl w:val="1"/>
          <w:numId w:val="7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Для лицензирования в общей сложности более 5 копий ПО для коммерческого использования (каждая копия лицензируется отдельно).</w:t>
      </w:r>
    </w:p>
    <w:p>
      <w:pPr>
        <w:spacing w:after="120"/>
        <w:ind w:left="360" w:hanging="36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ind w:left="360" w:hanging="360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1.2 Сценарии для уже используемого ПК</w:t>
      </w:r>
    </w:p>
    <w:p>
      <w:pPr>
        <w:spacing w:after="120"/>
        <w:ind w:left="360" w:hanging="360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Сценарий 1. Обновление имеющейся на ПК лицензионной версии ОС до Windows 8</w:t>
      </w:r>
    </w:p>
    <w:p>
      <w:pPr>
        <w:spacing w:after="120"/>
        <w:ind w:left="360" w:hanging="360"/>
        <w:rPr>
          <w:b/>
          <w:bCs/>
          <w:sz w:val="20"/>
          <w:szCs w:val="26"/>
          <w:lang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cs="Times New Roman"/>
          <w:color w:val="000000"/>
          <w:sz w:val="24"/>
          <w:szCs w:val="24"/>
          <w:lang/>
        </w:rPr>
      </w:pPr>
      <w:r>
        <w:rPr>
          <w:rFonts w:eastAsia="Times New Roman" w:cs="Times New Roman"/>
          <w:color w:val="505050"/>
          <w:szCs w:val="20"/>
          <w:lang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 Поэтому, перед приобретением обновления проверьте наличие полной лицензии Windows по наличию наклейки подлинного ПО Windows на системном блоке или в пластиковой коробке.</w:t>
      </w:r>
    </w:p>
    <w:p>
      <w:pPr>
        <w:spacing w:after="120"/>
        <w:ind w:left="360" w:hanging="360"/>
        <w:rPr>
          <w:b/>
          <w:bCs/>
          <w:sz w:val="20"/>
          <w:szCs w:val="26"/>
          <w:lang/>
        </w:rPr>
      </w:pPr>
    </w:p>
    <w:p>
      <w:pPr>
        <w:spacing w:after="120"/>
        <w:ind w:left="360" w:hanging="360"/>
        <w:rPr>
          <w:rFonts w:eastAsia="Times New Roman" w:cs="Times New Roman"/>
          <w:b/>
          <w:color w:val="000000"/>
          <w:sz w:val="24"/>
          <w:szCs w:val="24"/>
          <w:lang/>
        </w:rPr>
      </w:pPr>
      <w:r>
        <w:rPr>
          <w:b/>
          <w:bCs/>
          <w:sz w:val="20"/>
          <w:szCs w:val="26"/>
          <w:lang/>
        </w:rPr>
        <w:t>Вариант для частных пользователей и организаций до 5 ПК:</w:t>
      </w:r>
    </w:p>
    <w:p>
      <w:p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Если на вашем ПК уже установлена лицензионная ОС Windows одной из предыдущих версий, включая Windows XP SP3, Vista, Windows 7, для перехода на Windows 8 можно использовать обновления до Windows 8, предлагаемые как в рознице в виде коробочных продуктов, так и в Интернет в виде электронных лицензий (ESD) на сайтах Microsoft и партнёров. Также доступны коробочные продукты и электронные лицензии для перехода с Windows 8 на Windows 8 Профессиональную. </w:t>
      </w:r>
    </w:p>
    <w:p>
      <w:pPr>
        <w:spacing w:after="120"/>
        <w:ind w:left="360" w:hanging="360"/>
        <w:rPr>
          <w:b/>
          <w:bCs/>
          <w:sz w:val="20"/>
          <w:szCs w:val="26"/>
          <w:lang/>
        </w:rPr>
      </w:pPr>
    </w:p>
    <w:p>
      <w:pPr>
        <w:spacing w:after="120"/>
        <w:ind w:left="360" w:hanging="360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Вариант для коммерческих организаций и государственных заказчиков:</w:t>
      </w:r>
    </w:p>
    <w:p>
      <w:pPr>
        <w:spacing w:line="240" w:lineRule="auto"/>
        <w:rPr>
          <w:rFonts w:cs="Times New Roman"/>
          <w:sz w:val="24"/>
          <w:szCs w:val="24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Для обновления операционной системы на компьютерах с лицензионной Windows в организациях предназначены программы корпоративного лицензирования, которые позволяют выбрать наиболее удобный вариант приобретения обновления с самым широким набором преимуществ. В силу сложности и разнообразия они остаются за рамками данного документа. См. </w:t>
      </w:r>
      <w:r>
        <w:fldChar w:fldCharType="begin"/>
      </w:r>
      <w:r>
        <w:instrText xml:space="preserve">HYPERLINK "http://www.microsoft.com/rus/licensing/howtobuy/programs/default.aspx"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http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://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www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microsoft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com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rus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licensing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howtobuy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programs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default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aspx</w:t>
      </w:r>
      <w:r>
        <w:fldChar w:fldCharType="end"/>
      </w:r>
    </w:p>
    <w:p>
      <w:pPr>
        <w:spacing w:after="120"/>
        <w:ind w:left="360" w:hanging="360"/>
        <w:rPr>
          <w:b/>
          <w:bCs/>
          <w:sz w:val="20"/>
          <w:szCs w:val="26"/>
          <w:lang/>
        </w:rPr>
      </w:pPr>
    </w:p>
    <w:p>
      <w:pPr>
        <w:spacing w:after="120"/>
        <w:ind w:left="360" w:hanging="360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Сценарий 2. Легализация и обновление нелицензионной ОС до Windows 8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Представленные ниже варианты лицензирования уже используемых ПК предоставляют возможность выбора оптимального варианта легализации и перехода на Windows 8. </w:t>
      </w:r>
    </w:p>
    <w:p>
      <w:pPr>
        <w:spacing w:after="200" w:line="276" w:lineRule="auto"/>
        <w:contextualSpacing/>
        <w:rPr>
          <w:b/>
          <w:bCs/>
          <w:sz w:val="20"/>
          <w:szCs w:val="26"/>
          <w:lang/>
        </w:rPr>
      </w:pPr>
    </w:p>
    <w:p>
      <w:p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  <w:lang/>
        </w:rPr>
      </w:pPr>
      <w:r>
        <w:rPr>
          <w:b/>
          <w:bCs/>
          <w:sz w:val="20"/>
          <w:szCs w:val="26"/>
          <w:lang/>
        </w:rPr>
        <w:t>Лицензия Get Genuine Kit (GGK)</w:t>
      </w:r>
      <w:r>
        <w:rPr>
          <w:rFonts w:ascii="Calibri" w:hAnsi="Calibri" w:eastAsia="Calibri" w:cs="Times New Roman"/>
          <w:sz w:val="24"/>
          <w:szCs w:val="24"/>
          <w:lang/>
        </w:rPr>
        <w:t xml:space="preserve"> – </w:t>
      </w:r>
      <w:r>
        <w:rPr>
          <w:rFonts w:eastAsia="Times New Roman" w:cs="Times New Roman"/>
          <w:color w:val="505050"/>
          <w:szCs w:val="20"/>
          <w:lang/>
        </w:rPr>
        <w:t>«быстрый» способ лицензирования, больше подходит домашним пользователям, и организациям с небольшим количеством ПК для лицензирования, а также тем, кто хочет иметь возможность обращения в службу поддержки Microsoft.</w:t>
      </w:r>
      <w:r>
        <w:rPr>
          <w:rFonts w:ascii="Calibri" w:hAnsi="Calibri" w:eastAsia="Calibri" w:cs="Times New Roman"/>
          <w:sz w:val="24"/>
          <w:szCs w:val="24"/>
          <w:lang/>
        </w:rPr>
        <w:t xml:space="preserve"> </w:t>
      </w:r>
    </w:p>
    <w:p>
      <w:pPr>
        <w:spacing w:after="200" w:line="276" w:lineRule="auto"/>
        <w:contextualSpacing/>
        <w:rPr>
          <w:b/>
          <w:bCs/>
          <w:sz w:val="20"/>
          <w:szCs w:val="26"/>
          <w:lang/>
        </w:rPr>
      </w:pPr>
    </w:p>
    <w:p>
      <w:p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  <w:lang/>
        </w:rPr>
      </w:pPr>
      <w:r>
        <w:rPr>
          <w:b/>
          <w:bCs/>
          <w:sz w:val="20"/>
          <w:szCs w:val="26"/>
          <w:lang/>
        </w:rPr>
        <w:t>Соглашение Get Genuine Windows Agreement (GGWA)</w:t>
      </w:r>
      <w:r>
        <w:rPr>
          <w:rFonts w:ascii="Calibri" w:hAnsi="Calibri" w:eastAsia="Calibri" w:cs="Times New Roman"/>
          <w:sz w:val="24"/>
          <w:szCs w:val="24"/>
          <w:lang/>
        </w:rPr>
        <w:t xml:space="preserve"> </w:t>
      </w:r>
      <w:r>
        <w:rPr>
          <w:rFonts w:eastAsia="Times New Roman" w:cs="Times New Roman"/>
          <w:color w:val="505050"/>
          <w:szCs w:val="20"/>
          <w:lang/>
        </w:rPr>
        <w:t>рекомендуется организациям с количеством ПК для лицензирования от 5-и и предоставляет широкий набор преимуществ корпоративных лицензий, включая право использования предыдущих версий, возможность лицензировать организацию и её аффилированные лица в одном заказе, а также удобство управления лицензиями.</w:t>
      </w:r>
      <w:r>
        <w:rPr>
          <w:rFonts w:ascii="Calibri" w:hAnsi="Calibri" w:eastAsia="Calibri" w:cs="Times New Roman"/>
          <w:sz w:val="24"/>
          <w:szCs w:val="24"/>
          <w:lang/>
        </w:rPr>
        <w:t xml:space="preserve"> </w:t>
      </w:r>
    </w:p>
    <w:p>
      <w:pPr>
        <w:spacing w:after="200" w:line="276" w:lineRule="auto"/>
        <w:contextualSpacing/>
        <w:rPr>
          <w:b/>
          <w:bCs/>
          <w:sz w:val="20"/>
          <w:szCs w:val="26"/>
          <w:lang/>
        </w:rPr>
      </w:pPr>
      <w:r>
        <w:rPr>
          <w:rFonts w:eastAsia="Times New Roman" w:cs="Times New Roman"/>
          <w:color w:val="505050"/>
          <w:szCs w:val="20"/>
          <w:lang/>
        </w:rPr>
        <w:t>Для учебных организаций разработано специальное, более экономичное решение</w:t>
      </w:r>
      <w:r>
        <w:rPr>
          <w:rFonts w:ascii="Calibri" w:hAnsi="Calibri" w:eastAsia="Calibri" w:cs="Times New Roman"/>
          <w:sz w:val="24"/>
          <w:szCs w:val="24"/>
          <w:lang/>
        </w:rPr>
        <w:t xml:space="preserve"> – </w:t>
      </w:r>
      <w:r>
        <w:rPr>
          <w:b/>
          <w:bCs/>
          <w:sz w:val="20"/>
          <w:szCs w:val="26"/>
          <w:lang/>
        </w:rPr>
        <w:t xml:space="preserve">Get Genuine Windows – Academic (GGWA-A). </w:t>
      </w:r>
    </w:p>
    <w:p>
      <w:pPr>
        <w:spacing w:after="200" w:line="276" w:lineRule="auto"/>
        <w:contextualSpacing/>
        <w:rPr>
          <w:rFonts w:ascii="Calibri" w:hAnsi="Calibri" w:eastAsia="Calibri" w:cs="Times New Roman"/>
          <w:sz w:val="24"/>
          <w:szCs w:val="24"/>
          <w:lang/>
        </w:rPr>
      </w:pPr>
    </w:p>
    <w:p>
      <w:pPr>
        <w:spacing w:after="200" w:line="276" w:lineRule="auto"/>
        <w:contextualSpacing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Лицензионные соглашения Get Genuine Kit, Get Genuine Windows Agreement и Get Genuine Windows Agreement – Academic требуют прикрепить Сертификат подлинности (COA) к каждому лицензированному ПК, операционная система Windows не может быть перенесена на другой ПК. </w:t>
      </w:r>
    </w:p>
    <w:p>
      <w:pPr>
        <w:spacing w:after="200" w:line="276" w:lineRule="auto"/>
        <w:contextualSpacing/>
        <w:rPr>
          <w:b/>
          <w:bCs/>
          <w:sz w:val="20"/>
          <w:szCs w:val="26"/>
          <w:lang/>
        </w:rPr>
      </w:pPr>
    </w:p>
    <w:p>
      <w:pPr>
        <w:spacing w:after="200" w:line="276" w:lineRule="auto"/>
        <w:contextualSpacing/>
        <w:rPr>
          <w:rFonts w:cs="Times New Roman"/>
          <w:b/>
          <w:sz w:val="24"/>
          <w:szCs w:val="24"/>
        </w:rPr>
      </w:pPr>
      <w:r>
        <w:rPr>
          <w:b/>
          <w:bCs/>
          <w:sz w:val="20"/>
          <w:szCs w:val="26"/>
        </w:rPr>
        <w:t xml:space="preserve">2.1 GGK (Get Genuine Kit), </w:t>
      </w:r>
      <w:r>
        <w:rPr>
          <w:b/>
          <w:bCs/>
          <w:sz w:val="20"/>
          <w:szCs w:val="26"/>
          <w:lang/>
        </w:rPr>
        <w:t>электронная</w:t>
      </w:r>
      <w:r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  <w:lang/>
        </w:rPr>
        <w:t>версия</w:t>
      </w:r>
      <w:r>
        <w:rPr>
          <w:b/>
          <w:bCs/>
          <w:sz w:val="20"/>
          <w:szCs w:val="26"/>
        </w:rPr>
        <w:t xml:space="preserve"> GGW (Get Genuine Windows)</w:t>
      </w:r>
    </w:p>
    <w:p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cs="Times New Roman"/>
          <w:sz w:val="24"/>
          <w:szCs w:val="24"/>
          <w:lang/>
        </w:rPr>
      </w:pPr>
      <w:r>
        <w:rPr>
          <w:b/>
          <w:bCs/>
          <w:sz w:val="20"/>
          <w:szCs w:val="26"/>
          <w:lang/>
        </w:rPr>
        <w:t>"Версия для лицензирования установленной операционной системы" (Get Genuine Kit, GGK)</w:t>
      </w:r>
      <w:r>
        <w:rPr>
          <w:rFonts w:cs="Times New Roman"/>
          <w:sz w:val="24"/>
          <w:szCs w:val="24"/>
          <w:lang/>
        </w:rPr>
        <w:t xml:space="preserve"> -  </w:t>
      </w:r>
      <w:r>
        <w:rPr>
          <w:rFonts w:eastAsia="Times New Roman" w:cs="Times New Roman"/>
          <w:color w:val="505050"/>
          <w:szCs w:val="20"/>
          <w:lang/>
        </w:rPr>
        <w:t>рекомендованное Майкрософт решение для лицензирования ранее установленной на имеющихся ПК нелицензионной копии настольной операционной системы для домашних и корпоративных пользователей, которым нужно приобрести одну и более лицензий. GGK (Get Genuine Kit) предлагается в 2 вариантах – GGK Windows 8 и GGK Windows 8 Профессиональная.</w:t>
      </w:r>
      <w:r>
        <w:rPr>
          <w:rFonts w:cs="Times New Roman"/>
          <w:sz w:val="24"/>
          <w:szCs w:val="24"/>
          <w:lang/>
        </w:rPr>
        <w:t xml:space="preserve"> </w:t>
      </w:r>
    </w:p>
    <w:p>
      <w:pPr>
        <w:spacing w:line="240" w:lineRule="auto"/>
        <w:jc w:val="both"/>
        <w:rPr>
          <w:rFonts w:cs="Times New Roman"/>
          <w:sz w:val="24"/>
          <w:szCs w:val="24"/>
          <w:lang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Внимание! Организациям, собирающимся приобрести программы корпоративного лицензирования (за исключением учебных заведений), необходим GGK Windows 8 Професиональная, так как стандартная Windows 8 не квалифицирована для корпоративного обновления.</w:t>
      </w:r>
    </w:p>
    <w:p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eastAsia="Times New Roman" w:cs="Times New Roman"/>
          <w:color w:val="505050"/>
          <w:szCs w:val="20"/>
          <w:lang/>
        </w:rPr>
        <w:t>В качестве базовой (полной) операционной системы по программам корпоративного лицензирования для коммерческих и государственных организаций может использоваться только Windows Professional, например, Windows 8 Профессиональная или Windows 7 Профессиональная/Максимальная. Список базовых ОС для образовательных учреждений шире и включает также Windows 8, Windows 7 Домашняя Базовая, Windows 7 Домашняя Расширенная и др. Полный список таких операционных систем доступен в документе Microsoft Product List на сайте</w:t>
      </w:r>
      <w:r>
        <w:rPr>
          <w:rFonts w:ascii="Arial" w:hAnsi="Arial" w:cs="Arial"/>
          <w:sz w:val="24"/>
          <w:szCs w:val="24"/>
          <w:lang/>
        </w:rPr>
        <w:t xml:space="preserve"> </w:t>
      </w:r>
      <w:r>
        <w:fldChar w:fldCharType="begin"/>
      </w:r>
      <w:r>
        <w:instrText xml:space="preserve">HYPERLINK "http://www.microsoft.com/licensing"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www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microsoft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com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licensing</w:t>
      </w:r>
      <w:r>
        <w:fldChar w:fldCharType="end"/>
      </w:r>
      <w:r>
        <w:rPr>
          <w:rFonts w:ascii="Arial" w:hAnsi="Arial" w:cs="Arial"/>
          <w:sz w:val="24"/>
          <w:szCs w:val="24"/>
          <w:lang/>
        </w:rPr>
        <w:t xml:space="preserve">. </w:t>
      </w:r>
    </w:p>
    <w:p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/>
        </w:rPr>
      </w:pP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Преимущества «Версии для лицензирования установленной операционной системы» (Get Genuine Kit):</w:t>
      </w: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</w:p>
    <w:p>
      <w:pPr>
        <w:pStyle w:val="25"/>
        <w:numPr>
          <w:ilvl w:val="0"/>
          <w:numId w:val="8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Техническая поддержка осуществляется службой поддержки Microsoft</w:t>
      </w:r>
    </w:p>
    <w:p>
      <w:pPr>
        <w:pStyle w:val="25"/>
        <w:numPr>
          <w:ilvl w:val="0"/>
          <w:numId w:val="8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Удобство приобретения и использования – можно приобрести у партнёров, в розничных и интернет магазинах; в состав упаковки входят все необходимые компоненты; пользователи могут заменить ключ ранее установленной ОС, либо переустановить ОС (рекомендованное решение). </w:t>
      </w:r>
    </w:p>
    <w:p>
      <w:pPr>
        <w:pStyle w:val="25"/>
        <w:numPr>
          <w:ilvl w:val="0"/>
          <w:numId w:val="8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Возможность перейти на Windows 8 Корпоративная – организации, купившие GGK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программы Software Assurance.</w:t>
      </w: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</w:p>
    <w:p>
      <w:pPr>
        <w:spacing w:line="240" w:lineRule="auto"/>
        <w:jc w:val="both"/>
        <w:rPr>
          <w:rFonts w:cs="Times New Roman"/>
          <w:sz w:val="24"/>
          <w:szCs w:val="24"/>
          <w:lang/>
        </w:rPr>
      </w:pPr>
      <w:r>
        <w:rPr>
          <w:b/>
          <w:bCs/>
          <w:sz w:val="20"/>
          <w:szCs w:val="26"/>
          <w:lang/>
        </w:rPr>
        <w:t>Электронная версия GGW (Get Genuine Windows)</w:t>
      </w:r>
      <w:r>
        <w:rPr>
          <w:rFonts w:cs="Times New Roman"/>
          <w:b/>
          <w:sz w:val="24"/>
          <w:szCs w:val="24"/>
          <w:lang/>
        </w:rPr>
        <w:t xml:space="preserve"> </w:t>
      </w:r>
      <w:r>
        <w:rPr>
          <w:rFonts w:eastAsia="Times New Roman" w:cs="Times New Roman"/>
          <w:color w:val="505050"/>
          <w:szCs w:val="20"/>
          <w:lang/>
        </w:rPr>
        <w:t>доступна для загрузки на сайте Microsoft пользователям систем, не прошедших он-лайн активацию.</w:t>
      </w:r>
    </w:p>
    <w:p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  <w:lang/>
        </w:rPr>
      </w:pP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 xml:space="preserve">2.2 </w:t>
      </w:r>
      <w:bookmarkStart w:id="0" w:name="_Toc354416963"/>
      <w:r>
        <w:rPr>
          <w:b/>
          <w:bCs/>
          <w:sz w:val="20"/>
          <w:szCs w:val="26"/>
          <w:lang/>
        </w:rPr>
        <w:t>Соглашение Get Genuine Windows Agreement (GGWA) для лицензирования Windows 8 Профессиональная для имеющихся в организациях ПК (от 5 ПК)</w:t>
      </w:r>
      <w:bookmarkEnd w:id="0"/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</w:p>
    <w:p>
      <w:pPr>
        <w:spacing w:line="240" w:lineRule="auto"/>
        <w:jc w:val="both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Соглашение Get Genuine Windows Agreement – решение для корпоративных пользователей и государственных организаций, которым нужно приобрести 5 и более лицензий Windows 8 Профессиональная для имеющихся ПК. По условиям соглашения GGWA после его заключения клиент обязуется приобретать новые и заменяющие ПК с полной и подлинной версией Windows. </w:t>
      </w:r>
    </w:p>
    <w:p>
      <w:pPr>
        <w:spacing w:before="120" w:line="240" w:lineRule="auto"/>
        <w:rPr>
          <w:rFonts w:cs="Times New Roman"/>
          <w:sz w:val="24"/>
          <w:szCs w:val="24"/>
          <w:lang/>
        </w:rPr>
      </w:pPr>
    </w:p>
    <w:p>
      <w:pPr>
        <w:spacing w:line="240" w:lineRule="auto"/>
        <w:jc w:val="both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  <w:lang/>
        </w:rPr>
        <w:t>Преимущества</w:t>
      </w:r>
      <w:r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  <w:lang/>
        </w:rPr>
        <w:t>соглашения</w:t>
      </w:r>
      <w:r>
        <w:rPr>
          <w:b/>
          <w:bCs/>
          <w:sz w:val="20"/>
          <w:szCs w:val="26"/>
        </w:rPr>
        <w:t xml:space="preserve"> Get Genuine Windows Agreement:</w:t>
      </w:r>
    </w:p>
    <w:p>
      <w:pPr>
        <w:pStyle w:val="25"/>
        <w:numPr>
          <w:ilvl w:val="0"/>
          <w:numId w:val="9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Удобство приобретения для организаций - заказ на Get Genuine Windows Agreement размещается так же, как и любой другой заказ по программе Open License. Однако в отличие от других продуктов, поставляемых в рамках программы Open License, в комплект поставки Get Genuine Windows Agreement входят наклейки Сертификата подлинности (COA), которые следует прикрепить к корпусу ПК. </w:t>
      </w:r>
    </w:p>
    <w:p>
      <w:pPr>
        <w:pStyle w:val="25"/>
        <w:numPr>
          <w:ilvl w:val="0"/>
          <w:numId w:val="9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Удобство использования – переустановка рекомендуется, но не требуется. Носитель, а также ключ для установки текущей или непосредственно предыдущей версии, доступны на портале поддержки корпоративных пользователей, Volume Licensing Service Center (VLSC) по адресу </w:t>
      </w:r>
      <w:r>
        <w:fldChar w:fldCharType="begin"/>
      </w:r>
      <w:r>
        <w:instrText xml:space="preserve">HYPERLINK "https://www.microsoft.com/Licensing/servicecenter/default.aspx"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https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://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www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microsoft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com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Licensing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servicecenter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default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aspx</w:t>
      </w:r>
      <w:r>
        <w:fldChar w:fldCharType="end"/>
      </w:r>
      <w:r>
        <w:rPr>
          <w:rFonts w:eastAsia="Times New Roman" w:cs="Times New Roman"/>
          <w:color w:val="505050"/>
          <w:szCs w:val="20"/>
          <w:lang/>
        </w:rPr>
        <w:t>. Носитель также можно заказать у реселлера за дополнительную плату.</w:t>
      </w:r>
    </w:p>
    <w:p>
      <w:pPr>
        <w:pStyle w:val="25"/>
        <w:numPr>
          <w:ilvl w:val="0"/>
          <w:numId w:val="9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Гибкие лицензионные права – право использовать предыдущую версию Windows вместо лицензированной версии; возможность приобрести лицензии для нескольких аффилированных лиц в рамках одного соглашения.</w:t>
      </w:r>
    </w:p>
    <w:p>
      <w:pPr>
        <w:pStyle w:val="25"/>
        <w:numPr>
          <w:ilvl w:val="0"/>
          <w:numId w:val="9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Возможность перейти на Windows 8 Корпоративная – организации, заключившие соглашение GGWA,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</w:p>
    <w:p>
      <w:pPr>
        <w:spacing w:line="240" w:lineRule="auto"/>
        <w:rPr>
          <w:rFonts w:eastAsia="Times New Roman" w:cs="Times New Roman"/>
          <w:b/>
          <w:bCs/>
          <w:color w:val="0000FF"/>
          <w:szCs w:val="20"/>
          <w:u w:val="single"/>
          <w:lang/>
        </w:rPr>
      </w:pPr>
      <w:r>
        <w:rPr>
          <w:rFonts w:eastAsia="Times New Roman" w:cs="Times New Roman"/>
          <w:color w:val="505050"/>
          <w:szCs w:val="20"/>
          <w:lang/>
        </w:rPr>
        <w:t>Более подробную информацию о продукте можно найти по ссылке:</w:t>
      </w:r>
      <w:r>
        <w:rPr>
          <w:rFonts w:cs="Times New Roman"/>
          <w:sz w:val="24"/>
          <w:szCs w:val="24"/>
          <w:lang/>
        </w:rPr>
        <w:t xml:space="preserve"> </w:t>
      </w:r>
      <w:r>
        <w:fldChar w:fldCharType="begin"/>
      </w:r>
      <w:r>
        <w:instrText xml:space="preserve">HYPERLINK "http://www.microsoft.com/rus/licensing/legalization/"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http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://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www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microsoft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com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rus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licensing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legalization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fldChar w:fldCharType="end"/>
      </w: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 xml:space="preserve">1.3 </w:t>
      </w:r>
      <w:bookmarkStart w:id="1" w:name="_Toc354416964"/>
      <w:r>
        <w:rPr>
          <w:b/>
          <w:bCs/>
          <w:sz w:val="20"/>
          <w:szCs w:val="26"/>
          <w:lang/>
        </w:rPr>
        <w:t>Экономичное решение для лицензирования Windows для имеющихся ПК в учебных заведениях - Get Genuine Windows Agreement – Academic (GGWA-A)</w:t>
      </w:r>
      <w:bookmarkEnd w:id="1"/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Соглашение GGWA-A – решение для учебных заведений, которым нужно приобрести 5 и более лицензий Windows 8 Профессиональная для имеющихся ПК.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По соглашению GGWA-A клиент получает полную (базовую) лицензию Windows 8 или Windows 8 Single Language и обязан приобрести обновление до Windows 8 Профессиональная по программам Academic Open или Academic&amp;School Agreement. Клиент также обязуется приобретать новые ПК с полной и подлинной версией Windows. 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</w:p>
    <w:p>
      <w:pPr>
        <w:spacing w:line="240" w:lineRule="auto"/>
        <w:jc w:val="both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  <w:lang/>
        </w:rPr>
        <w:t>Преимущества</w:t>
      </w:r>
      <w:r>
        <w:rPr>
          <w:b/>
          <w:bCs/>
          <w:sz w:val="20"/>
          <w:szCs w:val="26"/>
        </w:rPr>
        <w:t xml:space="preserve"> </w:t>
      </w:r>
      <w:r>
        <w:rPr>
          <w:b/>
          <w:bCs/>
          <w:sz w:val="20"/>
          <w:szCs w:val="26"/>
          <w:lang/>
        </w:rPr>
        <w:t>решения</w:t>
      </w:r>
      <w:r>
        <w:rPr>
          <w:b/>
          <w:bCs/>
          <w:sz w:val="20"/>
          <w:szCs w:val="26"/>
        </w:rPr>
        <w:t xml:space="preserve"> «Get Genuine Windows Agreement - Academic»:</w:t>
      </w:r>
    </w:p>
    <w:p>
      <w:pPr>
        <w:pStyle w:val="25"/>
        <w:numPr>
          <w:ilvl w:val="0"/>
          <w:numId w:val="10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Экономичность и удобство приобретения для учебных заведений - заказ на Get Genuine Windows Agreement – Academic размещается так же, как и любой другой заказ по программе Academic Open. Дополнительно необходимо приобрести обновление до Windows 8 Профессиональная. В комплект поставки GGWA-A входят наклейки Сертификата подлинности (COA), которые следует прикрепить к корпусу ПК. </w:t>
      </w:r>
    </w:p>
    <w:p>
      <w:pPr>
        <w:pStyle w:val="25"/>
        <w:numPr>
          <w:ilvl w:val="0"/>
          <w:numId w:val="10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Удобство использования – переустановка рекомендуется, но не требуется. Носитель и ключ для установки Windows 8 или Windows 8 Single Language, приобретенных в рамках GGWA-A, не предоставляются, но после приобретения обязательного обновления до Windows 8 Профессиональная на портале Volume Licensing Service Center (VLSC) по адресу </w:t>
      </w:r>
      <w:r>
        <w:fldChar w:fldCharType="begin"/>
      </w:r>
      <w:r>
        <w:instrText xml:space="preserve">HYPERLINK "https://www.microsoft.com/Licensing/servicecenter/default.aspx"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https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://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www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microsoft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com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Licensing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servicecenter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default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aspx</w:t>
      </w:r>
      <w:r>
        <w:fldChar w:fldCharType="end"/>
      </w:r>
      <w:r>
        <w:rPr>
          <w:rFonts w:eastAsia="Times New Roman" w:cs="Times New Roman"/>
          <w:color w:val="505050"/>
          <w:szCs w:val="20"/>
          <w:lang/>
        </w:rPr>
        <w:t xml:space="preserve"> становятся доступными носители и ключи установки. Носитель также можно заказать у реселлера за дополнительную плату.</w:t>
      </w:r>
    </w:p>
    <w:p>
      <w:pPr>
        <w:pStyle w:val="25"/>
        <w:numPr>
          <w:ilvl w:val="0"/>
          <w:numId w:val="10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Гибкие лицензионные права – право использовать предыдущую версию Windows вместо лицензированной версии (только после приобретения обновления до Windows 8 Профессиональная); возможность приобрести лицензии для нескольких аффилированных лиц в рамках одного соглашения.</w:t>
      </w:r>
    </w:p>
    <w:p>
      <w:pPr>
        <w:pStyle w:val="25"/>
        <w:numPr>
          <w:ilvl w:val="0"/>
          <w:numId w:val="10"/>
        </w:numPr>
        <w:spacing w:after="12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Возможность перейти на Windows 8 Корпоративная – организации, купившие GGWA-A + обновление до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>
      <w:pPr>
        <w:spacing w:before="120" w:line="240" w:lineRule="auto"/>
        <w:rPr>
          <w:rFonts w:eastAsia="Times New Roman" w:cs="Times New Roman"/>
          <w:color w:val="505050"/>
          <w:szCs w:val="20"/>
          <w:lang/>
        </w:rPr>
      </w:pPr>
    </w:p>
    <w:p>
      <w:pPr>
        <w:spacing w:before="120" w:line="240" w:lineRule="auto"/>
        <w:rPr>
          <w:rFonts w:eastAsia="Times New Roman"/>
          <w:b/>
          <w:bCs/>
          <w:color w:val="0000FF"/>
          <w:szCs w:val="20"/>
          <w:u w:val="single"/>
          <w:lang/>
        </w:rPr>
      </w:pPr>
      <w:r>
        <w:rPr>
          <w:rFonts w:eastAsia="Times New Roman" w:cs="Times New Roman"/>
          <w:color w:val="505050"/>
          <w:szCs w:val="20"/>
          <w:lang/>
        </w:rPr>
        <w:t>Подробную информацию о программах лицензирования для учебных организаций можно найти по ссылке</w:t>
      </w:r>
      <w:r>
        <w:rPr>
          <w:rFonts w:cs="Times New Roman"/>
          <w:sz w:val="24"/>
          <w:szCs w:val="24"/>
          <w:lang/>
        </w:rPr>
        <w:t xml:space="preserve"> </w:t>
      </w:r>
      <w:r>
        <w:fldChar w:fldCharType="begin"/>
      </w:r>
      <w:r>
        <w:instrText xml:space="preserve">HYPERLINK "http://www.microsoft.com/rus/education/licensing"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http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://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www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microsoft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com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rus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education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licensing</w:t>
      </w:r>
      <w:r>
        <w:fldChar w:fldCharType="end"/>
      </w: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spacing w:line="240" w:lineRule="auto"/>
        <w:rPr>
          <w:rFonts w:ascii="Segoe UI" w:hAnsi="Segoe UI" w:cs="Times New Roman"/>
          <w:sz w:val="24"/>
          <w:szCs w:val="24"/>
          <w:lang/>
        </w:rPr>
      </w:pPr>
    </w:p>
    <w:p>
      <w:pPr>
        <w:keepNext/>
        <w:numPr>
          <w:ilvl w:val="0"/>
          <w:numId w:val="3"/>
        </w:numPr>
        <w:spacing w:before="480" w:after="160" w:line="420" w:lineRule="exact"/>
        <w:outlineLvl w:val="0"/>
        <w:rPr>
          <w:rFonts w:ascii="Segoe UI Light" w:hAnsi="Segoe UI Light" w:eastAsia="Times New Roman" w:cs="Times New Roman"/>
          <w:bCs/>
          <w:color w:val="68217A"/>
          <w:kern w:val="36"/>
          <w:sz w:val="36"/>
          <w:szCs w:val="20"/>
          <w:lang/>
        </w:rPr>
      </w:pPr>
      <w:r>
        <w:rPr>
          <w:rFonts w:ascii="Segoe UI Light" w:hAnsi="Segoe UI Light" w:eastAsia="Times New Roman" w:cs="Times New Roman"/>
          <w:bCs/>
          <w:color w:val="68217A"/>
          <w:kern w:val="36"/>
          <w:sz w:val="36"/>
          <w:szCs w:val="20"/>
          <w:lang/>
        </w:rPr>
        <w:t>Подтверждение лицензионных прав пользователя и проверка подлинности копии ОС, установленной на компьютер</w:t>
      </w: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2.1. Подтверждение лицензионных прав на ОС, установленную на ПК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Для операционных систем Windows предыдущих версий, включая Windows 7/Vista/XP, необходимым подтверждением лицензионных прав пользователя является наклейка-сертификат СОА (Certificate Of Authenticity - сертификат подлинности), наклеенный на корпус ПК (для OEM-лицензий, Get Genuine Kit, Get Genuine Windows Agreement), или находящийся на упаковке продукта в случае использования коробочной версии ОС.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Для Windows 8 основными компонентами подтверждения лицензионных прав являются подлинная наклейка Windows 8 - GML (Genuine Microsoft Label), и подтверждение платежа. 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Подлинные наклейки Windows 8 различаются в зависимости от производителя устройства, наличия или отсутствия сертификации устройства, типа использованной активации. 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</w:p>
    <w:p>
      <w:pPr>
        <w:spacing w:line="240" w:lineRule="auto"/>
        <w:rPr>
          <w:rFonts w:cs="Times New Roman"/>
          <w:sz w:val="24"/>
          <w:szCs w:val="26"/>
          <w:lang/>
        </w:rPr>
      </w:pPr>
      <w:r>
        <w:rPr>
          <w:rFonts w:eastAsia="Times New Roman" w:cs="Times New Roman"/>
          <w:color w:val="505050"/>
          <w:szCs w:val="20"/>
          <w:lang/>
        </w:rPr>
        <w:t xml:space="preserve">Для подтверждения лицензионных прав на Windows 8 также используется СОА. В таблице ниже приведено краткое описание разных типов наклеек, изображения этих наклеек доступны на сайте </w:t>
      </w:r>
      <w:r>
        <w:fldChar w:fldCharType="begin"/>
      </w:r>
      <w:r>
        <w:instrText xml:space="preserve">HYPERLINK "http://www.microsoft.com/ru-ru/howtotell"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http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://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www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microsoft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.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com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ru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-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ru</w:t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/</w:t>
      </w:r>
      <w:r>
        <w:rPr>
          <w:rFonts w:eastAsia="Times New Roman" w:cs="Times New Roman"/>
          <w:b/>
          <w:bCs/>
          <w:color w:val="0000FF"/>
          <w:szCs w:val="20"/>
          <w:u w:val="single"/>
        </w:rPr>
        <w:t>howtotell</w:t>
      </w:r>
      <w:r>
        <w:fldChar w:fldCharType="end"/>
      </w:r>
      <w:r>
        <w:rPr>
          <w:rFonts w:cs="Times New Roman"/>
          <w:sz w:val="24"/>
          <w:szCs w:val="26"/>
          <w:lang/>
        </w:rPr>
        <w:t xml:space="preserve"> :</w:t>
      </w:r>
    </w:p>
    <w:p>
      <w:pPr>
        <w:spacing w:line="240" w:lineRule="auto"/>
        <w:rPr>
          <w:rFonts w:cs="Times New Roman"/>
          <w:sz w:val="24"/>
          <w:szCs w:val="26"/>
          <w:lang/>
        </w:rPr>
      </w:pPr>
    </w:p>
    <w:tbl>
      <w:tblPr>
        <w:tblW w:w="9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3370"/>
        <w:gridCol w:w="2300"/>
        <w:gridCol w:w="2501"/>
      </w:tblGrid>
      <w:tr>
        <w:trPr>
          <w:cantSplit/>
          <w:trHeight w:val="70" w:hRule="atLeast"/>
        </w:trPr>
        <w:tc>
          <w:tcPr>
            <w:tcW w:w="1728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Наклейка</w:t>
            </w:r>
          </w:p>
        </w:tc>
        <w:tc>
          <w:tcPr>
            <w:tcW w:w="337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Сертификат подлинности (COA)</w:t>
            </w:r>
          </w:p>
        </w:tc>
        <w:tc>
          <w:tcPr>
            <w:tcW w:w="230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Наклейка подлинного ПО (Genuine Microsoft Label, GML) с логотипом Windows</w:t>
            </w:r>
          </w:p>
        </w:tc>
        <w:tc>
          <w:tcPr>
            <w:tcW w:w="2501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Наклейка подлинного ПО (Genuine Microsoft Label, GML) без логотипа Windows</w:t>
            </w:r>
          </w:p>
        </w:tc>
      </w:tr>
      <w:tr>
        <w:trPr>
          <w:cantSplit/>
        </w:trPr>
        <w:tc>
          <w:tcPr>
            <w:tcW w:w="1728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Внешний вид</w:t>
            </w:r>
          </w:p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На наклейке указано наименование и ключ продукта; дополнительно могут быть указаны название производителя, номер наклейки, другая информация </w:t>
            </w:r>
          </w:p>
        </w:tc>
        <w:tc>
          <w:tcPr>
            <w:tcW w:w="230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На наклейке есть логотип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и название продукта (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8,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8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Pro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,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RT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). </w:t>
            </w:r>
          </w:p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</w:p>
        </w:tc>
        <w:tc>
          <w:tcPr>
            <w:tcW w:w="2501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>На наклейке указано название продукта (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8,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8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Pro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,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RT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), логотип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отсутствует. </w:t>
            </w:r>
          </w:p>
        </w:tc>
      </w:tr>
      <w:tr>
        <w:trPr>
          <w:cantSplit/>
        </w:trPr>
        <w:tc>
          <w:tcPr>
            <w:tcW w:w="1728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Элементы защиты</w:t>
            </w:r>
          </w:p>
        </w:tc>
        <w:tc>
          <w:tcPr>
            <w:tcW w:w="337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>- Вплетенная защитную нить</w:t>
            </w:r>
          </w:p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- Кромка с чернилами, изменяющими цвет при обзоре с разных углов </w:t>
            </w:r>
          </w:p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</w:rPr>
              <w:t>- Др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>угие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.</w:t>
            </w:r>
          </w:p>
        </w:tc>
        <w:tc>
          <w:tcPr>
            <w:tcW w:w="4801" w:type="dxa"/>
            <w:gridSpan w:val="2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>- Цвет наклейки меняется в зависимости от угла обзора:</w:t>
            </w:r>
          </w:p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8: от пурпурного к зеленому </w:t>
            </w:r>
          </w:p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8 Профессиональная: от синего к сиреневому </w:t>
            </w:r>
          </w:p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RT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>: от бирюзового к сиреневому</w:t>
            </w:r>
          </w:p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</w:rPr>
              <w:t>- Др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>угие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.</w:t>
            </w:r>
          </w:p>
        </w:tc>
      </w:tr>
      <w:tr>
        <w:trPr>
          <w:cantSplit/>
        </w:trPr>
        <w:tc>
          <w:tcPr>
            <w:tcW w:w="1728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Место размещения</w:t>
            </w:r>
          </w:p>
        </w:tc>
        <w:tc>
          <w:tcPr>
            <w:tcW w:w="337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COA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 и ключа под съемным компонентом.</w:t>
            </w:r>
          </w:p>
        </w:tc>
        <w:tc>
          <w:tcPr>
            <w:tcW w:w="4801" w:type="dxa"/>
            <w:gridSpan w:val="2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>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>
        <w:trPr>
          <w:cantSplit/>
        </w:trPr>
        <w:tc>
          <w:tcPr>
            <w:tcW w:w="1728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Производитель устройства</w:t>
            </w:r>
          </w:p>
        </w:tc>
        <w:tc>
          <w:tcPr>
            <w:tcW w:w="337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</w:rPr>
              <w:t>Локальный сборщик</w:t>
            </w:r>
          </w:p>
        </w:tc>
        <w:tc>
          <w:tcPr>
            <w:tcW w:w="4801" w:type="dxa"/>
            <w:gridSpan w:val="2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>Международный производитель ПК (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MNA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), либо крупный локальный сборщик, использующий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OEM</w:t>
            </w: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-активацию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3.0</w:t>
            </w:r>
          </w:p>
        </w:tc>
      </w:tr>
      <w:tr>
        <w:trPr>
          <w:cantSplit/>
        </w:trPr>
        <w:tc>
          <w:tcPr>
            <w:tcW w:w="1728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b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505050"/>
                <w:sz w:val="20"/>
                <w:szCs w:val="20"/>
              </w:rPr>
              <w:t>Сертификация</w:t>
            </w:r>
          </w:p>
        </w:tc>
        <w:tc>
          <w:tcPr>
            <w:tcW w:w="337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  <w:lang/>
              </w:rPr>
              <w:t xml:space="preserve">При наличии сертификации на устройстве есть логотип </w:t>
            </w:r>
            <w:r>
              <w:rPr>
                <w:rFonts w:eastAsia="Times New Roman" w:cs="Times New Roman"/>
                <w:color w:val="505050"/>
                <w:sz w:val="20"/>
                <w:szCs w:val="20"/>
              </w:rPr>
              <w:t>Windows</w:t>
            </w:r>
          </w:p>
        </w:tc>
        <w:tc>
          <w:tcPr>
            <w:tcW w:w="2300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</w:rPr>
              <w:t>Устройство сертифицировано</w:t>
            </w:r>
          </w:p>
        </w:tc>
        <w:tc>
          <w:tcPr>
            <w:tcW w:w="2501" w:type="dxa"/>
            <w:tcBorders>
              <w:top w:val="single" w:color="58595B" w:sz="4" w:space="0"/>
              <w:left w:val="single" w:color="58595B" w:sz="4" w:space="0"/>
              <w:bottom w:val="single" w:color="58595B" w:sz="4" w:space="0"/>
              <w:right w:val="single" w:color="58595B" w:sz="4" w:space="0"/>
            </w:tcBorders>
            <w:vAlign w:val="top"/>
          </w:tcPr>
          <w:p>
            <w:pPr>
              <w:spacing w:after="120"/>
              <w:rPr>
                <w:rFonts w:eastAsia="Times New Roman" w:cs="Times New Roman"/>
                <w:color w:val="505050"/>
                <w:sz w:val="20"/>
                <w:szCs w:val="20"/>
              </w:rPr>
            </w:pPr>
            <w:r>
              <w:rPr>
                <w:rFonts w:eastAsia="Times New Roman" w:cs="Times New Roman"/>
                <w:color w:val="505050"/>
                <w:sz w:val="20"/>
                <w:szCs w:val="20"/>
              </w:rPr>
              <w:t>Устройство не сертифицировано</w:t>
            </w:r>
          </w:p>
        </w:tc>
      </w:tr>
    </w:tbl>
    <w:p>
      <w:pPr>
        <w:spacing w:after="120"/>
        <w:ind w:left="360" w:hanging="360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/>
        <w:ind w:left="360" w:hanging="360"/>
        <w:rPr>
          <w:rFonts w:eastAsia="Times New Roman" w:cs="Times New Roman"/>
          <w:color w:val="505050"/>
          <w:szCs w:val="20"/>
          <w:lang/>
        </w:rPr>
      </w:pP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Полный список компонентов подтверждения лицензионных прав см. в Приложении 1.</w:t>
      </w: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  <w:bookmarkStart w:id="2" w:name="_Toc354416967"/>
      <w:r>
        <w:rPr>
          <w:b/>
          <w:bCs/>
          <w:sz w:val="20"/>
          <w:szCs w:val="26"/>
          <w:lang/>
        </w:rPr>
        <w:t>2.2 Подтверждение подлинности копии ОС Windows 8, установленной на ПК</w:t>
      </w:r>
      <w:bookmarkEnd w:id="2"/>
    </w:p>
    <w:p>
      <w:pPr>
        <w:spacing w:line="276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cs="Times New Roman"/>
          <w:sz w:val="24"/>
          <w:szCs w:val="26"/>
          <w:lang/>
        </w:rPr>
        <w:t xml:space="preserve">- </w:t>
      </w:r>
      <w:r>
        <w:rPr>
          <w:rFonts w:eastAsia="Times New Roman" w:cs="Times New Roman"/>
          <w:color w:val="505050"/>
          <w:szCs w:val="20"/>
          <w:lang/>
        </w:rPr>
        <w:t>Наличие наклейки-сертификата подлинности СОА или наклейки GML;</w:t>
      </w:r>
    </w:p>
    <w:p>
      <w:pPr>
        <w:spacing w:after="120"/>
        <w:ind w:left="360" w:hanging="360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 w:val="24"/>
          <w:szCs w:val="26"/>
          <w:lang/>
        </w:rPr>
        <w:t xml:space="preserve">- </w:t>
      </w:r>
      <w:r>
        <w:rPr>
          <w:rFonts w:eastAsia="Times New Roman" w:cs="Times New Roman"/>
          <w:color w:val="505050"/>
          <w:szCs w:val="20"/>
          <w:lang/>
        </w:rPr>
        <w:t>Наличие лицензионного ключа активации. Последние 5 символов лицензионного ключа отображаются в разделе Активация Windows в Action Center панели управления.</w:t>
      </w:r>
    </w:p>
    <w:tbl>
      <w:tblPr>
        <w:tblW w:w="10800" w:type="dxa"/>
        <w:tblInd w:w="0" w:type="dxa"/>
        <w:tblBorders>
          <w:top w:val="single" w:color="969696" w:sz="4" w:space="0"/>
          <w:left w:val="none" w:color="auto" w:sz="0" w:space="0"/>
          <w:bottom w:val="single" w:color="969696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rPr>
          <w:cantSplit/>
          <w:trHeight w:val="2520" w:hRule="atLeast"/>
        </w:trPr>
        <w:tc>
          <w:tcPr>
            <w:tcW w:w="10800" w:type="dxa"/>
            <w:tcBorders>
              <w:top w:val="single" w:color="505050" w:sz="4" w:space="0"/>
              <w:bottom w:val="single" w:color="505050" w:sz="4" w:space="0"/>
            </w:tcBorders>
            <w:vAlign w:val="top"/>
          </w:tcPr>
          <w:p>
            <w:pPr>
              <w:keepNext/>
              <w:spacing w:before="120" w:after="120" w:line="240" w:lineRule="auto"/>
              <w:ind w:left="-2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Segoe UI" w:hAnsi="Segoe UI" w:eastAsia="Times New Roman" w:cs="Times New Roman"/>
                <w:sz w:val="20"/>
                <w:szCs w:val="20"/>
                <w:lang w:bidi="ar-SA"/>
              </w:rPr>
              <w:pict>
                <v:shape id="Picture Frame 1027" o:spid="_x0000_s1027" type="#_x0000_t75" style="height:210.75pt;width:468.7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rPr>
          <w:cantSplit/>
          <w:trHeight w:val="288" w:hRule="atLeast"/>
        </w:trPr>
        <w:tc>
          <w:tcPr>
            <w:tcW w:w="10800" w:type="dxa"/>
            <w:tcBorders>
              <w:top w:val="single" w:color="505050" w:sz="4" w:space="0"/>
              <w:bottom w:val="nil"/>
            </w:tcBorders>
            <w:vAlign w:val="top"/>
          </w:tcPr>
          <w:p>
            <w:pPr>
              <w:spacing w:before="80" w:after="300" w:line="180" w:lineRule="atLeast"/>
              <w:rPr>
                <w:i/>
                <w:sz w:val="14"/>
                <w:lang/>
              </w:rPr>
            </w:pPr>
          </w:p>
        </w:tc>
      </w:tr>
    </w:tbl>
    <w:p>
      <w:pPr>
        <w:spacing w:line="240" w:lineRule="auto"/>
        <w:rPr>
          <w:rFonts w:cs="Times New Roman"/>
          <w:sz w:val="24"/>
          <w:szCs w:val="26"/>
          <w:lang/>
        </w:rPr>
      </w:pPr>
      <w:r>
        <w:rPr>
          <w:rFonts w:cs="Times New Roman"/>
          <w:sz w:val="24"/>
          <w:szCs w:val="26"/>
          <w:lang/>
        </w:rPr>
        <w:t xml:space="preserve">- </w:t>
      </w:r>
      <w:r>
        <w:rPr>
          <w:rFonts w:eastAsia="Times New Roman" w:cs="Times New Roman"/>
          <w:color w:val="505050"/>
          <w:szCs w:val="20"/>
          <w:lang/>
        </w:rPr>
        <w:t>Лицензионный статус системы, подтверждающий успешное прохождение активации:</w:t>
      </w:r>
    </w:p>
    <w:p>
      <w:pPr>
        <w:spacing w:line="240" w:lineRule="auto"/>
        <w:ind w:left="720"/>
        <w:rPr>
          <w:rFonts w:cs="Times New Roman"/>
          <w:sz w:val="24"/>
          <w:szCs w:val="26"/>
          <w:lang/>
        </w:rPr>
      </w:pPr>
      <w:r>
        <w:rPr>
          <w:rFonts w:cs="Times New Roman"/>
          <w:sz w:val="24"/>
          <w:szCs w:val="26"/>
          <w:lang/>
        </w:rPr>
        <w:t xml:space="preserve">- </w:t>
      </w:r>
      <w:r>
        <w:rPr>
          <w:rFonts w:eastAsia="Times New Roman" w:cs="Times New Roman"/>
          <w:color w:val="505050"/>
          <w:szCs w:val="20"/>
          <w:lang/>
        </w:rPr>
        <w:t>Статус системы в Панели управления – Windows активирована (см. ниже);</w:t>
      </w:r>
    </w:p>
    <w:p>
      <w:pPr>
        <w:spacing w:line="240" w:lineRule="auto"/>
        <w:ind w:left="720"/>
        <w:rPr>
          <w:rFonts w:cs="Times New Roman"/>
          <w:sz w:val="24"/>
          <w:szCs w:val="26"/>
          <w:lang/>
        </w:rPr>
      </w:pPr>
      <w:r>
        <w:rPr>
          <w:rFonts w:cs="Times New Roman"/>
          <w:sz w:val="24"/>
          <w:szCs w:val="26"/>
          <w:lang/>
        </w:rPr>
        <w:t xml:space="preserve">- </w:t>
      </w:r>
      <w:r>
        <w:rPr>
          <w:rFonts w:eastAsia="Times New Roman" w:cs="Times New Roman"/>
          <w:color w:val="505050"/>
          <w:szCs w:val="20"/>
          <w:lang/>
        </w:rPr>
        <w:t>Отсутствие уведомлений о необходимости активации;</w:t>
      </w:r>
      <w:r>
        <w:rPr>
          <w:rFonts w:cs="Times New Roman"/>
          <w:sz w:val="24"/>
          <w:szCs w:val="26"/>
          <w:lang/>
        </w:rPr>
        <w:t xml:space="preserve"> </w:t>
      </w:r>
    </w:p>
    <w:p>
      <w:pPr>
        <w:spacing w:line="240" w:lineRule="auto"/>
        <w:ind w:left="720"/>
        <w:rPr>
          <w:rFonts w:cs="Times New Roman"/>
          <w:sz w:val="24"/>
          <w:szCs w:val="26"/>
          <w:lang/>
        </w:rPr>
      </w:pPr>
      <w:r>
        <w:rPr>
          <w:rFonts w:cs="Times New Roman"/>
          <w:sz w:val="24"/>
          <w:szCs w:val="26"/>
          <w:lang/>
        </w:rPr>
        <w:t xml:space="preserve">- </w:t>
      </w:r>
      <w:r>
        <w:rPr>
          <w:rFonts w:eastAsia="Times New Roman" w:cs="Times New Roman"/>
          <w:color w:val="505050"/>
          <w:szCs w:val="20"/>
          <w:lang/>
        </w:rPr>
        <w:t>Доступны возможности персонализации системы.</w:t>
      </w:r>
    </w:p>
    <w:tbl>
      <w:tblPr>
        <w:tblW w:w="10800" w:type="dxa"/>
        <w:tblInd w:w="0" w:type="dxa"/>
        <w:tblBorders>
          <w:top w:val="single" w:color="969696" w:sz="4" w:space="0"/>
          <w:left w:val="none" w:color="auto" w:sz="0" w:space="0"/>
          <w:bottom w:val="single" w:color="969696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rPr>
          <w:cantSplit/>
          <w:trHeight w:val="5237" w:hRule="atLeast"/>
        </w:trPr>
        <w:tc>
          <w:tcPr>
            <w:tcW w:w="10800" w:type="dxa"/>
            <w:tcBorders>
              <w:top w:val="single" w:color="505050" w:sz="4" w:space="0"/>
              <w:bottom w:val="single" w:color="505050" w:sz="4" w:space="0"/>
            </w:tcBorders>
            <w:vAlign w:val="top"/>
          </w:tcPr>
          <w:p>
            <w:pPr>
              <w:keepNext/>
              <w:spacing w:before="120" w:after="120" w:line="240" w:lineRule="auto"/>
              <w:ind w:left="-2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Segoe UI" w:hAnsi="Segoe UI" w:eastAsia="Times New Roman" w:cs="Times New Roman"/>
                <w:sz w:val="20"/>
                <w:szCs w:val="20"/>
                <w:lang w:bidi="ar-SA"/>
              </w:rPr>
              <w:pict>
                <v:shape id="Picture Frame 1028" o:spid="_x0000_s1028" type="#_x0000_t75" style="height:258pt;width:332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rPr>
          <w:cantSplit/>
          <w:trHeight w:val="275" w:hRule="atLeast"/>
        </w:trPr>
        <w:tc>
          <w:tcPr>
            <w:tcW w:w="10800" w:type="dxa"/>
            <w:tcBorders>
              <w:top w:val="single" w:color="505050" w:sz="4" w:space="0"/>
              <w:bottom w:val="nil"/>
            </w:tcBorders>
            <w:vAlign w:val="top"/>
          </w:tcPr>
          <w:p>
            <w:pPr>
              <w:spacing w:before="80" w:after="300" w:line="180" w:lineRule="atLeast"/>
              <w:rPr>
                <w:i/>
                <w:sz w:val="14"/>
                <w:lang/>
              </w:rPr>
            </w:pPr>
          </w:p>
        </w:tc>
      </w:tr>
    </w:tbl>
    <w:p>
      <w:pPr>
        <w:spacing w:line="240" w:lineRule="auto"/>
        <w:jc w:val="both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Приложение 1.</w:t>
      </w:r>
    </w:p>
    <w:p>
      <w:pPr>
        <w:spacing w:line="240" w:lineRule="auto"/>
        <w:jc w:val="both"/>
        <w:rPr>
          <w:b/>
          <w:bCs/>
          <w:sz w:val="20"/>
          <w:szCs w:val="26"/>
          <w:lang/>
        </w:rPr>
      </w:pPr>
      <w:r>
        <w:rPr>
          <w:b/>
          <w:bCs/>
          <w:sz w:val="20"/>
          <w:szCs w:val="26"/>
          <w:lang/>
        </w:rPr>
        <w:t>Признаки, достаточные для подтверждения легальности Windows</w:t>
      </w:r>
    </w:p>
    <w:p>
      <w:pPr>
        <w:pStyle w:val="42"/>
        <w:spacing w:before="0" w:beforeAutospacing="0"/>
        <w:rPr>
          <w:rFonts w:ascii="Segoe UI" w:hAnsi="Segoe UI"/>
          <w:b/>
          <w:sz w:val="26"/>
          <w:szCs w:val="26"/>
        </w:rPr>
      </w:pPr>
    </w:p>
    <w:tbl>
      <w:tblPr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6869"/>
      </w:tblGrid>
      <w:tr>
        <w:trPr>
          <w:jc w:val="center"/>
        </w:trPr>
        <w:tc>
          <w:tcPr>
            <w:tcW w:w="2771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Вариант приобретения</w:t>
            </w:r>
          </w:p>
        </w:tc>
        <w:tc>
          <w:tcPr>
            <w:tcW w:w="6869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Подтверждение лицензии</w:t>
            </w:r>
          </w:p>
        </w:tc>
      </w:tr>
      <w:tr>
        <w:trPr>
          <w:jc w:val="center"/>
        </w:trPr>
        <w:tc>
          <w:tcPr>
            <w:tcW w:w="2771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ОЕМ</w:t>
            </w:r>
          </w:p>
        </w:tc>
        <w:tc>
          <w:tcPr>
            <w:tcW w:w="6869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Подлинная наклейка Windows: - сертификат подлинности (СОА) с указанным наименованием продукта и ключом, или наклейка GML, а также документы, подтверждающие покупку.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COA должна быть размещена 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COA и ключа под съемным компонентом.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Для GML в дополнение к размещению 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>
        <w:trPr>
          <w:jc w:val="center"/>
        </w:trPr>
        <w:tc>
          <w:tcPr>
            <w:tcW w:w="2771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Коробочный продукт (FPP) и электронная версия (ESD)</w:t>
            </w:r>
          </w:p>
        </w:tc>
        <w:tc>
          <w:tcPr>
            <w:tcW w:w="6869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Если вы приобрели программное обеспечение на диске или другом физическом носителе, свидетельствами приобретения вами лицензионной копии программного обеспечения являются подлинная наклейка сертификата подлинности с указанным на ней ключом продукта и документ, подтверждающий факт покупки. 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Если вы получили и загрузили программное обеспечение в Интернете, свидетельствами приобретения вами лицензионной копии программного обеспечения являются ключ продукта Microsoft, передаваемый вам вместе с приобретенным программным обеспечением, и документ, подтверждающий факт покупки, выданный интернет-поставщиком фирменного программного обеспечения Microsoft. Подлинность документа, подтверждающего покупку, может быть проверена по записям продавца. 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</w:p>
        </w:tc>
      </w:tr>
      <w:tr>
        <w:trPr>
          <w:jc w:val="center"/>
        </w:trPr>
        <w:tc>
          <w:tcPr>
            <w:tcW w:w="2771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Версии для лицензирования установленной операционной системы Windows 8 GGK (Get Genuine Kit), Windows 8 Pro GGK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</w:p>
        </w:tc>
        <w:tc>
          <w:tcPr>
            <w:tcW w:w="6869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Сертификат подлинности (СОА), наклеенный на корпус ПК. На сертификате указано наименование продукта и 25-значный ключ продукта (Product Key)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Документ, подтверждающий факт покупки.</w:t>
            </w:r>
          </w:p>
        </w:tc>
      </w:tr>
      <w:tr>
        <w:trPr>
          <w:trHeight w:val="900" w:hRule="atLeast"/>
          <w:jc w:val="center"/>
        </w:trPr>
        <w:tc>
          <w:tcPr>
            <w:tcW w:w="2771" w:type="dxa"/>
            <w:tcBorders>
              <w:bottom w:val="single" w:color="auto" w:sz="4" w:space="0"/>
            </w:tcBorders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Соглашение GGWA для лицензирования установленной операционной системы Windows 8 в рамках программы корпоративного лицензирования Microsoft Open License</w:t>
            </w:r>
          </w:p>
        </w:tc>
        <w:tc>
          <w:tcPr>
            <w:tcW w:w="6869" w:type="dxa"/>
            <w:tcBorders>
              <w:bottom w:val="single" w:color="auto" w:sz="4" w:space="0"/>
            </w:tcBorders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Пакет документов, подтверждающий право на использование корпоративных лицензий:</w:t>
            </w:r>
          </w:p>
          <w:p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Лицензионный сертификат</w:t>
            </w:r>
          </w:p>
          <w:p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Соглашение Open License </w:t>
            </w:r>
          </w:p>
          <w:p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Дополнение к соглашению Microsoft Open License</w:t>
            </w:r>
          </w:p>
          <w:p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Подтверждение платежа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2771" w:type="dxa"/>
            <w:tcBorders>
              <w:top w:val="single" w:color="auto" w:sz="4" w:space="0"/>
            </w:tcBorders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Соглашение GGWA - Academic для лицензирования установленной операционной системы Windows 8 в учебных заведениях в рамках программы корпоративного лицензирования Microsoft Open License</w:t>
            </w:r>
          </w:p>
        </w:tc>
        <w:tc>
          <w:tcPr>
            <w:tcW w:w="6869" w:type="dxa"/>
            <w:tcBorders>
              <w:top w:val="single" w:color="auto" w:sz="4" w:space="0"/>
            </w:tcBorders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Пакет документов, подтверждающий право на использование корпоративных лицензий:</w:t>
            </w:r>
          </w:p>
          <w:p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Лицензионный сертификат</w:t>
            </w:r>
          </w:p>
          <w:p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Calibri" w:hAnsi="Calibri" w:eastAsia="Times New Roman" w:cs="Times New Roman"/>
                <w:color w:val="505050"/>
                <w:szCs w:val="20"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Соглашение</w:t>
            </w:r>
            <w:r>
              <w:rPr>
                <w:rFonts w:ascii="Calibri" w:hAnsi="Calibri" w:eastAsia="Times New Roman" w:cs="Times New Roman"/>
                <w:color w:val="505050"/>
                <w:szCs w:val="20"/>
              </w:rPr>
              <w:t xml:space="preserve"> Open License </w:t>
            </w: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или</w:t>
            </w:r>
            <w:r>
              <w:rPr>
                <w:rFonts w:ascii="Calibri" w:hAnsi="Calibri" w:eastAsia="Times New Roman" w:cs="Times New Roman"/>
                <w:color w:val="505050"/>
                <w:szCs w:val="20"/>
              </w:rPr>
              <w:t xml:space="preserve"> Academic &amp; School Agreement</w:t>
            </w:r>
          </w:p>
          <w:p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Дополнение к соглашению для учебных заведений Microsoft Open License – Academic</w:t>
            </w:r>
          </w:p>
          <w:p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Подтверждение платежа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</w:p>
        </w:tc>
      </w:tr>
      <w:tr>
        <w:trPr>
          <w:jc w:val="center"/>
        </w:trPr>
        <w:tc>
          <w:tcPr>
            <w:tcW w:w="2771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Корпоративные лицензии</w:t>
            </w:r>
          </w:p>
        </w:tc>
        <w:tc>
          <w:tcPr>
            <w:tcW w:w="6869" w:type="dxa"/>
            <w:vAlign w:val="top"/>
          </w:tcPr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Так как операционная система по корпоративным лицензиям поставляется только в виде обновления, пользователь должен иметь предустановленной одну из перечисленных выше лицензий на полную версию ОС как основу для обновления. Права на их использование подтверждаются, как указано в таблице выше. 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Пакет документов, подтверждающий право на использование корпоративных лицензий: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- Лицензии Open License: </w:t>
            </w:r>
          </w:p>
          <w:p>
            <w:pPr>
              <w:numPr>
                <w:ilvl w:val="0"/>
                <w:numId w:val="13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Соглашение Open License </w:t>
            </w:r>
          </w:p>
          <w:p>
            <w:pPr>
              <w:numPr>
                <w:ilvl w:val="0"/>
                <w:numId w:val="13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Лицензионный сертификат </w:t>
            </w:r>
          </w:p>
          <w:p>
            <w:pPr>
              <w:numPr>
                <w:ilvl w:val="0"/>
                <w:numId w:val="13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fldChar w:fldCharType="begin"/>
            </w:r>
            <w:r>
              <w:instrText xml:space="preserve">HYPERLINK "https://eopen.microsoft.com" </w:instrText>
            </w:r>
            <w:r>
              <w:fldChar w:fldCharType="separate"/>
            </w:r>
            <w:r>
              <w:rPr>
                <w:rFonts w:eastAsia="Times New Roman" w:cs="Times New Roman"/>
                <w:color w:val="505050"/>
                <w:szCs w:val="20"/>
                <w:lang/>
              </w:rPr>
              <w:t>https://eopen.microsoft.com</w:t>
            </w:r>
            <w:r>
              <w:fldChar w:fldCharType="end"/>
            </w: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 в качестве дополнительного подтверждения</w:t>
            </w:r>
          </w:p>
          <w:p>
            <w:pPr>
              <w:numPr>
                <w:ilvl w:val="0"/>
                <w:numId w:val="13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Подтверждение платежа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</w:rPr>
              <w:t xml:space="preserve">- </w:t>
            </w: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Программы</w:t>
            </w:r>
            <w:r>
              <w:rPr>
                <w:rFonts w:ascii="Calibri" w:hAnsi="Calibri" w:eastAsia="Times New Roman" w:cs="Times New Roman"/>
                <w:color w:val="505050"/>
                <w:szCs w:val="20"/>
              </w:rPr>
              <w:t xml:space="preserve"> Enterprise Agreement/Enterprise Agreement Subscription:</w:t>
            </w:r>
          </w:p>
          <w:p>
            <w:pPr>
              <w:numPr>
                <w:ilvl w:val="0"/>
                <w:numId w:val="14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Cоглашение EA </w:t>
            </w:r>
          </w:p>
          <w:p>
            <w:pPr>
              <w:numPr>
                <w:ilvl w:val="0"/>
                <w:numId w:val="14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Соглашение о регистрации </w:t>
            </w:r>
          </w:p>
          <w:p>
            <w:pPr>
              <w:numPr>
                <w:ilvl w:val="0"/>
                <w:numId w:val="14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Подтверждения заказов </w:t>
            </w:r>
          </w:p>
          <w:p>
            <w:pPr>
              <w:numPr>
                <w:ilvl w:val="0"/>
                <w:numId w:val="14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Подтверждения платежей</w:t>
            </w:r>
          </w:p>
          <w:p>
            <w:pPr>
              <w:spacing w:after="120"/>
              <w:rPr>
                <w:rFonts w:ascii="Calibri" w:hAnsi="Calibri" w:eastAsia="Times New Roman" w:cs="Times New Roman"/>
                <w:color w:val="505050"/>
                <w:szCs w:val="20"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</w:rPr>
              <w:t xml:space="preserve">- </w:t>
            </w: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Программы</w:t>
            </w:r>
            <w:r>
              <w:rPr>
                <w:rFonts w:ascii="Calibri" w:hAnsi="Calibri" w:eastAsia="Times New Roman" w:cs="Times New Roman"/>
                <w:color w:val="505050"/>
                <w:szCs w:val="20"/>
              </w:rPr>
              <w:t xml:space="preserve"> Open Value/Open Value Subscription/OSL/MYO:</w:t>
            </w:r>
          </w:p>
          <w:p>
            <w:pPr>
              <w:numPr>
                <w:ilvl w:val="0"/>
                <w:numId w:val="15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</w:rPr>
              <w:t>C</w:t>
            </w: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оглашение</w:t>
            </w:r>
            <w:r>
              <w:rPr>
                <w:rFonts w:ascii="Calibri" w:hAnsi="Calibri" w:eastAsia="Times New Roman" w:cs="Times New Roman"/>
                <w:color w:val="505050"/>
                <w:szCs w:val="20"/>
              </w:rPr>
              <w:t xml:space="preserve"> Open Value/Open Value Subscription/OSL/MYO </w:t>
            </w:r>
          </w:p>
          <w:p>
            <w:pPr>
              <w:numPr>
                <w:ilvl w:val="0"/>
                <w:numId w:val="15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Уведомление о согласии заключить соглашение (Acceptance letter) </w:t>
            </w:r>
          </w:p>
          <w:p>
            <w:pPr>
              <w:numPr>
                <w:ilvl w:val="0"/>
                <w:numId w:val="15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Ежегодные заказы </w:t>
            </w:r>
          </w:p>
          <w:p>
            <w:pPr>
              <w:numPr>
                <w:ilvl w:val="0"/>
                <w:numId w:val="15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 xml:space="preserve">Подтверждения заказов </w:t>
            </w:r>
          </w:p>
          <w:p>
            <w:pPr>
              <w:numPr>
                <w:ilvl w:val="0"/>
                <w:numId w:val="15"/>
              </w:numPr>
              <w:spacing w:after="120"/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</w:pPr>
            <w:r>
              <w:rPr>
                <w:rFonts w:ascii="Calibri" w:hAnsi="Calibri" w:eastAsia="Times New Roman" w:cs="Times New Roman"/>
                <w:color w:val="505050"/>
                <w:szCs w:val="20"/>
                <w:lang/>
              </w:rPr>
              <w:t>Подтверждения платежей</w:t>
            </w:r>
          </w:p>
        </w:tc>
      </w:tr>
    </w:tbl>
    <w:p>
      <w:pPr>
        <w:spacing w:line="240" w:lineRule="auto"/>
        <w:rPr>
          <w:rFonts w:cs="Times New Roman"/>
          <w:sz w:val="24"/>
          <w:szCs w:val="24"/>
          <w:lang/>
        </w:rPr>
      </w:pP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rPr>
          <w:rFonts w:eastAsia="Times New Roman" w:cs="Times New Roman"/>
          <w:color w:val="505050"/>
          <w:szCs w:val="20"/>
          <w:lang/>
        </w:rPr>
        <w:t>* - Более подробно о документах, сопровождающих приобретение, см. в документах с описанием программ лицензирования:</w:t>
      </w:r>
    </w:p>
    <w:p>
      <w:pPr>
        <w:spacing w:line="240" w:lineRule="auto"/>
        <w:rPr>
          <w:rFonts w:eastAsia="Times New Roman" w:cs="Times New Roman"/>
          <w:color w:val="505050"/>
          <w:szCs w:val="20"/>
          <w:lang/>
        </w:rPr>
      </w:pPr>
      <w:r>
        <w:fldChar w:fldCharType="begin"/>
      </w:r>
      <w:r>
        <w:instrText xml:space="preserve">HYPERLINK "http://www.microsoft.com/Rus/Licensing/" </w:instrText>
      </w:r>
      <w:r>
        <w:fldChar w:fldCharType="separate"/>
      </w:r>
      <w:r>
        <w:rPr>
          <w:rFonts w:eastAsia="Times New Roman" w:cs="Times New Roman"/>
          <w:b/>
          <w:bCs/>
          <w:color w:val="0000FF"/>
          <w:szCs w:val="20"/>
          <w:u w:val="single"/>
          <w:lang/>
        </w:rPr>
        <w:t>http://www.microsoft.com/Rus/Licensing/</w:t>
      </w:r>
      <w:r>
        <w:fldChar w:fldCharType="end"/>
      </w:r>
    </w:p>
    <w:p>
      <w:pPr>
        <w:pStyle w:val="3"/>
        <w:rPr>
          <w:lang/>
        </w:rPr>
      </w:pPr>
    </w:p>
    <w:sectPr>
      <w:headerReference r:id="rId4" w:type="first"/>
      <w:footerReference r:id="rId5" w:type="default"/>
      <w:type w:val="continuous"/>
      <w:pgSz w:w="12240" w:h="15840"/>
      <w:pgMar w:top="432" w:right="720" w:bottom="1728" w:left="720" w:header="144" w:footer="720" w:gutter="0"/>
      <w:pgNumType w:start="1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">
    <w:altName w:val="方正书宋_GBK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方正黑体_GBK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Condense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tabs>
        <w:tab w:val="right" w:pos="10800"/>
        <w:tab w:val="clear" w:pos="4680"/>
        <w:tab w:val="clear" w:pos="9360"/>
      </w:tabs>
    </w:pPr>
    <w:r>
      <w:rPr>
        <w:lang/>
      </w:rPr>
      <w:t>ООО «</w:t>
    </w:r>
    <w:r>
      <w:t>Microsoft Rus</w:t>
    </w:r>
    <w:r>
      <w:rPr>
        <w:lang/>
      </w:rPr>
      <w:t>»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Segoe UI" w:hAnsi="Segoe UI" w:eastAsia="Segoe UI"/>
        <w:sz w:val="18"/>
        <w:szCs w:val="22"/>
        <w:lang w:bidi="ar-SA"/>
      </w:rPr>
      <w:pict>
        <v:shape id="Picture 1" o:spid="_x0000_s1026" type="#_x0000_t75" style="position:absolute;left:0;margin-left:36.7pt;margin-top:711.35pt;height:17.2pt;width:81.25pt;mso-position-horizontal-relative:page;mso-position-vertical-relative:page;rotation:0f;z-index:-251658240;" o:ole="f" fillcolor="#FFFFFF" filled="f" o:preferrelative="t" stroked="f" coordorigin="0,0" coordsize="21600,21600" o:allowincell="f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anchorlock/>
        </v:shape>
      </w:pict>
    </w:r>
  </w:p>
  <w:tbl>
    <w:tblPr>
      <w:tblW w:w="837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8370"/>
    </w:tblGrid>
    <w:tr>
      <w:trPr>
        <w:cantSplit/>
        <w:trHeight w:val="2016" w:hRule="atLeast"/>
      </w:trPr>
      <w:tc>
        <w:tcPr>
          <w:tcW w:w="8370" w:type="dxa"/>
          <w:vAlign w:val="top"/>
        </w:tcPr>
        <w:p>
          <w:pPr>
            <w:pStyle w:val="41"/>
          </w:pPr>
        </w:p>
      </w:tc>
    </w:tr>
  </w:tbl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51873110">
    <w:nsid w:val="44A83056"/>
    <w:multiLevelType w:val="multilevel"/>
    <w:tmpl w:val="44A83056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2071914">
    <w:nsid w:val="2C3B1E6A"/>
    <w:multiLevelType w:val="multilevel"/>
    <w:tmpl w:val="2C3B1E6A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9742878">
    <w:nsid w:val="28840D9E"/>
    <w:multiLevelType w:val="multilevel"/>
    <w:tmpl w:val="28840D9E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42087591">
    <w:nsid w:val="6DCC06A7"/>
    <w:multiLevelType w:val="multilevel"/>
    <w:tmpl w:val="6DCC06A7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28326930">
    <w:nsid w:val="5B186B12"/>
    <w:multiLevelType w:val="multilevel"/>
    <w:tmpl w:val="5B186B12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5528105">
    <w:nsid w:val="0C401C29"/>
    <w:multiLevelType w:val="multilevel"/>
    <w:tmpl w:val="0C401C29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"/>
      <w:lvlJc w:val="left"/>
      <w:pPr>
        <w:ind w:left="1440" w:hanging="360"/>
      </w:pPr>
      <w:rPr>
        <w:rFonts w:hint="default" w:ascii="Wingdings 3" w:hAnsi="Wingdings 3"/>
        <w:color w:val="68217A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08124249">
    <w:nsid w:val="5FDA0759"/>
    <w:multiLevelType w:val="multilevel"/>
    <w:tmpl w:val="5FDA0759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2434102">
    <w:nsid w:val="31055936"/>
    <w:multiLevelType w:val="multilevel"/>
    <w:tmpl w:val="31055936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5108172">
    <w:nsid w:val="182575CC"/>
    <w:multiLevelType w:val="multilevel"/>
    <w:tmpl w:val="182575CC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6990188">
    <w:nsid w:val="1B3D1DEC"/>
    <w:multiLevelType w:val="multilevel"/>
    <w:tmpl w:val="1B3D1DEC"/>
    <w:lvl w:ilvl="0" w:tentative="1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5848536">
    <w:nsid w:val="1EBF3958"/>
    <w:multiLevelType w:val="multilevel"/>
    <w:tmpl w:val="1EBF3958"/>
    <w:lvl w:ilvl="0" w:tentative="1">
      <w:start w:val="1"/>
      <w:numFmt w:val="bullet"/>
      <w:pStyle w:val="38"/>
      <w:lvlText w:val=""/>
      <w:lvlJc w:val="left"/>
      <w:pPr>
        <w:ind w:left="360" w:hanging="360"/>
      </w:pPr>
      <w:rPr>
        <w:rFonts w:hint="default" w:ascii="Wingdings 3" w:hAnsi="Wingdings 3"/>
        <w:color w:val="68217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2318436">
    <w:nsid w:val="3FEA47E4"/>
    <w:multiLevelType w:val="multilevel"/>
    <w:tmpl w:val="3FEA47E4"/>
    <w:lvl w:ilvl="0" w:tentative="1">
      <w:start w:val="1"/>
      <w:numFmt w:val="bullet"/>
      <w:lvlText w:val="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56698956">
    <w:nsid w:val="3310304C"/>
    <w:multiLevelType w:val="multilevel"/>
    <w:tmpl w:val="3310304C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7822433">
    <w:nsid w:val="7E3B67E1"/>
    <w:multiLevelType w:val="multilevel"/>
    <w:tmpl w:val="7E3B67E1"/>
    <w:lvl w:ilvl="0" w:tentative="1">
      <w:start w:val="1"/>
      <w:numFmt w:val="bullet"/>
      <w:lvlText w:val="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44195944">
    <w:nsid w:val="44330B68"/>
    <w:multiLevelType w:val="multilevel"/>
    <w:tmpl w:val="44330B68"/>
    <w:lvl w:ilvl="0" w:tentative="1">
      <w:start w:val="1"/>
      <w:numFmt w:val="bullet"/>
      <w:lvlText w:val="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15848536"/>
  </w:num>
  <w:num w:numId="2">
    <w:abstractNumId w:val="1608124249"/>
  </w:num>
  <w:num w:numId="3">
    <w:abstractNumId w:val="856698956"/>
  </w:num>
  <w:num w:numId="4">
    <w:abstractNumId w:val="679742878"/>
  </w:num>
  <w:num w:numId="5">
    <w:abstractNumId w:val="1151873110"/>
  </w:num>
  <w:num w:numId="6">
    <w:abstractNumId w:val="405108172"/>
  </w:num>
  <w:num w:numId="7">
    <w:abstractNumId w:val="205528105"/>
  </w:num>
  <w:num w:numId="8">
    <w:abstractNumId w:val="456990188"/>
  </w:num>
  <w:num w:numId="9">
    <w:abstractNumId w:val="1842087591"/>
  </w:num>
  <w:num w:numId="10">
    <w:abstractNumId w:val="742071914"/>
  </w:num>
  <w:num w:numId="11">
    <w:abstractNumId w:val="1528326930"/>
  </w:num>
  <w:num w:numId="12">
    <w:abstractNumId w:val="822434102"/>
  </w:num>
  <w:num w:numId="13">
    <w:abstractNumId w:val="1144195944"/>
  </w:num>
  <w:num w:numId="14">
    <w:abstractNumId w:val="2117822433"/>
  </w:num>
  <w:num w:numId="15">
    <w:abstractNumId w:val="10723184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  <w:lang w:val="en-US" w:eastAsia="zh-CN" w:bidi="ar-SA"/>
      </w:rPr>
    </w:rPrDefault>
  </w:docDefaults>
  <w:style w:type="paragraph" w:default="1" w:styleId="1">
    <w:name w:val="Normal"/>
    <w:pPr>
      <w:spacing w:line="240" w:lineRule="atLeast"/>
    </w:pPr>
    <w:rPr>
      <w:rFonts w:ascii="Segoe UI" w:hAnsi="Segoe UI" w:eastAsia="Segoe UI"/>
      <w:sz w:val="18"/>
      <w:szCs w:val="22"/>
      <w:lang w:val="en-US" w:eastAsia="en-US" w:bidi="ar-SA"/>
    </w:rPr>
  </w:style>
  <w:style w:type="paragraph" w:styleId="2">
    <w:name w:val="heading 2"/>
    <w:next w:val="3"/>
    <w:link w:val="4"/>
    <w:pPr>
      <w:keepNext/>
      <w:keepLines/>
      <w:spacing w:before="240" w:after="120" w:line="280" w:lineRule="atLeast"/>
      <w:outlineLvl w:val="1"/>
    </w:pPr>
    <w:rPr>
      <w:rFonts w:ascii="Segoe UI" w:hAnsi="Segoe UI"/>
      <w:b/>
      <w:bCs/>
      <w:color w:val="68217A"/>
      <w:sz w:val="24"/>
      <w:szCs w:val="26"/>
    </w:rPr>
  </w:style>
  <w:style w:type="paragraph" w:styleId="6">
    <w:name w:val="heading 3"/>
    <w:basedOn w:val="2"/>
    <w:next w:val="3"/>
    <w:link w:val="7"/>
    <w:pPr>
      <w:spacing w:after="0" w:line="260" w:lineRule="atLeast"/>
      <w:outlineLvl w:val="2"/>
    </w:pPr>
    <w:rPr>
      <w:rFonts w:ascii="Segoe UI" w:hAnsi="Segoe UI"/>
      <w:sz w:val="20"/>
      <w:szCs w:val="26"/>
    </w:rPr>
  </w:style>
  <w:style w:type="character" w:default="1" w:styleId="5">
    <w:name w:val="Default Paragraph Font"/>
  </w:style>
  <w:style w:type="paragraph" w:styleId="3">
    <w:name w:val="Body Text"/>
    <w:basedOn w:val="1"/>
    <w:link w:val="54"/>
    <w:pPr>
      <w:spacing w:after="120"/>
    </w:pPr>
    <w:rPr>
      <w:rFonts w:ascii="Segoe UI" w:hAnsi="Segoe UI" w:eastAsia="Times New Roman" w:cs="Times New Roman"/>
      <w:color w:val="505050"/>
      <w:sz w:val="18"/>
      <w:szCs w:val="20"/>
    </w:rPr>
  </w:style>
  <w:style w:type="character" w:customStyle="1" w:styleId="4">
    <w:name w:val="Heading 2 Char"/>
    <w:basedOn w:val="5"/>
    <w:link w:val="2"/>
    <w:semiHidden/>
    <w:rPr>
      <w:rFonts w:ascii="Segoe UI" w:hAnsi="Segoe UI"/>
      <w:b/>
      <w:bCs/>
      <w:color w:val="68217A"/>
      <w:sz w:val="24"/>
      <w:szCs w:val="26"/>
    </w:rPr>
  </w:style>
  <w:style w:type="character" w:customStyle="1" w:styleId="7">
    <w:name w:val="Heading 3 Char"/>
    <w:basedOn w:val="5"/>
    <w:link w:val="6"/>
    <w:semiHidden/>
    <w:rPr>
      <w:rFonts w:ascii="Segoe UI" w:hAnsi="Segoe UI"/>
      <w:b/>
      <w:bCs/>
      <w:sz w:val="20"/>
      <w:szCs w:val="26"/>
    </w:rPr>
  </w:style>
  <w:style w:type="paragraph" w:styleId="8">
    <w:name w:val="Balloon Text"/>
    <w:basedOn w:val="1"/>
    <w:link w:val="43"/>
    <w:rPr>
      <w:rFonts w:ascii="Tahoma" w:hAnsi="Tahoma" w:cs="Tahoma"/>
      <w:sz w:val="16"/>
      <w:szCs w:val="16"/>
    </w:rPr>
  </w:style>
  <w:style w:type="paragraph" w:styleId="9">
    <w:name w:val="Block Text"/>
    <w:basedOn w:val="1"/>
    <w:next w:val="1"/>
    <w:link w:val="49"/>
    <w:rPr>
      <w:i/>
      <w:iCs/>
      <w:color w:val="58595B"/>
    </w:rPr>
  </w:style>
  <w:style w:type="paragraph" w:styleId="10">
    <w:name w:val="caption"/>
    <w:basedOn w:val="1"/>
    <w:pPr>
      <w:spacing w:before="80" w:after="300" w:line="180" w:lineRule="atLeast"/>
    </w:pPr>
    <w:rPr>
      <w:i/>
      <w:sz w:val="14"/>
    </w:rPr>
  </w:style>
  <w:style w:type="paragraph" w:styleId="11">
    <w:name w:val="footer"/>
    <w:link w:val="12"/>
    <w:pPr>
      <w:pBdr>
        <w:top w:val="single" w:color="969696" w:sz="4" w:space="5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12">
    <w:name w:val="Footer Char"/>
    <w:basedOn w:val="5"/>
    <w:link w:val="11"/>
    <w:semiHidden/>
    <w:rPr>
      <w:rFonts w:ascii="Segoe UI" w:hAnsi="Segoe UI"/>
      <w:color w:val="505050"/>
      <w:sz w:val="18"/>
    </w:rPr>
  </w:style>
  <w:style w:type="paragraph" w:styleId="13">
    <w:name w:val="header"/>
    <w:basedOn w:val="1"/>
    <w:link w:val="14"/>
    <w:pPr>
      <w:pBdr>
        <w:top w:val="single" w:color="68217A" w:sz="4" w:space="5"/>
      </w:pBdr>
      <w:tabs>
        <w:tab w:val="center" w:pos="4680"/>
        <w:tab w:val="right" w:pos="9360"/>
      </w:tabs>
      <w:spacing w:before="440" w:after="520" w:line="240" w:lineRule="auto"/>
    </w:pPr>
    <w:rPr>
      <w:rFonts w:ascii="Segoe UI Light" w:hAnsi="Segoe UI Light"/>
      <w:color w:val="68217A"/>
      <w:sz w:val="40"/>
    </w:rPr>
  </w:style>
  <w:style w:type="character" w:customStyle="1" w:styleId="14">
    <w:name w:val="Header Char"/>
    <w:basedOn w:val="5"/>
    <w:link w:val="13"/>
    <w:semiHidden/>
    <w:rPr>
      <w:rFonts w:ascii="Segoe UI Light" w:hAnsi="Segoe UI Light"/>
      <w:color w:val="68217A"/>
      <w:sz w:val="40"/>
    </w:rPr>
  </w:style>
  <w:style w:type="paragraph" w:styleId="15">
    <w:name w:val="Subtitle"/>
    <w:basedOn w:val="1"/>
    <w:next w:val="1"/>
    <w:link w:val="46"/>
    <w:pPr>
      <w:numPr>
        <w:numId w:val="0"/>
      </w:numPr>
    </w:pPr>
    <w:rPr>
      <w:rFonts w:ascii="Segoe UI Light" w:hAnsi="Segoe UI Light"/>
      <w:i/>
      <w:iCs/>
      <w:color w:val="4F81BD"/>
      <w:spacing w:val="15"/>
      <w:sz w:val="24"/>
      <w:szCs w:val="24"/>
    </w:rPr>
  </w:style>
  <w:style w:type="paragraph" w:styleId="16">
    <w:name w:val="Title"/>
    <w:basedOn w:val="1"/>
    <w:next w:val="1"/>
    <w:link w:val="45"/>
    <w:pPr>
      <w:pBdr>
        <w:bottom w:val="single" w:color="4F81BD" w:sz="8" w:space="4"/>
      </w:pBdr>
      <w:spacing w:after="300"/>
      <w:contextualSpacing/>
    </w:pPr>
    <w:rPr>
      <w:rFonts w:ascii="Segoe UI Light" w:hAnsi="Segoe UI Light"/>
      <w:color w:val="003E7A"/>
      <w:spacing w:val="5"/>
      <w:kern w:val="28"/>
      <w:sz w:val="52"/>
      <w:szCs w:val="52"/>
    </w:rPr>
  </w:style>
  <w:style w:type="paragraph" w:styleId="17">
    <w:name w:val="toc 1"/>
    <w:basedOn w:val="1"/>
    <w:next w:val="1"/>
    <w:pPr>
      <w:tabs>
        <w:tab w:val="right" w:leader="dot" w:pos="9360"/>
      </w:tabs>
      <w:spacing w:before="240" w:after="240" w:line="240" w:lineRule="exact"/>
    </w:pPr>
    <w:rPr>
      <w:color w:val="505050"/>
      <w:sz w:val="20"/>
    </w:rPr>
  </w:style>
  <w:style w:type="paragraph" w:styleId="18">
    <w:name w:val="toc 2"/>
    <w:basedOn w:val="1"/>
    <w:next w:val="1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color w:val="505050"/>
      <w:sz w:val="20"/>
      <w:szCs w:val="20"/>
    </w:rPr>
  </w:style>
  <w:style w:type="character" w:styleId="19">
    <w:name w:val="Emphasis"/>
    <w:basedOn w:val="5"/>
    <w:rPr>
      <w:i/>
      <w:iCs/>
    </w:rPr>
  </w:style>
  <w:style w:type="character" w:styleId="20">
    <w:name w:val="Hyperlink"/>
    <w:basedOn w:val="5"/>
    <w:rPr>
      <w:color w:val="0000FF"/>
      <w:u w:val="single"/>
    </w:rPr>
  </w:style>
  <w:style w:type="character" w:styleId="21">
    <w:name w:val="Strong"/>
    <w:basedOn w:val="5"/>
    <w:rPr>
      <w:b/>
      <w:bCs/>
    </w:rPr>
  </w:style>
  <w:style w:type="paragraph" w:customStyle="1" w:styleId="22">
    <w:name w:val="heading 1"/>
    <w:next w:val="3"/>
    <w:link w:val="44"/>
    <w:pPr>
      <w:keepNext/>
      <w:pBdr>
        <w:top w:val="single" w:color="68217A" w:sz="4" w:space="6"/>
      </w:pBdr>
      <w:spacing w:before="480" w:after="160" w:line="420" w:lineRule="exact"/>
      <w:outlineLvl w:val="0"/>
    </w:pPr>
    <w:rPr>
      <w:rFonts w:ascii="Segoe UI Light" w:hAnsi="Segoe UI Light" w:eastAsia="Times New Roman" w:cs="Times New Roman"/>
      <w:color w:val="68217A"/>
      <w:kern w:val="36"/>
      <w:sz w:val="36"/>
      <w:szCs w:val="39"/>
    </w:rPr>
  </w:style>
  <w:style w:type="paragraph" w:customStyle="1" w:styleId="23">
    <w:name w:val="ecxmsonormal"/>
    <w:basedOn w:val="1"/>
    <w:pPr>
      <w:spacing w:after="324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Intense Quote"/>
    <w:basedOn w:val="1"/>
    <w:next w:val="1"/>
    <w:link w:val="5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5">
    <w:name w:val="List Paragraph"/>
    <w:basedOn w:val="1"/>
  </w:style>
  <w:style w:type="paragraph" w:customStyle="1" w:styleId="26">
    <w:name w:val="No Spacing"/>
    <w:rPr>
      <w:rFonts w:ascii="Arial" w:hAnsi="Arial" w:eastAsia="Segoe UI"/>
      <w:sz w:val="22"/>
      <w:szCs w:val="22"/>
      <w:lang w:val="en-US" w:eastAsia="en-US" w:bidi="ar-SA"/>
    </w:rPr>
  </w:style>
  <w:style w:type="paragraph" w:customStyle="1" w:styleId="27">
    <w:name w:val="Body Text Indented"/>
    <w:basedOn w:val="3"/>
    <w:pPr>
      <w:ind w:left="3168"/>
    </w:pPr>
  </w:style>
  <w:style w:type="paragraph" w:customStyle="1" w:styleId="28">
    <w:name w:val="Legalese"/>
    <w:pPr>
      <w:spacing w:after="120" w:line="180" w:lineRule="atLeast"/>
    </w:pPr>
    <w:rPr>
      <w:rFonts w:ascii="Segoe UI" w:hAnsi="Segoe UI" w:eastAsia="Times New Roman" w:cs="Times New Roman"/>
      <w:color w:val="58595B"/>
      <w:sz w:val="14"/>
      <w:szCs w:val="20"/>
    </w:rPr>
  </w:style>
  <w:style w:type="paragraph" w:customStyle="1" w:styleId="29">
    <w:name w:val="Cell to hold image"/>
    <w:basedOn w:val="1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paragraph" w:customStyle="1" w:styleId="30">
    <w:name w:val="Table Headings -- 11 pt"/>
    <w:basedOn w:val="1"/>
    <w:pPr>
      <w:keepNext/>
    </w:pPr>
    <w:rPr>
      <w:color w:val="FFFFFF"/>
      <w:sz w:val="22"/>
    </w:rPr>
  </w:style>
  <w:style w:type="paragraph" w:customStyle="1" w:styleId="31">
    <w:name w:val="Hdg 1 no border"/>
    <w:basedOn w:val="22"/>
    <w:pPr>
      <w:pBdr>
        <w:top w:val="none" w:color="auto" w:sz="0" w:space="0"/>
      </w:pBdr>
    </w:pPr>
    <w:rPr>
      <w:szCs w:val="20"/>
    </w:rPr>
  </w:style>
  <w:style w:type="paragraph" w:customStyle="1" w:styleId="32">
    <w:name w:val="Heading 3 Indented"/>
    <w:basedOn w:val="6"/>
    <w:pPr>
      <w:ind w:left="3168"/>
    </w:pPr>
    <w:rPr>
      <w:rFonts w:eastAsia="Times New Roman" w:cs="Times New Roman"/>
      <w:szCs w:val="20"/>
    </w:rPr>
  </w:style>
  <w:style w:type="paragraph" w:customStyle="1" w:styleId="33">
    <w:name w:val="Image table spacer rows"/>
    <w:pPr>
      <w:keepNext/>
    </w:pPr>
    <w:rPr>
      <w:rFonts w:ascii="Segoe UI" w:hAnsi="Segoe UI" w:eastAsia="Times New Roman" w:cs="Times New Roman"/>
      <w:color w:val="58595B"/>
      <w:sz w:val="16"/>
      <w:szCs w:val="20"/>
    </w:rPr>
  </w:style>
  <w:style w:type="paragraph" w:customStyle="1" w:styleId="34">
    <w:name w:val="Sidebar heading"/>
    <w:pPr>
      <w:spacing w:after="180" w:line="290" w:lineRule="exact"/>
    </w:pPr>
    <w:rPr>
      <w:rFonts w:ascii="Segoe UI" w:hAnsi="Segoe UI" w:eastAsia="Times New Roman" w:cs="Times New Roman"/>
      <w:color w:val="68217A"/>
      <w:sz w:val="24"/>
      <w:szCs w:val="20"/>
    </w:rPr>
  </w:style>
  <w:style w:type="paragraph" w:customStyle="1" w:styleId="35">
    <w:name w:val="Hdg 1 w/ border indented"/>
    <w:basedOn w:val="22"/>
    <w:pPr>
      <w:ind w:left="3150"/>
    </w:pPr>
    <w:rPr>
      <w:szCs w:val="20"/>
    </w:rPr>
  </w:style>
  <w:style w:type="paragraph" w:customStyle="1" w:styleId="36">
    <w:name w:val="Hdg 1 no border indented"/>
    <w:basedOn w:val="31"/>
    <w:pPr>
      <w:ind w:left="3150"/>
    </w:pPr>
  </w:style>
  <w:style w:type="paragraph" w:customStyle="1" w:styleId="37">
    <w:name w:val="Heading 2 indented"/>
    <w:basedOn w:val="2"/>
    <w:next w:val="3"/>
    <w:pPr>
      <w:ind w:left="3168"/>
    </w:pPr>
    <w:rPr>
      <w:rFonts w:eastAsia="Times New Roman" w:cs="Times New Roman"/>
      <w:szCs w:val="20"/>
    </w:rPr>
  </w:style>
  <w:style w:type="paragraph" w:customStyle="1" w:styleId="38">
    <w:name w:val="Bullet"/>
    <w:basedOn w:val="3"/>
    <w:pPr>
      <w:numPr>
        <w:ilvl w:val="0"/>
        <w:numId w:val="1"/>
      </w:numPr>
    </w:pPr>
  </w:style>
  <w:style w:type="paragraph" w:customStyle="1" w:styleId="39">
    <w:name w:val="Bullet indented"/>
    <w:basedOn w:val="38"/>
    <w:pPr>
      <w:ind w:left="3528"/>
    </w:pPr>
  </w:style>
  <w:style w:type="paragraph" w:customStyle="1" w:styleId="40">
    <w:name w:val="Bullet next to sidebar"/>
    <w:basedOn w:val="39"/>
    <w:pPr>
      <w:ind w:left="3442" w:hanging="3442"/>
    </w:pPr>
  </w:style>
  <w:style w:type="paragraph" w:customStyle="1" w:styleId="41">
    <w:name w:val="Document Title"/>
    <w:pPr>
      <w:spacing w:line="440" w:lineRule="exact"/>
      <w:ind w:right="14"/>
    </w:pPr>
    <w:rPr>
      <w:rFonts w:ascii="Segoe UI Light" w:hAnsi="Segoe UI Light" w:eastAsia="Times New Roman" w:cs="Times New Roman"/>
      <w:color w:val="FFFFFF"/>
      <w:sz w:val="40"/>
      <w:szCs w:val="20"/>
    </w:rPr>
  </w:style>
  <w:style w:type="paragraph" w:customStyle="1" w:styleId="42">
    <w:name w:val="main"/>
    <w:basedOn w:val="1"/>
    <w:pPr>
      <w:spacing w:before="100" w:beforeAutospacing="1" w:line="240" w:lineRule="auto"/>
    </w:pPr>
    <w:rPr>
      <w:rFonts w:ascii="Verdana" w:hAnsi="Verdana" w:eastAsia="Times New Roman" w:cs="Times New Roman"/>
      <w:sz w:val="19"/>
      <w:szCs w:val="19"/>
      <w:lang/>
    </w:rPr>
  </w:style>
  <w:style w:type="character" w:customStyle="1" w:styleId="43">
    <w:name w:val="Balloon Text Char Char"/>
    <w:basedOn w:val="5"/>
    <w:link w:val="8"/>
    <w:semiHidden/>
    <w:rPr>
      <w:rFonts w:ascii="Tahoma" w:hAnsi="Tahoma" w:cs="Tahoma"/>
      <w:sz w:val="16"/>
      <w:szCs w:val="16"/>
    </w:rPr>
  </w:style>
  <w:style w:type="character" w:customStyle="1" w:styleId="44">
    <w:name w:val="Heading 1 Char"/>
    <w:aliases w:val="Hdg 1 w/ border Char"/>
    <w:basedOn w:val="5"/>
    <w:link w:val="22"/>
    <w:semiHidden/>
    <w:rPr>
      <w:rFonts w:ascii="Segoe UI Light" w:hAnsi="Segoe UI Light" w:eastAsia="Times New Roman" w:cs="Times New Roman"/>
      <w:color w:val="68217A"/>
      <w:kern w:val="36"/>
      <w:sz w:val="36"/>
      <w:szCs w:val="39"/>
    </w:rPr>
  </w:style>
  <w:style w:type="character" w:customStyle="1" w:styleId="45">
    <w:name w:val="Title Char Char"/>
    <w:basedOn w:val="5"/>
    <w:link w:val="16"/>
    <w:semiHidden/>
    <w:rPr>
      <w:rFonts w:ascii="Segoe UI Light" w:hAnsi="Segoe UI Light"/>
      <w:color w:val="003E7A"/>
      <w:spacing w:val="5"/>
      <w:kern w:val="28"/>
      <w:sz w:val="52"/>
      <w:szCs w:val="52"/>
    </w:rPr>
  </w:style>
  <w:style w:type="character" w:customStyle="1" w:styleId="46">
    <w:name w:val="Subtitle Char Char"/>
    <w:basedOn w:val="5"/>
    <w:link w:val="15"/>
    <w:semiHidden/>
    <w:rPr>
      <w:rFonts w:ascii="Segoe UI Light" w:hAnsi="Segoe UI Light"/>
      <w:i/>
      <w:iCs/>
      <w:color w:val="4F81BD"/>
      <w:spacing w:val="15"/>
      <w:sz w:val="24"/>
      <w:szCs w:val="24"/>
    </w:rPr>
  </w:style>
  <w:style w:type="character" w:customStyle="1" w:styleId="47">
    <w:name w:val="Subtle Emphasis"/>
    <w:basedOn w:val="5"/>
    <w:rPr>
      <w:i/>
      <w:iCs/>
      <w:color w:val="AAAAAB"/>
    </w:rPr>
  </w:style>
  <w:style w:type="character" w:customStyle="1" w:styleId="48">
    <w:name w:val="Intense Emphasis"/>
    <w:basedOn w:val="5"/>
    <w:rPr>
      <w:b/>
      <w:bCs/>
      <w:i/>
      <w:iCs/>
      <w:color w:val="4F81BD"/>
    </w:rPr>
  </w:style>
  <w:style w:type="character" w:customStyle="1" w:styleId="49">
    <w:name w:val="Quote Char"/>
    <w:basedOn w:val="5"/>
    <w:link w:val="9"/>
    <w:semiHidden/>
    <w:rPr>
      <w:i/>
      <w:iCs/>
      <w:color w:val="58595B"/>
    </w:rPr>
  </w:style>
  <w:style w:type="character" w:customStyle="1" w:styleId="50">
    <w:name w:val="Intense Quote Char Char"/>
    <w:basedOn w:val="5"/>
    <w:link w:val="24"/>
    <w:semiHidden/>
    <w:rPr>
      <w:b/>
      <w:bCs/>
      <w:i/>
      <w:iCs/>
      <w:color w:val="4F81BD"/>
    </w:rPr>
  </w:style>
  <w:style w:type="character" w:customStyle="1" w:styleId="51">
    <w:name w:val="Subtle Reference"/>
    <w:basedOn w:val="5"/>
    <w:rPr>
      <w:smallCaps/>
      <w:color w:val="C0504D"/>
      <w:u w:val="single"/>
    </w:rPr>
  </w:style>
  <w:style w:type="character" w:customStyle="1" w:styleId="52">
    <w:name w:val="Intense Reference"/>
    <w:basedOn w:val="5"/>
    <w:rPr>
      <w:b/>
      <w:bCs/>
      <w:smallCaps/>
      <w:color w:val="C0504D"/>
      <w:spacing w:val="5"/>
      <w:u w:val="single"/>
    </w:rPr>
  </w:style>
  <w:style w:type="character" w:customStyle="1" w:styleId="53">
    <w:name w:val="Book Title"/>
    <w:basedOn w:val="5"/>
    <w:rPr>
      <w:b/>
      <w:bCs/>
      <w:smallCaps/>
      <w:spacing w:val="5"/>
    </w:rPr>
  </w:style>
  <w:style w:type="character" w:customStyle="1" w:styleId="54">
    <w:name w:val="Body Text Char Char"/>
    <w:basedOn w:val="5"/>
    <w:link w:val="3"/>
    <w:semiHidden/>
    <w:rPr>
      <w:rFonts w:ascii="Segoe UI" w:hAnsi="Segoe UI" w:eastAsia="Times New Roman" w:cs="Times New Roman"/>
      <w:color w:val="50505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правильно лицензировать операционную систему Windows 8 yp</Template>
  <Company>Microsoft</Company>
  <Pages>9</Pages>
  <Words>3046</Words>
  <Characters>17367</Characters>
  <Lines>144</Lines>
  <Paragraphs>40</Paragraphs>
  <TotalTime>1431655765</TotalTime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1970-01-01T07:59:59Z</dcterms:created>
  <dc:creator>Julie</dc:creator>
  <cp:lastModifiedBy>jay</cp:lastModifiedBy>
  <cp:lastPrinted>1970-01-01T07:59:59Z</cp:lastPrinted>
  <dcterms:modified xsi:type="dcterms:W3CDTF">1970-01-01T07:59:59Z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0x010100BCB8CC890591AA47B84097638CB62A44</vt:lpwstr>
  </property>
  <property fmtid="{D5CDD505-2E9C-101B-9397-08002B2CF9AE}" pid="3" name="KSOProductBuildVer">
    <vt:lpwstr>1033-9.1.0.4280</vt:lpwstr>
  </property>
</Properties>
</file>