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oter2.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styles.xml" ContentType="application/vnd.openxmlformats-officedocument.wordprocessingml.styles+xml"/>
  <Override PartName="/word/header5.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media/image3.jpeg" ContentType="image/jpeg"/>
  <Override PartName="/word/media/image2.jpeg" ContentType="image/jpeg"/>
  <Override PartName="/word/media/image1.wmf" ContentType="image/x-wmf"/>
  <Override PartName="/word/header2.xml" ContentType="application/vnd.openxmlformats-officedocument.wordprocessingml.head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sectPr>
          <w:headerReference r:id="rId3" w:type="even"/>
          <w:headerReference r:id="rId4" w:type="default"/>
          <w:footerReference r:id="rId5" w:type="even"/>
          <w:footerReference r:id="rId6" w:type="default"/>
          <w:type w:val="evenPage"/>
          <w:pgSz w:h="15840" w:w="12240"/>
          <w:pgMar w:bottom="777" w:footer="720" w:gutter="0" w:header="720" w:left="720" w:right="720" w:top="777"/>
          <w:pgNumType w:fmt="decimal"/>
          <w:formProt w:val="false"/>
          <w:textDirection w:val="lrTb"/>
          <w:docGrid w:charSpace="0" w:linePitch="326" w:type="default"/>
        </w:sectPr>
        <w:pStyle w:val="style62"/>
        <w:spacing w:after="280" w:before="280"/>
        <w:contextualSpacing w:val="false"/>
        <w:jc w:val="both"/>
        <w:rPr>
          <w:sz w:val="2"/>
          <w:szCs w:val="2"/>
        </w:rPr>
      </w:pPr>
      <w:r>
        <w:rPr>
          <w:sz w:val="2"/>
          <w:szCs w:val="2"/>
        </w:rPr>
        <w:t> </w:t>
      </w:r>
      <w:bookmarkStart w:id="0" w:name="_GoBack"/>
      <w:bookmarkEnd w:id="0"/>
      <w:r>
        <w:rPr>
          <w:sz w:val="2"/>
          <w:szCs w:val="2"/>
        </w:rPr>
        <w:drawing>
          <wp:inline distB="0" distL="0" distR="0" distT="0">
            <wp:extent cx="6858000" cy="8809990"/>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6858000" cy="8809990"/>
                    </a:xfrm>
                    <a:prstGeom prst="rect">
                      <a:avLst/>
                    </a:prstGeom>
                    <a:noFill/>
                    <a:ln w="9525">
                      <a:noFill/>
                      <a:miter lim="800000"/>
                      <a:headEnd/>
                      <a:tailEnd/>
                    </a:ln>
                  </pic:spPr>
                </pic:pic>
              </a:graphicData>
            </a:graphic>
          </wp:inline>
        </w:drawing>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TO OUR SHAREHOLDERS, CUSTOMERS, PARTNERS AND EMPLOYEES: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This is a unique letter for me – the last shareholder letter I will write as the CEO of the company I love. We have always believed that technology will unleash human potential and that is why I have come to work every day with a heart full of passion for more than 30 years.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Fiscal Year 2013 was a pivotal year for Microsoft in every sense of the word.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Last year in my letter to you I declared a fundamental shift in our business to a devices and services company. This transformation impacts how we run the company, how we develop new experiences, and how we take products to market for both consumers and businesses.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This past year we took the first big bold steps forward in our transformation and we did it while growing revenue to $77.8 billion (up 6 percent). In addition, we returned $12.3 billion (up 15 percent) to shareholders through dividends and stock repurchases. While we were able to grow revenue to a record level, our earnings results reflect investments as well as some of the challenges of undertaking a transformation of this magnitude.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With this as backdrop, I’d like to summarize where we are now and where we’re headed, because it helps explain why I’m so enthusiastic about the opportunity ahead. </w:t>
      </w:r>
    </w:p>
    <w:p>
      <w:pPr>
        <w:pStyle w:val="style62"/>
        <w:spacing w:after="280" w:before="280"/>
        <w:contextualSpacing w:val="false"/>
        <w:jc w:val="both"/>
        <w:rPr>
          <w:rFonts w:ascii="Arial" w:cs="Arial" w:hAnsi="Arial"/>
          <w:b/>
          <w:bCs/>
          <w:sz w:val="20"/>
          <w:szCs w:val="20"/>
        </w:rPr>
      </w:pPr>
      <w:r>
        <w:rPr>
          <w:rFonts w:ascii="Arial" w:cs="Arial" w:hAnsi="Arial"/>
          <w:b/>
          <w:bCs/>
          <w:sz w:val="20"/>
          <w:szCs w:val="20"/>
        </w:rPr>
        <w:t xml:space="preserve">Our strategy: High-value activities enabled by a family of devices and services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are still in the early days of our transformation, yet we made strong progress in the past year launching devices and services that people love and businesses need. We brought Windows 8 to the world; we brought consistent user experiences to PCs, tablets, phones and Xbox; and we made important advancements to Windows Server, Windows Azure, Microsoft Dynamics and Office 365. We are proud of what we accomplished this year and continue to be passionate about delivering better devices and services more quickly.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To increase innovation, capability, efficiency and speed we further sharpened our strategy, and in July 2013 we </w:t>
      </w:r>
      <w:hyperlink r:id="rId7">
        <w:r>
          <w:rPr>
            <w:rStyle w:val="style18"/>
            <w:rFonts w:ascii="Arial" w:cs="Arial" w:hAnsi="Arial"/>
            <w:sz w:val="20"/>
            <w:szCs w:val="20"/>
          </w:rPr>
          <w:t>announced</w:t>
        </w:r>
      </w:hyperlink>
      <w:r>
        <w:rPr>
          <w:rFonts w:ascii="Arial" w:cs="Arial" w:hAnsi="Arial"/>
          <w:sz w:val="20"/>
          <w:szCs w:val="20"/>
        </w:rPr>
        <w:t xml:space="preserve"> we are rallying behind a single strategy as One Microsoft. We declared that Microsoft’s focus going forward will be to</w:t>
      </w:r>
      <w:r>
        <w:rPr>
          <w:rFonts w:ascii="Arial" w:cs="Arial" w:hAnsi="Arial"/>
          <w:b/>
          <w:bCs/>
          <w:sz w:val="20"/>
          <w:szCs w:val="20"/>
        </w:rPr>
        <w:t xml:space="preserve"> create a family of devices and services for individuals and businesses that empower people around the globe at home, at work and on the go, for the activities they value most.</w:t>
      </w:r>
      <w:r>
        <w:rPr>
          <w:rFonts w:ascii="Arial" w:cs="Arial" w:hAnsi="Arial"/>
          <w:sz w:val="20"/>
          <w:szCs w:val="20"/>
        </w:rPr>
        <w:t xml:space="preserv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Over time, our focus on high-value activities will generate amazing innovation and new areas of growth. What is a high-value activity? Think of the experiences people have every day that are most important to them – from communicating with a family member and researching a term paper to having serious fun and expressing ideas. In a business setting, high-value activities include experiences such as conducting meetings with colleagues in multiple locations, gaining insight from massive amounts of data and information, and interacting with customers.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Microsoft will enable these types of high-value activities with a family of devices – from both Microsoft and our partners – as well as with our services. </w:t>
      </w:r>
    </w:p>
    <w:p>
      <w:pPr>
        <w:sectPr>
          <w:headerReference r:id="rId8" w:type="even"/>
          <w:headerReference r:id="rId9" w:type="default"/>
          <w:footerReference r:id="rId10" w:type="even"/>
          <w:footerReference r:id="rId11" w:type="default"/>
          <w:type w:val="nextPage"/>
          <w:pgSz w:h="15840" w:w="12240"/>
          <w:pgMar w:bottom="777" w:footer="720" w:gutter="0" w:header="720" w:left="720" w:right="720" w:top="777"/>
          <w:pgNumType w:fmt="decimal"/>
          <w:formProt w:val="false"/>
          <w:textDirection w:val="lrTb"/>
          <w:docGrid w:charSpace="0" w:linePitch="326" w:type="default"/>
        </w:sectPr>
        <w:pStyle w:val="style62"/>
        <w:spacing w:after="280" w:before="280"/>
        <w:contextualSpacing w:val="false"/>
        <w:jc w:val="both"/>
        <w:rPr>
          <w:rFonts w:ascii="Arial" w:cs="Arial" w:hAnsi="Arial"/>
          <w:sz w:val="20"/>
          <w:szCs w:val="20"/>
        </w:rPr>
      </w:pPr>
      <w:r>
        <w:rPr>
          <w:rFonts w:ascii="Arial" w:cs="Arial" w:hAnsi="Arial"/>
          <w:sz w:val="20"/>
          <w:szCs w:val="20"/>
        </w:rPr>
        <w:t xml:space="preserve">As we go to market, we will primarily monetize our high-value activities by leading with devices and enterprise services. In this model, our consumer services such as Bing and Skype will differentiate our devices and serve as an on-ramp to our enterprise services while generating some revenue from subscriptions and advertising. Enterprise services continue to be an area of great strength, growth and opportunity as businesses of all sizes look to Microsoft to help them move to the cloud, manage a growing number of devices, tap into big data and embrace new social capabilities. </w:t>
      </w:r>
    </w:p>
    <w:p>
      <w:pPr>
        <w:pStyle w:val="style62"/>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Executing and accelerating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the past year we took many bold steps forward in executing on our strategy.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First, we are well underway in implementing the new organization structure announced in July. The teams are working together in new and exciting ways. The key change we made is deceptively simple but profoundly powerful: Instead of organizing our teams around individual products, we’ve organized by function, including, for example, engineering, sales, marketing and finance. It ensures we have one strategy and work as one team with one set of shared goals.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Second, in September we </w:t>
      </w:r>
      <w:hyperlink r:id="rId12">
        <w:r>
          <w:rPr>
            <w:rStyle w:val="style18"/>
            <w:rFonts w:ascii="Arial" w:cs="Arial" w:hAnsi="Arial"/>
            <w:sz w:val="20"/>
            <w:szCs w:val="20"/>
          </w:rPr>
          <w:t>announced</w:t>
        </w:r>
      </w:hyperlink>
      <w:r>
        <w:rPr>
          <w:rFonts w:ascii="Arial" w:cs="Arial" w:hAnsi="Arial"/>
          <w:sz w:val="20"/>
          <w:szCs w:val="20"/>
        </w:rPr>
        <w:t xml:space="preserve"> we are purchasing Nokia’s Devices and Services business – including its smartphone and mobile phone businesses; award-winning engineering and design teams; manufacturing and assembly facilities around the world; and teams devoted to operations, sales, marketing and support. This is a signature event in our transformation and will bring together the best mobile device work of Microsoft and Nokia. It will accelerate our growth with Windows Phone while strengthening our overall device ecosystem and our opportunity.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Third, in September, we also announced a new segment-reporting framework. We have five new reporting segments tightly aligned with our focus on delivering innovative devices and services for both our enterprise and consumer customers. This framework was designed to give valuable insight into our progress in the key transformations we are undertaking in our businesses to drive long-term growth.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As I think about what’s ahead, I’m incredibly optimistic about what Microsoft will deliver. We are accelerating as we bring to market Windows 8.1 PCs and tablets with our partners, Surface 2, Xbox One and new phones; advance our enterprise services including Windows Server, Windows Azure, Microsoft Dynamics and Office 365; and innovate on new high-value activities.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Moving forward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With the decisions we’ve made this year, the strategy we’ve put in place, the organization we’ve designed, the world-class talent we have, and the devices and services we are creating, we are well-positioned to deliver growth and world-changing technology long into the future.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have seen incredible results in the past decade – delivering more than $200 billion in operating profit. I’m optimistic not only as the CEO but as an investor who treasures his Microsoft stock.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Working at Microsoft has been a thrilling experience – we’ve changed the world and delivered record-setting success – and I know our best days are still ahead.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Thank you for your support. </w:t>
      </w:r>
    </w:p>
    <w:p>
      <w:pPr>
        <w:pStyle w:val="style62"/>
        <w:keepNext/>
        <w:spacing w:after="280" w:before="280"/>
        <w:contextualSpacing w:val="false"/>
        <w:jc w:val="both"/>
        <w:rPr>
          <w:sz w:val="18"/>
          <w:szCs w:val="18"/>
        </w:rPr>
      </w:pPr>
      <w:r>
        <w:rPr>
          <w:sz w:val="18"/>
          <w:szCs w:val="18"/>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Steven A. Ballmer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Chief Executive Officer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September 27, 2013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center"/>
        <w:rPr>
          <w:rFonts w:ascii="Arial" w:cs="Arial" w:hAnsi="Arial"/>
          <w:b/>
          <w:bCs/>
        </w:rPr>
      </w:pPr>
      <w:r>
        <w:rPr>
          <w:rFonts w:ascii="Arial" w:cs="Arial" w:hAnsi="Arial"/>
          <w:b/>
          <w:bCs/>
        </w:rPr>
        <w:t xml:space="preserve">SELECTED FINANCIAL DATA, QUARTERLY STOCK PRICE INFORMATION, </w:t>
      </w:r>
    </w:p>
    <w:p>
      <w:pPr>
        <w:pStyle w:val="style62"/>
        <w:spacing w:after="280" w:before="280"/>
        <w:contextualSpacing w:val="false"/>
        <w:jc w:val="center"/>
        <w:rPr>
          <w:rFonts w:ascii="Arial" w:cs="Arial" w:hAnsi="Arial"/>
          <w:b/>
          <w:bCs/>
        </w:rPr>
      </w:pPr>
      <w:r>
        <w:rPr>
          <w:rFonts w:ascii="Arial" w:cs="Arial" w:hAnsi="Arial"/>
          <w:b/>
          <w:bCs/>
        </w:rPr>
        <w:t xml:space="preserve">ISSUER PURCHASES OF EQUITY SECURITIES, DIVIDENDS, AND STOCK PERFORMANCE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FINANCIAL HIGHLIGHTS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3977"/>
        <w:gridCol w:w="1448"/>
        <w:gridCol w:w="1440"/>
        <w:gridCol w:w="1440"/>
        <w:gridCol w:w="1340"/>
        <w:gridCol w:w="1154"/>
      </w:tblGrid>
      <w:tr>
        <w:trPr>
          <w:tblHeader w:val="true"/>
          <w:cantSplit w:val="false"/>
        </w:trPr>
        <w:tc>
          <w:tcPr>
            <w:tcW w:type="dxa" w:w="3977"/>
            <w:tcBorders>
              <w:top w:val="nil"/>
              <w:left w:val="nil"/>
              <w:bottom w:val="nil"/>
              <w:right w:val="nil"/>
            </w:tcBorders>
            <w:shd w:fill="auto" w:val="clear"/>
            <w:vAlign w:val="center"/>
          </w:tcPr>
          <w:p>
            <w:pPr>
              <w:pStyle w:val="style0"/>
              <w:rPr>
                <w:sz w:val="1"/>
                <w:szCs w:val="24"/>
              </w:rPr>
            </w:pPr>
            <w:r>
              <w:rPr>
                <w:sz w:val="1"/>
                <w:szCs w:val="24"/>
              </w:rPr>
            </w:r>
          </w:p>
        </w:tc>
        <w:tc>
          <w:tcPr>
            <w:tcW w:type="dxa" w:w="1448"/>
            <w:tcBorders>
              <w:top w:val="nil"/>
              <w:left w:val="nil"/>
              <w:bottom w:val="nil"/>
              <w:right w:val="nil"/>
            </w:tcBorders>
            <w:shd w:fill="auto" w:val="clear"/>
            <w:vAlign w:val="center"/>
          </w:tcPr>
          <w:p>
            <w:pPr>
              <w:pStyle w:val="style0"/>
              <w:rPr>
                <w:sz w:val="1"/>
                <w:szCs w:val="24"/>
              </w:rPr>
            </w:pPr>
            <w:r>
              <w:rPr>
                <w:sz w:val="1"/>
                <w:szCs w:val="24"/>
              </w:rPr>
            </w:r>
          </w:p>
        </w:tc>
        <w:tc>
          <w:tcPr>
            <w:tcW w:type="dxa" w:w="1440"/>
            <w:tcBorders>
              <w:top w:val="nil"/>
              <w:left w:val="nil"/>
              <w:bottom w:val="nil"/>
              <w:right w:val="nil"/>
            </w:tcBorders>
            <w:shd w:fill="auto" w:val="clear"/>
            <w:vAlign w:val="center"/>
          </w:tcPr>
          <w:p>
            <w:pPr>
              <w:pStyle w:val="style0"/>
              <w:rPr>
                <w:sz w:val="1"/>
                <w:szCs w:val="24"/>
              </w:rPr>
            </w:pPr>
            <w:r>
              <w:rPr>
                <w:sz w:val="1"/>
                <w:szCs w:val="24"/>
              </w:rPr>
            </w:r>
          </w:p>
        </w:tc>
        <w:tc>
          <w:tcPr>
            <w:tcW w:type="dxa" w:w="1440"/>
            <w:tcBorders>
              <w:top w:val="nil"/>
              <w:left w:val="nil"/>
              <w:bottom w:val="nil"/>
              <w:right w:val="nil"/>
            </w:tcBorders>
            <w:shd w:fill="auto" w:val="clear"/>
            <w:vAlign w:val="center"/>
          </w:tcPr>
          <w:p>
            <w:pPr>
              <w:pStyle w:val="style0"/>
              <w:rPr>
                <w:sz w:val="1"/>
                <w:szCs w:val="24"/>
              </w:rPr>
            </w:pPr>
            <w:r>
              <w:rPr>
                <w:sz w:val="1"/>
                <w:szCs w:val="24"/>
              </w:rPr>
            </w:r>
          </w:p>
        </w:tc>
        <w:tc>
          <w:tcPr>
            <w:tcW w:type="dxa" w:w="1340"/>
            <w:tcBorders>
              <w:top w:val="nil"/>
              <w:left w:val="nil"/>
              <w:bottom w:val="nil"/>
              <w:right w:val="nil"/>
            </w:tcBorders>
            <w:shd w:fill="auto" w:val="clear"/>
            <w:vAlign w:val="center"/>
          </w:tcPr>
          <w:p>
            <w:pPr>
              <w:pStyle w:val="style0"/>
              <w:rPr>
                <w:sz w:val="1"/>
                <w:szCs w:val="24"/>
              </w:rPr>
            </w:pPr>
            <w:r>
              <w:rPr>
                <w:sz w:val="1"/>
                <w:szCs w:val="24"/>
              </w:rPr>
            </w:r>
          </w:p>
        </w:tc>
        <w:tc>
          <w:tcPr>
            <w:tcW w:type="dxa" w:w="1154"/>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397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per share data)</w:t>
            </w:r>
          </w:p>
        </w:tc>
        <w:tc>
          <w:tcPr>
            <w:tcW w:type="dxa" w:w="1448"/>
            <w:tcBorders>
              <w:top w:val="nil"/>
              <w:left w:val="nil"/>
              <w:bottom w:val="nil"/>
              <w:right w:val="nil"/>
            </w:tcBorders>
            <w:shd w:fill="auto" w:val="clear"/>
            <w:tcMar>
              <w:left w:type="dxa" w:w="144"/>
            </w:tcMar>
            <w:vAlign w:val="bottom"/>
          </w:tcPr>
          <w:p>
            <w:pPr>
              <w:pStyle w:val="style65"/>
              <w:rPr/>
            </w:pPr>
            <w:r>
              <w:rPr/>
              <w:t> </w:t>
            </w:r>
          </w:p>
        </w:tc>
        <w:tc>
          <w:tcPr>
            <w:tcW w:type="dxa" w:w="1440"/>
            <w:tcBorders>
              <w:top w:val="nil"/>
              <w:left w:val="nil"/>
              <w:bottom w:val="nil"/>
              <w:right w:val="nil"/>
            </w:tcBorders>
            <w:shd w:fill="auto" w:val="clear"/>
            <w:tcMar>
              <w:left w:type="dxa" w:w="144"/>
            </w:tcMar>
            <w:vAlign w:val="bottom"/>
          </w:tcPr>
          <w:p>
            <w:pPr>
              <w:pStyle w:val="style65"/>
              <w:rPr/>
            </w:pPr>
            <w:r>
              <w:rPr/>
              <w:t> </w:t>
            </w:r>
          </w:p>
        </w:tc>
        <w:tc>
          <w:tcPr>
            <w:tcW w:type="dxa" w:w="1440"/>
            <w:tcBorders>
              <w:top w:val="nil"/>
              <w:left w:val="nil"/>
              <w:bottom w:val="nil"/>
              <w:right w:val="nil"/>
            </w:tcBorders>
            <w:shd w:fill="auto" w:val="clear"/>
            <w:tcMar>
              <w:left w:type="dxa" w:w="144"/>
            </w:tcMar>
            <w:vAlign w:val="bottom"/>
          </w:tcPr>
          <w:p>
            <w:pPr>
              <w:pStyle w:val="style65"/>
              <w:rPr/>
            </w:pPr>
            <w:r>
              <w:rPr/>
              <w:t> </w:t>
            </w:r>
          </w:p>
        </w:tc>
        <w:tc>
          <w:tcPr>
            <w:tcW w:type="dxa" w:w="1340"/>
            <w:tcBorders>
              <w:top w:val="nil"/>
              <w:left w:val="nil"/>
              <w:bottom w:val="nil"/>
              <w:right w:val="nil"/>
            </w:tcBorders>
            <w:shd w:fill="auto" w:val="clear"/>
            <w:tcMar>
              <w:left w:type="dxa" w:w="144"/>
            </w:tcMar>
            <w:vAlign w:val="bottom"/>
          </w:tcPr>
          <w:p>
            <w:pPr>
              <w:pStyle w:val="style65"/>
              <w:rPr/>
            </w:pPr>
            <w:r>
              <w:rPr/>
              <w:t> </w:t>
            </w:r>
          </w:p>
        </w:tc>
        <w:tc>
          <w:tcPr>
            <w:tcW w:type="dxa" w:w="1154"/>
            <w:tcBorders>
              <w:top w:val="nil"/>
              <w:left w:val="nil"/>
              <w:bottom w:val="nil"/>
              <w:right w:val="nil"/>
            </w:tcBorders>
            <w:shd w:fill="auto" w:val="clear"/>
            <w:tcMar>
              <w:left w:type="dxa" w:w="144"/>
            </w:tcMar>
            <w:vAlign w:val="bottom"/>
          </w:tcPr>
          <w:p>
            <w:pPr>
              <w:pStyle w:val="style65"/>
              <w:rPr/>
            </w:pPr>
            <w:r>
              <w:rPr/>
              <w:t> </w:t>
            </w:r>
          </w:p>
        </w:tc>
      </w:tr>
      <w:tr>
        <w:trPr>
          <w:cantSplit w:val="false"/>
        </w:trPr>
        <w:tc>
          <w:tcPr>
            <w:tcW w:type="dxa" w:w="10799"/>
            <w:gridSpan w:val="6"/>
            <w:tcBorders>
              <w:top w:val="nil"/>
              <w:left w:val="nil"/>
              <w:bottom w:val="nil"/>
              <w:right w:val="nil"/>
            </w:tcBorders>
            <w:shd w:fill="auto" w:val="clear"/>
            <w:tcMar>
              <w:left w:type="dxa" w:w="144"/>
            </w:tcMar>
            <w:vAlign w:val="bottom"/>
          </w:tcPr>
          <w:p>
            <w:pPr>
              <w:pStyle w:val="style59"/>
              <w:spacing w:after="0" w:before="0"/>
              <w:ind w:hanging="0" w:left="-144" w:right="0"/>
              <w:contextualSpacing w:val="false"/>
              <w:rPr/>
            </w:pPr>
            <w:r>
              <w:rPr/>
              <w:t> </w:t>
            </w:r>
          </w:p>
        </w:tc>
      </w:tr>
      <w:tr>
        <w:trPr>
          <w:trHeight w:hRule="atLeast" w:val="75"/>
          <w:cantSplit w:val="false"/>
        </w:trPr>
        <w:tc>
          <w:tcPr>
            <w:tcW w:type="dxa" w:w="3977"/>
            <w:tcBorders>
              <w:top w:val="nil"/>
              <w:left w:val="nil"/>
              <w:bottom w:val="nil"/>
              <w:right w:val="nil"/>
            </w:tcBorders>
            <w:shd w:fill="auto" w:val="clear"/>
            <w:vAlign w:val="center"/>
          </w:tcPr>
          <w:p>
            <w:pPr>
              <w:pStyle w:val="style0"/>
              <w:rPr>
                <w:sz w:val="8"/>
                <w:szCs w:val="24"/>
              </w:rPr>
            </w:pPr>
            <w:r>
              <w:rPr>
                <w:sz w:val="8"/>
                <w:szCs w:val="24"/>
              </w:rPr>
            </w:r>
          </w:p>
        </w:tc>
        <w:tc>
          <w:tcPr>
            <w:tcW w:type="dxa" w:w="1448"/>
            <w:tcBorders>
              <w:top w:val="nil"/>
              <w:left w:val="nil"/>
              <w:bottom w:val="nil"/>
              <w:right w:val="nil"/>
            </w:tcBorders>
            <w:shd w:fill="auto" w:val="clear"/>
            <w:vAlign w:val="center"/>
          </w:tcPr>
          <w:p>
            <w:pPr>
              <w:pStyle w:val="style0"/>
              <w:rPr>
                <w:sz w:val="8"/>
                <w:szCs w:val="24"/>
              </w:rPr>
            </w:pPr>
            <w:r>
              <w:rPr>
                <w:sz w:val="8"/>
                <w:szCs w:val="24"/>
              </w:rPr>
            </w:r>
          </w:p>
        </w:tc>
        <w:tc>
          <w:tcPr>
            <w:tcW w:type="dxa" w:w="1440"/>
            <w:tcBorders>
              <w:top w:val="nil"/>
              <w:left w:val="nil"/>
              <w:bottom w:val="nil"/>
              <w:right w:val="nil"/>
            </w:tcBorders>
            <w:shd w:fill="auto" w:val="clear"/>
            <w:vAlign w:val="center"/>
          </w:tcPr>
          <w:p>
            <w:pPr>
              <w:pStyle w:val="style0"/>
              <w:rPr>
                <w:sz w:val="8"/>
                <w:szCs w:val="24"/>
              </w:rPr>
            </w:pPr>
            <w:r>
              <w:rPr>
                <w:sz w:val="8"/>
                <w:szCs w:val="24"/>
              </w:rPr>
            </w:r>
          </w:p>
        </w:tc>
        <w:tc>
          <w:tcPr>
            <w:tcW w:type="dxa" w:w="1440"/>
            <w:tcBorders>
              <w:top w:val="nil"/>
              <w:left w:val="nil"/>
              <w:bottom w:val="nil"/>
              <w:right w:val="nil"/>
            </w:tcBorders>
            <w:shd w:fill="auto" w:val="clear"/>
            <w:vAlign w:val="center"/>
          </w:tcPr>
          <w:p>
            <w:pPr>
              <w:pStyle w:val="style0"/>
              <w:rPr>
                <w:sz w:val="8"/>
                <w:szCs w:val="24"/>
              </w:rPr>
            </w:pPr>
            <w:r>
              <w:rPr>
                <w:sz w:val="8"/>
                <w:szCs w:val="24"/>
              </w:rPr>
            </w:r>
          </w:p>
        </w:tc>
        <w:tc>
          <w:tcPr>
            <w:tcW w:type="dxa" w:w="1340"/>
            <w:tcBorders>
              <w:top w:val="nil"/>
              <w:left w:val="nil"/>
              <w:bottom w:val="nil"/>
              <w:right w:val="nil"/>
            </w:tcBorders>
            <w:shd w:fill="auto" w:val="clear"/>
            <w:vAlign w:val="center"/>
          </w:tcPr>
          <w:p>
            <w:pPr>
              <w:pStyle w:val="style0"/>
              <w:rPr>
                <w:sz w:val="8"/>
                <w:szCs w:val="24"/>
              </w:rPr>
            </w:pPr>
            <w:r>
              <w:rPr>
                <w:sz w:val="8"/>
                <w:szCs w:val="24"/>
              </w:rPr>
            </w:r>
          </w:p>
        </w:tc>
        <w:tc>
          <w:tcPr>
            <w:tcW w:type="dxa" w:w="1154"/>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397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448"/>
            <w:tcBorders>
              <w:top w:val="nil"/>
              <w:left w:val="nil"/>
              <w:bottom w:val="nil"/>
              <w:right w:val="nil"/>
            </w:tcBorders>
            <w:shd w:fill="auto" w:val="clear"/>
            <w:tcMar>
              <w:left w:type="dxa" w:w="144"/>
            </w:tcMar>
            <w:vAlign w:val="bottom"/>
          </w:tcPr>
          <w:p>
            <w:pPr>
              <w:pStyle w:val="style0"/>
              <w:tabs>
                <w:tab w:leader="none" w:pos="828" w:val="left"/>
              </w:tabs>
              <w:ind w:hanging="0" w:left="-144" w:right="279"/>
              <w:jc w:val="right"/>
              <w:rPr>
                <w:rFonts w:ascii="Arial" w:cs="Arial" w:hAnsi="Arial"/>
                <w:b/>
                <w:bCs/>
                <w:sz w:val="15"/>
                <w:szCs w:val="15"/>
              </w:rPr>
            </w:pPr>
            <w:r>
              <w:rPr>
                <w:rFonts w:ascii="Arial" w:cs="Arial" w:hAnsi="Arial"/>
                <w:b/>
                <w:bCs/>
                <w:sz w:val="15"/>
                <w:szCs w:val="15"/>
              </w:rPr>
              <w:t>2013</w:t>
            </w:r>
          </w:p>
        </w:tc>
        <w:tc>
          <w:tcPr>
            <w:tcW w:type="dxa" w:w="1440"/>
            <w:tcBorders>
              <w:top w:val="nil"/>
              <w:left w:val="nil"/>
              <w:bottom w:val="nil"/>
              <w:right w:val="nil"/>
            </w:tcBorders>
            <w:shd w:fill="auto" w:val="clear"/>
            <w:tcMar>
              <w:left w:type="dxa" w:w="144"/>
            </w:tcMar>
            <w:vAlign w:val="bottom"/>
          </w:tcPr>
          <w:p>
            <w:pPr>
              <w:pStyle w:val="style0"/>
              <w:ind w:hanging="0" w:left="0" w:right="270"/>
              <w:jc w:val="right"/>
              <w:rPr>
                <w:rFonts w:ascii="Arial" w:cs="Arial" w:hAnsi="Arial"/>
                <w:b/>
                <w:bCs/>
                <w:sz w:val="15"/>
                <w:szCs w:val="15"/>
              </w:rPr>
            </w:pPr>
            <w:r>
              <w:rPr>
                <w:rFonts w:ascii="Arial" w:cs="Arial" w:hAnsi="Arial"/>
                <w:b/>
                <w:bCs/>
                <w:sz w:val="15"/>
                <w:szCs w:val="15"/>
              </w:rPr>
              <w:t>2012</w:t>
            </w:r>
          </w:p>
        </w:tc>
        <w:tc>
          <w:tcPr>
            <w:tcW w:type="dxa" w:w="1440"/>
            <w:tcBorders>
              <w:top w:val="nil"/>
              <w:left w:val="nil"/>
              <w:bottom w:val="nil"/>
              <w:right w:val="nil"/>
            </w:tcBorders>
            <w:shd w:fill="auto" w:val="clear"/>
            <w:tcMar>
              <w:left w:type="dxa" w:w="144"/>
            </w:tcMar>
            <w:vAlign w:val="bottom"/>
          </w:tcPr>
          <w:p>
            <w:pPr>
              <w:pStyle w:val="style0"/>
              <w:ind w:hanging="0" w:left="29" w:right="202"/>
              <w:jc w:val="right"/>
              <w:rPr>
                <w:rFonts w:ascii="Arial" w:cs="Arial" w:hAnsi="Arial"/>
                <w:b/>
                <w:bCs/>
                <w:sz w:val="15"/>
                <w:szCs w:val="15"/>
              </w:rPr>
            </w:pPr>
            <w:r>
              <w:rPr>
                <w:rFonts w:ascii="Arial" w:cs="Arial" w:hAnsi="Arial"/>
                <w:b/>
                <w:bCs/>
                <w:sz w:val="15"/>
                <w:szCs w:val="15"/>
              </w:rPr>
              <w:t xml:space="preserve">   </w:t>
            </w:r>
            <w:r>
              <w:rPr>
                <w:rFonts w:ascii="Arial" w:cs="Arial" w:hAnsi="Arial"/>
                <w:b/>
                <w:bCs/>
                <w:sz w:val="15"/>
                <w:szCs w:val="15"/>
              </w:rPr>
              <w:t>2011</w:t>
            </w:r>
          </w:p>
        </w:tc>
        <w:tc>
          <w:tcPr>
            <w:tcW w:type="dxa" w:w="1340"/>
            <w:tcBorders>
              <w:top w:val="nil"/>
              <w:left w:val="nil"/>
              <w:bottom w:val="nil"/>
              <w:right w:val="nil"/>
            </w:tcBorders>
            <w:shd w:fill="auto" w:val="clear"/>
            <w:tcMar>
              <w:left w:type="dxa" w:w="144"/>
            </w:tcMar>
            <w:vAlign w:val="bottom"/>
          </w:tcPr>
          <w:p>
            <w:pPr>
              <w:pStyle w:val="style0"/>
              <w:ind w:hanging="0" w:left="0" w:right="216"/>
              <w:jc w:val="right"/>
              <w:rPr>
                <w:rFonts w:ascii="Arial" w:cs="Arial" w:hAnsi="Arial"/>
                <w:b/>
                <w:bCs/>
                <w:sz w:val="15"/>
                <w:szCs w:val="15"/>
              </w:rPr>
            </w:pPr>
            <w:r>
              <w:rPr>
                <w:rFonts w:ascii="Arial" w:cs="Arial" w:hAnsi="Arial"/>
                <w:b/>
                <w:bCs/>
                <w:sz w:val="15"/>
                <w:szCs w:val="15"/>
              </w:rPr>
              <w:t>2010</w:t>
            </w:r>
          </w:p>
        </w:tc>
        <w:tc>
          <w:tcPr>
            <w:tcW w:type="dxa" w:w="1154"/>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2009</w:t>
            </w:r>
          </w:p>
        </w:tc>
      </w:tr>
      <w:tr>
        <w:trPr>
          <w:trHeight w:hRule="atLeast" w:val="75"/>
          <w:cantSplit w:val="false"/>
        </w:trPr>
        <w:tc>
          <w:tcPr>
            <w:tcW w:type="dxa" w:w="3977"/>
            <w:tcBorders>
              <w:top w:val="nil"/>
              <w:left w:val="nil"/>
              <w:bottom w:val="nil"/>
              <w:right w:val="nil"/>
            </w:tcBorders>
            <w:shd w:fill="auto" w:val="clear"/>
            <w:vAlign w:val="center"/>
          </w:tcPr>
          <w:p>
            <w:pPr>
              <w:pStyle w:val="style0"/>
              <w:rPr>
                <w:sz w:val="8"/>
                <w:szCs w:val="24"/>
              </w:rPr>
            </w:pPr>
            <w:r>
              <w:rPr>
                <w:sz w:val="8"/>
                <w:szCs w:val="24"/>
              </w:rPr>
            </w:r>
          </w:p>
        </w:tc>
        <w:tc>
          <w:tcPr>
            <w:tcW w:type="dxa" w:w="1448"/>
            <w:tcBorders>
              <w:top w:val="nil"/>
              <w:left w:val="nil"/>
              <w:bottom w:val="nil"/>
              <w:right w:val="nil"/>
            </w:tcBorders>
            <w:shd w:fill="auto" w:val="clear"/>
            <w:vAlign w:val="center"/>
          </w:tcPr>
          <w:p>
            <w:pPr>
              <w:pStyle w:val="style0"/>
              <w:ind w:hanging="0" w:left="0" w:right="315"/>
              <w:rPr>
                <w:sz w:val="8"/>
                <w:szCs w:val="24"/>
              </w:rPr>
            </w:pPr>
            <w:r>
              <w:rPr>
                <w:sz w:val="8"/>
                <w:szCs w:val="24"/>
              </w:rPr>
            </w:r>
          </w:p>
        </w:tc>
        <w:tc>
          <w:tcPr>
            <w:tcW w:type="dxa" w:w="1440"/>
            <w:tcBorders>
              <w:top w:val="nil"/>
              <w:left w:val="nil"/>
              <w:bottom w:val="nil"/>
              <w:right w:val="nil"/>
            </w:tcBorders>
            <w:shd w:fill="auto" w:val="clear"/>
            <w:vAlign w:val="center"/>
          </w:tcPr>
          <w:p>
            <w:pPr>
              <w:pStyle w:val="style0"/>
              <w:ind w:hanging="0" w:left="0" w:right="252"/>
              <w:rPr>
                <w:sz w:val="8"/>
                <w:szCs w:val="24"/>
              </w:rPr>
            </w:pPr>
            <w:r>
              <w:rPr>
                <w:sz w:val="8"/>
                <w:szCs w:val="24"/>
              </w:rPr>
            </w:r>
          </w:p>
        </w:tc>
        <w:tc>
          <w:tcPr>
            <w:tcW w:type="dxa" w:w="1440"/>
            <w:tcBorders>
              <w:top w:val="nil"/>
              <w:left w:val="nil"/>
              <w:bottom w:val="nil"/>
              <w:right w:val="nil"/>
            </w:tcBorders>
            <w:shd w:fill="auto" w:val="clear"/>
            <w:vAlign w:val="center"/>
          </w:tcPr>
          <w:p>
            <w:pPr>
              <w:pStyle w:val="style0"/>
              <w:rPr>
                <w:sz w:val="8"/>
                <w:szCs w:val="24"/>
              </w:rPr>
            </w:pPr>
            <w:r>
              <w:rPr>
                <w:sz w:val="8"/>
                <w:szCs w:val="24"/>
              </w:rPr>
            </w:r>
          </w:p>
        </w:tc>
        <w:tc>
          <w:tcPr>
            <w:tcW w:type="dxa" w:w="1340"/>
            <w:tcBorders>
              <w:top w:val="nil"/>
              <w:left w:val="nil"/>
              <w:bottom w:val="nil"/>
              <w:right w:val="nil"/>
            </w:tcBorders>
            <w:shd w:fill="auto" w:val="clear"/>
            <w:vAlign w:val="center"/>
          </w:tcPr>
          <w:p>
            <w:pPr>
              <w:pStyle w:val="style0"/>
              <w:rPr>
                <w:sz w:val="8"/>
                <w:szCs w:val="24"/>
              </w:rPr>
            </w:pPr>
            <w:r>
              <w:rPr>
                <w:sz w:val="8"/>
                <w:szCs w:val="24"/>
              </w:rPr>
            </w:r>
          </w:p>
        </w:tc>
        <w:tc>
          <w:tcPr>
            <w:tcW w:type="dxa" w:w="1154"/>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39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Revenue</w:t>
            </w:r>
          </w:p>
        </w:tc>
        <w:tc>
          <w:tcPr>
            <w:tcW w:type="dxa" w:w="1448"/>
            <w:tcBorders>
              <w:top w:val="nil"/>
              <w:left w:val="nil"/>
              <w:bottom w:val="nil"/>
              <w:right w:val="nil"/>
            </w:tcBorders>
            <w:shd w:fill="auto" w:val="clear"/>
            <w:tcMar>
              <w:left w:type="dxa" w:w="144"/>
            </w:tcMar>
            <w:vAlign w:val="bottom"/>
          </w:tcPr>
          <w:p>
            <w:pPr>
              <w:pStyle w:val="style62"/>
              <w:tabs>
                <w:tab w:leader="none" w:pos="1053" w:val="right"/>
                <w:tab w:leader="none" w:pos="1116" w:val="decimal"/>
              </w:tabs>
              <w:spacing w:after="280" w:before="280"/>
              <w:ind w:hanging="0" w:left="144" w:right="315"/>
              <w:contextualSpacing w:val="false"/>
              <w:rPr>
                <w:rFonts w:ascii="Arial" w:cs="Arial" w:hAnsi="Arial"/>
                <w:b/>
                <w:bCs/>
                <w:sz w:val="20"/>
                <w:szCs w:val="20"/>
              </w:rPr>
            </w:pPr>
            <w:r>
              <w:rPr>
                <w:rFonts w:ascii="Arial" w:cs="Arial" w:hAnsi="Arial"/>
                <w:b/>
                <w:bCs/>
                <w:sz w:val="20"/>
                <w:szCs w:val="20"/>
              </w:rPr>
              <w:t>$</w:t>
              <w:tab/>
              <w:t>77,849</w:t>
              <w:tab/>
            </w:r>
          </w:p>
        </w:tc>
        <w:tc>
          <w:tcPr>
            <w:tcW w:type="dxa" w:w="1440"/>
            <w:tcBorders>
              <w:top w:val="nil"/>
              <w:left w:val="nil"/>
              <w:bottom w:val="nil"/>
              <w:right w:val="nil"/>
            </w:tcBorders>
            <w:shd w:fill="auto" w:val="clear"/>
            <w:tcMar>
              <w:left w:type="dxa" w:w="144"/>
            </w:tcMar>
            <w:vAlign w:val="bottom"/>
          </w:tcPr>
          <w:p>
            <w:pPr>
              <w:pStyle w:val="style62"/>
              <w:tabs>
                <w:tab w:leader="none" w:pos="1044" w:val="right"/>
                <w:tab w:leader="none" w:pos="1116" w:val="decimal"/>
              </w:tabs>
              <w:spacing w:after="280" w:before="280"/>
              <w:ind w:hanging="0" w:left="144" w:right="252"/>
              <w:contextualSpacing w:val="false"/>
              <w:rPr>
                <w:rFonts w:ascii="Arial" w:cs="Arial" w:hAnsi="Arial"/>
                <w:sz w:val="20"/>
                <w:szCs w:val="20"/>
              </w:rPr>
            </w:pPr>
            <w:r>
              <w:rPr>
                <w:rFonts w:ascii="Arial" w:cs="Arial" w:hAnsi="Arial"/>
                <w:sz w:val="20"/>
                <w:szCs w:val="20"/>
              </w:rPr>
              <w:t>$</w:t>
              <w:tab/>
              <w:t>73,723</w:t>
              <w:tab/>
            </w:r>
          </w:p>
        </w:tc>
        <w:tc>
          <w:tcPr>
            <w:tcW w:type="dxa" w:w="144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69,943</w:t>
              <w:tab/>
              <w:t>   </w:t>
            </w:r>
          </w:p>
        </w:tc>
        <w:tc>
          <w:tcPr>
            <w:tcW w:type="dxa" w:w="134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  62,484</w:t>
              <w:tab/>
              <w:t>   </w:t>
            </w:r>
          </w:p>
        </w:tc>
        <w:tc>
          <w:tcPr>
            <w:tcW w:type="dxa" w:w="1154"/>
            <w:tcBorders>
              <w:top w:val="nil"/>
              <w:left w:val="nil"/>
              <w:bottom w:val="nil"/>
              <w:right w:val="nil"/>
            </w:tcBorders>
            <w:shd w:fill="auto" w:val="clear"/>
            <w:tcMar>
              <w:left w:type="dxa" w:w="144"/>
            </w:tcMar>
            <w:vAlign w:val="bottom"/>
          </w:tcPr>
          <w:p>
            <w:pPr>
              <w:pStyle w:val="style62"/>
              <w:tabs>
                <w:tab w:leader="none" w:pos="1035" w:val="right"/>
              </w:tabs>
              <w:spacing w:after="280" w:before="280"/>
              <w:ind w:hanging="0" w:left="144" w:right="0"/>
              <w:contextualSpacing w:val="false"/>
              <w:rPr>
                <w:rFonts w:ascii="Arial" w:cs="Arial" w:hAnsi="Arial"/>
                <w:sz w:val="20"/>
                <w:szCs w:val="20"/>
              </w:rPr>
            </w:pPr>
            <w:r>
              <w:rPr>
                <w:rFonts w:ascii="Arial" w:cs="Arial" w:hAnsi="Arial"/>
                <w:sz w:val="20"/>
                <w:szCs w:val="20"/>
              </w:rPr>
              <w:t>$</w:t>
              <w:tab/>
              <w:t>  58,437</w:t>
              <w:tab/>
              <w:t xml:space="preserve">    </w:t>
            </w:r>
          </w:p>
        </w:tc>
      </w:tr>
      <w:tr>
        <w:trPr>
          <w:cantSplit w:val="false"/>
        </w:trPr>
        <w:tc>
          <w:tcPr>
            <w:tcW w:type="dxa" w:w="39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Operating income</w:t>
            </w:r>
          </w:p>
        </w:tc>
        <w:tc>
          <w:tcPr>
            <w:tcW w:type="dxa" w:w="1448"/>
            <w:tcBorders>
              <w:top w:val="nil"/>
              <w:left w:val="nil"/>
              <w:bottom w:val="nil"/>
              <w:right w:val="nil"/>
            </w:tcBorders>
            <w:shd w:fill="auto" w:val="clear"/>
            <w:tcMar>
              <w:left w:type="dxa" w:w="144"/>
            </w:tcMar>
            <w:vAlign w:val="bottom"/>
          </w:tcPr>
          <w:p>
            <w:pPr>
              <w:pStyle w:val="style62"/>
              <w:tabs>
                <w:tab w:leader="none" w:pos="1053" w:val="right"/>
                <w:tab w:leader="none" w:pos="1116" w:val="decimal"/>
              </w:tabs>
              <w:spacing w:after="280" w:before="280"/>
              <w:ind w:hanging="0" w:left="144" w:right="315"/>
              <w:contextualSpacing w:val="false"/>
              <w:rPr>
                <w:rFonts w:ascii="Arial" w:cs="Arial" w:hAnsi="Arial"/>
                <w:b/>
                <w:bCs/>
                <w:sz w:val="15"/>
                <w:szCs w:val="15"/>
                <w:vertAlign w:val="superscript"/>
              </w:rPr>
            </w:pPr>
            <w:r>
              <w:rPr>
                <w:rFonts w:ascii="Arial" w:cs="Arial" w:hAnsi="Arial"/>
                <w:b/>
                <w:bCs/>
                <w:sz w:val="20"/>
                <w:szCs w:val="20"/>
              </w:rPr>
              <w:t>$</w:t>
              <w:tab/>
              <w:t>26,764</w:t>
              <w:tab/>
              <w:t> </w:t>
            </w:r>
            <w:r>
              <w:rPr>
                <w:rFonts w:ascii="Arial" w:cs="Arial" w:hAnsi="Arial"/>
                <w:b/>
                <w:bCs/>
                <w:sz w:val="15"/>
                <w:szCs w:val="15"/>
                <w:vertAlign w:val="superscript"/>
              </w:rPr>
              <w:t>(a)</w:t>
            </w:r>
          </w:p>
        </w:tc>
        <w:tc>
          <w:tcPr>
            <w:tcW w:type="dxa" w:w="1440"/>
            <w:tcBorders>
              <w:top w:val="nil"/>
              <w:left w:val="nil"/>
              <w:bottom w:val="nil"/>
              <w:right w:val="nil"/>
            </w:tcBorders>
            <w:shd w:fill="auto" w:val="clear"/>
            <w:tcMar>
              <w:left w:type="dxa" w:w="144"/>
            </w:tcMar>
            <w:vAlign w:val="bottom"/>
          </w:tcPr>
          <w:p>
            <w:pPr>
              <w:pStyle w:val="style62"/>
              <w:tabs>
                <w:tab w:leader="none" w:pos="1044" w:val="right"/>
                <w:tab w:leader="none" w:pos="1116" w:val="decimal"/>
              </w:tabs>
              <w:spacing w:after="280" w:before="280"/>
              <w:ind w:hanging="0" w:left="144" w:right="252"/>
              <w:contextualSpacing w:val="false"/>
              <w:rPr>
                <w:rFonts w:ascii="Arial" w:cs="Arial" w:hAnsi="Arial"/>
                <w:sz w:val="15"/>
                <w:szCs w:val="15"/>
                <w:vertAlign w:val="superscript"/>
              </w:rPr>
            </w:pPr>
            <w:r>
              <w:rPr>
                <w:rFonts w:ascii="Arial" w:cs="Arial" w:hAnsi="Arial"/>
                <w:sz w:val="20"/>
                <w:szCs w:val="20"/>
              </w:rPr>
              <w:t>$</w:t>
              <w:tab/>
              <w:t>21,763</w:t>
              <w:tab/>
              <w:t> </w:t>
            </w:r>
            <w:r>
              <w:rPr>
                <w:rFonts w:ascii="Arial" w:cs="Arial" w:hAnsi="Arial"/>
                <w:sz w:val="15"/>
                <w:szCs w:val="15"/>
                <w:vertAlign w:val="superscript"/>
              </w:rPr>
              <w:t>(b)</w:t>
            </w:r>
          </w:p>
        </w:tc>
        <w:tc>
          <w:tcPr>
            <w:tcW w:type="dxa" w:w="144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27,161</w:t>
              <w:tab/>
            </w:r>
          </w:p>
        </w:tc>
        <w:tc>
          <w:tcPr>
            <w:tcW w:type="dxa" w:w="134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24,098</w:t>
              <w:tab/>
            </w:r>
          </w:p>
        </w:tc>
        <w:tc>
          <w:tcPr>
            <w:tcW w:type="dxa" w:w="1154"/>
            <w:tcBorders>
              <w:top w:val="nil"/>
              <w:left w:val="nil"/>
              <w:bottom w:val="nil"/>
              <w:right w:val="nil"/>
            </w:tcBorders>
            <w:shd w:fill="auto" w:val="clear"/>
            <w:tcMar>
              <w:left w:type="dxa" w:w="144"/>
            </w:tcMar>
            <w:vAlign w:val="bottom"/>
          </w:tcPr>
          <w:p>
            <w:pPr>
              <w:pStyle w:val="style62"/>
              <w:tabs>
                <w:tab w:leader="none" w:pos="1035" w:val="right"/>
              </w:tabs>
              <w:spacing w:after="280" w:before="280"/>
              <w:ind w:hanging="0" w:left="144" w:right="0"/>
              <w:contextualSpacing w:val="false"/>
              <w:rPr>
                <w:rFonts w:ascii="Arial" w:cs="Arial" w:hAnsi="Arial"/>
                <w:sz w:val="20"/>
                <w:szCs w:val="20"/>
              </w:rPr>
            </w:pPr>
            <w:r>
              <w:rPr>
                <w:rFonts w:ascii="Arial" w:cs="Arial" w:hAnsi="Arial"/>
                <w:sz w:val="20"/>
                <w:szCs w:val="20"/>
              </w:rPr>
              <w:t>$</w:t>
              <w:tab/>
              <w:t>20,363</w:t>
              <w:tab/>
            </w:r>
          </w:p>
        </w:tc>
      </w:tr>
      <w:tr>
        <w:trPr>
          <w:cantSplit w:val="false"/>
        </w:trPr>
        <w:tc>
          <w:tcPr>
            <w:tcW w:type="dxa" w:w="39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income</w:t>
            </w:r>
          </w:p>
        </w:tc>
        <w:tc>
          <w:tcPr>
            <w:tcW w:type="dxa" w:w="1448"/>
            <w:tcBorders>
              <w:top w:val="nil"/>
              <w:left w:val="nil"/>
              <w:bottom w:val="nil"/>
              <w:right w:val="nil"/>
            </w:tcBorders>
            <w:shd w:fill="auto" w:val="clear"/>
            <w:tcMar>
              <w:left w:type="dxa" w:w="144"/>
            </w:tcMar>
            <w:vAlign w:val="bottom"/>
          </w:tcPr>
          <w:p>
            <w:pPr>
              <w:pStyle w:val="style62"/>
              <w:tabs>
                <w:tab w:leader="none" w:pos="1053" w:val="right"/>
                <w:tab w:leader="none" w:pos="1116" w:val="decimal"/>
              </w:tabs>
              <w:spacing w:after="280" w:before="280"/>
              <w:ind w:hanging="0" w:left="144" w:right="315"/>
              <w:contextualSpacing w:val="false"/>
              <w:rPr>
                <w:rFonts w:ascii="Arial" w:cs="Arial" w:hAnsi="Arial"/>
                <w:b/>
                <w:bCs/>
                <w:sz w:val="15"/>
                <w:szCs w:val="15"/>
                <w:vertAlign w:val="superscript"/>
              </w:rPr>
            </w:pPr>
            <w:r>
              <w:rPr>
                <w:rFonts w:ascii="Arial" w:cs="Arial" w:hAnsi="Arial"/>
                <w:b/>
                <w:bCs/>
                <w:sz w:val="20"/>
                <w:szCs w:val="20"/>
              </w:rPr>
              <w:t>$</w:t>
              <w:tab/>
              <w:t>21,863</w:t>
              <w:tab/>
              <w:t> </w:t>
            </w:r>
            <w:r>
              <w:rPr>
                <w:rFonts w:ascii="Arial" w:cs="Arial" w:hAnsi="Arial"/>
                <w:b/>
                <w:bCs/>
                <w:sz w:val="15"/>
                <w:szCs w:val="15"/>
                <w:vertAlign w:val="superscript"/>
              </w:rPr>
              <w:t>(a)</w:t>
            </w:r>
          </w:p>
        </w:tc>
        <w:tc>
          <w:tcPr>
            <w:tcW w:type="dxa" w:w="1440"/>
            <w:tcBorders>
              <w:top w:val="nil"/>
              <w:left w:val="nil"/>
              <w:bottom w:val="nil"/>
              <w:right w:val="nil"/>
            </w:tcBorders>
            <w:shd w:fill="auto" w:val="clear"/>
            <w:tcMar>
              <w:left w:type="dxa" w:w="144"/>
            </w:tcMar>
            <w:vAlign w:val="bottom"/>
          </w:tcPr>
          <w:p>
            <w:pPr>
              <w:pStyle w:val="style62"/>
              <w:tabs>
                <w:tab w:leader="none" w:pos="1044" w:val="right"/>
                <w:tab w:leader="none" w:pos="1116" w:val="decimal"/>
              </w:tabs>
              <w:spacing w:after="280" w:before="280"/>
              <w:ind w:hanging="0" w:left="144" w:right="252"/>
              <w:contextualSpacing w:val="false"/>
              <w:rPr>
                <w:rFonts w:ascii="Arial" w:cs="Arial" w:hAnsi="Arial"/>
                <w:sz w:val="15"/>
                <w:szCs w:val="15"/>
                <w:vertAlign w:val="superscript"/>
              </w:rPr>
            </w:pPr>
            <w:r>
              <w:rPr>
                <w:rFonts w:ascii="Arial" w:cs="Arial" w:hAnsi="Arial"/>
                <w:sz w:val="20"/>
                <w:szCs w:val="20"/>
              </w:rPr>
              <w:t>$</w:t>
              <w:tab/>
              <w:t>16,978</w:t>
              <w:tab/>
              <w:t> </w:t>
            </w:r>
            <w:r>
              <w:rPr>
                <w:rFonts w:ascii="Arial" w:cs="Arial" w:hAnsi="Arial"/>
                <w:sz w:val="15"/>
                <w:szCs w:val="15"/>
                <w:vertAlign w:val="superscript"/>
              </w:rPr>
              <w:t>(b)</w:t>
            </w:r>
          </w:p>
        </w:tc>
        <w:tc>
          <w:tcPr>
            <w:tcW w:type="dxa" w:w="144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23,150</w:t>
              <w:tab/>
            </w:r>
          </w:p>
        </w:tc>
        <w:tc>
          <w:tcPr>
            <w:tcW w:type="dxa" w:w="134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18,760</w:t>
              <w:tab/>
            </w:r>
          </w:p>
        </w:tc>
        <w:tc>
          <w:tcPr>
            <w:tcW w:type="dxa" w:w="1154"/>
            <w:tcBorders>
              <w:top w:val="nil"/>
              <w:left w:val="nil"/>
              <w:bottom w:val="nil"/>
              <w:right w:val="nil"/>
            </w:tcBorders>
            <w:shd w:fill="auto" w:val="clear"/>
            <w:tcMar>
              <w:left w:type="dxa" w:w="144"/>
            </w:tcMar>
            <w:vAlign w:val="bottom"/>
          </w:tcPr>
          <w:p>
            <w:pPr>
              <w:pStyle w:val="style62"/>
              <w:tabs>
                <w:tab w:leader="none" w:pos="1035" w:val="right"/>
              </w:tabs>
              <w:spacing w:after="280" w:before="280"/>
              <w:ind w:hanging="0" w:left="144" w:right="0"/>
              <w:contextualSpacing w:val="false"/>
              <w:rPr>
                <w:rFonts w:ascii="Arial" w:cs="Arial" w:hAnsi="Arial"/>
                <w:sz w:val="20"/>
                <w:szCs w:val="20"/>
              </w:rPr>
            </w:pPr>
            <w:r>
              <w:rPr>
                <w:rFonts w:ascii="Arial" w:cs="Arial" w:hAnsi="Arial"/>
                <w:sz w:val="20"/>
                <w:szCs w:val="20"/>
              </w:rPr>
              <w:t>$</w:t>
              <w:tab/>
              <w:t>14,569</w:t>
              <w:tab/>
            </w:r>
          </w:p>
        </w:tc>
      </w:tr>
      <w:tr>
        <w:trPr>
          <w:cantSplit w:val="false"/>
        </w:trPr>
        <w:tc>
          <w:tcPr>
            <w:tcW w:type="dxa" w:w="39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Diluted earnings per share</w:t>
            </w:r>
          </w:p>
        </w:tc>
        <w:tc>
          <w:tcPr>
            <w:tcW w:type="dxa" w:w="1448"/>
            <w:tcBorders>
              <w:top w:val="nil"/>
              <w:left w:val="nil"/>
              <w:bottom w:val="nil"/>
              <w:right w:val="nil"/>
            </w:tcBorders>
            <w:shd w:fill="auto" w:val="clear"/>
            <w:tcMar>
              <w:left w:type="dxa" w:w="144"/>
            </w:tcMar>
            <w:vAlign w:val="bottom"/>
          </w:tcPr>
          <w:p>
            <w:pPr>
              <w:pStyle w:val="style62"/>
              <w:tabs>
                <w:tab w:leader="none" w:pos="1053" w:val="right"/>
                <w:tab w:leader="none" w:pos="1116" w:val="decimal"/>
              </w:tabs>
              <w:spacing w:after="280" w:before="280"/>
              <w:ind w:hanging="0" w:left="144" w:right="315"/>
              <w:contextualSpacing w:val="false"/>
              <w:rPr>
                <w:rFonts w:ascii="Arial" w:cs="Arial" w:hAnsi="Arial"/>
                <w:b/>
                <w:bCs/>
                <w:sz w:val="15"/>
                <w:szCs w:val="15"/>
                <w:vertAlign w:val="superscript"/>
              </w:rPr>
            </w:pPr>
            <w:r>
              <w:rPr>
                <w:rFonts w:ascii="Arial" w:cs="Arial" w:hAnsi="Arial"/>
                <w:b/>
                <w:bCs/>
                <w:sz w:val="20"/>
                <w:szCs w:val="20"/>
              </w:rPr>
              <w:t>$</w:t>
              <w:tab/>
              <w:t>2.58</w:t>
              <w:tab/>
              <w:t> </w:t>
            </w:r>
            <w:r>
              <w:rPr>
                <w:rFonts w:ascii="Arial" w:cs="Arial" w:hAnsi="Arial"/>
                <w:b/>
                <w:bCs/>
                <w:sz w:val="15"/>
                <w:szCs w:val="15"/>
                <w:vertAlign w:val="superscript"/>
              </w:rPr>
              <w:t>(a)</w:t>
            </w:r>
          </w:p>
        </w:tc>
        <w:tc>
          <w:tcPr>
            <w:tcW w:type="dxa" w:w="1440"/>
            <w:tcBorders>
              <w:top w:val="nil"/>
              <w:left w:val="nil"/>
              <w:bottom w:val="nil"/>
              <w:right w:val="nil"/>
            </w:tcBorders>
            <w:shd w:fill="auto" w:val="clear"/>
            <w:tcMar>
              <w:left w:type="dxa" w:w="144"/>
            </w:tcMar>
            <w:vAlign w:val="bottom"/>
          </w:tcPr>
          <w:p>
            <w:pPr>
              <w:pStyle w:val="style62"/>
              <w:tabs>
                <w:tab w:leader="none" w:pos="1044" w:val="right"/>
                <w:tab w:leader="none" w:pos="1116" w:val="decimal"/>
              </w:tabs>
              <w:spacing w:after="280" w:before="280"/>
              <w:ind w:hanging="0" w:left="144" w:right="252"/>
              <w:contextualSpacing w:val="false"/>
              <w:rPr>
                <w:rFonts w:ascii="Arial" w:cs="Arial" w:hAnsi="Arial"/>
                <w:sz w:val="15"/>
                <w:szCs w:val="15"/>
                <w:vertAlign w:val="superscript"/>
              </w:rPr>
            </w:pPr>
            <w:r>
              <w:rPr>
                <w:rFonts w:ascii="Arial" w:cs="Arial" w:hAnsi="Arial"/>
                <w:sz w:val="20"/>
                <w:szCs w:val="20"/>
              </w:rPr>
              <w:t>$</w:t>
              <w:tab/>
              <w:t>2.00</w:t>
              <w:tab/>
              <w:t> </w:t>
            </w:r>
            <w:r>
              <w:rPr>
                <w:rFonts w:ascii="Arial" w:cs="Arial" w:hAnsi="Arial"/>
                <w:sz w:val="15"/>
                <w:szCs w:val="15"/>
                <w:vertAlign w:val="superscript"/>
              </w:rPr>
              <w:t>(b)</w:t>
            </w:r>
          </w:p>
        </w:tc>
        <w:tc>
          <w:tcPr>
            <w:tcW w:type="dxa" w:w="144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2.69</w:t>
              <w:tab/>
            </w:r>
          </w:p>
        </w:tc>
        <w:tc>
          <w:tcPr>
            <w:tcW w:type="dxa" w:w="134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2.10</w:t>
              <w:tab/>
            </w:r>
          </w:p>
        </w:tc>
        <w:tc>
          <w:tcPr>
            <w:tcW w:type="dxa" w:w="1154"/>
            <w:tcBorders>
              <w:top w:val="nil"/>
              <w:left w:val="nil"/>
              <w:bottom w:val="nil"/>
              <w:right w:val="nil"/>
            </w:tcBorders>
            <w:shd w:fill="auto" w:val="clear"/>
            <w:tcMar>
              <w:left w:type="dxa" w:w="144"/>
            </w:tcMar>
            <w:vAlign w:val="bottom"/>
          </w:tcPr>
          <w:p>
            <w:pPr>
              <w:pStyle w:val="style62"/>
              <w:tabs>
                <w:tab w:leader="none" w:pos="1035" w:val="right"/>
              </w:tabs>
              <w:spacing w:after="280" w:before="280"/>
              <w:ind w:hanging="0" w:left="144" w:right="0"/>
              <w:contextualSpacing w:val="false"/>
              <w:rPr>
                <w:rFonts w:ascii="Arial" w:cs="Arial" w:hAnsi="Arial"/>
                <w:sz w:val="20"/>
                <w:szCs w:val="20"/>
              </w:rPr>
            </w:pPr>
            <w:r>
              <w:rPr>
                <w:rFonts w:ascii="Arial" w:cs="Arial" w:hAnsi="Arial"/>
                <w:sz w:val="20"/>
                <w:szCs w:val="20"/>
              </w:rPr>
              <w:t>$</w:t>
              <w:tab/>
              <w:t>1.62</w:t>
              <w:tab/>
            </w:r>
          </w:p>
        </w:tc>
      </w:tr>
      <w:tr>
        <w:trPr>
          <w:cantSplit w:val="false"/>
        </w:trPr>
        <w:tc>
          <w:tcPr>
            <w:tcW w:type="dxa" w:w="39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Cash dividends declared per share</w:t>
            </w:r>
          </w:p>
        </w:tc>
        <w:tc>
          <w:tcPr>
            <w:tcW w:type="dxa" w:w="1448"/>
            <w:tcBorders>
              <w:top w:val="nil"/>
              <w:left w:val="nil"/>
              <w:bottom w:val="nil"/>
              <w:right w:val="nil"/>
            </w:tcBorders>
            <w:shd w:fill="auto" w:val="clear"/>
            <w:tcMar>
              <w:left w:type="dxa" w:w="144"/>
            </w:tcMar>
            <w:vAlign w:val="bottom"/>
          </w:tcPr>
          <w:p>
            <w:pPr>
              <w:pStyle w:val="style62"/>
              <w:tabs>
                <w:tab w:leader="none" w:pos="1053" w:val="right"/>
                <w:tab w:leader="none" w:pos="1116" w:val="decimal"/>
              </w:tabs>
              <w:spacing w:after="280" w:before="280"/>
              <w:ind w:hanging="0" w:left="144" w:right="315"/>
              <w:contextualSpacing w:val="false"/>
              <w:rPr>
                <w:rFonts w:ascii="Arial" w:cs="Arial" w:hAnsi="Arial"/>
                <w:b/>
                <w:bCs/>
                <w:sz w:val="20"/>
                <w:szCs w:val="20"/>
              </w:rPr>
            </w:pPr>
            <w:r>
              <w:rPr>
                <w:rFonts w:ascii="Arial" w:cs="Arial" w:hAnsi="Arial"/>
                <w:b/>
                <w:bCs/>
                <w:sz w:val="20"/>
                <w:szCs w:val="20"/>
              </w:rPr>
              <w:t>$</w:t>
              <w:tab/>
              <w:t>0.92</w:t>
              <w:tab/>
            </w:r>
          </w:p>
        </w:tc>
        <w:tc>
          <w:tcPr>
            <w:tcW w:type="dxa" w:w="1440"/>
            <w:tcBorders>
              <w:top w:val="nil"/>
              <w:left w:val="nil"/>
              <w:bottom w:val="nil"/>
              <w:right w:val="nil"/>
            </w:tcBorders>
            <w:shd w:fill="auto" w:val="clear"/>
            <w:tcMar>
              <w:left w:type="dxa" w:w="144"/>
            </w:tcMar>
            <w:vAlign w:val="bottom"/>
          </w:tcPr>
          <w:p>
            <w:pPr>
              <w:pStyle w:val="style62"/>
              <w:tabs>
                <w:tab w:leader="none" w:pos="1044" w:val="right"/>
                <w:tab w:leader="none" w:pos="1116" w:val="decimal"/>
              </w:tabs>
              <w:spacing w:after="280" w:before="280"/>
              <w:ind w:hanging="0" w:left="144" w:right="252"/>
              <w:contextualSpacing w:val="false"/>
              <w:rPr>
                <w:rFonts w:ascii="Arial" w:cs="Arial" w:hAnsi="Arial"/>
                <w:sz w:val="20"/>
                <w:szCs w:val="20"/>
              </w:rPr>
            </w:pPr>
            <w:r>
              <w:rPr>
                <w:rFonts w:ascii="Arial" w:cs="Arial" w:hAnsi="Arial"/>
                <w:sz w:val="20"/>
                <w:szCs w:val="20"/>
              </w:rPr>
              <w:t>$</w:t>
              <w:tab/>
              <w:t>0.80</w:t>
              <w:tab/>
            </w:r>
          </w:p>
        </w:tc>
        <w:tc>
          <w:tcPr>
            <w:tcW w:type="dxa" w:w="144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0.64</w:t>
              <w:tab/>
            </w:r>
          </w:p>
        </w:tc>
        <w:tc>
          <w:tcPr>
            <w:tcW w:type="dxa" w:w="134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0.52</w:t>
              <w:tab/>
            </w:r>
          </w:p>
        </w:tc>
        <w:tc>
          <w:tcPr>
            <w:tcW w:type="dxa" w:w="1154"/>
            <w:tcBorders>
              <w:top w:val="nil"/>
              <w:left w:val="nil"/>
              <w:bottom w:val="nil"/>
              <w:right w:val="nil"/>
            </w:tcBorders>
            <w:shd w:fill="auto" w:val="clear"/>
            <w:tcMar>
              <w:left w:type="dxa" w:w="144"/>
            </w:tcMar>
            <w:vAlign w:val="bottom"/>
          </w:tcPr>
          <w:p>
            <w:pPr>
              <w:pStyle w:val="style62"/>
              <w:tabs>
                <w:tab w:leader="none" w:pos="1035" w:val="right"/>
              </w:tabs>
              <w:spacing w:after="280" w:before="280"/>
              <w:ind w:hanging="0" w:left="144" w:right="0"/>
              <w:contextualSpacing w:val="false"/>
              <w:rPr>
                <w:rFonts w:ascii="Arial" w:cs="Arial" w:hAnsi="Arial"/>
                <w:sz w:val="20"/>
                <w:szCs w:val="20"/>
              </w:rPr>
            </w:pPr>
            <w:r>
              <w:rPr>
                <w:rFonts w:ascii="Arial" w:cs="Arial" w:hAnsi="Arial"/>
                <w:sz w:val="20"/>
                <w:szCs w:val="20"/>
              </w:rPr>
              <w:t>$</w:t>
              <w:tab/>
              <w:t>0.52</w:t>
              <w:tab/>
            </w:r>
          </w:p>
        </w:tc>
      </w:tr>
      <w:tr>
        <w:trPr>
          <w:cantSplit w:val="false"/>
        </w:trPr>
        <w:tc>
          <w:tcPr>
            <w:tcW w:type="dxa" w:w="39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Cash, cash equivalents, and short-term investments</w:t>
            </w:r>
          </w:p>
        </w:tc>
        <w:tc>
          <w:tcPr>
            <w:tcW w:type="dxa" w:w="1448"/>
            <w:tcBorders>
              <w:top w:val="nil"/>
              <w:left w:val="nil"/>
              <w:bottom w:val="nil"/>
              <w:right w:val="nil"/>
            </w:tcBorders>
            <w:shd w:fill="auto" w:val="clear"/>
            <w:tcMar>
              <w:left w:type="dxa" w:w="144"/>
            </w:tcMar>
            <w:vAlign w:val="bottom"/>
          </w:tcPr>
          <w:p>
            <w:pPr>
              <w:pStyle w:val="style62"/>
              <w:tabs>
                <w:tab w:leader="none" w:pos="1053" w:val="right"/>
                <w:tab w:leader="none" w:pos="1116" w:val="decimal"/>
              </w:tabs>
              <w:spacing w:after="280" w:before="280"/>
              <w:ind w:hanging="0" w:left="144" w:right="315"/>
              <w:contextualSpacing w:val="false"/>
              <w:rPr>
                <w:rFonts w:ascii="Arial" w:cs="Arial" w:hAnsi="Arial"/>
                <w:b/>
                <w:bCs/>
                <w:sz w:val="20"/>
                <w:szCs w:val="20"/>
              </w:rPr>
            </w:pPr>
            <w:r>
              <w:rPr>
                <w:rFonts w:ascii="Arial" w:cs="Arial" w:hAnsi="Arial"/>
                <w:b/>
                <w:bCs/>
                <w:sz w:val="20"/>
                <w:szCs w:val="20"/>
              </w:rPr>
              <w:t>$</w:t>
              <w:tab/>
              <w:t>77,022</w:t>
              <w:tab/>
            </w:r>
          </w:p>
        </w:tc>
        <w:tc>
          <w:tcPr>
            <w:tcW w:type="dxa" w:w="1440"/>
            <w:tcBorders>
              <w:top w:val="nil"/>
              <w:left w:val="nil"/>
              <w:bottom w:val="nil"/>
              <w:right w:val="nil"/>
            </w:tcBorders>
            <w:shd w:fill="auto" w:val="clear"/>
            <w:tcMar>
              <w:left w:type="dxa" w:w="144"/>
            </w:tcMar>
            <w:vAlign w:val="bottom"/>
          </w:tcPr>
          <w:p>
            <w:pPr>
              <w:pStyle w:val="style62"/>
              <w:tabs>
                <w:tab w:leader="none" w:pos="1044" w:val="right"/>
                <w:tab w:leader="none" w:pos="1116" w:val="decimal"/>
              </w:tabs>
              <w:spacing w:after="280" w:before="280"/>
              <w:ind w:hanging="0" w:left="144" w:right="252"/>
              <w:contextualSpacing w:val="false"/>
              <w:rPr>
                <w:rFonts w:ascii="Arial" w:cs="Arial" w:hAnsi="Arial"/>
                <w:sz w:val="20"/>
                <w:szCs w:val="20"/>
              </w:rPr>
            </w:pPr>
            <w:r>
              <w:rPr>
                <w:rFonts w:ascii="Arial" w:cs="Arial" w:hAnsi="Arial"/>
                <w:sz w:val="20"/>
                <w:szCs w:val="20"/>
              </w:rPr>
              <w:t>$</w:t>
              <w:tab/>
              <w:t>63,040</w:t>
              <w:tab/>
            </w:r>
          </w:p>
        </w:tc>
        <w:tc>
          <w:tcPr>
            <w:tcW w:type="dxa" w:w="144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52,772</w:t>
              <w:tab/>
            </w:r>
          </w:p>
        </w:tc>
        <w:tc>
          <w:tcPr>
            <w:tcW w:type="dxa" w:w="134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36,788</w:t>
              <w:tab/>
            </w:r>
          </w:p>
        </w:tc>
        <w:tc>
          <w:tcPr>
            <w:tcW w:type="dxa" w:w="1154"/>
            <w:tcBorders>
              <w:top w:val="nil"/>
              <w:left w:val="nil"/>
              <w:bottom w:val="nil"/>
              <w:right w:val="nil"/>
            </w:tcBorders>
            <w:shd w:fill="auto" w:val="clear"/>
            <w:tcMar>
              <w:left w:type="dxa" w:w="144"/>
            </w:tcMar>
            <w:vAlign w:val="bottom"/>
          </w:tcPr>
          <w:p>
            <w:pPr>
              <w:pStyle w:val="style62"/>
              <w:tabs>
                <w:tab w:leader="none" w:pos="1035" w:val="right"/>
              </w:tabs>
              <w:spacing w:after="280" w:before="280"/>
              <w:ind w:hanging="0" w:left="144" w:right="0"/>
              <w:contextualSpacing w:val="false"/>
              <w:rPr>
                <w:rFonts w:ascii="Arial" w:cs="Arial" w:hAnsi="Arial"/>
                <w:sz w:val="20"/>
                <w:szCs w:val="20"/>
              </w:rPr>
            </w:pPr>
            <w:r>
              <w:rPr>
                <w:rFonts w:ascii="Arial" w:cs="Arial" w:hAnsi="Arial"/>
                <w:sz w:val="20"/>
                <w:szCs w:val="20"/>
              </w:rPr>
              <w:t>$</w:t>
              <w:tab/>
              <w:t>31,447</w:t>
              <w:tab/>
            </w:r>
          </w:p>
        </w:tc>
      </w:tr>
      <w:tr>
        <w:trPr>
          <w:cantSplit w:val="false"/>
        </w:trPr>
        <w:tc>
          <w:tcPr>
            <w:tcW w:type="dxa" w:w="39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Total assets</w:t>
            </w:r>
          </w:p>
        </w:tc>
        <w:tc>
          <w:tcPr>
            <w:tcW w:type="dxa" w:w="1448"/>
            <w:tcBorders>
              <w:top w:val="nil"/>
              <w:left w:val="nil"/>
              <w:bottom w:val="nil"/>
              <w:right w:val="nil"/>
            </w:tcBorders>
            <w:shd w:fill="auto" w:val="clear"/>
            <w:tcMar>
              <w:left w:type="dxa" w:w="144"/>
            </w:tcMar>
            <w:vAlign w:val="bottom"/>
          </w:tcPr>
          <w:p>
            <w:pPr>
              <w:pStyle w:val="style62"/>
              <w:tabs>
                <w:tab w:leader="none" w:pos="1008" w:val="right"/>
                <w:tab w:leader="none" w:pos="1116" w:val="decimal"/>
              </w:tabs>
              <w:spacing w:after="280" w:before="280"/>
              <w:ind w:hanging="0" w:left="108" w:right="315"/>
              <w:contextualSpacing w:val="false"/>
              <w:rPr>
                <w:rFonts w:ascii="Arial" w:cs="Arial" w:hAnsi="Arial"/>
                <w:b/>
                <w:bCs/>
                <w:sz w:val="20"/>
                <w:szCs w:val="20"/>
              </w:rPr>
            </w:pPr>
            <w:r>
              <w:rPr>
                <w:rFonts w:ascii="Arial" w:cs="Arial" w:hAnsi="Arial"/>
                <w:b/>
                <w:bCs/>
                <w:sz w:val="2"/>
                <w:szCs w:val="2"/>
              </w:rPr>
              <w:t xml:space="preserve">      </w:t>
            </w:r>
            <w:r>
              <w:rPr>
                <w:rFonts w:ascii="Arial" w:cs="Arial" w:hAnsi="Arial"/>
                <w:b/>
                <w:bCs/>
                <w:sz w:val="20"/>
                <w:szCs w:val="20"/>
              </w:rPr>
              <w:t>$</w:t>
              <w:tab/>
            </w:r>
            <w:r>
              <w:rPr>
                <w:rFonts w:ascii="Arial" w:cs="Arial" w:hAnsi="Arial"/>
                <w:b/>
                <w:bCs/>
                <w:sz w:val="12"/>
                <w:szCs w:val="12"/>
              </w:rPr>
              <w:t> </w:t>
            </w:r>
            <w:r>
              <w:rPr>
                <w:rFonts w:ascii="Arial" w:cs="Arial" w:hAnsi="Arial"/>
                <w:b/>
                <w:bCs/>
                <w:sz w:val="20"/>
                <w:szCs w:val="20"/>
              </w:rPr>
              <w:t> 142,431</w:t>
              <w:tab/>
            </w:r>
          </w:p>
        </w:tc>
        <w:tc>
          <w:tcPr>
            <w:tcW w:type="dxa" w:w="1440"/>
            <w:tcBorders>
              <w:top w:val="nil"/>
              <w:left w:val="nil"/>
              <w:bottom w:val="nil"/>
              <w:right w:val="nil"/>
            </w:tcBorders>
            <w:shd w:fill="auto" w:val="clear"/>
            <w:tcMar>
              <w:left w:type="dxa" w:w="144"/>
            </w:tcMar>
            <w:vAlign w:val="bottom"/>
          </w:tcPr>
          <w:p>
            <w:pPr>
              <w:pStyle w:val="style62"/>
              <w:tabs>
                <w:tab w:leader="none" w:pos="1044" w:val="right"/>
                <w:tab w:leader="none" w:pos="1116" w:val="decimal"/>
              </w:tabs>
              <w:spacing w:after="280" w:before="280"/>
              <w:ind w:hanging="0" w:left="144" w:right="252"/>
              <w:contextualSpacing w:val="false"/>
              <w:rPr>
                <w:rFonts w:ascii="Arial" w:cs="Arial" w:hAnsi="Arial"/>
                <w:sz w:val="20"/>
                <w:szCs w:val="20"/>
              </w:rPr>
            </w:pPr>
            <w:r>
              <w:rPr>
                <w:rFonts w:ascii="Arial" w:cs="Arial" w:hAnsi="Arial"/>
                <w:sz w:val="20"/>
                <w:szCs w:val="20"/>
              </w:rPr>
              <w:t>$</w:t>
              <w:tab/>
              <w:t>  121,271</w:t>
              <w:tab/>
            </w:r>
          </w:p>
        </w:tc>
        <w:tc>
          <w:tcPr>
            <w:tcW w:type="dxa" w:w="144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  108,704</w:t>
              <w:tab/>
            </w:r>
          </w:p>
        </w:tc>
        <w:tc>
          <w:tcPr>
            <w:tcW w:type="dxa" w:w="134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86,113</w:t>
              <w:tab/>
            </w:r>
          </w:p>
        </w:tc>
        <w:tc>
          <w:tcPr>
            <w:tcW w:type="dxa" w:w="1154"/>
            <w:tcBorders>
              <w:top w:val="nil"/>
              <w:left w:val="nil"/>
              <w:bottom w:val="nil"/>
              <w:right w:val="nil"/>
            </w:tcBorders>
            <w:shd w:fill="auto" w:val="clear"/>
            <w:tcMar>
              <w:left w:type="dxa" w:w="144"/>
            </w:tcMar>
            <w:vAlign w:val="bottom"/>
          </w:tcPr>
          <w:p>
            <w:pPr>
              <w:pStyle w:val="style62"/>
              <w:tabs>
                <w:tab w:leader="none" w:pos="1035" w:val="right"/>
              </w:tabs>
              <w:spacing w:after="280" w:before="280"/>
              <w:ind w:hanging="0" w:left="144" w:right="0"/>
              <w:contextualSpacing w:val="false"/>
              <w:rPr>
                <w:rFonts w:ascii="Arial" w:cs="Arial" w:hAnsi="Arial"/>
                <w:sz w:val="20"/>
                <w:szCs w:val="20"/>
              </w:rPr>
            </w:pPr>
            <w:r>
              <w:rPr>
                <w:rFonts w:ascii="Arial" w:cs="Arial" w:hAnsi="Arial"/>
                <w:sz w:val="20"/>
                <w:szCs w:val="20"/>
              </w:rPr>
              <w:t>$</w:t>
              <w:tab/>
              <w:t>77,888</w:t>
              <w:tab/>
            </w:r>
          </w:p>
        </w:tc>
      </w:tr>
      <w:tr>
        <w:trPr>
          <w:cantSplit w:val="false"/>
        </w:trPr>
        <w:tc>
          <w:tcPr>
            <w:tcW w:type="dxa" w:w="39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Long-term obligations</w:t>
            </w:r>
          </w:p>
        </w:tc>
        <w:tc>
          <w:tcPr>
            <w:tcW w:type="dxa" w:w="1448"/>
            <w:tcBorders>
              <w:top w:val="nil"/>
              <w:left w:val="nil"/>
              <w:bottom w:val="nil"/>
              <w:right w:val="nil"/>
            </w:tcBorders>
            <w:shd w:fill="auto" w:val="clear"/>
            <w:tcMar>
              <w:left w:type="dxa" w:w="144"/>
            </w:tcMar>
            <w:vAlign w:val="bottom"/>
          </w:tcPr>
          <w:p>
            <w:pPr>
              <w:pStyle w:val="style62"/>
              <w:tabs>
                <w:tab w:leader="none" w:pos="1053" w:val="right"/>
                <w:tab w:leader="none" w:pos="1116" w:val="decimal"/>
              </w:tabs>
              <w:spacing w:after="280" w:before="280"/>
              <w:ind w:hanging="0" w:left="144" w:right="315"/>
              <w:contextualSpacing w:val="false"/>
              <w:rPr>
                <w:rFonts w:ascii="Arial" w:cs="Arial" w:hAnsi="Arial"/>
                <w:b/>
                <w:bCs/>
                <w:sz w:val="20"/>
                <w:szCs w:val="20"/>
              </w:rPr>
            </w:pPr>
            <w:r>
              <w:rPr>
                <w:rFonts w:ascii="Arial" w:cs="Arial" w:hAnsi="Arial"/>
                <w:b/>
                <w:bCs/>
                <w:sz w:val="20"/>
                <w:szCs w:val="20"/>
              </w:rPr>
              <w:t>$</w:t>
              <w:tab/>
              <w:t>26,070</w:t>
              <w:tab/>
            </w:r>
          </w:p>
        </w:tc>
        <w:tc>
          <w:tcPr>
            <w:tcW w:type="dxa" w:w="1440"/>
            <w:tcBorders>
              <w:top w:val="nil"/>
              <w:left w:val="nil"/>
              <w:bottom w:val="nil"/>
              <w:right w:val="nil"/>
            </w:tcBorders>
            <w:shd w:fill="auto" w:val="clear"/>
            <w:tcMar>
              <w:left w:type="dxa" w:w="144"/>
            </w:tcMar>
            <w:vAlign w:val="bottom"/>
          </w:tcPr>
          <w:p>
            <w:pPr>
              <w:pStyle w:val="style62"/>
              <w:tabs>
                <w:tab w:leader="none" w:pos="1044" w:val="right"/>
                <w:tab w:leader="none" w:pos="1116" w:val="decimal"/>
              </w:tabs>
              <w:spacing w:after="280" w:before="280"/>
              <w:ind w:hanging="0" w:left="144" w:right="252"/>
              <w:contextualSpacing w:val="false"/>
              <w:rPr>
                <w:rFonts w:ascii="Arial" w:cs="Arial" w:hAnsi="Arial"/>
                <w:sz w:val="20"/>
                <w:szCs w:val="20"/>
              </w:rPr>
            </w:pPr>
            <w:r>
              <w:rPr>
                <w:rFonts w:ascii="Arial" w:cs="Arial" w:hAnsi="Arial"/>
                <w:sz w:val="20"/>
                <w:szCs w:val="20"/>
              </w:rPr>
              <w:t>$</w:t>
              <w:tab/>
              <w:t>22,220</w:t>
              <w:tab/>
            </w:r>
          </w:p>
        </w:tc>
        <w:tc>
          <w:tcPr>
            <w:tcW w:type="dxa" w:w="144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22,847</w:t>
              <w:tab/>
            </w:r>
          </w:p>
        </w:tc>
        <w:tc>
          <w:tcPr>
            <w:tcW w:type="dxa" w:w="134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13,791</w:t>
              <w:tab/>
            </w:r>
          </w:p>
        </w:tc>
        <w:tc>
          <w:tcPr>
            <w:tcW w:type="dxa" w:w="1154"/>
            <w:tcBorders>
              <w:top w:val="nil"/>
              <w:left w:val="nil"/>
              <w:bottom w:val="nil"/>
              <w:right w:val="nil"/>
            </w:tcBorders>
            <w:shd w:fill="auto" w:val="clear"/>
            <w:tcMar>
              <w:left w:type="dxa" w:w="144"/>
            </w:tcMar>
            <w:vAlign w:val="bottom"/>
          </w:tcPr>
          <w:p>
            <w:pPr>
              <w:pStyle w:val="style62"/>
              <w:tabs>
                <w:tab w:leader="none" w:pos="1035" w:val="right"/>
              </w:tabs>
              <w:spacing w:after="280" w:before="280"/>
              <w:ind w:hanging="0" w:left="144" w:right="0"/>
              <w:contextualSpacing w:val="false"/>
              <w:rPr>
                <w:rFonts w:ascii="Arial" w:cs="Arial" w:hAnsi="Arial"/>
                <w:sz w:val="20"/>
                <w:szCs w:val="20"/>
              </w:rPr>
            </w:pPr>
            <w:r>
              <w:rPr>
                <w:rFonts w:ascii="Arial" w:cs="Arial" w:hAnsi="Arial"/>
                <w:sz w:val="20"/>
                <w:szCs w:val="20"/>
              </w:rPr>
              <w:t>$</w:t>
              <w:tab/>
              <w:t>11,296</w:t>
              <w:tab/>
            </w:r>
          </w:p>
        </w:tc>
      </w:tr>
      <w:tr>
        <w:trPr>
          <w:cantSplit w:val="false"/>
        </w:trPr>
        <w:tc>
          <w:tcPr>
            <w:tcW w:type="dxa" w:w="39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Stockholders’ equity</w:t>
            </w:r>
          </w:p>
        </w:tc>
        <w:tc>
          <w:tcPr>
            <w:tcW w:type="dxa" w:w="1448"/>
            <w:tcBorders>
              <w:top w:val="nil"/>
              <w:left w:val="nil"/>
              <w:bottom w:val="nil"/>
              <w:right w:val="nil"/>
            </w:tcBorders>
            <w:shd w:fill="auto" w:val="clear"/>
            <w:tcMar>
              <w:left w:type="dxa" w:w="144"/>
            </w:tcMar>
            <w:vAlign w:val="bottom"/>
          </w:tcPr>
          <w:p>
            <w:pPr>
              <w:pStyle w:val="style62"/>
              <w:tabs>
                <w:tab w:leader="none" w:pos="1053" w:val="right"/>
                <w:tab w:leader="none" w:pos="1116" w:val="decimal"/>
              </w:tabs>
              <w:spacing w:after="280" w:before="280"/>
              <w:ind w:hanging="0" w:left="144" w:right="315"/>
              <w:contextualSpacing w:val="false"/>
              <w:rPr>
                <w:rFonts w:ascii="Arial" w:cs="Arial" w:hAnsi="Arial"/>
                <w:b/>
                <w:bCs/>
                <w:sz w:val="20"/>
                <w:szCs w:val="20"/>
              </w:rPr>
            </w:pPr>
            <w:r>
              <w:rPr>
                <w:rFonts w:ascii="Arial" w:cs="Arial" w:hAnsi="Arial"/>
                <w:b/>
                <w:bCs/>
                <w:sz w:val="20"/>
                <w:szCs w:val="20"/>
              </w:rPr>
              <w:t>$</w:t>
              <w:tab/>
              <w:t>78,944</w:t>
              <w:tab/>
            </w:r>
          </w:p>
        </w:tc>
        <w:tc>
          <w:tcPr>
            <w:tcW w:type="dxa" w:w="1440"/>
            <w:tcBorders>
              <w:top w:val="nil"/>
              <w:left w:val="nil"/>
              <w:bottom w:val="nil"/>
              <w:right w:val="nil"/>
            </w:tcBorders>
            <w:shd w:fill="auto" w:val="clear"/>
            <w:tcMar>
              <w:left w:type="dxa" w:w="144"/>
            </w:tcMar>
            <w:vAlign w:val="bottom"/>
          </w:tcPr>
          <w:p>
            <w:pPr>
              <w:pStyle w:val="style62"/>
              <w:tabs>
                <w:tab w:leader="none" w:pos="1044" w:val="right"/>
                <w:tab w:leader="none" w:pos="1116" w:val="decimal"/>
              </w:tabs>
              <w:spacing w:after="280" w:before="280"/>
              <w:ind w:hanging="0" w:left="144" w:right="252"/>
              <w:contextualSpacing w:val="false"/>
              <w:rPr>
                <w:rFonts w:ascii="Arial" w:cs="Arial" w:hAnsi="Arial"/>
                <w:sz w:val="20"/>
                <w:szCs w:val="20"/>
              </w:rPr>
            </w:pPr>
            <w:r>
              <w:rPr>
                <w:rFonts w:ascii="Arial" w:cs="Arial" w:hAnsi="Arial"/>
                <w:sz w:val="20"/>
                <w:szCs w:val="20"/>
              </w:rPr>
              <w:t>$</w:t>
              <w:tab/>
              <w:t>66,363</w:t>
              <w:tab/>
            </w:r>
          </w:p>
        </w:tc>
        <w:tc>
          <w:tcPr>
            <w:tcW w:type="dxa" w:w="144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57,083</w:t>
              <w:tab/>
            </w:r>
          </w:p>
        </w:tc>
        <w:tc>
          <w:tcPr>
            <w:tcW w:type="dxa" w:w="134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46,175</w:t>
              <w:tab/>
            </w:r>
          </w:p>
        </w:tc>
        <w:tc>
          <w:tcPr>
            <w:tcW w:type="dxa" w:w="1154"/>
            <w:tcBorders>
              <w:top w:val="nil"/>
              <w:left w:val="nil"/>
              <w:bottom w:val="nil"/>
              <w:right w:val="nil"/>
            </w:tcBorders>
            <w:shd w:fill="auto" w:val="clear"/>
            <w:tcMar>
              <w:left w:type="dxa" w:w="144"/>
            </w:tcMar>
            <w:vAlign w:val="bottom"/>
          </w:tcPr>
          <w:p>
            <w:pPr>
              <w:pStyle w:val="style62"/>
              <w:tabs>
                <w:tab w:leader="none" w:pos="1035" w:val="right"/>
              </w:tabs>
              <w:spacing w:after="280" w:before="280"/>
              <w:ind w:hanging="0" w:left="144" w:right="0"/>
              <w:contextualSpacing w:val="false"/>
              <w:rPr>
                <w:rFonts w:ascii="Arial" w:cs="Arial" w:hAnsi="Arial"/>
                <w:sz w:val="20"/>
                <w:szCs w:val="20"/>
              </w:rPr>
            </w:pPr>
            <w:r>
              <w:rPr>
                <w:rFonts w:ascii="Arial" w:cs="Arial" w:hAnsi="Arial"/>
                <w:sz w:val="20"/>
                <w:szCs w:val="20"/>
              </w:rPr>
              <w:t>$</w:t>
              <w:tab/>
              <w:t>39,558</w:t>
              <w:tab/>
            </w:r>
          </w:p>
        </w:tc>
      </w:tr>
    </w:tbl>
    <w:p>
      <w:pPr>
        <w:pStyle w:val="style62"/>
        <w:keepNext/>
        <w:spacing w:after="280" w:before="280"/>
        <w:contextualSpacing w:val="false"/>
        <w:rPr>
          <w:sz w:val="2"/>
          <w:szCs w:val="2"/>
        </w:rPr>
      </w:pPr>
      <w:r>
        <w:rPr>
          <w:sz w:val="2"/>
          <w:szCs w:val="2"/>
        </w:rPr>
      </w:r>
    </w:p>
    <w:p>
      <w:pPr>
        <w:pStyle w:val="style59"/>
        <w:pBdr>
          <w:top w:color="000001" w:space="0" w:sz="4" w:val="single"/>
          <w:left w:val="nil"/>
          <w:bottom w:val="nil"/>
          <w:insideH w:val="nil"/>
          <w:right w:val="nil"/>
          <w:insideV w:val="nil"/>
        </w:pBdr>
        <w:spacing w:after="0" w:before="0"/>
        <w:ind w:hanging="0" w:left="0" w:right="29"/>
        <w:contextualSpacing w:val="false"/>
        <w:rPr/>
      </w:pPr>
      <w:r>
        <w:rPr/>
        <w:t>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(a)</w:t>
        <w:tab/>
      </w:r>
      <w:r>
        <w:rPr>
          <w:rFonts w:ascii="Arial" w:cs="Arial" w:hAnsi="Arial"/>
          <w:i/>
          <w:iCs/>
          <w:sz w:val="20"/>
          <w:szCs w:val="20"/>
        </w:rPr>
        <w:t>Includes a charge related to a fine imposed by the European Commission in March 2013 which decreased operating income and net income by $733 million (€561 million) and diluted earnings per share by $0.09. Also includes a charge for Surface RT inventory adjustments recorded in the fourth quarter of fiscal year 2013, which decreased operating income by $900 million, net income by $596 million, and diluted earnings per share by $0.07.</w:t>
      </w:r>
      <w:r>
        <w:rPr>
          <w:rFonts w:ascii="Arial" w:cs="Arial" w:hAnsi="Arial"/>
          <w:sz w:val="20"/>
          <w:szCs w:val="20"/>
        </w:rPr>
        <w:t xml:space="preserv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(b)</w:t>
        <w:tab/>
      </w:r>
      <w:r>
        <w:rPr>
          <w:rFonts w:ascii="Arial" w:cs="Arial" w:hAnsi="Arial"/>
          <w:i/>
          <w:iCs/>
          <w:sz w:val="20"/>
          <w:szCs w:val="20"/>
        </w:rPr>
        <w:t>Includes a goodwill impairment charge related to our Online Services Division business segment which decreased operating income and net income by $6.2 billion and diluted earnings per share by $0.73.</w:t>
      </w:r>
      <w:r>
        <w:rPr>
          <w:rFonts w:ascii="Arial" w:cs="Arial" w:hAnsi="Arial"/>
          <w:sz w:val="20"/>
          <w:szCs w:val="20"/>
        </w:rPr>
        <w:t xml:space="preserve">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QUARTERLY STOCK PRICE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Our common stock is traded on the NASDAQ Stock Market under the symbol MSFT. On July 18, 2013, there were 119,862 registered holders of record of our common stock. The high and low common stock sales prices per share were as follows: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4440"/>
        <w:gridCol w:w="1463"/>
        <w:gridCol w:w="1404"/>
        <w:gridCol w:w="1144"/>
        <w:gridCol w:w="1144"/>
        <w:gridCol w:w="1205"/>
      </w:tblGrid>
      <w:tr>
        <w:trPr>
          <w:tblHeader w:val="true"/>
          <w:cantSplit w:val="false"/>
        </w:trPr>
        <w:tc>
          <w:tcPr>
            <w:tcW w:type="dxa" w:w="4440"/>
            <w:tcBorders>
              <w:top w:val="nil"/>
              <w:left w:val="nil"/>
              <w:bottom w:val="nil"/>
              <w:right w:val="nil"/>
            </w:tcBorders>
            <w:shd w:fill="auto" w:val="clear"/>
            <w:vAlign w:val="center"/>
          </w:tcPr>
          <w:p>
            <w:pPr>
              <w:pStyle w:val="style0"/>
              <w:rPr>
                <w:sz w:val="1"/>
                <w:szCs w:val="24"/>
              </w:rPr>
            </w:pPr>
            <w:r>
              <w:rPr>
                <w:sz w:val="1"/>
                <w:szCs w:val="24"/>
              </w:rPr>
            </w:r>
          </w:p>
        </w:tc>
        <w:tc>
          <w:tcPr>
            <w:tcW w:type="dxa" w:w="1463"/>
            <w:tcBorders>
              <w:top w:val="nil"/>
              <w:left w:val="nil"/>
              <w:bottom w:val="nil"/>
              <w:right w:val="nil"/>
            </w:tcBorders>
            <w:shd w:fill="auto" w:val="clear"/>
            <w:vAlign w:val="center"/>
          </w:tcPr>
          <w:p>
            <w:pPr>
              <w:pStyle w:val="style0"/>
              <w:rPr>
                <w:sz w:val="1"/>
                <w:szCs w:val="24"/>
              </w:rPr>
            </w:pPr>
            <w:r>
              <w:rPr>
                <w:sz w:val="1"/>
                <w:szCs w:val="24"/>
              </w:rPr>
            </w:r>
          </w:p>
        </w:tc>
        <w:tc>
          <w:tcPr>
            <w:tcW w:type="dxa" w:w="1404"/>
            <w:tcBorders>
              <w:top w:val="nil"/>
              <w:left w:val="nil"/>
              <w:bottom w:val="nil"/>
              <w:right w:val="nil"/>
            </w:tcBorders>
            <w:shd w:fill="auto" w:val="clear"/>
            <w:vAlign w:val="center"/>
          </w:tcPr>
          <w:p>
            <w:pPr>
              <w:pStyle w:val="style0"/>
              <w:rPr>
                <w:sz w:val="1"/>
                <w:szCs w:val="24"/>
              </w:rPr>
            </w:pPr>
            <w:r>
              <w:rPr>
                <w:sz w:val="1"/>
                <w:szCs w:val="24"/>
              </w:rPr>
            </w:r>
          </w:p>
        </w:tc>
        <w:tc>
          <w:tcPr>
            <w:tcW w:type="dxa" w:w="1144"/>
            <w:tcBorders>
              <w:top w:val="nil"/>
              <w:left w:val="nil"/>
              <w:bottom w:val="nil"/>
              <w:right w:val="nil"/>
            </w:tcBorders>
            <w:shd w:fill="auto" w:val="clear"/>
            <w:vAlign w:val="center"/>
          </w:tcPr>
          <w:p>
            <w:pPr>
              <w:pStyle w:val="style0"/>
              <w:rPr>
                <w:sz w:val="1"/>
                <w:szCs w:val="24"/>
              </w:rPr>
            </w:pPr>
            <w:r>
              <w:rPr>
                <w:sz w:val="1"/>
                <w:szCs w:val="24"/>
              </w:rPr>
            </w:r>
          </w:p>
        </w:tc>
        <w:tc>
          <w:tcPr>
            <w:tcW w:type="dxa" w:w="1144"/>
            <w:tcBorders>
              <w:top w:val="nil"/>
              <w:left w:val="nil"/>
              <w:bottom w:val="nil"/>
              <w:right w:val="nil"/>
            </w:tcBorders>
            <w:shd w:fill="auto" w:val="clear"/>
            <w:vAlign w:val="center"/>
          </w:tcPr>
          <w:p>
            <w:pPr>
              <w:pStyle w:val="style0"/>
              <w:rPr>
                <w:sz w:val="1"/>
                <w:szCs w:val="24"/>
              </w:rPr>
            </w:pPr>
            <w:r>
              <w:rPr>
                <w:sz w:val="1"/>
                <w:szCs w:val="24"/>
              </w:rPr>
            </w:r>
          </w:p>
        </w:tc>
        <w:tc>
          <w:tcPr>
            <w:tcW w:type="dxa" w:w="1205"/>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4440"/>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Quarter Ended</w:t>
            </w:r>
          </w:p>
        </w:tc>
        <w:tc>
          <w:tcPr>
            <w:tcW w:type="dxa" w:w="1463"/>
            <w:tcBorders>
              <w:top w:val="nil"/>
              <w:left w:val="nil"/>
              <w:bottom w:val="nil"/>
              <w:right w:val="nil"/>
            </w:tcBorders>
            <w:shd w:fill="auto" w:val="clear"/>
            <w:tcMar>
              <w:left w:type="dxa" w:w="144"/>
            </w:tcMar>
            <w:vAlign w:val="bottom"/>
          </w:tcPr>
          <w:p>
            <w:pPr>
              <w:pStyle w:val="style0"/>
              <w:ind w:hanging="0" w:left="0" w:right="54"/>
              <w:jc w:val="right"/>
              <w:rPr>
                <w:rFonts w:ascii="Arial" w:cs="Arial" w:hAnsi="Arial"/>
                <w:b/>
                <w:bCs/>
                <w:sz w:val="15"/>
                <w:szCs w:val="15"/>
              </w:rPr>
            </w:pPr>
            <w:r>
              <w:rPr>
                <w:rFonts w:ascii="Arial" w:cs="Arial" w:hAnsi="Arial"/>
                <w:b/>
                <w:bCs/>
                <w:sz w:val="15"/>
                <w:szCs w:val="15"/>
              </w:rPr>
              <w:t>September 30</w:t>
            </w:r>
          </w:p>
        </w:tc>
        <w:tc>
          <w:tcPr>
            <w:tcW w:type="dxa" w:w="1404"/>
            <w:tcBorders>
              <w:top w:val="nil"/>
              <w:left w:val="nil"/>
              <w:bottom w:val="nil"/>
              <w:right w:val="nil"/>
            </w:tcBorders>
            <w:shd w:fill="auto" w:val="clear"/>
            <w:tcMar>
              <w:left w:type="dxa" w:w="144"/>
            </w:tcMar>
            <w:vAlign w:val="bottom"/>
          </w:tcPr>
          <w:p>
            <w:pPr>
              <w:pStyle w:val="style0"/>
              <w:ind w:hanging="0" w:left="0" w:right="36"/>
              <w:jc w:val="right"/>
              <w:rPr>
                <w:rFonts w:ascii="Arial" w:cs="Arial" w:hAnsi="Arial"/>
                <w:b/>
                <w:bCs/>
                <w:sz w:val="15"/>
                <w:szCs w:val="15"/>
              </w:rPr>
            </w:pPr>
            <w:r>
              <w:rPr>
                <w:rFonts w:ascii="Arial" w:cs="Arial" w:hAnsi="Arial"/>
                <w:b/>
                <w:bCs/>
                <w:sz w:val="15"/>
                <w:szCs w:val="15"/>
              </w:rPr>
              <w:t>December 31</w:t>
            </w:r>
          </w:p>
        </w:tc>
        <w:tc>
          <w:tcPr>
            <w:tcW w:type="dxa" w:w="1144"/>
            <w:tcBorders>
              <w:top w:val="nil"/>
              <w:left w:val="nil"/>
              <w:bottom w:val="nil"/>
              <w:right w:val="nil"/>
            </w:tcBorders>
            <w:shd w:fill="auto" w:val="clear"/>
            <w:tcMar>
              <w:left w:type="dxa" w:w="144"/>
            </w:tcMar>
            <w:vAlign w:val="bottom"/>
          </w:tcPr>
          <w:p>
            <w:pPr>
              <w:pStyle w:val="style0"/>
              <w:ind w:hanging="0" w:left="0" w:right="36"/>
              <w:jc w:val="right"/>
              <w:rPr>
                <w:rFonts w:ascii="Arial" w:cs="Arial" w:hAnsi="Arial"/>
                <w:b/>
                <w:bCs/>
                <w:sz w:val="15"/>
                <w:szCs w:val="15"/>
              </w:rPr>
            </w:pPr>
            <w:r>
              <w:rPr>
                <w:rFonts w:ascii="Arial" w:cs="Arial" w:hAnsi="Arial"/>
                <w:b/>
                <w:bCs/>
                <w:sz w:val="15"/>
                <w:szCs w:val="15"/>
              </w:rPr>
              <w:t>March 31</w:t>
            </w:r>
          </w:p>
        </w:tc>
        <w:tc>
          <w:tcPr>
            <w:tcW w:type="dxa" w:w="1144"/>
            <w:tcBorders>
              <w:top w:val="nil"/>
              <w:left w:val="nil"/>
              <w:bottom w:val="nil"/>
              <w:right w:val="nil"/>
            </w:tcBorders>
            <w:shd w:fill="auto" w:val="clear"/>
            <w:tcMar>
              <w:left w:type="dxa" w:w="144"/>
            </w:tcMar>
            <w:vAlign w:val="bottom"/>
          </w:tcPr>
          <w:p>
            <w:pPr>
              <w:pStyle w:val="style0"/>
              <w:ind w:hanging="0" w:left="0" w:right="36"/>
              <w:jc w:val="right"/>
              <w:rPr>
                <w:rFonts w:ascii="Arial" w:cs="Arial" w:hAnsi="Arial"/>
                <w:b/>
                <w:bCs/>
                <w:sz w:val="15"/>
                <w:szCs w:val="15"/>
              </w:rPr>
            </w:pPr>
            <w:r>
              <w:rPr>
                <w:rFonts w:ascii="Arial" w:cs="Arial" w:hAnsi="Arial"/>
                <w:b/>
                <w:bCs/>
                <w:sz w:val="15"/>
                <w:szCs w:val="15"/>
              </w:rPr>
              <w:t>June 30</w:t>
            </w:r>
          </w:p>
        </w:tc>
        <w:tc>
          <w:tcPr>
            <w:tcW w:type="dxa" w:w="1205"/>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Fiscal Year</w:t>
            </w:r>
          </w:p>
        </w:tc>
      </w:tr>
      <w:tr>
        <w:trPr>
          <w:cantSplit w:val="false"/>
        </w:trPr>
        <w:tc>
          <w:tcPr>
            <w:tcW w:type="dxa" w:w="10800"/>
            <w:gridSpan w:val="6"/>
            <w:tcBorders>
              <w:top w:val="nil"/>
              <w:left w:val="nil"/>
              <w:bottom w:val="nil"/>
              <w:right w:val="nil"/>
            </w:tcBorders>
            <w:shd w:fill="auto" w:val="clear"/>
            <w:tcMar>
              <w:left w:type="dxa" w:w="144"/>
            </w:tcMar>
            <w:vAlign w:val="bottom"/>
          </w:tcPr>
          <w:p>
            <w:pPr>
              <w:pStyle w:val="style59"/>
              <w:spacing w:after="0" w:before="0"/>
              <w:ind w:hanging="0" w:left="-297" w:right="0"/>
              <w:contextualSpacing w:val="false"/>
              <w:rPr/>
            </w:pPr>
            <w:r>
              <w:rPr/>
              <w:t> </w:t>
            </w:r>
          </w:p>
        </w:tc>
      </w:tr>
      <w:tr>
        <w:trPr>
          <w:trHeight w:hRule="atLeast" w:val="75"/>
          <w:cantSplit w:val="false"/>
        </w:trPr>
        <w:tc>
          <w:tcPr>
            <w:tcW w:type="dxa" w:w="4440"/>
            <w:tcBorders>
              <w:top w:val="nil"/>
              <w:left w:val="nil"/>
              <w:bottom w:val="nil"/>
              <w:right w:val="nil"/>
            </w:tcBorders>
            <w:shd w:fill="auto" w:val="clear"/>
            <w:vAlign w:val="center"/>
          </w:tcPr>
          <w:p>
            <w:pPr>
              <w:pStyle w:val="style0"/>
              <w:rPr>
                <w:sz w:val="8"/>
                <w:szCs w:val="24"/>
              </w:rPr>
            </w:pPr>
            <w:r>
              <w:rPr>
                <w:sz w:val="8"/>
                <w:szCs w:val="24"/>
              </w:rPr>
            </w:r>
          </w:p>
        </w:tc>
        <w:tc>
          <w:tcPr>
            <w:tcW w:type="dxa" w:w="1463"/>
            <w:tcBorders>
              <w:top w:val="nil"/>
              <w:left w:val="nil"/>
              <w:bottom w:val="nil"/>
              <w:right w:val="nil"/>
            </w:tcBorders>
            <w:shd w:fill="auto" w:val="clear"/>
            <w:vAlign w:val="center"/>
          </w:tcPr>
          <w:p>
            <w:pPr>
              <w:pStyle w:val="style0"/>
              <w:rPr>
                <w:sz w:val="8"/>
                <w:szCs w:val="24"/>
              </w:rPr>
            </w:pPr>
            <w:r>
              <w:rPr>
                <w:sz w:val="8"/>
                <w:szCs w:val="24"/>
              </w:rPr>
            </w:r>
          </w:p>
        </w:tc>
        <w:tc>
          <w:tcPr>
            <w:tcW w:type="dxa" w:w="1404"/>
            <w:tcBorders>
              <w:top w:val="nil"/>
              <w:left w:val="nil"/>
              <w:bottom w:val="nil"/>
              <w:right w:val="nil"/>
            </w:tcBorders>
            <w:shd w:fill="auto" w:val="clear"/>
            <w:vAlign w:val="center"/>
          </w:tcPr>
          <w:p>
            <w:pPr>
              <w:pStyle w:val="style0"/>
              <w:rPr>
                <w:sz w:val="8"/>
                <w:szCs w:val="24"/>
              </w:rPr>
            </w:pPr>
            <w:r>
              <w:rPr>
                <w:sz w:val="8"/>
                <w:szCs w:val="24"/>
              </w:rPr>
            </w:r>
          </w:p>
        </w:tc>
        <w:tc>
          <w:tcPr>
            <w:tcW w:type="dxa" w:w="1144"/>
            <w:tcBorders>
              <w:top w:val="nil"/>
              <w:left w:val="nil"/>
              <w:bottom w:val="nil"/>
              <w:right w:val="nil"/>
            </w:tcBorders>
            <w:shd w:fill="auto" w:val="clear"/>
            <w:vAlign w:val="center"/>
          </w:tcPr>
          <w:p>
            <w:pPr>
              <w:pStyle w:val="style0"/>
              <w:rPr>
                <w:sz w:val="8"/>
                <w:szCs w:val="24"/>
              </w:rPr>
            </w:pPr>
            <w:r>
              <w:rPr>
                <w:sz w:val="8"/>
                <w:szCs w:val="24"/>
              </w:rPr>
            </w:r>
          </w:p>
        </w:tc>
        <w:tc>
          <w:tcPr>
            <w:tcW w:type="dxa" w:w="1144"/>
            <w:tcBorders>
              <w:top w:val="nil"/>
              <w:left w:val="nil"/>
              <w:bottom w:val="nil"/>
              <w:right w:val="nil"/>
            </w:tcBorders>
            <w:shd w:fill="auto" w:val="clear"/>
            <w:vAlign w:val="center"/>
          </w:tcPr>
          <w:p>
            <w:pPr>
              <w:pStyle w:val="style0"/>
              <w:rPr>
                <w:sz w:val="8"/>
                <w:szCs w:val="24"/>
              </w:rPr>
            </w:pPr>
            <w:r>
              <w:rPr>
                <w:sz w:val="8"/>
                <w:szCs w:val="24"/>
              </w:rPr>
            </w:r>
          </w:p>
        </w:tc>
        <w:tc>
          <w:tcPr>
            <w:tcW w:type="dxa" w:w="1205"/>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4440"/>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Fiscal Year 2013</w:t>
            </w:r>
          </w:p>
        </w:tc>
        <w:tc>
          <w:tcPr>
            <w:tcW w:type="dxa" w:w="1463"/>
            <w:tcBorders>
              <w:top w:val="nil"/>
              <w:left w:val="nil"/>
              <w:bottom w:val="nil"/>
              <w:right w:val="nil"/>
            </w:tcBorders>
            <w:shd w:fill="auto" w:val="clear"/>
            <w:tcMar>
              <w:left w:type="dxa" w:w="144"/>
            </w:tcMar>
            <w:vAlign w:val="bottom"/>
          </w:tcPr>
          <w:p>
            <w:pPr>
              <w:pStyle w:val="style65"/>
              <w:rPr/>
            </w:pPr>
            <w:r>
              <w:rPr/>
              <w:t> </w:t>
            </w:r>
          </w:p>
        </w:tc>
        <w:tc>
          <w:tcPr>
            <w:tcW w:type="dxa" w:w="1404"/>
            <w:tcBorders>
              <w:top w:val="nil"/>
              <w:left w:val="nil"/>
              <w:bottom w:val="nil"/>
              <w:right w:val="nil"/>
            </w:tcBorders>
            <w:shd w:fill="auto" w:val="clear"/>
            <w:tcMar>
              <w:left w:type="dxa" w:w="144"/>
            </w:tcMar>
            <w:vAlign w:val="bottom"/>
          </w:tcPr>
          <w:p>
            <w:pPr>
              <w:pStyle w:val="style65"/>
              <w:rPr/>
            </w:pPr>
            <w:r>
              <w:rPr/>
              <w:t> </w:t>
            </w:r>
          </w:p>
        </w:tc>
        <w:tc>
          <w:tcPr>
            <w:tcW w:type="dxa" w:w="1144"/>
            <w:tcBorders>
              <w:top w:val="nil"/>
              <w:left w:val="nil"/>
              <w:bottom w:val="nil"/>
              <w:right w:val="nil"/>
            </w:tcBorders>
            <w:shd w:fill="auto" w:val="clear"/>
            <w:tcMar>
              <w:left w:type="dxa" w:w="144"/>
            </w:tcMar>
            <w:vAlign w:val="bottom"/>
          </w:tcPr>
          <w:p>
            <w:pPr>
              <w:pStyle w:val="style65"/>
              <w:rPr/>
            </w:pPr>
            <w:r>
              <w:rPr/>
              <w:t> </w:t>
            </w:r>
          </w:p>
        </w:tc>
        <w:tc>
          <w:tcPr>
            <w:tcW w:type="dxa" w:w="1144"/>
            <w:tcBorders>
              <w:top w:val="nil"/>
              <w:left w:val="nil"/>
              <w:bottom w:val="nil"/>
              <w:right w:val="nil"/>
            </w:tcBorders>
            <w:shd w:fill="auto" w:val="clear"/>
            <w:tcMar>
              <w:left w:type="dxa" w:w="144"/>
            </w:tcMar>
            <w:vAlign w:val="bottom"/>
          </w:tcPr>
          <w:p>
            <w:pPr>
              <w:pStyle w:val="style65"/>
              <w:rPr/>
            </w:pPr>
            <w:r>
              <w:rPr/>
              <w:t> </w:t>
            </w:r>
          </w:p>
        </w:tc>
        <w:tc>
          <w:tcPr>
            <w:tcW w:type="dxa" w:w="1205"/>
            <w:tcBorders>
              <w:top w:val="nil"/>
              <w:left w:val="nil"/>
              <w:bottom w:val="nil"/>
              <w:right w:val="nil"/>
            </w:tcBorders>
            <w:shd w:fill="auto" w:val="clear"/>
            <w:tcMar>
              <w:left w:type="dxa" w:w="144"/>
            </w:tcMar>
            <w:vAlign w:val="bottom"/>
          </w:tcPr>
          <w:p>
            <w:pPr>
              <w:pStyle w:val="style65"/>
              <w:rPr/>
            </w:pPr>
            <w:r>
              <w:rPr/>
              <w:t> </w:t>
            </w:r>
          </w:p>
        </w:tc>
      </w:tr>
      <w:tr>
        <w:trPr>
          <w:trHeight w:hRule="atLeast" w:val="75"/>
          <w:cantSplit w:val="false"/>
        </w:trPr>
        <w:tc>
          <w:tcPr>
            <w:tcW w:type="dxa" w:w="4440"/>
            <w:tcBorders>
              <w:top w:val="nil"/>
              <w:left w:val="nil"/>
              <w:bottom w:val="nil"/>
              <w:right w:val="nil"/>
            </w:tcBorders>
            <w:shd w:fill="auto" w:val="clear"/>
            <w:vAlign w:val="center"/>
          </w:tcPr>
          <w:p>
            <w:pPr>
              <w:pStyle w:val="style0"/>
              <w:rPr>
                <w:sz w:val="8"/>
                <w:szCs w:val="24"/>
              </w:rPr>
            </w:pPr>
            <w:r>
              <w:rPr>
                <w:sz w:val="8"/>
                <w:szCs w:val="24"/>
              </w:rPr>
            </w:r>
          </w:p>
        </w:tc>
        <w:tc>
          <w:tcPr>
            <w:tcW w:type="dxa" w:w="1463"/>
            <w:tcBorders>
              <w:top w:val="nil"/>
              <w:left w:val="nil"/>
              <w:bottom w:val="nil"/>
              <w:right w:val="nil"/>
            </w:tcBorders>
            <w:shd w:fill="auto" w:val="clear"/>
            <w:vAlign w:val="center"/>
          </w:tcPr>
          <w:p>
            <w:pPr>
              <w:pStyle w:val="style0"/>
              <w:rPr>
                <w:sz w:val="8"/>
                <w:szCs w:val="24"/>
              </w:rPr>
            </w:pPr>
            <w:r>
              <w:rPr>
                <w:sz w:val="8"/>
                <w:szCs w:val="24"/>
              </w:rPr>
            </w:r>
          </w:p>
        </w:tc>
        <w:tc>
          <w:tcPr>
            <w:tcW w:type="dxa" w:w="1404"/>
            <w:tcBorders>
              <w:top w:val="nil"/>
              <w:left w:val="nil"/>
              <w:bottom w:val="nil"/>
              <w:right w:val="nil"/>
            </w:tcBorders>
            <w:shd w:fill="auto" w:val="clear"/>
            <w:vAlign w:val="center"/>
          </w:tcPr>
          <w:p>
            <w:pPr>
              <w:pStyle w:val="style0"/>
              <w:rPr>
                <w:sz w:val="8"/>
                <w:szCs w:val="24"/>
              </w:rPr>
            </w:pPr>
            <w:r>
              <w:rPr>
                <w:sz w:val="8"/>
                <w:szCs w:val="24"/>
              </w:rPr>
            </w:r>
          </w:p>
        </w:tc>
        <w:tc>
          <w:tcPr>
            <w:tcW w:type="dxa" w:w="1144"/>
            <w:tcBorders>
              <w:top w:val="nil"/>
              <w:left w:val="nil"/>
              <w:bottom w:val="nil"/>
              <w:right w:val="nil"/>
            </w:tcBorders>
            <w:shd w:fill="auto" w:val="clear"/>
            <w:vAlign w:val="center"/>
          </w:tcPr>
          <w:p>
            <w:pPr>
              <w:pStyle w:val="style0"/>
              <w:rPr>
                <w:sz w:val="8"/>
                <w:szCs w:val="24"/>
              </w:rPr>
            </w:pPr>
            <w:r>
              <w:rPr>
                <w:sz w:val="8"/>
                <w:szCs w:val="24"/>
              </w:rPr>
            </w:r>
          </w:p>
        </w:tc>
        <w:tc>
          <w:tcPr>
            <w:tcW w:type="dxa" w:w="1144"/>
            <w:tcBorders>
              <w:top w:val="nil"/>
              <w:left w:val="nil"/>
              <w:bottom w:val="nil"/>
              <w:right w:val="nil"/>
            </w:tcBorders>
            <w:shd w:fill="auto" w:val="clear"/>
            <w:vAlign w:val="center"/>
          </w:tcPr>
          <w:p>
            <w:pPr>
              <w:pStyle w:val="style0"/>
              <w:rPr>
                <w:sz w:val="8"/>
                <w:szCs w:val="24"/>
              </w:rPr>
            </w:pPr>
            <w:r>
              <w:rPr>
                <w:sz w:val="8"/>
                <w:szCs w:val="24"/>
              </w:rPr>
            </w:r>
          </w:p>
        </w:tc>
        <w:tc>
          <w:tcPr>
            <w:tcW w:type="dxa" w:w="1205"/>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4440"/>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High</w:t>
            </w:r>
          </w:p>
        </w:tc>
        <w:tc>
          <w:tcPr>
            <w:tcW w:type="dxa" w:w="1463"/>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475" w:right="0"/>
              <w:contextualSpacing w:val="false"/>
              <w:rPr>
                <w:rFonts w:ascii="Arial" w:cs="Arial" w:hAnsi="Arial"/>
                <w:b/>
                <w:bCs/>
                <w:sz w:val="20"/>
                <w:szCs w:val="20"/>
              </w:rPr>
            </w:pPr>
            <w:r>
              <w:rPr>
                <w:rFonts w:ascii="Arial" w:cs="Arial" w:hAnsi="Arial"/>
                <w:b/>
                <w:bCs/>
                <w:sz w:val="20"/>
                <w:szCs w:val="20"/>
              </w:rPr>
              <w:t>$</w:t>
              <w:tab/>
              <w:t>  31.61</w:t>
              <w:tab/>
            </w:r>
          </w:p>
        </w:tc>
        <w:tc>
          <w:tcPr>
            <w:tcW w:type="dxa" w:w="1404"/>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403" w:right="0"/>
              <w:contextualSpacing w:val="false"/>
              <w:rPr>
                <w:rFonts w:ascii="Arial" w:cs="Arial" w:hAnsi="Arial"/>
                <w:b/>
                <w:bCs/>
                <w:sz w:val="20"/>
                <w:szCs w:val="20"/>
              </w:rPr>
            </w:pPr>
            <w:r>
              <w:rPr>
                <w:rFonts w:ascii="Arial" w:cs="Arial" w:hAnsi="Arial"/>
                <w:b/>
                <w:bCs/>
                <w:sz w:val="20"/>
                <w:szCs w:val="20"/>
              </w:rPr>
              <w:t>$</w:t>
              <w:tab/>
              <w:t>  30.25</w:t>
              <w:tab/>
            </w:r>
          </w:p>
        </w:tc>
        <w:tc>
          <w:tcPr>
            <w:tcW w:type="dxa" w:w="1144"/>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0"/>
              <w:contextualSpacing w:val="false"/>
              <w:rPr>
                <w:rFonts w:ascii="Arial" w:cs="Arial" w:hAnsi="Arial"/>
                <w:b/>
                <w:bCs/>
                <w:sz w:val="20"/>
                <w:szCs w:val="20"/>
              </w:rPr>
            </w:pPr>
            <w:r>
              <w:rPr>
                <w:rFonts w:ascii="Arial" w:cs="Arial" w:hAnsi="Arial"/>
                <w:b/>
                <w:bCs/>
                <w:sz w:val="20"/>
                <w:szCs w:val="20"/>
              </w:rPr>
              <w:t>$</w:t>
              <w:tab/>
              <w:t>  28.66</w:t>
              <w:tab/>
            </w:r>
          </w:p>
        </w:tc>
        <w:tc>
          <w:tcPr>
            <w:tcW w:type="dxa" w:w="1144"/>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0"/>
              <w:contextualSpacing w:val="false"/>
              <w:rPr>
                <w:rFonts w:ascii="Arial" w:cs="Arial" w:hAnsi="Arial"/>
                <w:b/>
                <w:bCs/>
                <w:sz w:val="20"/>
                <w:szCs w:val="20"/>
              </w:rPr>
            </w:pPr>
            <w:r>
              <w:rPr>
                <w:rFonts w:ascii="Arial" w:cs="Arial" w:hAnsi="Arial"/>
                <w:b/>
                <w:bCs/>
                <w:sz w:val="20"/>
                <w:szCs w:val="20"/>
              </w:rPr>
              <w:t>$</w:t>
              <w:tab/>
              <w:t>  35.78</w:t>
              <w:tab/>
            </w:r>
          </w:p>
        </w:tc>
        <w:tc>
          <w:tcPr>
            <w:tcW w:type="dxa" w:w="1205"/>
            <w:tcBorders>
              <w:top w:val="nil"/>
              <w:left w:val="nil"/>
              <w:bottom w:val="nil"/>
              <w:right w:val="nil"/>
            </w:tcBorders>
            <w:shd w:fill="auto" w:val="clear"/>
            <w:tcMar>
              <w:left w:type="dxa" w:w="144"/>
            </w:tcMar>
            <w:vAlign w:val="bottom"/>
          </w:tcPr>
          <w:p>
            <w:pPr>
              <w:pStyle w:val="style62"/>
              <w:tabs>
                <w:tab w:leader="none" w:pos="1060" w:val="right"/>
                <w:tab w:leader="none" w:pos="1213" w:val="decimal"/>
              </w:tabs>
              <w:spacing w:after="280" w:before="280"/>
              <w:ind w:hanging="0" w:left="331" w:right="0"/>
              <w:contextualSpacing w:val="false"/>
              <w:rPr>
                <w:rFonts w:ascii="Arial" w:cs="Arial" w:hAnsi="Arial"/>
                <w:b/>
                <w:bCs/>
                <w:sz w:val="20"/>
                <w:szCs w:val="20"/>
              </w:rPr>
            </w:pPr>
            <w:r>
              <w:rPr>
                <w:rFonts w:ascii="Arial" w:cs="Arial" w:hAnsi="Arial"/>
                <w:b/>
                <w:bCs/>
                <w:sz w:val="20"/>
                <w:szCs w:val="20"/>
              </w:rPr>
              <w:t>$</w:t>
              <w:tab/>
              <w:t>  35.78</w:t>
              <w:tab/>
            </w:r>
          </w:p>
        </w:tc>
      </w:tr>
      <w:tr>
        <w:trPr>
          <w:cantSplit w:val="false"/>
        </w:trPr>
        <w:tc>
          <w:tcPr>
            <w:tcW w:type="dxa" w:w="4440"/>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Low</w:t>
            </w:r>
          </w:p>
        </w:tc>
        <w:tc>
          <w:tcPr>
            <w:tcW w:type="dxa" w:w="1463"/>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475" w:right="0"/>
              <w:contextualSpacing w:val="false"/>
              <w:rPr>
                <w:rFonts w:ascii="Arial" w:cs="Arial" w:hAnsi="Arial"/>
                <w:b/>
                <w:bCs/>
                <w:sz w:val="20"/>
                <w:szCs w:val="20"/>
              </w:rPr>
            </w:pPr>
            <w:r>
              <w:rPr>
                <w:rFonts w:ascii="Arial" w:cs="Arial" w:hAnsi="Arial"/>
                <w:b/>
                <w:bCs/>
                <w:sz w:val="20"/>
                <w:szCs w:val="20"/>
              </w:rPr>
              <w:t>$</w:t>
              <w:tab/>
              <w:t>28.54</w:t>
              <w:tab/>
            </w:r>
          </w:p>
        </w:tc>
        <w:tc>
          <w:tcPr>
            <w:tcW w:type="dxa" w:w="1404"/>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403" w:right="0"/>
              <w:contextualSpacing w:val="false"/>
              <w:rPr>
                <w:rFonts w:ascii="Arial" w:cs="Arial" w:hAnsi="Arial"/>
                <w:b/>
                <w:bCs/>
                <w:sz w:val="20"/>
                <w:szCs w:val="20"/>
              </w:rPr>
            </w:pPr>
            <w:r>
              <w:rPr>
                <w:rFonts w:ascii="Arial" w:cs="Arial" w:hAnsi="Arial"/>
                <w:b/>
                <w:bCs/>
                <w:sz w:val="20"/>
                <w:szCs w:val="20"/>
              </w:rPr>
              <w:t>$</w:t>
              <w:tab/>
              <w:t>26.26</w:t>
              <w:tab/>
            </w:r>
          </w:p>
        </w:tc>
        <w:tc>
          <w:tcPr>
            <w:tcW w:type="dxa" w:w="1144"/>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0"/>
              <w:contextualSpacing w:val="false"/>
              <w:rPr>
                <w:rFonts w:ascii="Arial" w:cs="Arial" w:hAnsi="Arial"/>
                <w:b/>
                <w:bCs/>
                <w:sz w:val="20"/>
                <w:szCs w:val="20"/>
              </w:rPr>
            </w:pPr>
            <w:r>
              <w:rPr>
                <w:rFonts w:ascii="Arial" w:cs="Arial" w:hAnsi="Arial"/>
                <w:b/>
                <w:bCs/>
                <w:sz w:val="20"/>
                <w:szCs w:val="20"/>
              </w:rPr>
              <w:t>$</w:t>
              <w:tab/>
              <w:t>26.28</w:t>
              <w:tab/>
            </w:r>
          </w:p>
        </w:tc>
        <w:tc>
          <w:tcPr>
            <w:tcW w:type="dxa" w:w="1144"/>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0"/>
              <w:contextualSpacing w:val="false"/>
              <w:rPr>
                <w:rFonts w:ascii="Arial" w:cs="Arial" w:hAnsi="Arial"/>
                <w:b/>
                <w:bCs/>
                <w:sz w:val="20"/>
                <w:szCs w:val="20"/>
              </w:rPr>
            </w:pPr>
            <w:r>
              <w:rPr>
                <w:rFonts w:ascii="Arial" w:cs="Arial" w:hAnsi="Arial"/>
                <w:b/>
                <w:bCs/>
                <w:sz w:val="20"/>
                <w:szCs w:val="20"/>
              </w:rPr>
              <w:t>$</w:t>
              <w:tab/>
              <w:t>28.11</w:t>
              <w:tab/>
            </w:r>
          </w:p>
        </w:tc>
        <w:tc>
          <w:tcPr>
            <w:tcW w:type="dxa" w:w="1205"/>
            <w:tcBorders>
              <w:top w:val="nil"/>
              <w:left w:val="nil"/>
              <w:bottom w:val="nil"/>
              <w:right w:val="nil"/>
            </w:tcBorders>
            <w:shd w:fill="auto" w:val="clear"/>
            <w:tcMar>
              <w:left w:type="dxa" w:w="144"/>
            </w:tcMar>
            <w:vAlign w:val="bottom"/>
          </w:tcPr>
          <w:p>
            <w:pPr>
              <w:pStyle w:val="style62"/>
              <w:tabs>
                <w:tab w:leader="none" w:pos="1060" w:val="right"/>
                <w:tab w:leader="none" w:pos="1213" w:val="decimal"/>
              </w:tabs>
              <w:spacing w:after="280" w:before="280"/>
              <w:ind w:hanging="0" w:left="331" w:right="0"/>
              <w:contextualSpacing w:val="false"/>
              <w:rPr>
                <w:rFonts w:ascii="Arial" w:cs="Arial" w:hAnsi="Arial"/>
                <w:b/>
                <w:bCs/>
                <w:sz w:val="20"/>
                <w:szCs w:val="20"/>
              </w:rPr>
            </w:pPr>
            <w:r>
              <w:rPr>
                <w:rFonts w:ascii="Arial" w:cs="Arial" w:hAnsi="Arial"/>
                <w:b/>
                <w:bCs/>
                <w:sz w:val="20"/>
                <w:szCs w:val="20"/>
              </w:rPr>
              <w:t>$</w:t>
              <w:tab/>
              <w:t>26.26</w:t>
              <w:tab/>
            </w:r>
          </w:p>
        </w:tc>
      </w:tr>
      <w:tr>
        <w:trPr>
          <w:cantSplit w:val="false"/>
        </w:trPr>
        <w:tc>
          <w:tcPr>
            <w:tcW w:type="dxa" w:w="10800"/>
            <w:gridSpan w:val="6"/>
            <w:tcBorders>
              <w:top w:val="nil"/>
              <w:left w:val="nil"/>
              <w:bottom w:val="nil"/>
              <w:right w:val="nil"/>
            </w:tcBorders>
            <w:shd w:fill="auto" w:val="clear"/>
            <w:tcMar>
              <w:left w:type="dxa" w:w="144"/>
            </w:tcMar>
            <w:vAlign w:val="bottom"/>
          </w:tcPr>
          <w:p>
            <w:pPr>
              <w:pStyle w:val="style59"/>
              <w:spacing w:after="0" w:before="0"/>
              <w:ind w:hanging="0" w:left="-144" w:right="0"/>
              <w:contextualSpacing w:val="false"/>
              <w:rPr/>
            </w:pPr>
            <w:r>
              <w:rPr/>
              <w:t> </w:t>
            </w:r>
          </w:p>
        </w:tc>
      </w:tr>
      <w:tr>
        <w:trPr>
          <w:trHeight w:hRule="atLeast" w:val="75"/>
          <w:cantSplit w:val="false"/>
        </w:trPr>
        <w:tc>
          <w:tcPr>
            <w:tcW w:type="dxa" w:w="4440"/>
            <w:tcBorders>
              <w:top w:val="nil"/>
              <w:left w:val="nil"/>
              <w:bottom w:val="nil"/>
              <w:right w:val="nil"/>
            </w:tcBorders>
            <w:shd w:fill="auto" w:val="clear"/>
            <w:vAlign w:val="center"/>
          </w:tcPr>
          <w:p>
            <w:pPr>
              <w:pStyle w:val="style0"/>
              <w:rPr>
                <w:sz w:val="8"/>
                <w:szCs w:val="24"/>
              </w:rPr>
            </w:pPr>
            <w:r>
              <w:rPr>
                <w:sz w:val="8"/>
                <w:szCs w:val="24"/>
              </w:rPr>
            </w:r>
          </w:p>
        </w:tc>
        <w:tc>
          <w:tcPr>
            <w:tcW w:type="dxa" w:w="1463"/>
            <w:tcBorders>
              <w:top w:val="nil"/>
              <w:left w:val="nil"/>
              <w:bottom w:val="nil"/>
              <w:right w:val="nil"/>
            </w:tcBorders>
            <w:shd w:fill="auto" w:val="clear"/>
            <w:vAlign w:val="center"/>
          </w:tcPr>
          <w:p>
            <w:pPr>
              <w:pStyle w:val="style0"/>
              <w:ind w:hanging="0" w:left="475" w:right="0"/>
              <w:rPr>
                <w:sz w:val="8"/>
                <w:szCs w:val="24"/>
              </w:rPr>
            </w:pPr>
            <w:r>
              <w:rPr>
                <w:sz w:val="8"/>
                <w:szCs w:val="24"/>
              </w:rPr>
            </w:r>
          </w:p>
        </w:tc>
        <w:tc>
          <w:tcPr>
            <w:tcW w:type="dxa" w:w="1404"/>
            <w:tcBorders>
              <w:top w:val="nil"/>
              <w:left w:val="nil"/>
              <w:bottom w:val="nil"/>
              <w:right w:val="nil"/>
            </w:tcBorders>
            <w:shd w:fill="auto" w:val="clear"/>
            <w:vAlign w:val="center"/>
          </w:tcPr>
          <w:p>
            <w:pPr>
              <w:pStyle w:val="style0"/>
              <w:ind w:hanging="0" w:left="403" w:right="0"/>
              <w:rPr>
                <w:sz w:val="8"/>
                <w:szCs w:val="24"/>
              </w:rPr>
            </w:pPr>
            <w:r>
              <w:rPr>
                <w:sz w:val="8"/>
                <w:szCs w:val="24"/>
              </w:rPr>
            </w:r>
          </w:p>
        </w:tc>
        <w:tc>
          <w:tcPr>
            <w:tcW w:type="dxa" w:w="1144"/>
            <w:tcBorders>
              <w:top w:val="nil"/>
              <w:left w:val="nil"/>
              <w:bottom w:val="nil"/>
              <w:right w:val="nil"/>
            </w:tcBorders>
            <w:shd w:fill="auto" w:val="clear"/>
            <w:vAlign w:val="center"/>
          </w:tcPr>
          <w:p>
            <w:pPr>
              <w:pStyle w:val="style0"/>
              <w:ind w:hanging="0" w:left="216" w:right="0"/>
              <w:rPr>
                <w:sz w:val="8"/>
                <w:szCs w:val="24"/>
              </w:rPr>
            </w:pPr>
            <w:r>
              <w:rPr>
                <w:sz w:val="8"/>
                <w:szCs w:val="24"/>
              </w:rPr>
            </w:r>
          </w:p>
        </w:tc>
        <w:tc>
          <w:tcPr>
            <w:tcW w:type="dxa" w:w="1144"/>
            <w:tcBorders>
              <w:top w:val="nil"/>
              <w:left w:val="nil"/>
              <w:bottom w:val="nil"/>
              <w:right w:val="nil"/>
            </w:tcBorders>
            <w:shd w:fill="auto" w:val="clear"/>
            <w:vAlign w:val="center"/>
          </w:tcPr>
          <w:p>
            <w:pPr>
              <w:pStyle w:val="style0"/>
              <w:ind w:hanging="0" w:left="216" w:right="0"/>
              <w:rPr>
                <w:sz w:val="8"/>
                <w:szCs w:val="24"/>
              </w:rPr>
            </w:pPr>
            <w:r>
              <w:rPr>
                <w:sz w:val="8"/>
                <w:szCs w:val="24"/>
              </w:rPr>
            </w:r>
          </w:p>
        </w:tc>
        <w:tc>
          <w:tcPr>
            <w:tcW w:type="dxa" w:w="1205"/>
            <w:tcBorders>
              <w:top w:val="nil"/>
              <w:left w:val="nil"/>
              <w:bottom w:val="nil"/>
              <w:right w:val="nil"/>
            </w:tcBorders>
            <w:shd w:fill="auto" w:val="clear"/>
            <w:vAlign w:val="center"/>
          </w:tcPr>
          <w:p>
            <w:pPr>
              <w:pStyle w:val="style0"/>
              <w:ind w:hanging="0" w:left="331" w:right="0"/>
              <w:rPr>
                <w:sz w:val="8"/>
                <w:szCs w:val="24"/>
              </w:rPr>
            </w:pPr>
            <w:r>
              <w:rPr>
                <w:sz w:val="8"/>
                <w:szCs w:val="24"/>
              </w:rPr>
            </w:r>
          </w:p>
        </w:tc>
      </w:tr>
      <w:tr>
        <w:trPr>
          <w:cantSplit w:val="false"/>
        </w:trPr>
        <w:tc>
          <w:tcPr>
            <w:tcW w:type="dxa" w:w="4440"/>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Fiscal Year 2012</w:t>
            </w:r>
          </w:p>
        </w:tc>
        <w:tc>
          <w:tcPr>
            <w:tcW w:type="dxa" w:w="1463"/>
            <w:tcBorders>
              <w:top w:val="nil"/>
              <w:left w:val="nil"/>
              <w:bottom w:val="nil"/>
              <w:right w:val="nil"/>
            </w:tcBorders>
            <w:shd w:fill="auto" w:val="clear"/>
            <w:tcMar>
              <w:left w:type="dxa" w:w="144"/>
            </w:tcMar>
            <w:vAlign w:val="bottom"/>
          </w:tcPr>
          <w:p>
            <w:pPr>
              <w:pStyle w:val="style65"/>
              <w:ind w:hanging="0" w:left="475" w:right="0"/>
              <w:rPr/>
            </w:pPr>
            <w:r>
              <w:rPr/>
              <w:t> </w:t>
            </w:r>
          </w:p>
        </w:tc>
        <w:tc>
          <w:tcPr>
            <w:tcW w:type="dxa" w:w="1404"/>
            <w:tcBorders>
              <w:top w:val="nil"/>
              <w:left w:val="nil"/>
              <w:bottom w:val="nil"/>
              <w:right w:val="nil"/>
            </w:tcBorders>
            <w:shd w:fill="auto" w:val="clear"/>
            <w:tcMar>
              <w:left w:type="dxa" w:w="144"/>
            </w:tcMar>
            <w:vAlign w:val="bottom"/>
          </w:tcPr>
          <w:p>
            <w:pPr>
              <w:pStyle w:val="style65"/>
              <w:ind w:hanging="0" w:left="403" w:right="0"/>
              <w:rPr/>
            </w:pPr>
            <w:r>
              <w:rPr/>
              <w:t> </w:t>
            </w:r>
          </w:p>
        </w:tc>
        <w:tc>
          <w:tcPr>
            <w:tcW w:type="dxa" w:w="1144"/>
            <w:tcBorders>
              <w:top w:val="nil"/>
              <w:left w:val="nil"/>
              <w:bottom w:val="nil"/>
              <w:right w:val="nil"/>
            </w:tcBorders>
            <w:shd w:fill="auto" w:val="clear"/>
            <w:tcMar>
              <w:left w:type="dxa" w:w="144"/>
            </w:tcMar>
            <w:vAlign w:val="bottom"/>
          </w:tcPr>
          <w:p>
            <w:pPr>
              <w:pStyle w:val="style65"/>
              <w:ind w:hanging="0" w:left="216" w:right="0"/>
              <w:rPr/>
            </w:pPr>
            <w:r>
              <w:rPr/>
              <w:t> </w:t>
            </w:r>
          </w:p>
        </w:tc>
        <w:tc>
          <w:tcPr>
            <w:tcW w:type="dxa" w:w="1144"/>
            <w:tcBorders>
              <w:top w:val="nil"/>
              <w:left w:val="nil"/>
              <w:bottom w:val="nil"/>
              <w:right w:val="nil"/>
            </w:tcBorders>
            <w:shd w:fill="auto" w:val="clear"/>
            <w:tcMar>
              <w:left w:type="dxa" w:w="144"/>
            </w:tcMar>
            <w:vAlign w:val="bottom"/>
          </w:tcPr>
          <w:p>
            <w:pPr>
              <w:pStyle w:val="style65"/>
              <w:ind w:hanging="0" w:left="216" w:right="0"/>
              <w:rPr/>
            </w:pPr>
            <w:r>
              <w:rPr/>
              <w:t> </w:t>
            </w:r>
          </w:p>
        </w:tc>
        <w:tc>
          <w:tcPr>
            <w:tcW w:type="dxa" w:w="1205"/>
            <w:tcBorders>
              <w:top w:val="nil"/>
              <w:left w:val="nil"/>
              <w:bottom w:val="nil"/>
              <w:right w:val="nil"/>
            </w:tcBorders>
            <w:shd w:fill="auto" w:val="clear"/>
            <w:tcMar>
              <w:left w:type="dxa" w:w="144"/>
            </w:tcMar>
            <w:vAlign w:val="bottom"/>
          </w:tcPr>
          <w:p>
            <w:pPr>
              <w:pStyle w:val="style65"/>
              <w:ind w:hanging="0" w:left="331" w:right="0"/>
              <w:rPr/>
            </w:pPr>
            <w:r>
              <w:rPr/>
              <w:t> </w:t>
            </w:r>
          </w:p>
        </w:tc>
      </w:tr>
      <w:tr>
        <w:trPr>
          <w:trHeight w:hRule="atLeast" w:val="75"/>
          <w:cantSplit w:val="false"/>
        </w:trPr>
        <w:tc>
          <w:tcPr>
            <w:tcW w:type="dxa" w:w="4440"/>
            <w:tcBorders>
              <w:top w:val="nil"/>
              <w:left w:val="nil"/>
              <w:bottom w:val="nil"/>
              <w:right w:val="nil"/>
            </w:tcBorders>
            <w:shd w:fill="auto" w:val="clear"/>
            <w:vAlign w:val="center"/>
          </w:tcPr>
          <w:p>
            <w:pPr>
              <w:pStyle w:val="style0"/>
              <w:rPr>
                <w:sz w:val="8"/>
                <w:szCs w:val="24"/>
              </w:rPr>
            </w:pPr>
            <w:r>
              <w:rPr>
                <w:sz w:val="8"/>
                <w:szCs w:val="24"/>
              </w:rPr>
            </w:r>
          </w:p>
        </w:tc>
        <w:tc>
          <w:tcPr>
            <w:tcW w:type="dxa" w:w="1463"/>
            <w:tcBorders>
              <w:top w:val="nil"/>
              <w:left w:val="nil"/>
              <w:bottom w:val="nil"/>
              <w:right w:val="nil"/>
            </w:tcBorders>
            <w:shd w:fill="auto" w:val="clear"/>
            <w:vAlign w:val="center"/>
          </w:tcPr>
          <w:p>
            <w:pPr>
              <w:pStyle w:val="style0"/>
              <w:ind w:hanging="0" w:left="475" w:right="0"/>
              <w:rPr>
                <w:sz w:val="8"/>
                <w:szCs w:val="24"/>
              </w:rPr>
            </w:pPr>
            <w:r>
              <w:rPr>
                <w:sz w:val="8"/>
                <w:szCs w:val="24"/>
              </w:rPr>
            </w:r>
          </w:p>
        </w:tc>
        <w:tc>
          <w:tcPr>
            <w:tcW w:type="dxa" w:w="1404"/>
            <w:tcBorders>
              <w:top w:val="nil"/>
              <w:left w:val="nil"/>
              <w:bottom w:val="nil"/>
              <w:right w:val="nil"/>
            </w:tcBorders>
            <w:shd w:fill="auto" w:val="clear"/>
            <w:vAlign w:val="center"/>
          </w:tcPr>
          <w:p>
            <w:pPr>
              <w:pStyle w:val="style0"/>
              <w:ind w:hanging="0" w:left="403" w:right="0"/>
              <w:rPr>
                <w:sz w:val="8"/>
                <w:szCs w:val="24"/>
              </w:rPr>
            </w:pPr>
            <w:r>
              <w:rPr>
                <w:sz w:val="8"/>
                <w:szCs w:val="24"/>
              </w:rPr>
            </w:r>
          </w:p>
        </w:tc>
        <w:tc>
          <w:tcPr>
            <w:tcW w:type="dxa" w:w="1144"/>
            <w:tcBorders>
              <w:top w:val="nil"/>
              <w:left w:val="nil"/>
              <w:bottom w:val="nil"/>
              <w:right w:val="nil"/>
            </w:tcBorders>
            <w:shd w:fill="auto" w:val="clear"/>
            <w:vAlign w:val="center"/>
          </w:tcPr>
          <w:p>
            <w:pPr>
              <w:pStyle w:val="style0"/>
              <w:ind w:hanging="0" w:left="216" w:right="0"/>
              <w:rPr>
                <w:sz w:val="8"/>
                <w:szCs w:val="24"/>
              </w:rPr>
            </w:pPr>
            <w:r>
              <w:rPr>
                <w:sz w:val="8"/>
                <w:szCs w:val="24"/>
              </w:rPr>
            </w:r>
          </w:p>
        </w:tc>
        <w:tc>
          <w:tcPr>
            <w:tcW w:type="dxa" w:w="1144"/>
            <w:tcBorders>
              <w:top w:val="nil"/>
              <w:left w:val="nil"/>
              <w:bottom w:val="nil"/>
              <w:right w:val="nil"/>
            </w:tcBorders>
            <w:shd w:fill="auto" w:val="clear"/>
            <w:vAlign w:val="center"/>
          </w:tcPr>
          <w:p>
            <w:pPr>
              <w:pStyle w:val="style0"/>
              <w:ind w:hanging="0" w:left="216" w:right="0"/>
              <w:rPr>
                <w:sz w:val="8"/>
                <w:szCs w:val="24"/>
              </w:rPr>
            </w:pPr>
            <w:r>
              <w:rPr>
                <w:sz w:val="8"/>
                <w:szCs w:val="24"/>
              </w:rPr>
            </w:r>
          </w:p>
        </w:tc>
        <w:tc>
          <w:tcPr>
            <w:tcW w:type="dxa" w:w="1205"/>
            <w:tcBorders>
              <w:top w:val="nil"/>
              <w:left w:val="nil"/>
              <w:bottom w:val="nil"/>
              <w:right w:val="nil"/>
            </w:tcBorders>
            <w:shd w:fill="auto" w:val="clear"/>
            <w:vAlign w:val="center"/>
          </w:tcPr>
          <w:p>
            <w:pPr>
              <w:pStyle w:val="style0"/>
              <w:ind w:hanging="0" w:left="331" w:right="0"/>
              <w:rPr>
                <w:sz w:val="8"/>
                <w:szCs w:val="24"/>
              </w:rPr>
            </w:pPr>
            <w:r>
              <w:rPr>
                <w:sz w:val="8"/>
                <w:szCs w:val="24"/>
              </w:rPr>
            </w:r>
          </w:p>
        </w:tc>
      </w:tr>
      <w:tr>
        <w:trPr>
          <w:cantSplit w:val="false"/>
        </w:trPr>
        <w:tc>
          <w:tcPr>
            <w:tcW w:type="dxa" w:w="4440"/>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High</w:t>
            </w:r>
          </w:p>
        </w:tc>
        <w:tc>
          <w:tcPr>
            <w:tcW w:type="dxa" w:w="1463"/>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475" w:right="0"/>
              <w:contextualSpacing w:val="false"/>
              <w:rPr>
                <w:rFonts w:ascii="Arial" w:cs="Arial" w:hAnsi="Arial"/>
                <w:sz w:val="20"/>
                <w:szCs w:val="20"/>
              </w:rPr>
            </w:pPr>
            <w:r>
              <w:rPr>
                <w:rFonts w:ascii="Arial" w:cs="Arial" w:hAnsi="Arial"/>
                <w:sz w:val="20"/>
                <w:szCs w:val="20"/>
              </w:rPr>
              <w:t>$</w:t>
              <w:tab/>
              <w:t>28.15</w:t>
              <w:tab/>
            </w:r>
          </w:p>
        </w:tc>
        <w:tc>
          <w:tcPr>
            <w:tcW w:type="dxa" w:w="1404"/>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403" w:right="0"/>
              <w:contextualSpacing w:val="false"/>
              <w:rPr>
                <w:rFonts w:ascii="Arial" w:cs="Arial" w:hAnsi="Arial"/>
                <w:sz w:val="20"/>
                <w:szCs w:val="20"/>
              </w:rPr>
            </w:pPr>
            <w:r>
              <w:rPr>
                <w:rFonts w:ascii="Arial" w:cs="Arial" w:hAnsi="Arial"/>
                <w:sz w:val="20"/>
                <w:szCs w:val="20"/>
              </w:rPr>
              <w:t>$</w:t>
              <w:tab/>
              <w:t>27.50</w:t>
              <w:tab/>
            </w:r>
          </w:p>
        </w:tc>
        <w:tc>
          <w:tcPr>
            <w:tcW w:type="dxa" w:w="1144"/>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0"/>
              <w:contextualSpacing w:val="false"/>
              <w:rPr>
                <w:rFonts w:ascii="Arial" w:cs="Arial" w:hAnsi="Arial"/>
                <w:sz w:val="20"/>
                <w:szCs w:val="20"/>
              </w:rPr>
            </w:pPr>
            <w:r>
              <w:rPr>
                <w:rFonts w:ascii="Arial" w:cs="Arial" w:hAnsi="Arial"/>
                <w:sz w:val="20"/>
                <w:szCs w:val="20"/>
              </w:rPr>
              <w:t>$</w:t>
              <w:tab/>
              <w:t>32.95</w:t>
              <w:tab/>
            </w:r>
          </w:p>
        </w:tc>
        <w:tc>
          <w:tcPr>
            <w:tcW w:type="dxa" w:w="1144"/>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0"/>
              <w:contextualSpacing w:val="false"/>
              <w:rPr>
                <w:rFonts w:ascii="Arial" w:cs="Arial" w:hAnsi="Arial"/>
                <w:sz w:val="20"/>
                <w:szCs w:val="20"/>
              </w:rPr>
            </w:pPr>
            <w:r>
              <w:rPr>
                <w:rFonts w:ascii="Arial" w:cs="Arial" w:hAnsi="Arial"/>
                <w:sz w:val="20"/>
                <w:szCs w:val="20"/>
              </w:rPr>
              <w:t>$</w:t>
              <w:tab/>
              <w:t>32.89</w:t>
              <w:tab/>
            </w:r>
          </w:p>
        </w:tc>
        <w:tc>
          <w:tcPr>
            <w:tcW w:type="dxa" w:w="1205"/>
            <w:tcBorders>
              <w:top w:val="nil"/>
              <w:left w:val="nil"/>
              <w:bottom w:val="nil"/>
              <w:right w:val="nil"/>
            </w:tcBorders>
            <w:shd w:fill="auto" w:val="clear"/>
            <w:tcMar>
              <w:left w:type="dxa" w:w="144"/>
            </w:tcMar>
            <w:vAlign w:val="bottom"/>
          </w:tcPr>
          <w:p>
            <w:pPr>
              <w:pStyle w:val="style62"/>
              <w:tabs>
                <w:tab w:leader="none" w:pos="1060" w:val="right"/>
                <w:tab w:leader="none" w:pos="1348" w:val="decimal"/>
              </w:tabs>
              <w:spacing w:after="280" w:before="280"/>
              <w:ind w:hanging="0" w:left="331" w:right="279"/>
              <w:contextualSpacing w:val="false"/>
              <w:rPr>
                <w:rFonts w:ascii="Arial" w:cs="Arial" w:hAnsi="Arial"/>
                <w:sz w:val="20"/>
                <w:szCs w:val="20"/>
              </w:rPr>
            </w:pPr>
            <w:r>
              <w:rPr>
                <w:rFonts w:ascii="Arial" w:cs="Arial" w:hAnsi="Arial"/>
                <w:sz w:val="20"/>
                <w:szCs w:val="20"/>
              </w:rPr>
              <w:t>$</w:t>
              <w:tab/>
              <w:t>32.95</w:t>
              <w:tab/>
            </w:r>
          </w:p>
        </w:tc>
      </w:tr>
      <w:tr>
        <w:trPr>
          <w:cantSplit w:val="false"/>
        </w:trPr>
        <w:tc>
          <w:tcPr>
            <w:tcW w:type="dxa" w:w="4440"/>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Low</w:t>
            </w:r>
          </w:p>
        </w:tc>
        <w:tc>
          <w:tcPr>
            <w:tcW w:type="dxa" w:w="1463"/>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475" w:right="0"/>
              <w:contextualSpacing w:val="false"/>
              <w:rPr>
                <w:rFonts w:ascii="Arial" w:cs="Arial" w:hAnsi="Arial"/>
                <w:sz w:val="20"/>
                <w:szCs w:val="20"/>
              </w:rPr>
            </w:pPr>
            <w:r>
              <w:rPr>
                <w:rFonts w:ascii="Arial" w:cs="Arial" w:hAnsi="Arial"/>
                <w:sz w:val="20"/>
                <w:szCs w:val="20"/>
              </w:rPr>
              <w:t>$</w:t>
              <w:tab/>
              <w:t>23.79</w:t>
              <w:tab/>
            </w:r>
          </w:p>
        </w:tc>
        <w:tc>
          <w:tcPr>
            <w:tcW w:type="dxa" w:w="1404"/>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403" w:right="0"/>
              <w:contextualSpacing w:val="false"/>
              <w:rPr>
                <w:rFonts w:ascii="Arial" w:cs="Arial" w:hAnsi="Arial"/>
                <w:sz w:val="20"/>
                <w:szCs w:val="20"/>
              </w:rPr>
            </w:pPr>
            <w:r>
              <w:rPr>
                <w:rFonts w:ascii="Arial" w:cs="Arial" w:hAnsi="Arial"/>
                <w:sz w:val="20"/>
                <w:szCs w:val="20"/>
              </w:rPr>
              <w:t>$</w:t>
              <w:tab/>
              <w:t>24.26</w:t>
              <w:tab/>
            </w:r>
          </w:p>
        </w:tc>
        <w:tc>
          <w:tcPr>
            <w:tcW w:type="dxa" w:w="1144"/>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0"/>
              <w:contextualSpacing w:val="false"/>
              <w:rPr>
                <w:rFonts w:ascii="Arial" w:cs="Arial" w:hAnsi="Arial"/>
                <w:sz w:val="20"/>
                <w:szCs w:val="20"/>
              </w:rPr>
            </w:pPr>
            <w:r>
              <w:rPr>
                <w:rFonts w:ascii="Arial" w:cs="Arial" w:hAnsi="Arial"/>
                <w:sz w:val="20"/>
                <w:szCs w:val="20"/>
              </w:rPr>
              <w:t>$</w:t>
              <w:tab/>
              <w:t>26.39</w:t>
              <w:tab/>
            </w:r>
          </w:p>
        </w:tc>
        <w:tc>
          <w:tcPr>
            <w:tcW w:type="dxa" w:w="1144"/>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0"/>
              <w:contextualSpacing w:val="false"/>
              <w:rPr>
                <w:rFonts w:ascii="Arial" w:cs="Arial" w:hAnsi="Arial"/>
                <w:sz w:val="20"/>
                <w:szCs w:val="20"/>
              </w:rPr>
            </w:pPr>
            <w:r>
              <w:rPr>
                <w:rFonts w:ascii="Arial" w:cs="Arial" w:hAnsi="Arial"/>
                <w:sz w:val="20"/>
                <w:szCs w:val="20"/>
              </w:rPr>
              <w:t>$</w:t>
              <w:tab/>
              <w:t>28.32</w:t>
              <w:tab/>
            </w:r>
          </w:p>
        </w:tc>
        <w:tc>
          <w:tcPr>
            <w:tcW w:type="dxa" w:w="1205"/>
            <w:tcBorders>
              <w:top w:val="nil"/>
              <w:left w:val="nil"/>
              <w:bottom w:val="nil"/>
              <w:right w:val="nil"/>
            </w:tcBorders>
            <w:shd w:fill="auto" w:val="clear"/>
            <w:tcMar>
              <w:left w:type="dxa" w:w="144"/>
            </w:tcMar>
            <w:vAlign w:val="bottom"/>
          </w:tcPr>
          <w:p>
            <w:pPr>
              <w:pStyle w:val="style62"/>
              <w:tabs>
                <w:tab w:leader="none" w:pos="1060" w:val="right"/>
                <w:tab w:leader="none" w:pos="1348" w:val="decimal"/>
              </w:tabs>
              <w:spacing w:after="280" w:before="280"/>
              <w:ind w:hanging="0" w:left="331" w:right="279"/>
              <w:contextualSpacing w:val="false"/>
              <w:rPr>
                <w:rFonts w:ascii="Arial" w:cs="Arial" w:hAnsi="Arial"/>
                <w:sz w:val="20"/>
                <w:szCs w:val="20"/>
              </w:rPr>
            </w:pPr>
            <w:r>
              <w:rPr>
                <w:rFonts w:ascii="Arial" w:cs="Arial" w:hAnsi="Arial"/>
                <w:sz w:val="20"/>
                <w:szCs w:val="20"/>
              </w:rPr>
              <w:t>$</w:t>
              <w:tab/>
              <w:t>23.79</w:t>
              <w:tab/>
            </w:r>
          </w:p>
        </w:tc>
      </w:tr>
      <w:tr>
        <w:trPr>
          <w:cantSplit w:val="false"/>
        </w:trPr>
        <w:tc>
          <w:tcPr>
            <w:tcW w:type="dxa" w:w="10800"/>
            <w:gridSpan w:val="6"/>
            <w:tcBorders>
              <w:top w:val="nil"/>
              <w:left w:val="nil"/>
              <w:bottom w:val="nil"/>
              <w:right w:val="nil"/>
            </w:tcBorders>
            <w:shd w:fill="auto" w:val="clear"/>
            <w:tcMar>
              <w:left w:type="dxa" w:w="144"/>
            </w:tcMar>
            <w:vAlign w:val="bottom"/>
          </w:tcPr>
          <w:p>
            <w:pPr>
              <w:pStyle w:val="style59"/>
              <w:spacing w:after="0" w:before="0"/>
              <w:ind w:hanging="0" w:left="-297" w:right="0"/>
              <w:contextualSpacing w:val="false"/>
              <w:rPr/>
            </w:pPr>
            <w:r>
              <w:rPr/>
              <w:t> </w:t>
            </w:r>
          </w:p>
        </w:tc>
      </w:tr>
    </w:tbl>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SHARE REPURCHASES AND DIVIDENDS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Share Repurchases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On September 22, 2008, we announced that our Board of Directors approved a share repurchase program authorizing up to $40.0 billion in share repurchases with an expiration date of September 30, 2013. As of June 30, 2013, approximately $3.6 billion of the approved repurchase amount remained. The repurchase program may be suspended or discontinued at any time without prior notice.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We repurchased the following shares of common stock under the above-described repurchase plan using cash resources: </w:t>
      </w:r>
    </w:p>
    <w:p>
      <w:pPr>
        <w:pStyle w:val="style62"/>
        <w:keepNext/>
        <w:spacing w:after="280" w:before="280"/>
        <w:contextualSpacing w:val="false"/>
        <w:rPr>
          <w:sz w:val="18"/>
          <w:szCs w:val="18"/>
        </w:rPr>
      </w:pPr>
      <w:r>
        <w:rPr>
          <w:sz w:val="18"/>
          <w:szCs w:val="18"/>
        </w:rPr>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4539"/>
        <w:gridCol w:w="919"/>
        <w:gridCol w:w="1159"/>
        <w:gridCol w:w="919"/>
        <w:gridCol w:w="1121"/>
        <w:gridCol w:w="919"/>
        <w:gridCol w:w="1224"/>
      </w:tblGrid>
      <w:tr>
        <w:trPr>
          <w:tblHeader w:val="true"/>
          <w:cantSplit w:val="false"/>
        </w:trPr>
        <w:tc>
          <w:tcPr>
            <w:tcW w:type="dxa" w:w="4539"/>
            <w:tcBorders>
              <w:top w:val="nil"/>
              <w:left w:val="nil"/>
              <w:bottom w:val="nil"/>
              <w:right w:val="nil"/>
            </w:tcBorders>
            <w:shd w:fill="auto" w:val="clear"/>
            <w:vAlign w:val="center"/>
          </w:tcPr>
          <w:p>
            <w:pPr>
              <w:pStyle w:val="style0"/>
              <w:rPr>
                <w:sz w:val="2"/>
                <w:szCs w:val="24"/>
              </w:rPr>
            </w:pPr>
            <w:r>
              <w:rPr>
                <w:sz w:val="2"/>
                <w:szCs w:val="24"/>
              </w:rPr>
            </w:r>
          </w:p>
        </w:tc>
        <w:tc>
          <w:tcPr>
            <w:tcW w:type="dxa" w:w="919"/>
            <w:tcBorders>
              <w:top w:val="nil"/>
              <w:left w:val="nil"/>
              <w:bottom w:val="nil"/>
              <w:right w:val="nil"/>
            </w:tcBorders>
            <w:shd w:fill="auto" w:val="clear"/>
            <w:vAlign w:val="center"/>
          </w:tcPr>
          <w:p>
            <w:pPr>
              <w:pStyle w:val="style0"/>
              <w:rPr>
                <w:sz w:val="2"/>
                <w:szCs w:val="24"/>
              </w:rPr>
            </w:pPr>
            <w:r>
              <w:rPr>
                <w:sz w:val="2"/>
                <w:szCs w:val="24"/>
              </w:rPr>
            </w:r>
          </w:p>
        </w:tc>
        <w:tc>
          <w:tcPr>
            <w:tcW w:type="dxa" w:w="1159"/>
            <w:tcBorders>
              <w:top w:val="nil"/>
              <w:left w:val="nil"/>
              <w:bottom w:val="nil"/>
              <w:right w:val="nil"/>
            </w:tcBorders>
            <w:shd w:fill="auto" w:val="clear"/>
            <w:vAlign w:val="center"/>
          </w:tcPr>
          <w:p>
            <w:pPr>
              <w:pStyle w:val="style0"/>
              <w:rPr>
                <w:sz w:val="2"/>
                <w:szCs w:val="24"/>
              </w:rPr>
            </w:pPr>
            <w:r>
              <w:rPr>
                <w:sz w:val="2"/>
                <w:szCs w:val="24"/>
              </w:rPr>
            </w:r>
          </w:p>
        </w:tc>
        <w:tc>
          <w:tcPr>
            <w:tcW w:type="dxa" w:w="919"/>
            <w:tcBorders>
              <w:top w:val="nil"/>
              <w:left w:val="nil"/>
              <w:bottom w:val="nil"/>
              <w:right w:val="nil"/>
            </w:tcBorders>
            <w:shd w:fill="auto" w:val="clear"/>
            <w:vAlign w:val="center"/>
          </w:tcPr>
          <w:p>
            <w:pPr>
              <w:pStyle w:val="style0"/>
              <w:rPr>
                <w:sz w:val="2"/>
                <w:szCs w:val="24"/>
              </w:rPr>
            </w:pPr>
            <w:r>
              <w:rPr>
                <w:sz w:val="2"/>
                <w:szCs w:val="24"/>
              </w:rPr>
            </w:r>
          </w:p>
        </w:tc>
        <w:tc>
          <w:tcPr>
            <w:tcW w:type="dxa" w:w="1121"/>
            <w:tcBorders>
              <w:top w:val="nil"/>
              <w:left w:val="nil"/>
              <w:bottom w:val="nil"/>
              <w:right w:val="nil"/>
            </w:tcBorders>
            <w:shd w:fill="auto" w:val="clear"/>
            <w:vAlign w:val="center"/>
          </w:tcPr>
          <w:p>
            <w:pPr>
              <w:pStyle w:val="style0"/>
              <w:rPr>
                <w:sz w:val="2"/>
                <w:szCs w:val="24"/>
              </w:rPr>
            </w:pPr>
            <w:r>
              <w:rPr>
                <w:sz w:val="2"/>
                <w:szCs w:val="24"/>
              </w:rPr>
            </w:r>
          </w:p>
        </w:tc>
        <w:tc>
          <w:tcPr>
            <w:tcW w:type="dxa" w:w="919"/>
            <w:tcBorders>
              <w:top w:val="nil"/>
              <w:left w:val="nil"/>
              <w:bottom w:val="nil"/>
              <w:right w:val="nil"/>
            </w:tcBorders>
            <w:shd w:fill="auto" w:val="clear"/>
            <w:vAlign w:val="center"/>
          </w:tcPr>
          <w:p>
            <w:pPr>
              <w:pStyle w:val="style0"/>
              <w:rPr>
                <w:sz w:val="2"/>
                <w:szCs w:val="24"/>
              </w:rPr>
            </w:pPr>
            <w:r>
              <w:rPr>
                <w:sz w:val="2"/>
                <w:szCs w:val="24"/>
              </w:rPr>
            </w:r>
          </w:p>
        </w:tc>
        <w:tc>
          <w:tcPr>
            <w:tcW w:type="dxa" w:w="1224"/>
            <w:tcBorders>
              <w:top w:val="nil"/>
              <w:left w:val="nil"/>
              <w:bottom w:val="nil"/>
              <w:right w:val="nil"/>
            </w:tcBorders>
            <w:shd w:fill="auto" w:val="clear"/>
            <w:vAlign w:val="center"/>
          </w:tcPr>
          <w:p>
            <w:pPr>
              <w:pStyle w:val="style0"/>
              <w:rPr>
                <w:sz w:val="2"/>
                <w:szCs w:val="24"/>
              </w:rPr>
            </w:pPr>
            <w:r>
              <w:rPr>
                <w:sz w:val="2"/>
                <w:szCs w:val="24"/>
              </w:rPr>
            </w:r>
          </w:p>
        </w:tc>
      </w:tr>
      <w:tr>
        <w:trPr>
          <w:tblHeader w:val="true"/>
          <w:cantSplit w:val="false"/>
        </w:trPr>
        <w:tc>
          <w:tcPr>
            <w:tcW w:type="dxa" w:w="453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919"/>
            <w:tcBorders>
              <w:top w:val="nil"/>
              <w:left w:val="nil"/>
              <w:bottom w:val="nil"/>
              <w:right w:val="nil"/>
            </w:tcBorders>
            <w:shd w:fill="auto" w:val="clear"/>
            <w:tcMar>
              <w:left w:type="dxa" w:w="144"/>
            </w:tcMar>
            <w:vAlign w:val="bottom"/>
          </w:tcPr>
          <w:p>
            <w:pPr>
              <w:pStyle w:val="style0"/>
              <w:ind w:hanging="0" w:left="-292" w:right="42"/>
              <w:jc w:val="right"/>
              <w:rPr>
                <w:rFonts w:ascii="Arial" w:cs="Arial" w:hAnsi="Arial"/>
                <w:b/>
                <w:bCs/>
                <w:sz w:val="15"/>
                <w:szCs w:val="15"/>
              </w:rPr>
            </w:pPr>
            <w:r>
              <w:rPr>
                <w:rFonts w:ascii="Arial" w:cs="Arial" w:hAnsi="Arial"/>
                <w:b/>
                <w:bCs/>
                <w:sz w:val="15"/>
                <w:szCs w:val="15"/>
              </w:rPr>
              <w:t>Shares</w:t>
            </w:r>
          </w:p>
        </w:tc>
        <w:tc>
          <w:tcPr>
            <w:tcW w:type="dxa" w:w="1159"/>
            <w:tcBorders>
              <w:top w:val="nil"/>
              <w:left w:val="nil"/>
              <w:bottom w:val="nil"/>
              <w:right w:val="nil"/>
            </w:tcBorders>
            <w:shd w:fill="auto" w:val="clear"/>
            <w:tcMar>
              <w:left w:type="dxa" w:w="144"/>
            </w:tcMar>
            <w:vAlign w:val="bottom"/>
          </w:tcPr>
          <w:p>
            <w:pPr>
              <w:pStyle w:val="style0"/>
              <w:ind w:hanging="0" w:left="0" w:right="68"/>
              <w:jc w:val="right"/>
              <w:rPr>
                <w:rFonts w:ascii="Arial" w:cs="Arial" w:hAnsi="Arial"/>
                <w:b/>
                <w:bCs/>
                <w:sz w:val="15"/>
                <w:szCs w:val="15"/>
              </w:rPr>
            </w:pPr>
            <w:r>
              <w:rPr>
                <w:rFonts w:ascii="Arial" w:cs="Arial" w:hAnsi="Arial"/>
                <w:b/>
                <w:bCs/>
                <w:sz w:val="15"/>
                <w:szCs w:val="15"/>
              </w:rPr>
              <w:t>Amount</w:t>
            </w:r>
          </w:p>
        </w:tc>
        <w:tc>
          <w:tcPr>
            <w:tcW w:type="dxa" w:w="919"/>
            <w:tcBorders>
              <w:top w:val="nil"/>
              <w:left w:val="nil"/>
              <w:bottom w:val="nil"/>
              <w:right w:val="nil"/>
            </w:tcBorders>
            <w:shd w:fill="auto" w:val="clear"/>
            <w:tcMar>
              <w:left w:type="dxa" w:w="144"/>
            </w:tcMar>
            <w:vAlign w:val="bottom"/>
          </w:tcPr>
          <w:p>
            <w:pPr>
              <w:pStyle w:val="style0"/>
              <w:ind w:hanging="0" w:left="-446" w:right="52"/>
              <w:jc w:val="right"/>
              <w:rPr>
                <w:rFonts w:ascii="Arial" w:cs="Arial" w:hAnsi="Arial"/>
                <w:b/>
                <w:bCs/>
                <w:sz w:val="15"/>
                <w:szCs w:val="15"/>
              </w:rPr>
            </w:pPr>
            <w:r>
              <w:rPr>
                <w:rFonts w:ascii="Arial" w:cs="Arial" w:hAnsi="Arial"/>
                <w:b/>
                <w:bCs/>
                <w:sz w:val="15"/>
                <w:szCs w:val="15"/>
              </w:rPr>
              <w:t>Shares</w:t>
            </w:r>
          </w:p>
        </w:tc>
        <w:tc>
          <w:tcPr>
            <w:tcW w:type="dxa" w:w="1121"/>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Amount</w:t>
            </w:r>
          </w:p>
        </w:tc>
        <w:tc>
          <w:tcPr>
            <w:tcW w:type="dxa" w:w="919"/>
            <w:tcBorders>
              <w:top w:val="nil"/>
              <w:left w:val="nil"/>
              <w:bottom w:val="nil"/>
              <w:right w:val="nil"/>
            </w:tcBorders>
            <w:shd w:fill="auto" w:val="clear"/>
            <w:tcMar>
              <w:left w:type="dxa" w:w="144"/>
            </w:tcMar>
            <w:vAlign w:val="bottom"/>
          </w:tcPr>
          <w:p>
            <w:pPr>
              <w:pStyle w:val="style0"/>
              <w:ind w:hanging="0" w:left="-524" w:right="67"/>
              <w:jc w:val="right"/>
              <w:rPr>
                <w:rFonts w:ascii="Arial" w:cs="Arial" w:hAnsi="Arial"/>
                <w:b/>
                <w:bCs/>
                <w:sz w:val="15"/>
                <w:szCs w:val="15"/>
              </w:rPr>
            </w:pPr>
            <w:r>
              <w:rPr>
                <w:rFonts w:ascii="Arial" w:cs="Arial" w:hAnsi="Arial"/>
                <w:b/>
                <w:bCs/>
                <w:sz w:val="15"/>
                <w:szCs w:val="15"/>
              </w:rPr>
              <w:t>Shares</w:t>
            </w:r>
          </w:p>
        </w:tc>
        <w:tc>
          <w:tcPr>
            <w:tcW w:type="dxa" w:w="1224"/>
            <w:tcBorders>
              <w:top w:val="nil"/>
              <w:left w:val="nil"/>
              <w:bottom w:val="nil"/>
              <w:right w:val="nil"/>
            </w:tcBorders>
            <w:shd w:fill="auto" w:val="clear"/>
            <w:tcMar>
              <w:left w:type="dxa" w:w="144"/>
            </w:tcMar>
            <w:vAlign w:val="bottom"/>
          </w:tcPr>
          <w:p>
            <w:pPr>
              <w:pStyle w:val="style0"/>
              <w:ind w:hanging="0" w:left="0" w:right="18"/>
              <w:jc w:val="right"/>
              <w:rPr>
                <w:rFonts w:ascii="Arial" w:cs="Arial" w:hAnsi="Arial"/>
                <w:b/>
                <w:bCs/>
                <w:sz w:val="15"/>
                <w:szCs w:val="15"/>
              </w:rPr>
            </w:pPr>
            <w:r>
              <w:rPr>
                <w:rFonts w:ascii="Arial" w:cs="Arial" w:hAnsi="Arial"/>
                <w:b/>
                <w:bCs/>
                <w:sz w:val="15"/>
                <w:szCs w:val="15"/>
              </w:rPr>
              <w:t>Amount</w:t>
            </w:r>
          </w:p>
        </w:tc>
      </w:tr>
      <w:tr>
        <w:trPr>
          <w:cantSplit w:val="false"/>
        </w:trPr>
        <w:tc>
          <w:tcPr>
            <w:tcW w:type="dxa" w:w="10800"/>
            <w:gridSpan w:val="7"/>
            <w:tcBorders>
              <w:top w:val="nil"/>
              <w:left w:val="nil"/>
              <w:bottom w:val="nil"/>
              <w:right w:val="nil"/>
            </w:tcBorders>
            <w:shd w:fill="auto" w:val="clear"/>
            <w:tcMar>
              <w:left w:type="dxa" w:w="144"/>
            </w:tcMar>
            <w:vAlign w:val="bottom"/>
          </w:tcPr>
          <w:p>
            <w:pPr>
              <w:pStyle w:val="style59"/>
              <w:spacing w:after="0" w:before="0"/>
              <w:ind w:firstLine="230" w:left="-230" w:right="45"/>
              <w:contextualSpacing w:val="false"/>
              <w:rPr/>
            </w:pPr>
            <w:r>
              <w:rPr/>
              <w:t> </w:t>
            </w:r>
          </w:p>
        </w:tc>
      </w:tr>
      <w:tr>
        <w:trPr>
          <w:trHeight w:hRule="atLeast" w:val="75"/>
          <w:cantSplit w:val="false"/>
        </w:trPr>
        <w:tc>
          <w:tcPr>
            <w:tcW w:type="dxa" w:w="4539"/>
            <w:tcBorders>
              <w:top w:val="nil"/>
              <w:left w:val="nil"/>
              <w:bottom w:val="nil"/>
              <w:right w:val="nil"/>
            </w:tcBorders>
            <w:shd w:fill="auto" w:val="clear"/>
            <w:vAlign w:val="center"/>
          </w:tcPr>
          <w:p>
            <w:pPr>
              <w:pStyle w:val="style0"/>
              <w:rPr>
                <w:sz w:val="8"/>
                <w:szCs w:val="24"/>
              </w:rPr>
            </w:pPr>
            <w:r>
              <w:rPr>
                <w:sz w:val="8"/>
                <w:szCs w:val="24"/>
              </w:rPr>
            </w:r>
          </w:p>
        </w:tc>
        <w:tc>
          <w:tcPr>
            <w:tcW w:type="dxa" w:w="919"/>
            <w:tcBorders>
              <w:top w:val="nil"/>
              <w:left w:val="nil"/>
              <w:bottom w:val="nil"/>
              <w:right w:val="nil"/>
            </w:tcBorders>
            <w:shd w:fill="auto" w:val="clear"/>
            <w:vAlign w:val="center"/>
          </w:tcPr>
          <w:p>
            <w:pPr>
              <w:pStyle w:val="style0"/>
              <w:rPr>
                <w:sz w:val="8"/>
                <w:szCs w:val="24"/>
              </w:rPr>
            </w:pPr>
            <w:r>
              <w:rPr>
                <w:sz w:val="8"/>
                <w:szCs w:val="24"/>
              </w:rPr>
            </w:r>
          </w:p>
        </w:tc>
        <w:tc>
          <w:tcPr>
            <w:tcW w:type="dxa" w:w="1159"/>
            <w:tcBorders>
              <w:top w:val="nil"/>
              <w:left w:val="nil"/>
              <w:bottom w:val="nil"/>
              <w:right w:val="nil"/>
            </w:tcBorders>
            <w:shd w:fill="auto" w:val="clear"/>
            <w:vAlign w:val="center"/>
          </w:tcPr>
          <w:p>
            <w:pPr>
              <w:pStyle w:val="style0"/>
              <w:rPr>
                <w:sz w:val="8"/>
                <w:szCs w:val="24"/>
              </w:rPr>
            </w:pPr>
            <w:r>
              <w:rPr>
                <w:sz w:val="8"/>
                <w:szCs w:val="24"/>
              </w:rPr>
            </w:r>
          </w:p>
        </w:tc>
        <w:tc>
          <w:tcPr>
            <w:tcW w:type="dxa" w:w="919"/>
            <w:tcBorders>
              <w:top w:val="nil"/>
              <w:left w:val="nil"/>
              <w:bottom w:val="nil"/>
              <w:right w:val="nil"/>
            </w:tcBorders>
            <w:shd w:fill="auto" w:val="clear"/>
            <w:vAlign w:val="center"/>
          </w:tcPr>
          <w:p>
            <w:pPr>
              <w:pStyle w:val="style0"/>
              <w:rPr>
                <w:sz w:val="8"/>
                <w:szCs w:val="24"/>
              </w:rPr>
            </w:pPr>
            <w:r>
              <w:rPr>
                <w:sz w:val="8"/>
                <w:szCs w:val="24"/>
              </w:rPr>
            </w:r>
          </w:p>
        </w:tc>
        <w:tc>
          <w:tcPr>
            <w:tcW w:type="dxa" w:w="1121"/>
            <w:tcBorders>
              <w:top w:val="nil"/>
              <w:left w:val="nil"/>
              <w:bottom w:val="nil"/>
              <w:right w:val="nil"/>
            </w:tcBorders>
            <w:shd w:fill="auto" w:val="clear"/>
            <w:vAlign w:val="center"/>
          </w:tcPr>
          <w:p>
            <w:pPr>
              <w:pStyle w:val="style0"/>
              <w:ind w:hanging="0" w:left="0" w:right="65"/>
              <w:rPr>
                <w:sz w:val="8"/>
                <w:szCs w:val="24"/>
              </w:rPr>
            </w:pPr>
            <w:r>
              <w:rPr>
                <w:sz w:val="8"/>
                <w:szCs w:val="24"/>
              </w:rPr>
            </w:r>
          </w:p>
        </w:tc>
        <w:tc>
          <w:tcPr>
            <w:tcW w:type="dxa" w:w="919"/>
            <w:tcBorders>
              <w:top w:val="nil"/>
              <w:left w:val="nil"/>
              <w:bottom w:val="nil"/>
              <w:right w:val="nil"/>
            </w:tcBorders>
            <w:shd w:fill="auto" w:val="clear"/>
            <w:vAlign w:val="center"/>
          </w:tcPr>
          <w:p>
            <w:pPr>
              <w:pStyle w:val="style0"/>
              <w:rPr>
                <w:sz w:val="8"/>
                <w:szCs w:val="24"/>
              </w:rPr>
            </w:pPr>
            <w:r>
              <w:rPr>
                <w:sz w:val="8"/>
                <w:szCs w:val="24"/>
              </w:rPr>
            </w:r>
          </w:p>
        </w:tc>
        <w:tc>
          <w:tcPr>
            <w:tcW w:type="dxa" w:w="1224"/>
            <w:tcBorders>
              <w:top w:val="nil"/>
              <w:left w:val="nil"/>
              <w:bottom w:val="nil"/>
              <w:right w:val="nil"/>
            </w:tcBorders>
            <w:shd w:fill="auto" w:val="clear"/>
            <w:vAlign w:val="center"/>
          </w:tcPr>
          <w:p>
            <w:pPr>
              <w:pStyle w:val="style0"/>
              <w:ind w:hanging="0" w:left="0" w:right="18"/>
              <w:rPr>
                <w:sz w:val="8"/>
                <w:szCs w:val="24"/>
              </w:rPr>
            </w:pPr>
            <w:r>
              <w:rPr>
                <w:sz w:val="8"/>
                <w:szCs w:val="24"/>
              </w:rPr>
            </w:r>
          </w:p>
        </w:tc>
      </w:tr>
      <w:tr>
        <w:trPr>
          <w:cantSplit w:val="false"/>
        </w:trPr>
        <w:tc>
          <w:tcPr>
            <w:tcW w:type="dxa" w:w="453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919"/>
            <w:tcBorders>
              <w:top w:val="nil"/>
              <w:left w:val="nil"/>
              <w:bottom w:val="nil"/>
              <w:right w:val="nil"/>
            </w:tcBorders>
            <w:shd w:fill="auto" w:val="clear"/>
            <w:tcMar>
              <w:left w:type="dxa" w:w="144"/>
            </w:tcMar>
            <w:vAlign w:val="bottom"/>
          </w:tcPr>
          <w:p>
            <w:pPr>
              <w:pStyle w:val="style65"/>
              <w:rPr/>
            </w:pPr>
            <w:r>
              <w:rPr/>
              <w:t> </w:t>
            </w:r>
          </w:p>
        </w:tc>
        <w:tc>
          <w:tcPr>
            <w:tcW w:type="dxa" w:w="1159"/>
            <w:tcBorders>
              <w:top w:val="nil"/>
              <w:left w:val="nil"/>
              <w:bottom w:val="nil"/>
              <w:right w:val="nil"/>
            </w:tcBorders>
            <w:shd w:fill="auto" w:val="clear"/>
            <w:tcMar>
              <w:left w:type="dxa" w:w="144"/>
            </w:tcMar>
            <w:vAlign w:val="bottom"/>
          </w:tcPr>
          <w:p>
            <w:pPr>
              <w:pStyle w:val="style0"/>
              <w:ind w:hanging="0" w:left="-204" w:right="59"/>
              <w:jc w:val="right"/>
              <w:rPr>
                <w:rFonts w:ascii="Arial" w:cs="Arial" w:hAnsi="Arial"/>
                <w:b/>
                <w:bCs/>
                <w:sz w:val="15"/>
                <w:szCs w:val="15"/>
              </w:rPr>
            </w:pPr>
            <w:r>
              <w:rPr>
                <w:rFonts w:ascii="Arial" w:cs="Arial" w:hAnsi="Arial"/>
                <w:b/>
                <w:bCs/>
                <w:sz w:val="15"/>
                <w:szCs w:val="15"/>
              </w:rPr>
              <w:t>2013</w:t>
            </w:r>
          </w:p>
        </w:tc>
        <w:tc>
          <w:tcPr>
            <w:tcW w:type="dxa" w:w="919"/>
            <w:tcBorders>
              <w:top w:val="nil"/>
              <w:left w:val="nil"/>
              <w:bottom w:val="nil"/>
              <w:right w:val="nil"/>
            </w:tcBorders>
            <w:shd w:fill="auto" w:val="clear"/>
            <w:tcMar>
              <w:left w:type="dxa" w:w="144"/>
            </w:tcMar>
            <w:vAlign w:val="bottom"/>
          </w:tcPr>
          <w:p>
            <w:pPr>
              <w:pStyle w:val="style65"/>
              <w:rPr/>
            </w:pPr>
            <w:r>
              <w:rPr/>
              <w:t> </w:t>
            </w:r>
          </w:p>
        </w:tc>
        <w:tc>
          <w:tcPr>
            <w:tcW w:type="dxa" w:w="1121"/>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2012</w:t>
            </w:r>
          </w:p>
        </w:tc>
        <w:tc>
          <w:tcPr>
            <w:tcW w:type="dxa" w:w="919"/>
            <w:tcBorders>
              <w:top w:val="nil"/>
              <w:left w:val="nil"/>
              <w:bottom w:val="nil"/>
              <w:right w:val="nil"/>
            </w:tcBorders>
            <w:shd w:fill="auto" w:val="clear"/>
            <w:tcMar>
              <w:left w:type="dxa" w:w="144"/>
            </w:tcMar>
            <w:vAlign w:val="bottom"/>
          </w:tcPr>
          <w:p>
            <w:pPr>
              <w:pStyle w:val="style65"/>
              <w:rPr/>
            </w:pPr>
            <w:r>
              <w:rPr/>
              <w:t> </w:t>
            </w:r>
          </w:p>
        </w:tc>
        <w:tc>
          <w:tcPr>
            <w:tcW w:type="dxa" w:w="1224"/>
            <w:tcBorders>
              <w:top w:val="nil"/>
              <w:left w:val="nil"/>
              <w:bottom w:val="nil"/>
              <w:right w:val="nil"/>
            </w:tcBorders>
            <w:shd w:fill="auto" w:val="clear"/>
            <w:tcMar>
              <w:left w:type="dxa" w:w="144"/>
            </w:tcMar>
            <w:vAlign w:val="bottom"/>
          </w:tcPr>
          <w:p>
            <w:pPr>
              <w:pStyle w:val="style0"/>
              <w:ind w:hanging="0" w:left="0" w:right="9"/>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4539"/>
            <w:tcBorders>
              <w:top w:val="nil"/>
              <w:left w:val="nil"/>
              <w:bottom w:val="nil"/>
              <w:right w:val="nil"/>
            </w:tcBorders>
            <w:shd w:fill="auto" w:val="clear"/>
            <w:vAlign w:val="center"/>
          </w:tcPr>
          <w:p>
            <w:pPr>
              <w:pStyle w:val="style0"/>
              <w:rPr>
                <w:sz w:val="8"/>
                <w:szCs w:val="24"/>
              </w:rPr>
            </w:pPr>
            <w:r>
              <w:rPr>
                <w:sz w:val="8"/>
                <w:szCs w:val="24"/>
              </w:rPr>
            </w:r>
          </w:p>
        </w:tc>
        <w:tc>
          <w:tcPr>
            <w:tcW w:type="dxa" w:w="919"/>
            <w:tcBorders>
              <w:top w:val="nil"/>
              <w:left w:val="nil"/>
              <w:bottom w:val="nil"/>
              <w:right w:val="nil"/>
            </w:tcBorders>
            <w:shd w:fill="auto" w:val="clear"/>
            <w:vAlign w:val="center"/>
          </w:tcPr>
          <w:p>
            <w:pPr>
              <w:pStyle w:val="style0"/>
              <w:rPr>
                <w:sz w:val="8"/>
                <w:szCs w:val="24"/>
              </w:rPr>
            </w:pPr>
            <w:r>
              <w:rPr>
                <w:sz w:val="8"/>
                <w:szCs w:val="24"/>
              </w:rPr>
            </w:r>
          </w:p>
        </w:tc>
        <w:tc>
          <w:tcPr>
            <w:tcW w:type="dxa" w:w="1159"/>
            <w:tcBorders>
              <w:top w:val="nil"/>
              <w:left w:val="nil"/>
              <w:bottom w:val="nil"/>
              <w:right w:val="nil"/>
            </w:tcBorders>
            <w:shd w:fill="auto" w:val="clear"/>
            <w:vAlign w:val="center"/>
          </w:tcPr>
          <w:p>
            <w:pPr>
              <w:pStyle w:val="style0"/>
              <w:rPr>
                <w:sz w:val="8"/>
                <w:szCs w:val="24"/>
              </w:rPr>
            </w:pPr>
            <w:r>
              <w:rPr>
                <w:sz w:val="8"/>
                <w:szCs w:val="24"/>
              </w:rPr>
            </w:r>
          </w:p>
        </w:tc>
        <w:tc>
          <w:tcPr>
            <w:tcW w:type="dxa" w:w="919"/>
            <w:tcBorders>
              <w:top w:val="nil"/>
              <w:left w:val="nil"/>
              <w:bottom w:val="nil"/>
              <w:right w:val="nil"/>
            </w:tcBorders>
            <w:shd w:fill="auto" w:val="clear"/>
            <w:vAlign w:val="center"/>
          </w:tcPr>
          <w:p>
            <w:pPr>
              <w:pStyle w:val="style0"/>
              <w:rPr>
                <w:sz w:val="8"/>
                <w:szCs w:val="24"/>
              </w:rPr>
            </w:pPr>
            <w:r>
              <w:rPr>
                <w:sz w:val="8"/>
                <w:szCs w:val="24"/>
              </w:rPr>
            </w:r>
          </w:p>
        </w:tc>
        <w:tc>
          <w:tcPr>
            <w:tcW w:type="dxa" w:w="1121"/>
            <w:tcBorders>
              <w:top w:val="nil"/>
              <w:left w:val="nil"/>
              <w:bottom w:val="nil"/>
              <w:right w:val="nil"/>
            </w:tcBorders>
            <w:shd w:fill="auto" w:val="clear"/>
            <w:vAlign w:val="center"/>
          </w:tcPr>
          <w:p>
            <w:pPr>
              <w:pStyle w:val="style0"/>
              <w:rPr>
                <w:sz w:val="8"/>
                <w:szCs w:val="24"/>
              </w:rPr>
            </w:pPr>
            <w:r>
              <w:rPr>
                <w:sz w:val="8"/>
                <w:szCs w:val="24"/>
              </w:rPr>
            </w:r>
          </w:p>
        </w:tc>
        <w:tc>
          <w:tcPr>
            <w:tcW w:type="dxa" w:w="919"/>
            <w:tcBorders>
              <w:top w:val="nil"/>
              <w:left w:val="nil"/>
              <w:bottom w:val="nil"/>
              <w:right w:val="nil"/>
            </w:tcBorders>
            <w:shd w:fill="auto" w:val="clear"/>
            <w:vAlign w:val="center"/>
          </w:tcPr>
          <w:p>
            <w:pPr>
              <w:pStyle w:val="style0"/>
              <w:rPr>
                <w:sz w:val="8"/>
                <w:szCs w:val="24"/>
              </w:rPr>
            </w:pPr>
            <w:r>
              <w:rPr>
                <w:sz w:val="8"/>
                <w:szCs w:val="24"/>
              </w:rPr>
            </w:r>
          </w:p>
        </w:tc>
        <w:tc>
          <w:tcPr>
            <w:tcW w:type="dxa" w:w="1224"/>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453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First quarter</w:t>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403" w:right="72"/>
              <w:contextualSpacing w:val="false"/>
              <w:rPr>
                <w:rFonts w:ascii="Arial" w:cs="Arial" w:hAnsi="Arial"/>
                <w:b/>
                <w:bCs/>
                <w:sz w:val="20"/>
                <w:szCs w:val="20"/>
              </w:rPr>
            </w:pPr>
            <w:r>
              <w:rPr>
                <w:rFonts w:ascii="Arial" w:cs="Arial" w:hAnsi="Arial"/>
                <w:b/>
                <w:bCs/>
                <w:sz w:val="20"/>
                <w:szCs w:val="20"/>
              </w:rPr>
              <w:tab/>
              <w:t>33</w:t>
              <w:tab/>
              <w:t> </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1,000</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60" w:right="101"/>
              <w:contextualSpacing w:val="false"/>
              <w:rPr>
                <w:rFonts w:ascii="Arial" w:cs="Arial" w:hAnsi="Arial"/>
                <w:sz w:val="20"/>
                <w:szCs w:val="20"/>
              </w:rPr>
            </w:pPr>
            <w:r>
              <w:rPr>
                <w:rFonts w:ascii="Arial" w:cs="Arial" w:hAnsi="Arial"/>
                <w:sz w:val="20"/>
                <w:szCs w:val="20"/>
              </w:rPr>
              <w:tab/>
              <w:t>38</w:t>
              <w:tab/>
              <w:t> </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44" w:right="86"/>
              <w:contextualSpacing w:val="false"/>
              <w:rPr>
                <w:rFonts w:ascii="Arial" w:cs="Arial" w:hAnsi="Arial"/>
                <w:sz w:val="20"/>
                <w:szCs w:val="20"/>
              </w:rPr>
            </w:pPr>
            <w:r>
              <w:rPr>
                <w:rFonts w:ascii="Arial" w:cs="Arial" w:hAnsi="Arial"/>
                <w:sz w:val="20"/>
                <w:szCs w:val="20"/>
              </w:rPr>
              <w:t>$</w:t>
              <w:tab/>
              <w:t>1,000</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101"/>
              <w:contextualSpacing w:val="false"/>
              <w:rPr>
                <w:rFonts w:ascii="Arial" w:cs="Arial" w:hAnsi="Arial"/>
                <w:sz w:val="20"/>
                <w:szCs w:val="20"/>
              </w:rPr>
            </w:pPr>
            <w:r>
              <w:rPr>
                <w:rFonts w:ascii="Arial" w:cs="Arial" w:hAnsi="Arial"/>
                <w:sz w:val="20"/>
                <w:szCs w:val="20"/>
              </w:rPr>
              <w:tab/>
              <w:t>163</w:t>
              <w:tab/>
              <w:t> </w:t>
            </w:r>
          </w:p>
        </w:tc>
        <w:tc>
          <w:tcPr>
            <w:tcW w:type="dxa" w:w="1224"/>
            <w:tcBorders>
              <w:top w:val="nil"/>
              <w:left w:val="nil"/>
              <w:bottom w:val="nil"/>
              <w:right w:val="nil"/>
            </w:tcBorders>
            <w:shd w:fill="auto" w:val="clear"/>
            <w:tcMar>
              <w:left w:type="dxa" w:w="144"/>
            </w:tcMar>
            <w:vAlign w:val="bottom"/>
          </w:tcPr>
          <w:p>
            <w:pPr>
              <w:pStyle w:val="style62"/>
              <w:tabs>
                <w:tab w:leader="none" w:pos="1076" w:val="right"/>
                <w:tab w:leader="none" w:pos="1229" w:val="decimal"/>
              </w:tabs>
              <w:spacing w:after="280" w:before="280"/>
              <w:ind w:hanging="0" w:left="216" w:right="0"/>
              <w:contextualSpacing w:val="false"/>
              <w:rPr>
                <w:rFonts w:ascii="Arial" w:cs="Arial" w:hAnsi="Arial"/>
                <w:sz w:val="20"/>
                <w:szCs w:val="20"/>
              </w:rPr>
            </w:pPr>
            <w:r>
              <w:rPr>
                <w:rFonts w:ascii="Arial" w:cs="Arial" w:hAnsi="Arial"/>
                <w:sz w:val="20"/>
                <w:szCs w:val="20"/>
              </w:rPr>
              <w:t>$</w:t>
              <w:tab/>
              <w:t>4,000</w:t>
              <w:tab/>
            </w:r>
          </w:p>
        </w:tc>
      </w:tr>
      <w:tr>
        <w:trPr>
          <w:cantSplit w:val="false"/>
        </w:trPr>
        <w:tc>
          <w:tcPr>
            <w:tcW w:type="dxa" w:w="453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Second quarter</w:t>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403" w:right="72"/>
              <w:contextualSpacing w:val="false"/>
              <w:rPr>
                <w:rFonts w:ascii="Arial" w:cs="Arial" w:hAnsi="Arial"/>
                <w:b/>
                <w:bCs/>
                <w:sz w:val="20"/>
                <w:szCs w:val="20"/>
              </w:rPr>
            </w:pPr>
            <w:r>
              <w:rPr>
                <w:rFonts w:ascii="Arial" w:cs="Arial" w:hAnsi="Arial"/>
                <w:b/>
                <w:bCs/>
                <w:sz w:val="20"/>
                <w:szCs w:val="20"/>
              </w:rPr>
              <w:tab/>
              <w:t>58</w:t>
              <w:tab/>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1,607</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60" w:right="101"/>
              <w:contextualSpacing w:val="false"/>
              <w:rPr>
                <w:rFonts w:ascii="Arial" w:cs="Arial" w:hAnsi="Arial"/>
                <w:sz w:val="20"/>
                <w:szCs w:val="20"/>
              </w:rPr>
            </w:pPr>
            <w:r>
              <w:rPr>
                <w:rFonts w:ascii="Arial" w:cs="Arial" w:hAnsi="Arial"/>
                <w:sz w:val="20"/>
                <w:szCs w:val="20"/>
              </w:rPr>
              <w:tab/>
              <w:t>39</w:t>
              <w:tab/>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44" w:right="86"/>
              <w:contextualSpacing w:val="false"/>
              <w:rPr>
                <w:rFonts w:ascii="Arial" w:cs="Arial" w:hAnsi="Arial"/>
                <w:sz w:val="20"/>
                <w:szCs w:val="20"/>
              </w:rPr>
            </w:pPr>
            <w:r>
              <w:rPr>
                <w:rFonts w:ascii="Arial" w:cs="Arial" w:hAnsi="Arial"/>
                <w:sz w:val="20"/>
                <w:szCs w:val="20"/>
              </w:rPr>
              <w:tab/>
              <w:t>1,000</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101"/>
              <w:contextualSpacing w:val="false"/>
              <w:rPr>
                <w:rFonts w:ascii="Arial" w:cs="Arial" w:hAnsi="Arial"/>
                <w:sz w:val="20"/>
                <w:szCs w:val="20"/>
              </w:rPr>
            </w:pPr>
            <w:r>
              <w:rPr>
                <w:rFonts w:ascii="Arial" w:cs="Arial" w:hAnsi="Arial"/>
                <w:sz w:val="20"/>
                <w:szCs w:val="20"/>
              </w:rPr>
              <w:tab/>
              <w:t>188</w:t>
              <w:tab/>
            </w:r>
          </w:p>
        </w:tc>
        <w:tc>
          <w:tcPr>
            <w:tcW w:type="dxa" w:w="1224"/>
            <w:tcBorders>
              <w:top w:val="nil"/>
              <w:left w:val="nil"/>
              <w:bottom w:val="nil"/>
              <w:right w:val="nil"/>
            </w:tcBorders>
            <w:shd w:fill="auto" w:val="clear"/>
            <w:tcMar>
              <w:left w:type="dxa" w:w="144"/>
            </w:tcMar>
            <w:vAlign w:val="bottom"/>
          </w:tcPr>
          <w:p>
            <w:pPr>
              <w:pStyle w:val="style62"/>
              <w:tabs>
                <w:tab w:leader="none" w:pos="1076" w:val="right"/>
                <w:tab w:leader="none" w:pos="1229" w:val="decimal"/>
              </w:tabs>
              <w:spacing w:after="280" w:before="280"/>
              <w:ind w:hanging="0" w:left="216" w:right="0"/>
              <w:contextualSpacing w:val="false"/>
              <w:rPr>
                <w:rFonts w:ascii="Arial" w:cs="Arial" w:hAnsi="Arial"/>
                <w:sz w:val="20"/>
                <w:szCs w:val="20"/>
              </w:rPr>
            </w:pPr>
            <w:r>
              <w:rPr>
                <w:rFonts w:ascii="Arial" w:cs="Arial" w:hAnsi="Arial"/>
                <w:sz w:val="20"/>
                <w:szCs w:val="20"/>
              </w:rPr>
              <w:tab/>
              <w:t>5,000</w:t>
              <w:tab/>
            </w:r>
          </w:p>
        </w:tc>
      </w:tr>
      <w:tr>
        <w:trPr>
          <w:cantSplit w:val="false"/>
        </w:trPr>
        <w:tc>
          <w:tcPr>
            <w:tcW w:type="dxa" w:w="453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Third quarter</w:t>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403" w:right="72"/>
              <w:contextualSpacing w:val="false"/>
              <w:rPr>
                <w:rFonts w:ascii="Arial" w:cs="Arial" w:hAnsi="Arial"/>
                <w:b/>
                <w:bCs/>
                <w:sz w:val="20"/>
                <w:szCs w:val="20"/>
              </w:rPr>
            </w:pPr>
            <w:r>
              <w:rPr>
                <w:rFonts w:ascii="Arial" w:cs="Arial" w:hAnsi="Arial"/>
                <w:b/>
                <w:bCs/>
                <w:sz w:val="20"/>
                <w:szCs w:val="20"/>
              </w:rPr>
              <w:tab/>
              <w:t>36</w:t>
              <w:tab/>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1,000</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60" w:right="101"/>
              <w:contextualSpacing w:val="false"/>
              <w:rPr>
                <w:rFonts w:ascii="Arial" w:cs="Arial" w:hAnsi="Arial"/>
                <w:sz w:val="20"/>
                <w:szCs w:val="20"/>
              </w:rPr>
            </w:pPr>
            <w:r>
              <w:rPr>
                <w:rFonts w:ascii="Arial" w:cs="Arial" w:hAnsi="Arial"/>
                <w:sz w:val="20"/>
                <w:szCs w:val="20"/>
              </w:rPr>
              <w:tab/>
              <w:t>31</w:t>
              <w:tab/>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44" w:right="86"/>
              <w:contextualSpacing w:val="false"/>
              <w:rPr>
                <w:rFonts w:ascii="Arial" w:cs="Arial" w:hAnsi="Arial"/>
                <w:sz w:val="20"/>
                <w:szCs w:val="20"/>
              </w:rPr>
            </w:pPr>
            <w:r>
              <w:rPr>
                <w:rFonts w:ascii="Arial" w:cs="Arial" w:hAnsi="Arial"/>
                <w:sz w:val="20"/>
                <w:szCs w:val="20"/>
              </w:rPr>
              <w:tab/>
              <w:t>1,000</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101"/>
              <w:contextualSpacing w:val="false"/>
              <w:rPr>
                <w:rFonts w:ascii="Arial" w:cs="Arial" w:hAnsi="Arial"/>
                <w:sz w:val="20"/>
                <w:szCs w:val="20"/>
              </w:rPr>
            </w:pPr>
            <w:r>
              <w:rPr>
                <w:rFonts w:ascii="Arial" w:cs="Arial" w:hAnsi="Arial"/>
                <w:sz w:val="20"/>
                <w:szCs w:val="20"/>
              </w:rPr>
              <w:tab/>
              <w:t>30</w:t>
              <w:tab/>
            </w:r>
          </w:p>
        </w:tc>
        <w:tc>
          <w:tcPr>
            <w:tcW w:type="dxa" w:w="1224"/>
            <w:tcBorders>
              <w:top w:val="nil"/>
              <w:left w:val="nil"/>
              <w:bottom w:val="nil"/>
              <w:right w:val="nil"/>
            </w:tcBorders>
            <w:shd w:fill="auto" w:val="clear"/>
            <w:tcMar>
              <w:left w:type="dxa" w:w="144"/>
            </w:tcMar>
            <w:vAlign w:val="bottom"/>
          </w:tcPr>
          <w:p>
            <w:pPr>
              <w:pStyle w:val="style62"/>
              <w:tabs>
                <w:tab w:leader="none" w:pos="1076" w:val="right"/>
                <w:tab w:leader="none" w:pos="1229" w:val="decimal"/>
              </w:tabs>
              <w:spacing w:after="280" w:before="280"/>
              <w:ind w:hanging="0" w:left="216" w:right="0"/>
              <w:contextualSpacing w:val="false"/>
              <w:rPr>
                <w:rFonts w:ascii="Arial" w:cs="Arial" w:hAnsi="Arial"/>
                <w:sz w:val="20"/>
                <w:szCs w:val="20"/>
              </w:rPr>
            </w:pPr>
            <w:r>
              <w:rPr>
                <w:rFonts w:ascii="Arial" w:cs="Arial" w:hAnsi="Arial"/>
                <w:sz w:val="20"/>
                <w:szCs w:val="20"/>
              </w:rPr>
              <w:tab/>
              <w:t>827</w:t>
              <w:tab/>
            </w:r>
          </w:p>
        </w:tc>
      </w:tr>
      <w:tr>
        <w:trPr>
          <w:cantSplit w:val="false"/>
        </w:trPr>
        <w:tc>
          <w:tcPr>
            <w:tcW w:type="dxa" w:w="453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Fourth quarter</w:t>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403" w:right="72"/>
              <w:contextualSpacing w:val="false"/>
              <w:rPr>
                <w:rFonts w:ascii="Arial" w:cs="Arial" w:hAnsi="Arial"/>
                <w:b/>
                <w:bCs/>
                <w:sz w:val="20"/>
                <w:szCs w:val="20"/>
              </w:rPr>
            </w:pPr>
            <w:r>
              <w:rPr>
                <w:rFonts w:ascii="Arial" w:cs="Arial" w:hAnsi="Arial"/>
                <w:b/>
                <w:bCs/>
                <w:sz w:val="20"/>
                <w:szCs w:val="20"/>
              </w:rPr>
              <w:tab/>
              <w:t>31</w:t>
              <w:tab/>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1,000</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60" w:right="101"/>
              <w:contextualSpacing w:val="false"/>
              <w:rPr>
                <w:rFonts w:ascii="Arial" w:cs="Arial" w:hAnsi="Arial"/>
                <w:sz w:val="20"/>
                <w:szCs w:val="20"/>
              </w:rPr>
            </w:pPr>
            <w:r>
              <w:rPr>
                <w:rFonts w:ascii="Arial" w:cs="Arial" w:hAnsi="Arial"/>
                <w:sz w:val="20"/>
                <w:szCs w:val="20"/>
              </w:rPr>
              <w:tab/>
              <w:t>34</w:t>
              <w:tab/>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44" w:right="86"/>
              <w:contextualSpacing w:val="false"/>
              <w:rPr>
                <w:rFonts w:ascii="Arial" w:cs="Arial" w:hAnsi="Arial"/>
                <w:sz w:val="20"/>
                <w:szCs w:val="20"/>
              </w:rPr>
            </w:pPr>
            <w:r>
              <w:rPr>
                <w:rFonts w:ascii="Arial" w:cs="Arial" w:hAnsi="Arial"/>
                <w:sz w:val="20"/>
                <w:szCs w:val="20"/>
              </w:rPr>
              <w:tab/>
              <w:t>1,000</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101"/>
              <w:contextualSpacing w:val="false"/>
              <w:rPr>
                <w:rFonts w:ascii="Arial" w:cs="Arial" w:hAnsi="Arial"/>
                <w:sz w:val="20"/>
                <w:szCs w:val="20"/>
              </w:rPr>
            </w:pPr>
            <w:r>
              <w:rPr>
                <w:rFonts w:ascii="Arial" w:cs="Arial" w:hAnsi="Arial"/>
                <w:sz w:val="20"/>
                <w:szCs w:val="20"/>
              </w:rPr>
              <w:tab/>
              <w:t>66</w:t>
              <w:tab/>
            </w:r>
          </w:p>
        </w:tc>
        <w:tc>
          <w:tcPr>
            <w:tcW w:type="dxa" w:w="1224"/>
            <w:tcBorders>
              <w:top w:val="nil"/>
              <w:left w:val="nil"/>
              <w:bottom w:val="nil"/>
              <w:right w:val="nil"/>
            </w:tcBorders>
            <w:shd w:fill="auto" w:val="clear"/>
            <w:tcMar>
              <w:left w:type="dxa" w:w="144"/>
            </w:tcMar>
            <w:vAlign w:val="bottom"/>
          </w:tcPr>
          <w:p>
            <w:pPr>
              <w:pStyle w:val="style62"/>
              <w:tabs>
                <w:tab w:leader="none" w:pos="1076" w:val="right"/>
                <w:tab w:leader="none" w:pos="1229" w:val="decimal"/>
              </w:tabs>
              <w:spacing w:after="280" w:before="280"/>
              <w:ind w:hanging="0" w:left="216" w:right="0"/>
              <w:contextualSpacing w:val="false"/>
              <w:rPr>
                <w:rFonts w:ascii="Arial" w:cs="Arial" w:hAnsi="Arial"/>
                <w:sz w:val="20"/>
                <w:szCs w:val="20"/>
              </w:rPr>
            </w:pPr>
            <w:r>
              <w:rPr>
                <w:rFonts w:ascii="Arial" w:cs="Arial" w:hAnsi="Arial"/>
                <w:sz w:val="20"/>
                <w:szCs w:val="20"/>
              </w:rPr>
              <w:tab/>
              <w:t>1,631</w:t>
              <w:tab/>
            </w:r>
          </w:p>
        </w:tc>
      </w:tr>
      <w:tr>
        <w:trPr>
          <w:cantSplit w:val="false"/>
        </w:trPr>
        <w:tc>
          <w:tcPr>
            <w:tcW w:type="dxa" w:w="5459"/>
            <w:gridSpan w:val="2"/>
            <w:tcBorders>
              <w:top w:val="nil"/>
              <w:left w:val="nil"/>
              <w:bottom w:val="nil"/>
              <w:right w:val="nil"/>
            </w:tcBorders>
            <w:shd w:fill="auto" w:val="clear"/>
            <w:vAlign w:val="bottom"/>
          </w:tcPr>
          <w:p>
            <w:pPr>
              <w:pStyle w:val="style59"/>
              <w:spacing w:after="0" w:before="0"/>
              <w:ind w:hanging="0" w:left="0" w:right="72"/>
              <w:contextualSpacing w:val="false"/>
              <w:rPr/>
            </w:pPr>
            <w:r>
              <w:rPr/>
              <w:t> </w:t>
            </w:r>
          </w:p>
        </w:tc>
        <w:tc>
          <w:tcPr>
            <w:tcW w:type="dxa" w:w="1159"/>
            <w:tcBorders>
              <w:top w:val="nil"/>
              <w:left w:val="nil"/>
              <w:bottom w:val="nil"/>
              <w:right w:val="nil"/>
            </w:tcBorders>
            <w:shd w:fill="auto" w:val="clear"/>
            <w:tcMar>
              <w:left w:type="dxa" w:w="144"/>
            </w:tcMar>
            <w:vAlign w:val="bottom"/>
          </w:tcPr>
          <w:p>
            <w:pPr>
              <w:pStyle w:val="style59"/>
              <w:spacing w:after="0" w:before="0"/>
              <w:ind w:hanging="0" w:left="216" w:right="86"/>
              <w:contextualSpacing w:val="false"/>
              <w:rPr/>
            </w:pPr>
            <w:r>
              <w:rPr/>
              <w:t> </w:t>
            </w:r>
          </w:p>
        </w:tc>
        <w:tc>
          <w:tcPr>
            <w:tcW w:type="dxa" w:w="920"/>
            <w:tcBorders>
              <w:top w:val="nil"/>
              <w:left w:val="nil"/>
              <w:bottom w:val="nil"/>
              <w:right w:val="nil"/>
            </w:tcBorders>
            <w:shd w:fill="auto" w:val="clear"/>
            <w:tcMar>
              <w:left w:type="dxa" w:w="144"/>
            </w:tcMar>
            <w:vAlign w:val="bottom"/>
          </w:tcPr>
          <w:p>
            <w:pPr>
              <w:pStyle w:val="style59"/>
              <w:spacing w:after="0" w:before="0"/>
              <w:ind w:hanging="0" w:left="360" w:right="101"/>
              <w:contextualSpacing w:val="false"/>
              <w:rPr/>
            </w:pPr>
            <w:r>
              <w:rPr/>
              <w:t> </w:t>
            </w:r>
          </w:p>
        </w:tc>
        <w:tc>
          <w:tcPr>
            <w:tcW w:type="dxa" w:w="1120"/>
            <w:tcBorders>
              <w:top w:val="nil"/>
              <w:left w:val="nil"/>
              <w:bottom w:val="nil"/>
              <w:right w:val="nil"/>
            </w:tcBorders>
            <w:shd w:fill="auto" w:val="clear"/>
            <w:tcMar>
              <w:left w:type="dxa" w:w="144"/>
            </w:tcMar>
            <w:vAlign w:val="bottom"/>
          </w:tcPr>
          <w:p>
            <w:pPr>
              <w:pStyle w:val="style59"/>
              <w:spacing w:after="0" w:before="0"/>
              <w:ind w:hanging="0" w:left="144" w:right="86"/>
              <w:contextualSpacing w:val="false"/>
              <w:rPr/>
            </w:pPr>
            <w:r>
              <w:rPr/>
              <w:t> </w:t>
            </w:r>
          </w:p>
        </w:tc>
        <w:tc>
          <w:tcPr>
            <w:tcW w:type="dxa" w:w="919"/>
            <w:tcBorders>
              <w:top w:val="nil"/>
              <w:left w:val="nil"/>
              <w:bottom w:val="nil"/>
              <w:right w:val="nil"/>
            </w:tcBorders>
            <w:shd w:fill="auto" w:val="clear"/>
            <w:tcMar>
              <w:left w:type="dxa" w:w="144"/>
            </w:tcMar>
            <w:vAlign w:val="bottom"/>
          </w:tcPr>
          <w:p>
            <w:pPr>
              <w:pStyle w:val="style59"/>
              <w:spacing w:after="0" w:before="0"/>
              <w:ind w:hanging="0" w:left="374" w:right="101"/>
              <w:contextualSpacing w:val="false"/>
              <w:rPr/>
            </w:pPr>
            <w:r>
              <w:rPr/>
              <w:t> </w:t>
            </w:r>
          </w:p>
        </w:tc>
        <w:tc>
          <w:tcPr>
            <w:tcW w:type="dxa" w:w="1223"/>
            <w:tcBorders>
              <w:top w:val="nil"/>
              <w:left w:val="nil"/>
              <w:bottom w:val="nil"/>
              <w:right w:val="nil"/>
            </w:tcBorders>
            <w:shd w:fill="auto" w:val="clear"/>
            <w:tcMar>
              <w:left w:type="dxa" w:w="144"/>
            </w:tcMar>
            <w:vAlign w:val="bottom"/>
          </w:tcPr>
          <w:p>
            <w:pPr>
              <w:pStyle w:val="style59"/>
              <w:tabs>
                <w:tab w:leader="none" w:pos="1076" w:val="right"/>
                <w:tab w:leader="none" w:pos="1229" w:val="decimal"/>
              </w:tabs>
              <w:spacing w:after="0" w:before="0"/>
              <w:ind w:hanging="0" w:left="216" w:right="0"/>
              <w:contextualSpacing w:val="false"/>
              <w:rPr/>
            </w:pPr>
            <w:r>
              <w:rPr/>
              <w:t> </w:t>
            </w:r>
          </w:p>
        </w:tc>
      </w:tr>
      <w:tr>
        <w:trPr>
          <w:cantSplit w:val="false"/>
        </w:trPr>
        <w:tc>
          <w:tcPr>
            <w:tcW w:type="dxa" w:w="453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403" w:right="72"/>
              <w:contextualSpacing w:val="false"/>
              <w:rPr>
                <w:rFonts w:ascii="Arial" w:cs="Arial" w:hAnsi="Arial"/>
                <w:b/>
                <w:bCs/>
                <w:sz w:val="20"/>
                <w:szCs w:val="20"/>
              </w:rPr>
            </w:pPr>
            <w:r>
              <w:rPr>
                <w:rFonts w:ascii="Arial" w:cs="Arial" w:hAnsi="Arial"/>
                <w:b/>
                <w:bCs/>
                <w:sz w:val="20"/>
                <w:szCs w:val="20"/>
              </w:rPr>
              <w:tab/>
              <w:t>158</w:t>
              <w:tab/>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  4,607</w:t>
              <w:tab/>
              <w:t> </w:t>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60" w:right="101"/>
              <w:contextualSpacing w:val="false"/>
              <w:rPr>
                <w:rFonts w:ascii="Arial" w:cs="Arial" w:hAnsi="Arial"/>
                <w:sz w:val="20"/>
                <w:szCs w:val="20"/>
              </w:rPr>
            </w:pPr>
            <w:r>
              <w:rPr>
                <w:rFonts w:ascii="Arial" w:cs="Arial" w:hAnsi="Arial"/>
                <w:sz w:val="20"/>
                <w:szCs w:val="20"/>
              </w:rPr>
              <w:tab/>
              <w:t>142</w:t>
              <w:tab/>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44" w:right="86"/>
              <w:contextualSpacing w:val="false"/>
              <w:rPr>
                <w:rFonts w:ascii="Arial" w:cs="Arial" w:hAnsi="Arial"/>
                <w:sz w:val="20"/>
                <w:szCs w:val="20"/>
              </w:rPr>
            </w:pPr>
            <w:r>
              <w:rPr>
                <w:rFonts w:ascii="Arial" w:cs="Arial" w:hAnsi="Arial"/>
                <w:sz w:val="20"/>
                <w:szCs w:val="20"/>
              </w:rPr>
              <w:t>$</w:t>
              <w:tab/>
              <w:t>  4,000</w:t>
              <w:tab/>
              <w:t> </w:t>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101"/>
              <w:contextualSpacing w:val="false"/>
              <w:rPr>
                <w:rFonts w:ascii="Arial" w:cs="Arial" w:hAnsi="Arial"/>
                <w:sz w:val="20"/>
                <w:szCs w:val="20"/>
              </w:rPr>
            </w:pPr>
            <w:r>
              <w:rPr>
                <w:rFonts w:ascii="Arial" w:cs="Arial" w:hAnsi="Arial"/>
                <w:sz w:val="20"/>
                <w:szCs w:val="20"/>
              </w:rPr>
              <w:tab/>
              <w:t>447</w:t>
              <w:tab/>
            </w:r>
          </w:p>
        </w:tc>
        <w:tc>
          <w:tcPr>
            <w:tcW w:type="dxa" w:w="1224"/>
            <w:tcBorders>
              <w:top w:val="nil"/>
              <w:left w:val="nil"/>
              <w:bottom w:val="nil"/>
              <w:right w:val="nil"/>
            </w:tcBorders>
            <w:shd w:fill="auto" w:val="clear"/>
            <w:tcMar>
              <w:left w:type="dxa" w:w="144"/>
            </w:tcMar>
            <w:vAlign w:val="bottom"/>
          </w:tcPr>
          <w:p>
            <w:pPr>
              <w:pStyle w:val="style62"/>
              <w:tabs>
                <w:tab w:leader="none" w:pos="1076" w:val="right"/>
                <w:tab w:leader="none" w:pos="1229" w:val="decimal"/>
              </w:tabs>
              <w:spacing w:after="280" w:before="280"/>
              <w:ind w:hanging="0" w:left="216" w:right="0"/>
              <w:contextualSpacing w:val="false"/>
              <w:rPr>
                <w:rFonts w:ascii="Arial" w:cs="Arial" w:hAnsi="Arial"/>
                <w:sz w:val="20"/>
                <w:szCs w:val="20"/>
              </w:rPr>
            </w:pPr>
            <w:r>
              <w:rPr>
                <w:rFonts w:ascii="Arial" w:cs="Arial" w:hAnsi="Arial"/>
                <w:sz w:val="20"/>
                <w:szCs w:val="20"/>
              </w:rPr>
              <w:t>$</w:t>
              <w:tab/>
              <w:t>  11,458</w:t>
              <w:tab/>
              <w:t> </w:t>
            </w:r>
          </w:p>
        </w:tc>
      </w:tr>
      <w:tr>
        <w:trPr>
          <w:cantSplit w:val="false"/>
        </w:trPr>
        <w:tc>
          <w:tcPr>
            <w:tcW w:type="dxa" w:w="4539"/>
            <w:tcBorders>
              <w:top w:val="nil"/>
              <w:left w:val="nil"/>
              <w:bottom w:val="nil"/>
              <w:right w:val="nil"/>
            </w:tcBorders>
            <w:shd w:fill="auto" w:val="clear"/>
            <w:tcMar>
              <w:left w:type="dxa" w:w="144"/>
            </w:tcMar>
            <w:vAlign w:val="bottom"/>
          </w:tcPr>
          <w:p>
            <w:pPr>
              <w:pStyle w:val="style65"/>
              <w:rPr/>
            </w:pPr>
            <w:r>
              <w:rPr/>
              <w:t> </w:t>
            </w:r>
          </w:p>
        </w:tc>
        <w:tc>
          <w:tcPr>
            <w:tcW w:type="dxa" w:w="919"/>
            <w:tcBorders>
              <w:top w:val="nil"/>
              <w:left w:val="nil"/>
              <w:bottom w:val="nil"/>
              <w:right w:val="nil"/>
            </w:tcBorders>
            <w:shd w:fill="auto" w:val="clear"/>
            <w:tcMar>
              <w:left w:type="dxa" w:w="144"/>
            </w:tcMar>
            <w:vAlign w:val="bottom"/>
          </w:tcPr>
          <w:p>
            <w:pPr>
              <w:pStyle w:val="style63"/>
              <w:spacing w:after="0" w:before="0"/>
              <w:ind w:hanging="0" w:left="403" w:right="72"/>
              <w:contextualSpacing w:val="false"/>
              <w:rPr/>
            </w:pPr>
            <w:r>
              <w:rPr/>
              <w:t> </w:t>
            </w:r>
          </w:p>
        </w:tc>
        <w:tc>
          <w:tcPr>
            <w:tcW w:type="dxa" w:w="1159"/>
            <w:tcBorders>
              <w:top w:val="nil"/>
              <w:left w:val="nil"/>
              <w:bottom w:val="nil"/>
              <w:right w:val="nil"/>
            </w:tcBorders>
            <w:shd w:fill="auto" w:val="clear"/>
            <w:tcMar>
              <w:left w:type="dxa" w:w="144"/>
            </w:tcMar>
            <w:vAlign w:val="bottom"/>
          </w:tcPr>
          <w:p>
            <w:pPr>
              <w:pStyle w:val="style63"/>
              <w:spacing w:after="0" w:before="0"/>
              <w:ind w:hanging="0" w:left="216" w:right="86"/>
              <w:contextualSpacing w:val="false"/>
              <w:rPr/>
            </w:pPr>
            <w:r>
              <w:rPr/>
              <w:t> </w:t>
            </w:r>
          </w:p>
        </w:tc>
        <w:tc>
          <w:tcPr>
            <w:tcW w:type="dxa" w:w="919"/>
            <w:tcBorders>
              <w:top w:val="nil"/>
              <w:left w:val="nil"/>
              <w:bottom w:val="nil"/>
              <w:right w:val="nil"/>
            </w:tcBorders>
            <w:shd w:fill="auto" w:val="clear"/>
            <w:tcMar>
              <w:left w:type="dxa" w:w="144"/>
            </w:tcMar>
            <w:vAlign w:val="bottom"/>
          </w:tcPr>
          <w:p>
            <w:pPr>
              <w:pStyle w:val="style63"/>
              <w:spacing w:after="0" w:before="0"/>
              <w:ind w:hanging="0" w:left="360" w:right="101"/>
              <w:contextualSpacing w:val="false"/>
              <w:rPr/>
            </w:pPr>
            <w:r>
              <w:rPr/>
              <w:t> </w:t>
            </w:r>
          </w:p>
        </w:tc>
        <w:tc>
          <w:tcPr>
            <w:tcW w:type="dxa" w:w="1121"/>
            <w:tcBorders>
              <w:top w:val="nil"/>
              <w:left w:val="nil"/>
              <w:bottom w:val="nil"/>
              <w:right w:val="nil"/>
            </w:tcBorders>
            <w:shd w:fill="auto" w:val="clear"/>
            <w:tcMar>
              <w:left w:type="dxa" w:w="144"/>
            </w:tcMar>
            <w:vAlign w:val="bottom"/>
          </w:tcPr>
          <w:p>
            <w:pPr>
              <w:pStyle w:val="style63"/>
              <w:spacing w:after="0" w:before="0"/>
              <w:ind w:hanging="0" w:left="144" w:right="86"/>
              <w:contextualSpacing w:val="false"/>
              <w:rPr/>
            </w:pPr>
            <w:r>
              <w:rPr/>
              <w:t> </w:t>
            </w:r>
          </w:p>
        </w:tc>
        <w:tc>
          <w:tcPr>
            <w:tcW w:type="dxa" w:w="919"/>
            <w:tcBorders>
              <w:top w:val="nil"/>
              <w:left w:val="nil"/>
              <w:bottom w:val="nil"/>
              <w:right w:val="nil"/>
            </w:tcBorders>
            <w:shd w:fill="auto" w:val="clear"/>
            <w:tcMar>
              <w:left w:type="dxa" w:w="144"/>
            </w:tcMar>
            <w:vAlign w:val="bottom"/>
          </w:tcPr>
          <w:p>
            <w:pPr>
              <w:pStyle w:val="style63"/>
              <w:spacing w:after="0" w:before="0"/>
              <w:ind w:hanging="0" w:left="374" w:right="101"/>
              <w:contextualSpacing w:val="false"/>
              <w:rPr/>
            </w:pPr>
            <w:r>
              <w:rPr/>
              <w:t> </w:t>
            </w:r>
          </w:p>
        </w:tc>
        <w:tc>
          <w:tcPr>
            <w:tcW w:type="dxa" w:w="1224"/>
            <w:tcBorders>
              <w:top w:val="nil"/>
              <w:left w:val="nil"/>
              <w:bottom w:val="nil"/>
              <w:right w:val="nil"/>
            </w:tcBorders>
            <w:shd w:fill="auto" w:val="clear"/>
            <w:tcMar>
              <w:left w:type="dxa" w:w="144"/>
            </w:tcMar>
            <w:vAlign w:val="bottom"/>
          </w:tcPr>
          <w:p>
            <w:pPr>
              <w:pStyle w:val="style63"/>
              <w:spacing w:after="0" w:before="0"/>
              <w:ind w:hanging="0" w:left="216" w:right="0"/>
              <w:contextualSpacing w:val="false"/>
              <w:rPr/>
            </w:pPr>
            <w:r>
              <w:rPr/>
              <w:t> </w:t>
            </w:r>
          </w:p>
        </w:tc>
      </w:tr>
    </w:tbl>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Dividends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In fiscal year 2013, our Board of Directors declared the following dividends: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3615"/>
        <w:gridCol w:w="1139"/>
        <w:gridCol w:w="2280"/>
        <w:gridCol w:w="1480"/>
        <w:gridCol w:w="2287"/>
      </w:tblGrid>
      <w:tr>
        <w:trPr>
          <w:tblHeader w:val="true"/>
          <w:cantSplit w:val="false"/>
        </w:trPr>
        <w:tc>
          <w:tcPr>
            <w:tcW w:type="dxa" w:w="3615"/>
            <w:tcBorders>
              <w:top w:val="nil"/>
              <w:left w:val="nil"/>
              <w:bottom w:val="nil"/>
              <w:right w:val="nil"/>
            </w:tcBorders>
            <w:shd w:fill="auto" w:val="clear"/>
            <w:vAlign w:val="center"/>
          </w:tcPr>
          <w:p>
            <w:pPr>
              <w:pStyle w:val="style0"/>
              <w:rPr>
                <w:sz w:val="1"/>
                <w:szCs w:val="24"/>
              </w:rPr>
            </w:pPr>
            <w:r>
              <w:rPr>
                <w:sz w:val="1"/>
                <w:szCs w:val="24"/>
              </w:rPr>
            </w:r>
          </w:p>
        </w:tc>
        <w:tc>
          <w:tcPr>
            <w:tcW w:type="dxa" w:w="1139"/>
            <w:tcBorders>
              <w:top w:val="nil"/>
              <w:left w:val="nil"/>
              <w:bottom w:val="nil"/>
              <w:right w:val="nil"/>
            </w:tcBorders>
            <w:shd w:fill="auto" w:val="clear"/>
            <w:vAlign w:val="center"/>
          </w:tcPr>
          <w:p>
            <w:pPr>
              <w:pStyle w:val="style0"/>
              <w:rPr>
                <w:sz w:val="1"/>
                <w:szCs w:val="24"/>
              </w:rPr>
            </w:pPr>
            <w:r>
              <w:rPr>
                <w:sz w:val="1"/>
                <w:szCs w:val="24"/>
              </w:rPr>
            </w:r>
          </w:p>
        </w:tc>
        <w:tc>
          <w:tcPr>
            <w:tcW w:type="dxa" w:w="2280"/>
            <w:tcBorders>
              <w:top w:val="nil"/>
              <w:left w:val="nil"/>
              <w:bottom w:val="nil"/>
              <w:right w:val="nil"/>
            </w:tcBorders>
            <w:shd w:fill="auto" w:val="clear"/>
            <w:vAlign w:val="center"/>
          </w:tcPr>
          <w:p>
            <w:pPr>
              <w:pStyle w:val="style0"/>
              <w:rPr>
                <w:sz w:val="1"/>
                <w:szCs w:val="24"/>
              </w:rPr>
            </w:pPr>
            <w:r>
              <w:rPr>
                <w:sz w:val="1"/>
                <w:szCs w:val="24"/>
              </w:rPr>
            </w:r>
          </w:p>
        </w:tc>
        <w:tc>
          <w:tcPr>
            <w:tcW w:type="dxa" w:w="1480"/>
            <w:tcBorders>
              <w:top w:val="nil"/>
              <w:left w:val="nil"/>
              <w:bottom w:val="nil"/>
              <w:right w:val="nil"/>
            </w:tcBorders>
            <w:shd w:fill="auto" w:val="clear"/>
            <w:vAlign w:val="center"/>
          </w:tcPr>
          <w:p>
            <w:pPr>
              <w:pStyle w:val="style0"/>
              <w:rPr>
                <w:sz w:val="1"/>
                <w:szCs w:val="24"/>
              </w:rPr>
            </w:pPr>
            <w:r>
              <w:rPr>
                <w:sz w:val="1"/>
                <w:szCs w:val="24"/>
              </w:rPr>
            </w:r>
          </w:p>
        </w:tc>
        <w:tc>
          <w:tcPr>
            <w:tcW w:type="dxa" w:w="2287"/>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361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Declaration Date</w:t>
            </w:r>
          </w:p>
        </w:tc>
        <w:tc>
          <w:tcPr>
            <w:tcW w:type="dxa" w:w="1139"/>
            <w:tcBorders>
              <w:top w:val="nil"/>
              <w:left w:val="nil"/>
              <w:bottom w:val="nil"/>
              <w:right w:val="nil"/>
            </w:tcBorders>
            <w:shd w:fill="auto" w:val="clear"/>
            <w:tcMar>
              <w:left w:type="dxa" w:w="144"/>
            </w:tcMar>
            <w:vAlign w:val="bottom"/>
          </w:tcPr>
          <w:p>
            <w:pPr>
              <w:pStyle w:val="style62"/>
              <w:spacing w:after="280" w:before="280"/>
              <w:ind w:hanging="0" w:left="0" w:right="76"/>
              <w:contextualSpacing w:val="false"/>
              <w:jc w:val="right"/>
              <w:rPr>
                <w:rFonts w:ascii="Arial" w:cs="Arial" w:hAnsi="Arial"/>
                <w:b/>
                <w:bCs/>
                <w:sz w:val="15"/>
                <w:szCs w:val="15"/>
              </w:rPr>
            </w:pPr>
            <w:r>
              <w:rPr>
                <w:rFonts w:ascii="Arial" w:cs="Arial" w:hAnsi="Arial"/>
                <w:b/>
                <w:bCs/>
                <w:sz w:val="15"/>
                <w:szCs w:val="15"/>
              </w:rPr>
              <w:t>Dividend</w:t>
            </w:r>
          </w:p>
          <w:p>
            <w:pPr>
              <w:pStyle w:val="style62"/>
              <w:spacing w:after="280" w:before="280"/>
              <w:ind w:hanging="0" w:left="0" w:right="76"/>
              <w:contextualSpacing w:val="false"/>
              <w:jc w:val="right"/>
              <w:rPr>
                <w:rFonts w:ascii="Arial" w:cs="Arial" w:hAnsi="Arial"/>
                <w:b/>
                <w:bCs/>
                <w:sz w:val="15"/>
                <w:szCs w:val="15"/>
              </w:rPr>
            </w:pPr>
            <w:r>
              <w:rPr>
                <w:rFonts w:ascii="Arial" w:cs="Arial" w:hAnsi="Arial"/>
                <w:b/>
                <w:bCs/>
                <w:sz w:val="15"/>
                <w:szCs w:val="15"/>
              </w:rPr>
              <w:t>Per Share</w:t>
            </w:r>
          </w:p>
        </w:tc>
        <w:tc>
          <w:tcPr>
            <w:tcW w:type="dxa" w:w="2280"/>
            <w:tcBorders>
              <w:top w:val="nil"/>
              <w:left w:val="nil"/>
              <w:bottom w:val="nil"/>
              <w:right w:val="nil"/>
            </w:tcBorders>
            <w:shd w:fill="auto" w:val="clear"/>
            <w:tcMar>
              <w:left w:type="dxa" w:w="144"/>
            </w:tcMar>
            <w:vAlign w:val="bottom"/>
          </w:tcPr>
          <w:p>
            <w:pPr>
              <w:pStyle w:val="style0"/>
              <w:ind w:hanging="0" w:left="0" w:right="61"/>
              <w:jc w:val="right"/>
              <w:rPr>
                <w:rFonts w:ascii="Arial" w:cs="Arial" w:hAnsi="Arial"/>
                <w:b/>
                <w:bCs/>
                <w:sz w:val="15"/>
                <w:szCs w:val="15"/>
              </w:rPr>
            </w:pPr>
            <w:r>
              <w:rPr>
                <w:rFonts w:ascii="Arial" w:cs="Arial" w:hAnsi="Arial"/>
                <w:b/>
                <w:bCs/>
                <w:sz w:val="15"/>
                <w:szCs w:val="15"/>
              </w:rPr>
              <w:t>Record Date</w:t>
            </w:r>
          </w:p>
        </w:tc>
        <w:tc>
          <w:tcPr>
            <w:tcW w:type="dxa" w:w="1480"/>
            <w:tcBorders>
              <w:top w:val="nil"/>
              <w:left w:val="nil"/>
              <w:bottom w:val="nil"/>
              <w:right w:val="nil"/>
            </w:tcBorders>
            <w:shd w:fill="auto" w:val="clear"/>
            <w:tcMar>
              <w:left w:type="dxa" w:w="144"/>
            </w:tcMar>
            <w:vAlign w:val="bottom"/>
          </w:tcPr>
          <w:p>
            <w:pPr>
              <w:pStyle w:val="style0"/>
              <w:ind w:hanging="0" w:left="0" w:right="83"/>
              <w:jc w:val="right"/>
              <w:rPr>
                <w:rFonts w:ascii="Arial" w:cs="Arial" w:hAnsi="Arial"/>
                <w:b/>
                <w:bCs/>
                <w:sz w:val="15"/>
                <w:szCs w:val="15"/>
              </w:rPr>
            </w:pPr>
            <w:r>
              <w:rPr>
                <w:rFonts w:ascii="Arial" w:cs="Arial" w:hAnsi="Arial"/>
                <w:b/>
                <w:bCs/>
                <w:sz w:val="15"/>
                <w:szCs w:val="15"/>
              </w:rPr>
              <w:t>Total Amount</w:t>
            </w:r>
          </w:p>
        </w:tc>
        <w:tc>
          <w:tcPr>
            <w:tcW w:type="dxa" w:w="2287"/>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Payment Date</w:t>
            </w:r>
          </w:p>
        </w:tc>
      </w:tr>
      <w:tr>
        <w:trPr>
          <w:cantSplit w:val="false"/>
        </w:trPr>
        <w:tc>
          <w:tcPr>
            <w:tcW w:type="dxa" w:w="10801"/>
            <w:gridSpan w:val="5"/>
            <w:tcBorders>
              <w:top w:val="nil"/>
              <w:left w:val="nil"/>
              <w:bottom w:val="nil"/>
              <w:right w:val="nil"/>
            </w:tcBorders>
            <w:shd w:fill="auto" w:val="clear"/>
            <w:tcMar>
              <w:left w:type="dxa" w:w="144"/>
            </w:tcMar>
            <w:vAlign w:val="bottom"/>
          </w:tcPr>
          <w:p>
            <w:pPr>
              <w:pStyle w:val="style59"/>
              <w:spacing w:after="0" w:before="20"/>
              <w:ind w:firstLine="477" w:left="-477" w:right="0"/>
              <w:contextualSpacing w:val="false"/>
              <w:rPr/>
            </w:pPr>
            <w:r>
              <w:rPr/>
              <w:t> </w:t>
            </w:r>
          </w:p>
        </w:tc>
      </w:tr>
      <w:tr>
        <w:trPr>
          <w:cantSplit w:val="false"/>
        </w:trPr>
        <w:tc>
          <w:tcPr>
            <w:tcW w:type="dxa" w:w="3615"/>
            <w:tcBorders>
              <w:top w:val="nil"/>
              <w:left w:val="nil"/>
              <w:bottom w:val="nil"/>
              <w:right w:val="nil"/>
            </w:tcBorders>
            <w:shd w:fill="auto" w:val="clear"/>
            <w:tcMar>
              <w:left w:type="dxa" w:w="144"/>
            </w:tcMar>
            <w:vAlign w:val="bottom"/>
          </w:tcPr>
          <w:p>
            <w:pPr>
              <w:pStyle w:val="style65"/>
              <w:keepNext/>
              <w:rPr/>
            </w:pPr>
            <w:r>
              <w:rPr/>
              <w:t> </w:t>
            </w:r>
          </w:p>
        </w:tc>
        <w:tc>
          <w:tcPr>
            <w:tcW w:type="dxa" w:w="1139"/>
            <w:tcBorders>
              <w:top w:val="nil"/>
              <w:left w:val="nil"/>
              <w:bottom w:val="nil"/>
              <w:right w:val="nil"/>
            </w:tcBorders>
            <w:shd w:fill="auto" w:val="clear"/>
            <w:tcMar>
              <w:left w:type="dxa" w:w="144"/>
            </w:tcMar>
            <w:vAlign w:val="bottom"/>
          </w:tcPr>
          <w:p>
            <w:pPr>
              <w:pStyle w:val="style65"/>
              <w:rPr/>
            </w:pPr>
            <w:r>
              <w:rPr/>
              <w:t> </w:t>
            </w:r>
          </w:p>
        </w:tc>
        <w:tc>
          <w:tcPr>
            <w:tcW w:type="dxa" w:w="2280"/>
            <w:tcBorders>
              <w:top w:val="nil"/>
              <w:left w:val="nil"/>
              <w:bottom w:val="nil"/>
              <w:right w:val="nil"/>
            </w:tcBorders>
            <w:shd w:fill="auto" w:val="clear"/>
            <w:tcMar>
              <w:left w:type="dxa" w:w="144"/>
            </w:tcMar>
            <w:vAlign w:val="bottom"/>
          </w:tcPr>
          <w:p>
            <w:pPr>
              <w:pStyle w:val="style65"/>
              <w:rPr/>
            </w:pPr>
            <w:r>
              <w:rPr/>
              <w:t> </w:t>
            </w:r>
          </w:p>
        </w:tc>
        <w:tc>
          <w:tcPr>
            <w:tcW w:type="dxa" w:w="1480"/>
            <w:tcBorders>
              <w:top w:val="nil"/>
              <w:left w:val="nil"/>
              <w:bottom w:val="nil"/>
              <w:right w:val="nil"/>
            </w:tcBorders>
            <w:shd w:fill="auto" w:val="clear"/>
            <w:tcMar>
              <w:left w:type="dxa" w:w="144"/>
            </w:tcMar>
            <w:vAlign w:val="bottom"/>
          </w:tcPr>
          <w:p>
            <w:pPr>
              <w:pStyle w:val="style0"/>
              <w:ind w:hanging="0" w:left="0" w:right="83"/>
              <w:jc w:val="right"/>
              <w:rPr>
                <w:rFonts w:ascii="Arial" w:cs="Arial" w:hAnsi="Arial"/>
                <w:b/>
                <w:bCs/>
                <w:sz w:val="15"/>
                <w:szCs w:val="15"/>
              </w:rPr>
            </w:pPr>
            <w:r>
              <w:rPr>
                <w:rFonts w:ascii="Arial" w:cs="Arial" w:hAnsi="Arial"/>
                <w:b/>
                <w:bCs/>
                <w:sz w:val="15"/>
                <w:szCs w:val="15"/>
              </w:rPr>
              <w:t>(In millions)</w:t>
            </w:r>
          </w:p>
        </w:tc>
        <w:tc>
          <w:tcPr>
            <w:tcW w:type="dxa" w:w="2287"/>
            <w:tcBorders>
              <w:top w:val="nil"/>
              <w:left w:val="nil"/>
              <w:bottom w:val="nil"/>
              <w:right w:val="nil"/>
            </w:tcBorders>
            <w:shd w:fill="auto" w:val="clear"/>
            <w:tcMar>
              <w:left w:type="dxa" w:w="144"/>
            </w:tcMar>
            <w:vAlign w:val="bottom"/>
          </w:tcPr>
          <w:p>
            <w:pPr>
              <w:pStyle w:val="style65"/>
              <w:rPr/>
            </w:pPr>
            <w:r>
              <w:rPr/>
              <w:t> </w:t>
            </w:r>
          </w:p>
        </w:tc>
      </w:tr>
      <w:tr>
        <w:trPr>
          <w:trHeight w:hRule="atLeast" w:val="75"/>
          <w:cantSplit w:val="false"/>
        </w:trPr>
        <w:tc>
          <w:tcPr>
            <w:tcW w:type="dxa" w:w="3615"/>
            <w:tcBorders>
              <w:top w:val="nil"/>
              <w:left w:val="nil"/>
              <w:bottom w:val="nil"/>
              <w:right w:val="nil"/>
            </w:tcBorders>
            <w:shd w:fill="auto" w:val="clear"/>
            <w:vAlign w:val="center"/>
          </w:tcPr>
          <w:p>
            <w:pPr>
              <w:pStyle w:val="style0"/>
              <w:rPr>
                <w:sz w:val="8"/>
                <w:szCs w:val="24"/>
              </w:rPr>
            </w:pPr>
            <w:r>
              <w:rPr>
                <w:sz w:val="8"/>
                <w:szCs w:val="24"/>
              </w:rPr>
            </w:r>
          </w:p>
        </w:tc>
        <w:tc>
          <w:tcPr>
            <w:tcW w:type="dxa" w:w="1139"/>
            <w:tcBorders>
              <w:top w:val="nil"/>
              <w:left w:val="nil"/>
              <w:bottom w:val="nil"/>
              <w:right w:val="nil"/>
            </w:tcBorders>
            <w:shd w:fill="auto" w:val="clear"/>
            <w:vAlign w:val="center"/>
          </w:tcPr>
          <w:p>
            <w:pPr>
              <w:pStyle w:val="style0"/>
              <w:rPr>
                <w:sz w:val="8"/>
                <w:szCs w:val="24"/>
              </w:rPr>
            </w:pPr>
            <w:r>
              <w:rPr>
                <w:sz w:val="8"/>
                <w:szCs w:val="24"/>
              </w:rPr>
            </w:r>
          </w:p>
        </w:tc>
        <w:tc>
          <w:tcPr>
            <w:tcW w:type="dxa" w:w="2280"/>
            <w:tcBorders>
              <w:top w:val="nil"/>
              <w:left w:val="nil"/>
              <w:bottom w:val="nil"/>
              <w:right w:val="nil"/>
            </w:tcBorders>
            <w:shd w:fill="auto" w:val="clear"/>
            <w:vAlign w:val="center"/>
          </w:tcPr>
          <w:p>
            <w:pPr>
              <w:pStyle w:val="style0"/>
              <w:rPr>
                <w:sz w:val="8"/>
                <w:szCs w:val="24"/>
              </w:rPr>
            </w:pPr>
            <w:r>
              <w:rPr>
                <w:sz w:val="8"/>
                <w:szCs w:val="24"/>
              </w:rPr>
            </w:r>
          </w:p>
        </w:tc>
        <w:tc>
          <w:tcPr>
            <w:tcW w:type="dxa" w:w="1480"/>
            <w:tcBorders>
              <w:top w:val="nil"/>
              <w:left w:val="nil"/>
              <w:bottom w:val="nil"/>
              <w:right w:val="nil"/>
            </w:tcBorders>
            <w:shd w:fill="auto" w:val="clear"/>
            <w:vAlign w:val="center"/>
          </w:tcPr>
          <w:p>
            <w:pPr>
              <w:pStyle w:val="style0"/>
              <w:rPr>
                <w:sz w:val="8"/>
                <w:szCs w:val="24"/>
              </w:rPr>
            </w:pPr>
            <w:r>
              <w:rPr>
                <w:sz w:val="8"/>
                <w:szCs w:val="24"/>
              </w:rPr>
            </w:r>
          </w:p>
        </w:tc>
        <w:tc>
          <w:tcPr>
            <w:tcW w:type="dxa" w:w="2287"/>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September 18, 2012</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b/>
                <w:bCs/>
                <w:sz w:val="20"/>
                <w:szCs w:val="20"/>
              </w:rPr>
            </w:pPr>
            <w:r>
              <w:rPr>
                <w:rFonts w:ascii="Arial" w:cs="Arial" w:hAnsi="Arial"/>
                <w:b/>
                <w:bCs/>
                <w:sz w:val="20"/>
                <w:szCs w:val="20"/>
              </w:rPr>
              <w:t>$ 0.23 </w:t>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b/>
                <w:bCs/>
                <w:sz w:val="20"/>
                <w:szCs w:val="20"/>
              </w:rPr>
            </w:pPr>
            <w:r>
              <w:rPr>
                <w:rFonts w:ascii="Arial" w:cs="Arial" w:hAnsi="Arial"/>
                <w:b/>
                <w:bCs/>
                <w:sz w:val="20"/>
                <w:szCs w:val="20"/>
              </w:rPr>
              <w:tab/>
              <w:t>November 15, 2012</w:t>
              <w:tab/>
              <w:t xml:space="preserve">  </w:t>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04" w:right="0"/>
              <w:contextualSpacing w:val="false"/>
              <w:rPr>
                <w:rFonts w:ascii="Arial" w:cs="Arial" w:hAnsi="Arial"/>
                <w:b/>
                <w:bCs/>
                <w:sz w:val="20"/>
                <w:szCs w:val="20"/>
              </w:rPr>
            </w:pPr>
            <w:r>
              <w:rPr>
                <w:rFonts w:ascii="Arial" w:cs="Arial" w:hAnsi="Arial"/>
                <w:b/>
                <w:bCs/>
                <w:sz w:val="20"/>
                <w:szCs w:val="20"/>
              </w:rPr>
              <w:t>$</w:t>
              <w:tab/>
              <w:t>  1,933</w:t>
              <w:tab/>
              <w:t> </w:t>
            </w:r>
          </w:p>
        </w:tc>
        <w:tc>
          <w:tcPr>
            <w:tcW w:type="dxa" w:w="2287"/>
            <w:tcBorders>
              <w:top w:val="nil"/>
              <w:left w:val="nil"/>
              <w:bottom w:val="nil"/>
              <w:right w:val="nil"/>
            </w:tcBorders>
            <w:shd w:fill="auto" w:val="clear"/>
            <w:tcMar>
              <w:left w:type="dxa" w:w="144"/>
            </w:tcMar>
            <w:vAlign w:val="bottom"/>
          </w:tcPr>
          <w:p>
            <w:pPr>
              <w:pStyle w:val="style62"/>
              <w:tabs>
                <w:tab w:leader="none" w:pos="2140" w:val="right"/>
                <w:tab w:leader="none" w:pos="2248" w:val="decimal"/>
              </w:tabs>
              <w:spacing w:after="280" w:before="280"/>
              <w:contextualSpacing w:val="false"/>
              <w:rPr>
                <w:rFonts w:ascii="Arial" w:cs="Arial" w:hAnsi="Arial"/>
                <w:b/>
                <w:bCs/>
                <w:sz w:val="20"/>
                <w:szCs w:val="20"/>
              </w:rPr>
            </w:pPr>
            <w:r>
              <w:rPr>
                <w:rFonts w:ascii="Arial" w:cs="Arial" w:hAnsi="Arial"/>
                <w:b/>
                <w:bCs/>
                <w:sz w:val="20"/>
                <w:szCs w:val="20"/>
              </w:rPr>
              <w:tab/>
              <w:t>December 13,  2012</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November 28, 2012</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b/>
                <w:bCs/>
                <w:sz w:val="20"/>
                <w:szCs w:val="20"/>
              </w:rPr>
            </w:pPr>
            <w:r>
              <w:rPr>
                <w:rFonts w:ascii="Arial" w:cs="Arial" w:hAnsi="Arial"/>
                <w:b/>
                <w:bCs/>
                <w:sz w:val="20"/>
                <w:szCs w:val="20"/>
              </w:rPr>
              <w:t>$</w:t>
              <w:tab/>
              <w:t>0.23</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b/>
                <w:bCs/>
                <w:sz w:val="20"/>
                <w:szCs w:val="20"/>
              </w:rPr>
            </w:pPr>
            <w:r>
              <w:rPr>
                <w:rFonts w:ascii="Arial" w:cs="Arial" w:hAnsi="Arial"/>
                <w:b/>
                <w:bCs/>
                <w:sz w:val="20"/>
                <w:szCs w:val="20"/>
              </w:rPr>
              <w:tab/>
              <w:t>February 21, 2013</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04" w:right="0"/>
              <w:contextualSpacing w:val="false"/>
              <w:rPr>
                <w:rFonts w:ascii="Arial" w:cs="Arial" w:hAnsi="Arial"/>
                <w:b/>
                <w:bCs/>
                <w:sz w:val="20"/>
                <w:szCs w:val="20"/>
              </w:rPr>
            </w:pPr>
            <w:r>
              <w:rPr>
                <w:rFonts w:ascii="Arial" w:cs="Arial" w:hAnsi="Arial"/>
                <w:b/>
                <w:bCs/>
                <w:sz w:val="20"/>
                <w:szCs w:val="20"/>
              </w:rPr>
              <w:t>$</w:t>
              <w:tab/>
              <w:t>1,925</w:t>
              <w:tab/>
            </w:r>
          </w:p>
        </w:tc>
        <w:tc>
          <w:tcPr>
            <w:tcW w:type="dxa" w:w="2287"/>
            <w:tcBorders>
              <w:top w:val="nil"/>
              <w:left w:val="nil"/>
              <w:bottom w:val="nil"/>
              <w:right w:val="nil"/>
            </w:tcBorders>
            <w:shd w:fill="auto" w:val="clear"/>
            <w:tcMar>
              <w:left w:type="dxa" w:w="144"/>
            </w:tcMar>
            <w:vAlign w:val="bottom"/>
          </w:tcPr>
          <w:p>
            <w:pPr>
              <w:pStyle w:val="style62"/>
              <w:tabs>
                <w:tab w:leader="none" w:pos="2140" w:val="right"/>
                <w:tab w:leader="none" w:pos="2248" w:val="decimal"/>
              </w:tabs>
              <w:spacing w:after="280" w:before="280"/>
              <w:contextualSpacing w:val="false"/>
              <w:rPr>
                <w:rFonts w:ascii="Arial" w:cs="Arial" w:hAnsi="Arial"/>
                <w:b/>
                <w:bCs/>
                <w:sz w:val="20"/>
                <w:szCs w:val="20"/>
              </w:rPr>
            </w:pPr>
            <w:r>
              <w:rPr>
                <w:rFonts w:ascii="Arial" w:cs="Arial" w:hAnsi="Arial"/>
                <w:b/>
                <w:bCs/>
                <w:sz w:val="20"/>
                <w:szCs w:val="20"/>
              </w:rPr>
              <w:tab/>
              <w:t>March 14, 2013</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March 11, 2013</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b/>
                <w:bCs/>
                <w:sz w:val="20"/>
                <w:szCs w:val="20"/>
              </w:rPr>
            </w:pPr>
            <w:r>
              <w:rPr>
                <w:rFonts w:ascii="Arial" w:cs="Arial" w:hAnsi="Arial"/>
                <w:b/>
                <w:bCs/>
                <w:sz w:val="20"/>
                <w:szCs w:val="20"/>
              </w:rPr>
              <w:t>$</w:t>
              <w:tab/>
              <w:t>0.23</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b/>
                <w:bCs/>
                <w:sz w:val="20"/>
                <w:szCs w:val="20"/>
              </w:rPr>
            </w:pPr>
            <w:r>
              <w:rPr>
                <w:rFonts w:ascii="Arial" w:cs="Arial" w:hAnsi="Arial"/>
                <w:b/>
                <w:bCs/>
                <w:sz w:val="20"/>
                <w:szCs w:val="20"/>
              </w:rPr>
              <w:tab/>
              <w:t>May 16, 2013</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04" w:right="0"/>
              <w:contextualSpacing w:val="false"/>
              <w:rPr>
                <w:rFonts w:ascii="Arial" w:cs="Arial" w:hAnsi="Arial"/>
                <w:b/>
                <w:bCs/>
                <w:sz w:val="20"/>
                <w:szCs w:val="20"/>
              </w:rPr>
            </w:pPr>
            <w:r>
              <w:rPr>
                <w:rFonts w:ascii="Arial" w:cs="Arial" w:hAnsi="Arial"/>
                <w:b/>
                <w:bCs/>
                <w:sz w:val="20"/>
                <w:szCs w:val="20"/>
              </w:rPr>
              <w:t>$</w:t>
              <w:tab/>
              <w:t>1,921</w:t>
              <w:tab/>
            </w:r>
          </w:p>
        </w:tc>
        <w:tc>
          <w:tcPr>
            <w:tcW w:type="dxa" w:w="2287"/>
            <w:tcBorders>
              <w:top w:val="nil"/>
              <w:left w:val="nil"/>
              <w:bottom w:val="nil"/>
              <w:right w:val="nil"/>
            </w:tcBorders>
            <w:shd w:fill="auto" w:val="clear"/>
            <w:tcMar>
              <w:left w:type="dxa" w:w="144"/>
            </w:tcMar>
            <w:vAlign w:val="bottom"/>
          </w:tcPr>
          <w:p>
            <w:pPr>
              <w:pStyle w:val="style62"/>
              <w:tabs>
                <w:tab w:leader="none" w:pos="2140" w:val="right"/>
                <w:tab w:leader="none" w:pos="2248" w:val="decimal"/>
              </w:tabs>
              <w:spacing w:after="280" w:before="280"/>
              <w:contextualSpacing w:val="false"/>
              <w:rPr>
                <w:rFonts w:ascii="Arial" w:cs="Arial" w:hAnsi="Arial"/>
                <w:b/>
                <w:bCs/>
                <w:sz w:val="20"/>
                <w:szCs w:val="20"/>
              </w:rPr>
            </w:pPr>
            <w:r>
              <w:rPr>
                <w:rFonts w:ascii="Arial" w:cs="Arial" w:hAnsi="Arial"/>
                <w:b/>
                <w:bCs/>
                <w:sz w:val="20"/>
                <w:szCs w:val="20"/>
              </w:rPr>
              <w:tab/>
              <w:t>June 13, 2013</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June 12, 2013</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b/>
                <w:bCs/>
                <w:sz w:val="20"/>
                <w:szCs w:val="20"/>
              </w:rPr>
            </w:pPr>
            <w:r>
              <w:rPr>
                <w:rFonts w:ascii="Arial" w:cs="Arial" w:hAnsi="Arial"/>
                <w:b/>
                <w:bCs/>
                <w:sz w:val="20"/>
                <w:szCs w:val="20"/>
              </w:rPr>
              <w:t>$</w:t>
              <w:tab/>
              <w:t>0.23</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b/>
                <w:bCs/>
                <w:sz w:val="20"/>
                <w:szCs w:val="20"/>
              </w:rPr>
            </w:pPr>
            <w:r>
              <w:rPr>
                <w:rFonts w:ascii="Arial" w:cs="Arial" w:hAnsi="Arial"/>
                <w:b/>
                <w:bCs/>
                <w:sz w:val="20"/>
                <w:szCs w:val="20"/>
              </w:rPr>
              <w:tab/>
              <w:t>August 15, 2013</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04" w:right="0"/>
              <w:contextualSpacing w:val="false"/>
              <w:rPr>
                <w:rFonts w:ascii="Arial" w:cs="Arial" w:hAnsi="Arial"/>
                <w:b/>
                <w:bCs/>
                <w:sz w:val="20"/>
                <w:szCs w:val="20"/>
              </w:rPr>
            </w:pPr>
            <w:r>
              <w:rPr>
                <w:rFonts w:ascii="Arial" w:cs="Arial" w:hAnsi="Arial"/>
                <w:b/>
                <w:bCs/>
                <w:sz w:val="20"/>
                <w:szCs w:val="20"/>
              </w:rPr>
              <w:t>$</w:t>
              <w:tab/>
              <w:t>1,916</w:t>
              <w:tab/>
            </w:r>
          </w:p>
        </w:tc>
        <w:tc>
          <w:tcPr>
            <w:tcW w:type="dxa" w:w="2287"/>
            <w:tcBorders>
              <w:top w:val="nil"/>
              <w:left w:val="nil"/>
              <w:bottom w:val="nil"/>
              <w:right w:val="nil"/>
            </w:tcBorders>
            <w:shd w:fill="auto" w:val="clear"/>
            <w:tcMar>
              <w:left w:type="dxa" w:w="144"/>
            </w:tcMar>
            <w:vAlign w:val="bottom"/>
          </w:tcPr>
          <w:p>
            <w:pPr>
              <w:pStyle w:val="style62"/>
              <w:tabs>
                <w:tab w:leader="none" w:pos="2140" w:val="right"/>
                <w:tab w:leader="none" w:pos="2248" w:val="decimal"/>
              </w:tabs>
              <w:spacing w:after="280" w:before="280"/>
              <w:contextualSpacing w:val="false"/>
              <w:rPr>
                <w:rFonts w:ascii="Arial" w:cs="Arial" w:hAnsi="Arial"/>
                <w:b/>
                <w:bCs/>
                <w:sz w:val="20"/>
                <w:szCs w:val="20"/>
              </w:rPr>
            </w:pPr>
            <w:r>
              <w:rPr>
                <w:rFonts w:ascii="Arial" w:cs="Arial" w:hAnsi="Arial"/>
                <w:b/>
                <w:bCs/>
                <w:sz w:val="20"/>
                <w:szCs w:val="20"/>
              </w:rPr>
              <w:tab/>
              <w:t>September 12,  2013</w:t>
              <w:tab/>
            </w:r>
          </w:p>
        </w:tc>
      </w:tr>
    </w:tbl>
    <w:p>
      <w:pPr>
        <w:pStyle w:val="style59"/>
        <w:pBdr>
          <w:top w:color="000001" w:space="0" w:sz="4" w:val="single"/>
          <w:left w:val="nil"/>
          <w:bottom w:val="nil"/>
          <w:insideH w:val="nil"/>
          <w:right w:val="nil"/>
          <w:insideV w:val="nil"/>
        </w:pBdr>
        <w:rPr/>
      </w:pPr>
      <w:r>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dividend declared on June 12, 2013 will be paid after the filing of our Form 10-K and was included in other current liabilities as of June 30, 2013.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In fiscal year 2012, our Board of Directors declared the following dividends: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3655"/>
        <w:gridCol w:w="1140"/>
        <w:gridCol w:w="2259"/>
        <w:gridCol w:w="1480"/>
        <w:gridCol w:w="2266"/>
      </w:tblGrid>
      <w:tr>
        <w:trPr>
          <w:tblHeader w:val="true"/>
          <w:cantSplit w:val="false"/>
        </w:trPr>
        <w:tc>
          <w:tcPr>
            <w:tcW w:type="dxa" w:w="3655"/>
            <w:tcBorders>
              <w:top w:val="nil"/>
              <w:left w:val="nil"/>
              <w:bottom w:val="nil"/>
              <w:right w:val="nil"/>
            </w:tcBorders>
            <w:shd w:fill="auto" w:val="clear"/>
            <w:vAlign w:val="center"/>
          </w:tcPr>
          <w:p>
            <w:pPr>
              <w:pStyle w:val="style0"/>
              <w:rPr>
                <w:sz w:val="1"/>
                <w:szCs w:val="24"/>
              </w:rPr>
            </w:pPr>
            <w:r>
              <w:rPr>
                <w:sz w:val="1"/>
                <w:szCs w:val="24"/>
              </w:rPr>
            </w:r>
          </w:p>
        </w:tc>
        <w:tc>
          <w:tcPr>
            <w:tcW w:type="dxa" w:w="1140"/>
            <w:tcBorders>
              <w:top w:val="nil"/>
              <w:left w:val="nil"/>
              <w:bottom w:val="nil"/>
              <w:right w:val="nil"/>
            </w:tcBorders>
            <w:shd w:fill="auto" w:val="clear"/>
            <w:vAlign w:val="center"/>
          </w:tcPr>
          <w:p>
            <w:pPr>
              <w:pStyle w:val="style0"/>
              <w:rPr>
                <w:sz w:val="1"/>
                <w:szCs w:val="24"/>
              </w:rPr>
            </w:pPr>
            <w:r>
              <w:rPr>
                <w:sz w:val="1"/>
                <w:szCs w:val="24"/>
              </w:rPr>
            </w:r>
          </w:p>
        </w:tc>
        <w:tc>
          <w:tcPr>
            <w:tcW w:type="dxa" w:w="2259"/>
            <w:tcBorders>
              <w:top w:val="nil"/>
              <w:left w:val="nil"/>
              <w:bottom w:val="nil"/>
              <w:right w:val="nil"/>
            </w:tcBorders>
            <w:shd w:fill="auto" w:val="clear"/>
            <w:vAlign w:val="center"/>
          </w:tcPr>
          <w:p>
            <w:pPr>
              <w:pStyle w:val="style0"/>
              <w:rPr>
                <w:sz w:val="1"/>
                <w:szCs w:val="24"/>
              </w:rPr>
            </w:pPr>
            <w:r>
              <w:rPr>
                <w:sz w:val="1"/>
                <w:szCs w:val="24"/>
              </w:rPr>
            </w:r>
          </w:p>
        </w:tc>
        <w:tc>
          <w:tcPr>
            <w:tcW w:type="dxa" w:w="1480"/>
            <w:tcBorders>
              <w:top w:val="nil"/>
              <w:left w:val="nil"/>
              <w:bottom w:val="nil"/>
              <w:right w:val="nil"/>
            </w:tcBorders>
            <w:shd w:fill="auto" w:val="clear"/>
            <w:vAlign w:val="center"/>
          </w:tcPr>
          <w:p>
            <w:pPr>
              <w:pStyle w:val="style0"/>
              <w:rPr>
                <w:sz w:val="1"/>
                <w:szCs w:val="24"/>
              </w:rPr>
            </w:pPr>
            <w:r>
              <w:rPr>
                <w:sz w:val="1"/>
                <w:szCs w:val="24"/>
              </w:rPr>
            </w:r>
          </w:p>
        </w:tc>
        <w:tc>
          <w:tcPr>
            <w:tcW w:type="dxa" w:w="2266"/>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365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Declaration Date</w:t>
            </w:r>
          </w:p>
        </w:tc>
        <w:tc>
          <w:tcPr>
            <w:tcW w:type="dxa" w:w="1140"/>
            <w:tcBorders>
              <w:top w:val="nil"/>
              <w:left w:val="nil"/>
              <w:bottom w:val="nil"/>
              <w:right w:val="nil"/>
            </w:tcBorders>
            <w:shd w:fill="auto" w:val="clear"/>
            <w:tcMar>
              <w:left w:type="dxa" w:w="144"/>
            </w:tcMar>
            <w:vAlign w:val="bottom"/>
          </w:tcPr>
          <w:p>
            <w:pPr>
              <w:pStyle w:val="style62"/>
              <w:spacing w:after="280" w:before="280"/>
              <w:ind w:hanging="0" w:left="0" w:right="53"/>
              <w:contextualSpacing w:val="false"/>
              <w:jc w:val="right"/>
              <w:rPr>
                <w:rFonts w:ascii="Arial" w:cs="Arial" w:hAnsi="Arial"/>
                <w:b/>
                <w:bCs/>
                <w:sz w:val="15"/>
                <w:szCs w:val="15"/>
              </w:rPr>
            </w:pPr>
            <w:r>
              <w:rPr>
                <w:rFonts w:ascii="Arial" w:cs="Arial" w:hAnsi="Arial"/>
                <w:b/>
                <w:bCs/>
                <w:sz w:val="15"/>
                <w:szCs w:val="15"/>
              </w:rPr>
              <w:t>Dividend</w:t>
            </w:r>
          </w:p>
          <w:p>
            <w:pPr>
              <w:pStyle w:val="style62"/>
              <w:spacing w:after="280" w:before="280"/>
              <w:ind w:hanging="0" w:left="0" w:right="53"/>
              <w:contextualSpacing w:val="false"/>
              <w:jc w:val="right"/>
              <w:rPr>
                <w:rFonts w:ascii="Arial" w:cs="Arial" w:hAnsi="Arial"/>
                <w:b/>
                <w:bCs/>
                <w:sz w:val="15"/>
                <w:szCs w:val="15"/>
              </w:rPr>
            </w:pPr>
            <w:r>
              <w:rPr>
                <w:rFonts w:ascii="Arial" w:cs="Arial" w:hAnsi="Arial"/>
                <w:b/>
                <w:bCs/>
                <w:sz w:val="15"/>
                <w:szCs w:val="15"/>
              </w:rPr>
              <w:t>Per Share</w:t>
            </w:r>
          </w:p>
        </w:tc>
        <w:tc>
          <w:tcPr>
            <w:tcW w:type="dxa" w:w="2259"/>
            <w:tcBorders>
              <w:top w:val="nil"/>
              <w:left w:val="nil"/>
              <w:bottom w:val="nil"/>
              <w:right w:val="nil"/>
            </w:tcBorders>
            <w:shd w:fill="auto" w:val="clear"/>
            <w:tcMar>
              <w:left w:type="dxa" w:w="144"/>
            </w:tcMar>
            <w:vAlign w:val="bottom"/>
          </w:tcPr>
          <w:p>
            <w:pPr>
              <w:pStyle w:val="style0"/>
              <w:ind w:hanging="0" w:left="0" w:right="99"/>
              <w:jc w:val="right"/>
              <w:rPr>
                <w:rFonts w:ascii="Arial" w:cs="Arial" w:hAnsi="Arial"/>
                <w:b/>
                <w:bCs/>
                <w:sz w:val="15"/>
                <w:szCs w:val="15"/>
              </w:rPr>
            </w:pPr>
            <w:r>
              <w:rPr>
                <w:rFonts w:ascii="Arial" w:cs="Arial" w:hAnsi="Arial"/>
                <w:b/>
                <w:bCs/>
                <w:sz w:val="15"/>
                <w:szCs w:val="15"/>
              </w:rPr>
              <w:t>Record Date</w:t>
            </w:r>
          </w:p>
        </w:tc>
        <w:tc>
          <w:tcPr>
            <w:tcW w:type="dxa" w:w="1480"/>
            <w:tcBorders>
              <w:top w:val="nil"/>
              <w:left w:val="nil"/>
              <w:bottom w:val="nil"/>
              <w:right w:val="nil"/>
            </w:tcBorders>
            <w:shd w:fill="auto" w:val="clear"/>
            <w:tcMar>
              <w:left w:type="dxa" w:w="144"/>
            </w:tcMar>
            <w:vAlign w:val="bottom"/>
          </w:tcPr>
          <w:p>
            <w:pPr>
              <w:pStyle w:val="style0"/>
              <w:ind w:hanging="0" w:left="0" w:right="94"/>
              <w:jc w:val="right"/>
              <w:rPr>
                <w:rFonts w:ascii="Arial" w:cs="Arial" w:hAnsi="Arial"/>
                <w:b/>
                <w:bCs/>
                <w:sz w:val="15"/>
                <w:szCs w:val="15"/>
              </w:rPr>
            </w:pPr>
            <w:r>
              <w:rPr>
                <w:rFonts w:ascii="Arial" w:cs="Arial" w:hAnsi="Arial"/>
                <w:b/>
                <w:bCs/>
                <w:sz w:val="15"/>
                <w:szCs w:val="15"/>
              </w:rPr>
              <w:t>Total Amount</w:t>
            </w:r>
          </w:p>
        </w:tc>
        <w:tc>
          <w:tcPr>
            <w:tcW w:type="dxa" w:w="2266"/>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Payment Date</w:t>
            </w:r>
          </w:p>
        </w:tc>
      </w:tr>
      <w:tr>
        <w:trPr>
          <w:cantSplit w:val="false"/>
        </w:trPr>
        <w:tc>
          <w:tcPr>
            <w:tcW w:type="dxa" w:w="10800"/>
            <w:gridSpan w:val="5"/>
            <w:tcBorders>
              <w:top w:val="nil"/>
              <w:left w:val="nil"/>
              <w:bottom w:val="nil"/>
              <w:right w:val="nil"/>
            </w:tcBorders>
            <w:shd w:fill="auto" w:val="clear"/>
            <w:tcMar>
              <w:left w:type="dxa" w:w="144"/>
            </w:tcMar>
            <w:vAlign w:val="bottom"/>
          </w:tcPr>
          <w:p>
            <w:pPr>
              <w:pStyle w:val="style59"/>
              <w:spacing w:after="0" w:before="20"/>
              <w:ind w:hanging="0" w:left="-297" w:right="0"/>
              <w:contextualSpacing w:val="false"/>
              <w:rPr/>
            </w:pPr>
            <w:r>
              <w:rPr/>
              <w:t> </w:t>
            </w:r>
          </w:p>
        </w:tc>
      </w:tr>
      <w:tr>
        <w:trPr>
          <w:cantSplit w:val="false"/>
        </w:trPr>
        <w:tc>
          <w:tcPr>
            <w:tcW w:type="dxa" w:w="3655"/>
            <w:tcBorders>
              <w:top w:val="nil"/>
              <w:left w:val="nil"/>
              <w:bottom w:val="nil"/>
              <w:right w:val="nil"/>
            </w:tcBorders>
            <w:shd w:fill="auto" w:val="clear"/>
            <w:tcMar>
              <w:left w:type="dxa" w:w="144"/>
            </w:tcMar>
            <w:vAlign w:val="bottom"/>
          </w:tcPr>
          <w:p>
            <w:pPr>
              <w:pStyle w:val="style65"/>
              <w:keepNext/>
              <w:rPr/>
            </w:pPr>
            <w:r>
              <w:rPr/>
              <w:t> </w:t>
            </w:r>
          </w:p>
        </w:tc>
        <w:tc>
          <w:tcPr>
            <w:tcW w:type="dxa" w:w="1140"/>
            <w:tcBorders>
              <w:top w:val="nil"/>
              <w:left w:val="nil"/>
              <w:bottom w:val="nil"/>
              <w:right w:val="nil"/>
            </w:tcBorders>
            <w:shd w:fill="auto" w:val="clear"/>
            <w:tcMar>
              <w:left w:type="dxa" w:w="144"/>
            </w:tcMar>
            <w:vAlign w:val="bottom"/>
          </w:tcPr>
          <w:p>
            <w:pPr>
              <w:pStyle w:val="style65"/>
              <w:rPr/>
            </w:pPr>
            <w:r>
              <w:rPr/>
              <w:t> </w:t>
            </w:r>
          </w:p>
        </w:tc>
        <w:tc>
          <w:tcPr>
            <w:tcW w:type="dxa" w:w="2259"/>
            <w:tcBorders>
              <w:top w:val="nil"/>
              <w:left w:val="nil"/>
              <w:bottom w:val="nil"/>
              <w:right w:val="nil"/>
            </w:tcBorders>
            <w:shd w:fill="auto" w:val="clear"/>
            <w:tcMar>
              <w:left w:type="dxa" w:w="144"/>
            </w:tcMar>
            <w:vAlign w:val="bottom"/>
          </w:tcPr>
          <w:p>
            <w:pPr>
              <w:pStyle w:val="style65"/>
              <w:rPr/>
            </w:pPr>
            <w:r>
              <w:rPr/>
              <w:t> </w:t>
            </w:r>
          </w:p>
        </w:tc>
        <w:tc>
          <w:tcPr>
            <w:tcW w:type="dxa" w:w="1480"/>
            <w:tcBorders>
              <w:top w:val="nil"/>
              <w:left w:val="nil"/>
              <w:bottom w:val="nil"/>
              <w:right w:val="nil"/>
            </w:tcBorders>
            <w:shd w:fill="auto" w:val="clear"/>
            <w:tcMar>
              <w:left w:type="dxa" w:w="144"/>
            </w:tcMar>
            <w:vAlign w:val="bottom"/>
          </w:tcPr>
          <w:p>
            <w:pPr>
              <w:pStyle w:val="style0"/>
              <w:ind w:hanging="0" w:left="0" w:right="94"/>
              <w:jc w:val="right"/>
              <w:rPr>
                <w:rFonts w:ascii="Arial" w:cs="Arial" w:hAnsi="Arial"/>
                <w:b/>
                <w:bCs/>
                <w:sz w:val="15"/>
                <w:szCs w:val="15"/>
              </w:rPr>
            </w:pPr>
            <w:r>
              <w:rPr>
                <w:rFonts w:ascii="Arial" w:cs="Arial" w:hAnsi="Arial"/>
                <w:b/>
                <w:bCs/>
                <w:sz w:val="15"/>
                <w:szCs w:val="15"/>
              </w:rPr>
              <w:t>(In millions)</w:t>
            </w:r>
          </w:p>
        </w:tc>
        <w:tc>
          <w:tcPr>
            <w:tcW w:type="dxa" w:w="2266"/>
            <w:tcBorders>
              <w:top w:val="nil"/>
              <w:left w:val="nil"/>
              <w:bottom w:val="nil"/>
              <w:right w:val="nil"/>
            </w:tcBorders>
            <w:shd w:fill="auto" w:val="clear"/>
            <w:tcMar>
              <w:left w:type="dxa" w:w="144"/>
            </w:tcMar>
            <w:vAlign w:val="bottom"/>
          </w:tcPr>
          <w:p>
            <w:pPr>
              <w:pStyle w:val="style65"/>
              <w:rPr/>
            </w:pPr>
            <w:r>
              <w:rPr/>
              <w:t> </w:t>
            </w:r>
          </w:p>
        </w:tc>
      </w:tr>
      <w:tr>
        <w:trPr>
          <w:trHeight w:hRule="atLeast" w:val="75"/>
          <w:cantSplit w:val="false"/>
        </w:trPr>
        <w:tc>
          <w:tcPr>
            <w:tcW w:type="dxa" w:w="3655"/>
            <w:tcBorders>
              <w:top w:val="nil"/>
              <w:left w:val="nil"/>
              <w:bottom w:val="nil"/>
              <w:right w:val="nil"/>
            </w:tcBorders>
            <w:shd w:fill="auto" w:val="clear"/>
            <w:vAlign w:val="center"/>
          </w:tcPr>
          <w:p>
            <w:pPr>
              <w:pStyle w:val="style0"/>
              <w:rPr>
                <w:sz w:val="8"/>
                <w:szCs w:val="24"/>
              </w:rPr>
            </w:pPr>
            <w:r>
              <w:rPr>
                <w:sz w:val="8"/>
                <w:szCs w:val="24"/>
              </w:rPr>
            </w:r>
          </w:p>
        </w:tc>
        <w:tc>
          <w:tcPr>
            <w:tcW w:type="dxa" w:w="1140"/>
            <w:tcBorders>
              <w:top w:val="nil"/>
              <w:left w:val="nil"/>
              <w:bottom w:val="nil"/>
              <w:right w:val="nil"/>
            </w:tcBorders>
            <w:shd w:fill="auto" w:val="clear"/>
            <w:vAlign w:val="center"/>
          </w:tcPr>
          <w:p>
            <w:pPr>
              <w:pStyle w:val="style0"/>
              <w:rPr>
                <w:sz w:val="8"/>
                <w:szCs w:val="24"/>
              </w:rPr>
            </w:pPr>
            <w:r>
              <w:rPr>
                <w:sz w:val="8"/>
                <w:szCs w:val="24"/>
              </w:rPr>
            </w:r>
          </w:p>
        </w:tc>
        <w:tc>
          <w:tcPr>
            <w:tcW w:type="dxa" w:w="2259"/>
            <w:tcBorders>
              <w:top w:val="nil"/>
              <w:left w:val="nil"/>
              <w:bottom w:val="nil"/>
              <w:right w:val="nil"/>
            </w:tcBorders>
            <w:shd w:fill="auto" w:val="clear"/>
            <w:vAlign w:val="center"/>
          </w:tcPr>
          <w:p>
            <w:pPr>
              <w:pStyle w:val="style0"/>
              <w:rPr>
                <w:sz w:val="8"/>
                <w:szCs w:val="24"/>
              </w:rPr>
            </w:pPr>
            <w:r>
              <w:rPr>
                <w:sz w:val="8"/>
                <w:szCs w:val="24"/>
              </w:rPr>
            </w:r>
          </w:p>
        </w:tc>
        <w:tc>
          <w:tcPr>
            <w:tcW w:type="dxa" w:w="1480"/>
            <w:tcBorders>
              <w:top w:val="nil"/>
              <w:left w:val="nil"/>
              <w:bottom w:val="nil"/>
              <w:right w:val="nil"/>
            </w:tcBorders>
            <w:shd w:fill="auto" w:val="clear"/>
            <w:vAlign w:val="center"/>
          </w:tcPr>
          <w:p>
            <w:pPr>
              <w:pStyle w:val="style0"/>
              <w:rPr>
                <w:sz w:val="8"/>
                <w:szCs w:val="24"/>
              </w:rPr>
            </w:pPr>
            <w:r>
              <w:rPr>
                <w:sz w:val="8"/>
                <w:szCs w:val="24"/>
              </w:rPr>
            </w:r>
          </w:p>
        </w:tc>
        <w:tc>
          <w:tcPr>
            <w:tcW w:type="dxa" w:w="2266"/>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36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September 20, 2011</w:t>
            </w:r>
          </w:p>
        </w:tc>
        <w:tc>
          <w:tcPr>
            <w:tcW w:type="dxa" w:w="114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46" w:right="0"/>
              <w:contextualSpacing w:val="false"/>
              <w:rPr>
                <w:rFonts w:ascii="Arial" w:cs="Arial" w:hAnsi="Arial"/>
                <w:sz w:val="20"/>
                <w:szCs w:val="20"/>
              </w:rPr>
            </w:pPr>
            <w:r>
              <w:rPr>
                <w:rFonts w:ascii="Arial" w:cs="Arial" w:hAnsi="Arial"/>
                <w:sz w:val="20"/>
                <w:szCs w:val="20"/>
              </w:rPr>
              <w:t>$</w:t>
              <w:tab/>
              <w:t>0.20</w:t>
              <w:tab/>
              <w:t> </w:t>
            </w:r>
          </w:p>
        </w:tc>
        <w:tc>
          <w:tcPr>
            <w:tcW w:type="dxa" w:w="2259"/>
            <w:tcBorders>
              <w:top w:val="nil"/>
              <w:left w:val="nil"/>
              <w:bottom w:val="nil"/>
              <w:right w:val="nil"/>
            </w:tcBorders>
            <w:shd w:fill="auto" w:val="clear"/>
            <w:tcMar>
              <w:left w:type="dxa" w:w="144"/>
            </w:tcMar>
            <w:vAlign w:val="bottom"/>
          </w:tcPr>
          <w:p>
            <w:pPr>
              <w:pStyle w:val="style62"/>
              <w:tabs>
                <w:tab w:leader="none" w:pos="2060" w:val="right"/>
                <w:tab w:leader="none" w:pos="2100" w:val="decimal"/>
              </w:tabs>
              <w:spacing w:after="280" w:before="280"/>
              <w:contextualSpacing w:val="false"/>
              <w:rPr>
                <w:rFonts w:ascii="Arial" w:cs="Arial" w:hAnsi="Arial"/>
                <w:sz w:val="20"/>
                <w:szCs w:val="20"/>
              </w:rPr>
            </w:pPr>
            <w:r>
              <w:rPr>
                <w:rFonts w:ascii="Arial" w:cs="Arial" w:hAnsi="Arial"/>
                <w:sz w:val="20"/>
                <w:szCs w:val="20"/>
              </w:rPr>
              <w:tab/>
              <w:t>  November 17, 2011</w:t>
              <w:tab/>
              <w:t xml:space="preserve">  </w:t>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47" w:right="0"/>
              <w:contextualSpacing w:val="false"/>
              <w:rPr>
                <w:rFonts w:ascii="Arial" w:cs="Arial" w:hAnsi="Arial"/>
                <w:sz w:val="20"/>
                <w:szCs w:val="20"/>
              </w:rPr>
            </w:pPr>
            <w:r>
              <w:rPr>
                <w:rFonts w:ascii="Arial" w:cs="Arial" w:hAnsi="Arial"/>
                <w:sz w:val="20"/>
                <w:szCs w:val="20"/>
              </w:rPr>
              <w:t>$</w:t>
              <w:tab/>
              <w:t>  1,683</w:t>
              <w:tab/>
              <w:t> </w:t>
            </w:r>
          </w:p>
        </w:tc>
        <w:tc>
          <w:tcPr>
            <w:tcW w:type="dxa" w:w="2266"/>
            <w:tcBorders>
              <w:top w:val="nil"/>
              <w:left w:val="nil"/>
              <w:bottom w:val="nil"/>
              <w:right w:val="nil"/>
            </w:tcBorders>
            <w:shd w:fill="auto" w:val="clear"/>
            <w:tcMar>
              <w:left w:type="dxa" w:w="144"/>
            </w:tcMar>
            <w:vAlign w:val="bottom"/>
          </w:tcPr>
          <w:p>
            <w:pPr>
              <w:pStyle w:val="style62"/>
              <w:tabs>
                <w:tab w:leader="none" w:pos="2120" w:val="right"/>
                <w:tab w:leader="none" w:pos="2237" w:val="decimal"/>
              </w:tabs>
              <w:spacing w:after="280" w:before="280"/>
              <w:contextualSpacing w:val="false"/>
              <w:rPr>
                <w:rFonts w:ascii="Arial" w:cs="Arial" w:hAnsi="Arial"/>
                <w:sz w:val="20"/>
                <w:szCs w:val="20"/>
              </w:rPr>
            </w:pPr>
            <w:r>
              <w:rPr>
                <w:rFonts w:ascii="Arial" w:cs="Arial" w:hAnsi="Arial"/>
                <w:sz w:val="20"/>
                <w:szCs w:val="20"/>
              </w:rPr>
              <w:tab/>
              <w:t>     December 8,  2011</w:t>
              <w:tab/>
            </w:r>
          </w:p>
        </w:tc>
      </w:tr>
      <w:tr>
        <w:trPr>
          <w:cantSplit w:val="false"/>
        </w:trPr>
        <w:tc>
          <w:tcPr>
            <w:tcW w:type="dxa" w:w="36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December 14, 2011</w:t>
            </w:r>
          </w:p>
        </w:tc>
        <w:tc>
          <w:tcPr>
            <w:tcW w:type="dxa" w:w="114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46" w:right="0"/>
              <w:contextualSpacing w:val="false"/>
              <w:rPr>
                <w:rFonts w:ascii="Arial" w:cs="Arial" w:hAnsi="Arial"/>
                <w:sz w:val="20"/>
                <w:szCs w:val="20"/>
              </w:rPr>
            </w:pPr>
            <w:r>
              <w:rPr>
                <w:rFonts w:ascii="Arial" w:cs="Arial" w:hAnsi="Arial"/>
                <w:sz w:val="20"/>
                <w:szCs w:val="20"/>
              </w:rPr>
              <w:t>$</w:t>
              <w:tab/>
              <w:t>0.20</w:t>
              <w:tab/>
            </w:r>
          </w:p>
        </w:tc>
        <w:tc>
          <w:tcPr>
            <w:tcW w:type="dxa" w:w="2259"/>
            <w:tcBorders>
              <w:top w:val="nil"/>
              <w:left w:val="nil"/>
              <w:bottom w:val="nil"/>
              <w:right w:val="nil"/>
            </w:tcBorders>
            <w:shd w:fill="auto" w:val="clear"/>
            <w:tcMar>
              <w:left w:type="dxa" w:w="144"/>
            </w:tcMar>
            <w:vAlign w:val="bottom"/>
          </w:tcPr>
          <w:p>
            <w:pPr>
              <w:pStyle w:val="style62"/>
              <w:tabs>
                <w:tab w:leader="none" w:pos="2060" w:val="right"/>
                <w:tab w:leader="none" w:pos="2100" w:val="decimal"/>
              </w:tabs>
              <w:spacing w:after="280" w:before="280"/>
              <w:contextualSpacing w:val="false"/>
              <w:rPr>
                <w:rFonts w:ascii="Arial" w:cs="Arial" w:hAnsi="Arial"/>
                <w:sz w:val="20"/>
                <w:szCs w:val="20"/>
              </w:rPr>
            </w:pPr>
            <w:r>
              <w:rPr>
                <w:rFonts w:ascii="Arial" w:cs="Arial" w:hAnsi="Arial"/>
                <w:sz w:val="20"/>
                <w:szCs w:val="20"/>
              </w:rPr>
              <w:tab/>
              <w:t>February 16, 2012</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47" w:right="0"/>
              <w:contextualSpacing w:val="false"/>
              <w:rPr>
                <w:rFonts w:ascii="Arial" w:cs="Arial" w:hAnsi="Arial"/>
                <w:sz w:val="20"/>
                <w:szCs w:val="20"/>
              </w:rPr>
            </w:pPr>
            <w:r>
              <w:rPr>
                <w:rFonts w:ascii="Arial" w:cs="Arial" w:hAnsi="Arial"/>
                <w:sz w:val="20"/>
                <w:szCs w:val="20"/>
              </w:rPr>
              <w:t>$</w:t>
              <w:tab/>
              <w:t>1,683</w:t>
              <w:tab/>
            </w:r>
          </w:p>
        </w:tc>
        <w:tc>
          <w:tcPr>
            <w:tcW w:type="dxa" w:w="2266"/>
            <w:tcBorders>
              <w:top w:val="nil"/>
              <w:left w:val="nil"/>
              <w:bottom w:val="nil"/>
              <w:right w:val="nil"/>
            </w:tcBorders>
            <w:shd w:fill="auto" w:val="clear"/>
            <w:tcMar>
              <w:left w:type="dxa" w:w="144"/>
            </w:tcMar>
            <w:vAlign w:val="bottom"/>
          </w:tcPr>
          <w:p>
            <w:pPr>
              <w:pStyle w:val="style62"/>
              <w:tabs>
                <w:tab w:leader="none" w:pos="2120" w:val="right"/>
                <w:tab w:leader="none" w:pos="2237" w:val="decimal"/>
              </w:tabs>
              <w:spacing w:after="280" w:before="280"/>
              <w:contextualSpacing w:val="false"/>
              <w:rPr>
                <w:rFonts w:ascii="Arial" w:cs="Arial" w:hAnsi="Arial"/>
                <w:sz w:val="20"/>
                <w:szCs w:val="20"/>
              </w:rPr>
            </w:pPr>
            <w:r>
              <w:rPr>
                <w:rFonts w:ascii="Arial" w:cs="Arial" w:hAnsi="Arial"/>
                <w:sz w:val="20"/>
                <w:szCs w:val="20"/>
              </w:rPr>
              <w:tab/>
              <w:t>March 8, 2012</w:t>
              <w:tab/>
            </w:r>
          </w:p>
        </w:tc>
      </w:tr>
      <w:tr>
        <w:trPr>
          <w:cantSplit w:val="false"/>
        </w:trPr>
        <w:tc>
          <w:tcPr>
            <w:tcW w:type="dxa" w:w="36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March 13, 2012</w:t>
            </w:r>
          </w:p>
        </w:tc>
        <w:tc>
          <w:tcPr>
            <w:tcW w:type="dxa" w:w="114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46" w:right="0"/>
              <w:contextualSpacing w:val="false"/>
              <w:rPr>
                <w:rFonts w:ascii="Arial" w:cs="Arial" w:hAnsi="Arial"/>
                <w:sz w:val="20"/>
                <w:szCs w:val="20"/>
              </w:rPr>
            </w:pPr>
            <w:r>
              <w:rPr>
                <w:rFonts w:ascii="Arial" w:cs="Arial" w:hAnsi="Arial"/>
                <w:sz w:val="20"/>
                <w:szCs w:val="20"/>
              </w:rPr>
              <w:t>$</w:t>
              <w:tab/>
              <w:t>0.20</w:t>
              <w:tab/>
            </w:r>
          </w:p>
        </w:tc>
        <w:tc>
          <w:tcPr>
            <w:tcW w:type="dxa" w:w="2259"/>
            <w:tcBorders>
              <w:top w:val="nil"/>
              <w:left w:val="nil"/>
              <w:bottom w:val="nil"/>
              <w:right w:val="nil"/>
            </w:tcBorders>
            <w:shd w:fill="auto" w:val="clear"/>
            <w:tcMar>
              <w:left w:type="dxa" w:w="144"/>
            </w:tcMar>
            <w:vAlign w:val="bottom"/>
          </w:tcPr>
          <w:p>
            <w:pPr>
              <w:pStyle w:val="style62"/>
              <w:tabs>
                <w:tab w:leader="none" w:pos="2060" w:val="right"/>
                <w:tab w:leader="none" w:pos="2100" w:val="decimal"/>
              </w:tabs>
              <w:spacing w:after="280" w:before="280"/>
              <w:contextualSpacing w:val="false"/>
              <w:rPr>
                <w:rFonts w:ascii="Arial" w:cs="Arial" w:hAnsi="Arial"/>
                <w:sz w:val="20"/>
                <w:szCs w:val="20"/>
              </w:rPr>
            </w:pPr>
            <w:r>
              <w:rPr>
                <w:rFonts w:ascii="Arial" w:cs="Arial" w:hAnsi="Arial"/>
                <w:sz w:val="20"/>
                <w:szCs w:val="20"/>
              </w:rPr>
              <w:tab/>
              <w:t>May 17, 2012</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47" w:right="0"/>
              <w:contextualSpacing w:val="false"/>
              <w:rPr>
                <w:rFonts w:ascii="Arial" w:cs="Arial" w:hAnsi="Arial"/>
                <w:sz w:val="20"/>
                <w:szCs w:val="20"/>
              </w:rPr>
            </w:pPr>
            <w:r>
              <w:rPr>
                <w:rFonts w:ascii="Arial" w:cs="Arial" w:hAnsi="Arial"/>
                <w:sz w:val="20"/>
                <w:szCs w:val="20"/>
              </w:rPr>
              <w:t>$</w:t>
              <w:tab/>
              <w:t>1,678</w:t>
              <w:tab/>
            </w:r>
          </w:p>
        </w:tc>
        <w:tc>
          <w:tcPr>
            <w:tcW w:type="dxa" w:w="2266"/>
            <w:tcBorders>
              <w:top w:val="nil"/>
              <w:left w:val="nil"/>
              <w:bottom w:val="nil"/>
              <w:right w:val="nil"/>
            </w:tcBorders>
            <w:shd w:fill="auto" w:val="clear"/>
            <w:tcMar>
              <w:left w:type="dxa" w:w="144"/>
            </w:tcMar>
            <w:vAlign w:val="bottom"/>
          </w:tcPr>
          <w:p>
            <w:pPr>
              <w:pStyle w:val="style62"/>
              <w:tabs>
                <w:tab w:leader="none" w:pos="2120" w:val="right"/>
                <w:tab w:leader="none" w:pos="2237" w:val="decimal"/>
              </w:tabs>
              <w:spacing w:after="280" w:before="280"/>
              <w:contextualSpacing w:val="false"/>
              <w:rPr>
                <w:rFonts w:ascii="Arial" w:cs="Arial" w:hAnsi="Arial"/>
                <w:sz w:val="20"/>
                <w:szCs w:val="20"/>
              </w:rPr>
            </w:pPr>
            <w:r>
              <w:rPr>
                <w:rFonts w:ascii="Arial" w:cs="Arial" w:hAnsi="Arial"/>
                <w:sz w:val="20"/>
                <w:szCs w:val="20"/>
              </w:rPr>
              <w:tab/>
              <w:t>June 14, 2012</w:t>
              <w:tab/>
            </w:r>
          </w:p>
        </w:tc>
      </w:tr>
      <w:tr>
        <w:trPr>
          <w:cantSplit w:val="false"/>
        </w:trPr>
        <w:tc>
          <w:tcPr>
            <w:tcW w:type="dxa" w:w="36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June 13, 2012</w:t>
            </w:r>
          </w:p>
        </w:tc>
        <w:tc>
          <w:tcPr>
            <w:tcW w:type="dxa" w:w="114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46" w:right="0"/>
              <w:contextualSpacing w:val="false"/>
              <w:rPr>
                <w:rFonts w:ascii="Arial" w:cs="Arial" w:hAnsi="Arial"/>
                <w:sz w:val="20"/>
                <w:szCs w:val="20"/>
              </w:rPr>
            </w:pPr>
            <w:r>
              <w:rPr>
                <w:rFonts w:ascii="Arial" w:cs="Arial" w:hAnsi="Arial"/>
                <w:sz w:val="20"/>
                <w:szCs w:val="20"/>
              </w:rPr>
              <w:t>$</w:t>
              <w:tab/>
              <w:t>0.20</w:t>
              <w:tab/>
            </w:r>
          </w:p>
        </w:tc>
        <w:tc>
          <w:tcPr>
            <w:tcW w:type="dxa" w:w="2259"/>
            <w:tcBorders>
              <w:top w:val="nil"/>
              <w:left w:val="nil"/>
              <w:bottom w:val="nil"/>
              <w:right w:val="nil"/>
            </w:tcBorders>
            <w:shd w:fill="auto" w:val="clear"/>
            <w:tcMar>
              <w:left w:type="dxa" w:w="144"/>
            </w:tcMar>
            <w:vAlign w:val="bottom"/>
          </w:tcPr>
          <w:p>
            <w:pPr>
              <w:pStyle w:val="style62"/>
              <w:tabs>
                <w:tab w:leader="none" w:pos="2060" w:val="right"/>
                <w:tab w:leader="none" w:pos="2100" w:val="decimal"/>
              </w:tabs>
              <w:spacing w:after="280" w:before="280"/>
              <w:contextualSpacing w:val="false"/>
              <w:rPr>
                <w:rFonts w:ascii="Arial" w:cs="Arial" w:hAnsi="Arial"/>
                <w:sz w:val="20"/>
                <w:szCs w:val="20"/>
              </w:rPr>
            </w:pPr>
            <w:r>
              <w:rPr>
                <w:rFonts w:ascii="Arial" w:cs="Arial" w:hAnsi="Arial"/>
                <w:sz w:val="20"/>
                <w:szCs w:val="20"/>
              </w:rPr>
              <w:tab/>
              <w:t>August 16, 2012</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47" w:right="0"/>
              <w:contextualSpacing w:val="false"/>
              <w:rPr>
                <w:rFonts w:ascii="Arial" w:cs="Arial" w:hAnsi="Arial"/>
                <w:sz w:val="20"/>
                <w:szCs w:val="20"/>
              </w:rPr>
            </w:pPr>
            <w:r>
              <w:rPr>
                <w:rFonts w:ascii="Arial" w:cs="Arial" w:hAnsi="Arial"/>
                <w:sz w:val="20"/>
                <w:szCs w:val="20"/>
              </w:rPr>
              <w:t>$</w:t>
              <w:tab/>
              <w:t>1,676</w:t>
              <w:tab/>
            </w:r>
          </w:p>
        </w:tc>
        <w:tc>
          <w:tcPr>
            <w:tcW w:type="dxa" w:w="2266"/>
            <w:tcBorders>
              <w:top w:val="nil"/>
              <w:left w:val="nil"/>
              <w:bottom w:val="nil"/>
              <w:right w:val="nil"/>
            </w:tcBorders>
            <w:shd w:fill="auto" w:val="clear"/>
            <w:tcMar>
              <w:left w:type="dxa" w:w="144"/>
            </w:tcMar>
            <w:vAlign w:val="bottom"/>
          </w:tcPr>
          <w:p>
            <w:pPr>
              <w:pStyle w:val="style62"/>
              <w:tabs>
                <w:tab w:leader="none" w:pos="2120" w:val="right"/>
                <w:tab w:leader="none" w:pos="2237" w:val="decimal"/>
              </w:tabs>
              <w:spacing w:after="280" w:before="280"/>
              <w:contextualSpacing w:val="false"/>
              <w:rPr>
                <w:rFonts w:ascii="Arial" w:cs="Arial" w:hAnsi="Arial"/>
                <w:sz w:val="20"/>
                <w:szCs w:val="20"/>
              </w:rPr>
            </w:pPr>
            <w:r>
              <w:rPr>
                <w:rFonts w:ascii="Arial" w:cs="Arial" w:hAnsi="Arial"/>
                <w:sz w:val="20"/>
                <w:szCs w:val="20"/>
              </w:rPr>
              <w:tab/>
              <w:t>September 13, 2012</w:t>
              <w:tab/>
            </w:r>
          </w:p>
        </w:tc>
      </w:tr>
    </w:tbl>
    <w:p>
      <w:pPr>
        <w:pStyle w:val="style59"/>
        <w:pBdr>
          <w:top w:color="000001" w:space="0" w:sz="4" w:val="single"/>
          <w:left w:val="nil"/>
          <w:bottom w:val="nil"/>
          <w:insideH w:val="nil"/>
          <w:right w:val="nil"/>
          <w:insideV w:val="nil"/>
        </w:pBdr>
        <w:rPr/>
      </w:pPr>
      <w:r>
        <w:rPr/>
        <w:t> </w:t>
      </w:r>
    </w:p>
    <w:p>
      <w:pPr>
        <w:pStyle w:val="style59"/>
        <w:pBdr>
          <w:top w:color="000001" w:space="0" w:sz="4" w:val="single"/>
          <w:left w:val="nil"/>
          <w:bottom w:val="nil"/>
          <w:insideH w:val="nil"/>
          <w:right w:val="nil"/>
          <w:insideV w:val="nil"/>
        </w:pBdr>
        <w:rPr>
          <w:sz w:val="24"/>
          <w:szCs w:val="24"/>
        </w:rPr>
      </w:pPr>
      <w:r>
        <w:rPr>
          <w:sz w:val="24"/>
          <w:szCs w:val="24"/>
        </w:rPr>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dividend declared on June 13, 2012 was included in other current liabilities as of June 30, 2012. </w:t>
      </w:r>
    </w:p>
    <w:p>
      <w:pPr>
        <w:pStyle w:val="style62"/>
        <w:pageBreakBefore/>
        <w:spacing w:after="280" w:before="280"/>
        <w:contextualSpacing w:val="false"/>
        <w:jc w:val="center"/>
        <w:rPr>
          <w:rFonts w:ascii="Arial" w:cs="Arial" w:hAnsi="Arial"/>
          <w:sz w:val="20"/>
          <w:szCs w:val="20"/>
          <w:u w:val="single"/>
        </w:rPr>
      </w:pPr>
      <w:r>
        <w:rPr>
          <w:rFonts w:ascii="Arial" w:cs="Arial" w:hAnsi="Arial"/>
          <w:sz w:val="20"/>
          <w:szCs w:val="20"/>
          <w:u w:val="single"/>
        </w:rPr>
        <w:t>STOCK PERFORMANCE</w:t>
      </w:r>
    </w:p>
    <w:p>
      <w:pPr>
        <w:pStyle w:val="style62"/>
        <w:keepNext/>
        <w:spacing w:after="280" w:before="280"/>
        <w:contextualSpacing w:val="false"/>
        <w:jc w:val="center"/>
        <w:rPr>
          <w:rFonts w:ascii="Arial" w:cs="Arial" w:hAnsi="Arial"/>
          <w:b/>
          <w:bCs/>
          <w:sz w:val="20"/>
          <w:szCs w:val="20"/>
        </w:rPr>
      </w:pPr>
      <w:r>
        <w:rPr>
          <w:rFonts w:ascii="Arial" w:cs="Arial" w:hAnsi="Arial"/>
          <w:b/>
          <w:bCs/>
          <w:sz w:val="20"/>
          <w:szCs w:val="20"/>
        </w:rPr>
        <w:t xml:space="preserve">COMPARISON OF 5 YEAR CUMULATIVE TOTAL RETURN* </w:t>
      </w:r>
    </w:p>
    <w:p>
      <w:pPr>
        <w:pStyle w:val="style62"/>
        <w:spacing w:after="280" w:before="280"/>
        <w:contextualSpacing w:val="false"/>
        <w:jc w:val="center"/>
        <w:rPr>
          <w:rFonts w:ascii="Arial" w:cs="Arial" w:hAnsi="Arial"/>
          <w:sz w:val="20"/>
          <w:szCs w:val="20"/>
        </w:rPr>
      </w:pPr>
      <w:r>
        <w:rPr>
          <w:rFonts w:ascii="Arial" w:cs="Arial" w:hAnsi="Arial"/>
          <w:sz w:val="20"/>
          <w:szCs w:val="20"/>
        </w:rPr>
        <w:t xml:space="preserve">Among Microsoft Corporation, the S&amp;P 500 Index, </w:t>
      </w:r>
    </w:p>
    <w:p>
      <w:pPr>
        <w:pStyle w:val="style62"/>
        <w:spacing w:after="280" w:before="280"/>
        <w:contextualSpacing w:val="false"/>
        <w:jc w:val="center"/>
        <w:rPr>
          <w:rFonts w:ascii="Arial" w:cs="Arial" w:hAnsi="Arial"/>
          <w:sz w:val="20"/>
          <w:szCs w:val="20"/>
        </w:rPr>
      </w:pPr>
      <w:r>
        <w:rPr>
          <w:rFonts w:ascii="Arial" w:cs="Arial" w:hAnsi="Arial"/>
          <w:sz w:val="20"/>
          <w:szCs w:val="20"/>
        </w:rPr>
        <w:t xml:space="preserve">and the NASDAQ Computer Index </w:t>
      </w:r>
    </w:p>
    <w:p>
      <w:pPr>
        <w:pStyle w:val="style62"/>
        <w:keepNext/>
        <w:spacing w:after="280" w:before="280"/>
        <w:contextualSpacing w:val="false"/>
        <w:jc w:val="both"/>
        <w:rPr>
          <w:sz w:val="18"/>
          <w:szCs w:val="18"/>
        </w:rPr>
      </w:pPr>
      <w:r>
        <w:rPr>
          <w:sz w:val="18"/>
          <w:szCs w:val="18"/>
        </w:rPr>
        <w:t> </w:t>
      </w:r>
    </w:p>
    <w:p>
      <w:pPr>
        <w:pStyle w:val="style62"/>
        <w:keepNext/>
        <w:spacing w:after="280" w:before="280"/>
        <w:contextualSpacing w:val="false"/>
        <w:jc w:val="center"/>
        <w:rPr/>
      </w:pPr>
      <w:r>
        <w:rPr/>
        <w:drawing>
          <wp:inline distB="0" distL="0" distR="0" distT="0">
            <wp:extent cx="5295900" cy="2324100"/>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13"/>
                    <a:srcRect/>
                    <a:stretch>
                      <a:fillRect/>
                    </a:stretch>
                  </pic:blipFill>
                  <pic:spPr bwMode="auto">
                    <a:xfrm>
                      <a:off x="0" y="0"/>
                      <a:ext cx="5295900" cy="2324100"/>
                    </a:xfrm>
                    <a:prstGeom prst="rect">
                      <a:avLst/>
                    </a:prstGeom>
                    <a:noFill/>
                    <a:ln w="9525">
                      <a:noFill/>
                      <a:miter lim="800000"/>
                      <a:headEnd/>
                      <a:tailEnd/>
                    </a:ln>
                  </pic:spPr>
                </pic:pic>
              </a:graphicData>
            </a:graphic>
          </wp:inline>
        </w:drawing>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2414"/>
        <w:gridCol w:w="1004"/>
        <w:gridCol w:w="883"/>
        <w:gridCol w:w="883"/>
        <w:gridCol w:w="1003"/>
        <w:gridCol w:w="1004"/>
        <w:gridCol w:w="1007"/>
      </w:tblGrid>
      <w:tr>
        <w:trPr>
          <w:tblHeader w:val="true"/>
          <w:cantSplit w:val="false"/>
        </w:trPr>
        <w:tc>
          <w:tcPr>
            <w:tcW w:type="dxa" w:w="2414"/>
            <w:tcBorders>
              <w:top w:val="nil"/>
              <w:left w:val="nil"/>
              <w:bottom w:val="nil"/>
              <w:right w:val="nil"/>
            </w:tcBorders>
            <w:shd w:fill="auto" w:val="clear"/>
            <w:vAlign w:val="center"/>
          </w:tcPr>
          <w:p>
            <w:pPr>
              <w:pStyle w:val="style0"/>
              <w:rPr>
                <w:sz w:val="1"/>
                <w:szCs w:val="24"/>
              </w:rPr>
            </w:pPr>
            <w:r>
              <w:rPr>
                <w:sz w:val="1"/>
                <w:szCs w:val="24"/>
              </w:rPr>
            </w:r>
          </w:p>
        </w:tc>
        <w:tc>
          <w:tcPr>
            <w:tcW w:type="dxa" w:w="1004"/>
            <w:tcBorders>
              <w:top w:val="nil"/>
              <w:left w:val="nil"/>
              <w:bottom w:val="nil"/>
              <w:right w:val="nil"/>
            </w:tcBorders>
            <w:shd w:fill="auto" w:val="clear"/>
            <w:vAlign w:val="center"/>
          </w:tcPr>
          <w:p>
            <w:pPr>
              <w:pStyle w:val="style0"/>
              <w:rPr>
                <w:sz w:val="1"/>
                <w:szCs w:val="24"/>
              </w:rPr>
            </w:pPr>
            <w:r>
              <w:rPr>
                <w:sz w:val="1"/>
                <w:szCs w:val="24"/>
              </w:rPr>
            </w:r>
          </w:p>
        </w:tc>
        <w:tc>
          <w:tcPr>
            <w:tcW w:type="dxa" w:w="883"/>
            <w:tcBorders>
              <w:top w:val="nil"/>
              <w:left w:val="nil"/>
              <w:bottom w:val="nil"/>
              <w:right w:val="nil"/>
            </w:tcBorders>
            <w:shd w:fill="auto" w:val="clear"/>
            <w:vAlign w:val="center"/>
          </w:tcPr>
          <w:p>
            <w:pPr>
              <w:pStyle w:val="style0"/>
              <w:ind w:hanging="0" w:left="0" w:right="43"/>
              <w:rPr>
                <w:sz w:val="1"/>
                <w:szCs w:val="24"/>
              </w:rPr>
            </w:pPr>
            <w:r>
              <w:rPr>
                <w:sz w:val="1"/>
                <w:szCs w:val="24"/>
              </w:rPr>
            </w:r>
          </w:p>
        </w:tc>
        <w:tc>
          <w:tcPr>
            <w:tcW w:type="dxa" w:w="883"/>
            <w:tcBorders>
              <w:top w:val="nil"/>
              <w:left w:val="nil"/>
              <w:bottom w:val="nil"/>
              <w:right w:val="nil"/>
            </w:tcBorders>
            <w:shd w:fill="auto" w:val="clear"/>
            <w:vAlign w:val="center"/>
          </w:tcPr>
          <w:p>
            <w:pPr>
              <w:pStyle w:val="style0"/>
              <w:ind w:hanging="0" w:left="0" w:right="43"/>
              <w:rPr>
                <w:sz w:val="1"/>
                <w:szCs w:val="24"/>
              </w:rPr>
            </w:pPr>
            <w:r>
              <w:rPr>
                <w:sz w:val="1"/>
                <w:szCs w:val="24"/>
              </w:rPr>
            </w:r>
          </w:p>
        </w:tc>
        <w:tc>
          <w:tcPr>
            <w:tcW w:type="dxa" w:w="1003"/>
            <w:tcBorders>
              <w:top w:val="nil"/>
              <w:left w:val="nil"/>
              <w:bottom w:val="nil"/>
              <w:right w:val="nil"/>
            </w:tcBorders>
            <w:shd w:fill="auto" w:val="clear"/>
            <w:vAlign w:val="center"/>
          </w:tcPr>
          <w:p>
            <w:pPr>
              <w:pStyle w:val="style0"/>
              <w:ind w:hanging="0" w:left="0" w:right="43"/>
              <w:rPr>
                <w:sz w:val="1"/>
                <w:szCs w:val="24"/>
              </w:rPr>
            </w:pPr>
            <w:r>
              <w:rPr>
                <w:sz w:val="1"/>
                <w:szCs w:val="24"/>
              </w:rPr>
            </w:r>
          </w:p>
        </w:tc>
        <w:tc>
          <w:tcPr>
            <w:tcW w:type="dxa" w:w="1004"/>
            <w:tcBorders>
              <w:top w:val="nil"/>
              <w:left w:val="nil"/>
              <w:bottom w:val="nil"/>
              <w:right w:val="nil"/>
            </w:tcBorders>
            <w:shd w:fill="auto" w:val="clear"/>
            <w:vAlign w:val="center"/>
          </w:tcPr>
          <w:p>
            <w:pPr>
              <w:pStyle w:val="style0"/>
              <w:ind w:hanging="0" w:left="0" w:right="43"/>
              <w:rPr>
                <w:sz w:val="1"/>
                <w:szCs w:val="24"/>
              </w:rPr>
            </w:pPr>
            <w:r>
              <w:rPr>
                <w:sz w:val="1"/>
                <w:szCs w:val="24"/>
              </w:rPr>
            </w:r>
          </w:p>
        </w:tc>
        <w:tc>
          <w:tcPr>
            <w:tcW w:type="dxa" w:w="1007"/>
            <w:tcBorders>
              <w:top w:val="nil"/>
              <w:left w:val="nil"/>
              <w:bottom w:val="nil"/>
              <w:right w:val="nil"/>
            </w:tcBorders>
            <w:shd w:fill="auto" w:val="clear"/>
            <w:vAlign w:val="center"/>
          </w:tcPr>
          <w:p>
            <w:pPr>
              <w:pStyle w:val="style0"/>
              <w:ind w:hanging="0" w:left="0" w:right="43"/>
              <w:rPr>
                <w:sz w:val="1"/>
                <w:szCs w:val="24"/>
              </w:rPr>
            </w:pPr>
            <w:r>
              <w:rPr>
                <w:sz w:val="1"/>
                <w:szCs w:val="24"/>
              </w:rPr>
            </w:r>
          </w:p>
        </w:tc>
      </w:tr>
      <w:tr>
        <w:trPr>
          <w:tblHeader w:val="true"/>
          <w:cantSplit w:val="false"/>
        </w:trPr>
        <w:tc>
          <w:tcPr>
            <w:tcW w:type="dxa" w:w="2414"/>
            <w:tcBorders>
              <w:top w:val="nil"/>
              <w:left w:val="nil"/>
              <w:bottom w:val="nil"/>
              <w:right w:val="nil"/>
            </w:tcBorders>
            <w:shd w:fill="auto" w:val="clear"/>
            <w:tcMar>
              <w:left w:type="dxa" w:w="144"/>
            </w:tcMar>
            <w:vAlign w:val="bottom"/>
          </w:tcPr>
          <w:p>
            <w:pPr>
              <w:pStyle w:val="style65"/>
              <w:keepNext/>
              <w:rPr/>
            </w:pPr>
            <w:r>
              <w:rPr/>
              <w:t> </w:t>
            </w:r>
          </w:p>
        </w:tc>
        <w:tc>
          <w:tcPr>
            <w:tcW w:type="dxa" w:w="1004"/>
            <w:tcBorders>
              <w:top w:val="nil"/>
              <w:left w:val="nil"/>
              <w:bottom w:val="nil"/>
              <w:right w:val="nil"/>
            </w:tcBorders>
            <w:shd w:fill="auto" w:val="clear"/>
            <w:tcMar>
              <w:left w:type="dxa" w:w="144"/>
            </w:tcMar>
            <w:vAlign w:val="bottom"/>
          </w:tcPr>
          <w:p>
            <w:pPr>
              <w:pStyle w:val="style0"/>
              <w:ind w:hanging="0" w:left="259" w:right="86"/>
              <w:jc w:val="center"/>
              <w:rPr/>
            </w:pPr>
            <w:r>
              <w:rPr>
                <w:rFonts w:ascii="Arial" w:cs="Arial" w:hAnsi="Arial"/>
                <w:b/>
                <w:bCs/>
                <w:sz w:val="15"/>
                <w:szCs w:val="15"/>
              </w:rPr>
              <w:t>6/08</w:t>
            </w:r>
            <w:r>
              <w:rPr/>
              <w:t xml:space="preserve"> </w:t>
            </w:r>
          </w:p>
          <w:p>
            <w:pPr>
              <w:pStyle w:val="style59"/>
              <w:ind w:hanging="0" w:left="259" w:right="86"/>
              <w:rPr/>
            </w:pPr>
            <w:r>
              <w:rPr/>
              <w:t> </w:t>
            </w:r>
          </w:p>
        </w:tc>
        <w:tc>
          <w:tcPr>
            <w:tcW w:type="dxa" w:w="883"/>
            <w:tcBorders>
              <w:top w:val="nil"/>
              <w:left w:val="nil"/>
              <w:bottom w:val="nil"/>
              <w:right w:val="nil"/>
            </w:tcBorders>
            <w:shd w:fill="auto" w:val="clear"/>
            <w:tcMar>
              <w:left w:type="dxa" w:w="144"/>
            </w:tcMar>
            <w:vAlign w:val="bottom"/>
          </w:tcPr>
          <w:p>
            <w:pPr>
              <w:pStyle w:val="style0"/>
              <w:ind w:hanging="0" w:left="245" w:right="58"/>
              <w:jc w:val="center"/>
              <w:rPr/>
            </w:pPr>
            <w:r>
              <w:rPr>
                <w:rFonts w:ascii="Arial" w:cs="Arial" w:hAnsi="Arial"/>
                <w:b/>
                <w:bCs/>
                <w:sz w:val="15"/>
                <w:szCs w:val="15"/>
              </w:rPr>
              <w:t>6/09</w:t>
            </w:r>
            <w:r>
              <w:rPr/>
              <w:t xml:space="preserve"> </w:t>
            </w:r>
          </w:p>
          <w:p>
            <w:pPr>
              <w:pStyle w:val="style59"/>
              <w:ind w:hanging="0" w:left="245" w:right="58"/>
              <w:rPr/>
            </w:pPr>
            <w:r>
              <w:rPr/>
              <w:t> </w:t>
            </w:r>
          </w:p>
        </w:tc>
        <w:tc>
          <w:tcPr>
            <w:tcW w:type="dxa" w:w="883"/>
            <w:tcBorders>
              <w:top w:val="nil"/>
              <w:left w:val="nil"/>
              <w:bottom w:val="nil"/>
              <w:right w:val="nil"/>
            </w:tcBorders>
            <w:shd w:fill="auto" w:val="clear"/>
            <w:tcMar>
              <w:left w:type="dxa" w:w="144"/>
            </w:tcMar>
            <w:vAlign w:val="bottom"/>
          </w:tcPr>
          <w:p>
            <w:pPr>
              <w:pStyle w:val="style0"/>
              <w:ind w:hanging="0" w:left="245" w:right="58"/>
              <w:jc w:val="center"/>
              <w:rPr/>
            </w:pPr>
            <w:r>
              <w:rPr>
                <w:rFonts w:ascii="Arial" w:cs="Arial" w:hAnsi="Arial"/>
                <w:b/>
                <w:bCs/>
                <w:sz w:val="15"/>
                <w:szCs w:val="15"/>
              </w:rPr>
              <w:t>6/10</w:t>
            </w:r>
            <w:r>
              <w:rPr/>
              <w:t xml:space="preserve"> </w:t>
            </w:r>
          </w:p>
          <w:p>
            <w:pPr>
              <w:pStyle w:val="style59"/>
              <w:ind w:hanging="0" w:left="245" w:right="58"/>
              <w:rPr/>
            </w:pPr>
            <w:r>
              <w:rPr/>
              <w:t> </w:t>
            </w:r>
          </w:p>
        </w:tc>
        <w:tc>
          <w:tcPr>
            <w:tcW w:type="dxa" w:w="1003"/>
            <w:tcBorders>
              <w:top w:val="nil"/>
              <w:left w:val="nil"/>
              <w:bottom w:val="nil"/>
              <w:right w:val="nil"/>
            </w:tcBorders>
            <w:shd w:fill="auto" w:val="clear"/>
            <w:tcMar>
              <w:left w:type="dxa" w:w="144"/>
            </w:tcMar>
            <w:vAlign w:val="bottom"/>
          </w:tcPr>
          <w:p>
            <w:pPr>
              <w:pStyle w:val="style0"/>
              <w:ind w:hanging="0" w:left="259" w:right="72"/>
              <w:jc w:val="center"/>
              <w:rPr/>
            </w:pPr>
            <w:r>
              <w:rPr>
                <w:rFonts w:ascii="Arial" w:cs="Arial" w:hAnsi="Arial"/>
                <w:b/>
                <w:bCs/>
                <w:sz w:val="15"/>
                <w:szCs w:val="15"/>
              </w:rPr>
              <w:t>6/11</w:t>
            </w:r>
            <w:r>
              <w:rPr/>
              <w:t xml:space="preserve"> </w:t>
            </w:r>
          </w:p>
          <w:p>
            <w:pPr>
              <w:pStyle w:val="style59"/>
              <w:ind w:hanging="0" w:left="259" w:right="72"/>
              <w:rPr/>
            </w:pPr>
            <w:r>
              <w:rPr/>
              <w:t> </w:t>
            </w:r>
          </w:p>
        </w:tc>
        <w:tc>
          <w:tcPr>
            <w:tcW w:type="dxa" w:w="1004"/>
            <w:tcBorders>
              <w:top w:val="nil"/>
              <w:left w:val="nil"/>
              <w:bottom w:val="nil"/>
              <w:right w:val="nil"/>
            </w:tcBorders>
            <w:shd w:fill="auto" w:val="clear"/>
            <w:tcMar>
              <w:left w:type="dxa" w:w="144"/>
            </w:tcMar>
            <w:vAlign w:val="bottom"/>
          </w:tcPr>
          <w:p>
            <w:pPr>
              <w:pStyle w:val="style0"/>
              <w:ind w:hanging="0" w:left="259" w:right="58"/>
              <w:jc w:val="center"/>
              <w:rPr/>
            </w:pPr>
            <w:r>
              <w:rPr>
                <w:rFonts w:ascii="Arial" w:cs="Arial" w:hAnsi="Arial"/>
                <w:b/>
                <w:bCs/>
                <w:sz w:val="15"/>
                <w:szCs w:val="15"/>
              </w:rPr>
              <w:t>6/12</w:t>
            </w:r>
            <w:r>
              <w:rPr/>
              <w:t xml:space="preserve"> </w:t>
            </w:r>
          </w:p>
          <w:p>
            <w:pPr>
              <w:pStyle w:val="style59"/>
              <w:ind w:hanging="0" w:left="259" w:right="58"/>
              <w:rPr/>
            </w:pPr>
            <w:r>
              <w:rPr/>
              <w:t> </w:t>
            </w:r>
          </w:p>
        </w:tc>
        <w:tc>
          <w:tcPr>
            <w:tcW w:type="dxa" w:w="1007"/>
            <w:tcBorders>
              <w:top w:val="nil"/>
              <w:left w:val="nil"/>
              <w:bottom w:val="nil"/>
              <w:right w:val="nil"/>
            </w:tcBorders>
            <w:shd w:fill="auto" w:val="clear"/>
            <w:tcMar>
              <w:left w:type="dxa" w:w="144"/>
            </w:tcMar>
            <w:vAlign w:val="bottom"/>
          </w:tcPr>
          <w:p>
            <w:pPr>
              <w:pStyle w:val="style0"/>
              <w:ind w:hanging="0" w:left="259" w:right="72"/>
              <w:jc w:val="center"/>
              <w:rPr/>
            </w:pPr>
            <w:r>
              <w:rPr>
                <w:rFonts w:ascii="Arial" w:cs="Arial" w:hAnsi="Arial"/>
                <w:b/>
                <w:bCs/>
                <w:sz w:val="15"/>
                <w:szCs w:val="15"/>
              </w:rPr>
              <w:t>6/13</w:t>
            </w:r>
            <w:r>
              <w:rPr/>
              <w:t xml:space="preserve"> </w:t>
            </w:r>
          </w:p>
          <w:p>
            <w:pPr>
              <w:pStyle w:val="style59"/>
              <w:ind w:hanging="0" w:left="259" w:right="72"/>
              <w:rPr/>
            </w:pPr>
            <w:r>
              <w:rPr/>
              <w:t> </w:t>
            </w:r>
          </w:p>
        </w:tc>
      </w:tr>
      <w:tr>
        <w:trPr>
          <w:cantSplit w:val="false"/>
        </w:trPr>
        <w:tc>
          <w:tcPr>
            <w:tcW w:type="dxa" w:w="2414"/>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Microsoft Corporation</w:t>
            </w:r>
          </w:p>
        </w:tc>
        <w:tc>
          <w:tcPr>
            <w:tcW w:type="dxa" w:w="1004"/>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100.00</w:t>
              <w:tab/>
            </w:r>
          </w:p>
        </w:tc>
        <w:tc>
          <w:tcPr>
            <w:tcW w:type="dxa" w:w="883"/>
            <w:tcBorders>
              <w:top w:val="nil"/>
              <w:left w:val="nil"/>
              <w:bottom w:val="nil"/>
              <w:right w:val="nil"/>
            </w:tcBorders>
            <w:shd w:fill="auto" w:val="clear"/>
            <w:tcMar>
              <w:left w:type="dxa" w:w="144"/>
            </w:tcMar>
            <w:vAlign w:val="bottom"/>
          </w:tcPr>
          <w:p>
            <w:pPr>
              <w:pStyle w:val="style62"/>
              <w:tabs>
                <w:tab w:leader="none" w:pos="700" w:val="right"/>
                <w:tab w:leader="none" w:pos="740" w:val="decimal"/>
              </w:tabs>
              <w:spacing w:after="280" w:before="280"/>
              <w:ind w:hanging="0" w:left="216" w:right="86"/>
              <w:contextualSpacing w:val="false"/>
              <w:rPr>
                <w:rFonts w:ascii="Arial" w:cs="Arial" w:hAnsi="Arial"/>
                <w:sz w:val="20"/>
                <w:szCs w:val="20"/>
              </w:rPr>
            </w:pPr>
            <w:r>
              <w:rPr>
                <w:rFonts w:ascii="Arial" w:cs="Arial" w:hAnsi="Arial"/>
                <w:sz w:val="20"/>
                <w:szCs w:val="20"/>
              </w:rPr>
              <w:tab/>
              <w:t>88.52</w:t>
              <w:tab/>
            </w:r>
          </w:p>
        </w:tc>
        <w:tc>
          <w:tcPr>
            <w:tcW w:type="dxa" w:w="883"/>
            <w:tcBorders>
              <w:top w:val="nil"/>
              <w:left w:val="nil"/>
              <w:bottom w:val="nil"/>
              <w:right w:val="nil"/>
            </w:tcBorders>
            <w:shd w:fill="auto" w:val="clear"/>
            <w:tcMar>
              <w:left w:type="dxa" w:w="144"/>
            </w:tcMar>
            <w:vAlign w:val="bottom"/>
          </w:tcPr>
          <w:p>
            <w:pPr>
              <w:pStyle w:val="style62"/>
              <w:tabs>
                <w:tab w:leader="none" w:pos="700" w:val="right"/>
                <w:tab w:leader="none" w:pos="740" w:val="decimal"/>
              </w:tabs>
              <w:spacing w:after="280" w:before="280"/>
              <w:ind w:hanging="0" w:left="216" w:right="86"/>
              <w:contextualSpacing w:val="false"/>
              <w:rPr>
                <w:rFonts w:ascii="Arial" w:cs="Arial" w:hAnsi="Arial"/>
                <w:sz w:val="20"/>
                <w:szCs w:val="20"/>
              </w:rPr>
            </w:pPr>
            <w:r>
              <w:rPr>
                <w:rFonts w:ascii="Arial" w:cs="Arial" w:hAnsi="Arial"/>
                <w:sz w:val="20"/>
                <w:szCs w:val="20"/>
              </w:rPr>
              <w:tab/>
              <w:t>87.33</w:t>
              <w:tab/>
            </w:r>
          </w:p>
        </w:tc>
        <w:tc>
          <w:tcPr>
            <w:tcW w:type="dxa" w:w="100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101.05</w:t>
              <w:tab/>
            </w:r>
          </w:p>
        </w:tc>
        <w:tc>
          <w:tcPr>
            <w:tcW w:type="dxa" w:w="1004"/>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122.14</w:t>
              <w:tab/>
            </w:r>
          </w:p>
        </w:tc>
        <w:tc>
          <w:tcPr>
            <w:tcW w:type="dxa" w:w="1007"/>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142.14</w:t>
              <w:tab/>
            </w:r>
          </w:p>
        </w:tc>
      </w:tr>
      <w:tr>
        <w:trPr>
          <w:cantSplit w:val="false"/>
        </w:trPr>
        <w:tc>
          <w:tcPr>
            <w:tcW w:type="dxa" w:w="2414"/>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S&amp;P 500</w:t>
            </w:r>
          </w:p>
        </w:tc>
        <w:tc>
          <w:tcPr>
            <w:tcW w:type="dxa" w:w="1004"/>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100.00</w:t>
              <w:tab/>
            </w:r>
          </w:p>
        </w:tc>
        <w:tc>
          <w:tcPr>
            <w:tcW w:type="dxa" w:w="883"/>
            <w:tcBorders>
              <w:top w:val="nil"/>
              <w:left w:val="nil"/>
              <w:bottom w:val="nil"/>
              <w:right w:val="nil"/>
            </w:tcBorders>
            <w:shd w:fill="auto" w:val="clear"/>
            <w:tcMar>
              <w:left w:type="dxa" w:w="144"/>
            </w:tcMar>
            <w:vAlign w:val="bottom"/>
          </w:tcPr>
          <w:p>
            <w:pPr>
              <w:pStyle w:val="style62"/>
              <w:tabs>
                <w:tab w:leader="none" w:pos="700" w:val="right"/>
                <w:tab w:leader="none" w:pos="740" w:val="decimal"/>
              </w:tabs>
              <w:spacing w:after="280" w:before="280"/>
              <w:ind w:hanging="0" w:left="216" w:right="86"/>
              <w:contextualSpacing w:val="false"/>
              <w:rPr>
                <w:rFonts w:ascii="Arial" w:cs="Arial" w:hAnsi="Arial"/>
                <w:sz w:val="20"/>
                <w:szCs w:val="20"/>
              </w:rPr>
            </w:pPr>
            <w:r>
              <w:rPr>
                <w:rFonts w:ascii="Arial" w:cs="Arial" w:hAnsi="Arial"/>
                <w:sz w:val="20"/>
                <w:szCs w:val="20"/>
              </w:rPr>
              <w:tab/>
              <w:t>73.79</w:t>
              <w:tab/>
            </w:r>
          </w:p>
        </w:tc>
        <w:tc>
          <w:tcPr>
            <w:tcW w:type="dxa" w:w="883"/>
            <w:tcBorders>
              <w:top w:val="nil"/>
              <w:left w:val="nil"/>
              <w:bottom w:val="nil"/>
              <w:right w:val="nil"/>
            </w:tcBorders>
            <w:shd w:fill="auto" w:val="clear"/>
            <w:tcMar>
              <w:left w:type="dxa" w:w="144"/>
            </w:tcMar>
            <w:vAlign w:val="bottom"/>
          </w:tcPr>
          <w:p>
            <w:pPr>
              <w:pStyle w:val="style62"/>
              <w:tabs>
                <w:tab w:leader="none" w:pos="700" w:val="right"/>
                <w:tab w:leader="none" w:pos="740" w:val="decimal"/>
              </w:tabs>
              <w:spacing w:after="280" w:before="280"/>
              <w:ind w:hanging="0" w:left="216" w:right="86"/>
              <w:contextualSpacing w:val="false"/>
              <w:rPr>
                <w:rFonts w:ascii="Arial" w:cs="Arial" w:hAnsi="Arial"/>
                <w:sz w:val="20"/>
                <w:szCs w:val="20"/>
              </w:rPr>
            </w:pPr>
            <w:r>
              <w:rPr>
                <w:rFonts w:ascii="Arial" w:cs="Arial" w:hAnsi="Arial"/>
                <w:sz w:val="20"/>
                <w:szCs w:val="20"/>
              </w:rPr>
              <w:tab/>
              <w:t>84.43</w:t>
              <w:tab/>
            </w:r>
          </w:p>
        </w:tc>
        <w:tc>
          <w:tcPr>
            <w:tcW w:type="dxa" w:w="100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110.35</w:t>
              <w:tab/>
            </w:r>
          </w:p>
        </w:tc>
        <w:tc>
          <w:tcPr>
            <w:tcW w:type="dxa" w:w="1004"/>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116.36</w:t>
              <w:tab/>
            </w:r>
          </w:p>
        </w:tc>
        <w:tc>
          <w:tcPr>
            <w:tcW w:type="dxa" w:w="1007"/>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140.32</w:t>
              <w:tab/>
            </w:r>
          </w:p>
        </w:tc>
      </w:tr>
      <w:tr>
        <w:trPr>
          <w:cantSplit w:val="false"/>
        </w:trPr>
        <w:tc>
          <w:tcPr>
            <w:tcW w:type="dxa" w:w="2414"/>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NASDAQ Computer</w:t>
            </w:r>
          </w:p>
        </w:tc>
        <w:tc>
          <w:tcPr>
            <w:tcW w:type="dxa" w:w="1004"/>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100.00</w:t>
              <w:tab/>
            </w:r>
          </w:p>
        </w:tc>
        <w:tc>
          <w:tcPr>
            <w:tcW w:type="dxa" w:w="883"/>
            <w:tcBorders>
              <w:top w:val="nil"/>
              <w:left w:val="nil"/>
              <w:bottom w:val="nil"/>
              <w:right w:val="nil"/>
            </w:tcBorders>
            <w:shd w:fill="auto" w:val="clear"/>
            <w:tcMar>
              <w:left w:type="dxa" w:w="144"/>
            </w:tcMar>
            <w:vAlign w:val="bottom"/>
          </w:tcPr>
          <w:p>
            <w:pPr>
              <w:pStyle w:val="style62"/>
              <w:tabs>
                <w:tab w:leader="none" w:pos="700" w:val="right"/>
                <w:tab w:leader="none" w:pos="740" w:val="decimal"/>
              </w:tabs>
              <w:spacing w:after="280" w:before="280"/>
              <w:ind w:hanging="0" w:left="216" w:right="86"/>
              <w:contextualSpacing w:val="false"/>
              <w:rPr>
                <w:rFonts w:ascii="Arial" w:cs="Arial" w:hAnsi="Arial"/>
                <w:sz w:val="20"/>
                <w:szCs w:val="20"/>
              </w:rPr>
            </w:pPr>
            <w:r>
              <w:rPr>
                <w:rFonts w:ascii="Arial" w:cs="Arial" w:hAnsi="Arial"/>
                <w:sz w:val="20"/>
                <w:szCs w:val="20"/>
              </w:rPr>
              <w:tab/>
              <w:t>84.52</w:t>
              <w:tab/>
            </w:r>
          </w:p>
        </w:tc>
        <w:tc>
          <w:tcPr>
            <w:tcW w:type="dxa" w:w="883"/>
            <w:tcBorders>
              <w:top w:val="nil"/>
              <w:left w:val="nil"/>
              <w:bottom w:val="nil"/>
              <w:right w:val="nil"/>
            </w:tcBorders>
            <w:shd w:fill="auto" w:val="clear"/>
            <w:tcMar>
              <w:left w:type="dxa" w:w="144"/>
            </w:tcMar>
            <w:vAlign w:val="bottom"/>
          </w:tcPr>
          <w:p>
            <w:pPr>
              <w:pStyle w:val="style62"/>
              <w:tabs>
                <w:tab w:leader="none" w:pos="700" w:val="right"/>
                <w:tab w:leader="none" w:pos="740" w:val="decimal"/>
              </w:tabs>
              <w:spacing w:after="280" w:before="280"/>
              <w:ind w:hanging="0" w:left="216" w:right="86"/>
              <w:contextualSpacing w:val="false"/>
              <w:rPr>
                <w:rFonts w:ascii="Arial" w:cs="Arial" w:hAnsi="Arial"/>
                <w:sz w:val="20"/>
                <w:szCs w:val="20"/>
              </w:rPr>
            </w:pPr>
            <w:r>
              <w:rPr>
                <w:rFonts w:ascii="Arial" w:cs="Arial" w:hAnsi="Arial"/>
                <w:sz w:val="20"/>
                <w:szCs w:val="20"/>
              </w:rPr>
              <w:tab/>
              <w:t>99.07</w:t>
              <w:tab/>
            </w:r>
          </w:p>
        </w:tc>
        <w:tc>
          <w:tcPr>
            <w:tcW w:type="dxa" w:w="100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133.08</w:t>
              <w:tab/>
            </w:r>
          </w:p>
        </w:tc>
        <w:tc>
          <w:tcPr>
            <w:tcW w:type="dxa" w:w="1004"/>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151.51</w:t>
              <w:tab/>
            </w:r>
          </w:p>
        </w:tc>
        <w:tc>
          <w:tcPr>
            <w:tcW w:type="dxa" w:w="1007"/>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158.50</w:t>
              <w:tab/>
            </w:r>
          </w:p>
        </w:tc>
      </w:tr>
    </w:tbl>
    <w:p>
      <w:pPr>
        <w:pStyle w:val="style62"/>
        <w:spacing w:after="280" w:before="280"/>
        <w:ind w:hanging="245" w:left="244" w:right="0"/>
        <w:contextualSpacing w:val="false"/>
        <w:jc w:val="both"/>
        <w:rPr>
          <w:rFonts w:ascii="Arial" w:cs="Arial" w:hAnsi="Arial"/>
          <w:sz w:val="20"/>
          <w:szCs w:val="20"/>
        </w:rPr>
      </w:pPr>
      <w:r>
        <w:rPr>
          <w:rFonts w:ascii="Arial" w:cs="Arial" w:hAnsi="Arial"/>
          <w:sz w:val="20"/>
          <w:szCs w:val="20"/>
        </w:rPr>
        <w:t>*</w:t>
        <w:tab/>
        <w:t xml:space="preserve">$100 invested on 6/30/08 in stock or index, including reinvestment of dividends </w:t>
      </w:r>
    </w:p>
    <w:p>
      <w:pPr>
        <w:pStyle w:val="style62"/>
        <w:pageBreakBefore/>
        <w:spacing w:after="280" w:before="280"/>
        <w:contextualSpacing w:val="false"/>
        <w:jc w:val="center"/>
        <w:rPr>
          <w:rFonts w:ascii="Arial" w:cs="Arial" w:hAnsi="Arial"/>
          <w:b/>
          <w:bCs/>
          <w:sz w:val="20"/>
          <w:szCs w:val="20"/>
        </w:rPr>
      </w:pPr>
      <w:r>
        <w:rPr>
          <w:rFonts w:ascii="Arial" w:cs="Arial" w:hAnsi="Arial"/>
          <w:b/>
          <w:bCs/>
          <w:sz w:val="20"/>
          <w:szCs w:val="20"/>
        </w:rPr>
        <w:t>Note About Forward-Looking Statements</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Certain statements in this report, other than purely historical information, including estimates, projections, statements relating to our business plans, objectives, and expected operating results, and the assumptions upon which those statements are based, are “forward-looking statements” within the meaning of the Private Securities Litigation Reform Act of 1995, Section 27A of the Securities Act of 1933 and Section 21E of the Securities Exchange Act of 1934. Forward-looking statements may appear throughout this report, including without limitation, the following sections: “Business,” “Management’s Discussion and Analysis,” and “Risk Factors.”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which may cause actual results to differ materially from the forward-looking statements. A detailed discussion of risks and uncertainties that could cause actual results and events to differ materially from such forward-looking statements is included in the section titled “Risk Factors” in our fiscal year 2013 Form 10-K. We undertake no obligation to update or revise publicly any forward-looking statements, whether because of new information, future events, or otherwise. </w:t>
      </w:r>
    </w:p>
    <w:p>
      <w:pPr>
        <w:pStyle w:val="style62"/>
        <w:spacing w:after="280" w:before="280"/>
        <w:contextualSpacing w:val="false"/>
        <w:jc w:val="center"/>
        <w:rPr>
          <w:rFonts w:ascii="Arial" w:cs="Arial" w:hAnsi="Arial"/>
          <w:b/>
          <w:bCs/>
        </w:rPr>
      </w:pPr>
      <w:r>
        <w:rPr>
          <w:rFonts w:ascii="Arial" w:cs="Arial" w:hAnsi="Arial"/>
          <w:b/>
          <w:bCs/>
        </w:rPr>
        <w:t xml:space="preserve">BUSINESS DESCRIPTION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GENERAL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Microsoft was founded in 1975. Our mission is to enable people and businesses throughout the world to realize their full potential by creating technology that transforms the way people work, play, and communicate. We develop and market software, services, and hardware devices that deliver new opportunities, greater convenience, and enhanced value to people’s lives. We do business worldwide and have offices in more than 100 countries.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generate revenue by developing, licensing, and supporting a wide range of software products and services, by designing and selling hardware devices, and by delivering relevant online advertising to a global customer audience. In addition to selling individual products and services, we offer suites of products and services.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products include operating systems for computing devices, servers, phones, and other intelligent devices; server applications for distributed computing environments; productivity applications; business solution applications; desktop and server management tools; software development tools; video games; and online advertising. We also design and sell hardware devices including Surface RT and Surface Pro, the Xbox 360 gaming and entertainment console, Kinect for Xbox 360, Xbox 360 accessories, and Microsoft PC accessories.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offer cloud-based solutions that provide customers with software, services, and content over the Internet by way of shared computing resources located in centralized data centers. Examples of cloud-based computing services we offer include Microsoft Office 365, Microsoft Dynamics CRM Online, Windows Azure, Bing, Skype, Xbox LIVE, and Yammer. Cloud revenue is earned primarily from usage fees, advertising, and subscriptions. We also provide consulting and product and solution support services, and we train and certify computer system integrators and developers.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conduct research and develop advanced technologies for future software, hardware, and services. We believe that we will continue to grow and meet our customers’ needs by delivering a family of devices and services for individuals and businesses that empower people around the globe at home, at work, and on the go, for the activities they value most. We will continue to create new opportunities for partners, increase customer satisfaction, and improve our service excellence, business efficacy, and internal processes.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OPERATING SEGMENTS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During the periods presented, we operated our business in five segments: Windows Division, Server and Tools, Online Services Division, Microsoft Business Division, and Entertainment and Devices Division. Our segments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provide management with a comprehensive financial view of our key businesses. The segments enable the alignment of strategies and objectives across the development, sales, marketing, and services organizations, and they provide a framework for timely and rational allocation of development, sales, marketing, and services resources within businesses. Additional information on our operating segments and geographic and product information is contained in </w:t>
        <w:br/>
        <w:t xml:space="preserve">Note 21 – Segment Information and Geographic Data of the Notes to Financial Statements. In July 2013, we announced a change in organizational structure as part of our transformation to a devices and services company. As we evolve how we allocate resources and analyze performance in the new structure, it is possible that our segments may change.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Windows Division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Windows Division develops and markets operating systems for computing devices, related software and online services, Surface RT and Pro devices, and PC accessories. This collection of software, hardware, and services is designed to empower individuals, companies, and organizations and to simplify everyday tasks through seamless operations across the user’s hardware and software. Windows 8 is the first version of the Windows operating system that supports both x86 and ARM chip architectures and that focuses on touch. With this version, Windows is able to scale across more form factors, including mobile devices designed for consuming information and media, and devices that have high performance computing capabilities.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Windows Division revenue growth is impacted by growth of the computing device market worldwide. Currently, approximately 65% of total Windows Division revenue comes from Windows operating systems purchased by original equipment manufacturers (“OEMs”), which they pre-install on the devices they sell.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In addition to computing device market volume, Windows revenue is impacted by: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the proliferation of new computing devices that emphasize touch and mobility functionality;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device market changes driven by shifts between developed markets and emerging markets, and consumer devices and business devices;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attachment of Windows to devices shipped;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changes in inventory levels within the OEM channel;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pricing changes and promotions, pricing variation that occurs when the mix of devices manufactured shifts from local and regional system builders to large, multinational OEMs, and different pricing of Windows versions licensed;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demand of commercial customers for volume licensing and software assurance;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sales of packaged software; and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sales of Surface RT and Pro devices. </w:t>
      </w:r>
    </w:p>
    <w:p>
      <w:pPr>
        <w:pStyle w:val="style62"/>
        <w:spacing w:after="280" w:before="280"/>
        <w:ind w:hanging="0" w:left="489" w:right="0"/>
        <w:contextualSpacing w:val="false"/>
        <w:jc w:val="both"/>
        <w:rPr>
          <w:rFonts w:ascii="Arial" w:cs="Arial" w:hAnsi="Arial"/>
          <w:sz w:val="20"/>
          <w:szCs w:val="20"/>
        </w:rPr>
      </w:pPr>
      <w:r>
        <w:rPr>
          <w:rFonts w:ascii="Arial" w:cs="Arial" w:hAnsi="Arial"/>
          <w:b/>
          <w:bCs/>
          <w:i/>
          <w:iCs/>
          <w:sz w:val="20"/>
          <w:szCs w:val="20"/>
        </w:rPr>
        <w:t>Principal Products and Services</w:t>
      </w:r>
      <w:r>
        <w:rPr>
          <w:rFonts w:ascii="Arial" w:cs="Arial" w:hAnsi="Arial"/>
          <w:b/>
          <w:bCs/>
          <w:sz w:val="20"/>
          <w:szCs w:val="20"/>
        </w:rPr>
        <w:t>:</w:t>
      </w:r>
      <w:r>
        <w:rPr>
          <w:rFonts w:ascii="Arial" w:cs="Arial" w:hAnsi="Arial"/>
          <w:sz w:val="20"/>
          <w:szCs w:val="20"/>
        </w:rPr>
        <w:t xml:space="preserve">    Windows operating system; Windows Services suite of applications and web services, including Outlook.com and SkyDrive; Surface RT and Pro devices; and PC accessories.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general availability of Surface RT and Windows 8 started on October 26, 2012. The general availability of Surface Pro started on February 9, 2013. A preview of Windows 8.1 was released on June 26, 2013.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Competition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Windows operating system faces competition from various commercial software products and from alternative platforms and devices, mainly from Apple and Google. We believe Windows competes effectively by giving customers choice, value, flexibility, security, an easy-to-use interface, compatibility with a broad range of hardware and software applications, including those that enable productivity, and the largest support network for any operating system. The Windows 8 operating system includes the Windows Store, an online application marketplace. This marketplace benefits our developer and partner ecosystems by providing access to a large customer base and benefits Windows users by providing centralized access to certified applications.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Windows Services software and applications, including SkyDrive and Outlook.com, compete with similar software and service products from Apple, Google, Yahoo!, and a wide array of websites and portals that provide communication and sharing tools and services.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Surface Pro and RT devices and our PC accessories face competition from computer, tablet, and other hardware manufacturers, many of which are also current or potential partners and customers.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Server and Tools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Server and Tools develops and markets server software, software developer tools, cloud-based services, and solutions that are designed to make information technology professionals and developers and their systems more productive and efficient. We offer our customers both on-premise software and cloud-based offerings, bringing together the benefits of traditional on-site offerings with cloud-based services.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Server and Tools also builds standalone and software development lifecycle tools for software architects, developers, testers, and project managers. Server offerings can be run on-site, in a partner-hosted environment, or in a Microsoft-hosted environment.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cloud-based services comprise a scalable operating system with computing, storage, database, and management, along with comprehensive cloud solutions, from which customers can build, deploy, and manage enterprise workloads and web applications. These services also include a platform that helps developers build and connect applications and services in the cloud or on premise. Our goal is to enable customers to devote more resources to development and use of applications that benefit their businesses, rather than managing on-premises hardware and software.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Windows Embedded extends the power of Windows and the cloud to intelligent systems by delivering specialized operating systems, tools, and services. In addition, Server and Tools offers a broad range of enterprise consulting and product support services (“Enterprise Services”) that assist customers in developing, deploying, and managing Microsoft server and desktop solutions. Server and Tools also provides training and certification to developers and information technology professionals for our Server and Tools, Microsoft Business Division, and Windows Division products and services.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Approximately 80% of Server and Tools revenue comes from product revenue, including purchases through volume licensing programs, licenses sold to OEMs, and retail packaged product, while the remainder comes from Enterprise Services. </w:t>
      </w:r>
    </w:p>
    <w:p>
      <w:pPr>
        <w:pStyle w:val="style62"/>
        <w:spacing w:after="280" w:before="280"/>
        <w:ind w:hanging="0" w:left="489" w:right="0"/>
        <w:contextualSpacing w:val="false"/>
        <w:jc w:val="both"/>
        <w:rPr>
          <w:rFonts w:ascii="Arial" w:cs="Arial" w:hAnsi="Arial"/>
          <w:sz w:val="20"/>
          <w:szCs w:val="20"/>
        </w:rPr>
      </w:pPr>
      <w:r>
        <w:rPr>
          <w:rFonts w:ascii="Arial" w:cs="Arial" w:hAnsi="Arial"/>
          <w:b/>
          <w:bCs/>
          <w:i/>
          <w:iCs/>
          <w:sz w:val="20"/>
          <w:szCs w:val="20"/>
        </w:rPr>
        <w:t>Principal Products and Services</w:t>
      </w:r>
      <w:r>
        <w:rPr>
          <w:rFonts w:ascii="Arial" w:cs="Arial" w:hAnsi="Arial"/>
          <w:b/>
          <w:bCs/>
          <w:sz w:val="20"/>
          <w:szCs w:val="20"/>
        </w:rPr>
        <w:t>:</w:t>
      </w:r>
      <w:r>
        <w:rPr>
          <w:rFonts w:ascii="Arial" w:cs="Arial" w:hAnsi="Arial"/>
          <w:sz w:val="20"/>
          <w:szCs w:val="20"/>
        </w:rPr>
        <w:t xml:space="preserve">    Windows Server operating systems; Windows Azure; Microsoft SQL Server; Windows Intune; Windows Embedded; Visual Studio; System Center products; Microsoft Consulting Services; and Premier product support services.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Competition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server operating system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Nearly all computer manufacturers offer server hardware for the Linux operating system and many contribute to Linux operating system development. The competitive position of Linux has also benefited from the large number of compatible applications now produced by many commercial and non-commercial software developers. A number of companies, such as Red Hat, supply versions of Linux.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compete to provide enterprise-wide computing solutions and point solutions with numerous commercial software vendors that offer solutions and middleware technology platforms, software applications for connectivity (both Internet and intranet), security, hosting, database, and e-business servers. IBM and Oracle lead a group of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companies focused on the Java Platform Enterprise Edition that compete with our enterprise-wide computing solutions. Commercial competitors for our server applications for PC-based distributed client/server environments include CA Technologies, IBM, and Oracle. Our Web application platform software competes with open source software such as Apache, Linux, MySQL, and PHP. In middleware, we compete against Java middleware such as Geronimo, JBoss, and Spring Framework.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system management solutions compete with server management and server virtualization platform providers, such as BMC, CA Technologies, Hewlett-Packard, IBM, and VMware. Our database, business intelligence, and data warehousing solutions offerings compete with products from IBM, Oracle, SAP, and other companies. Our products for software developers compete against offerings from Adobe, IBM, Oracle, other companies, and open-source projects, including Eclipse (sponsored by CA Technologies, IBM, Oracle, and SAP), PHP, and Ruby on Rails, among others.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embedded systems compete in a highly fragmented environment in which key competitors include IBM, Intel, and versions of embeddable Linux from commercial Linux vendors such as Metrowerks and MontaVista Software.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cloud-based services face diverse competition from companies such as Amazon, Google, IBM, Oracle, Salesforce.com, VMware, and other open source offerings. The Enterprise Services business competes with a wide range of companies, including multinational consulting firms and small niche businesses focused on specific technologies.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believe our server products, cloud-based services, and Enterprise Services provide customers with advantages in performance, total costs of ownership, and productivity by delivering superior applications, development tools, compatibility with a broad base of hardware and software applications, security, and manageability.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Online Services Division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Online Services Division (“OSD”) develops and markets information and content designed to help people simplify tasks and make more informed decisions online, and help advertisers connect with audiences. OSD offerings include Bing, Bing Ads, and MSN. We are also the exclusive algorithmic and paid search platform for Yahoo! websites worldwide. We have completed the Yahoo! worldwide algorithmic transition and the paid search transition in the U.S. and several international markets, and are transitioning paid search in the remaining international markets. Bing and MSN generate revenue through the sale of search and display advertising, accounting for nearly all of OSD’s revenue. We have expanded Bing beyond a standalone consumer search engine, and have integrated the technology into other Microsoft products, including Windows 8, the new Office, Xbox 360, and Windows Phone, to enhance those offerings. We plan to continue to incorporate Bing into our product and service portfolio. </w:t>
      </w:r>
    </w:p>
    <w:p>
      <w:pPr>
        <w:pStyle w:val="style62"/>
        <w:spacing w:after="280" w:before="280"/>
        <w:ind w:hanging="0" w:left="489" w:right="0"/>
        <w:contextualSpacing w:val="false"/>
        <w:jc w:val="both"/>
        <w:rPr>
          <w:rFonts w:ascii="Arial" w:cs="Arial" w:hAnsi="Arial"/>
          <w:sz w:val="20"/>
          <w:szCs w:val="20"/>
        </w:rPr>
      </w:pPr>
      <w:r>
        <w:rPr>
          <w:rFonts w:ascii="Arial" w:cs="Arial" w:hAnsi="Arial"/>
          <w:b/>
          <w:bCs/>
          <w:i/>
          <w:iCs/>
          <w:sz w:val="20"/>
          <w:szCs w:val="20"/>
        </w:rPr>
        <w:t>Principal Products and Services</w:t>
      </w:r>
      <w:r>
        <w:rPr>
          <w:rFonts w:ascii="Arial" w:cs="Arial" w:hAnsi="Arial"/>
          <w:b/>
          <w:bCs/>
          <w:sz w:val="20"/>
          <w:szCs w:val="20"/>
        </w:rPr>
        <w:t>:</w:t>
      </w:r>
      <w:r>
        <w:rPr>
          <w:rFonts w:ascii="Arial" w:cs="Arial" w:hAnsi="Arial"/>
          <w:sz w:val="20"/>
          <w:szCs w:val="20"/>
        </w:rPr>
        <w:t xml:space="preserve">    Bing; Bing Ads; and MSN.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Competition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OSD competes with Google and a wide array of websites and portals that provide content and online offerings to end users. Our success depends on our ability to attract new users, understand intent, and match intent with relevant content and advertiser offerings. We believe we can attract new users by continuing to offer new and compelling products and services and to further differentiate our offerings by providing a broad selection of content and by helping users make faster, more informed decisions and take action more quickly by providing relevant search results, expanded search services, and deeply-integrated social recommendations.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Microsoft Business Division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Microsoft Business Division (“MBD”) offerings consist of the Microsoft Office system (“Office,” comprising mainly the core Office product set, Office 365, SharePoint, Exchange, and Lync) and Microsoft Dynamics business solutions, which may be delivered either on premise or as a cloud-based service. Office is designed to increase personal,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team, and organization productivity through a range of programs, services, and software solutions and generates over 90% of MBD revenue. Growth in Office depends on our ability to add value to the core Office product set and to continue to expand our product offerings in other areas such as content management, enterprise search, collaboration, unified communications, and business intelligence. Microsoft Dynamics products provide business solutions for financial management, customer relationship management (“CRM”), supply chain management, and analytics applications for small and mid-size businesses, large organizations, and divisions of global enterprises.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Approximately 85% of MBD revenue is generated from sales to businesses, which includes Office revenue generated through subscriptions and volume licensing agreements as well as Microsoft Dynamics revenue. Revenue from sales to businesses generally depends upon the number of information workers in a licensed enterprise and is therefore relatively independent of the number of PCs sold in a given year. Approximately 15% of MBD revenue is derived from sales to consumers, which includes revenue from retail packaged product, subscription sales, and OEM revenue. This revenue generally is affected by the level of PC shipments, the shift to subscription-based licensing, and product launches. </w:t>
      </w:r>
    </w:p>
    <w:p>
      <w:pPr>
        <w:pStyle w:val="style62"/>
        <w:spacing w:after="280" w:before="280"/>
        <w:ind w:hanging="0" w:left="489" w:right="0"/>
        <w:contextualSpacing w:val="false"/>
        <w:jc w:val="both"/>
        <w:rPr>
          <w:rFonts w:ascii="Arial" w:cs="Arial" w:hAnsi="Arial"/>
          <w:sz w:val="20"/>
          <w:szCs w:val="20"/>
        </w:rPr>
      </w:pPr>
      <w:r>
        <w:rPr>
          <w:rFonts w:ascii="Arial" w:cs="Arial" w:hAnsi="Arial"/>
          <w:b/>
          <w:bCs/>
          <w:i/>
          <w:iCs/>
          <w:sz w:val="20"/>
          <w:szCs w:val="20"/>
        </w:rPr>
        <w:t>Principal Products and Services</w:t>
      </w:r>
      <w:r>
        <w:rPr>
          <w:rFonts w:ascii="Arial" w:cs="Arial" w:hAnsi="Arial"/>
          <w:b/>
          <w:bCs/>
          <w:sz w:val="20"/>
          <w:szCs w:val="20"/>
        </w:rPr>
        <w:t>:</w:t>
      </w:r>
      <w:r>
        <w:rPr>
          <w:rFonts w:ascii="Arial" w:cs="Arial" w:hAnsi="Arial"/>
          <w:sz w:val="20"/>
          <w:szCs w:val="20"/>
        </w:rPr>
        <w:t xml:space="preserve">    Microsoft Office; Microsoft Exchange; Microsoft SharePoint; Microsoft Lync; Yammer; Microsoft Office Project and Office Visio; Microsoft Dynamics ERP and Dynamics CRM; Microsoft Office 365, which is an online services offering of Microsoft Office, Exchange, SharePoint, Lync, and Microsoft Office Web Apps, which are the online companions to Microsoft Word, Excel, PowerPoint, and OneNote.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general availability of the new Office started on January 29, 2013.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Competition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Competitors to Office include software application vendors such as Adobe, Apple, Cisco, Google, IBM, Oracle, SAP, and numerous Web-based competitors as well as local application developers in Asia and Europe. Apple distributes versions of its application software products with various models of its PCs and through its mobile devices and has a measurable installed base for these pre-installed applications, such as email, note taking, and calendar. Cisco is using its position in enterprise communications equipment to grow its unified communications business. IBM has a measurable installed base with its office productivity products. Google provides a hosted messaging and productivity suite that competes with Office. Web-based offerings competing with individual applications can also position themselves as alternatives to Office products. We believe our products compete effectively based on our strategy of providing powerful, flexible, secure, easy to use solutions that work well with technologies our customers already have and are available on a device or via the cloud.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Microsoft Dynamics products compete with vendors such as Oracle and SAP in the market for large organizations and divisions of global enterprises. In the market focused on providing solutions for small and mid-sized businesses, our Microsoft Dynamics products compete with vendors such as Infor, Sage, and NetSuite. Salesforce.com’s on-demand CRM offerings compete directly with Microsoft Dynamics CRM Online and Microsoft Dynamics CRM’s on-premise offerings.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Entertainment and Devices Division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Entertainment and Devices Division (“EDD”) develops and markets products and services designed to entertain and connect people. The Xbox entertainment platform, including Kinect, is designed to provide a unique variety of entertainment choices through the use of our devices, peripherals, content, and online services. Skype is designed to connect friends, family, clients, and colleagues through a variety of devices. Windows Phone is designed to bring users closer to the people, applications, and content they need, while providing unique capabilities such as Microsoft Office and Xbox LIVE. Through a strategic alliance, Windows Phone and Nokia are jointly creating new mobile products and services and extending established product and services to new markets. EDD revenue also includes revenue from licensing mobile-related patents. </w:t>
      </w:r>
    </w:p>
    <w:p>
      <w:pPr>
        <w:pStyle w:val="style62"/>
        <w:spacing w:after="280" w:before="280"/>
        <w:ind w:hanging="0" w:left="489" w:right="0"/>
        <w:contextualSpacing w:val="false"/>
        <w:jc w:val="both"/>
        <w:rPr>
          <w:rFonts w:ascii="Arial" w:cs="Arial" w:hAnsi="Arial"/>
          <w:sz w:val="20"/>
          <w:szCs w:val="20"/>
        </w:rPr>
      </w:pPr>
      <w:r>
        <w:rPr>
          <w:rFonts w:ascii="Arial" w:cs="Arial" w:hAnsi="Arial"/>
          <w:b/>
          <w:bCs/>
          <w:i/>
          <w:iCs/>
          <w:sz w:val="20"/>
          <w:szCs w:val="20"/>
        </w:rPr>
        <w:t>Principal Products and Services:    </w:t>
      </w:r>
      <w:r>
        <w:rPr>
          <w:rFonts w:ascii="Arial" w:cs="Arial" w:hAnsi="Arial"/>
          <w:sz w:val="20"/>
          <w:szCs w:val="20"/>
        </w:rPr>
        <w:t xml:space="preserve">Xbox 360 gaming and entertainment console, Kinect for Xbox 360, Xbox 360 video games, Xbox 360 accessories; Xbox LIVE; Skype; and Windows Phone.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Competition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Xbox gaming and entertainment business competes with console platforms from Nintendo and Sony, both of which have a large, established base of customers. The lifecycle for gaming and entertainment consoles averages five to 10 years. We released Xbox 360 in November 2005. Nintendo and Sony released competing versions of their game consoles in November 2006. In June 2013, we announced that we expect our next generation console, Xbox One, to be available for purchase in the second quarter of fiscal year 2014. Sony also announced their next generation console will be available for purchase in late 2013. Nintendo released their latest generation console in November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believe the success of gaming and entertainment consoles is determined by the availability of games for the console, providing exclusive game content that gamers seek, the computational power and reliability of the console, and the ability to create new experiences via online services, downloadable content, and peripherals. In addition to Nintendo and Sony, our businesses compete with both Apple and Google in offering content products and services to the consumer. We believe the Xbox entertainment platform is positioned well against competitive products and services based on significant innovation in hardware architecture, user interface, developer tools, online gaming and entertainment services, and continued strong exclusive content from our own game franchises as well as other digital content offerings.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Windows Phone faces competition primarily from Apple, Google, and Blackberry. Skype competes primarily with Apple and Google, which offer a selection of instant messaging, voice, and video communication products.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compete primarily on the basis of product quality and variety, unique capabilities of our products, timing of product releases, and effectiveness of distribution and marketing.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OPERATIONS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have operations centers that support all operations in their regions, including customer contract and order processing, credit and collections, information processing, and vendor management and logistics. The regional center in Ireland supports the European, Middle Eastern, and African region; the center in Singapore supports the Japan, India, Greater China, and Asia-Pacific region; and the centers in Fargo, North Dakota, Fort Lauderdale, Florida, Puerto Rico, Redmond, Washington, and Reno, Nevada support Latin America and North America. In addition to the operations centers, we also operate data centers throughout the Americas, Europe, and Asia regions.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To serve the needs of customers around the world and to improve the quality and usability of products in international markets, we localize many of our products to reflect local languages and conventions. Localizing a product may require modifying the user interface, altering dialog boxes, and translating text.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contract most of our manufacturing activities for Xbox 360 and related games, Kinect for Xbox 360, various retail software packaged products, Surface devices, and Microsoft PC accessories to third parties. Our products may include some components that are available from only one or limited sources. Our Xbox 360 console, Kinect for Xbox 360, Surface devices, and Microsoft PC accessories include key components that are supplied by a single source. The integrated central processing unit/graphics processing unit for the Xbox 360 console is purchased from IBM, and the supporting embedded dynamic random access memory chips are purchased from Taiwan Semiconductor Manufacturing Company. We generally have the ability to use other manufacturers if the current vendor becomes unavailable or unable to meet our requirements. We generally have multiple sources for raw materials, supplies, and components, and are often able to acquire component parts and materials on a volume discount basis.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RESEARCH AND DEVELOPMENT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During fiscal years 2013, 2012, and 2011, research and development expense was $10.4 billion, $9.8 billion, and $9.0 billion, respectively. These amounts represented 13% of revenue in each of those years. We plan to continue to make significant investments in a broad range of research and development efforts.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Product and Service Development and Intellectual Property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develop most of our products and services internally. 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design. Before releasing new software platforms, we provide application vendors with a range of resources and guidelines for development, training, and testing. Generally, we also create product documentation internally.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35,000 U.S. and international patents issued and over 38,000 pending. While we employ much of our internally developed intellectual property exclusively in Microsoft products and services, we also engage in outbound and inbound licensing of specific patented technologies that are incorporated into licensees’ or Microsoft’s products. From time to time, we enter into broader cross-license agreements with other technology companies covering entire groups of patents. We also purchase or license technology that we incorporate into our products or services. At times, we make select intellectual property broadly available at no or low cost to achieve a strategic objective, such as promoting industry standards, advancing interoperability, or attracting and enabling our external development community.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While it may be necessary in the future to seek or renew licenses relating to various aspects of our products and business methods, we believe, based upon past experience and industry practice, such licenses generally could be obtained on commercially reasonable terms. We believe our continuing research and product development are not materially dependent on any single license or other agreement with a third party relating to the development of our products.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Investing in the Future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Microsoft’s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company. We maintain our long-term commitment to research and development across a wide spectrum of technologies, tools, and platforms spanning communication and collaboration, information access and organization, entertainment, business and </w:t>
        <w:br/>
        <w:t xml:space="preserve">e-commerce, advertising, and devices.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While our main research and development facilities are located in Redmond, Washington, we also operate research and development facilities in other parts of the U.S. and around the world, including Canada, China, Denmark, Estonia, Germany, India, Ireland, Israel, and the United Kingdom. This global approach helps us remain competitive in local markets and enables us to continue to attract top talent from across the world. We generally fund research at the corporate level to ensure that we are looking beyond immediate product considerations to opportunities further in the future. We also fund research and development activities at the business segment level. Much of our business segment level research and development is coordinated with other segments and leveraged across the company.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addition to our main research and development operations, we also operate Microsoft Research. Microsoft Research is one of the world’s largest computer science research organizations, and works in close collaboration with top universities around the world to advance the state-of-the-art in computer science, providing us a unique perspective on future technology trends.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Based on our assessment of key technology trends and our broad focus on long-term research and development, we see significant opportunities to drive future growth in smart connected devices, cloud computing, entertainment, search, communications, and productivity through our devices and services strategy.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DISTRIBUTION, SALES, AND MARKETING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market and distribute our products and services primarily through the following channels: OEMs; distributors and resellers; and online.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OEMs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distribute software through OEMs that pre-install our software on new PCs, tablets, servers, smartphones, and other intelligent devices that they sell to end customers. The largest component of the OEM business is the Windows operating system pre-installed on computing devices. OEMs also sell hardware pre-installed with other Microsoft products, including server and embedded operating systems and applications such as our Microsoft Office suite. In addition to these products, we also market our services, such as our Windows SkyDrive service, through OEMs.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There are two broad categories of OEMs. The largest OEMs, many of which operate globally, are referred to as “Direct OEMs,” as our relationship with them is managed through a direct agreement between Microsoft and the OEM. We have distribution agreements covering one or more of our products with virtually all of the multinational OEMs, including Acer, ASUS, Dell, Fujitsu, HTC, Hewlett-Packard, LG, Lenovo, Nokia, Samsung, Sony, Toshiba, and with many regional and local OEMs. The second broad category of OEMs consists of lower-volume PC manufacturers (also called “system builders”), which source their Microsoft software for pre-installation and local redistribution primarily through the Microsoft distributor channel rather than through a direct agreement or relationship with Microsoft.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Distributors and Resellers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Many organizations that license our products and services through enterprise agreements transact directly with us, with sales support from solution integrators, independent software vendors, web agencies, and developers that advise organizations on licensing our products and services (“Enterprise Software Advisors”). Organizations also license our products and services indirectly, primarily through large account resellers (“LARs”), distributors, value-added resellers (“VARs”), OEMs, system builder channels, and retailers. Although each type of reselling partner reaches organizations of all sizes, LARs are primarily engaged with large organizations, distributors resell primarily to VARs, and VARs typically reach small-sized and medium-sized organizations. Enterprise Software Advisors typically are also authorized as LARs and operate as resellers for our other licensing programs, such as the Select Plus and Open licensing programs discussed under “Licensing Options” below. Some of our distributors include Ingram Micro and Tech Data, and some of our largest resellers include CDW, Dell, Insight Enterprises, and Software House International.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Microsoft Dynamics software offerings are licensed to enterprises through a global network of channel partners providing vertical solutions and specialized services. We distribute our retail packaged products primarily through independent non-exclusive distributors, authorized replicators, resellers, and retail outlets. Individual consumers obtain these products primarily through retail outlets, such as Wal-Mart, Dixons, and Microsoft Stores. We distribute our hardware products, including Surface, Xbox, and PC accessories, through third-party retailers and Microsoft Stores. We have a network of field sales representatives and field support personnel that solicits orders from distributors and resellers, and provides product training and sales support.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Online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Although client-based software will continue to be an important part of our business, increasingly we are delivering additional value to customers through cloud-based services. We provide online content and services to consumers through Bing, MSN portals and channels, Microsoft Office Web Apps, Office 365, Windows Phone Marketplace, Xbox LIVE, Outlook.com, Skype, and Windows Store. We also provide to business users commercial cloud-based services such as Exchange Online, Microsoft Dynamics CRM Online, Windows Azure, Windows Intune, and Office 365 consisting of online versions of Office, Exchange, SharePoint, Lync, and Yammer. Other services delivered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online include our online advertising platform with offerings for advertisers and publishers, as well as Microsoft Developer Networks subscription content and updates, periodic product updates, and online technical and practice readiness resources to support our partners in developing and selling our products and solutions. As we increasingly deliver online services, we sell many of these cloud-based services through our enterprise agreements and have also enabled new sales programs to reach small and medium-sized businesses. These new programs include direct sales, direct sales supported by a large network of partner advisors, and resales of services through operator channels, such as telephone, cell, and cable providers. We also sell our products through our online store, microsoftstore.com.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LICENSING OPTIONS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license software to organizations under arrangements that allow the end-user customer to acquire multiple licenses of products and services. Our arrangements for organizations to acquire multiple licenses of products and services are designed to provide them with a means of doing so without having to acquire separate packaged product through retail channels. In delivering organizational licensing arrangements to the market, we use different programs designed to provide flexibility for organizations of various sizes. While these programs may differ in various parts of the world, generally they include those discussed below.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Open Licensing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Designed primarily for small-to-medium organizations, Open Programs allows customers to acquire perpetual or subscription licenses and, at the customer’s election, rights to future versions of software products over a specified time period (two or three years depending on the Open Programs used). The offering that conveys rights to future versions of certain software products over the contract period is called software assurance. Software assurance also provides support, tools, and training to help customers deploy and use software efficiently. Open Programs has several variations to fit customers’ diverse way of purchasing. Under the Open License Program, customers can acquire licenses only or licenses with software assurance. They can also renew software assurance upon the expiration of existing volume licensing agreements.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Select Plus Licensing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Designed primarily for medium-to-large organizations, the Select Plus Program allows customers to acquire perpetual licenses and, at the customer’s election, software assurance over a specified time period (generally three years or less). Similar to Open Programs, the Select Plus Program allows customers to acquire licenses only, acquire licenses with software assurance, or renew software assurance upon the expiration of existing volume licensing agreements. Online services are also available for purchase through the Select Plus Program, and subscriptions are generally structured with terms between one and three years.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Partner Licensing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Microsoft Services Provider License Agreement is a program targeted at service providers and Independent Software Vendors allowing these partners to provide software services and hosted applications to their end customers. Agreements are generally structured with a three-year term, and partners are billed monthly based upon consumption. Microsoft Online Services Reseller Agreement is a program enabling partners to package Microsoft Online Services with the partners’ services. Microsoft Online Subscription Agreement is designed to enable small and medium-sized businesses to easily purchase Microsoft Online Services. The program allows customers to acquire monthly or annual subscriptions for cloud-based services. Windows Azure Agreement is designed to enable small and medium-sized businesses to purchase Windows Azure Subscription plans on a “pay-as-you-go” basis.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Enterprise Agreement Licensing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Enterprise agreements are targeted at medium- and large-sized organizations that want to acquire licenses to Online Services and/or software products, along with software assurance, for all or substantial parts of their enterprise.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Enterprises can elect to either acquire perpetual licenses or, under the Enterprise Subscription Program, can acquire non-perpetual, subscription agreements for a specified time period (generally three years). Online Services are also available for purchase through the enterprise agreement and subscriptions are generally structured with three year terms.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CUSTOMERS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customers include individual consumers, small- and medium-sized organizations, enterprises, governmental institutions, educational institutions, Internet service providers, application developers, and OEMs. Consumers and small and medium-sized organizations obtain our products primarily through distributors, resellers, and OEMs. No sales to an individual customer accounted for more than 10% of fiscal year 2013, 2012, or 2011 revenue. Our practice is to ship our products promptly upon receipt of purchase orders from customers; consequently, backlog is not significant.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EMPLOYEES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As of June 30, 2013, we employed approximately 99,000 people on a full-time basis, 58,000 in the U.S. and 41,000 internationally. Of the total, 37,000 were in product research and development, 26,000 in sales and marketing, 21,000 in product support and consulting services, 6,000 in manufacturing and distribution, and 9,000 in general and administration. Our success is highly dependent on our ability to attract and retain qualified employees. None of our employees are subject to collective bargaining agreements.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AVAILABLE INFORMATION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 </w:t>
      </w:r>
    </w:p>
    <w:p>
      <w:pPr>
        <w:pStyle w:val="style62"/>
        <w:spacing w:after="280" w:before="280"/>
        <w:ind w:hanging="360" w:left="806"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w:t>
      </w:r>
    </w:p>
    <w:p>
      <w:pPr>
        <w:pStyle w:val="style62"/>
        <w:spacing w:after="280" w:before="280"/>
        <w:ind w:hanging="360" w:left="806"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information on our business strategies, financial results, and key performance indicators; </w:t>
      </w:r>
    </w:p>
    <w:p>
      <w:pPr>
        <w:pStyle w:val="style62"/>
        <w:spacing w:after="280" w:before="280"/>
        <w:ind w:hanging="360" w:left="806"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announcements of investor conferences, speeches, and events at which our executives talk about our product, service, and competitive strategies. Archives of these events are also available; </w:t>
      </w:r>
    </w:p>
    <w:p>
      <w:pPr>
        <w:pStyle w:val="style62"/>
        <w:spacing w:after="280" w:before="280"/>
        <w:ind w:hanging="360" w:left="806"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press releases on quarterly earnings, product and service announcements, legal developments, and international news; </w:t>
      </w:r>
    </w:p>
    <w:p>
      <w:pPr>
        <w:pStyle w:val="style62"/>
        <w:spacing w:after="280" w:before="280"/>
        <w:ind w:hanging="360" w:left="806"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corporate governance information including our articles, bylaws, governance guidelines, committee charters, codes of conduct and ethics, global corporate citizenship initiatives, and other governance-related policies; </w:t>
      </w:r>
    </w:p>
    <w:p>
      <w:pPr>
        <w:pStyle w:val="style62"/>
        <w:spacing w:after="280" w:before="280"/>
        <w:ind w:hanging="360" w:left="806"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other news and announcements that we may post from time to time that investors might find useful or interesting; and </w:t>
      </w:r>
    </w:p>
    <w:p>
      <w:pPr>
        <w:pStyle w:val="style62"/>
        <w:spacing w:after="280" w:before="280"/>
        <w:ind w:hanging="360" w:left="806"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opportunities to sign up for email alerts and RSS feeds to have information pushed in real time.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information found on our website is not part of this or any other report we file with, or furnish to, the SEC. </w:t>
      </w:r>
    </w:p>
    <w:p>
      <w:pPr>
        <w:pStyle w:val="style62"/>
        <w:pageBreakBefore/>
        <w:spacing w:after="280" w:before="280"/>
        <w:contextualSpacing w:val="false"/>
        <w:jc w:val="center"/>
        <w:rPr>
          <w:rFonts w:ascii="Arial" w:cs="Arial" w:hAnsi="Arial"/>
          <w:b/>
          <w:bCs/>
        </w:rPr>
      </w:pPr>
      <w:r>
        <w:rPr>
          <w:rFonts w:ascii="Arial" w:cs="Arial" w:hAnsi="Arial"/>
          <w:b/>
          <w:bCs/>
        </w:rPr>
        <w:t xml:space="preserve">MANAGEMENT’S DISCUSSION AND ANALYSIS OF FINANCIAL CONDITION AND </w:t>
      </w:r>
    </w:p>
    <w:p>
      <w:pPr>
        <w:pStyle w:val="style62"/>
        <w:spacing w:after="280" w:before="280"/>
        <w:contextualSpacing w:val="false"/>
        <w:jc w:val="center"/>
        <w:rPr>
          <w:rFonts w:ascii="Arial" w:cs="Arial" w:hAnsi="Arial"/>
          <w:b/>
          <w:bCs/>
        </w:rPr>
      </w:pPr>
      <w:r>
        <w:rPr>
          <w:rFonts w:ascii="Arial" w:cs="Arial" w:hAnsi="Arial"/>
          <w:b/>
          <w:bCs/>
        </w:rPr>
        <w:t>RESULTS OF OPERATIONS</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following Management’s Discussion and Analysis (“MD&amp;A”) is intended to help the reader understand the results of operations and financial condition of Microsoft Corporation. MD&amp;A is provided as a supplement to, and should be read in conjunction with, our financial statements and the accompanying Notes to Financial Statements.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OVERVIEW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Microsoft is a technology leader focused on helping people and businesses throughout the world realize their full potential. We create technology that transforms the way people work, play, and communicate across a wide range of computing devices.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generate revenue by developing, licensing, and supporting a wide range of software products, by offering an array of services, including cloud-based services to consumers and businesses, by designing and selling devices that integrate with our cloud-based services, and by delivering relevant online advertising to a global audience. Our most significant expenses are related to compensating employees, designing, manufacturing, marketing, and selling our products and services, and income taxes.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Industry Trends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identify and address the changing demands of customers, industry trends, and competitive forces.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Key Opportunities and Investments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Based on our assessment of key technology trends and our broad focus on long-term research and development of new products and services, we see significant opportunities to generate future growth.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invest research and development resources in new products and services in these areas. The capabilities and accessibility of PCs, tablets, phones, televisions, and other devices powered by rich software platforms and applications continue to grow. With this trend, we believe the full potential of software will be seen and felt in how people use these devices and the associated services at work and in their personal lives.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Devices with end-user services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work with an ecosystem of partners to deliver a broad spectrum of Windows devices. In some cases, we build our own devices, as we have chosen to do with Xbox and Surface. In all our work with partners and on our own devices, we focus on delivering seamless services and experiences across devices. As consumer services and hardware advance, we expect they will continue to better complement one another, connecting the devices people use daily to unique communications, productivity, and entertainment services from Microsoft and our partners and developers around the world.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Windows 8 reflects this shift. Launched in October 2012, Windows 8 was designed to unite the light, thin, and convenient aspects of a tablet with the power of a PC. The Windows 8 operating system includes the Windows Store, which offers a large and growing number of applications from Microsoft and partners for both business and consumer customers.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Going forward, our strategy will focus on creating a family of devices and services for individuals and businesses that empower people around the globe at home, at work, and on the go, for the activities they value most. This strategy will require investment in datacenters and other infrastructure to support our services, and will bring continued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competition with Apple, Google, and other well-established and emerging competitors. We believe our history of powering devices such as Windows PCs and Xbox, as well as our experience delivering high-value experiences through Office and other applications, will position us for future success.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Services for the enterprise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Today, businesses face important opportunities and challenges. Enterprises are asked to deploy technology that drives business strategy forward. They decide what solutions will make employees more productive, collaborative, and satisfied, or connect with customers in new and compelling ways. They work to unlock business insights from a world of data. At the same time, they must manage and secure corporate information that employees access across a growing number of personal and corporate devices.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To address these opportunities, businesses look to our world-class business applications like Microsoft Dynamics, Office, Exchange, SharePoint, Lync, Yammer, and our business intelligence solutions. They rely on our technology to manage employee corporate identity and to protect their corporate data. And, increasingly, businesses of all sizes are looking to Microsoft to realize the benefits of the cloud.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Helping businesses move to the cloud is one of our largest opportunities. Cloud-based solutions provide customers with software, services, and content over the Internet by way of shared computing resources located in centralized data centers. The shift to the cloud is driven by three important economies of scale: larger data centers can deploy computational resources at significantly lower cost per unit than smaller ones; larger data centers can coordinate and aggregate diverse customer, geographic, and application demand patterns improving the utilization of computing, storage, and network resources; and multi-tenancy lowers application maintenance labor costs for large public clouds. Because of the improved economics, the cloud offers unique levels of elasticity and agility that enable new solutions and applications. For businesses of all sizes, the cloud creates the opportunity to focus on innovation while leaving non-differentiating activities to reliable and cost-effective providers.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Unique to Microsoft, we continue to design and deliver cloud solutions that allow our customers to use both the cloud and their on-premise assets however best suits their own needs. For example, a company can choose to deploy Office or Microsoft Dynamics on premise, as a cloud service, or a combination of both. With Windows Server 2012, Windows Azure, and System Center infrastructure, businesses can deploy applications in their own datacenter, a partner’s datacenter, or in Microsoft’s datacenter with common security, management, and administration across all environments, with the flexibility and scale they desire. These hybrid capabilities allow customers to fully harness the power of the cloud so they can achieve greater levels of efficiency and tap new areas of growth.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Our future opportunity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There are several distinct areas of technology that we are focused on driving forward. Our goal is to lead the industry in these areas over the long-term, which we expect will translate to sustained growth well into the future. We are investing significant resources in: </w:t>
      </w:r>
    </w:p>
    <w:p>
      <w:pPr>
        <w:pStyle w:val="style62"/>
        <w:spacing w:after="280" w:before="280"/>
        <w:ind w:hanging="360" w:left="893"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Developing new form factors that have increasingly natural ways to use them, including touch, gesture, and speech. </w:t>
      </w:r>
    </w:p>
    <w:p>
      <w:pPr>
        <w:pStyle w:val="style62"/>
        <w:spacing w:after="280" w:before="280"/>
        <w:ind w:hanging="360" w:left="893"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Applying machine learning to make technology more intuitive and able to act on our behalf, instead of at our command. </w:t>
      </w:r>
    </w:p>
    <w:p>
      <w:pPr>
        <w:pStyle w:val="style62"/>
        <w:spacing w:after="280" w:before="280"/>
        <w:ind w:hanging="360" w:left="893"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Building and running cloud-based services in ways that unleash new experiences and opportunities for businesses and individuals. </w:t>
      </w:r>
    </w:p>
    <w:p>
      <w:pPr>
        <w:pStyle w:val="style62"/>
        <w:spacing w:after="280" w:before="280"/>
        <w:ind w:hanging="360" w:left="893"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Establishing our Windows platform across the PC, tablet, phone, server, and cloud to drive a thriving ecosystem of developers, unify the cross-device user experience, and increase agility when bringing new advances to market. </w:t>
      </w:r>
    </w:p>
    <w:p>
      <w:pPr>
        <w:pStyle w:val="style62"/>
        <w:spacing w:after="280" w:before="280"/>
        <w:ind w:hanging="360" w:left="893"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Delivering new high-value experiences with improvements in how people learn, work, play, and interact with one another.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believe the breadth of our devices and services portfolio, our large, global partner and customer base, and the growing Windows ecosystem position us to be a leader in these areas.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Economic Conditions, Challenges, and Risks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market for software, devices, and cloud-based services is dynamic and highly competitive. Some of our traditional businesses such as the Windows operating system are in a period of transition. Our competitors are developing new devices and deploy competing cloud-based services for consumers and businesses. The devices and form factors customers prefer evolve rapidly, and influence how users access services in the cloud and in some cases the user’s choice of which suite of cloud-based services to use. The Windows ecosystem must continue to evolve and adapt, over an extended time, in pace with this changing environment. To support our strategy of offering a family of devices and services designed to empower our customers for the activities they value most, we announced a functional realignment in July 2013. Through this realignment our goal is to become more nimble, collaborative, communicative, motivated, and decisive. Even if we achieve these benefits, the investments we are making in devices and infrastructure to support our cloud-based services will increase our operating costs and may decrease our operation margins.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prioritize our investments among the highest long-term growth opportunities. These investments require significant resources and are multi-year in nature. The products and services we bring to market may be developed internally, as part of a partnership or alliance, or through acquisition.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success is highly dependent on our ability to attract and retain qualified employees. We hire a mix of university and industry talent worldwide. Microsoft competes for talented individuals worldwide by offering broad customer reach, scale in resources, and competitive compensation.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Aggregate demand for our software, services, and hardware is correlated to global macroeconomic factors, which remain dynamic. See a discussion of these factors and other risks under Risk Factors in our fiscal year 2013 Form 10-K.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Seasonality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revenue historically has fluctuated quarterly and has generally been highest in the second quarter of our fiscal year due to corporate calendar year-end spending trends in our major markets and holiday season spending by consumers. Our Entertainment and Devices Division is particularly seasonal as its products are aimed at the consumer market and are in highest demand during the holiday shopping season. Typically, the Entertainment and Devices Division has generated approximately 40% of its yearly revenue in our second fiscal quarter.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Unearned Revenue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Quarterly and annual revenue may be impacted by the deferral of revenue. See the discussions below regarding revenue deferred on sales of Windows 7 with an option to upgrade to Windows 8 Pro at a discounted price (the “Windows Upgrade Offer”) and sales of the previous version of the Microsoft Office system with a guarantee to be upgraded to the new Office at minimal or no cost (the “Office Upgrade Offer”, for the offer relating to the new Office, and “the 2010 Office Upgrade Offer” for the prior offer relating to Office 2010).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If our customers elect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RESULTS OF OPERATIONS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Summary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4295"/>
        <w:gridCol w:w="1279"/>
        <w:gridCol w:w="1220"/>
        <w:gridCol w:w="1219"/>
        <w:gridCol w:w="1400"/>
        <w:gridCol w:w="1386"/>
      </w:tblGrid>
      <w:tr>
        <w:trPr>
          <w:tblHeader w:val="true"/>
          <w:cantSplit w:val="false"/>
        </w:trPr>
        <w:tc>
          <w:tcPr>
            <w:tcW w:type="dxa" w:w="4295"/>
            <w:tcBorders>
              <w:top w:val="nil"/>
              <w:left w:val="nil"/>
              <w:bottom w:val="nil"/>
              <w:right w:val="nil"/>
            </w:tcBorders>
            <w:shd w:fill="auto" w:val="clear"/>
            <w:vAlign w:val="center"/>
          </w:tcPr>
          <w:p>
            <w:pPr>
              <w:pStyle w:val="style0"/>
              <w:rPr>
                <w:sz w:val="1"/>
                <w:szCs w:val="24"/>
              </w:rPr>
            </w:pPr>
            <w:r>
              <w:rPr>
                <w:sz w:val="1"/>
                <w:szCs w:val="24"/>
              </w:rPr>
            </w:r>
          </w:p>
        </w:tc>
        <w:tc>
          <w:tcPr>
            <w:tcW w:type="dxa" w:w="1279"/>
            <w:tcBorders>
              <w:top w:val="nil"/>
              <w:left w:val="nil"/>
              <w:bottom w:val="nil"/>
              <w:right w:val="nil"/>
            </w:tcBorders>
            <w:shd w:fill="auto" w:val="clear"/>
            <w:vAlign w:val="center"/>
          </w:tcPr>
          <w:p>
            <w:pPr>
              <w:pStyle w:val="style0"/>
              <w:rPr>
                <w:sz w:val="1"/>
                <w:szCs w:val="24"/>
              </w:rPr>
            </w:pPr>
            <w:r>
              <w:rPr>
                <w:sz w:val="1"/>
                <w:szCs w:val="24"/>
              </w:rPr>
            </w:r>
          </w:p>
        </w:tc>
        <w:tc>
          <w:tcPr>
            <w:tcW w:type="dxa" w:w="1220"/>
            <w:tcBorders>
              <w:top w:val="nil"/>
              <w:left w:val="nil"/>
              <w:bottom w:val="nil"/>
              <w:right w:val="nil"/>
            </w:tcBorders>
            <w:shd w:fill="auto" w:val="clear"/>
            <w:vAlign w:val="center"/>
          </w:tcPr>
          <w:p>
            <w:pPr>
              <w:pStyle w:val="style0"/>
              <w:rPr>
                <w:sz w:val="1"/>
                <w:szCs w:val="24"/>
              </w:rPr>
            </w:pPr>
            <w:r>
              <w:rPr>
                <w:sz w:val="1"/>
                <w:szCs w:val="24"/>
              </w:rPr>
            </w:r>
          </w:p>
        </w:tc>
        <w:tc>
          <w:tcPr>
            <w:tcW w:type="dxa" w:w="1219"/>
            <w:tcBorders>
              <w:top w:val="nil"/>
              <w:left w:val="nil"/>
              <w:bottom w:val="nil"/>
              <w:right w:val="nil"/>
            </w:tcBorders>
            <w:shd w:fill="auto" w:val="clear"/>
            <w:vAlign w:val="center"/>
          </w:tcPr>
          <w:p>
            <w:pPr>
              <w:pStyle w:val="style0"/>
              <w:rPr>
                <w:sz w:val="1"/>
                <w:szCs w:val="24"/>
              </w:rPr>
            </w:pPr>
            <w:r>
              <w:rPr>
                <w:sz w:val="1"/>
                <w:szCs w:val="24"/>
              </w:rPr>
            </w:r>
          </w:p>
        </w:tc>
        <w:tc>
          <w:tcPr>
            <w:tcW w:type="dxa" w:w="1400"/>
            <w:tcBorders>
              <w:top w:val="nil"/>
              <w:left w:val="nil"/>
              <w:bottom w:val="nil"/>
              <w:right w:val="nil"/>
            </w:tcBorders>
            <w:shd w:fill="auto" w:val="clear"/>
            <w:vAlign w:val="center"/>
          </w:tcPr>
          <w:p>
            <w:pPr>
              <w:pStyle w:val="style0"/>
              <w:rPr>
                <w:sz w:val="1"/>
                <w:szCs w:val="24"/>
              </w:rPr>
            </w:pPr>
            <w:r>
              <w:rPr>
                <w:sz w:val="1"/>
                <w:szCs w:val="24"/>
              </w:rPr>
            </w:r>
          </w:p>
        </w:tc>
        <w:tc>
          <w:tcPr>
            <w:tcW w:type="dxa" w:w="1386"/>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429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percentages and per share amounts)</w:t>
            </w:r>
          </w:p>
        </w:tc>
        <w:tc>
          <w:tcPr>
            <w:tcW w:type="dxa" w:w="1279"/>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2013</w:t>
            </w:r>
          </w:p>
        </w:tc>
        <w:tc>
          <w:tcPr>
            <w:tcW w:type="dxa" w:w="122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2012</w:t>
            </w:r>
          </w:p>
        </w:tc>
        <w:tc>
          <w:tcPr>
            <w:tcW w:type="dxa" w:w="1219"/>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2011</w:t>
            </w:r>
          </w:p>
        </w:tc>
        <w:tc>
          <w:tcPr>
            <w:tcW w:type="dxa" w:w="1400"/>
            <w:tcBorders>
              <w:top w:val="nil"/>
              <w:left w:val="nil"/>
              <w:bottom w:val="nil"/>
              <w:right w:val="nil"/>
            </w:tcBorders>
            <w:shd w:fill="auto" w:val="clear"/>
            <w:tcMar>
              <w:left w:type="dxa" w:w="144"/>
            </w:tcMar>
            <w:vAlign w:val="bottom"/>
          </w:tcPr>
          <w:p>
            <w:pPr>
              <w:pStyle w:val="style0"/>
              <w:ind w:hanging="0" w:left="0" w:right="38"/>
              <w:jc w:val="right"/>
              <w:rPr>
                <w:rFonts w:ascii="Arial" w:cs="Arial" w:hAnsi="Arial"/>
                <w:b/>
                <w:bCs/>
                <w:sz w:val="15"/>
                <w:szCs w:val="15"/>
              </w:rPr>
            </w:pPr>
            <w:r>
              <w:rPr>
                <w:rFonts w:ascii="Arial" w:cs="Arial" w:hAnsi="Arial"/>
                <w:b/>
                <w:bCs/>
                <w:sz w:val="15"/>
                <w:szCs w:val="15"/>
              </w:rPr>
              <w:t>Percentage</w:t>
              <w:br/>
              <w:t>Change 2013</w:t>
              <w:br/>
              <w:t>Versus 2012</w:t>
            </w:r>
          </w:p>
        </w:tc>
        <w:tc>
          <w:tcPr>
            <w:tcW w:type="dxa" w:w="1386"/>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Percentage</w:t>
              <w:br/>
              <w:t>Change 2012</w:t>
              <w:br/>
              <w:t>Versus 2011</w:t>
            </w:r>
          </w:p>
        </w:tc>
      </w:tr>
      <w:tr>
        <w:trPr>
          <w:cantSplit w:val="false"/>
        </w:trPr>
        <w:tc>
          <w:tcPr>
            <w:tcW w:type="dxa" w:w="10799"/>
            <w:gridSpan w:val="6"/>
            <w:tcBorders>
              <w:top w:val="nil"/>
              <w:left w:val="nil"/>
              <w:bottom w:val="nil"/>
              <w:right w:val="nil"/>
            </w:tcBorders>
            <w:shd w:fill="auto" w:val="clear"/>
            <w:tcMar>
              <w:left w:type="dxa" w:w="144"/>
            </w:tcMar>
            <w:vAlign w:val="bottom"/>
          </w:tcPr>
          <w:p>
            <w:pPr>
              <w:pStyle w:val="style59"/>
              <w:spacing w:after="0" w:before="20"/>
              <w:ind w:hanging="0" w:left="-387" w:right="0"/>
              <w:contextualSpacing w:val="false"/>
              <w:rPr/>
            </w:pPr>
            <w:r>
              <w:rPr/>
              <w:t> </w:t>
            </w:r>
          </w:p>
        </w:tc>
      </w:tr>
      <w:tr>
        <w:trPr>
          <w:trHeight w:hRule="atLeast" w:val="75"/>
          <w:cantSplit w:val="false"/>
        </w:trPr>
        <w:tc>
          <w:tcPr>
            <w:tcW w:type="dxa" w:w="4295"/>
            <w:tcBorders>
              <w:top w:val="nil"/>
              <w:left w:val="nil"/>
              <w:bottom w:val="nil"/>
              <w:right w:val="nil"/>
            </w:tcBorders>
            <w:shd w:fill="auto" w:val="clear"/>
            <w:vAlign w:val="center"/>
          </w:tcPr>
          <w:p>
            <w:pPr>
              <w:pStyle w:val="style0"/>
              <w:rPr>
                <w:sz w:val="8"/>
                <w:szCs w:val="24"/>
              </w:rPr>
            </w:pPr>
            <w:r>
              <w:rPr>
                <w:sz w:val="8"/>
                <w:szCs w:val="24"/>
              </w:rPr>
            </w:r>
          </w:p>
        </w:tc>
        <w:tc>
          <w:tcPr>
            <w:tcW w:type="dxa" w:w="1279"/>
            <w:tcBorders>
              <w:top w:val="nil"/>
              <w:left w:val="nil"/>
              <w:bottom w:val="nil"/>
              <w:right w:val="nil"/>
            </w:tcBorders>
            <w:shd w:fill="auto" w:val="clear"/>
            <w:vAlign w:val="center"/>
          </w:tcPr>
          <w:p>
            <w:pPr>
              <w:pStyle w:val="style0"/>
              <w:rPr>
                <w:sz w:val="8"/>
                <w:szCs w:val="24"/>
              </w:rPr>
            </w:pPr>
            <w:r>
              <w:rPr>
                <w:sz w:val="8"/>
                <w:szCs w:val="24"/>
              </w:rPr>
            </w:r>
          </w:p>
        </w:tc>
        <w:tc>
          <w:tcPr>
            <w:tcW w:type="dxa" w:w="1220"/>
            <w:tcBorders>
              <w:top w:val="nil"/>
              <w:left w:val="nil"/>
              <w:bottom w:val="nil"/>
              <w:right w:val="nil"/>
            </w:tcBorders>
            <w:shd w:fill="auto" w:val="clear"/>
            <w:vAlign w:val="center"/>
          </w:tcPr>
          <w:p>
            <w:pPr>
              <w:pStyle w:val="style0"/>
              <w:rPr>
                <w:sz w:val="8"/>
                <w:szCs w:val="24"/>
              </w:rPr>
            </w:pPr>
            <w:r>
              <w:rPr>
                <w:sz w:val="8"/>
                <w:szCs w:val="24"/>
              </w:rPr>
            </w:r>
          </w:p>
        </w:tc>
        <w:tc>
          <w:tcPr>
            <w:tcW w:type="dxa" w:w="1219"/>
            <w:tcBorders>
              <w:top w:val="nil"/>
              <w:left w:val="nil"/>
              <w:bottom w:val="nil"/>
              <w:right w:val="nil"/>
            </w:tcBorders>
            <w:shd w:fill="auto" w:val="clear"/>
            <w:vAlign w:val="center"/>
          </w:tcPr>
          <w:p>
            <w:pPr>
              <w:pStyle w:val="style0"/>
              <w:rPr>
                <w:sz w:val="8"/>
                <w:szCs w:val="24"/>
              </w:rPr>
            </w:pPr>
            <w:r>
              <w:rPr>
                <w:sz w:val="8"/>
                <w:szCs w:val="24"/>
              </w:rPr>
            </w:r>
          </w:p>
        </w:tc>
        <w:tc>
          <w:tcPr>
            <w:tcW w:type="dxa" w:w="1400"/>
            <w:tcBorders>
              <w:top w:val="nil"/>
              <w:left w:val="nil"/>
              <w:bottom w:val="nil"/>
              <w:right w:val="nil"/>
            </w:tcBorders>
            <w:shd w:fill="auto" w:val="clear"/>
            <w:vAlign w:val="center"/>
          </w:tcPr>
          <w:p>
            <w:pPr>
              <w:pStyle w:val="style0"/>
              <w:rPr>
                <w:sz w:val="8"/>
                <w:szCs w:val="24"/>
              </w:rPr>
            </w:pPr>
            <w:r>
              <w:rPr>
                <w:sz w:val="8"/>
                <w:szCs w:val="24"/>
              </w:rPr>
            </w:r>
          </w:p>
        </w:tc>
        <w:tc>
          <w:tcPr>
            <w:tcW w:type="dxa" w:w="1386"/>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4295"/>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Revenue</w:t>
            </w:r>
          </w:p>
        </w:tc>
        <w:tc>
          <w:tcPr>
            <w:tcW w:type="dxa" w:w="1279"/>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22" w:right="0"/>
              <w:contextualSpacing w:val="false"/>
              <w:rPr>
                <w:rFonts w:ascii="Arial" w:cs="Arial" w:hAnsi="Arial"/>
                <w:b/>
                <w:bCs/>
                <w:sz w:val="20"/>
                <w:szCs w:val="20"/>
              </w:rPr>
            </w:pPr>
            <w:r>
              <w:rPr>
                <w:rFonts w:ascii="Arial" w:cs="Arial" w:hAnsi="Arial"/>
                <w:b/>
                <w:bCs/>
                <w:sz w:val="20"/>
                <w:szCs w:val="20"/>
              </w:rPr>
              <w:t>$</w:t>
              <w:tab/>
              <w:t>  77,849</w:t>
              <w:tab/>
              <w:t> </w:t>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22" w:right="0"/>
              <w:contextualSpacing w:val="false"/>
              <w:rPr>
                <w:rFonts w:ascii="Arial" w:cs="Arial" w:hAnsi="Arial"/>
                <w:sz w:val="20"/>
                <w:szCs w:val="20"/>
              </w:rPr>
            </w:pPr>
            <w:r>
              <w:rPr>
                <w:rFonts w:ascii="Arial" w:cs="Arial" w:hAnsi="Arial"/>
                <w:sz w:val="20"/>
                <w:szCs w:val="20"/>
              </w:rPr>
              <w:t>$ 73,723 </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22" w:right="0"/>
              <w:contextualSpacing w:val="false"/>
              <w:rPr>
                <w:rFonts w:ascii="Arial" w:cs="Arial" w:hAnsi="Arial"/>
                <w:sz w:val="20"/>
                <w:szCs w:val="20"/>
              </w:rPr>
            </w:pPr>
            <w:r>
              <w:rPr>
                <w:rFonts w:ascii="Arial" w:cs="Arial" w:hAnsi="Arial"/>
                <w:sz w:val="20"/>
                <w:szCs w:val="20"/>
              </w:rPr>
              <w:t>$</w:t>
              <w:tab/>
              <w:t> 69,943 </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6%</w:t>
              <w:tab/>
              <w:t> </w:t>
            </w:r>
          </w:p>
        </w:tc>
        <w:tc>
          <w:tcPr>
            <w:tcW w:type="dxa" w:w="1386"/>
            <w:tcBorders>
              <w:top w:val="nil"/>
              <w:left w:val="nil"/>
              <w:bottom w:val="nil"/>
              <w:right w:val="nil"/>
            </w:tcBorders>
            <w:shd w:fill="auto" w:val="clear"/>
            <w:tcMar>
              <w:left w:type="dxa" w:w="144"/>
            </w:tcMar>
            <w:vAlign w:val="bottom"/>
          </w:tcPr>
          <w:p>
            <w:pPr>
              <w:pStyle w:val="style62"/>
              <w:tabs>
                <w:tab w:leader="none" w:pos="1222" w:val="right"/>
                <w:tab w:leader="none" w:pos="1330" w:val="decimal"/>
              </w:tabs>
              <w:spacing w:after="280" w:before="280"/>
              <w:contextualSpacing w:val="false"/>
              <w:rPr>
                <w:rFonts w:ascii="Arial" w:cs="Arial" w:hAnsi="Arial"/>
                <w:sz w:val="20"/>
                <w:szCs w:val="20"/>
              </w:rPr>
            </w:pPr>
            <w:r>
              <w:rPr>
                <w:rFonts w:ascii="Arial" w:cs="Arial" w:hAnsi="Arial"/>
                <w:sz w:val="20"/>
                <w:szCs w:val="20"/>
              </w:rPr>
              <w:tab/>
              <w:t>5%</w:t>
              <w:tab/>
            </w:r>
          </w:p>
        </w:tc>
      </w:tr>
      <w:tr>
        <w:trPr>
          <w:cantSplit w:val="false"/>
        </w:trPr>
        <w:tc>
          <w:tcPr>
            <w:tcW w:type="dxa" w:w="429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Operating income</w:t>
            </w:r>
          </w:p>
        </w:tc>
        <w:tc>
          <w:tcPr>
            <w:tcW w:type="dxa" w:w="1279"/>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22" w:right="0"/>
              <w:contextualSpacing w:val="false"/>
              <w:rPr>
                <w:rFonts w:ascii="Arial" w:cs="Arial" w:hAnsi="Arial"/>
                <w:b/>
                <w:bCs/>
                <w:sz w:val="20"/>
                <w:szCs w:val="20"/>
              </w:rPr>
            </w:pPr>
            <w:r>
              <w:rPr>
                <w:rFonts w:ascii="Arial" w:cs="Arial" w:hAnsi="Arial"/>
                <w:b/>
                <w:bCs/>
                <w:sz w:val="20"/>
                <w:szCs w:val="20"/>
              </w:rPr>
              <w:t>$</w:t>
              <w:tab/>
              <w:t>26,764</w:t>
              <w:tab/>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22" w:right="0"/>
              <w:contextualSpacing w:val="false"/>
              <w:rPr>
                <w:rFonts w:ascii="Arial" w:cs="Arial" w:hAnsi="Arial"/>
                <w:sz w:val="20"/>
                <w:szCs w:val="20"/>
              </w:rPr>
            </w:pPr>
            <w:r>
              <w:rPr>
                <w:rFonts w:ascii="Arial" w:cs="Arial" w:hAnsi="Arial"/>
                <w:sz w:val="20"/>
                <w:szCs w:val="20"/>
              </w:rPr>
              <w:t>$</w:t>
              <w:tab/>
              <w:t>21,763</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22" w:right="0"/>
              <w:contextualSpacing w:val="false"/>
              <w:rPr>
                <w:rFonts w:ascii="Arial" w:cs="Arial" w:hAnsi="Arial"/>
                <w:sz w:val="20"/>
                <w:szCs w:val="20"/>
              </w:rPr>
            </w:pPr>
            <w:r>
              <w:rPr>
                <w:rFonts w:ascii="Arial" w:cs="Arial" w:hAnsi="Arial"/>
                <w:sz w:val="20"/>
                <w:szCs w:val="20"/>
              </w:rPr>
              <w:t>$</w:t>
              <w:tab/>
              <w:t>27,161</w:t>
              <w:tab/>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23%</w:t>
              <w:tab/>
            </w:r>
          </w:p>
        </w:tc>
        <w:tc>
          <w:tcPr>
            <w:tcW w:type="dxa" w:w="1386"/>
            <w:tcBorders>
              <w:top w:val="nil"/>
              <w:left w:val="nil"/>
              <w:bottom w:val="nil"/>
              <w:right w:val="nil"/>
            </w:tcBorders>
            <w:shd w:fill="auto" w:val="clear"/>
            <w:tcMar>
              <w:left w:type="dxa" w:w="144"/>
            </w:tcMar>
            <w:vAlign w:val="bottom"/>
          </w:tcPr>
          <w:p>
            <w:pPr>
              <w:pStyle w:val="style62"/>
              <w:tabs>
                <w:tab w:leader="none" w:pos="1222" w:val="right"/>
                <w:tab w:leader="none" w:pos="1330" w:val="decimal"/>
              </w:tabs>
              <w:spacing w:after="280" w:before="280"/>
              <w:contextualSpacing w:val="false"/>
              <w:rPr>
                <w:rFonts w:ascii="Arial" w:cs="Arial" w:hAnsi="Arial"/>
                <w:sz w:val="20"/>
                <w:szCs w:val="20"/>
              </w:rPr>
            </w:pPr>
            <w:r>
              <w:rPr>
                <w:rFonts w:ascii="Arial" w:cs="Arial" w:hAnsi="Arial"/>
                <w:sz w:val="20"/>
                <w:szCs w:val="20"/>
              </w:rPr>
              <w:tab/>
              <w:t>(20)%</w:t>
              <w:tab/>
            </w:r>
          </w:p>
        </w:tc>
      </w:tr>
      <w:tr>
        <w:trPr>
          <w:cantSplit w:val="false"/>
        </w:trPr>
        <w:tc>
          <w:tcPr>
            <w:tcW w:type="dxa" w:w="429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Diluted earnings per share</w:t>
            </w:r>
          </w:p>
        </w:tc>
        <w:tc>
          <w:tcPr>
            <w:tcW w:type="dxa" w:w="1279"/>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22" w:right="0"/>
              <w:contextualSpacing w:val="false"/>
              <w:rPr>
                <w:rFonts w:ascii="Arial" w:cs="Arial" w:hAnsi="Arial"/>
                <w:b/>
                <w:bCs/>
                <w:sz w:val="20"/>
                <w:szCs w:val="20"/>
              </w:rPr>
            </w:pPr>
            <w:r>
              <w:rPr>
                <w:rFonts w:ascii="Arial" w:cs="Arial" w:hAnsi="Arial"/>
                <w:b/>
                <w:bCs/>
                <w:sz w:val="20"/>
                <w:szCs w:val="20"/>
              </w:rPr>
              <w:t>$</w:t>
              <w:tab/>
              <w:t>2.58</w:t>
              <w:tab/>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22" w:right="0"/>
              <w:contextualSpacing w:val="false"/>
              <w:rPr>
                <w:rFonts w:ascii="Arial" w:cs="Arial" w:hAnsi="Arial"/>
                <w:sz w:val="20"/>
                <w:szCs w:val="20"/>
              </w:rPr>
            </w:pPr>
            <w:r>
              <w:rPr>
                <w:rFonts w:ascii="Arial" w:cs="Arial" w:hAnsi="Arial"/>
                <w:sz w:val="20"/>
                <w:szCs w:val="20"/>
              </w:rPr>
              <w:t>$</w:t>
              <w:tab/>
              <w:t>2.00</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22" w:right="0"/>
              <w:contextualSpacing w:val="false"/>
              <w:rPr>
                <w:rFonts w:ascii="Arial" w:cs="Arial" w:hAnsi="Arial"/>
                <w:sz w:val="20"/>
                <w:szCs w:val="20"/>
              </w:rPr>
            </w:pPr>
            <w:r>
              <w:rPr>
                <w:rFonts w:ascii="Arial" w:cs="Arial" w:hAnsi="Arial"/>
                <w:sz w:val="20"/>
                <w:szCs w:val="20"/>
              </w:rPr>
              <w:t>$</w:t>
              <w:tab/>
              <w:t>2.69</w:t>
              <w:tab/>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29%</w:t>
              <w:tab/>
            </w:r>
          </w:p>
        </w:tc>
        <w:tc>
          <w:tcPr>
            <w:tcW w:type="dxa" w:w="1386"/>
            <w:tcBorders>
              <w:top w:val="nil"/>
              <w:left w:val="nil"/>
              <w:bottom w:val="nil"/>
              <w:right w:val="nil"/>
            </w:tcBorders>
            <w:shd w:fill="auto" w:val="clear"/>
            <w:tcMar>
              <w:left w:type="dxa" w:w="144"/>
            </w:tcMar>
            <w:vAlign w:val="bottom"/>
          </w:tcPr>
          <w:p>
            <w:pPr>
              <w:pStyle w:val="style62"/>
              <w:tabs>
                <w:tab w:leader="none" w:pos="1222" w:val="right"/>
                <w:tab w:leader="none" w:pos="1330" w:val="decimal"/>
              </w:tabs>
              <w:spacing w:after="280" w:before="280"/>
              <w:contextualSpacing w:val="false"/>
              <w:rPr>
                <w:rFonts w:ascii="Arial" w:cs="Arial" w:hAnsi="Arial"/>
                <w:sz w:val="20"/>
                <w:szCs w:val="20"/>
              </w:rPr>
            </w:pPr>
            <w:r>
              <w:rPr>
                <w:rFonts w:ascii="Arial" w:cs="Arial" w:hAnsi="Arial"/>
                <w:sz w:val="20"/>
                <w:szCs w:val="20"/>
              </w:rPr>
              <w:tab/>
              <w:t>(26)%</w:t>
              <w:tab/>
            </w:r>
          </w:p>
        </w:tc>
      </w:tr>
      <w:tr>
        <w:trPr>
          <w:cantSplit w:val="false"/>
        </w:trPr>
        <w:tc>
          <w:tcPr>
            <w:tcW w:type="dxa" w:w="10799"/>
            <w:gridSpan w:val="6"/>
            <w:tcBorders>
              <w:top w:val="nil"/>
              <w:left w:val="nil"/>
              <w:bottom w:val="nil"/>
              <w:right w:val="nil"/>
            </w:tcBorders>
            <w:shd w:fill="auto" w:val="clear"/>
            <w:tcMar>
              <w:left w:type="dxa" w:w="144"/>
            </w:tcMar>
            <w:vAlign w:val="bottom"/>
          </w:tcPr>
          <w:p>
            <w:pPr>
              <w:pStyle w:val="style59"/>
              <w:spacing w:after="0" w:before="20"/>
              <w:ind w:hanging="0" w:left="-387" w:right="0"/>
              <w:contextualSpacing w:val="false"/>
              <w:rPr/>
            </w:pPr>
            <w:r>
              <w:rPr/>
              <w:t> </w:t>
            </w:r>
          </w:p>
        </w:tc>
      </w:tr>
    </w:tbl>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2013 compared with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Revenue increased, primarily due to higher revenue from Server and Tools as well as revenue from new products and services, including Windows 8, Surface, and the new Office, offset in part by the impact on revenue of a decline in the x86 PC market.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Operating income grew, primarily due to the $6.2 billion goodwill impairment charge related to our OSD business recorded during the prior year. Other key changes in cost of revenue and operating expenses were: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Cost of revenue increased $2.7 billion or 16%, reflecting increased product costs associated with Surface and Windows 8, including an approximately $900 million charge for Surface RT inventory adjustments, higher headcount-related expenses, payments made to Nokia related to joint strategic initiatives, royalties on Xbox LIVE content, and retail stores expenses, offset in part by decreased costs associated with lower sales of Xbox 360 consoles and decreased traffic acquisition costs.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Sales and marketing expenses increased $1.4 billion or 10%, reflecting advertising of Windows 8 and Surface.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Research and development expenses increased $600 million or 6%, due mainly to higher headcount-related expenses, largely related to the Entertainment and Devices Division.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General and administrative expenses increased $580 million or 13%, due to higher legal charges, primarily the EU fine of $733 million.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2012 compared with fiscal year 2011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Revenue increased primarily due to strong sales of Server and Tools products and services and the 2010 Microsoft Office system, offset in part by the decline in Windows operating system revenue primarily due to the deferral of $540 million of revenue relating to the Windows Upgrade Offer. Revenue in fiscal year 2012 also included Skype revenue from the date of acquisition.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Operating income decreased reflecting a goodwill impairment charge of $6.2 billion related to our OSD business segment. Other key changes in cost of revenue and operating expenses were: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Cost of revenue increased $2.0 billion or 13%, reflecting higher costs associated with providing Server and Tools products and services, payments made to Nokia related to joint strategic initiatives, higher Xbox 360 royalty costs, and other changes in the mix of products and services sold.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Research and development expenses increased $768 million or 8%, due mainly to higher headcount-related expenses. </w:t>
      </w:r>
    </w:p>
    <w:p>
      <w:pPr>
        <w:pStyle w:val="style62"/>
        <w:spacing w:after="280" w:before="280"/>
        <w:ind w:hanging="360" w:left="835"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General and administrative expenses increased $347 million or 8%, due mainly to higher headcount-related expenses and the full year impact of new Puerto Rican excise taxes, offset in part by decreased legal charges.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Headcount-related expenses were higher across the company reflecting a 4% increase in headcount from June 30, 2011 and changes in our employee compensation program.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Fiscal year 2012 diluted earnings per share were negatively impacted by the non-tax deductible goodwill impairment charge, which decreased diluted earnings per share by $0.73. Fiscal year 2011 net income and diluted earnings per share reflected a partial settlement with the U.S. Internal Revenue Service (“I.R.S.”) and higher other income. The partial settlement with the I.R.S. added $461 million to net income and $0.05 to diluted earnings per share in fiscal year 2011.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SEGMENT REVENUE/OPERATING INCOME (LOSS)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revenue and operating income (loss) amounts in this section are presented on a basis consistent with accounting principles generally accepted in the U.S. (“U.S. GAAP”) and include certain reconciling items attributable to each of the segments. Segment information appearing in Note 21 – Segment Information and Geographic Data of the Notes to Financial Statements is presented on a basis consistent with our internal management reporting. Certain corporate-level activity has been excluded from segment operating results and is analyzed separately. We have recast certain prior period amounts within this MD&amp;A to conform to the way we internally managed and monitored segment performance during fiscal year 2013, reflecting immaterial movements of business activities between segments and changes in cost allocations. In July 2013, we announced a change in organizational structure as part of our transformation to a devices and services company. As we evolve how we allocate resources and analyze performance in the new structure, it is possible that our segments may change.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Windows Division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5156"/>
        <w:gridCol w:w="1026"/>
        <w:gridCol w:w="1062"/>
        <w:gridCol w:w="1187"/>
        <w:gridCol w:w="1178"/>
        <w:gridCol w:w="1191"/>
      </w:tblGrid>
      <w:tr>
        <w:trPr>
          <w:tblHeader w:val="true"/>
          <w:cantSplit w:val="false"/>
        </w:trPr>
        <w:tc>
          <w:tcPr>
            <w:tcW w:type="dxa" w:w="5156"/>
            <w:tcBorders>
              <w:top w:val="nil"/>
              <w:left w:val="nil"/>
              <w:bottom w:val="nil"/>
              <w:right w:val="nil"/>
            </w:tcBorders>
            <w:shd w:fill="auto" w:val="clear"/>
            <w:vAlign w:val="center"/>
          </w:tcPr>
          <w:p>
            <w:pPr>
              <w:pStyle w:val="style0"/>
              <w:rPr>
                <w:sz w:val="1"/>
                <w:szCs w:val="24"/>
              </w:rPr>
            </w:pPr>
            <w:r>
              <w:rPr>
                <w:sz w:val="1"/>
                <w:szCs w:val="24"/>
              </w:rPr>
            </w:r>
          </w:p>
        </w:tc>
        <w:tc>
          <w:tcPr>
            <w:tcW w:type="dxa" w:w="1026"/>
            <w:tcBorders>
              <w:top w:val="nil"/>
              <w:left w:val="nil"/>
              <w:bottom w:val="nil"/>
              <w:right w:val="nil"/>
            </w:tcBorders>
            <w:shd w:fill="auto" w:val="clear"/>
            <w:vAlign w:val="center"/>
          </w:tcPr>
          <w:p>
            <w:pPr>
              <w:pStyle w:val="style0"/>
              <w:rPr>
                <w:sz w:val="1"/>
                <w:szCs w:val="24"/>
              </w:rPr>
            </w:pPr>
            <w:r>
              <w:rPr>
                <w:sz w:val="1"/>
                <w:szCs w:val="24"/>
              </w:rPr>
            </w:r>
          </w:p>
        </w:tc>
        <w:tc>
          <w:tcPr>
            <w:tcW w:type="dxa" w:w="1062"/>
            <w:gridSpan w:val="2"/>
            <w:tcBorders>
              <w:top w:val="nil"/>
              <w:left w:val="nil"/>
              <w:bottom w:val="nil"/>
              <w:right w:val="nil"/>
            </w:tcBorders>
            <w:shd w:fill="auto" w:val="clear"/>
            <w:vAlign w:val="center"/>
          </w:tcPr>
          <w:p>
            <w:pPr>
              <w:pStyle w:val="style0"/>
              <w:rPr>
                <w:sz w:val="1"/>
                <w:szCs w:val="24"/>
              </w:rPr>
            </w:pPr>
            <w:r>
              <w:rPr>
                <w:sz w:val="1"/>
                <w:szCs w:val="24"/>
              </w:rPr>
            </w:r>
          </w:p>
        </w:tc>
        <w:tc>
          <w:tcPr>
            <w:tcW w:type="dxa" w:w="1187"/>
            <w:gridSpan w:val="2"/>
            <w:tcBorders>
              <w:top w:val="nil"/>
              <w:left w:val="nil"/>
              <w:bottom w:val="nil"/>
              <w:right w:val="nil"/>
            </w:tcBorders>
            <w:shd w:fill="auto" w:val="clear"/>
            <w:vAlign w:val="center"/>
          </w:tcPr>
          <w:p>
            <w:pPr>
              <w:pStyle w:val="style0"/>
              <w:rPr>
                <w:sz w:val="1"/>
                <w:szCs w:val="24"/>
              </w:rPr>
            </w:pPr>
            <w:r>
              <w:rPr>
                <w:sz w:val="1"/>
                <w:szCs w:val="24"/>
              </w:rPr>
            </w:r>
          </w:p>
        </w:tc>
        <w:tc>
          <w:tcPr>
            <w:tcW w:type="dxa" w:w="1178"/>
            <w:tcBorders>
              <w:top w:val="nil"/>
              <w:left w:val="nil"/>
              <w:bottom w:val="nil"/>
              <w:right w:val="nil"/>
            </w:tcBorders>
            <w:shd w:fill="auto" w:val="clear"/>
            <w:vAlign w:val="center"/>
          </w:tcPr>
          <w:p>
            <w:pPr>
              <w:pStyle w:val="style0"/>
              <w:rPr>
                <w:sz w:val="1"/>
                <w:szCs w:val="24"/>
              </w:rPr>
            </w:pPr>
            <w:r>
              <w:rPr>
                <w:sz w:val="1"/>
                <w:szCs w:val="24"/>
              </w:rPr>
            </w:r>
          </w:p>
        </w:tc>
        <w:tc>
          <w:tcPr>
            <w:tcW w:type="dxa" w:w="119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515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percentages)</w:t>
            </w:r>
          </w:p>
        </w:tc>
        <w:tc>
          <w:tcPr>
            <w:tcW w:type="dxa" w:w="1092"/>
            <w:gridSpan w:val="2"/>
            <w:tcBorders>
              <w:top w:val="nil"/>
              <w:left w:val="nil"/>
              <w:bottom w:val="nil"/>
              <w:right w:val="nil"/>
            </w:tcBorders>
            <w:shd w:fill="auto" w:val="clear"/>
            <w:tcMar>
              <w:left w:type="dxa" w:w="144"/>
            </w:tcMar>
            <w:vAlign w:val="bottom"/>
          </w:tcPr>
          <w:p>
            <w:pPr>
              <w:pStyle w:val="style0"/>
              <w:ind w:hanging="0" w:left="0" w:right="29"/>
              <w:jc w:val="right"/>
              <w:rPr>
                <w:rFonts w:ascii="Arial" w:cs="Arial" w:hAnsi="Arial"/>
                <w:b/>
                <w:bCs/>
                <w:sz w:val="15"/>
                <w:szCs w:val="15"/>
              </w:rPr>
            </w:pPr>
            <w:r>
              <w:rPr>
                <w:rFonts w:ascii="Arial" w:cs="Arial" w:hAnsi="Arial"/>
                <w:b/>
                <w:bCs/>
                <w:sz w:val="15"/>
                <w:szCs w:val="15"/>
              </w:rPr>
              <w:t>2013</w:t>
            </w:r>
          </w:p>
        </w:tc>
        <w:tc>
          <w:tcPr>
            <w:tcW w:type="dxa" w:w="1092"/>
            <w:gridSpan w:val="2"/>
            <w:tcBorders>
              <w:top w:val="nil"/>
              <w:left w:val="nil"/>
              <w:bottom w:val="nil"/>
              <w:right w:val="nil"/>
            </w:tcBorders>
            <w:shd w:fill="auto" w:val="clear"/>
            <w:tcMar>
              <w:left w:type="dxa" w:w="144"/>
            </w:tcMar>
            <w:vAlign w:val="bottom"/>
          </w:tcPr>
          <w:p>
            <w:pPr>
              <w:pStyle w:val="style0"/>
              <w:ind w:hanging="0" w:left="0" w:right="29"/>
              <w:jc w:val="right"/>
              <w:rPr>
                <w:rFonts w:ascii="Arial" w:cs="Arial" w:hAnsi="Arial"/>
                <w:b/>
                <w:bCs/>
                <w:sz w:val="15"/>
                <w:szCs w:val="15"/>
              </w:rPr>
            </w:pPr>
            <w:r>
              <w:rPr>
                <w:rFonts w:ascii="Arial" w:cs="Arial" w:hAnsi="Arial"/>
                <w:b/>
                <w:bCs/>
                <w:sz w:val="15"/>
                <w:szCs w:val="15"/>
              </w:rPr>
              <w:t>2012</w:t>
            </w:r>
          </w:p>
        </w:tc>
        <w:tc>
          <w:tcPr>
            <w:tcW w:type="dxa" w:w="1092"/>
            <w:tcBorders>
              <w:top w:val="nil"/>
              <w:left w:val="nil"/>
              <w:bottom w:val="nil"/>
              <w:right w:val="nil"/>
            </w:tcBorders>
            <w:shd w:fill="auto" w:val="clear"/>
            <w:tcMar>
              <w:left w:type="dxa" w:w="144"/>
            </w:tcMar>
            <w:vAlign w:val="bottom"/>
          </w:tcPr>
          <w:p>
            <w:pPr>
              <w:pStyle w:val="style0"/>
              <w:ind w:hanging="0" w:left="0" w:right="29"/>
              <w:jc w:val="right"/>
              <w:rPr>
                <w:rFonts w:ascii="Arial" w:cs="Arial" w:hAnsi="Arial"/>
                <w:b/>
                <w:bCs/>
                <w:sz w:val="15"/>
                <w:szCs w:val="15"/>
              </w:rPr>
            </w:pPr>
            <w:r>
              <w:rPr>
                <w:rFonts w:ascii="Arial" w:cs="Arial" w:hAnsi="Arial"/>
                <w:b/>
                <w:bCs/>
                <w:sz w:val="15"/>
                <w:szCs w:val="15"/>
              </w:rPr>
              <w:t>2011</w:t>
            </w:r>
          </w:p>
        </w:tc>
        <w:tc>
          <w:tcPr>
            <w:tcW w:type="dxa" w:w="1178"/>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Percentage</w:t>
              <w:br/>
              <w:t>Change 2013</w:t>
              <w:br/>
              <w:t>Versus 2012</w:t>
            </w:r>
          </w:p>
        </w:tc>
        <w:tc>
          <w:tcPr>
            <w:tcW w:type="dxa" w:w="1190"/>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Percentage</w:t>
              <w:br/>
              <w:t>Change 2012</w:t>
              <w:br/>
              <w:t>Versus 2011</w:t>
            </w:r>
          </w:p>
        </w:tc>
      </w:tr>
      <w:tr>
        <w:trPr>
          <w:cantSplit w:val="false"/>
        </w:trPr>
        <w:tc>
          <w:tcPr>
            <w:tcW w:type="dxa" w:w="10800"/>
            <w:gridSpan w:val="8"/>
            <w:tcBorders>
              <w:top w:val="nil"/>
              <w:left w:val="nil"/>
              <w:bottom w:val="nil"/>
              <w:right w:val="nil"/>
            </w:tcBorders>
            <w:shd w:fill="auto" w:val="clear"/>
            <w:tcMar>
              <w:left w:type="dxa" w:w="144"/>
            </w:tcMar>
            <w:vAlign w:val="bottom"/>
          </w:tcPr>
          <w:p>
            <w:pPr>
              <w:pStyle w:val="style59"/>
              <w:spacing w:after="0" w:before="20"/>
              <w:ind w:hanging="0" w:left="-117" w:right="0"/>
              <w:contextualSpacing w:val="false"/>
              <w:rPr/>
            </w:pPr>
            <w:r>
              <w:rPr/>
              <w:t> </w:t>
            </w:r>
          </w:p>
        </w:tc>
      </w:tr>
      <w:tr>
        <w:trPr>
          <w:trHeight w:hRule="atLeast" w:val="75"/>
          <w:cantSplit w:val="false"/>
        </w:trPr>
        <w:tc>
          <w:tcPr>
            <w:tcW w:type="dxa" w:w="5156"/>
            <w:tcBorders>
              <w:top w:val="nil"/>
              <w:left w:val="nil"/>
              <w:bottom w:val="nil"/>
              <w:right w:val="nil"/>
            </w:tcBorders>
            <w:shd w:fill="auto" w:val="clear"/>
            <w:vAlign w:val="center"/>
          </w:tcPr>
          <w:p>
            <w:pPr>
              <w:pStyle w:val="style0"/>
              <w:rPr>
                <w:sz w:val="8"/>
                <w:szCs w:val="24"/>
              </w:rPr>
            </w:pPr>
            <w:r>
              <w:rPr>
                <w:sz w:val="8"/>
                <w:szCs w:val="24"/>
              </w:rPr>
            </w:r>
          </w:p>
        </w:tc>
        <w:tc>
          <w:tcPr>
            <w:tcW w:type="dxa" w:w="1092"/>
            <w:gridSpan w:val="2"/>
            <w:tcBorders>
              <w:top w:val="nil"/>
              <w:left w:val="nil"/>
              <w:bottom w:val="nil"/>
              <w:right w:val="nil"/>
            </w:tcBorders>
            <w:shd w:fill="auto" w:val="clear"/>
            <w:vAlign w:val="center"/>
          </w:tcPr>
          <w:p>
            <w:pPr>
              <w:pStyle w:val="style0"/>
              <w:rPr>
                <w:sz w:val="8"/>
                <w:szCs w:val="24"/>
              </w:rPr>
            </w:pPr>
            <w:r>
              <w:rPr>
                <w:sz w:val="8"/>
                <w:szCs w:val="24"/>
              </w:rPr>
            </w:r>
          </w:p>
        </w:tc>
        <w:tc>
          <w:tcPr>
            <w:tcW w:type="dxa" w:w="1092"/>
            <w:gridSpan w:val="2"/>
            <w:tcBorders>
              <w:top w:val="nil"/>
              <w:left w:val="nil"/>
              <w:bottom w:val="nil"/>
              <w:right w:val="nil"/>
            </w:tcBorders>
            <w:shd w:fill="auto" w:val="clear"/>
            <w:vAlign w:val="center"/>
          </w:tcPr>
          <w:p>
            <w:pPr>
              <w:pStyle w:val="style0"/>
              <w:rPr>
                <w:sz w:val="8"/>
                <w:szCs w:val="24"/>
              </w:rPr>
            </w:pPr>
            <w:r>
              <w:rPr>
                <w:sz w:val="8"/>
                <w:szCs w:val="24"/>
              </w:rPr>
            </w:r>
          </w:p>
        </w:tc>
        <w:tc>
          <w:tcPr>
            <w:tcW w:type="dxa" w:w="1092"/>
            <w:tcBorders>
              <w:top w:val="nil"/>
              <w:left w:val="nil"/>
              <w:bottom w:val="nil"/>
              <w:right w:val="nil"/>
            </w:tcBorders>
            <w:shd w:fill="auto" w:val="clear"/>
            <w:vAlign w:val="center"/>
          </w:tcPr>
          <w:p>
            <w:pPr>
              <w:pStyle w:val="style0"/>
              <w:rPr>
                <w:sz w:val="8"/>
                <w:szCs w:val="24"/>
              </w:rPr>
            </w:pPr>
            <w:r>
              <w:rPr>
                <w:sz w:val="8"/>
                <w:szCs w:val="24"/>
              </w:rPr>
            </w:r>
          </w:p>
        </w:tc>
        <w:tc>
          <w:tcPr>
            <w:tcW w:type="dxa" w:w="1178"/>
            <w:tcBorders>
              <w:top w:val="nil"/>
              <w:left w:val="nil"/>
              <w:bottom w:val="nil"/>
              <w:right w:val="nil"/>
            </w:tcBorders>
            <w:shd w:fill="auto" w:val="clear"/>
            <w:vAlign w:val="center"/>
          </w:tcPr>
          <w:p>
            <w:pPr>
              <w:pStyle w:val="style0"/>
              <w:rPr>
                <w:sz w:val="8"/>
                <w:szCs w:val="24"/>
              </w:rPr>
            </w:pPr>
            <w:r>
              <w:rPr>
                <w:sz w:val="8"/>
                <w:szCs w:val="24"/>
              </w:rPr>
            </w:r>
          </w:p>
        </w:tc>
        <w:tc>
          <w:tcPr>
            <w:tcW w:type="dxa" w:w="1190"/>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5156"/>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Revenue</w:t>
            </w:r>
          </w:p>
        </w:tc>
        <w:tc>
          <w:tcPr>
            <w:tcW w:type="dxa" w:w="1092"/>
            <w:gridSpan w:val="2"/>
            <w:tcBorders>
              <w:top w:val="nil"/>
              <w:left w:val="nil"/>
              <w:bottom w:val="nil"/>
              <w:right w:val="nil"/>
            </w:tcBorders>
            <w:shd w:fill="auto" w:val="clear"/>
            <w:tcMar>
              <w:left w:type="dxa" w:w="144"/>
            </w:tcMar>
            <w:vAlign w:val="bottom"/>
          </w:tcPr>
          <w:p>
            <w:pPr>
              <w:pStyle w:val="style62"/>
              <w:tabs>
                <w:tab w:leader="none" w:pos="927" w:val="right"/>
                <w:tab w:leader="none" w:pos="1120" w:val="decimal"/>
              </w:tabs>
              <w:spacing w:after="280" w:before="280"/>
              <w:ind w:hanging="0" w:left="72" w:right="0"/>
              <w:contextualSpacing w:val="false"/>
              <w:rPr>
                <w:rFonts w:ascii="Arial" w:cs="Arial" w:hAnsi="Arial"/>
                <w:b/>
                <w:bCs/>
                <w:sz w:val="20"/>
                <w:szCs w:val="20"/>
              </w:rPr>
            </w:pPr>
            <w:r>
              <w:rPr>
                <w:rFonts w:ascii="Arial" w:cs="Arial" w:hAnsi="Arial"/>
                <w:b/>
                <w:bCs/>
                <w:sz w:val="20"/>
                <w:szCs w:val="20"/>
              </w:rPr>
              <w:t>$</w:t>
              <w:tab/>
              <w:t>  19,239</w:t>
              <w:tab/>
              <w:t> </w:t>
            </w:r>
          </w:p>
        </w:tc>
        <w:tc>
          <w:tcPr>
            <w:tcW w:type="dxa" w:w="1092"/>
            <w:gridSpan w:val="2"/>
            <w:tcBorders>
              <w:top w:val="nil"/>
              <w:left w:val="nil"/>
              <w:bottom w:val="nil"/>
              <w:right w:val="nil"/>
            </w:tcBorders>
            <w:shd w:fill="auto" w:val="clear"/>
            <w:tcMar>
              <w:left w:type="dxa" w:w="144"/>
            </w:tcMar>
            <w:vAlign w:val="bottom"/>
          </w:tcPr>
          <w:p>
            <w:pPr>
              <w:pStyle w:val="style62"/>
              <w:tabs>
                <w:tab w:leader="none" w:pos="927" w:val="right"/>
                <w:tab w:leader="none" w:pos="1020" w:val="right"/>
              </w:tabs>
              <w:spacing w:after="280" w:before="280"/>
              <w:ind w:hanging="0" w:left="72" w:right="0"/>
              <w:contextualSpacing w:val="false"/>
              <w:rPr>
                <w:rFonts w:ascii="Arial" w:cs="Arial" w:hAnsi="Arial"/>
                <w:sz w:val="20"/>
                <w:szCs w:val="20"/>
              </w:rPr>
            </w:pPr>
            <w:r>
              <w:rPr>
                <w:rFonts w:ascii="Arial" w:cs="Arial" w:hAnsi="Arial"/>
                <w:sz w:val="20"/>
                <w:szCs w:val="20"/>
              </w:rPr>
              <w:t>$</w:t>
              <w:tab/>
              <w:t>  18,400</w:t>
              <w:tab/>
              <w:t> </w:t>
            </w:r>
          </w:p>
        </w:tc>
        <w:tc>
          <w:tcPr>
            <w:tcW w:type="dxa" w:w="1092"/>
            <w:tcBorders>
              <w:top w:val="nil"/>
              <w:left w:val="nil"/>
              <w:bottom w:val="nil"/>
              <w:right w:val="nil"/>
            </w:tcBorders>
            <w:shd w:fill="auto" w:val="clear"/>
            <w:tcMar>
              <w:left w:type="dxa" w:w="144"/>
            </w:tcMar>
            <w:vAlign w:val="bottom"/>
          </w:tcPr>
          <w:p>
            <w:pPr>
              <w:pStyle w:val="style62"/>
              <w:tabs>
                <w:tab w:leader="none" w:pos="927" w:val="right"/>
                <w:tab w:leader="none" w:pos="1020" w:val="right"/>
              </w:tabs>
              <w:spacing w:after="280" w:before="280"/>
              <w:ind w:hanging="0" w:left="72" w:right="0"/>
              <w:contextualSpacing w:val="false"/>
              <w:rPr>
                <w:rFonts w:ascii="Arial" w:cs="Arial" w:hAnsi="Arial"/>
                <w:sz w:val="20"/>
                <w:szCs w:val="20"/>
              </w:rPr>
            </w:pPr>
            <w:r>
              <w:rPr>
                <w:rFonts w:ascii="Arial" w:cs="Arial" w:hAnsi="Arial"/>
                <w:sz w:val="20"/>
                <w:szCs w:val="20"/>
              </w:rPr>
              <w:t>$</w:t>
              <w:tab/>
              <w:t>  19,061</w:t>
              <w:tab/>
              <w:t> </w:t>
            </w:r>
          </w:p>
        </w:tc>
        <w:tc>
          <w:tcPr>
            <w:tcW w:type="dxa" w:w="1178"/>
            <w:tcBorders>
              <w:top w:val="nil"/>
              <w:left w:val="nil"/>
              <w:bottom w:val="nil"/>
              <w:right w:val="nil"/>
            </w:tcBorders>
            <w:shd w:fill="auto" w:val="clear"/>
            <w:tcMar>
              <w:left w:type="dxa" w:w="144"/>
            </w:tcMar>
            <w:vAlign w:val="bottom"/>
          </w:tcPr>
          <w:p>
            <w:pPr>
              <w:pStyle w:val="style62"/>
              <w:tabs>
                <w:tab w:leader="none" w:pos="1008" w:val="right"/>
                <w:tab w:leader="none" w:pos="1240" w:val="decimal"/>
              </w:tabs>
              <w:spacing w:after="280" w:before="280"/>
              <w:contextualSpacing w:val="false"/>
              <w:rPr>
                <w:rFonts w:ascii="Arial" w:cs="Arial" w:hAnsi="Arial"/>
                <w:sz w:val="20"/>
                <w:szCs w:val="20"/>
              </w:rPr>
            </w:pPr>
            <w:r>
              <w:rPr>
                <w:rFonts w:ascii="Arial" w:cs="Arial" w:hAnsi="Arial"/>
                <w:sz w:val="20"/>
                <w:szCs w:val="20"/>
              </w:rPr>
              <w:tab/>
              <w:t>5%</w:t>
              <w:tab/>
              <w:t> </w:t>
            </w:r>
          </w:p>
        </w:tc>
        <w:tc>
          <w:tcPr>
            <w:tcW w:type="dxa" w:w="1190"/>
            <w:tcBorders>
              <w:top w:val="nil"/>
              <w:left w:val="nil"/>
              <w:bottom w:val="nil"/>
              <w:right w:val="nil"/>
            </w:tcBorders>
            <w:shd w:fill="auto" w:val="clear"/>
            <w:tcMar>
              <w:left w:type="dxa" w:w="144"/>
            </w:tcMar>
            <w:vAlign w:val="bottom"/>
          </w:tcPr>
          <w:p>
            <w:pPr>
              <w:pStyle w:val="style62"/>
              <w:tabs>
                <w:tab w:leader="none" w:pos="1044" w:val="right"/>
                <w:tab w:leader="none" w:pos="1240" w:val="decimal"/>
              </w:tabs>
              <w:spacing w:after="280" w:before="280"/>
              <w:contextualSpacing w:val="false"/>
              <w:rPr>
                <w:rFonts w:ascii="Arial" w:cs="Arial" w:hAnsi="Arial"/>
                <w:sz w:val="20"/>
                <w:szCs w:val="20"/>
              </w:rPr>
            </w:pPr>
            <w:r>
              <w:rPr>
                <w:rFonts w:ascii="Arial" w:cs="Arial" w:hAnsi="Arial"/>
                <w:sz w:val="20"/>
                <w:szCs w:val="20"/>
              </w:rPr>
              <w:tab/>
              <w:t>(3)%</w:t>
              <w:tab/>
            </w:r>
          </w:p>
        </w:tc>
      </w:tr>
      <w:tr>
        <w:trPr>
          <w:cantSplit w:val="false"/>
        </w:trPr>
        <w:tc>
          <w:tcPr>
            <w:tcW w:type="dxa" w:w="515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Operating income</w:t>
            </w:r>
          </w:p>
        </w:tc>
        <w:tc>
          <w:tcPr>
            <w:tcW w:type="dxa" w:w="1092"/>
            <w:gridSpan w:val="2"/>
            <w:tcBorders>
              <w:top w:val="nil"/>
              <w:left w:val="nil"/>
              <w:bottom w:val="nil"/>
              <w:right w:val="nil"/>
            </w:tcBorders>
            <w:shd w:fill="auto" w:val="clear"/>
            <w:tcMar>
              <w:left w:type="dxa" w:w="144"/>
            </w:tcMar>
            <w:vAlign w:val="bottom"/>
          </w:tcPr>
          <w:p>
            <w:pPr>
              <w:pStyle w:val="style62"/>
              <w:tabs>
                <w:tab w:leader="none" w:pos="927" w:val="right"/>
                <w:tab w:leader="none" w:pos="1120" w:val="decimal"/>
              </w:tabs>
              <w:spacing w:after="280" w:before="280"/>
              <w:ind w:hanging="0" w:left="72" w:right="0"/>
              <w:contextualSpacing w:val="false"/>
              <w:rPr>
                <w:rFonts w:ascii="Arial" w:cs="Arial" w:hAnsi="Arial"/>
                <w:b/>
                <w:bCs/>
                <w:sz w:val="20"/>
                <w:szCs w:val="20"/>
              </w:rPr>
            </w:pPr>
            <w:r>
              <w:rPr>
                <w:rFonts w:ascii="Arial" w:cs="Arial" w:hAnsi="Arial"/>
                <w:b/>
                <w:bCs/>
                <w:sz w:val="20"/>
                <w:szCs w:val="20"/>
              </w:rPr>
              <w:t>$</w:t>
              <w:tab/>
              <w:t>9,504</w:t>
              <w:tab/>
            </w:r>
          </w:p>
        </w:tc>
        <w:tc>
          <w:tcPr>
            <w:tcW w:type="dxa" w:w="1092"/>
            <w:gridSpan w:val="2"/>
            <w:tcBorders>
              <w:top w:val="nil"/>
              <w:left w:val="nil"/>
              <w:bottom w:val="nil"/>
              <w:right w:val="nil"/>
            </w:tcBorders>
            <w:shd w:fill="auto" w:val="clear"/>
            <w:tcMar>
              <w:left w:type="dxa" w:w="144"/>
            </w:tcMar>
            <w:vAlign w:val="bottom"/>
          </w:tcPr>
          <w:p>
            <w:pPr>
              <w:pStyle w:val="style62"/>
              <w:tabs>
                <w:tab w:leader="none" w:pos="927" w:val="right"/>
                <w:tab w:leader="none" w:pos="1020" w:val="right"/>
              </w:tabs>
              <w:spacing w:after="280" w:before="280"/>
              <w:ind w:hanging="0" w:left="72" w:right="0"/>
              <w:contextualSpacing w:val="false"/>
              <w:rPr>
                <w:rFonts w:ascii="Arial" w:cs="Arial" w:hAnsi="Arial"/>
                <w:sz w:val="20"/>
                <w:szCs w:val="20"/>
              </w:rPr>
            </w:pPr>
            <w:r>
              <w:rPr>
                <w:rFonts w:ascii="Arial" w:cs="Arial" w:hAnsi="Arial"/>
                <w:sz w:val="20"/>
                <w:szCs w:val="20"/>
              </w:rPr>
              <w:t>$</w:t>
              <w:tab/>
              <w:t>11,555</w:t>
              <w:tab/>
            </w:r>
          </w:p>
        </w:tc>
        <w:tc>
          <w:tcPr>
            <w:tcW w:type="dxa" w:w="1092"/>
            <w:tcBorders>
              <w:top w:val="nil"/>
              <w:left w:val="nil"/>
              <w:bottom w:val="nil"/>
              <w:right w:val="nil"/>
            </w:tcBorders>
            <w:shd w:fill="auto" w:val="clear"/>
            <w:tcMar>
              <w:left w:type="dxa" w:w="144"/>
            </w:tcMar>
            <w:vAlign w:val="bottom"/>
          </w:tcPr>
          <w:p>
            <w:pPr>
              <w:pStyle w:val="style62"/>
              <w:tabs>
                <w:tab w:leader="none" w:pos="927" w:val="right"/>
                <w:tab w:leader="none" w:pos="1020" w:val="right"/>
              </w:tabs>
              <w:spacing w:after="280" w:before="280"/>
              <w:ind w:hanging="0" w:left="72" w:right="0"/>
              <w:contextualSpacing w:val="false"/>
              <w:rPr>
                <w:rFonts w:ascii="Arial" w:cs="Arial" w:hAnsi="Arial"/>
                <w:sz w:val="20"/>
                <w:szCs w:val="20"/>
              </w:rPr>
            </w:pPr>
            <w:r>
              <w:rPr>
                <w:rFonts w:ascii="Arial" w:cs="Arial" w:hAnsi="Arial"/>
                <w:sz w:val="20"/>
                <w:szCs w:val="20"/>
              </w:rPr>
              <w:t>$</w:t>
              <w:tab/>
              <w:t>12,280</w:t>
              <w:tab/>
            </w:r>
          </w:p>
        </w:tc>
        <w:tc>
          <w:tcPr>
            <w:tcW w:type="dxa" w:w="1178"/>
            <w:tcBorders>
              <w:top w:val="nil"/>
              <w:left w:val="nil"/>
              <w:bottom w:val="nil"/>
              <w:right w:val="nil"/>
            </w:tcBorders>
            <w:shd w:fill="auto" w:val="clear"/>
            <w:tcMar>
              <w:left w:type="dxa" w:w="144"/>
            </w:tcMar>
            <w:vAlign w:val="bottom"/>
          </w:tcPr>
          <w:p>
            <w:pPr>
              <w:pStyle w:val="style62"/>
              <w:tabs>
                <w:tab w:leader="none" w:pos="1008" w:val="right"/>
                <w:tab w:leader="none" w:pos="1240" w:val="decimal"/>
              </w:tabs>
              <w:spacing w:after="280" w:before="280"/>
              <w:contextualSpacing w:val="false"/>
              <w:rPr>
                <w:rFonts w:ascii="Arial" w:cs="Arial" w:hAnsi="Arial"/>
                <w:sz w:val="20"/>
                <w:szCs w:val="20"/>
              </w:rPr>
            </w:pPr>
            <w:r>
              <w:rPr>
                <w:rFonts w:ascii="Arial" w:cs="Arial" w:hAnsi="Arial"/>
                <w:sz w:val="20"/>
                <w:szCs w:val="20"/>
              </w:rPr>
              <w:tab/>
              <w:t>(18)%</w:t>
              <w:tab/>
              <w:t> </w:t>
            </w:r>
          </w:p>
        </w:tc>
        <w:tc>
          <w:tcPr>
            <w:tcW w:type="dxa" w:w="1190"/>
            <w:tcBorders>
              <w:top w:val="nil"/>
              <w:left w:val="nil"/>
              <w:bottom w:val="nil"/>
              <w:right w:val="nil"/>
            </w:tcBorders>
            <w:shd w:fill="auto" w:val="clear"/>
            <w:tcMar>
              <w:left w:type="dxa" w:w="144"/>
            </w:tcMar>
            <w:vAlign w:val="bottom"/>
          </w:tcPr>
          <w:p>
            <w:pPr>
              <w:pStyle w:val="style62"/>
              <w:tabs>
                <w:tab w:leader="none" w:pos="1044" w:val="right"/>
                <w:tab w:leader="none" w:pos="1240" w:val="decimal"/>
              </w:tabs>
              <w:spacing w:after="280" w:before="280"/>
              <w:contextualSpacing w:val="false"/>
              <w:rPr>
                <w:rFonts w:ascii="Arial" w:cs="Arial" w:hAnsi="Arial"/>
                <w:sz w:val="20"/>
                <w:szCs w:val="20"/>
              </w:rPr>
            </w:pPr>
            <w:r>
              <w:rPr>
                <w:rFonts w:ascii="Arial" w:cs="Arial" w:hAnsi="Arial"/>
                <w:sz w:val="20"/>
                <w:szCs w:val="20"/>
              </w:rPr>
              <w:tab/>
              <w:t>(6)%</w:t>
              <w:tab/>
            </w:r>
          </w:p>
        </w:tc>
      </w:tr>
    </w:tbl>
    <w:p>
      <w:pPr>
        <w:pStyle w:val="style59"/>
        <w:pBdr>
          <w:top w:color="000001" w:space="0" w:sz="4" w:val="single"/>
          <w:left w:val="nil"/>
          <w:bottom w:val="nil"/>
          <w:insideH w:val="nil"/>
          <w:right w:val="nil"/>
          <w:insideV w:val="nil"/>
        </w:pBdr>
        <w:rPr/>
      </w:pPr>
      <w:r>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Windows Division develops and markets operating systems for computing devices, related software and online services, Surface RT and Pro devices, and PC accessories. This collection of software, hardware, and services is designed to empower individuals, companies, and organizations and to simplify everyday tasks through seamless operations across the user’s hardware and software. The general availability of Surface RT and Windows 8 started October 26, 2012. The general availability of Surface Pro started February 9, 2013.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Currently, approximately 65% of total Windows Division revenue comes from Windows operating systems purchased by original equipment manufacturers (“OEMs”) and pre-installed on devices they sell. The remaining Windows Division revenue is generated by commercial and retail sales of Windows, Surface, PC accessories, and online advertising.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2013 compared with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Windows Division revenue increased $839 million. Surface revenue was $853 million. Revenue from commercial licensing of Windows increased $487 million, while unearned revenue from commercial licensing also increased, reflecting continued support of our platform. In addition, we recognized $540 million of previously deferred revenue related to the expiration of the Windows Upgrade Offer. Partially offsetting these increases was a decrease in OEM revenue.</w:t>
      </w:r>
    </w:p>
    <w:p>
      <w:pPr>
        <w:pStyle w:val="style62"/>
        <w:spacing w:after="280" w:before="280"/>
        <w:contextualSpacing w:val="false"/>
        <w:jc w:val="both"/>
        <w:rPr>
          <w:rFonts w:ascii="Arial" w:cs="Arial" w:hAnsi="Arial"/>
          <w:sz w:val="20"/>
          <w:szCs w:val="20"/>
        </w:rPr>
      </w:pPr>
      <w:r>
        <w:rPr>
          <w:rFonts w:ascii="Arial" w:cs="Arial" w:hAnsi="Arial"/>
          <w:sz w:val="20"/>
          <w:szCs w:val="20"/>
        </w:rPr>
        <w:t>OEM revenue decreased 3%. Excluding the impact of the Windows Upgrade Offer, OEM revenue decreased 10%. This decrease primarily reflects the impact on revenue of the decline in the x86 PC market, which we estimate declined approximately 9%.</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May 2013, we announced that we had surpassed 100 million licenses sold for Windows 8.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Windows Division operating income decreased, primarily due to higher cost of revenue and sales and marketing expenses, offset in part by revenue growth. Cost of revenue increased $1.8 billion, reflecting a $1.6 billion increase in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product costs associated with Surface and Windows 8, including a charge for Surface RT inventory adjustments of approximately $900 million. Sales and marketing expenses increased $1.0 billion or 34%, reflecting an $898 million increase in advertising costs associated primarily with Windows 8 and Surface.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2012 compared with fiscal year 2011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Windows Division revenue reflected relative performance in the PC market segments. We estimate that sales of PCs to businesses grew approximately 4% and sales of PCs to consumers decreased 1%. Excluding a decline in sales of netbooks, we estimate that sales of PCs to consumers grew approximately 5%. Taken together, the total PC market increased an estimated 0% to 2%. Relative to PC market growth, Windows Division revenue was negatively impacted by higher growth in emerging markets, where average selling prices are lower than developed markets, and the deferral of $540 million of revenue relating to the Windows Upgrade Offer.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Windows Division operating income decreased, due mainly to lower revenue and a $172 million or 11% increase in research and development expenses, primarily associated with the Windows 8 operating system.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Server and Tools </w:t>
      </w:r>
    </w:p>
    <w:p>
      <w:pPr>
        <w:pStyle w:val="style62"/>
        <w:keepNext/>
        <w:spacing w:after="280" w:before="280"/>
        <w:contextualSpacing w:val="false"/>
        <w:rPr>
          <w:sz w:val="18"/>
          <w:szCs w:val="18"/>
        </w:rPr>
      </w:pPr>
      <w:r>
        <w:rPr>
          <w:sz w:val="18"/>
          <w:szCs w:val="18"/>
        </w:rPr>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4295"/>
        <w:gridCol w:w="1279"/>
        <w:gridCol w:w="1220"/>
        <w:gridCol w:w="1219"/>
        <w:gridCol w:w="1400"/>
        <w:gridCol w:w="1386"/>
      </w:tblGrid>
      <w:tr>
        <w:trPr>
          <w:tblHeader w:val="true"/>
          <w:cantSplit w:val="false"/>
        </w:trPr>
        <w:tc>
          <w:tcPr>
            <w:tcW w:type="dxa" w:w="4295"/>
            <w:tcBorders>
              <w:top w:val="nil"/>
              <w:left w:val="nil"/>
              <w:bottom w:val="nil"/>
              <w:right w:val="nil"/>
            </w:tcBorders>
            <w:shd w:fill="auto" w:val="clear"/>
            <w:vAlign w:val="center"/>
          </w:tcPr>
          <w:p>
            <w:pPr>
              <w:pStyle w:val="style0"/>
              <w:rPr>
                <w:sz w:val="1"/>
                <w:szCs w:val="24"/>
              </w:rPr>
            </w:pPr>
            <w:bookmarkStart w:id="1" w:name="OLE_LINK6"/>
            <w:bookmarkStart w:id="2" w:name="OLE_LINK6"/>
            <w:bookmarkEnd w:id="2"/>
            <w:r>
              <w:rPr>
                <w:sz w:val="1"/>
                <w:szCs w:val="24"/>
              </w:rPr>
            </w:r>
          </w:p>
        </w:tc>
        <w:tc>
          <w:tcPr>
            <w:tcW w:type="dxa" w:w="1279"/>
            <w:tcBorders>
              <w:top w:val="nil"/>
              <w:left w:val="nil"/>
              <w:bottom w:val="nil"/>
              <w:right w:val="nil"/>
            </w:tcBorders>
            <w:shd w:fill="auto" w:val="clear"/>
            <w:vAlign w:val="center"/>
          </w:tcPr>
          <w:p>
            <w:pPr>
              <w:pStyle w:val="style0"/>
              <w:rPr>
                <w:sz w:val="1"/>
                <w:szCs w:val="24"/>
              </w:rPr>
            </w:pPr>
            <w:r>
              <w:rPr>
                <w:sz w:val="1"/>
                <w:szCs w:val="24"/>
              </w:rPr>
            </w:r>
          </w:p>
        </w:tc>
        <w:tc>
          <w:tcPr>
            <w:tcW w:type="dxa" w:w="1220"/>
            <w:tcBorders>
              <w:top w:val="nil"/>
              <w:left w:val="nil"/>
              <w:bottom w:val="nil"/>
              <w:right w:val="nil"/>
            </w:tcBorders>
            <w:shd w:fill="auto" w:val="clear"/>
            <w:vAlign w:val="center"/>
          </w:tcPr>
          <w:p>
            <w:pPr>
              <w:pStyle w:val="style0"/>
              <w:rPr>
                <w:sz w:val="1"/>
                <w:szCs w:val="24"/>
              </w:rPr>
            </w:pPr>
            <w:r>
              <w:rPr>
                <w:sz w:val="1"/>
                <w:szCs w:val="24"/>
              </w:rPr>
            </w:r>
          </w:p>
        </w:tc>
        <w:tc>
          <w:tcPr>
            <w:tcW w:type="dxa" w:w="1219"/>
            <w:tcBorders>
              <w:top w:val="nil"/>
              <w:left w:val="nil"/>
              <w:bottom w:val="nil"/>
              <w:right w:val="nil"/>
            </w:tcBorders>
            <w:shd w:fill="auto" w:val="clear"/>
            <w:vAlign w:val="center"/>
          </w:tcPr>
          <w:p>
            <w:pPr>
              <w:pStyle w:val="style0"/>
              <w:rPr>
                <w:sz w:val="1"/>
                <w:szCs w:val="24"/>
              </w:rPr>
            </w:pPr>
            <w:r>
              <w:rPr>
                <w:sz w:val="1"/>
                <w:szCs w:val="24"/>
              </w:rPr>
            </w:r>
          </w:p>
        </w:tc>
        <w:tc>
          <w:tcPr>
            <w:tcW w:type="dxa" w:w="1400"/>
            <w:tcBorders>
              <w:top w:val="nil"/>
              <w:left w:val="nil"/>
              <w:bottom w:val="nil"/>
              <w:right w:val="nil"/>
            </w:tcBorders>
            <w:shd w:fill="auto" w:val="clear"/>
            <w:vAlign w:val="center"/>
          </w:tcPr>
          <w:p>
            <w:pPr>
              <w:pStyle w:val="style0"/>
              <w:rPr>
                <w:sz w:val="1"/>
                <w:szCs w:val="24"/>
              </w:rPr>
            </w:pPr>
            <w:r>
              <w:rPr>
                <w:sz w:val="1"/>
                <w:szCs w:val="24"/>
              </w:rPr>
            </w:r>
          </w:p>
        </w:tc>
        <w:tc>
          <w:tcPr>
            <w:tcW w:type="dxa" w:w="1386"/>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429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percentages)</w:t>
            </w:r>
          </w:p>
        </w:tc>
        <w:tc>
          <w:tcPr>
            <w:tcW w:type="dxa" w:w="1279"/>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2013</w:t>
            </w:r>
          </w:p>
        </w:tc>
        <w:tc>
          <w:tcPr>
            <w:tcW w:type="dxa" w:w="122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2012</w:t>
            </w:r>
          </w:p>
        </w:tc>
        <w:tc>
          <w:tcPr>
            <w:tcW w:type="dxa" w:w="1219"/>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2011</w:t>
            </w:r>
          </w:p>
        </w:tc>
        <w:tc>
          <w:tcPr>
            <w:tcW w:type="dxa" w:w="140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Percentage</w:t>
              <w:br/>
              <w:t>Change 2013</w:t>
              <w:br/>
              <w:t>Versus 2012</w:t>
            </w:r>
          </w:p>
        </w:tc>
        <w:tc>
          <w:tcPr>
            <w:tcW w:type="dxa" w:w="1386"/>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Percentage</w:t>
              <w:br/>
              <w:t>Change 2012</w:t>
              <w:br/>
              <w:t>Versus 2011</w:t>
            </w:r>
          </w:p>
        </w:tc>
      </w:tr>
      <w:tr>
        <w:trPr>
          <w:cantSplit w:val="false"/>
        </w:trPr>
        <w:tc>
          <w:tcPr>
            <w:tcW w:type="dxa" w:w="10799"/>
            <w:gridSpan w:val="6"/>
            <w:tcBorders>
              <w:top w:val="nil"/>
              <w:left w:val="nil"/>
              <w:bottom w:val="nil"/>
              <w:right w:val="nil"/>
            </w:tcBorders>
            <w:shd w:fill="auto" w:val="clear"/>
            <w:tcMar>
              <w:left w:type="dxa" w:w="144"/>
            </w:tcMar>
            <w:vAlign w:val="bottom"/>
          </w:tcPr>
          <w:p>
            <w:pPr>
              <w:pStyle w:val="style59"/>
              <w:spacing w:after="0" w:before="20"/>
              <w:ind w:hanging="0" w:left="-171" w:right="0"/>
              <w:contextualSpacing w:val="false"/>
              <w:rPr/>
            </w:pPr>
            <w:r>
              <w:rPr/>
              <w:t> </w:t>
            </w:r>
          </w:p>
        </w:tc>
      </w:tr>
      <w:tr>
        <w:trPr>
          <w:trHeight w:hRule="atLeast" w:val="75"/>
          <w:cantSplit w:val="false"/>
        </w:trPr>
        <w:tc>
          <w:tcPr>
            <w:tcW w:type="dxa" w:w="4295"/>
            <w:tcBorders>
              <w:top w:val="nil"/>
              <w:left w:val="nil"/>
              <w:bottom w:val="nil"/>
              <w:right w:val="nil"/>
            </w:tcBorders>
            <w:shd w:fill="auto" w:val="clear"/>
            <w:vAlign w:val="center"/>
          </w:tcPr>
          <w:p>
            <w:pPr>
              <w:pStyle w:val="style0"/>
              <w:rPr>
                <w:sz w:val="8"/>
                <w:szCs w:val="24"/>
              </w:rPr>
            </w:pPr>
            <w:r>
              <w:rPr>
                <w:sz w:val="8"/>
                <w:szCs w:val="24"/>
              </w:rPr>
            </w:r>
          </w:p>
        </w:tc>
        <w:tc>
          <w:tcPr>
            <w:tcW w:type="dxa" w:w="1279"/>
            <w:tcBorders>
              <w:top w:val="nil"/>
              <w:left w:val="nil"/>
              <w:bottom w:val="nil"/>
              <w:right w:val="nil"/>
            </w:tcBorders>
            <w:shd w:fill="auto" w:val="clear"/>
            <w:vAlign w:val="center"/>
          </w:tcPr>
          <w:p>
            <w:pPr>
              <w:pStyle w:val="style0"/>
              <w:rPr>
                <w:sz w:val="8"/>
                <w:szCs w:val="24"/>
              </w:rPr>
            </w:pPr>
            <w:r>
              <w:rPr>
                <w:sz w:val="8"/>
                <w:szCs w:val="24"/>
              </w:rPr>
            </w:r>
          </w:p>
        </w:tc>
        <w:tc>
          <w:tcPr>
            <w:tcW w:type="dxa" w:w="1220"/>
            <w:tcBorders>
              <w:top w:val="nil"/>
              <w:left w:val="nil"/>
              <w:bottom w:val="nil"/>
              <w:right w:val="nil"/>
            </w:tcBorders>
            <w:shd w:fill="auto" w:val="clear"/>
            <w:vAlign w:val="center"/>
          </w:tcPr>
          <w:p>
            <w:pPr>
              <w:pStyle w:val="style0"/>
              <w:rPr>
                <w:sz w:val="8"/>
                <w:szCs w:val="24"/>
              </w:rPr>
            </w:pPr>
            <w:r>
              <w:rPr>
                <w:sz w:val="8"/>
                <w:szCs w:val="24"/>
              </w:rPr>
            </w:r>
          </w:p>
        </w:tc>
        <w:tc>
          <w:tcPr>
            <w:tcW w:type="dxa" w:w="1219"/>
            <w:tcBorders>
              <w:top w:val="nil"/>
              <w:left w:val="nil"/>
              <w:bottom w:val="nil"/>
              <w:right w:val="nil"/>
            </w:tcBorders>
            <w:shd w:fill="auto" w:val="clear"/>
            <w:vAlign w:val="center"/>
          </w:tcPr>
          <w:p>
            <w:pPr>
              <w:pStyle w:val="style0"/>
              <w:rPr>
                <w:sz w:val="8"/>
                <w:szCs w:val="24"/>
              </w:rPr>
            </w:pPr>
            <w:r>
              <w:rPr>
                <w:sz w:val="8"/>
                <w:szCs w:val="24"/>
              </w:rPr>
            </w:r>
          </w:p>
        </w:tc>
        <w:tc>
          <w:tcPr>
            <w:tcW w:type="dxa" w:w="1400"/>
            <w:tcBorders>
              <w:top w:val="nil"/>
              <w:left w:val="nil"/>
              <w:bottom w:val="nil"/>
              <w:right w:val="nil"/>
            </w:tcBorders>
            <w:shd w:fill="auto" w:val="clear"/>
            <w:vAlign w:val="center"/>
          </w:tcPr>
          <w:p>
            <w:pPr>
              <w:pStyle w:val="style0"/>
              <w:rPr>
                <w:sz w:val="8"/>
                <w:szCs w:val="24"/>
              </w:rPr>
            </w:pPr>
            <w:r>
              <w:rPr>
                <w:sz w:val="8"/>
                <w:szCs w:val="24"/>
              </w:rPr>
            </w:r>
          </w:p>
        </w:tc>
        <w:tc>
          <w:tcPr>
            <w:tcW w:type="dxa" w:w="1386"/>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4295"/>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Revenue</w:t>
            </w:r>
          </w:p>
        </w:tc>
        <w:tc>
          <w:tcPr>
            <w:tcW w:type="dxa" w:w="1279"/>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0"/>
              <w:contextualSpacing w:val="false"/>
              <w:rPr>
                <w:rFonts w:ascii="Arial" w:cs="Arial" w:hAnsi="Arial"/>
                <w:b/>
                <w:bCs/>
                <w:sz w:val="20"/>
                <w:szCs w:val="20"/>
              </w:rPr>
            </w:pPr>
            <w:r>
              <w:rPr>
                <w:rFonts w:ascii="Arial" w:cs="Arial" w:hAnsi="Arial"/>
                <w:b/>
                <w:bCs/>
                <w:sz w:val="20"/>
                <w:szCs w:val="20"/>
              </w:rPr>
              <w:t>$</w:t>
              <w:tab/>
              <w:t>  20,281</w:t>
              <w:tab/>
              <w:t> </w:t>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0"/>
              <w:contextualSpacing w:val="false"/>
              <w:rPr>
                <w:rFonts w:ascii="Arial" w:cs="Arial" w:hAnsi="Arial"/>
                <w:sz w:val="20"/>
                <w:szCs w:val="20"/>
              </w:rPr>
            </w:pPr>
            <w:r>
              <w:rPr>
                <w:rFonts w:ascii="Arial" w:cs="Arial" w:hAnsi="Arial"/>
                <w:sz w:val="20"/>
                <w:szCs w:val="20"/>
              </w:rPr>
              <w:t>$</w:t>
              <w:tab/>
              <w:t> 18,534</w:t>
              <w:tab/>
              <w:t> </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0"/>
              <w:contextualSpacing w:val="false"/>
              <w:rPr>
                <w:rFonts w:ascii="Arial" w:cs="Arial" w:hAnsi="Arial"/>
                <w:sz w:val="20"/>
                <w:szCs w:val="20"/>
              </w:rPr>
            </w:pPr>
            <w:r>
              <w:rPr>
                <w:rFonts w:ascii="Arial" w:cs="Arial" w:hAnsi="Arial"/>
                <w:sz w:val="20"/>
                <w:szCs w:val="20"/>
              </w:rPr>
              <w:t>$</w:t>
              <w:tab/>
              <w:t> 16,559</w:t>
              <w:tab/>
              <w:t> </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9%</w:t>
              <w:tab/>
              <w:t> </w:t>
            </w:r>
          </w:p>
        </w:tc>
        <w:tc>
          <w:tcPr>
            <w:tcW w:type="dxa" w:w="1386"/>
            <w:tcBorders>
              <w:top w:val="nil"/>
              <w:left w:val="nil"/>
              <w:bottom w:val="nil"/>
              <w:right w:val="nil"/>
            </w:tcBorders>
            <w:shd w:fill="auto" w:val="clear"/>
            <w:tcMar>
              <w:left w:type="dxa" w:w="144"/>
            </w:tcMar>
            <w:vAlign w:val="bottom"/>
          </w:tcPr>
          <w:p>
            <w:pPr>
              <w:pStyle w:val="style62"/>
              <w:tabs>
                <w:tab w:leader="none" w:pos="1258" w:val="right"/>
                <w:tab w:leader="none" w:pos="1357" w:val="decimal"/>
              </w:tabs>
              <w:spacing w:after="280" w:before="280"/>
              <w:contextualSpacing w:val="false"/>
              <w:rPr>
                <w:rFonts w:ascii="Arial" w:cs="Arial" w:hAnsi="Arial"/>
                <w:sz w:val="20"/>
                <w:szCs w:val="20"/>
              </w:rPr>
            </w:pPr>
            <w:r>
              <w:rPr>
                <w:rFonts w:ascii="Arial" w:cs="Arial" w:hAnsi="Arial"/>
                <w:sz w:val="20"/>
                <w:szCs w:val="20"/>
              </w:rPr>
              <w:tab/>
              <w:t>12%</w:t>
              <w:tab/>
            </w:r>
          </w:p>
        </w:tc>
      </w:tr>
      <w:tr>
        <w:trPr>
          <w:cantSplit w:val="false"/>
        </w:trPr>
        <w:tc>
          <w:tcPr>
            <w:tcW w:type="dxa" w:w="429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Operating income</w:t>
            </w:r>
          </w:p>
        </w:tc>
        <w:tc>
          <w:tcPr>
            <w:tcW w:type="dxa" w:w="1279"/>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0"/>
              <w:contextualSpacing w:val="false"/>
              <w:rPr>
                <w:rFonts w:ascii="Arial" w:cs="Arial" w:hAnsi="Arial"/>
                <w:b/>
                <w:bCs/>
                <w:sz w:val="20"/>
                <w:szCs w:val="20"/>
              </w:rPr>
            </w:pPr>
            <w:r>
              <w:rPr>
                <w:rFonts w:ascii="Arial" w:cs="Arial" w:hAnsi="Arial"/>
                <w:b/>
                <w:bCs/>
                <w:sz w:val="20"/>
                <w:szCs w:val="20"/>
              </w:rPr>
              <w:t>$</w:t>
              <w:tab/>
              <w:t>8,164</w:t>
              <w:tab/>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0"/>
              <w:contextualSpacing w:val="false"/>
              <w:rPr>
                <w:rFonts w:ascii="Arial" w:cs="Arial" w:hAnsi="Arial"/>
                <w:sz w:val="20"/>
                <w:szCs w:val="20"/>
              </w:rPr>
            </w:pPr>
            <w:r>
              <w:rPr>
                <w:rFonts w:ascii="Arial" w:cs="Arial" w:hAnsi="Arial"/>
                <w:sz w:val="20"/>
                <w:szCs w:val="20"/>
              </w:rPr>
              <w:t>$</w:t>
              <w:tab/>
              <w:t>7,235</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0"/>
              <w:contextualSpacing w:val="false"/>
              <w:rPr>
                <w:rFonts w:ascii="Arial" w:cs="Arial" w:hAnsi="Arial"/>
                <w:sz w:val="20"/>
                <w:szCs w:val="20"/>
              </w:rPr>
            </w:pPr>
            <w:r>
              <w:rPr>
                <w:rFonts w:ascii="Arial" w:cs="Arial" w:hAnsi="Arial"/>
                <w:sz w:val="20"/>
                <w:szCs w:val="20"/>
              </w:rPr>
              <w:t>$</w:t>
              <w:tab/>
              <w:t>6,105</w:t>
              <w:tab/>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13%</w:t>
              <w:tab/>
            </w:r>
          </w:p>
        </w:tc>
        <w:tc>
          <w:tcPr>
            <w:tcW w:type="dxa" w:w="1386"/>
            <w:tcBorders>
              <w:top w:val="nil"/>
              <w:left w:val="nil"/>
              <w:bottom w:val="nil"/>
              <w:right w:val="nil"/>
            </w:tcBorders>
            <w:shd w:fill="auto" w:val="clear"/>
            <w:tcMar>
              <w:left w:type="dxa" w:w="144"/>
            </w:tcMar>
            <w:vAlign w:val="bottom"/>
          </w:tcPr>
          <w:p>
            <w:pPr>
              <w:pStyle w:val="style62"/>
              <w:tabs>
                <w:tab w:leader="none" w:pos="1258" w:val="right"/>
                <w:tab w:leader="none" w:pos="1357" w:val="decimal"/>
              </w:tabs>
              <w:spacing w:after="280" w:before="280"/>
              <w:contextualSpacing w:val="false"/>
              <w:rPr>
                <w:rFonts w:ascii="Arial" w:cs="Arial" w:hAnsi="Arial"/>
                <w:sz w:val="20"/>
                <w:szCs w:val="20"/>
              </w:rPr>
            </w:pPr>
            <w:r>
              <w:rPr>
                <w:rFonts w:ascii="Arial" w:cs="Arial" w:hAnsi="Arial"/>
                <w:sz w:val="20"/>
                <w:szCs w:val="20"/>
              </w:rPr>
              <w:tab/>
              <w:t>19%</w:t>
              <w:tab/>
            </w:r>
          </w:p>
        </w:tc>
      </w:tr>
    </w:tbl>
    <w:p>
      <w:pPr>
        <w:pStyle w:val="style59"/>
        <w:pBdr>
          <w:top w:color="000001" w:space="0" w:sz="4" w:val="single"/>
          <w:left w:val="nil"/>
          <w:bottom w:val="nil"/>
          <w:insideH w:val="nil"/>
          <w:right w:val="nil"/>
          <w:insideV w:val="nil"/>
        </w:pBdr>
        <w:rPr/>
      </w:pPr>
      <w:bookmarkStart w:id="3" w:name="OLE_LINK6"/>
      <w:bookmarkEnd w:id="3"/>
      <w:r>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Server and Tools develops and markets technology and related services that enable information technology professionals and their systems to be more productive and efficient. Server and Tools product and service offerings include Windows Server, Microsoft SQL Server, Windows Azure, Visual Studio, System Center products, Windows Embedded device platforms, and Enterprise Services. Enterprise Services comprise Premier product support services and Microsoft Consulting Services. We also offer developer tools, training, and certification. Approximately 80% of Server and Tools revenue comes from product revenue, including purchases through volume licensing programs, licenses sold to OEMs, and retail packaged product, while the remainder comes from Enterprise Services.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2013 compared with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Server and Tools revenue increased in both product sales and Enterprise Services. Product revenue increased $1.3 billion or 9%, driven primarily by growth in Microsoft SQL Server, System Center, and Windows Server. Enterprise Services revenue grew $434 million or 11%, due to growth in both Premier product support and consulting services.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Server and Tools operating income increased, primarily due to revenue growth, offset in part by higher cost of revenue and sales and marketing expenses. Cost of revenue grew $589 million or 15%, reflecting a $269 million increase in headcount-related expenses and a $169 million increase in datacenter expenses. Headcount-related expenses increased due mainly to higher Enterprise Services headcount supporting revenue growth, while datacenter expenses grew primarily to support our online services offerings. Sales and marketing expenses grew $160 million or 3%, reflecting increased fees paid to third-party enterprise software advisors and corporate sales and marketing activities.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2012 compared with fiscal year 2011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Server and Tools revenue increased in both product sales and Enterprise Services. Product revenue increased $1.4 billion or 11%, driven primarily by growth in SQL Server, Windows Server, and System Center, reflecting continued adoption of the Windows platform. Enterprise Services revenue grew $585 million or 17%, due to growth in both Premier product support and consulting services.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Server and Tools operating income increased primarily due to revenue growth, offset in part by higher costs of providing products and services and increased sales and marketing expenses. Cost of revenue increased $678 million or 22%, primarily reflecting higher Enterprise Services headcount-related expenses. Sales and marketing expenses grew $154 million or 3%, reflecting increased corporate marketing activities.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Online Services Division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4382"/>
        <w:gridCol w:w="1251"/>
        <w:gridCol w:w="1190"/>
        <w:gridCol w:w="1190"/>
        <w:gridCol w:w="1400"/>
        <w:gridCol w:w="1386"/>
      </w:tblGrid>
      <w:tr>
        <w:trPr>
          <w:tblHeader w:val="true"/>
          <w:cantSplit w:val="false"/>
        </w:trPr>
        <w:tc>
          <w:tcPr>
            <w:tcW w:type="dxa" w:w="4382"/>
            <w:tcBorders>
              <w:top w:val="nil"/>
              <w:left w:val="nil"/>
              <w:bottom w:val="nil"/>
              <w:right w:val="nil"/>
            </w:tcBorders>
            <w:shd w:fill="auto" w:val="clear"/>
            <w:vAlign w:val="center"/>
          </w:tcPr>
          <w:p>
            <w:pPr>
              <w:pStyle w:val="style0"/>
              <w:rPr>
                <w:sz w:val="1"/>
                <w:szCs w:val="24"/>
              </w:rPr>
            </w:pPr>
            <w:r>
              <w:rPr>
                <w:sz w:val="1"/>
                <w:szCs w:val="24"/>
              </w:rPr>
            </w:r>
          </w:p>
        </w:tc>
        <w:tc>
          <w:tcPr>
            <w:tcW w:type="dxa" w:w="1251"/>
            <w:tcBorders>
              <w:top w:val="nil"/>
              <w:left w:val="nil"/>
              <w:bottom w:val="nil"/>
              <w:right w:val="nil"/>
            </w:tcBorders>
            <w:shd w:fill="auto" w:val="clear"/>
            <w:vAlign w:val="center"/>
          </w:tcPr>
          <w:p>
            <w:pPr>
              <w:pStyle w:val="style0"/>
              <w:rPr>
                <w:sz w:val="1"/>
                <w:szCs w:val="24"/>
              </w:rPr>
            </w:pPr>
            <w:r>
              <w:rPr>
                <w:sz w:val="1"/>
                <w:szCs w:val="24"/>
              </w:rPr>
            </w:r>
          </w:p>
        </w:tc>
        <w:tc>
          <w:tcPr>
            <w:tcW w:type="dxa" w:w="1190"/>
            <w:tcBorders>
              <w:top w:val="nil"/>
              <w:left w:val="nil"/>
              <w:bottom w:val="nil"/>
              <w:right w:val="nil"/>
            </w:tcBorders>
            <w:shd w:fill="auto" w:val="clear"/>
            <w:vAlign w:val="center"/>
          </w:tcPr>
          <w:p>
            <w:pPr>
              <w:pStyle w:val="style0"/>
              <w:rPr>
                <w:sz w:val="1"/>
                <w:szCs w:val="24"/>
              </w:rPr>
            </w:pPr>
            <w:r>
              <w:rPr>
                <w:sz w:val="1"/>
                <w:szCs w:val="24"/>
              </w:rPr>
            </w:r>
          </w:p>
        </w:tc>
        <w:tc>
          <w:tcPr>
            <w:tcW w:type="dxa" w:w="1190"/>
            <w:tcBorders>
              <w:top w:val="nil"/>
              <w:left w:val="nil"/>
              <w:bottom w:val="nil"/>
              <w:right w:val="nil"/>
            </w:tcBorders>
            <w:shd w:fill="auto" w:val="clear"/>
            <w:vAlign w:val="center"/>
          </w:tcPr>
          <w:p>
            <w:pPr>
              <w:pStyle w:val="style0"/>
              <w:rPr>
                <w:sz w:val="1"/>
                <w:szCs w:val="24"/>
              </w:rPr>
            </w:pPr>
            <w:r>
              <w:rPr>
                <w:sz w:val="1"/>
                <w:szCs w:val="24"/>
              </w:rPr>
            </w:r>
          </w:p>
        </w:tc>
        <w:tc>
          <w:tcPr>
            <w:tcW w:type="dxa" w:w="1400"/>
            <w:tcBorders>
              <w:top w:val="nil"/>
              <w:left w:val="nil"/>
              <w:bottom w:val="nil"/>
              <w:right w:val="nil"/>
            </w:tcBorders>
            <w:shd w:fill="auto" w:val="clear"/>
            <w:vAlign w:val="center"/>
          </w:tcPr>
          <w:p>
            <w:pPr>
              <w:pStyle w:val="style0"/>
              <w:rPr>
                <w:sz w:val="1"/>
                <w:szCs w:val="24"/>
              </w:rPr>
            </w:pPr>
            <w:r>
              <w:rPr>
                <w:sz w:val="1"/>
                <w:szCs w:val="24"/>
              </w:rPr>
            </w:r>
          </w:p>
        </w:tc>
        <w:tc>
          <w:tcPr>
            <w:tcW w:type="dxa" w:w="1386"/>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4382"/>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percentages)</w:t>
            </w:r>
          </w:p>
        </w:tc>
        <w:tc>
          <w:tcPr>
            <w:tcW w:type="dxa" w:w="1251"/>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2013</w:t>
            </w:r>
          </w:p>
        </w:tc>
        <w:tc>
          <w:tcPr>
            <w:tcW w:type="dxa" w:w="119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2012</w:t>
            </w:r>
          </w:p>
        </w:tc>
        <w:tc>
          <w:tcPr>
            <w:tcW w:type="dxa" w:w="119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2011</w:t>
            </w:r>
          </w:p>
        </w:tc>
        <w:tc>
          <w:tcPr>
            <w:tcW w:type="dxa" w:w="140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Percentage</w:t>
              <w:br/>
              <w:t>Change 2013</w:t>
              <w:br/>
              <w:t>Versus 2012</w:t>
            </w:r>
          </w:p>
        </w:tc>
        <w:tc>
          <w:tcPr>
            <w:tcW w:type="dxa" w:w="1386"/>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Percentage</w:t>
              <w:br/>
              <w:t>Change 2012</w:t>
              <w:br/>
              <w:t>Versus 2011</w:t>
            </w:r>
          </w:p>
        </w:tc>
      </w:tr>
      <w:tr>
        <w:trPr>
          <w:cantSplit w:val="false"/>
        </w:trPr>
        <w:tc>
          <w:tcPr>
            <w:tcW w:type="dxa" w:w="10799"/>
            <w:gridSpan w:val="6"/>
            <w:tcBorders>
              <w:top w:val="nil"/>
              <w:left w:val="nil"/>
              <w:bottom w:val="nil"/>
              <w:right w:val="nil"/>
            </w:tcBorders>
            <w:shd w:fill="auto" w:val="clear"/>
            <w:tcMar>
              <w:left w:type="dxa" w:w="144"/>
            </w:tcMar>
            <w:vAlign w:val="bottom"/>
          </w:tcPr>
          <w:p>
            <w:pPr>
              <w:pStyle w:val="style59"/>
              <w:spacing w:after="0" w:before="20"/>
              <w:ind w:firstLine="306" w:left="-306" w:right="0"/>
              <w:contextualSpacing w:val="false"/>
              <w:rPr/>
            </w:pPr>
            <w:r>
              <w:rPr/>
              <w:t> </w:t>
            </w:r>
          </w:p>
        </w:tc>
      </w:tr>
      <w:tr>
        <w:trPr>
          <w:trHeight w:hRule="atLeast" w:val="75"/>
          <w:cantSplit w:val="false"/>
        </w:trPr>
        <w:tc>
          <w:tcPr>
            <w:tcW w:type="dxa" w:w="4382"/>
            <w:tcBorders>
              <w:top w:val="nil"/>
              <w:left w:val="nil"/>
              <w:bottom w:val="nil"/>
              <w:right w:val="nil"/>
            </w:tcBorders>
            <w:shd w:fill="auto" w:val="clear"/>
            <w:vAlign w:val="center"/>
          </w:tcPr>
          <w:p>
            <w:pPr>
              <w:pStyle w:val="style0"/>
              <w:rPr>
                <w:sz w:val="8"/>
                <w:szCs w:val="24"/>
              </w:rPr>
            </w:pPr>
            <w:r>
              <w:rPr>
                <w:sz w:val="8"/>
                <w:szCs w:val="24"/>
              </w:rPr>
            </w:r>
          </w:p>
        </w:tc>
        <w:tc>
          <w:tcPr>
            <w:tcW w:type="dxa" w:w="1251"/>
            <w:tcBorders>
              <w:top w:val="nil"/>
              <w:left w:val="nil"/>
              <w:bottom w:val="nil"/>
              <w:right w:val="nil"/>
            </w:tcBorders>
            <w:shd w:fill="auto" w:val="clear"/>
            <w:vAlign w:val="center"/>
          </w:tcPr>
          <w:p>
            <w:pPr>
              <w:pStyle w:val="style0"/>
              <w:rPr>
                <w:sz w:val="8"/>
                <w:szCs w:val="24"/>
              </w:rPr>
            </w:pPr>
            <w:r>
              <w:rPr>
                <w:sz w:val="8"/>
                <w:szCs w:val="24"/>
              </w:rPr>
            </w:r>
          </w:p>
        </w:tc>
        <w:tc>
          <w:tcPr>
            <w:tcW w:type="dxa" w:w="1190"/>
            <w:tcBorders>
              <w:top w:val="nil"/>
              <w:left w:val="nil"/>
              <w:bottom w:val="nil"/>
              <w:right w:val="nil"/>
            </w:tcBorders>
            <w:shd w:fill="auto" w:val="clear"/>
            <w:vAlign w:val="center"/>
          </w:tcPr>
          <w:p>
            <w:pPr>
              <w:pStyle w:val="style0"/>
              <w:rPr>
                <w:sz w:val="8"/>
                <w:szCs w:val="24"/>
              </w:rPr>
            </w:pPr>
            <w:r>
              <w:rPr>
                <w:sz w:val="8"/>
                <w:szCs w:val="24"/>
              </w:rPr>
            </w:r>
          </w:p>
        </w:tc>
        <w:tc>
          <w:tcPr>
            <w:tcW w:type="dxa" w:w="1190"/>
            <w:tcBorders>
              <w:top w:val="nil"/>
              <w:left w:val="nil"/>
              <w:bottom w:val="nil"/>
              <w:right w:val="nil"/>
            </w:tcBorders>
            <w:shd w:fill="auto" w:val="clear"/>
            <w:vAlign w:val="center"/>
          </w:tcPr>
          <w:p>
            <w:pPr>
              <w:pStyle w:val="style0"/>
              <w:rPr>
                <w:sz w:val="8"/>
                <w:szCs w:val="24"/>
              </w:rPr>
            </w:pPr>
            <w:r>
              <w:rPr>
                <w:sz w:val="8"/>
                <w:szCs w:val="24"/>
              </w:rPr>
            </w:r>
          </w:p>
        </w:tc>
        <w:tc>
          <w:tcPr>
            <w:tcW w:type="dxa" w:w="1400"/>
            <w:tcBorders>
              <w:top w:val="nil"/>
              <w:left w:val="nil"/>
              <w:bottom w:val="nil"/>
              <w:right w:val="nil"/>
            </w:tcBorders>
            <w:shd w:fill="auto" w:val="clear"/>
            <w:vAlign w:val="center"/>
          </w:tcPr>
          <w:p>
            <w:pPr>
              <w:pStyle w:val="style0"/>
              <w:rPr>
                <w:sz w:val="8"/>
                <w:szCs w:val="24"/>
              </w:rPr>
            </w:pPr>
            <w:r>
              <w:rPr>
                <w:sz w:val="8"/>
                <w:szCs w:val="24"/>
              </w:rPr>
            </w:r>
          </w:p>
        </w:tc>
        <w:tc>
          <w:tcPr>
            <w:tcW w:type="dxa" w:w="1386"/>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4382"/>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Revenue</w:t>
            </w:r>
          </w:p>
        </w:tc>
        <w:tc>
          <w:tcPr>
            <w:tcW w:type="dxa" w:w="1251"/>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02" w:right="0"/>
              <w:contextualSpacing w:val="false"/>
              <w:rPr>
                <w:rFonts w:ascii="Arial" w:cs="Arial" w:hAnsi="Arial"/>
                <w:b/>
                <w:bCs/>
                <w:sz w:val="20"/>
                <w:szCs w:val="20"/>
              </w:rPr>
            </w:pPr>
            <w:r>
              <w:rPr>
                <w:rFonts w:ascii="Arial" w:cs="Arial" w:hAnsi="Arial"/>
                <w:b/>
                <w:bCs/>
                <w:sz w:val="20"/>
                <w:szCs w:val="20"/>
              </w:rPr>
              <w:t>$</w:t>
              <w:tab/>
              <w:t>   3,201</w:t>
              <w:tab/>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02" w:right="0"/>
              <w:contextualSpacing w:val="false"/>
              <w:rPr>
                <w:rFonts w:ascii="Arial" w:cs="Arial" w:hAnsi="Arial"/>
                <w:sz w:val="20"/>
                <w:szCs w:val="20"/>
              </w:rPr>
            </w:pPr>
            <w:r>
              <w:rPr>
                <w:rFonts w:ascii="Arial" w:cs="Arial" w:hAnsi="Arial"/>
                <w:sz w:val="20"/>
                <w:szCs w:val="20"/>
              </w:rPr>
              <w:t>$</w:t>
              <w:tab/>
              <w:t>   2,867</w:t>
              <w:tab/>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02" w:right="0"/>
              <w:contextualSpacing w:val="false"/>
              <w:rPr>
                <w:rFonts w:ascii="Arial" w:cs="Arial" w:hAnsi="Arial"/>
                <w:sz w:val="20"/>
                <w:szCs w:val="20"/>
              </w:rPr>
            </w:pPr>
            <w:r>
              <w:rPr>
                <w:rFonts w:ascii="Arial" w:cs="Arial" w:hAnsi="Arial"/>
                <w:sz w:val="20"/>
                <w:szCs w:val="20"/>
              </w:rPr>
              <w:t>$</w:t>
              <w:tab/>
              <w:t>   2,607</w:t>
              <w:tab/>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12%</w:t>
              <w:tab/>
              <w:t> </w:t>
            </w:r>
          </w:p>
        </w:tc>
        <w:tc>
          <w:tcPr>
            <w:tcW w:type="dxa" w:w="1386"/>
            <w:tcBorders>
              <w:top w:val="nil"/>
              <w:left w:val="nil"/>
              <w:bottom w:val="nil"/>
              <w:right w:val="nil"/>
            </w:tcBorders>
            <w:shd w:fill="auto" w:val="clear"/>
            <w:tcMar>
              <w:left w:type="dxa" w:w="144"/>
            </w:tcMar>
            <w:vAlign w:val="bottom"/>
          </w:tcPr>
          <w:p>
            <w:pPr>
              <w:pStyle w:val="style62"/>
              <w:tabs>
                <w:tab w:leader="none" w:pos="1240" w:val="right"/>
                <w:tab w:leader="none" w:pos="1708" w:val="decimal"/>
              </w:tabs>
              <w:spacing w:after="280" w:before="280"/>
              <w:contextualSpacing w:val="false"/>
              <w:rPr>
                <w:rFonts w:ascii="Arial" w:cs="Arial" w:hAnsi="Arial"/>
                <w:sz w:val="20"/>
                <w:szCs w:val="20"/>
              </w:rPr>
            </w:pPr>
            <w:r>
              <w:rPr>
                <w:rFonts w:ascii="Arial" w:cs="Arial" w:hAnsi="Arial"/>
                <w:sz w:val="20"/>
                <w:szCs w:val="20"/>
              </w:rPr>
              <w:tab/>
              <w:t>10%</w:t>
              <w:tab/>
            </w:r>
          </w:p>
        </w:tc>
      </w:tr>
      <w:tr>
        <w:trPr>
          <w:cantSplit w:val="false"/>
        </w:trPr>
        <w:tc>
          <w:tcPr>
            <w:tcW w:type="dxa" w:w="4382"/>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Operating loss</w:t>
            </w:r>
          </w:p>
        </w:tc>
        <w:tc>
          <w:tcPr>
            <w:tcW w:type="dxa" w:w="1251"/>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02" w:right="0"/>
              <w:contextualSpacing w:val="false"/>
              <w:rPr>
                <w:rFonts w:ascii="Arial" w:cs="Arial" w:hAnsi="Arial"/>
                <w:b/>
                <w:bCs/>
                <w:sz w:val="20"/>
                <w:szCs w:val="20"/>
              </w:rPr>
            </w:pPr>
            <w:r>
              <w:rPr>
                <w:rFonts w:ascii="Arial" w:cs="Arial" w:hAnsi="Arial"/>
                <w:b/>
                <w:bCs/>
                <w:sz w:val="20"/>
                <w:szCs w:val="20"/>
              </w:rPr>
              <w:t>$</w:t>
              <w:tab/>
              <w:t>(1,281</w:t>
              <w:tab/>
              <w:t>)</w:t>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02" w:right="0"/>
              <w:contextualSpacing w:val="false"/>
              <w:rPr>
                <w:rFonts w:ascii="Arial" w:cs="Arial" w:hAnsi="Arial"/>
                <w:sz w:val="20"/>
                <w:szCs w:val="20"/>
              </w:rPr>
            </w:pPr>
            <w:r>
              <w:rPr>
                <w:rFonts w:ascii="Arial" w:cs="Arial" w:hAnsi="Arial"/>
                <w:sz w:val="20"/>
                <w:szCs w:val="20"/>
              </w:rPr>
              <w:t>$</w:t>
              <w:tab/>
              <w:t>(8,125</w:t>
              <w:tab/>
              <w:t>)</w:t>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02" w:right="0"/>
              <w:contextualSpacing w:val="false"/>
              <w:rPr>
                <w:rFonts w:ascii="Arial" w:cs="Arial" w:hAnsi="Arial"/>
                <w:sz w:val="20"/>
                <w:szCs w:val="20"/>
              </w:rPr>
            </w:pPr>
            <w:r>
              <w:rPr>
                <w:rFonts w:ascii="Arial" w:cs="Arial" w:hAnsi="Arial"/>
                <w:sz w:val="20"/>
                <w:szCs w:val="20"/>
              </w:rPr>
              <w:t>$</w:t>
              <w:tab/>
              <w:t>(2,657</w:t>
              <w:tab/>
              <w:t>)</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w:t>
              <w:tab/>
            </w:r>
          </w:p>
        </w:tc>
        <w:tc>
          <w:tcPr>
            <w:tcW w:type="dxa" w:w="1386"/>
            <w:tcBorders>
              <w:top w:val="nil"/>
              <w:left w:val="nil"/>
              <w:bottom w:val="nil"/>
              <w:right w:val="nil"/>
            </w:tcBorders>
            <w:shd w:fill="auto" w:val="clear"/>
            <w:tcMar>
              <w:left w:type="dxa" w:w="144"/>
            </w:tcMar>
            <w:vAlign w:val="bottom"/>
          </w:tcPr>
          <w:p>
            <w:pPr>
              <w:pStyle w:val="style62"/>
              <w:tabs>
                <w:tab w:leader="none" w:pos="1240" w:val="right"/>
                <w:tab w:leader="none" w:pos="1708" w:val="decimal"/>
              </w:tabs>
              <w:spacing w:after="280" w:before="280"/>
              <w:contextualSpacing w:val="false"/>
              <w:rPr>
                <w:rFonts w:ascii="Arial" w:cs="Arial" w:hAnsi="Arial"/>
                <w:sz w:val="20"/>
                <w:szCs w:val="20"/>
              </w:rPr>
            </w:pPr>
            <w:r>
              <w:rPr>
                <w:rFonts w:ascii="Arial" w:cs="Arial" w:hAnsi="Arial"/>
                <w:sz w:val="20"/>
                <w:szCs w:val="20"/>
              </w:rPr>
              <w:tab/>
              <w:t>*</w:t>
              <w:tab/>
            </w:r>
          </w:p>
        </w:tc>
      </w:tr>
    </w:tbl>
    <w:p>
      <w:pPr>
        <w:pStyle w:val="style59"/>
        <w:pBdr>
          <w:top w:color="000001" w:space="0" w:sz="4" w:val="single"/>
          <w:left w:val="nil"/>
          <w:bottom w:val="nil"/>
          <w:insideH w:val="nil"/>
          <w:right w:val="nil"/>
          <w:insideV w:val="nil"/>
        </w:pBdr>
        <w:rPr/>
      </w:pPr>
      <w:r>
        <w:rPr/>
        <w:t>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w:t>
        <w:tab/>
      </w:r>
      <w:r>
        <w:rPr>
          <w:rFonts w:ascii="Arial" w:cs="Arial" w:hAnsi="Arial"/>
          <w:i/>
          <w:iCs/>
          <w:sz w:val="20"/>
          <w:szCs w:val="20"/>
        </w:rPr>
        <w:t>Not meaningful</w:t>
      </w:r>
      <w:r>
        <w:rPr>
          <w:rFonts w:ascii="Arial" w:cs="Arial" w:hAnsi="Arial"/>
          <w:sz w:val="20"/>
          <w:szCs w:val="20"/>
        </w:rPr>
        <w:t xml:space="preserv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Online Services Division (“OSD”) develops and markets information and content designed to help people simplify tasks and make more informed decisions online, and help advertisers connect with audiences. OSD offerings include Bing, Bing Ads, and MSN. Bing and MSN generate revenue through the sale of search and display advertising, accounting for nearly all of OSD’s revenue.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2013 compared with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Online advertising revenue grew $409 million or 16% to $3.0 billion, reflecting an increase in search advertising revenue, offset in part by a decrease in display advertising revenue. Search revenue grew primarily due to increased revenue per search, resulting from ongoing improvements in ad products, while display advertising revenue decreased primarily due to industry-wide market pressure.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OSD’s operating loss decreased, primarily due to the prior year goodwill impairment charge of $6.2 billion. Operating loss was further reduced by higher revenue and lower cost of revenue and operating expenses. Cost of revenue decreased $302 million or 12%, driven by a $271 million decrease in traffic acquisition costs as well as lower Yahoo! reimbursement costs. Sales and marketing expenses were $120 million or 15% lower, due mainly to decreased corporate sales and marketing activities. Research and development costs increased $94 million or 7%, due primarily to higher headcount-related expenses resulting mainly from increased headcount.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2012 compared with fiscal year 2011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Online advertising revenue grew $317 million or 14% to $2.6 billion, reflecting continued growth in search advertising revenue, offset in part by decreased display advertising revenue. Search revenue grew due to increased revenue per search, increased volumes reflecting general market growth, and share gains in the U.S. According to third-party sources, Bing organic U.S. market share for the month of June 2012 was approximately 16%, and grew 120 basis points year over year. Bing-powered U.S. market share, including Yahoo! properties, was approximately 26% for the month of June 2012, down 100 basis points year over year.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OSD’s fiscal year 2012 operating loss reflects a goodwill impairment charge of $6.2 billion, which we recorded as a result of our annual goodwill impairment test in the fourth quarter. The non-cash, non-tax-deductible charge related mainly to goodwill acquired through our 2007 acquisition of aQuantive, Inc. Excluding the $6.2 billion goodwill impairment charge, OSD’s operating loss was reduced by higher revenue and lower sales and marketing expenses and cost of revenue. Sales and marketing expenses decreased $321 million or 29%, due mainly to lower marketing spend. Cost of revenue decreased $208 million, driven by lower Yahoo! reimbursement costs, amortization, and online operating costs.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Microsoft Business Division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4295"/>
        <w:gridCol w:w="1279"/>
        <w:gridCol w:w="1220"/>
        <w:gridCol w:w="1219"/>
        <w:gridCol w:w="1400"/>
        <w:gridCol w:w="1386"/>
      </w:tblGrid>
      <w:tr>
        <w:trPr>
          <w:tblHeader w:val="true"/>
          <w:cantSplit w:val="false"/>
        </w:trPr>
        <w:tc>
          <w:tcPr>
            <w:tcW w:type="dxa" w:w="4295"/>
            <w:tcBorders>
              <w:top w:val="nil"/>
              <w:left w:val="nil"/>
              <w:bottom w:val="nil"/>
              <w:right w:val="nil"/>
            </w:tcBorders>
            <w:shd w:fill="auto" w:val="clear"/>
            <w:vAlign w:val="center"/>
          </w:tcPr>
          <w:p>
            <w:pPr>
              <w:pStyle w:val="style0"/>
              <w:rPr>
                <w:sz w:val="1"/>
                <w:szCs w:val="24"/>
              </w:rPr>
            </w:pPr>
            <w:r>
              <w:rPr>
                <w:sz w:val="1"/>
                <w:szCs w:val="24"/>
              </w:rPr>
            </w:r>
          </w:p>
        </w:tc>
        <w:tc>
          <w:tcPr>
            <w:tcW w:type="dxa" w:w="1279"/>
            <w:tcBorders>
              <w:top w:val="nil"/>
              <w:left w:val="nil"/>
              <w:bottom w:val="nil"/>
              <w:right w:val="nil"/>
            </w:tcBorders>
            <w:shd w:fill="auto" w:val="clear"/>
            <w:vAlign w:val="center"/>
          </w:tcPr>
          <w:p>
            <w:pPr>
              <w:pStyle w:val="style0"/>
              <w:rPr>
                <w:sz w:val="1"/>
                <w:szCs w:val="24"/>
              </w:rPr>
            </w:pPr>
            <w:r>
              <w:rPr>
                <w:sz w:val="1"/>
                <w:szCs w:val="24"/>
              </w:rPr>
            </w:r>
          </w:p>
        </w:tc>
        <w:tc>
          <w:tcPr>
            <w:tcW w:type="dxa" w:w="1220"/>
            <w:tcBorders>
              <w:top w:val="nil"/>
              <w:left w:val="nil"/>
              <w:bottom w:val="nil"/>
              <w:right w:val="nil"/>
            </w:tcBorders>
            <w:shd w:fill="auto" w:val="clear"/>
            <w:vAlign w:val="center"/>
          </w:tcPr>
          <w:p>
            <w:pPr>
              <w:pStyle w:val="style0"/>
              <w:rPr>
                <w:sz w:val="1"/>
                <w:szCs w:val="24"/>
              </w:rPr>
            </w:pPr>
            <w:r>
              <w:rPr>
                <w:sz w:val="1"/>
                <w:szCs w:val="24"/>
              </w:rPr>
            </w:r>
          </w:p>
        </w:tc>
        <w:tc>
          <w:tcPr>
            <w:tcW w:type="dxa" w:w="1219"/>
            <w:tcBorders>
              <w:top w:val="nil"/>
              <w:left w:val="nil"/>
              <w:bottom w:val="nil"/>
              <w:right w:val="nil"/>
            </w:tcBorders>
            <w:shd w:fill="auto" w:val="clear"/>
            <w:vAlign w:val="center"/>
          </w:tcPr>
          <w:p>
            <w:pPr>
              <w:pStyle w:val="style0"/>
              <w:rPr>
                <w:sz w:val="1"/>
                <w:szCs w:val="24"/>
              </w:rPr>
            </w:pPr>
            <w:r>
              <w:rPr>
                <w:sz w:val="1"/>
                <w:szCs w:val="24"/>
              </w:rPr>
            </w:r>
          </w:p>
        </w:tc>
        <w:tc>
          <w:tcPr>
            <w:tcW w:type="dxa" w:w="1400"/>
            <w:tcBorders>
              <w:top w:val="nil"/>
              <w:left w:val="nil"/>
              <w:bottom w:val="nil"/>
              <w:right w:val="nil"/>
            </w:tcBorders>
            <w:shd w:fill="auto" w:val="clear"/>
            <w:vAlign w:val="center"/>
          </w:tcPr>
          <w:p>
            <w:pPr>
              <w:pStyle w:val="style0"/>
              <w:rPr>
                <w:sz w:val="1"/>
                <w:szCs w:val="24"/>
              </w:rPr>
            </w:pPr>
            <w:r>
              <w:rPr>
                <w:sz w:val="1"/>
                <w:szCs w:val="24"/>
              </w:rPr>
            </w:r>
          </w:p>
        </w:tc>
        <w:tc>
          <w:tcPr>
            <w:tcW w:type="dxa" w:w="1386"/>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429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percentages)</w:t>
            </w:r>
          </w:p>
        </w:tc>
        <w:tc>
          <w:tcPr>
            <w:tcW w:type="dxa" w:w="1279"/>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2013</w:t>
            </w:r>
          </w:p>
        </w:tc>
        <w:tc>
          <w:tcPr>
            <w:tcW w:type="dxa" w:w="122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2012</w:t>
            </w:r>
          </w:p>
        </w:tc>
        <w:tc>
          <w:tcPr>
            <w:tcW w:type="dxa" w:w="1219"/>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2011</w:t>
            </w:r>
          </w:p>
        </w:tc>
        <w:tc>
          <w:tcPr>
            <w:tcW w:type="dxa" w:w="140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Percentage</w:t>
              <w:br/>
              <w:t>Change 2013</w:t>
              <w:br/>
              <w:t>Versus 2012</w:t>
            </w:r>
          </w:p>
        </w:tc>
        <w:tc>
          <w:tcPr>
            <w:tcW w:type="dxa" w:w="1386"/>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Percentage</w:t>
              <w:br/>
              <w:t>Change 2012</w:t>
              <w:br/>
              <w:t>Versus 2011</w:t>
            </w:r>
          </w:p>
        </w:tc>
      </w:tr>
      <w:tr>
        <w:trPr>
          <w:cantSplit w:val="false"/>
        </w:trPr>
        <w:tc>
          <w:tcPr>
            <w:tcW w:type="dxa" w:w="10799"/>
            <w:gridSpan w:val="6"/>
            <w:tcBorders>
              <w:top w:val="nil"/>
              <w:left w:val="nil"/>
              <w:bottom w:val="nil"/>
              <w:right w:val="nil"/>
            </w:tcBorders>
            <w:shd w:fill="auto" w:val="clear"/>
            <w:tcMar>
              <w:left w:type="dxa" w:w="144"/>
            </w:tcMar>
            <w:vAlign w:val="bottom"/>
          </w:tcPr>
          <w:p>
            <w:pPr>
              <w:pStyle w:val="style59"/>
              <w:spacing w:after="0" w:before="20"/>
              <w:ind w:hanging="0" w:left="-126" w:right="0"/>
              <w:contextualSpacing w:val="false"/>
              <w:rPr/>
            </w:pPr>
            <w:r>
              <w:rPr/>
              <w:t> </w:t>
            </w:r>
          </w:p>
        </w:tc>
      </w:tr>
      <w:tr>
        <w:trPr>
          <w:trHeight w:hRule="atLeast" w:val="75"/>
          <w:cantSplit w:val="false"/>
        </w:trPr>
        <w:tc>
          <w:tcPr>
            <w:tcW w:type="dxa" w:w="4295"/>
            <w:tcBorders>
              <w:top w:val="nil"/>
              <w:left w:val="nil"/>
              <w:bottom w:val="nil"/>
              <w:right w:val="nil"/>
            </w:tcBorders>
            <w:shd w:fill="auto" w:val="clear"/>
            <w:vAlign w:val="center"/>
          </w:tcPr>
          <w:p>
            <w:pPr>
              <w:pStyle w:val="style0"/>
              <w:rPr>
                <w:sz w:val="8"/>
                <w:szCs w:val="24"/>
              </w:rPr>
            </w:pPr>
            <w:r>
              <w:rPr>
                <w:sz w:val="8"/>
                <w:szCs w:val="24"/>
              </w:rPr>
            </w:r>
          </w:p>
        </w:tc>
        <w:tc>
          <w:tcPr>
            <w:tcW w:type="dxa" w:w="1279"/>
            <w:tcBorders>
              <w:top w:val="nil"/>
              <w:left w:val="nil"/>
              <w:bottom w:val="nil"/>
              <w:right w:val="nil"/>
            </w:tcBorders>
            <w:shd w:fill="auto" w:val="clear"/>
            <w:vAlign w:val="center"/>
          </w:tcPr>
          <w:p>
            <w:pPr>
              <w:pStyle w:val="style0"/>
              <w:rPr>
                <w:sz w:val="8"/>
                <w:szCs w:val="24"/>
              </w:rPr>
            </w:pPr>
            <w:r>
              <w:rPr>
                <w:sz w:val="8"/>
                <w:szCs w:val="24"/>
              </w:rPr>
            </w:r>
          </w:p>
        </w:tc>
        <w:tc>
          <w:tcPr>
            <w:tcW w:type="dxa" w:w="1220"/>
            <w:tcBorders>
              <w:top w:val="nil"/>
              <w:left w:val="nil"/>
              <w:bottom w:val="nil"/>
              <w:right w:val="nil"/>
            </w:tcBorders>
            <w:shd w:fill="auto" w:val="clear"/>
            <w:vAlign w:val="center"/>
          </w:tcPr>
          <w:p>
            <w:pPr>
              <w:pStyle w:val="style0"/>
              <w:rPr>
                <w:sz w:val="8"/>
                <w:szCs w:val="24"/>
              </w:rPr>
            </w:pPr>
            <w:r>
              <w:rPr>
                <w:sz w:val="8"/>
                <w:szCs w:val="24"/>
              </w:rPr>
            </w:r>
          </w:p>
        </w:tc>
        <w:tc>
          <w:tcPr>
            <w:tcW w:type="dxa" w:w="1219"/>
            <w:tcBorders>
              <w:top w:val="nil"/>
              <w:left w:val="nil"/>
              <w:bottom w:val="nil"/>
              <w:right w:val="nil"/>
            </w:tcBorders>
            <w:shd w:fill="auto" w:val="clear"/>
            <w:vAlign w:val="center"/>
          </w:tcPr>
          <w:p>
            <w:pPr>
              <w:pStyle w:val="style0"/>
              <w:rPr>
                <w:sz w:val="8"/>
                <w:szCs w:val="24"/>
              </w:rPr>
            </w:pPr>
            <w:r>
              <w:rPr>
                <w:sz w:val="8"/>
                <w:szCs w:val="24"/>
              </w:rPr>
            </w:r>
          </w:p>
        </w:tc>
        <w:tc>
          <w:tcPr>
            <w:tcW w:type="dxa" w:w="1400"/>
            <w:tcBorders>
              <w:top w:val="nil"/>
              <w:left w:val="nil"/>
              <w:bottom w:val="nil"/>
              <w:right w:val="nil"/>
            </w:tcBorders>
            <w:shd w:fill="auto" w:val="clear"/>
            <w:vAlign w:val="center"/>
          </w:tcPr>
          <w:p>
            <w:pPr>
              <w:pStyle w:val="style0"/>
              <w:rPr>
                <w:sz w:val="8"/>
                <w:szCs w:val="24"/>
              </w:rPr>
            </w:pPr>
            <w:r>
              <w:rPr>
                <w:sz w:val="8"/>
                <w:szCs w:val="24"/>
              </w:rPr>
            </w:r>
          </w:p>
        </w:tc>
        <w:tc>
          <w:tcPr>
            <w:tcW w:type="dxa" w:w="1386"/>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4295"/>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Revenue</w:t>
            </w:r>
          </w:p>
        </w:tc>
        <w:tc>
          <w:tcPr>
            <w:tcW w:type="dxa" w:w="1279"/>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87" w:right="0"/>
              <w:contextualSpacing w:val="false"/>
              <w:rPr>
                <w:rFonts w:ascii="Arial" w:cs="Arial" w:hAnsi="Arial"/>
                <w:b/>
                <w:bCs/>
                <w:sz w:val="20"/>
                <w:szCs w:val="20"/>
              </w:rPr>
            </w:pPr>
            <w:r>
              <w:rPr>
                <w:rFonts w:ascii="Arial" w:cs="Arial" w:hAnsi="Arial"/>
                <w:b/>
                <w:bCs/>
                <w:sz w:val="20"/>
                <w:szCs w:val="20"/>
              </w:rPr>
              <w:t>$</w:t>
              <w:tab/>
              <w:t>  24,724</w:t>
              <w:tab/>
              <w:t> </w:t>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87" w:right="0"/>
              <w:contextualSpacing w:val="false"/>
              <w:rPr>
                <w:rFonts w:ascii="Arial" w:cs="Arial" w:hAnsi="Arial"/>
                <w:sz w:val="20"/>
                <w:szCs w:val="20"/>
              </w:rPr>
            </w:pPr>
            <w:r>
              <w:rPr>
                <w:rFonts w:ascii="Arial" w:cs="Arial" w:hAnsi="Arial"/>
                <w:sz w:val="20"/>
                <w:szCs w:val="20"/>
              </w:rPr>
              <w:t>$</w:t>
              <w:tab/>
              <w:t> 24,111</w:t>
              <w:tab/>
              <w:t> </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87" w:right="0"/>
              <w:contextualSpacing w:val="false"/>
              <w:rPr>
                <w:rFonts w:ascii="Arial" w:cs="Arial" w:hAnsi="Arial"/>
                <w:sz w:val="20"/>
                <w:szCs w:val="20"/>
              </w:rPr>
            </w:pPr>
            <w:r>
              <w:rPr>
                <w:rFonts w:ascii="Arial" w:cs="Arial" w:hAnsi="Arial"/>
                <w:sz w:val="20"/>
                <w:szCs w:val="20"/>
              </w:rPr>
              <w:t>$</w:t>
              <w:tab/>
              <w:t> 22,607</w:t>
              <w:tab/>
              <w:t> </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3%</w:t>
              <w:tab/>
              <w:t> </w:t>
            </w:r>
          </w:p>
        </w:tc>
        <w:tc>
          <w:tcPr>
            <w:tcW w:type="dxa" w:w="1386"/>
            <w:tcBorders>
              <w:top w:val="nil"/>
              <w:left w:val="nil"/>
              <w:bottom w:val="nil"/>
              <w:right w:val="nil"/>
            </w:tcBorders>
            <w:shd w:fill="auto" w:val="clear"/>
            <w:tcMar>
              <w:left w:type="dxa" w:w="144"/>
            </w:tcMar>
            <w:vAlign w:val="bottom"/>
          </w:tcPr>
          <w:p>
            <w:pPr>
              <w:pStyle w:val="style62"/>
              <w:tabs>
                <w:tab w:leader="none" w:pos="1240" w:val="right"/>
                <w:tab w:leader="none" w:pos="1357" w:val="decimal"/>
              </w:tabs>
              <w:spacing w:after="280" w:before="280"/>
              <w:contextualSpacing w:val="false"/>
              <w:rPr>
                <w:rFonts w:ascii="Arial" w:cs="Arial" w:hAnsi="Arial"/>
                <w:sz w:val="20"/>
                <w:szCs w:val="20"/>
              </w:rPr>
            </w:pPr>
            <w:r>
              <w:rPr>
                <w:rFonts w:ascii="Arial" w:cs="Arial" w:hAnsi="Arial"/>
                <w:sz w:val="20"/>
                <w:szCs w:val="20"/>
              </w:rPr>
              <w:tab/>
              <w:t>7%</w:t>
              <w:tab/>
            </w:r>
          </w:p>
        </w:tc>
      </w:tr>
      <w:tr>
        <w:trPr>
          <w:cantSplit w:val="false"/>
        </w:trPr>
        <w:tc>
          <w:tcPr>
            <w:tcW w:type="dxa" w:w="429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Operating income</w:t>
            </w:r>
          </w:p>
        </w:tc>
        <w:tc>
          <w:tcPr>
            <w:tcW w:type="dxa" w:w="1279"/>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87" w:right="0"/>
              <w:contextualSpacing w:val="false"/>
              <w:rPr>
                <w:rFonts w:ascii="Arial" w:cs="Arial" w:hAnsi="Arial"/>
                <w:b/>
                <w:bCs/>
                <w:sz w:val="20"/>
                <w:szCs w:val="20"/>
              </w:rPr>
            </w:pPr>
            <w:r>
              <w:rPr>
                <w:rFonts w:ascii="Arial" w:cs="Arial" w:hAnsi="Arial"/>
                <w:b/>
                <w:bCs/>
                <w:sz w:val="20"/>
                <w:szCs w:val="20"/>
              </w:rPr>
              <w:t>$</w:t>
              <w:tab/>
              <w:t>16,194</w:t>
              <w:tab/>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87" w:right="0"/>
              <w:contextualSpacing w:val="false"/>
              <w:rPr>
                <w:rFonts w:ascii="Arial" w:cs="Arial" w:hAnsi="Arial"/>
                <w:sz w:val="20"/>
                <w:szCs w:val="20"/>
              </w:rPr>
            </w:pPr>
            <w:r>
              <w:rPr>
                <w:rFonts w:ascii="Arial" w:cs="Arial" w:hAnsi="Arial"/>
                <w:sz w:val="20"/>
                <w:szCs w:val="20"/>
              </w:rPr>
              <w:t>$</w:t>
              <w:tab/>
              <w:t>15,832</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87" w:right="0"/>
              <w:contextualSpacing w:val="false"/>
              <w:rPr>
                <w:rFonts w:ascii="Arial" w:cs="Arial" w:hAnsi="Arial"/>
                <w:sz w:val="20"/>
                <w:szCs w:val="20"/>
              </w:rPr>
            </w:pPr>
            <w:r>
              <w:rPr>
                <w:rFonts w:ascii="Arial" w:cs="Arial" w:hAnsi="Arial"/>
                <w:sz w:val="20"/>
                <w:szCs w:val="20"/>
              </w:rPr>
              <w:t>$</w:t>
              <w:tab/>
              <w:t>14,678</w:t>
              <w:tab/>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2%</w:t>
              <w:tab/>
            </w:r>
          </w:p>
        </w:tc>
        <w:tc>
          <w:tcPr>
            <w:tcW w:type="dxa" w:w="1386"/>
            <w:tcBorders>
              <w:top w:val="nil"/>
              <w:left w:val="nil"/>
              <w:bottom w:val="nil"/>
              <w:right w:val="nil"/>
            </w:tcBorders>
            <w:shd w:fill="auto" w:val="clear"/>
            <w:tcMar>
              <w:left w:type="dxa" w:w="144"/>
            </w:tcMar>
            <w:vAlign w:val="bottom"/>
          </w:tcPr>
          <w:p>
            <w:pPr>
              <w:pStyle w:val="style62"/>
              <w:tabs>
                <w:tab w:leader="none" w:pos="1240" w:val="right"/>
                <w:tab w:leader="none" w:pos="1357" w:val="decimal"/>
              </w:tabs>
              <w:spacing w:after="280" w:before="280"/>
              <w:contextualSpacing w:val="false"/>
              <w:rPr>
                <w:rFonts w:ascii="Arial" w:cs="Arial" w:hAnsi="Arial"/>
                <w:sz w:val="20"/>
                <w:szCs w:val="20"/>
              </w:rPr>
            </w:pPr>
            <w:r>
              <w:rPr>
                <w:rFonts w:ascii="Arial" w:cs="Arial" w:hAnsi="Arial"/>
                <w:sz w:val="20"/>
                <w:szCs w:val="20"/>
              </w:rPr>
              <w:tab/>
              <w:t>8%</w:t>
              <w:tab/>
            </w:r>
          </w:p>
        </w:tc>
      </w:tr>
    </w:tbl>
    <w:p>
      <w:pPr>
        <w:pStyle w:val="style59"/>
        <w:pBdr>
          <w:top w:color="000001" w:space="0" w:sz="4" w:val="single"/>
          <w:left w:val="nil"/>
          <w:bottom w:val="nil"/>
          <w:insideH w:val="nil"/>
          <w:right w:val="nil"/>
          <w:insideV w:val="nil"/>
        </w:pBdr>
        <w:rPr/>
      </w:pPr>
      <w:r>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Microsoft Business Division (“MBD”) develops and markets software and online services designed to increase personal, team, and organization productivity. MBD offerings include the Microsoft Office system (“Office,” comprising mainly the core Office product set, Office 365, SharePoint, Exchange, and Lync), which generates over 90% of MBD revenue, and Microsoft Dynamics business solutions. The general availability of the new Office started on January 29, 2013.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evaluate MBD results based upon the nature of the end user in two primary parts: business revenue and consumer revenue. Business revenue includes Office revenue generated through subscription and volume licensing agreements with software assurance, license-only agreements for Office, and Microsoft Dynamics revenue. Consumer revenue includes revenue from retail packaged product sales and OEM revenue.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2013 compared with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MBD revenue increased reflecting growth in business revenue, partially offset by a decline in consumer revenue. Business revenue increased $1.2 billion or 6%, which reflects 11% growth in Office revenue from subscriptions and volume licensing agreements with software assurance, and a 12% increase in Microsoft Dynamics revenue, offset in part by a 9% decrease in Office license-only revenue. Consumer revenue decreased $582 million or 13%, primarily driven by the impact on revenue of a decline in the x86 PC market.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MBD revenue for the year ended June 30, 2013 included an unfavorable foreign currency impact of $475 million.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MBD operating income increased, primarily due to revenue growth, offset in part by higher sales and marketing expenses and cost of revenue. Sales and marketing expenses grew $185 million or 5%, primarily due to higher advertising expenses, fees paid to third-party software advisors, and increased cross-platform marketing activities. Cost of revenue grew $108 million or 6%, primarily due to an increase in online operation and support costs.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2012 compared with fiscal year 2011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MBD revenue increased primarily reflecting sales of Office. Business revenue increased $1.7 billion or 9%, primarily reflecting growth in multi-year volume licensing revenue, licensing of Office to transactional business customers, and a 9% increase in Microsoft Dynamics revenue. Consumer revenue decreased $193 million or 4% due to the recognition of $254 million of revenue in the prior year associated with the 2010 Office Upgrade Offer. Excluding the fiscal year 2011 impact associated with the 2010 Office Upgrade Offer, consumer revenue increased $61 million, driven by increased sales of Office.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MBD revenue for the year ended June 30, 2012 included a favorable foreign currency impact of $506 million.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MBD operating income increased, primarily due to revenue growth, offset in part by higher cost of revenue and research and development expenses. Cost of revenue increased $278 million or 17%, primarily due to higher online operation and support costs. Research and development expenses increased, due mainly to an increase in headcount-related expenses.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Entertainment and Devices Division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4494"/>
        <w:gridCol w:w="1280"/>
        <w:gridCol w:w="1120"/>
        <w:gridCol w:w="1120"/>
        <w:gridCol w:w="1400"/>
        <w:gridCol w:w="1385"/>
      </w:tblGrid>
      <w:tr>
        <w:trPr>
          <w:tblHeader w:val="true"/>
          <w:cantSplit w:val="false"/>
        </w:trPr>
        <w:tc>
          <w:tcPr>
            <w:tcW w:type="dxa" w:w="4494"/>
            <w:tcBorders>
              <w:top w:val="nil"/>
              <w:left w:val="nil"/>
              <w:bottom w:val="nil"/>
              <w:right w:val="nil"/>
            </w:tcBorders>
            <w:shd w:fill="auto" w:val="clear"/>
            <w:vAlign w:val="center"/>
          </w:tcPr>
          <w:p>
            <w:pPr>
              <w:pStyle w:val="style0"/>
              <w:rPr>
                <w:sz w:val="1"/>
                <w:szCs w:val="24"/>
              </w:rPr>
            </w:pPr>
            <w:bookmarkStart w:id="4" w:name="OLE_LINK7"/>
            <w:bookmarkStart w:id="5" w:name="OLE_LINK7"/>
            <w:bookmarkEnd w:id="5"/>
            <w:r>
              <w:rPr>
                <w:sz w:val="1"/>
                <w:szCs w:val="24"/>
              </w:rPr>
            </w:r>
          </w:p>
        </w:tc>
        <w:tc>
          <w:tcPr>
            <w:tcW w:type="dxa" w:w="1280"/>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400"/>
            <w:tcBorders>
              <w:top w:val="nil"/>
              <w:left w:val="nil"/>
              <w:bottom w:val="nil"/>
              <w:right w:val="nil"/>
            </w:tcBorders>
            <w:shd w:fill="auto" w:val="clear"/>
            <w:vAlign w:val="center"/>
          </w:tcPr>
          <w:p>
            <w:pPr>
              <w:pStyle w:val="style0"/>
              <w:rPr>
                <w:sz w:val="1"/>
                <w:szCs w:val="24"/>
              </w:rPr>
            </w:pPr>
            <w:r>
              <w:rPr>
                <w:sz w:val="1"/>
                <w:szCs w:val="24"/>
              </w:rPr>
            </w:r>
          </w:p>
        </w:tc>
        <w:tc>
          <w:tcPr>
            <w:tcW w:type="dxa" w:w="1385"/>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4494"/>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percentages)</w:t>
            </w:r>
          </w:p>
        </w:tc>
        <w:tc>
          <w:tcPr>
            <w:tcW w:type="dxa" w:w="128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2013</w:t>
            </w:r>
          </w:p>
        </w:tc>
        <w:tc>
          <w:tcPr>
            <w:tcW w:type="dxa" w:w="112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2012</w:t>
            </w:r>
          </w:p>
        </w:tc>
        <w:tc>
          <w:tcPr>
            <w:tcW w:type="dxa" w:w="112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2011</w:t>
            </w:r>
          </w:p>
        </w:tc>
        <w:tc>
          <w:tcPr>
            <w:tcW w:type="dxa" w:w="140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Percentage</w:t>
              <w:br/>
              <w:t>Change 2013</w:t>
              <w:br/>
              <w:t>Versus 2012</w:t>
            </w:r>
          </w:p>
        </w:tc>
        <w:tc>
          <w:tcPr>
            <w:tcW w:type="dxa" w:w="1385"/>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Percentage</w:t>
              <w:br/>
              <w:t>Change 2012</w:t>
              <w:br/>
              <w:t>Versus 2011</w:t>
            </w:r>
          </w:p>
        </w:tc>
      </w:tr>
      <w:tr>
        <w:trPr>
          <w:cantSplit w:val="false"/>
        </w:trPr>
        <w:tc>
          <w:tcPr>
            <w:tcW w:type="dxa" w:w="10799"/>
            <w:gridSpan w:val="6"/>
            <w:tcBorders>
              <w:top w:val="nil"/>
              <w:left w:val="nil"/>
              <w:bottom w:val="nil"/>
              <w:right w:val="nil"/>
            </w:tcBorders>
            <w:shd w:fill="auto" w:val="clear"/>
            <w:tcMar>
              <w:left w:type="dxa" w:w="144"/>
            </w:tcMar>
            <w:vAlign w:val="bottom"/>
          </w:tcPr>
          <w:p>
            <w:pPr>
              <w:pStyle w:val="style59"/>
              <w:spacing w:after="0" w:before="20"/>
              <w:ind w:hanging="0" w:left="-144" w:right="0"/>
              <w:contextualSpacing w:val="false"/>
              <w:rPr/>
            </w:pPr>
            <w:r>
              <w:rPr/>
              <w:t> </w:t>
            </w:r>
          </w:p>
        </w:tc>
      </w:tr>
      <w:tr>
        <w:trPr>
          <w:trHeight w:hRule="atLeast" w:val="75"/>
          <w:cantSplit w:val="false"/>
        </w:trPr>
        <w:tc>
          <w:tcPr>
            <w:tcW w:type="dxa" w:w="4494"/>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400"/>
            <w:tcBorders>
              <w:top w:val="nil"/>
              <w:left w:val="nil"/>
              <w:bottom w:val="nil"/>
              <w:right w:val="nil"/>
            </w:tcBorders>
            <w:shd w:fill="auto" w:val="clear"/>
            <w:vAlign w:val="center"/>
          </w:tcPr>
          <w:p>
            <w:pPr>
              <w:pStyle w:val="style0"/>
              <w:rPr>
                <w:sz w:val="8"/>
                <w:szCs w:val="24"/>
              </w:rPr>
            </w:pPr>
            <w:r>
              <w:rPr>
                <w:sz w:val="8"/>
                <w:szCs w:val="24"/>
              </w:rPr>
            </w:r>
          </w:p>
        </w:tc>
        <w:tc>
          <w:tcPr>
            <w:tcW w:type="dxa" w:w="1385"/>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4494"/>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Revenue</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0"/>
              <w:contextualSpacing w:val="false"/>
              <w:rPr>
                <w:rFonts w:ascii="Arial" w:cs="Arial" w:hAnsi="Arial"/>
                <w:b/>
                <w:bCs/>
                <w:sz w:val="20"/>
                <w:szCs w:val="20"/>
              </w:rPr>
            </w:pPr>
            <w:r>
              <w:rPr>
                <w:rFonts w:ascii="Arial" w:cs="Arial" w:hAnsi="Arial"/>
                <w:b/>
                <w:bCs/>
                <w:sz w:val="20"/>
                <w:szCs w:val="20"/>
              </w:rPr>
              <w:t>$</w:t>
              <w:tab/>
              <w:t>  10,165</w:t>
              <w:tab/>
              <w:t> </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0"/>
              <w:contextualSpacing w:val="false"/>
              <w:rPr>
                <w:rFonts w:ascii="Arial" w:cs="Arial" w:hAnsi="Arial"/>
                <w:sz w:val="20"/>
                <w:szCs w:val="20"/>
              </w:rPr>
            </w:pPr>
            <w:r>
              <w:rPr>
                <w:rFonts w:ascii="Arial" w:cs="Arial" w:hAnsi="Arial"/>
                <w:sz w:val="20"/>
                <w:szCs w:val="20"/>
              </w:rPr>
              <w:t>$</w:t>
              <w:tab/>
              <w:t>  9,599</w:t>
              <w:tab/>
              <w:t> </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0"/>
              <w:contextualSpacing w:val="false"/>
              <w:rPr>
                <w:rFonts w:ascii="Arial" w:cs="Arial" w:hAnsi="Arial"/>
                <w:sz w:val="20"/>
                <w:szCs w:val="20"/>
              </w:rPr>
            </w:pPr>
            <w:r>
              <w:rPr>
                <w:rFonts w:ascii="Arial" w:cs="Arial" w:hAnsi="Arial"/>
                <w:sz w:val="20"/>
                <w:szCs w:val="20"/>
              </w:rPr>
              <w:t>$</w:t>
              <w:tab/>
              <w:t>  8,915</w:t>
              <w:tab/>
              <w:t> </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6%</w:t>
              <w:tab/>
              <w:t> </w:t>
            </w:r>
          </w:p>
        </w:tc>
        <w:tc>
          <w:tcPr>
            <w:tcW w:type="dxa" w:w="1385"/>
            <w:tcBorders>
              <w:top w:val="nil"/>
              <w:left w:val="nil"/>
              <w:bottom w:val="nil"/>
              <w:right w:val="nil"/>
            </w:tcBorders>
            <w:shd w:fill="auto" w:val="clear"/>
            <w:tcMar>
              <w:left w:type="dxa" w:w="144"/>
            </w:tcMar>
            <w:vAlign w:val="bottom"/>
          </w:tcPr>
          <w:p>
            <w:pPr>
              <w:pStyle w:val="style62"/>
              <w:tabs>
                <w:tab w:leader="none" w:pos="1240" w:val="right"/>
                <w:tab w:leader="none" w:pos="1330" w:val="decimal"/>
              </w:tabs>
              <w:spacing w:after="280" w:before="280"/>
              <w:contextualSpacing w:val="false"/>
              <w:rPr>
                <w:rFonts w:ascii="Arial" w:cs="Arial" w:hAnsi="Arial"/>
                <w:sz w:val="20"/>
                <w:szCs w:val="20"/>
              </w:rPr>
            </w:pPr>
            <w:r>
              <w:rPr>
                <w:rFonts w:ascii="Arial" w:cs="Arial" w:hAnsi="Arial"/>
                <w:sz w:val="20"/>
                <w:szCs w:val="20"/>
              </w:rPr>
              <w:tab/>
              <w:t>8%</w:t>
              <w:tab/>
            </w:r>
          </w:p>
        </w:tc>
      </w:tr>
      <w:tr>
        <w:trPr>
          <w:cantSplit w:val="false"/>
        </w:trPr>
        <w:tc>
          <w:tcPr>
            <w:tcW w:type="dxa" w:w="4494"/>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Operating income</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0"/>
              <w:contextualSpacing w:val="false"/>
              <w:rPr>
                <w:rFonts w:ascii="Arial" w:cs="Arial" w:hAnsi="Arial"/>
                <w:b/>
                <w:bCs/>
                <w:sz w:val="20"/>
                <w:szCs w:val="20"/>
              </w:rPr>
            </w:pPr>
            <w:r>
              <w:rPr>
                <w:rFonts w:ascii="Arial" w:cs="Arial" w:hAnsi="Arial"/>
                <w:b/>
                <w:bCs/>
                <w:sz w:val="20"/>
                <w:szCs w:val="20"/>
              </w:rPr>
              <w:t>$</w:t>
              <w:tab/>
              <w:t>848</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0"/>
              <w:contextualSpacing w:val="false"/>
              <w:rPr>
                <w:rFonts w:ascii="Arial" w:cs="Arial" w:hAnsi="Arial"/>
                <w:sz w:val="20"/>
                <w:szCs w:val="20"/>
              </w:rPr>
            </w:pPr>
            <w:r>
              <w:rPr>
                <w:rFonts w:ascii="Arial" w:cs="Arial" w:hAnsi="Arial"/>
                <w:sz w:val="20"/>
                <w:szCs w:val="20"/>
              </w:rPr>
              <w:t>$</w:t>
              <w:tab/>
              <w:t>380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0"/>
              <w:contextualSpacing w:val="false"/>
              <w:rPr>
                <w:rFonts w:ascii="Arial" w:cs="Arial" w:hAnsi="Arial"/>
                <w:sz w:val="20"/>
                <w:szCs w:val="20"/>
              </w:rPr>
            </w:pPr>
            <w:r>
              <w:rPr>
                <w:rFonts w:ascii="Arial" w:cs="Arial" w:hAnsi="Arial"/>
                <w:sz w:val="20"/>
                <w:szCs w:val="20"/>
              </w:rPr>
              <w:t>$</w:t>
              <w:tab/>
              <w:t>1,261</w:t>
              <w:tab/>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123%</w:t>
              <w:tab/>
            </w:r>
          </w:p>
        </w:tc>
        <w:tc>
          <w:tcPr>
            <w:tcW w:type="dxa" w:w="1385"/>
            <w:tcBorders>
              <w:top w:val="nil"/>
              <w:left w:val="nil"/>
              <w:bottom w:val="nil"/>
              <w:right w:val="nil"/>
            </w:tcBorders>
            <w:shd w:fill="auto" w:val="clear"/>
            <w:tcMar>
              <w:left w:type="dxa" w:w="144"/>
            </w:tcMar>
            <w:vAlign w:val="bottom"/>
          </w:tcPr>
          <w:p>
            <w:pPr>
              <w:pStyle w:val="style62"/>
              <w:tabs>
                <w:tab w:leader="none" w:pos="1240" w:val="right"/>
                <w:tab w:leader="none" w:pos="1330" w:val="decimal"/>
              </w:tabs>
              <w:spacing w:after="280" w:before="280"/>
              <w:contextualSpacing w:val="false"/>
              <w:rPr>
                <w:rFonts w:ascii="Arial" w:cs="Arial" w:hAnsi="Arial"/>
                <w:sz w:val="20"/>
                <w:szCs w:val="20"/>
              </w:rPr>
            </w:pPr>
            <w:r>
              <w:rPr>
                <w:rFonts w:ascii="Arial" w:cs="Arial" w:hAnsi="Arial"/>
                <w:sz w:val="20"/>
                <w:szCs w:val="20"/>
              </w:rPr>
              <w:tab/>
              <w:t>(70)%</w:t>
              <w:tab/>
            </w:r>
          </w:p>
        </w:tc>
      </w:tr>
    </w:tbl>
    <w:p>
      <w:pPr>
        <w:pStyle w:val="style59"/>
        <w:pBdr>
          <w:top w:color="000001" w:space="0" w:sz="4" w:val="single"/>
          <w:left w:val="nil"/>
          <w:bottom w:val="nil"/>
          <w:insideH w:val="nil"/>
          <w:right w:val="nil"/>
          <w:insideV w:val="nil"/>
        </w:pBdr>
        <w:rPr/>
      </w:pPr>
      <w:bookmarkStart w:id="6" w:name="OLE_LINK7"/>
      <w:bookmarkEnd w:id="6"/>
      <w:r>
        <w:rPr/>
        <w:t> </w:t>
      </w:r>
    </w:p>
    <w:p>
      <w:pPr>
        <w:pStyle w:val="style59"/>
        <w:pBdr>
          <w:top w:color="000001" w:space="0" w:sz="4" w:val="single"/>
          <w:left w:val="nil"/>
          <w:bottom w:val="nil"/>
          <w:insideH w:val="nil"/>
          <w:right w:val="nil"/>
          <w:insideV w:val="nil"/>
        </w:pBdr>
        <w:rPr/>
      </w:pPr>
      <w:r>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Entertainment and Devices Division (“EDD”) develops and markets products and services designed to entertain and connect people. EDD offerings include the Xbox entertainment platform (which includes the Xbox 360 gaming and entertainment console, Kinect for Xbox 360, Xbox 360 video games, Xbox LIVE, and Xbox 360 accessories), Skype, and Windows Phone, including related patent licensing revenue. We acquired Skype on October 13, 2011, and its results of operations from that date are reflected in our results discussed below. In June 2013, we announced that we expect our next generation console, Xbox One, to be available for purchase in the second quarter of fiscal year 2014.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2013 compared with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EDD revenue increased, due to higher Windows Phone and Skype revenue, offset in part by lower Xbox 360 platform revenue. Windows Phone revenue increased $1.2 billion, including an increase in patent licensing revenue and sales of Windows Phone licenses. Skype revenue increased, due primarily to including a full year of results in fiscal year 2013. Xbox 360 platform revenue decreased $950 million or 12%, due mainly to lower volumes of consoles sold, offset in part by higher Xbox LIVE revenue. We shipped 9.8 million Xbox 360 consoles during fiscal year 2013, compared with 13.0 million Xbox 360 consoles during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EDD operating income increased, primarily due to revenue growth and lower cost of revenue, offset in part by higher operating expenses. Sales and marketing expenses decreased $176 million or 16%, reflecting a $248 million decrease in Xbox 360 platform marketing. Cost of revenue decreased $143 million or 2%, due mainly to a $1.0 billion decrease in manufacturing and distribution costs associated with lower volumes of Xbox 360 consoles sold, offset in part by a $375 million increase in expenses for payments made to Nokia related to joint strategic initiatives and a $273 million increase in royalties on Xbox LIVE content. Research and development expenses increased $432 million or 28%, reflecting $246 million higher headcount-related expenses, resulting mainly from increased headcount in connection with the Xbox platform and Skype.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2012 compared with fiscal year 2011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EDD revenue increased primarily reflecting Skype and Windows Phone revenue, offset in part by lower Xbox 360 platform revenue. Xbox 360 platform revenue decreased $107 million, due mainly to decreased volumes of Kinect for Xbox 360 sold and lower video game revenue, offset in part by higher Xbox LIVE revenue. We shipped 13.0 million Xbox 360 consoles during fiscal year 2012, compared with 13.7 million Xbox 360 consoles during fiscal year 2011. Video game revenue decreased due to strong sales of Halo Reach in the prior year.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EDD operating income decreased reflecting higher cost of revenue and operating expenses, offset in part by revenue growth. Cost of revenue grew $896 million or 16%, primarily due to changes in the mix of products and services sold and payments made to Nokia related to joint strategic initiatives. Research and development expenses increased $366 million or 31%, primarily reflecting higher headcount-related expenses. Sales and marketing expenses increased $242 million or 27%, primarily reflecting the inclusion of Skype expenses.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Corporate-Level Activity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4382"/>
        <w:gridCol w:w="1251"/>
        <w:gridCol w:w="1190"/>
        <w:gridCol w:w="1190"/>
        <w:gridCol w:w="1400"/>
        <w:gridCol w:w="1386"/>
      </w:tblGrid>
      <w:tr>
        <w:trPr>
          <w:tblHeader w:val="true"/>
          <w:cantSplit w:val="false"/>
        </w:trPr>
        <w:tc>
          <w:tcPr>
            <w:tcW w:type="dxa" w:w="4382"/>
            <w:tcBorders>
              <w:top w:val="nil"/>
              <w:left w:val="nil"/>
              <w:bottom w:val="nil"/>
              <w:right w:val="nil"/>
            </w:tcBorders>
            <w:shd w:fill="auto" w:val="clear"/>
            <w:vAlign w:val="center"/>
          </w:tcPr>
          <w:p>
            <w:pPr>
              <w:pStyle w:val="style0"/>
              <w:rPr>
                <w:sz w:val="1"/>
                <w:szCs w:val="24"/>
              </w:rPr>
            </w:pPr>
            <w:r>
              <w:rPr>
                <w:sz w:val="1"/>
                <w:szCs w:val="24"/>
              </w:rPr>
            </w:r>
          </w:p>
        </w:tc>
        <w:tc>
          <w:tcPr>
            <w:tcW w:type="dxa" w:w="1251"/>
            <w:tcBorders>
              <w:top w:val="nil"/>
              <w:left w:val="nil"/>
              <w:bottom w:val="nil"/>
              <w:right w:val="nil"/>
            </w:tcBorders>
            <w:shd w:fill="auto" w:val="clear"/>
            <w:vAlign w:val="center"/>
          </w:tcPr>
          <w:p>
            <w:pPr>
              <w:pStyle w:val="style0"/>
              <w:rPr>
                <w:sz w:val="1"/>
                <w:szCs w:val="24"/>
              </w:rPr>
            </w:pPr>
            <w:r>
              <w:rPr>
                <w:sz w:val="1"/>
                <w:szCs w:val="24"/>
              </w:rPr>
            </w:r>
          </w:p>
        </w:tc>
        <w:tc>
          <w:tcPr>
            <w:tcW w:type="dxa" w:w="1190"/>
            <w:tcBorders>
              <w:top w:val="nil"/>
              <w:left w:val="nil"/>
              <w:bottom w:val="nil"/>
              <w:right w:val="nil"/>
            </w:tcBorders>
            <w:shd w:fill="auto" w:val="clear"/>
            <w:vAlign w:val="center"/>
          </w:tcPr>
          <w:p>
            <w:pPr>
              <w:pStyle w:val="style0"/>
              <w:rPr>
                <w:sz w:val="1"/>
                <w:szCs w:val="24"/>
              </w:rPr>
            </w:pPr>
            <w:r>
              <w:rPr>
                <w:sz w:val="1"/>
                <w:szCs w:val="24"/>
              </w:rPr>
            </w:r>
          </w:p>
        </w:tc>
        <w:tc>
          <w:tcPr>
            <w:tcW w:type="dxa" w:w="1190"/>
            <w:tcBorders>
              <w:top w:val="nil"/>
              <w:left w:val="nil"/>
              <w:bottom w:val="nil"/>
              <w:right w:val="nil"/>
            </w:tcBorders>
            <w:shd w:fill="auto" w:val="clear"/>
            <w:vAlign w:val="center"/>
          </w:tcPr>
          <w:p>
            <w:pPr>
              <w:pStyle w:val="style0"/>
              <w:rPr>
                <w:sz w:val="1"/>
                <w:szCs w:val="24"/>
              </w:rPr>
            </w:pPr>
            <w:r>
              <w:rPr>
                <w:sz w:val="1"/>
                <w:szCs w:val="24"/>
              </w:rPr>
            </w:r>
          </w:p>
        </w:tc>
        <w:tc>
          <w:tcPr>
            <w:tcW w:type="dxa" w:w="1400"/>
            <w:tcBorders>
              <w:top w:val="nil"/>
              <w:left w:val="nil"/>
              <w:bottom w:val="nil"/>
              <w:right w:val="nil"/>
            </w:tcBorders>
            <w:shd w:fill="auto" w:val="clear"/>
            <w:vAlign w:val="center"/>
          </w:tcPr>
          <w:p>
            <w:pPr>
              <w:pStyle w:val="style0"/>
              <w:rPr>
                <w:sz w:val="1"/>
                <w:szCs w:val="24"/>
              </w:rPr>
            </w:pPr>
            <w:r>
              <w:rPr>
                <w:sz w:val="1"/>
                <w:szCs w:val="24"/>
              </w:rPr>
            </w:r>
          </w:p>
        </w:tc>
        <w:tc>
          <w:tcPr>
            <w:tcW w:type="dxa" w:w="1386"/>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4382"/>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percentages)</w:t>
            </w:r>
          </w:p>
        </w:tc>
        <w:tc>
          <w:tcPr>
            <w:tcW w:type="dxa" w:w="1251"/>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2013</w:t>
            </w:r>
          </w:p>
        </w:tc>
        <w:tc>
          <w:tcPr>
            <w:tcW w:type="dxa" w:w="119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2012</w:t>
            </w:r>
          </w:p>
        </w:tc>
        <w:tc>
          <w:tcPr>
            <w:tcW w:type="dxa" w:w="119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2011</w:t>
            </w:r>
          </w:p>
        </w:tc>
        <w:tc>
          <w:tcPr>
            <w:tcW w:type="dxa" w:w="140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Percentage</w:t>
              <w:br/>
              <w:t>Change 2013</w:t>
              <w:br/>
              <w:t>Versus 2012</w:t>
            </w:r>
          </w:p>
        </w:tc>
        <w:tc>
          <w:tcPr>
            <w:tcW w:type="dxa" w:w="1386"/>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Percentage</w:t>
              <w:br/>
              <w:t>Change 2012</w:t>
              <w:br/>
              <w:t>Versus 2011</w:t>
            </w:r>
          </w:p>
        </w:tc>
      </w:tr>
      <w:tr>
        <w:trPr>
          <w:cantSplit w:val="false"/>
        </w:trPr>
        <w:tc>
          <w:tcPr>
            <w:tcW w:type="dxa" w:w="10799"/>
            <w:gridSpan w:val="6"/>
            <w:tcBorders>
              <w:top w:val="nil"/>
              <w:left w:val="nil"/>
              <w:bottom w:val="nil"/>
              <w:right w:val="nil"/>
            </w:tcBorders>
            <w:shd w:fill="auto" w:val="clear"/>
            <w:tcMar>
              <w:left w:type="dxa" w:w="144"/>
            </w:tcMar>
            <w:vAlign w:val="bottom"/>
          </w:tcPr>
          <w:p>
            <w:pPr>
              <w:pStyle w:val="style59"/>
              <w:spacing w:after="0" w:before="20"/>
              <w:ind w:hanging="0" w:left="-162" w:right="0"/>
              <w:contextualSpacing w:val="false"/>
              <w:rPr/>
            </w:pPr>
            <w:r>
              <w:rPr/>
              <w:t> </w:t>
            </w:r>
          </w:p>
        </w:tc>
      </w:tr>
      <w:tr>
        <w:trPr>
          <w:trHeight w:hRule="atLeast" w:val="75"/>
          <w:cantSplit w:val="false"/>
        </w:trPr>
        <w:tc>
          <w:tcPr>
            <w:tcW w:type="dxa" w:w="4382"/>
            <w:tcBorders>
              <w:top w:val="nil"/>
              <w:left w:val="nil"/>
              <w:bottom w:val="nil"/>
              <w:right w:val="nil"/>
            </w:tcBorders>
            <w:shd w:fill="auto" w:val="clear"/>
            <w:vAlign w:val="center"/>
          </w:tcPr>
          <w:p>
            <w:pPr>
              <w:pStyle w:val="style0"/>
              <w:rPr>
                <w:sz w:val="8"/>
                <w:szCs w:val="24"/>
              </w:rPr>
            </w:pPr>
            <w:r>
              <w:rPr>
                <w:sz w:val="8"/>
                <w:szCs w:val="24"/>
              </w:rPr>
            </w:r>
          </w:p>
        </w:tc>
        <w:tc>
          <w:tcPr>
            <w:tcW w:type="dxa" w:w="1251"/>
            <w:tcBorders>
              <w:top w:val="nil"/>
              <w:left w:val="nil"/>
              <w:bottom w:val="nil"/>
              <w:right w:val="nil"/>
            </w:tcBorders>
            <w:shd w:fill="auto" w:val="clear"/>
            <w:vAlign w:val="center"/>
          </w:tcPr>
          <w:p>
            <w:pPr>
              <w:pStyle w:val="style0"/>
              <w:rPr>
                <w:sz w:val="8"/>
                <w:szCs w:val="24"/>
              </w:rPr>
            </w:pPr>
            <w:r>
              <w:rPr>
                <w:sz w:val="8"/>
                <w:szCs w:val="24"/>
              </w:rPr>
            </w:r>
          </w:p>
        </w:tc>
        <w:tc>
          <w:tcPr>
            <w:tcW w:type="dxa" w:w="1190"/>
            <w:tcBorders>
              <w:top w:val="nil"/>
              <w:left w:val="nil"/>
              <w:bottom w:val="nil"/>
              <w:right w:val="nil"/>
            </w:tcBorders>
            <w:shd w:fill="auto" w:val="clear"/>
            <w:vAlign w:val="center"/>
          </w:tcPr>
          <w:p>
            <w:pPr>
              <w:pStyle w:val="style0"/>
              <w:rPr>
                <w:sz w:val="8"/>
                <w:szCs w:val="24"/>
              </w:rPr>
            </w:pPr>
            <w:r>
              <w:rPr>
                <w:sz w:val="8"/>
                <w:szCs w:val="24"/>
              </w:rPr>
            </w:r>
          </w:p>
        </w:tc>
        <w:tc>
          <w:tcPr>
            <w:tcW w:type="dxa" w:w="1190"/>
            <w:tcBorders>
              <w:top w:val="nil"/>
              <w:left w:val="nil"/>
              <w:bottom w:val="nil"/>
              <w:right w:val="nil"/>
            </w:tcBorders>
            <w:shd w:fill="auto" w:val="clear"/>
            <w:vAlign w:val="center"/>
          </w:tcPr>
          <w:p>
            <w:pPr>
              <w:pStyle w:val="style0"/>
              <w:rPr>
                <w:sz w:val="8"/>
                <w:szCs w:val="24"/>
              </w:rPr>
            </w:pPr>
            <w:r>
              <w:rPr>
                <w:sz w:val="8"/>
                <w:szCs w:val="24"/>
              </w:rPr>
            </w:r>
          </w:p>
        </w:tc>
        <w:tc>
          <w:tcPr>
            <w:tcW w:type="dxa" w:w="1400"/>
            <w:tcBorders>
              <w:top w:val="nil"/>
              <w:left w:val="nil"/>
              <w:bottom w:val="nil"/>
              <w:right w:val="nil"/>
            </w:tcBorders>
            <w:shd w:fill="auto" w:val="clear"/>
            <w:vAlign w:val="center"/>
          </w:tcPr>
          <w:p>
            <w:pPr>
              <w:pStyle w:val="style0"/>
              <w:rPr>
                <w:sz w:val="8"/>
                <w:szCs w:val="24"/>
              </w:rPr>
            </w:pPr>
            <w:r>
              <w:rPr>
                <w:sz w:val="8"/>
                <w:szCs w:val="24"/>
              </w:rPr>
            </w:r>
          </w:p>
        </w:tc>
        <w:tc>
          <w:tcPr>
            <w:tcW w:type="dxa" w:w="1386"/>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4382"/>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Corporate-level activity</w:t>
            </w:r>
          </w:p>
        </w:tc>
        <w:tc>
          <w:tcPr>
            <w:tcW w:type="dxa" w:w="1251"/>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187" w:right="0"/>
              <w:contextualSpacing w:val="false"/>
              <w:rPr>
                <w:rFonts w:ascii="Arial" w:cs="Arial" w:hAnsi="Arial"/>
                <w:b/>
                <w:bCs/>
                <w:sz w:val="20"/>
                <w:szCs w:val="20"/>
              </w:rPr>
            </w:pPr>
            <w:r>
              <w:rPr>
                <w:rFonts w:ascii="Arial" w:cs="Arial" w:hAnsi="Arial"/>
                <w:b/>
                <w:bCs/>
                <w:sz w:val="20"/>
                <w:szCs w:val="20"/>
              </w:rPr>
              <w:t>$</w:t>
              <w:tab/>
              <w:t>  (6,665</w:t>
              <w:tab/>
              <w:t>)</w:t>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87" w:right="0"/>
              <w:contextualSpacing w:val="false"/>
              <w:rPr>
                <w:rFonts w:ascii="Arial" w:cs="Arial" w:hAnsi="Arial"/>
                <w:sz w:val="20"/>
                <w:szCs w:val="20"/>
              </w:rPr>
            </w:pPr>
            <w:r>
              <w:rPr>
                <w:rFonts w:ascii="Arial" w:cs="Arial" w:hAnsi="Arial"/>
                <w:sz w:val="20"/>
                <w:szCs w:val="20"/>
              </w:rPr>
              <w:t>$</w:t>
              <w:tab/>
              <w:t>  (5,114</w:t>
              <w:tab/>
              <w:t>)</w:t>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87" w:right="0"/>
              <w:contextualSpacing w:val="false"/>
              <w:rPr>
                <w:rFonts w:ascii="Arial" w:cs="Arial" w:hAnsi="Arial"/>
                <w:sz w:val="20"/>
                <w:szCs w:val="20"/>
              </w:rPr>
            </w:pPr>
            <w:r>
              <w:rPr>
                <w:rFonts w:ascii="Arial" w:cs="Arial" w:hAnsi="Arial"/>
                <w:sz w:val="20"/>
                <w:szCs w:val="20"/>
              </w:rPr>
              <w:t>$</w:t>
              <w:tab/>
              <w:t>  (4,506</w:t>
              <w:tab/>
              <w:t>)</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(30)%</w:t>
              <w:tab/>
              <w:t> </w:t>
            </w:r>
          </w:p>
        </w:tc>
        <w:tc>
          <w:tcPr>
            <w:tcW w:type="dxa" w:w="1386"/>
            <w:tcBorders>
              <w:top w:val="nil"/>
              <w:left w:val="nil"/>
              <w:bottom w:val="nil"/>
              <w:right w:val="nil"/>
            </w:tcBorders>
            <w:shd w:fill="auto" w:val="clear"/>
            <w:tcMar>
              <w:left w:type="dxa" w:w="144"/>
            </w:tcMar>
            <w:vAlign w:val="bottom"/>
          </w:tcPr>
          <w:p>
            <w:pPr>
              <w:pStyle w:val="style62"/>
              <w:tabs>
                <w:tab w:leader="none" w:pos="1240" w:val="right"/>
                <w:tab w:leader="none" w:pos="1582" w:val="decimal"/>
              </w:tabs>
              <w:spacing w:after="280" w:before="280"/>
              <w:contextualSpacing w:val="false"/>
              <w:rPr>
                <w:rFonts w:ascii="Arial" w:cs="Arial" w:hAnsi="Arial"/>
                <w:sz w:val="20"/>
                <w:szCs w:val="20"/>
              </w:rPr>
            </w:pPr>
            <w:r>
              <w:rPr>
                <w:rFonts w:ascii="Arial" w:cs="Arial" w:hAnsi="Arial"/>
                <w:sz w:val="20"/>
                <w:szCs w:val="20"/>
              </w:rPr>
              <w:tab/>
              <w:t>(13)%</w:t>
              <w:tab/>
            </w:r>
          </w:p>
        </w:tc>
      </w:tr>
    </w:tbl>
    <w:p>
      <w:pPr>
        <w:pStyle w:val="style59"/>
        <w:pBdr>
          <w:top w:color="000001" w:space="0" w:sz="4" w:val="single"/>
          <w:left w:val="nil"/>
          <w:bottom w:val="nil"/>
          <w:insideH w:val="nil"/>
          <w:right w:val="nil"/>
          <w:insideV w:val="nil"/>
        </w:pBdr>
        <w:rPr/>
      </w:pPr>
      <w:r>
        <w:rPr/>
        <w:t> </w:t>
      </w:r>
    </w:p>
    <w:p>
      <w:pPr>
        <w:pStyle w:val="style59"/>
        <w:pBdr>
          <w:top w:color="000001" w:space="0" w:sz="4" w:val="single"/>
          <w:left w:val="nil"/>
          <w:bottom w:val="nil"/>
          <w:insideH w:val="nil"/>
          <w:right w:val="nil"/>
          <w:insideV w:val="nil"/>
        </w:pBdr>
        <w:rPr/>
      </w:pPr>
      <w:r>
        <w:rPr/>
        <w:t>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Certain corporate-level activity is not allocated to our segments, including costs of: broad-based sales and marketing; product support services; human resources; legal; finance; information technology; corporate development and procurement activities; research and development; costs of operating our retail stores; and legal settlements and contingencies.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2013 compared with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Corporate-level expenses increased, primarily due to higher legal charges from the European Commission fine of </w:t>
      </w:r>
      <w:r>
        <w:rPr>
          <w:sz w:val="20"/>
          <w:szCs w:val="20"/>
        </w:rPr>
        <w:t>€</w:t>
      </w:r>
      <w:r>
        <w:rPr>
          <w:rFonts w:ascii="Arial" w:cs="Arial" w:hAnsi="Arial"/>
          <w:sz w:val="20"/>
          <w:szCs w:val="20"/>
        </w:rPr>
        <w:t xml:space="preserve">561 million (approximately $733 million) for failure to comply with our 2009 agreement to display a “Browser Choice Screen” on Windows PCs where Internet Explorer is the default browser (the “EU fine”). Corporate-level expenses also grew due to a $350 million increase in retail stores expenses and $287 million higher intellectual property licensing costs.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2012 compared with fiscal year 2011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Corporate-level expenses increased due mainly to full year Puerto Rican excise taxes, higher headcount-related expenses, and changes in foreign currency exchange rates. These increases were offset in part by lower legal charges, which were $56 million in fiscal year 2012 compared with $332 million in fiscal year 2011.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COST OF REVENUE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Cost of Revenue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4295"/>
        <w:gridCol w:w="1279"/>
        <w:gridCol w:w="1220"/>
        <w:gridCol w:w="1219"/>
        <w:gridCol w:w="1400"/>
        <w:gridCol w:w="1386"/>
      </w:tblGrid>
      <w:tr>
        <w:trPr>
          <w:tblHeader w:val="true"/>
          <w:cantSplit w:val="false"/>
        </w:trPr>
        <w:tc>
          <w:tcPr>
            <w:tcW w:type="dxa" w:w="4295"/>
            <w:tcBorders>
              <w:top w:val="nil"/>
              <w:left w:val="nil"/>
              <w:bottom w:val="nil"/>
              <w:right w:val="nil"/>
            </w:tcBorders>
            <w:shd w:fill="auto" w:val="clear"/>
            <w:vAlign w:val="center"/>
          </w:tcPr>
          <w:p>
            <w:pPr>
              <w:pStyle w:val="style0"/>
              <w:rPr>
                <w:sz w:val="1"/>
                <w:szCs w:val="24"/>
              </w:rPr>
            </w:pPr>
            <w:r>
              <w:rPr>
                <w:sz w:val="1"/>
                <w:szCs w:val="24"/>
              </w:rPr>
            </w:r>
          </w:p>
        </w:tc>
        <w:tc>
          <w:tcPr>
            <w:tcW w:type="dxa" w:w="1279"/>
            <w:tcBorders>
              <w:top w:val="nil"/>
              <w:left w:val="nil"/>
              <w:bottom w:val="nil"/>
              <w:right w:val="nil"/>
            </w:tcBorders>
            <w:shd w:fill="auto" w:val="clear"/>
            <w:vAlign w:val="center"/>
          </w:tcPr>
          <w:p>
            <w:pPr>
              <w:pStyle w:val="style0"/>
              <w:rPr>
                <w:sz w:val="1"/>
                <w:szCs w:val="24"/>
              </w:rPr>
            </w:pPr>
            <w:r>
              <w:rPr>
                <w:sz w:val="1"/>
                <w:szCs w:val="24"/>
              </w:rPr>
            </w:r>
          </w:p>
        </w:tc>
        <w:tc>
          <w:tcPr>
            <w:tcW w:type="dxa" w:w="1220"/>
            <w:tcBorders>
              <w:top w:val="nil"/>
              <w:left w:val="nil"/>
              <w:bottom w:val="nil"/>
              <w:right w:val="nil"/>
            </w:tcBorders>
            <w:shd w:fill="auto" w:val="clear"/>
            <w:vAlign w:val="center"/>
          </w:tcPr>
          <w:p>
            <w:pPr>
              <w:pStyle w:val="style0"/>
              <w:rPr>
                <w:sz w:val="1"/>
                <w:szCs w:val="24"/>
              </w:rPr>
            </w:pPr>
            <w:r>
              <w:rPr>
                <w:sz w:val="1"/>
                <w:szCs w:val="24"/>
              </w:rPr>
            </w:r>
          </w:p>
        </w:tc>
        <w:tc>
          <w:tcPr>
            <w:tcW w:type="dxa" w:w="1219"/>
            <w:tcBorders>
              <w:top w:val="nil"/>
              <w:left w:val="nil"/>
              <w:bottom w:val="nil"/>
              <w:right w:val="nil"/>
            </w:tcBorders>
            <w:shd w:fill="auto" w:val="clear"/>
            <w:vAlign w:val="center"/>
          </w:tcPr>
          <w:p>
            <w:pPr>
              <w:pStyle w:val="style0"/>
              <w:rPr>
                <w:sz w:val="1"/>
                <w:szCs w:val="24"/>
              </w:rPr>
            </w:pPr>
            <w:r>
              <w:rPr>
                <w:sz w:val="1"/>
                <w:szCs w:val="24"/>
              </w:rPr>
            </w:r>
          </w:p>
        </w:tc>
        <w:tc>
          <w:tcPr>
            <w:tcW w:type="dxa" w:w="1400"/>
            <w:tcBorders>
              <w:top w:val="nil"/>
              <w:left w:val="nil"/>
              <w:bottom w:val="nil"/>
              <w:right w:val="nil"/>
            </w:tcBorders>
            <w:shd w:fill="auto" w:val="clear"/>
            <w:vAlign w:val="center"/>
          </w:tcPr>
          <w:p>
            <w:pPr>
              <w:pStyle w:val="style0"/>
              <w:rPr>
                <w:sz w:val="1"/>
                <w:szCs w:val="24"/>
              </w:rPr>
            </w:pPr>
            <w:r>
              <w:rPr>
                <w:sz w:val="1"/>
                <w:szCs w:val="24"/>
              </w:rPr>
            </w:r>
          </w:p>
        </w:tc>
        <w:tc>
          <w:tcPr>
            <w:tcW w:type="dxa" w:w="1386"/>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429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percentages)</w:t>
            </w:r>
          </w:p>
        </w:tc>
        <w:tc>
          <w:tcPr>
            <w:tcW w:type="dxa" w:w="1279"/>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2013</w:t>
            </w:r>
          </w:p>
        </w:tc>
        <w:tc>
          <w:tcPr>
            <w:tcW w:type="dxa" w:w="122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2012</w:t>
            </w:r>
          </w:p>
        </w:tc>
        <w:tc>
          <w:tcPr>
            <w:tcW w:type="dxa" w:w="1219"/>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2011</w:t>
            </w:r>
          </w:p>
        </w:tc>
        <w:tc>
          <w:tcPr>
            <w:tcW w:type="dxa" w:w="140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Percentage</w:t>
              <w:br/>
              <w:t>Change 2013</w:t>
              <w:br/>
              <w:t>Versus 2012</w:t>
            </w:r>
          </w:p>
        </w:tc>
        <w:tc>
          <w:tcPr>
            <w:tcW w:type="dxa" w:w="1386"/>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Percentage</w:t>
              <w:br/>
              <w:t>Change 2012</w:t>
              <w:br/>
              <w:t>Versus 2011</w:t>
            </w:r>
          </w:p>
        </w:tc>
      </w:tr>
      <w:tr>
        <w:trPr>
          <w:cantSplit w:val="false"/>
        </w:trPr>
        <w:tc>
          <w:tcPr>
            <w:tcW w:type="dxa" w:w="10799"/>
            <w:gridSpan w:val="6"/>
            <w:tcBorders>
              <w:top w:val="nil"/>
              <w:left w:val="nil"/>
              <w:bottom w:val="nil"/>
              <w:right w:val="nil"/>
            </w:tcBorders>
            <w:shd w:fill="auto" w:val="clear"/>
            <w:tcMar>
              <w:left w:type="dxa" w:w="144"/>
            </w:tcMar>
            <w:vAlign w:val="bottom"/>
          </w:tcPr>
          <w:p>
            <w:pPr>
              <w:pStyle w:val="style59"/>
              <w:spacing w:after="0" w:before="20"/>
              <w:ind w:hanging="0" w:left="-117" w:right="0"/>
              <w:contextualSpacing w:val="false"/>
              <w:rPr/>
            </w:pPr>
            <w:r>
              <w:rPr/>
              <w:t> </w:t>
            </w:r>
          </w:p>
        </w:tc>
      </w:tr>
      <w:tr>
        <w:trPr>
          <w:trHeight w:hRule="atLeast" w:val="75"/>
          <w:cantSplit w:val="false"/>
        </w:trPr>
        <w:tc>
          <w:tcPr>
            <w:tcW w:type="dxa" w:w="4295"/>
            <w:tcBorders>
              <w:top w:val="nil"/>
              <w:left w:val="nil"/>
              <w:bottom w:val="nil"/>
              <w:right w:val="nil"/>
            </w:tcBorders>
            <w:shd w:fill="auto" w:val="clear"/>
            <w:vAlign w:val="center"/>
          </w:tcPr>
          <w:p>
            <w:pPr>
              <w:pStyle w:val="style0"/>
              <w:rPr>
                <w:sz w:val="8"/>
                <w:szCs w:val="24"/>
              </w:rPr>
            </w:pPr>
            <w:r>
              <w:rPr>
                <w:sz w:val="8"/>
                <w:szCs w:val="24"/>
              </w:rPr>
            </w:r>
          </w:p>
        </w:tc>
        <w:tc>
          <w:tcPr>
            <w:tcW w:type="dxa" w:w="1279"/>
            <w:tcBorders>
              <w:top w:val="nil"/>
              <w:left w:val="nil"/>
              <w:bottom w:val="nil"/>
              <w:right w:val="nil"/>
            </w:tcBorders>
            <w:shd w:fill="auto" w:val="clear"/>
            <w:vAlign w:val="center"/>
          </w:tcPr>
          <w:p>
            <w:pPr>
              <w:pStyle w:val="style0"/>
              <w:rPr>
                <w:sz w:val="8"/>
                <w:szCs w:val="24"/>
              </w:rPr>
            </w:pPr>
            <w:r>
              <w:rPr>
                <w:sz w:val="8"/>
                <w:szCs w:val="24"/>
              </w:rPr>
            </w:r>
          </w:p>
        </w:tc>
        <w:tc>
          <w:tcPr>
            <w:tcW w:type="dxa" w:w="1220"/>
            <w:tcBorders>
              <w:top w:val="nil"/>
              <w:left w:val="nil"/>
              <w:bottom w:val="nil"/>
              <w:right w:val="nil"/>
            </w:tcBorders>
            <w:shd w:fill="auto" w:val="clear"/>
            <w:vAlign w:val="center"/>
          </w:tcPr>
          <w:p>
            <w:pPr>
              <w:pStyle w:val="style0"/>
              <w:rPr>
                <w:sz w:val="8"/>
                <w:szCs w:val="24"/>
              </w:rPr>
            </w:pPr>
            <w:r>
              <w:rPr>
                <w:sz w:val="8"/>
                <w:szCs w:val="24"/>
              </w:rPr>
            </w:r>
          </w:p>
        </w:tc>
        <w:tc>
          <w:tcPr>
            <w:tcW w:type="dxa" w:w="1219"/>
            <w:tcBorders>
              <w:top w:val="nil"/>
              <w:left w:val="nil"/>
              <w:bottom w:val="nil"/>
              <w:right w:val="nil"/>
            </w:tcBorders>
            <w:shd w:fill="auto" w:val="clear"/>
            <w:vAlign w:val="center"/>
          </w:tcPr>
          <w:p>
            <w:pPr>
              <w:pStyle w:val="style0"/>
              <w:rPr>
                <w:sz w:val="8"/>
                <w:szCs w:val="24"/>
              </w:rPr>
            </w:pPr>
            <w:r>
              <w:rPr>
                <w:sz w:val="8"/>
                <w:szCs w:val="24"/>
              </w:rPr>
            </w:r>
          </w:p>
        </w:tc>
        <w:tc>
          <w:tcPr>
            <w:tcW w:type="dxa" w:w="1400"/>
            <w:tcBorders>
              <w:top w:val="nil"/>
              <w:left w:val="nil"/>
              <w:bottom w:val="nil"/>
              <w:right w:val="nil"/>
            </w:tcBorders>
            <w:shd w:fill="auto" w:val="clear"/>
            <w:vAlign w:val="center"/>
          </w:tcPr>
          <w:p>
            <w:pPr>
              <w:pStyle w:val="style0"/>
              <w:rPr>
                <w:sz w:val="8"/>
                <w:szCs w:val="24"/>
              </w:rPr>
            </w:pPr>
            <w:r>
              <w:rPr>
                <w:sz w:val="8"/>
                <w:szCs w:val="24"/>
              </w:rPr>
            </w:r>
          </w:p>
        </w:tc>
        <w:tc>
          <w:tcPr>
            <w:tcW w:type="dxa" w:w="1386"/>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4295"/>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Cost of revenue</w:t>
            </w:r>
          </w:p>
        </w:tc>
        <w:tc>
          <w:tcPr>
            <w:tcW w:type="dxa" w:w="1279"/>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0"/>
              <w:contextualSpacing w:val="false"/>
              <w:rPr>
                <w:rFonts w:ascii="Arial" w:cs="Arial" w:hAnsi="Arial"/>
                <w:b/>
                <w:bCs/>
                <w:sz w:val="20"/>
                <w:szCs w:val="20"/>
              </w:rPr>
            </w:pPr>
            <w:r>
              <w:rPr>
                <w:rFonts w:ascii="Arial" w:cs="Arial" w:hAnsi="Arial"/>
                <w:b/>
                <w:bCs/>
                <w:sz w:val="20"/>
                <w:szCs w:val="20"/>
              </w:rPr>
              <w:t>$</w:t>
              <w:tab/>
              <w:t>  20,249</w:t>
              <w:tab/>
              <w:t> </w:t>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0"/>
              <w:contextualSpacing w:val="false"/>
              <w:rPr>
                <w:rFonts w:ascii="Arial" w:cs="Arial" w:hAnsi="Arial"/>
                <w:sz w:val="20"/>
                <w:szCs w:val="20"/>
              </w:rPr>
            </w:pPr>
            <w:r>
              <w:rPr>
                <w:rFonts w:ascii="Arial" w:cs="Arial" w:hAnsi="Arial"/>
                <w:sz w:val="20"/>
                <w:szCs w:val="20"/>
              </w:rPr>
              <w:t>$</w:t>
              <w:tab/>
              <w:t>  17,530</w:t>
              <w:tab/>
              <w:t> </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0"/>
              <w:contextualSpacing w:val="false"/>
              <w:rPr>
                <w:rFonts w:ascii="Arial" w:cs="Arial" w:hAnsi="Arial"/>
                <w:sz w:val="20"/>
                <w:szCs w:val="20"/>
              </w:rPr>
            </w:pPr>
            <w:r>
              <w:rPr>
                <w:rFonts w:ascii="Arial" w:cs="Arial" w:hAnsi="Arial"/>
                <w:sz w:val="20"/>
                <w:szCs w:val="20"/>
              </w:rPr>
              <w:t>$</w:t>
              <w:tab/>
              <w:t>  15,577</w:t>
              <w:tab/>
              <w:t> </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16%</w:t>
              <w:tab/>
              <w:t> </w:t>
            </w:r>
          </w:p>
        </w:tc>
        <w:tc>
          <w:tcPr>
            <w:tcW w:type="dxa" w:w="1386"/>
            <w:tcBorders>
              <w:top w:val="nil"/>
              <w:left w:val="nil"/>
              <w:bottom w:val="nil"/>
              <w:right w:val="nil"/>
            </w:tcBorders>
            <w:shd w:fill="auto" w:val="clear"/>
            <w:tcMar>
              <w:left w:type="dxa" w:w="144"/>
            </w:tcMar>
            <w:vAlign w:val="bottom"/>
          </w:tcPr>
          <w:p>
            <w:pPr>
              <w:pStyle w:val="style62"/>
              <w:tabs>
                <w:tab w:leader="none" w:pos="1240" w:val="right"/>
                <w:tab w:leader="none" w:pos="1735" w:val="decimal"/>
              </w:tabs>
              <w:spacing w:after="280" w:before="280"/>
              <w:contextualSpacing w:val="false"/>
              <w:rPr>
                <w:rFonts w:ascii="Arial" w:cs="Arial" w:hAnsi="Arial"/>
                <w:sz w:val="20"/>
                <w:szCs w:val="20"/>
              </w:rPr>
            </w:pPr>
            <w:r>
              <w:rPr>
                <w:rFonts w:ascii="Arial" w:cs="Arial" w:hAnsi="Arial"/>
                <w:sz w:val="20"/>
                <w:szCs w:val="20"/>
              </w:rPr>
              <w:tab/>
              <w:t>13%</w:t>
              <w:tab/>
            </w:r>
          </w:p>
        </w:tc>
      </w:tr>
      <w:tr>
        <w:trPr>
          <w:cantSplit w:val="false"/>
        </w:trPr>
        <w:tc>
          <w:tcPr>
            <w:tcW w:type="dxa" w:w="429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As a percent of revenue</w:t>
            </w:r>
          </w:p>
        </w:tc>
        <w:tc>
          <w:tcPr>
            <w:tcW w:type="dxa" w:w="1279"/>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0"/>
              <w:contextualSpacing w:val="false"/>
              <w:rPr>
                <w:rFonts w:ascii="Arial" w:cs="Arial" w:hAnsi="Arial"/>
                <w:b/>
                <w:bCs/>
                <w:sz w:val="20"/>
                <w:szCs w:val="20"/>
              </w:rPr>
            </w:pPr>
            <w:r>
              <w:rPr>
                <w:rFonts w:ascii="Arial" w:cs="Arial" w:hAnsi="Arial"/>
                <w:b/>
                <w:bCs/>
                <w:sz w:val="20"/>
                <w:szCs w:val="20"/>
              </w:rPr>
              <w:tab/>
              <w:t>26%</w:t>
              <w:tab/>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0"/>
              <w:contextualSpacing w:val="false"/>
              <w:rPr>
                <w:rFonts w:ascii="Arial" w:cs="Arial" w:hAnsi="Arial"/>
                <w:sz w:val="20"/>
                <w:szCs w:val="20"/>
              </w:rPr>
            </w:pPr>
            <w:r>
              <w:rPr>
                <w:rFonts w:ascii="Arial" w:cs="Arial" w:hAnsi="Arial"/>
                <w:sz w:val="20"/>
                <w:szCs w:val="20"/>
              </w:rPr>
              <w:tab/>
              <w:t>24%</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0"/>
              <w:contextualSpacing w:val="false"/>
              <w:rPr>
                <w:rFonts w:ascii="Arial" w:cs="Arial" w:hAnsi="Arial"/>
                <w:sz w:val="20"/>
                <w:szCs w:val="20"/>
              </w:rPr>
            </w:pPr>
            <w:r>
              <w:rPr>
                <w:rFonts w:ascii="Arial" w:cs="Arial" w:hAnsi="Arial"/>
                <w:sz w:val="20"/>
                <w:szCs w:val="20"/>
              </w:rPr>
              <w:tab/>
              <w:t>22%</w:t>
              <w:tab/>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2ppt</w:t>
              <w:tab/>
            </w:r>
          </w:p>
        </w:tc>
        <w:tc>
          <w:tcPr>
            <w:tcW w:type="dxa" w:w="1386"/>
            <w:tcBorders>
              <w:top w:val="nil"/>
              <w:left w:val="nil"/>
              <w:bottom w:val="nil"/>
              <w:right w:val="nil"/>
            </w:tcBorders>
            <w:shd w:fill="auto" w:val="clear"/>
            <w:tcMar>
              <w:left w:type="dxa" w:w="144"/>
            </w:tcMar>
            <w:vAlign w:val="bottom"/>
          </w:tcPr>
          <w:p>
            <w:pPr>
              <w:pStyle w:val="style62"/>
              <w:tabs>
                <w:tab w:leader="none" w:pos="1240" w:val="right"/>
                <w:tab w:leader="none" w:pos="1735" w:val="decimal"/>
              </w:tabs>
              <w:spacing w:after="280" w:before="280"/>
              <w:contextualSpacing w:val="false"/>
              <w:rPr>
                <w:rFonts w:ascii="Arial" w:cs="Arial" w:hAnsi="Arial"/>
                <w:sz w:val="20"/>
                <w:szCs w:val="20"/>
              </w:rPr>
            </w:pPr>
            <w:r>
              <w:rPr>
                <w:rFonts w:ascii="Arial" w:cs="Arial" w:hAnsi="Arial"/>
                <w:sz w:val="20"/>
                <w:szCs w:val="20"/>
              </w:rPr>
              <w:tab/>
              <w:t>2ppt</w:t>
              <w:tab/>
            </w:r>
          </w:p>
        </w:tc>
      </w:tr>
    </w:tbl>
    <w:p>
      <w:pPr>
        <w:pStyle w:val="style59"/>
        <w:pBdr>
          <w:top w:color="000001" w:space="0" w:sz="4" w:val="single"/>
          <w:left w:val="nil"/>
          <w:bottom w:val="nil"/>
          <w:insideH w:val="nil"/>
          <w:right w:val="nil"/>
          <w:insideV w:val="nil"/>
        </w:pBdr>
        <w:rPr/>
      </w:pPr>
      <w:r>
        <w:rPr/>
        <w:t> </w:t>
      </w:r>
    </w:p>
    <w:p>
      <w:pPr>
        <w:pStyle w:val="style59"/>
        <w:pBdr>
          <w:top w:color="000001" w:space="0" w:sz="4" w:val="single"/>
          <w:left w:val="nil"/>
          <w:bottom w:val="nil"/>
          <w:insideH w:val="nil"/>
          <w:right w:val="nil"/>
          <w:insideV w:val="nil"/>
        </w:pBdr>
        <w:rPr/>
      </w:pPr>
      <w:r>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Cost of revenue includes: manufacturing and distribution costs for products sold, including Xbox and Surface, and programs licensed; operating costs related to product support service centers and product distribution centers; costs incurred to include software on PCs sold by OEMs, to drive traffic to our websites, and to acquire online advertising space (“traffic acquisition costs”); costs incurred to support and maintain internet-based products and services, including datacenter costs and royalties; warranty costs; inventory valuation adjustments; costs associated with the delivery of consulting services; and the amortization of capitalized research and development costs.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2013 compared with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Cost of revenue increased, reflecting $1.6 billion in product costs associated with Surface and Windows 8, including a charge for Surface RT inventory adjustments of approximately $900 million, $578 million higher headcount-related expenses, a $375 million increase in expenses for payments to Nokia related to joint strategic initiatives, $287 million higher intellectual property licensing costs, a $273 million increase in royalties on Xbox LIVE content, and a $152 million increase in retail store expenses, offset in part by a $1.0 billion decrease in manufacturing and distribution costs associated with lower volumes of Xbox 360 consoles sold and a $431 million decrease in traffic acquisition costs.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2012 compared with fiscal year 2011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Cost of revenue increased reflecting higher headcount-related expenses, payments made to Nokia, and changes in the mix of products and services sold. Headcount-related expenses increased 20%, primarily related to increased Enterprise Services headcount.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OPERATING EXPENSES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Research and Development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4494"/>
        <w:gridCol w:w="1280"/>
        <w:gridCol w:w="1120"/>
        <w:gridCol w:w="1120"/>
        <w:gridCol w:w="1400"/>
        <w:gridCol w:w="1385"/>
      </w:tblGrid>
      <w:tr>
        <w:trPr>
          <w:tblHeader w:val="true"/>
          <w:cantSplit w:val="false"/>
        </w:trPr>
        <w:tc>
          <w:tcPr>
            <w:tcW w:type="dxa" w:w="4494"/>
            <w:tcBorders>
              <w:top w:val="nil"/>
              <w:left w:val="nil"/>
              <w:bottom w:val="nil"/>
              <w:right w:val="nil"/>
            </w:tcBorders>
            <w:shd w:fill="auto" w:val="clear"/>
            <w:vAlign w:val="center"/>
          </w:tcPr>
          <w:p>
            <w:pPr>
              <w:pStyle w:val="style0"/>
              <w:rPr>
                <w:sz w:val="1"/>
                <w:szCs w:val="24"/>
              </w:rPr>
            </w:pPr>
            <w:r>
              <w:rPr>
                <w:sz w:val="1"/>
                <w:szCs w:val="24"/>
              </w:rPr>
            </w:r>
          </w:p>
        </w:tc>
        <w:tc>
          <w:tcPr>
            <w:tcW w:type="dxa" w:w="1280"/>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400"/>
            <w:tcBorders>
              <w:top w:val="nil"/>
              <w:left w:val="nil"/>
              <w:bottom w:val="nil"/>
              <w:right w:val="nil"/>
            </w:tcBorders>
            <w:shd w:fill="auto" w:val="clear"/>
            <w:vAlign w:val="center"/>
          </w:tcPr>
          <w:p>
            <w:pPr>
              <w:pStyle w:val="style0"/>
              <w:rPr>
                <w:sz w:val="1"/>
                <w:szCs w:val="24"/>
              </w:rPr>
            </w:pPr>
            <w:r>
              <w:rPr>
                <w:sz w:val="1"/>
                <w:szCs w:val="24"/>
              </w:rPr>
            </w:r>
          </w:p>
        </w:tc>
        <w:tc>
          <w:tcPr>
            <w:tcW w:type="dxa" w:w="1385"/>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4494"/>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percentages)</w:t>
            </w:r>
          </w:p>
        </w:tc>
        <w:tc>
          <w:tcPr>
            <w:tcW w:type="dxa" w:w="128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2013</w:t>
            </w:r>
          </w:p>
        </w:tc>
        <w:tc>
          <w:tcPr>
            <w:tcW w:type="dxa" w:w="112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2012</w:t>
            </w:r>
          </w:p>
        </w:tc>
        <w:tc>
          <w:tcPr>
            <w:tcW w:type="dxa" w:w="112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2011</w:t>
            </w:r>
          </w:p>
        </w:tc>
        <w:tc>
          <w:tcPr>
            <w:tcW w:type="dxa" w:w="140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Percentage</w:t>
              <w:br/>
              <w:t>Change 2013</w:t>
              <w:br/>
              <w:t>Versus 2012</w:t>
            </w:r>
          </w:p>
        </w:tc>
        <w:tc>
          <w:tcPr>
            <w:tcW w:type="dxa" w:w="1385"/>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Percentage</w:t>
              <w:br/>
              <w:t>Change 2012</w:t>
              <w:br/>
              <w:t>Versus 2011</w:t>
            </w:r>
          </w:p>
        </w:tc>
      </w:tr>
      <w:tr>
        <w:trPr>
          <w:cantSplit w:val="false"/>
        </w:trPr>
        <w:tc>
          <w:tcPr>
            <w:tcW w:type="dxa" w:w="10799"/>
            <w:gridSpan w:val="6"/>
            <w:tcBorders>
              <w:top w:val="nil"/>
              <w:left w:val="nil"/>
              <w:bottom w:val="nil"/>
              <w:right w:val="nil"/>
            </w:tcBorders>
            <w:shd w:fill="auto" w:val="clear"/>
            <w:tcMar>
              <w:left w:type="dxa" w:w="144"/>
            </w:tcMar>
            <w:vAlign w:val="bottom"/>
          </w:tcPr>
          <w:p>
            <w:pPr>
              <w:pStyle w:val="style59"/>
              <w:spacing w:after="0" w:before="20"/>
              <w:ind w:hanging="0" w:left="-117" w:right="0"/>
              <w:contextualSpacing w:val="false"/>
              <w:rPr/>
            </w:pPr>
            <w:r>
              <w:rPr/>
              <w:t> </w:t>
            </w:r>
          </w:p>
        </w:tc>
      </w:tr>
      <w:tr>
        <w:trPr>
          <w:trHeight w:hRule="atLeast" w:val="75"/>
          <w:cantSplit w:val="false"/>
        </w:trPr>
        <w:tc>
          <w:tcPr>
            <w:tcW w:type="dxa" w:w="4494"/>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400"/>
            <w:tcBorders>
              <w:top w:val="nil"/>
              <w:left w:val="nil"/>
              <w:bottom w:val="nil"/>
              <w:right w:val="nil"/>
            </w:tcBorders>
            <w:shd w:fill="auto" w:val="clear"/>
            <w:vAlign w:val="center"/>
          </w:tcPr>
          <w:p>
            <w:pPr>
              <w:pStyle w:val="style0"/>
              <w:rPr>
                <w:sz w:val="8"/>
                <w:szCs w:val="24"/>
              </w:rPr>
            </w:pPr>
            <w:r>
              <w:rPr>
                <w:sz w:val="8"/>
                <w:szCs w:val="24"/>
              </w:rPr>
            </w:r>
          </w:p>
        </w:tc>
        <w:tc>
          <w:tcPr>
            <w:tcW w:type="dxa" w:w="1385"/>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4494"/>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Research and development</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0"/>
              <w:contextualSpacing w:val="false"/>
              <w:rPr>
                <w:rFonts w:ascii="Arial" w:cs="Arial" w:hAnsi="Arial"/>
                <w:b/>
                <w:bCs/>
                <w:sz w:val="20"/>
                <w:szCs w:val="20"/>
              </w:rPr>
            </w:pPr>
            <w:r>
              <w:rPr>
                <w:rFonts w:ascii="Arial" w:cs="Arial" w:hAnsi="Arial"/>
                <w:b/>
                <w:bCs/>
                <w:sz w:val="20"/>
                <w:szCs w:val="20"/>
              </w:rPr>
              <w:t>$</w:t>
              <w:tab/>
              <w:t>  10,411</w:t>
              <w:tab/>
              <w:t> </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0"/>
              <w:contextualSpacing w:val="false"/>
              <w:rPr>
                <w:rFonts w:ascii="Arial" w:cs="Arial" w:hAnsi="Arial"/>
                <w:sz w:val="20"/>
                <w:szCs w:val="20"/>
              </w:rPr>
            </w:pPr>
            <w:r>
              <w:rPr>
                <w:rFonts w:ascii="Arial" w:cs="Arial" w:hAnsi="Arial"/>
                <w:sz w:val="20"/>
                <w:szCs w:val="20"/>
              </w:rPr>
              <w:t>$</w:t>
              <w:tab/>
              <w:t>  9,811</w:t>
              <w:tab/>
              <w:t> </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0"/>
              <w:contextualSpacing w:val="false"/>
              <w:rPr>
                <w:rFonts w:ascii="Arial" w:cs="Arial" w:hAnsi="Arial"/>
                <w:sz w:val="20"/>
                <w:szCs w:val="20"/>
              </w:rPr>
            </w:pPr>
            <w:r>
              <w:rPr>
                <w:rFonts w:ascii="Arial" w:cs="Arial" w:hAnsi="Arial"/>
                <w:sz w:val="20"/>
                <w:szCs w:val="20"/>
              </w:rPr>
              <w:t>$</w:t>
              <w:tab/>
              <w:t>  9,043</w:t>
              <w:tab/>
              <w:t> </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6%</w:t>
              <w:tab/>
              <w:t> </w:t>
            </w:r>
          </w:p>
        </w:tc>
        <w:tc>
          <w:tcPr>
            <w:tcW w:type="dxa" w:w="1385"/>
            <w:tcBorders>
              <w:top w:val="nil"/>
              <w:left w:val="nil"/>
              <w:bottom w:val="nil"/>
              <w:right w:val="nil"/>
            </w:tcBorders>
            <w:shd w:fill="auto" w:val="clear"/>
            <w:tcMar>
              <w:left w:type="dxa" w:w="144"/>
            </w:tcMar>
            <w:vAlign w:val="bottom"/>
          </w:tcPr>
          <w:p>
            <w:pPr>
              <w:pStyle w:val="style62"/>
              <w:tabs>
                <w:tab w:leader="none" w:pos="1222" w:val="right"/>
                <w:tab w:leader="none" w:pos="1420" w:val="decimal"/>
              </w:tabs>
              <w:spacing w:after="280" w:before="280"/>
              <w:contextualSpacing w:val="false"/>
              <w:rPr>
                <w:rFonts w:ascii="Arial" w:cs="Arial" w:hAnsi="Arial"/>
                <w:sz w:val="20"/>
                <w:szCs w:val="20"/>
              </w:rPr>
            </w:pPr>
            <w:r>
              <w:rPr>
                <w:rFonts w:ascii="Arial" w:cs="Arial" w:hAnsi="Arial"/>
                <w:sz w:val="20"/>
                <w:szCs w:val="20"/>
              </w:rPr>
              <w:tab/>
              <w:t>8%</w:t>
              <w:tab/>
            </w:r>
          </w:p>
        </w:tc>
      </w:tr>
      <w:tr>
        <w:trPr>
          <w:cantSplit w:val="false"/>
        </w:trPr>
        <w:tc>
          <w:tcPr>
            <w:tcW w:type="dxa" w:w="4494"/>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As a percent of revenue</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0"/>
              <w:contextualSpacing w:val="false"/>
              <w:rPr>
                <w:rFonts w:ascii="Arial" w:cs="Arial" w:hAnsi="Arial"/>
                <w:b/>
                <w:bCs/>
                <w:sz w:val="20"/>
                <w:szCs w:val="20"/>
              </w:rPr>
            </w:pPr>
            <w:r>
              <w:rPr>
                <w:rFonts w:ascii="Arial" w:cs="Arial" w:hAnsi="Arial"/>
                <w:b/>
                <w:bCs/>
                <w:sz w:val="20"/>
                <w:szCs w:val="20"/>
              </w:rPr>
              <w:tab/>
              <w:t>13%</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0"/>
              <w:contextualSpacing w:val="false"/>
              <w:rPr>
                <w:rFonts w:ascii="Arial" w:cs="Arial" w:hAnsi="Arial"/>
                <w:sz w:val="20"/>
                <w:szCs w:val="20"/>
              </w:rPr>
            </w:pPr>
            <w:r>
              <w:rPr>
                <w:rFonts w:ascii="Arial" w:cs="Arial" w:hAnsi="Arial"/>
                <w:sz w:val="20"/>
                <w:szCs w:val="20"/>
              </w:rPr>
              <w:tab/>
              <w:t>13%</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0"/>
              <w:contextualSpacing w:val="false"/>
              <w:rPr>
                <w:rFonts w:ascii="Arial" w:cs="Arial" w:hAnsi="Arial"/>
                <w:sz w:val="20"/>
                <w:szCs w:val="20"/>
              </w:rPr>
            </w:pPr>
            <w:r>
              <w:rPr>
                <w:rFonts w:ascii="Arial" w:cs="Arial" w:hAnsi="Arial"/>
                <w:sz w:val="20"/>
                <w:szCs w:val="20"/>
              </w:rPr>
              <w:tab/>
              <w:t>13%</w:t>
              <w:tab/>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0ppt</w:t>
              <w:tab/>
            </w:r>
          </w:p>
        </w:tc>
        <w:tc>
          <w:tcPr>
            <w:tcW w:type="dxa" w:w="1385"/>
            <w:tcBorders>
              <w:top w:val="nil"/>
              <w:left w:val="nil"/>
              <w:bottom w:val="nil"/>
              <w:right w:val="nil"/>
            </w:tcBorders>
            <w:shd w:fill="auto" w:val="clear"/>
            <w:tcMar>
              <w:left w:type="dxa" w:w="144"/>
            </w:tcMar>
            <w:vAlign w:val="bottom"/>
          </w:tcPr>
          <w:p>
            <w:pPr>
              <w:pStyle w:val="style62"/>
              <w:tabs>
                <w:tab w:leader="none" w:pos="1222" w:val="right"/>
                <w:tab w:leader="none" w:pos="1420" w:val="decimal"/>
              </w:tabs>
              <w:spacing w:after="280" w:before="280"/>
              <w:contextualSpacing w:val="false"/>
              <w:rPr>
                <w:rFonts w:ascii="Arial" w:cs="Arial" w:hAnsi="Arial"/>
                <w:sz w:val="20"/>
                <w:szCs w:val="20"/>
              </w:rPr>
            </w:pPr>
            <w:r>
              <w:rPr>
                <w:rFonts w:ascii="Arial" w:cs="Arial" w:hAnsi="Arial"/>
                <w:sz w:val="20"/>
                <w:szCs w:val="20"/>
              </w:rPr>
              <w:tab/>
              <w:t>0ppt</w:t>
              <w:tab/>
            </w:r>
          </w:p>
        </w:tc>
      </w:tr>
    </w:tbl>
    <w:p>
      <w:pPr>
        <w:pStyle w:val="style59"/>
        <w:pBdr>
          <w:top w:color="000001" w:space="0" w:sz="4" w:val="single"/>
          <w:left w:val="nil"/>
          <w:bottom w:val="nil"/>
          <w:insideH w:val="nil"/>
          <w:right w:val="nil"/>
          <w:insideV w:val="nil"/>
        </w:pBdr>
        <w:ind w:hanging="0" w:left="0" w:right="43"/>
        <w:rPr/>
      </w:pPr>
      <w:r>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2013 compared with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Research and development expenses increased, reflecting a $460 million or 6% increase in headcount-related expenses, largely related to the Entertainment and Devices Division.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2012 compared with fiscal year 2011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Research and development expenses increased, primarily reflecting a 10% increase in headcount-related expenses.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Sales and Marketing </w:t>
      </w:r>
    </w:p>
    <w:p>
      <w:pPr>
        <w:pStyle w:val="style62"/>
        <w:keepNext/>
        <w:spacing w:after="280" w:before="280"/>
        <w:contextualSpacing w:val="false"/>
        <w:rPr>
          <w:sz w:val="18"/>
          <w:szCs w:val="18"/>
        </w:rPr>
      </w:pPr>
      <w:r>
        <w:rPr>
          <w:sz w:val="18"/>
          <w:szCs w:val="18"/>
        </w:rPr>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4295"/>
        <w:gridCol w:w="1279"/>
        <w:gridCol w:w="1220"/>
        <w:gridCol w:w="1219"/>
        <w:gridCol w:w="1400"/>
        <w:gridCol w:w="1386"/>
      </w:tblGrid>
      <w:tr>
        <w:trPr>
          <w:tblHeader w:val="true"/>
          <w:cantSplit w:val="false"/>
        </w:trPr>
        <w:tc>
          <w:tcPr>
            <w:tcW w:type="dxa" w:w="4295"/>
            <w:tcBorders>
              <w:top w:val="nil"/>
              <w:left w:val="nil"/>
              <w:bottom w:val="nil"/>
              <w:right w:val="nil"/>
            </w:tcBorders>
            <w:shd w:fill="auto" w:val="clear"/>
            <w:vAlign w:val="center"/>
          </w:tcPr>
          <w:p>
            <w:pPr>
              <w:pStyle w:val="style0"/>
              <w:rPr>
                <w:sz w:val="1"/>
                <w:szCs w:val="24"/>
              </w:rPr>
            </w:pPr>
            <w:r>
              <w:rPr>
                <w:sz w:val="1"/>
                <w:szCs w:val="24"/>
              </w:rPr>
            </w:r>
          </w:p>
        </w:tc>
        <w:tc>
          <w:tcPr>
            <w:tcW w:type="dxa" w:w="1279"/>
            <w:tcBorders>
              <w:top w:val="nil"/>
              <w:left w:val="nil"/>
              <w:bottom w:val="nil"/>
              <w:right w:val="nil"/>
            </w:tcBorders>
            <w:shd w:fill="auto" w:val="clear"/>
            <w:vAlign w:val="center"/>
          </w:tcPr>
          <w:p>
            <w:pPr>
              <w:pStyle w:val="style0"/>
              <w:rPr>
                <w:sz w:val="1"/>
                <w:szCs w:val="24"/>
              </w:rPr>
            </w:pPr>
            <w:r>
              <w:rPr>
                <w:sz w:val="1"/>
                <w:szCs w:val="24"/>
              </w:rPr>
            </w:r>
          </w:p>
        </w:tc>
        <w:tc>
          <w:tcPr>
            <w:tcW w:type="dxa" w:w="1220"/>
            <w:tcBorders>
              <w:top w:val="nil"/>
              <w:left w:val="nil"/>
              <w:bottom w:val="nil"/>
              <w:right w:val="nil"/>
            </w:tcBorders>
            <w:shd w:fill="auto" w:val="clear"/>
            <w:vAlign w:val="center"/>
          </w:tcPr>
          <w:p>
            <w:pPr>
              <w:pStyle w:val="style0"/>
              <w:rPr>
                <w:sz w:val="1"/>
                <w:szCs w:val="24"/>
              </w:rPr>
            </w:pPr>
            <w:r>
              <w:rPr>
                <w:sz w:val="1"/>
                <w:szCs w:val="24"/>
              </w:rPr>
            </w:r>
          </w:p>
        </w:tc>
        <w:tc>
          <w:tcPr>
            <w:tcW w:type="dxa" w:w="1219"/>
            <w:tcBorders>
              <w:top w:val="nil"/>
              <w:left w:val="nil"/>
              <w:bottom w:val="nil"/>
              <w:right w:val="nil"/>
            </w:tcBorders>
            <w:shd w:fill="auto" w:val="clear"/>
            <w:vAlign w:val="center"/>
          </w:tcPr>
          <w:p>
            <w:pPr>
              <w:pStyle w:val="style0"/>
              <w:rPr>
                <w:sz w:val="1"/>
                <w:szCs w:val="24"/>
              </w:rPr>
            </w:pPr>
            <w:r>
              <w:rPr>
                <w:sz w:val="1"/>
                <w:szCs w:val="24"/>
              </w:rPr>
            </w:r>
          </w:p>
        </w:tc>
        <w:tc>
          <w:tcPr>
            <w:tcW w:type="dxa" w:w="1400"/>
            <w:tcBorders>
              <w:top w:val="nil"/>
              <w:left w:val="nil"/>
              <w:bottom w:val="nil"/>
              <w:right w:val="nil"/>
            </w:tcBorders>
            <w:shd w:fill="auto" w:val="clear"/>
            <w:vAlign w:val="center"/>
          </w:tcPr>
          <w:p>
            <w:pPr>
              <w:pStyle w:val="style0"/>
              <w:rPr>
                <w:sz w:val="1"/>
                <w:szCs w:val="24"/>
              </w:rPr>
            </w:pPr>
            <w:r>
              <w:rPr>
                <w:sz w:val="1"/>
                <w:szCs w:val="24"/>
              </w:rPr>
            </w:r>
          </w:p>
        </w:tc>
        <w:tc>
          <w:tcPr>
            <w:tcW w:type="dxa" w:w="1386"/>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429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percentages)</w:t>
            </w:r>
          </w:p>
        </w:tc>
        <w:tc>
          <w:tcPr>
            <w:tcW w:type="dxa" w:w="1279"/>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2013</w:t>
            </w:r>
          </w:p>
        </w:tc>
        <w:tc>
          <w:tcPr>
            <w:tcW w:type="dxa" w:w="122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2012</w:t>
            </w:r>
          </w:p>
        </w:tc>
        <w:tc>
          <w:tcPr>
            <w:tcW w:type="dxa" w:w="1219"/>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2011</w:t>
            </w:r>
          </w:p>
        </w:tc>
        <w:tc>
          <w:tcPr>
            <w:tcW w:type="dxa" w:w="140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Percentage</w:t>
              <w:br/>
              <w:t>Change 2013</w:t>
              <w:br/>
              <w:t>Versus 2012</w:t>
            </w:r>
          </w:p>
        </w:tc>
        <w:tc>
          <w:tcPr>
            <w:tcW w:type="dxa" w:w="1386"/>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Percentage</w:t>
              <w:br/>
              <w:t>Change 2012</w:t>
              <w:br/>
              <w:t>Versus 2011</w:t>
            </w:r>
          </w:p>
        </w:tc>
      </w:tr>
      <w:tr>
        <w:trPr>
          <w:cantSplit w:val="false"/>
        </w:trPr>
        <w:tc>
          <w:tcPr>
            <w:tcW w:type="dxa" w:w="10799"/>
            <w:gridSpan w:val="6"/>
            <w:tcBorders>
              <w:top w:val="nil"/>
              <w:left w:val="nil"/>
              <w:bottom w:val="nil"/>
              <w:right w:val="nil"/>
            </w:tcBorders>
            <w:shd w:fill="auto" w:val="clear"/>
            <w:tcMar>
              <w:left w:type="dxa" w:w="144"/>
            </w:tcMar>
            <w:vAlign w:val="bottom"/>
          </w:tcPr>
          <w:p>
            <w:pPr>
              <w:pStyle w:val="style59"/>
              <w:spacing w:after="0" w:before="20"/>
              <w:ind w:hanging="0" w:left="-171" w:right="0"/>
              <w:contextualSpacing w:val="false"/>
              <w:rPr/>
            </w:pPr>
            <w:r>
              <w:rPr/>
              <w:t> </w:t>
            </w:r>
          </w:p>
        </w:tc>
      </w:tr>
      <w:tr>
        <w:trPr>
          <w:trHeight w:hRule="atLeast" w:val="75"/>
          <w:cantSplit w:val="false"/>
        </w:trPr>
        <w:tc>
          <w:tcPr>
            <w:tcW w:type="dxa" w:w="4295"/>
            <w:tcBorders>
              <w:top w:val="nil"/>
              <w:left w:val="nil"/>
              <w:bottom w:val="nil"/>
              <w:right w:val="nil"/>
            </w:tcBorders>
            <w:shd w:fill="auto" w:val="clear"/>
            <w:vAlign w:val="center"/>
          </w:tcPr>
          <w:p>
            <w:pPr>
              <w:pStyle w:val="style0"/>
              <w:rPr>
                <w:sz w:val="8"/>
                <w:szCs w:val="24"/>
              </w:rPr>
            </w:pPr>
            <w:r>
              <w:rPr>
                <w:sz w:val="8"/>
                <w:szCs w:val="24"/>
              </w:rPr>
            </w:r>
          </w:p>
        </w:tc>
        <w:tc>
          <w:tcPr>
            <w:tcW w:type="dxa" w:w="1279"/>
            <w:tcBorders>
              <w:top w:val="nil"/>
              <w:left w:val="nil"/>
              <w:bottom w:val="nil"/>
              <w:right w:val="nil"/>
            </w:tcBorders>
            <w:shd w:fill="auto" w:val="clear"/>
            <w:vAlign w:val="center"/>
          </w:tcPr>
          <w:p>
            <w:pPr>
              <w:pStyle w:val="style0"/>
              <w:rPr>
                <w:sz w:val="8"/>
                <w:szCs w:val="24"/>
              </w:rPr>
            </w:pPr>
            <w:r>
              <w:rPr>
                <w:sz w:val="8"/>
                <w:szCs w:val="24"/>
              </w:rPr>
            </w:r>
          </w:p>
        </w:tc>
        <w:tc>
          <w:tcPr>
            <w:tcW w:type="dxa" w:w="1220"/>
            <w:tcBorders>
              <w:top w:val="nil"/>
              <w:left w:val="nil"/>
              <w:bottom w:val="nil"/>
              <w:right w:val="nil"/>
            </w:tcBorders>
            <w:shd w:fill="auto" w:val="clear"/>
            <w:vAlign w:val="center"/>
          </w:tcPr>
          <w:p>
            <w:pPr>
              <w:pStyle w:val="style0"/>
              <w:rPr>
                <w:sz w:val="8"/>
                <w:szCs w:val="24"/>
              </w:rPr>
            </w:pPr>
            <w:r>
              <w:rPr>
                <w:sz w:val="8"/>
                <w:szCs w:val="24"/>
              </w:rPr>
            </w:r>
          </w:p>
        </w:tc>
        <w:tc>
          <w:tcPr>
            <w:tcW w:type="dxa" w:w="1219"/>
            <w:tcBorders>
              <w:top w:val="nil"/>
              <w:left w:val="nil"/>
              <w:bottom w:val="nil"/>
              <w:right w:val="nil"/>
            </w:tcBorders>
            <w:shd w:fill="auto" w:val="clear"/>
            <w:vAlign w:val="center"/>
          </w:tcPr>
          <w:p>
            <w:pPr>
              <w:pStyle w:val="style0"/>
              <w:rPr>
                <w:sz w:val="8"/>
                <w:szCs w:val="24"/>
              </w:rPr>
            </w:pPr>
            <w:r>
              <w:rPr>
                <w:sz w:val="8"/>
                <w:szCs w:val="24"/>
              </w:rPr>
            </w:r>
          </w:p>
        </w:tc>
        <w:tc>
          <w:tcPr>
            <w:tcW w:type="dxa" w:w="1400"/>
            <w:tcBorders>
              <w:top w:val="nil"/>
              <w:left w:val="nil"/>
              <w:bottom w:val="nil"/>
              <w:right w:val="nil"/>
            </w:tcBorders>
            <w:shd w:fill="auto" w:val="clear"/>
            <w:vAlign w:val="center"/>
          </w:tcPr>
          <w:p>
            <w:pPr>
              <w:pStyle w:val="style0"/>
              <w:rPr>
                <w:sz w:val="8"/>
                <w:szCs w:val="24"/>
              </w:rPr>
            </w:pPr>
            <w:r>
              <w:rPr>
                <w:sz w:val="8"/>
                <w:szCs w:val="24"/>
              </w:rPr>
            </w:r>
          </w:p>
        </w:tc>
        <w:tc>
          <w:tcPr>
            <w:tcW w:type="dxa" w:w="1386"/>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4295"/>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Sales and marketing</w:t>
            </w:r>
          </w:p>
        </w:tc>
        <w:tc>
          <w:tcPr>
            <w:tcW w:type="dxa" w:w="1279"/>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7" w:right="0"/>
              <w:contextualSpacing w:val="false"/>
              <w:rPr>
                <w:rFonts w:ascii="Arial" w:cs="Arial" w:hAnsi="Arial"/>
                <w:b/>
                <w:bCs/>
                <w:sz w:val="20"/>
                <w:szCs w:val="20"/>
              </w:rPr>
            </w:pPr>
            <w:r>
              <w:rPr>
                <w:rFonts w:ascii="Arial" w:cs="Arial" w:hAnsi="Arial"/>
                <w:b/>
                <w:bCs/>
                <w:sz w:val="20"/>
                <w:szCs w:val="20"/>
              </w:rPr>
              <w:t>$</w:t>
              <w:tab/>
              <w:t>  15,276</w:t>
              <w:tab/>
              <w:t> </w:t>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57" w:right="0"/>
              <w:contextualSpacing w:val="false"/>
              <w:rPr>
                <w:rFonts w:ascii="Arial" w:cs="Arial" w:hAnsi="Arial"/>
                <w:sz w:val="20"/>
                <w:szCs w:val="20"/>
              </w:rPr>
            </w:pPr>
            <w:r>
              <w:rPr>
                <w:rFonts w:ascii="Arial" w:cs="Arial" w:hAnsi="Arial"/>
                <w:sz w:val="20"/>
                <w:szCs w:val="20"/>
              </w:rPr>
              <w:t>$</w:t>
              <w:tab/>
              <w:t>  13,857</w:t>
              <w:tab/>
              <w:t> </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57" w:right="0"/>
              <w:contextualSpacing w:val="false"/>
              <w:rPr>
                <w:rFonts w:ascii="Arial" w:cs="Arial" w:hAnsi="Arial"/>
                <w:sz w:val="20"/>
                <w:szCs w:val="20"/>
              </w:rPr>
            </w:pPr>
            <w:r>
              <w:rPr>
                <w:rFonts w:ascii="Arial" w:cs="Arial" w:hAnsi="Arial"/>
                <w:sz w:val="20"/>
                <w:szCs w:val="20"/>
              </w:rPr>
              <w:t>$</w:t>
              <w:tab/>
              <w:t>  13,940</w:t>
              <w:tab/>
              <w:t> </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10%</w:t>
              <w:tab/>
              <w:t> </w:t>
            </w:r>
          </w:p>
        </w:tc>
        <w:tc>
          <w:tcPr>
            <w:tcW w:type="dxa" w:w="1386"/>
            <w:tcBorders>
              <w:top w:val="nil"/>
              <w:left w:val="nil"/>
              <w:bottom w:val="nil"/>
              <w:right w:val="nil"/>
            </w:tcBorders>
            <w:shd w:fill="auto" w:val="clear"/>
            <w:tcMar>
              <w:left w:type="dxa" w:w="144"/>
            </w:tcMar>
            <w:vAlign w:val="bottom"/>
          </w:tcPr>
          <w:p>
            <w:pPr>
              <w:pStyle w:val="style62"/>
              <w:tabs>
                <w:tab w:leader="none" w:pos="1240" w:val="right"/>
                <w:tab w:leader="none" w:pos="1483" w:val="decimal"/>
              </w:tabs>
              <w:spacing w:after="280" w:before="280"/>
              <w:contextualSpacing w:val="false"/>
              <w:rPr>
                <w:rFonts w:ascii="Arial" w:cs="Arial" w:hAnsi="Arial"/>
                <w:sz w:val="20"/>
                <w:szCs w:val="20"/>
              </w:rPr>
            </w:pPr>
            <w:r>
              <w:rPr>
                <w:rFonts w:ascii="Arial" w:cs="Arial" w:hAnsi="Arial"/>
                <w:sz w:val="20"/>
                <w:szCs w:val="20"/>
              </w:rPr>
              <w:tab/>
              <w:t>(1)%</w:t>
              <w:tab/>
            </w:r>
          </w:p>
        </w:tc>
      </w:tr>
      <w:tr>
        <w:trPr>
          <w:cantSplit w:val="false"/>
        </w:trPr>
        <w:tc>
          <w:tcPr>
            <w:tcW w:type="dxa" w:w="4295"/>
            <w:tcBorders>
              <w:top w:val="nil"/>
              <w:left w:val="nil"/>
              <w:bottom w:color="00000A" w:space="0" w:sz="4" w:val="single"/>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As a percent of revenue</w:t>
            </w:r>
          </w:p>
        </w:tc>
        <w:tc>
          <w:tcPr>
            <w:tcW w:type="dxa" w:w="1279"/>
            <w:tcBorders>
              <w:top w:val="nil"/>
              <w:left w:val="nil"/>
              <w:bottom w:color="00000A" w:space="0" w:sz="4" w:val="single"/>
              <w:right w:val="nil"/>
            </w:tcBorders>
            <w:shd w:fill="auto" w:val="clear"/>
            <w:tcMar>
              <w:left w:type="dxa" w:w="144"/>
            </w:tcMar>
            <w:vAlign w:val="bottom"/>
          </w:tcPr>
          <w:p>
            <w:pPr>
              <w:pStyle w:val="style62"/>
              <w:tabs>
                <w:tab w:leader="none" w:pos="1080" w:val="right"/>
                <w:tab w:leader="none" w:pos="1120" w:val="decimal"/>
              </w:tabs>
              <w:spacing w:after="280" w:before="280"/>
              <w:contextualSpacing w:val="false"/>
              <w:rPr>
                <w:rFonts w:ascii="Arial" w:cs="Arial" w:hAnsi="Arial"/>
                <w:b/>
                <w:bCs/>
                <w:sz w:val="20"/>
                <w:szCs w:val="20"/>
              </w:rPr>
            </w:pPr>
            <w:r>
              <w:rPr>
                <w:rFonts w:ascii="Arial" w:cs="Arial" w:hAnsi="Arial"/>
                <w:b/>
                <w:bCs/>
                <w:sz w:val="20"/>
                <w:szCs w:val="20"/>
              </w:rPr>
              <w:tab/>
              <w:t>20%</w:t>
              <w:tab/>
            </w:r>
          </w:p>
        </w:tc>
        <w:tc>
          <w:tcPr>
            <w:tcW w:type="dxa" w:w="1220"/>
            <w:tcBorders>
              <w:top w:val="nil"/>
              <w:left w:val="nil"/>
              <w:bottom w:color="00000A" w:space="0" w:sz="4" w:val="single"/>
              <w:right w:val="nil"/>
            </w:tcBorders>
            <w:shd w:fill="auto" w:val="clear"/>
            <w:tcMar>
              <w:left w:type="dxa" w:w="144"/>
            </w:tcMar>
            <w:vAlign w:val="bottom"/>
          </w:tcPr>
          <w:p>
            <w:pPr>
              <w:pStyle w:val="style62"/>
              <w:tabs>
                <w:tab w:leader="none" w:pos="1020" w:val="right"/>
                <w:tab w:leader="none" w:pos="1060" w:val="decimal"/>
              </w:tabs>
              <w:spacing w:after="280" w:before="280"/>
              <w:contextualSpacing w:val="false"/>
              <w:rPr>
                <w:rFonts w:ascii="Arial" w:cs="Arial" w:hAnsi="Arial"/>
                <w:sz w:val="20"/>
                <w:szCs w:val="20"/>
              </w:rPr>
            </w:pPr>
            <w:r>
              <w:rPr>
                <w:rFonts w:ascii="Arial" w:cs="Arial" w:hAnsi="Arial"/>
                <w:sz w:val="20"/>
                <w:szCs w:val="20"/>
              </w:rPr>
              <w:tab/>
              <w:t>19%</w:t>
              <w:tab/>
            </w:r>
          </w:p>
        </w:tc>
        <w:tc>
          <w:tcPr>
            <w:tcW w:type="dxa" w:w="1219"/>
            <w:tcBorders>
              <w:top w:val="nil"/>
              <w:left w:val="nil"/>
              <w:bottom w:color="00000A" w:space="0" w:sz="4" w:val="single"/>
              <w:right w:val="nil"/>
            </w:tcBorders>
            <w:shd w:fill="auto" w:val="clear"/>
            <w:tcMar>
              <w:left w:type="dxa" w:w="144"/>
            </w:tcMar>
            <w:vAlign w:val="bottom"/>
          </w:tcPr>
          <w:p>
            <w:pPr>
              <w:pStyle w:val="style62"/>
              <w:tabs>
                <w:tab w:leader="none" w:pos="1020" w:val="right"/>
                <w:tab w:leader="none" w:pos="1060" w:val="decimal"/>
              </w:tabs>
              <w:spacing w:after="280" w:before="280"/>
              <w:contextualSpacing w:val="false"/>
              <w:rPr>
                <w:rFonts w:ascii="Arial" w:cs="Arial" w:hAnsi="Arial"/>
                <w:sz w:val="20"/>
                <w:szCs w:val="20"/>
              </w:rPr>
            </w:pPr>
            <w:r>
              <w:rPr>
                <w:rFonts w:ascii="Arial" w:cs="Arial" w:hAnsi="Arial"/>
                <w:sz w:val="20"/>
                <w:szCs w:val="20"/>
              </w:rPr>
              <w:tab/>
              <w:t>20%</w:t>
              <w:tab/>
            </w:r>
          </w:p>
        </w:tc>
        <w:tc>
          <w:tcPr>
            <w:tcW w:type="dxa" w:w="1400"/>
            <w:tcBorders>
              <w:top w:val="nil"/>
              <w:left w:val="nil"/>
              <w:bottom w:color="00000A" w:space="0" w:sz="4" w:val="single"/>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1ppt</w:t>
              <w:tab/>
            </w:r>
          </w:p>
        </w:tc>
        <w:tc>
          <w:tcPr>
            <w:tcW w:type="dxa" w:w="1386"/>
            <w:tcBorders>
              <w:top w:val="nil"/>
              <w:left w:val="nil"/>
              <w:bottom w:color="00000A" w:space="0" w:sz="4" w:val="single"/>
              <w:right w:val="nil"/>
            </w:tcBorders>
            <w:shd w:fill="auto" w:val="clear"/>
            <w:tcMar>
              <w:left w:type="dxa" w:w="144"/>
            </w:tcMar>
            <w:vAlign w:val="bottom"/>
          </w:tcPr>
          <w:p>
            <w:pPr>
              <w:pStyle w:val="style62"/>
              <w:tabs>
                <w:tab w:leader="none" w:pos="1240" w:val="right"/>
                <w:tab w:leader="none" w:pos="1483" w:val="decimal"/>
              </w:tabs>
              <w:spacing w:after="280" w:before="280"/>
              <w:contextualSpacing w:val="false"/>
              <w:rPr>
                <w:rFonts w:ascii="Arial" w:cs="Arial" w:hAnsi="Arial"/>
                <w:sz w:val="20"/>
                <w:szCs w:val="20"/>
              </w:rPr>
            </w:pPr>
            <w:r>
              <w:rPr>
                <w:rFonts w:ascii="Arial" w:cs="Arial" w:hAnsi="Arial"/>
                <w:sz w:val="20"/>
                <w:szCs w:val="20"/>
              </w:rPr>
              <w:tab/>
              <w:t>(1)ppt</w:t>
              <w:tab/>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2013 compared with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Sales and marketing expenses grew, reflecting an $898 million increase in advertising costs associated primarily with Windows 8 and Surface, $181 million higher fees paid to third-party software advisors, and a $145 million or 2% increase in headcount-related expenses.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2012 compared with fiscal year 2011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Sales and marketing expenses decreased slightly, primarily reflecting decreased advertising and marketing of the Xbox 360 platform, Windows Phone, and Bing, offset in part by a 5% increase in headcount-related expenses.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General and Administrative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4615"/>
        <w:gridCol w:w="1160"/>
        <w:gridCol w:w="1120"/>
        <w:gridCol w:w="1120"/>
        <w:gridCol w:w="1400"/>
        <w:gridCol w:w="1384"/>
      </w:tblGrid>
      <w:tr>
        <w:trPr>
          <w:tblHeader w:val="true"/>
          <w:cantSplit w:val="false"/>
        </w:trPr>
        <w:tc>
          <w:tcPr>
            <w:tcW w:type="dxa" w:w="4615"/>
            <w:tcBorders>
              <w:top w:val="nil"/>
              <w:left w:val="nil"/>
              <w:bottom w:val="nil"/>
              <w:right w:val="nil"/>
            </w:tcBorders>
            <w:shd w:fill="auto" w:val="clear"/>
            <w:vAlign w:val="center"/>
          </w:tcPr>
          <w:p>
            <w:pPr>
              <w:pStyle w:val="style0"/>
              <w:rPr>
                <w:sz w:val="1"/>
                <w:szCs w:val="24"/>
              </w:rPr>
            </w:pPr>
            <w:r>
              <w:rPr>
                <w:sz w:val="1"/>
                <w:szCs w:val="24"/>
              </w:rPr>
            </w:r>
          </w:p>
        </w:tc>
        <w:tc>
          <w:tcPr>
            <w:tcW w:type="dxa" w:w="1160"/>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400"/>
            <w:tcBorders>
              <w:top w:val="nil"/>
              <w:left w:val="nil"/>
              <w:bottom w:val="nil"/>
              <w:right w:val="nil"/>
            </w:tcBorders>
            <w:shd w:fill="auto" w:val="clear"/>
            <w:vAlign w:val="center"/>
          </w:tcPr>
          <w:p>
            <w:pPr>
              <w:pStyle w:val="style0"/>
              <w:rPr>
                <w:sz w:val="1"/>
                <w:szCs w:val="24"/>
              </w:rPr>
            </w:pPr>
            <w:r>
              <w:rPr>
                <w:sz w:val="1"/>
                <w:szCs w:val="24"/>
              </w:rPr>
            </w:r>
          </w:p>
        </w:tc>
        <w:tc>
          <w:tcPr>
            <w:tcW w:type="dxa" w:w="1384"/>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461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percentages)</w:t>
            </w:r>
          </w:p>
        </w:tc>
        <w:tc>
          <w:tcPr>
            <w:tcW w:type="dxa" w:w="116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2013</w:t>
            </w:r>
          </w:p>
        </w:tc>
        <w:tc>
          <w:tcPr>
            <w:tcW w:type="dxa" w:w="112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2012</w:t>
            </w:r>
          </w:p>
        </w:tc>
        <w:tc>
          <w:tcPr>
            <w:tcW w:type="dxa" w:w="112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2011</w:t>
            </w:r>
          </w:p>
        </w:tc>
        <w:tc>
          <w:tcPr>
            <w:tcW w:type="dxa" w:w="140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Percentage</w:t>
              <w:br/>
              <w:t>Change 2013</w:t>
              <w:br/>
              <w:t>Versus 2012</w:t>
            </w:r>
          </w:p>
        </w:tc>
        <w:tc>
          <w:tcPr>
            <w:tcW w:type="dxa" w:w="1384"/>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Percentage</w:t>
              <w:br/>
              <w:t>Change 2012</w:t>
              <w:br/>
              <w:t>Versus 2011</w:t>
            </w:r>
          </w:p>
        </w:tc>
      </w:tr>
      <w:tr>
        <w:trPr>
          <w:cantSplit w:val="false"/>
        </w:trPr>
        <w:tc>
          <w:tcPr>
            <w:tcW w:type="dxa" w:w="10799"/>
            <w:gridSpan w:val="6"/>
            <w:tcBorders>
              <w:top w:val="nil"/>
              <w:left w:val="nil"/>
              <w:bottom w:val="nil"/>
              <w:right w:val="nil"/>
            </w:tcBorders>
            <w:shd w:fill="auto" w:val="clear"/>
            <w:tcMar>
              <w:left w:type="dxa" w:w="144"/>
            </w:tcMar>
            <w:vAlign w:val="bottom"/>
          </w:tcPr>
          <w:p>
            <w:pPr>
              <w:pStyle w:val="style59"/>
              <w:spacing w:after="0" w:before="20"/>
              <w:ind w:hanging="0" w:left="-162" w:right="0"/>
              <w:contextualSpacing w:val="false"/>
              <w:rPr/>
            </w:pPr>
            <w:r>
              <w:rPr/>
              <w:t> </w:t>
            </w:r>
          </w:p>
        </w:tc>
      </w:tr>
      <w:tr>
        <w:trPr>
          <w:trHeight w:hRule="atLeast" w:val="75"/>
          <w:cantSplit w:val="false"/>
        </w:trPr>
        <w:tc>
          <w:tcPr>
            <w:tcW w:type="dxa" w:w="4615"/>
            <w:tcBorders>
              <w:top w:val="nil"/>
              <w:left w:val="nil"/>
              <w:bottom w:val="nil"/>
              <w:right w:val="nil"/>
            </w:tcBorders>
            <w:shd w:fill="auto" w:val="clear"/>
            <w:vAlign w:val="center"/>
          </w:tcPr>
          <w:p>
            <w:pPr>
              <w:pStyle w:val="style0"/>
              <w:rPr>
                <w:sz w:val="8"/>
                <w:szCs w:val="24"/>
              </w:rPr>
            </w:pPr>
            <w:r>
              <w:rPr>
                <w:sz w:val="8"/>
                <w:szCs w:val="24"/>
              </w:rPr>
            </w:r>
          </w:p>
        </w:tc>
        <w:tc>
          <w:tcPr>
            <w:tcW w:type="dxa" w:w="1160"/>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400"/>
            <w:tcBorders>
              <w:top w:val="nil"/>
              <w:left w:val="nil"/>
              <w:bottom w:val="nil"/>
              <w:right w:val="nil"/>
            </w:tcBorders>
            <w:shd w:fill="auto" w:val="clear"/>
            <w:vAlign w:val="center"/>
          </w:tcPr>
          <w:p>
            <w:pPr>
              <w:pStyle w:val="style0"/>
              <w:rPr>
                <w:sz w:val="8"/>
                <w:szCs w:val="24"/>
              </w:rPr>
            </w:pPr>
            <w:r>
              <w:rPr>
                <w:sz w:val="8"/>
                <w:szCs w:val="24"/>
              </w:rPr>
            </w:r>
          </w:p>
        </w:tc>
        <w:tc>
          <w:tcPr>
            <w:tcW w:type="dxa" w:w="1384"/>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4615"/>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General and administrative</w:t>
            </w:r>
          </w:p>
        </w:tc>
        <w:tc>
          <w:tcPr>
            <w:tcW w:type="dxa" w:w="1160"/>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157" w:right="0"/>
              <w:contextualSpacing w:val="false"/>
              <w:rPr>
                <w:rFonts w:ascii="Arial" w:cs="Arial" w:hAnsi="Arial"/>
                <w:b/>
                <w:bCs/>
                <w:sz w:val="20"/>
                <w:szCs w:val="20"/>
              </w:rPr>
            </w:pPr>
            <w:r>
              <w:rPr>
                <w:rFonts w:ascii="Arial" w:cs="Arial" w:hAnsi="Arial"/>
                <w:b/>
                <w:bCs/>
                <w:sz w:val="20"/>
                <w:szCs w:val="20"/>
              </w:rPr>
              <w:t>$</w:t>
              <w:tab/>
              <w:t>  5,149</w:t>
              <w:tab/>
              <w:t> </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57" w:right="0"/>
              <w:contextualSpacing w:val="false"/>
              <w:rPr>
                <w:rFonts w:ascii="Arial" w:cs="Arial" w:hAnsi="Arial"/>
                <w:sz w:val="20"/>
                <w:szCs w:val="20"/>
              </w:rPr>
            </w:pPr>
            <w:r>
              <w:rPr>
                <w:rFonts w:ascii="Arial" w:cs="Arial" w:hAnsi="Arial"/>
                <w:sz w:val="20"/>
                <w:szCs w:val="20"/>
              </w:rPr>
              <w:t>$</w:t>
              <w:tab/>
              <w:t>  4,569</w:t>
              <w:tab/>
              <w:t> </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57" w:right="0"/>
              <w:contextualSpacing w:val="false"/>
              <w:rPr>
                <w:rFonts w:ascii="Arial" w:cs="Arial" w:hAnsi="Arial"/>
                <w:sz w:val="20"/>
                <w:szCs w:val="20"/>
              </w:rPr>
            </w:pPr>
            <w:r>
              <w:rPr>
                <w:rFonts w:ascii="Arial" w:cs="Arial" w:hAnsi="Arial"/>
                <w:sz w:val="20"/>
                <w:szCs w:val="20"/>
              </w:rPr>
              <w:t>$</w:t>
              <w:tab/>
              <w:t>  4,222</w:t>
              <w:tab/>
              <w:t> </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13%</w:t>
              <w:tab/>
              <w:t> </w:t>
            </w:r>
          </w:p>
        </w:tc>
        <w:tc>
          <w:tcPr>
            <w:tcW w:type="dxa" w:w="1384"/>
            <w:tcBorders>
              <w:top w:val="nil"/>
              <w:left w:val="nil"/>
              <w:bottom w:val="nil"/>
              <w:right w:val="nil"/>
            </w:tcBorders>
            <w:shd w:fill="auto" w:val="clear"/>
            <w:tcMar>
              <w:left w:type="dxa" w:w="144"/>
            </w:tcMar>
            <w:vAlign w:val="bottom"/>
          </w:tcPr>
          <w:p>
            <w:pPr>
              <w:pStyle w:val="style62"/>
              <w:tabs>
                <w:tab w:leader="none" w:pos="1222" w:val="right"/>
                <w:tab w:leader="none" w:pos="1348" w:val="decimal"/>
              </w:tabs>
              <w:spacing w:after="280" w:before="280"/>
              <w:contextualSpacing w:val="false"/>
              <w:rPr>
                <w:rFonts w:ascii="Arial" w:cs="Arial" w:hAnsi="Arial"/>
                <w:sz w:val="20"/>
                <w:szCs w:val="20"/>
              </w:rPr>
            </w:pPr>
            <w:r>
              <w:rPr>
                <w:rFonts w:ascii="Arial" w:cs="Arial" w:hAnsi="Arial"/>
                <w:sz w:val="20"/>
                <w:szCs w:val="20"/>
              </w:rPr>
              <w:tab/>
              <w:t>8%</w:t>
              <w:tab/>
            </w:r>
          </w:p>
        </w:tc>
      </w:tr>
      <w:tr>
        <w:trPr>
          <w:cantSplit w:val="false"/>
        </w:trPr>
        <w:tc>
          <w:tcPr>
            <w:tcW w:type="dxa" w:w="4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As a percent of revenue</w:t>
            </w:r>
          </w:p>
        </w:tc>
        <w:tc>
          <w:tcPr>
            <w:tcW w:type="dxa" w:w="1160"/>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contextualSpacing w:val="false"/>
              <w:rPr>
                <w:rFonts w:ascii="Arial" w:cs="Arial" w:hAnsi="Arial"/>
                <w:b/>
                <w:bCs/>
                <w:sz w:val="20"/>
                <w:szCs w:val="20"/>
              </w:rPr>
            </w:pPr>
            <w:r>
              <w:rPr>
                <w:rFonts w:ascii="Arial" w:cs="Arial" w:hAnsi="Arial"/>
                <w:b/>
                <w:bCs/>
                <w:sz w:val="20"/>
                <w:szCs w:val="20"/>
              </w:rPr>
              <w:tab/>
              <w:t>7%</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sz w:val="20"/>
                <w:szCs w:val="20"/>
              </w:rPr>
            </w:pPr>
            <w:r>
              <w:rPr>
                <w:rFonts w:ascii="Arial" w:cs="Arial" w:hAnsi="Arial"/>
                <w:sz w:val="20"/>
                <w:szCs w:val="20"/>
              </w:rPr>
              <w:tab/>
              <w:t>6%</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sz w:val="20"/>
                <w:szCs w:val="20"/>
              </w:rPr>
            </w:pPr>
            <w:r>
              <w:rPr>
                <w:rFonts w:ascii="Arial" w:cs="Arial" w:hAnsi="Arial"/>
                <w:sz w:val="20"/>
                <w:szCs w:val="20"/>
              </w:rPr>
              <w:tab/>
              <w:t>6%</w:t>
              <w:tab/>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contextualSpacing w:val="false"/>
              <w:rPr>
                <w:rFonts w:ascii="Arial" w:cs="Arial" w:hAnsi="Arial"/>
                <w:sz w:val="20"/>
                <w:szCs w:val="20"/>
              </w:rPr>
            </w:pPr>
            <w:r>
              <w:rPr>
                <w:rFonts w:ascii="Arial" w:cs="Arial" w:hAnsi="Arial"/>
                <w:sz w:val="20"/>
                <w:szCs w:val="20"/>
              </w:rPr>
              <w:tab/>
              <w:t>1ppt</w:t>
              <w:tab/>
            </w:r>
          </w:p>
        </w:tc>
        <w:tc>
          <w:tcPr>
            <w:tcW w:type="dxa" w:w="1384"/>
            <w:tcBorders>
              <w:top w:val="nil"/>
              <w:left w:val="nil"/>
              <w:bottom w:val="nil"/>
              <w:right w:val="nil"/>
            </w:tcBorders>
            <w:shd w:fill="auto" w:val="clear"/>
            <w:tcMar>
              <w:left w:type="dxa" w:w="144"/>
            </w:tcMar>
            <w:vAlign w:val="bottom"/>
          </w:tcPr>
          <w:p>
            <w:pPr>
              <w:pStyle w:val="style62"/>
              <w:tabs>
                <w:tab w:leader="none" w:pos="1222" w:val="right"/>
                <w:tab w:leader="none" w:pos="1348" w:val="decimal"/>
              </w:tabs>
              <w:spacing w:after="280" w:before="280"/>
              <w:contextualSpacing w:val="false"/>
              <w:rPr>
                <w:rFonts w:ascii="Arial" w:cs="Arial" w:hAnsi="Arial"/>
                <w:sz w:val="20"/>
                <w:szCs w:val="20"/>
              </w:rPr>
            </w:pPr>
            <w:r>
              <w:rPr>
                <w:rFonts w:ascii="Arial" w:cs="Arial" w:hAnsi="Arial"/>
                <w:sz w:val="20"/>
                <w:szCs w:val="20"/>
              </w:rPr>
              <w:tab/>
              <w:t>0ppt</w:t>
              <w:tab/>
            </w:r>
          </w:p>
        </w:tc>
      </w:tr>
    </w:tbl>
    <w:p>
      <w:pPr>
        <w:pStyle w:val="style59"/>
        <w:pBdr>
          <w:top w:color="000001" w:space="0" w:sz="4" w:val="single"/>
          <w:left w:val="nil"/>
          <w:bottom w:val="nil"/>
          <w:insideH w:val="nil"/>
          <w:right w:val="nil"/>
          <w:insideV w:val="nil"/>
        </w:pBdr>
        <w:ind w:hanging="0" w:left="0" w:right="58"/>
        <w:rPr/>
      </w:pPr>
      <w:r>
        <w:rPr/>
        <w:t>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General and administrative expenses include payroll, employee benefits, stock-based compensation expense, severance expense, and other headcount-related expenses associated with finance, legal, facilities, certain human resources and other administrative personnel, certain taxes, and legal and other administrative fees.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2013 compared with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General and administrative expenses increased due to higher legal charges from the EU fine.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2012 compared with fiscal year 2011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General and administrative expenses increased, primarily due to a 10% increase in headcount-related expenses and a full year of Puerto Rican excise taxes, offset in part by a decrease in legal charges.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Goodwill Impairment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test goodwill for impairment annually on May 1 at the reporting unit level using a fair value approach. No impairment of goodwill was identified as of May 1, 2013. Our goodwill impairment test as of May 1, 2012, indicated that OSD’s carrying value exceeded its estimated fair value. Accordingly, we recorded a non-cash, non-tax deductible goodwill impairment charge of $6.2 billion during the three months ended June 30, 2012, reducing OSD’s goodwill from $6.4 billion to $223 million.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OTHER INCOME (EXPENSE) AND INCOME TAXES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Other Income (Expense)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components of other income (expense)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666"/>
        <w:gridCol w:w="1070"/>
        <w:gridCol w:w="1031"/>
        <w:gridCol w:w="1033"/>
      </w:tblGrid>
      <w:tr>
        <w:trPr>
          <w:tblHeader w:val="true"/>
          <w:cantSplit w:val="false"/>
        </w:trPr>
        <w:tc>
          <w:tcPr>
            <w:tcW w:type="dxa" w:w="7666"/>
            <w:tcBorders>
              <w:top w:val="nil"/>
              <w:left w:val="nil"/>
              <w:bottom w:val="nil"/>
              <w:right w:val="nil"/>
            </w:tcBorders>
            <w:shd w:fill="auto" w:val="clear"/>
            <w:vAlign w:val="center"/>
          </w:tcPr>
          <w:p>
            <w:pPr>
              <w:pStyle w:val="style0"/>
              <w:rPr>
                <w:sz w:val="1"/>
                <w:szCs w:val="24"/>
              </w:rPr>
            </w:pPr>
            <w:r>
              <w:rPr>
                <w:sz w:val="1"/>
                <w:szCs w:val="24"/>
              </w:rPr>
            </w:r>
          </w:p>
        </w:tc>
        <w:tc>
          <w:tcPr>
            <w:tcW w:type="dxa" w:w="1070"/>
            <w:tcBorders>
              <w:top w:val="nil"/>
              <w:left w:val="nil"/>
              <w:bottom w:val="nil"/>
              <w:right w:val="nil"/>
            </w:tcBorders>
            <w:shd w:fill="auto" w:val="clear"/>
            <w:vAlign w:val="center"/>
          </w:tcPr>
          <w:p>
            <w:pPr>
              <w:pStyle w:val="style0"/>
              <w:rPr>
                <w:sz w:val="1"/>
                <w:szCs w:val="24"/>
              </w:rPr>
            </w:pPr>
            <w:r>
              <w:rPr>
                <w:sz w:val="1"/>
                <w:szCs w:val="24"/>
              </w:rPr>
            </w:r>
          </w:p>
        </w:tc>
        <w:tc>
          <w:tcPr>
            <w:tcW w:type="dxa" w:w="1031"/>
            <w:tcBorders>
              <w:top w:val="nil"/>
              <w:left w:val="nil"/>
              <w:bottom w:val="nil"/>
              <w:right w:val="nil"/>
            </w:tcBorders>
            <w:shd w:fill="auto" w:val="clear"/>
            <w:vAlign w:val="center"/>
          </w:tcPr>
          <w:p>
            <w:pPr>
              <w:pStyle w:val="style0"/>
              <w:rPr>
                <w:sz w:val="1"/>
                <w:szCs w:val="24"/>
              </w:rPr>
            </w:pPr>
            <w:r>
              <w:rPr>
                <w:sz w:val="1"/>
                <w:szCs w:val="24"/>
              </w:rPr>
            </w:r>
          </w:p>
        </w:tc>
        <w:tc>
          <w:tcPr>
            <w:tcW w:type="dxa" w:w="1033"/>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6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070"/>
            <w:tcBorders>
              <w:top w:val="nil"/>
              <w:left w:val="nil"/>
              <w:bottom w:val="nil"/>
              <w:right w:val="nil"/>
            </w:tcBorders>
            <w:shd w:fill="auto" w:val="clear"/>
            <w:tcMar>
              <w:left w:type="dxa" w:w="144"/>
            </w:tcMar>
            <w:vAlign w:val="bottom"/>
          </w:tcPr>
          <w:p>
            <w:pPr>
              <w:pStyle w:val="style65"/>
              <w:rPr/>
            </w:pPr>
            <w:r>
              <w:rPr/>
              <w:t> </w:t>
            </w:r>
          </w:p>
        </w:tc>
        <w:tc>
          <w:tcPr>
            <w:tcW w:type="dxa" w:w="1031"/>
            <w:tcBorders>
              <w:top w:val="nil"/>
              <w:left w:val="nil"/>
              <w:bottom w:val="nil"/>
              <w:right w:val="nil"/>
            </w:tcBorders>
            <w:shd w:fill="auto" w:val="clear"/>
            <w:tcMar>
              <w:left w:type="dxa" w:w="144"/>
            </w:tcMar>
            <w:vAlign w:val="bottom"/>
          </w:tcPr>
          <w:p>
            <w:pPr>
              <w:pStyle w:val="style65"/>
              <w:rPr/>
            </w:pPr>
            <w:r>
              <w:rPr/>
              <w:t> </w:t>
            </w:r>
          </w:p>
        </w:tc>
        <w:tc>
          <w:tcPr>
            <w:tcW w:type="dxa" w:w="1033"/>
            <w:tcBorders>
              <w:top w:val="nil"/>
              <w:left w:val="nil"/>
              <w:bottom w:val="nil"/>
              <w:right w:val="nil"/>
            </w:tcBorders>
            <w:shd w:fill="auto" w:val="clear"/>
            <w:tcMar>
              <w:left w:type="dxa" w:w="144"/>
            </w:tcMar>
            <w:vAlign w:val="bottom"/>
          </w:tcPr>
          <w:p>
            <w:pPr>
              <w:pStyle w:val="style65"/>
              <w:ind w:hanging="0" w:left="173" w:right="86"/>
              <w:rPr/>
            </w:pPr>
            <w:r>
              <w:rPr/>
              <w:t> </w:t>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279" w:right="86"/>
              <w:contextualSpacing w:val="false"/>
              <w:rPr/>
            </w:pPr>
            <w:r>
              <w:rPr/>
              <w:t> </w:t>
            </w:r>
          </w:p>
        </w:tc>
      </w:tr>
      <w:tr>
        <w:trPr>
          <w:trHeight w:hRule="atLeast" w:val="75"/>
          <w:cantSplit w:val="false"/>
        </w:trPr>
        <w:tc>
          <w:tcPr>
            <w:tcW w:type="dxa" w:w="766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rPr>
                <w:sz w:val="8"/>
                <w:szCs w:val="24"/>
              </w:rPr>
            </w:pPr>
            <w:r>
              <w:rPr>
                <w:sz w:val="8"/>
                <w:szCs w:val="24"/>
              </w:rPr>
            </w:r>
          </w:p>
        </w:tc>
        <w:tc>
          <w:tcPr>
            <w:tcW w:type="dxa" w:w="1031"/>
            <w:tcBorders>
              <w:top w:val="nil"/>
              <w:left w:val="nil"/>
              <w:bottom w:val="nil"/>
              <w:right w:val="nil"/>
            </w:tcBorders>
            <w:shd w:fill="auto" w:val="clear"/>
            <w:vAlign w:val="center"/>
          </w:tcPr>
          <w:p>
            <w:pPr>
              <w:pStyle w:val="style0"/>
              <w:rPr>
                <w:sz w:val="8"/>
                <w:szCs w:val="24"/>
              </w:rPr>
            </w:pPr>
            <w:r>
              <w:rPr>
                <w:sz w:val="8"/>
                <w:szCs w:val="24"/>
              </w:rPr>
            </w:r>
          </w:p>
        </w:tc>
        <w:tc>
          <w:tcPr>
            <w:tcW w:type="dxa" w:w="1033"/>
            <w:tcBorders>
              <w:top w:val="nil"/>
              <w:left w:val="nil"/>
              <w:bottom w:val="nil"/>
              <w:right w:val="nil"/>
            </w:tcBorders>
            <w:shd w:fill="auto" w:val="clear"/>
            <w:vAlign w:val="center"/>
          </w:tcPr>
          <w:p>
            <w:pPr>
              <w:pStyle w:val="style0"/>
              <w:ind w:hanging="0" w:left="173" w:right="86"/>
              <w:rPr>
                <w:sz w:val="8"/>
                <w:szCs w:val="24"/>
              </w:rPr>
            </w:pPr>
            <w:r>
              <w:rPr>
                <w:sz w:val="8"/>
                <w:szCs w:val="24"/>
              </w:rPr>
            </w:r>
          </w:p>
        </w:tc>
      </w:tr>
      <w:tr>
        <w:trPr>
          <w:cantSplit w:val="false"/>
        </w:trPr>
        <w:tc>
          <w:tcPr>
            <w:tcW w:type="dxa" w:w="76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070"/>
            <w:tcBorders>
              <w:top w:val="nil"/>
              <w:left w:val="nil"/>
              <w:bottom w:val="nil"/>
              <w:right w:val="nil"/>
            </w:tcBorders>
            <w:shd w:fill="auto" w:val="clear"/>
            <w:tcMar>
              <w:left w:type="dxa" w:w="144"/>
            </w:tcMar>
            <w:vAlign w:val="bottom"/>
          </w:tcPr>
          <w:p>
            <w:pPr>
              <w:pStyle w:val="style0"/>
              <w:ind w:hanging="0" w:left="245" w:right="101"/>
              <w:jc w:val="right"/>
              <w:rPr>
                <w:rFonts w:ascii="Arial" w:cs="Arial" w:hAnsi="Arial"/>
                <w:b/>
                <w:bCs/>
                <w:sz w:val="15"/>
                <w:szCs w:val="15"/>
              </w:rPr>
            </w:pPr>
            <w:r>
              <w:rPr>
                <w:rFonts w:ascii="Arial" w:cs="Arial" w:hAnsi="Arial"/>
                <w:b/>
                <w:bCs/>
                <w:sz w:val="15"/>
                <w:szCs w:val="15"/>
              </w:rPr>
              <w:t>2013</w:t>
            </w:r>
          </w:p>
        </w:tc>
        <w:tc>
          <w:tcPr>
            <w:tcW w:type="dxa" w:w="1031"/>
            <w:tcBorders>
              <w:top w:val="nil"/>
              <w:left w:val="nil"/>
              <w:bottom w:val="nil"/>
              <w:right w:val="nil"/>
            </w:tcBorders>
            <w:shd w:fill="auto" w:val="clear"/>
            <w:tcMar>
              <w:left w:type="dxa" w:w="144"/>
            </w:tcMar>
            <w:vAlign w:val="bottom"/>
          </w:tcPr>
          <w:p>
            <w:pPr>
              <w:pStyle w:val="style0"/>
              <w:ind w:hanging="0" w:left="202" w:right="76"/>
              <w:jc w:val="right"/>
              <w:rPr>
                <w:rFonts w:ascii="Arial" w:cs="Arial" w:hAnsi="Arial"/>
                <w:b/>
                <w:bCs/>
                <w:sz w:val="15"/>
                <w:szCs w:val="15"/>
              </w:rPr>
            </w:pPr>
            <w:r>
              <w:rPr>
                <w:rFonts w:ascii="Arial" w:cs="Arial" w:hAnsi="Arial"/>
                <w:b/>
                <w:bCs/>
                <w:sz w:val="15"/>
                <w:szCs w:val="15"/>
              </w:rPr>
              <w:t>2012</w:t>
            </w:r>
          </w:p>
        </w:tc>
        <w:tc>
          <w:tcPr>
            <w:tcW w:type="dxa" w:w="1033"/>
            <w:tcBorders>
              <w:top w:val="nil"/>
              <w:left w:val="nil"/>
              <w:bottom w:val="nil"/>
              <w:right w:val="nil"/>
            </w:tcBorders>
            <w:shd w:fill="auto" w:val="clear"/>
            <w:tcMar>
              <w:left w:type="dxa" w:w="144"/>
            </w:tcMar>
            <w:vAlign w:val="bottom"/>
          </w:tcPr>
          <w:p>
            <w:pPr>
              <w:pStyle w:val="style0"/>
              <w:ind w:hanging="0" w:left="173" w:right="86"/>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66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ind w:hanging="0" w:left="245" w:right="101"/>
              <w:rPr>
                <w:sz w:val="8"/>
                <w:szCs w:val="24"/>
              </w:rPr>
            </w:pPr>
            <w:r>
              <w:rPr>
                <w:sz w:val="8"/>
                <w:szCs w:val="24"/>
              </w:rPr>
            </w:r>
          </w:p>
        </w:tc>
        <w:tc>
          <w:tcPr>
            <w:tcW w:type="dxa" w:w="1031"/>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033"/>
            <w:tcBorders>
              <w:top w:val="nil"/>
              <w:left w:val="nil"/>
              <w:bottom w:val="nil"/>
              <w:right w:val="nil"/>
            </w:tcBorders>
            <w:shd w:fill="auto" w:val="clear"/>
            <w:vAlign w:val="center"/>
          </w:tcPr>
          <w:p>
            <w:pPr>
              <w:pStyle w:val="style0"/>
              <w:ind w:hanging="0" w:left="173" w:right="86"/>
              <w:rPr>
                <w:sz w:val="8"/>
                <w:szCs w:val="24"/>
              </w:rPr>
            </w:pPr>
            <w:r>
              <w:rPr>
                <w:sz w:val="8"/>
                <w:szCs w:val="24"/>
              </w:rPr>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Dividends and interest income</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45" w:right="101"/>
              <w:contextualSpacing w:val="false"/>
              <w:rPr>
                <w:rFonts w:ascii="Arial" w:cs="Arial" w:hAnsi="Arial"/>
                <w:b/>
                <w:bCs/>
                <w:sz w:val="20"/>
                <w:szCs w:val="20"/>
              </w:rPr>
            </w:pPr>
            <w:r>
              <w:rPr>
                <w:rFonts w:ascii="Arial" w:cs="Arial" w:hAnsi="Arial"/>
                <w:b/>
                <w:bCs/>
                <w:sz w:val="20"/>
                <w:szCs w:val="20"/>
              </w:rPr>
              <w:t>$</w:t>
              <w:tab/>
              <w:t>   677</w:t>
              <w:tab/>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   800</w:t>
              <w:tab/>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173" w:right="86"/>
              <w:contextualSpacing w:val="false"/>
              <w:rPr>
                <w:rFonts w:ascii="Arial" w:cs="Arial" w:hAnsi="Arial"/>
                <w:sz w:val="20"/>
                <w:szCs w:val="20"/>
              </w:rPr>
            </w:pPr>
            <w:r>
              <w:rPr>
                <w:rFonts w:ascii="Arial" w:cs="Arial" w:hAnsi="Arial"/>
                <w:sz w:val="20"/>
                <w:szCs w:val="20"/>
              </w:rPr>
              <w:t>$</w:t>
              <w:tab/>
              <w:t>   900</w:t>
              <w:tab/>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Interest expense</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45" w:right="101"/>
              <w:contextualSpacing w:val="false"/>
              <w:rPr>
                <w:rFonts w:ascii="Arial" w:cs="Arial" w:hAnsi="Arial"/>
                <w:b/>
                <w:bCs/>
                <w:sz w:val="20"/>
                <w:szCs w:val="20"/>
              </w:rPr>
            </w:pPr>
            <w:r>
              <w:rPr>
                <w:rFonts w:ascii="Arial" w:cs="Arial" w:hAnsi="Arial"/>
                <w:b/>
                <w:bCs/>
                <w:sz w:val="20"/>
                <w:szCs w:val="20"/>
              </w:rPr>
              <w:tab/>
              <w:t>(429</w:t>
              <w:tab/>
              <w:t>)</w:t>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ab/>
              <w:t>(380</w:t>
              <w:tab/>
              <w:t>)</w:t>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173" w:right="86"/>
              <w:contextualSpacing w:val="false"/>
              <w:rPr>
                <w:rFonts w:ascii="Arial" w:cs="Arial" w:hAnsi="Arial"/>
                <w:sz w:val="20"/>
                <w:szCs w:val="20"/>
              </w:rPr>
            </w:pPr>
            <w:r>
              <w:rPr>
                <w:rFonts w:ascii="Arial" w:cs="Arial" w:hAnsi="Arial"/>
                <w:sz w:val="20"/>
                <w:szCs w:val="20"/>
              </w:rPr>
              <w:tab/>
              <w:t>(295</w:t>
              <w:tab/>
              <w:t>)</w:t>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recognized gains on investments</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45" w:right="101"/>
              <w:contextualSpacing w:val="false"/>
              <w:rPr>
                <w:rFonts w:ascii="Arial" w:cs="Arial" w:hAnsi="Arial"/>
                <w:b/>
                <w:bCs/>
                <w:sz w:val="20"/>
                <w:szCs w:val="20"/>
              </w:rPr>
            </w:pPr>
            <w:r>
              <w:rPr>
                <w:rFonts w:ascii="Arial" w:cs="Arial" w:hAnsi="Arial"/>
                <w:b/>
                <w:bCs/>
                <w:sz w:val="20"/>
                <w:szCs w:val="20"/>
              </w:rPr>
              <w:tab/>
              <w:t>116</w:t>
              <w:tab/>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ab/>
              <w:t>564</w:t>
              <w:tab/>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173" w:right="86"/>
              <w:contextualSpacing w:val="false"/>
              <w:rPr>
                <w:rFonts w:ascii="Arial" w:cs="Arial" w:hAnsi="Arial"/>
                <w:sz w:val="20"/>
                <w:szCs w:val="20"/>
              </w:rPr>
            </w:pPr>
            <w:r>
              <w:rPr>
                <w:rFonts w:ascii="Arial" w:cs="Arial" w:hAnsi="Arial"/>
                <w:sz w:val="20"/>
                <w:szCs w:val="20"/>
              </w:rPr>
              <w:tab/>
              <w:t>439</w:t>
              <w:tab/>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losses on derivatives</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45" w:right="101"/>
              <w:contextualSpacing w:val="false"/>
              <w:rPr>
                <w:rFonts w:ascii="Arial" w:cs="Arial" w:hAnsi="Arial"/>
                <w:b/>
                <w:bCs/>
                <w:sz w:val="20"/>
                <w:szCs w:val="20"/>
              </w:rPr>
            </w:pPr>
            <w:r>
              <w:rPr>
                <w:rFonts w:ascii="Arial" w:cs="Arial" w:hAnsi="Arial"/>
                <w:b/>
                <w:bCs/>
                <w:sz w:val="20"/>
                <w:szCs w:val="20"/>
              </w:rPr>
              <w:tab/>
              <w:t>(196</w:t>
              <w:tab/>
              <w:t>)</w:t>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ab/>
              <w:t>(364</w:t>
              <w:tab/>
              <w:t>)</w:t>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173" w:right="86"/>
              <w:contextualSpacing w:val="false"/>
              <w:rPr>
                <w:rFonts w:ascii="Arial" w:cs="Arial" w:hAnsi="Arial"/>
                <w:sz w:val="20"/>
                <w:szCs w:val="20"/>
              </w:rPr>
            </w:pPr>
            <w:r>
              <w:rPr>
                <w:rFonts w:ascii="Arial" w:cs="Arial" w:hAnsi="Arial"/>
                <w:sz w:val="20"/>
                <w:szCs w:val="20"/>
              </w:rPr>
              <w:tab/>
              <w:t>(77</w:t>
              <w:tab/>
              <w:t>)</w:t>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losses on foreign currency remeasurements</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45" w:right="101"/>
              <w:contextualSpacing w:val="false"/>
              <w:rPr>
                <w:rFonts w:ascii="Arial" w:cs="Arial" w:hAnsi="Arial"/>
                <w:b/>
                <w:bCs/>
                <w:sz w:val="20"/>
                <w:szCs w:val="20"/>
              </w:rPr>
            </w:pPr>
            <w:r>
              <w:rPr>
                <w:rFonts w:ascii="Arial" w:cs="Arial" w:hAnsi="Arial"/>
                <w:b/>
                <w:bCs/>
                <w:sz w:val="20"/>
                <w:szCs w:val="20"/>
              </w:rPr>
              <w:tab/>
              <w:t>(74</w:t>
              <w:tab/>
              <w:t>)</w:t>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ab/>
              <w:t>(117</w:t>
              <w:tab/>
              <w:t>)</w:t>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173" w:right="86"/>
              <w:contextualSpacing w:val="false"/>
              <w:rPr>
                <w:rFonts w:ascii="Arial" w:cs="Arial" w:hAnsi="Arial"/>
                <w:sz w:val="20"/>
                <w:szCs w:val="20"/>
              </w:rPr>
            </w:pPr>
            <w:r>
              <w:rPr>
                <w:rFonts w:ascii="Arial" w:cs="Arial" w:hAnsi="Arial"/>
                <w:sz w:val="20"/>
                <w:szCs w:val="20"/>
              </w:rPr>
              <w:tab/>
              <w:t>(26</w:t>
              <w:tab/>
              <w:t>)</w:t>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45" w:right="101"/>
              <w:contextualSpacing w:val="false"/>
              <w:rPr>
                <w:rFonts w:ascii="Arial" w:cs="Arial" w:hAnsi="Arial"/>
                <w:b/>
                <w:bCs/>
                <w:sz w:val="20"/>
                <w:szCs w:val="20"/>
              </w:rPr>
            </w:pPr>
            <w:r>
              <w:rPr>
                <w:rFonts w:ascii="Arial" w:cs="Arial" w:hAnsi="Arial"/>
                <w:b/>
                <w:bCs/>
                <w:sz w:val="20"/>
                <w:szCs w:val="20"/>
              </w:rPr>
              <w:tab/>
              <w:t>194</w:t>
              <w:tab/>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ab/>
              <w:t>1</w:t>
              <w:tab/>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173" w:right="86"/>
              <w:contextualSpacing w:val="false"/>
              <w:rPr>
                <w:rFonts w:ascii="Arial" w:cs="Arial" w:hAnsi="Arial"/>
                <w:sz w:val="20"/>
                <w:szCs w:val="20"/>
              </w:rPr>
            </w:pPr>
            <w:r>
              <w:rPr>
                <w:rFonts w:ascii="Arial" w:cs="Arial" w:hAnsi="Arial"/>
                <w:sz w:val="20"/>
                <w:szCs w:val="20"/>
              </w:rPr>
              <w:tab/>
              <w:t>(31</w:t>
              <w:tab/>
              <w:t>)</w:t>
            </w:r>
          </w:p>
        </w:tc>
      </w:tr>
      <w:tr>
        <w:trPr>
          <w:cantSplit w:val="false"/>
        </w:trPr>
        <w:tc>
          <w:tcPr>
            <w:tcW w:type="dxa" w:w="8738"/>
            <w:gridSpan w:val="2"/>
            <w:tcBorders>
              <w:top w:val="nil"/>
              <w:left w:val="nil"/>
              <w:bottom w:val="nil"/>
              <w:right w:val="nil"/>
            </w:tcBorders>
            <w:shd w:fill="auto" w:val="clear"/>
            <w:vAlign w:val="bottom"/>
          </w:tcPr>
          <w:p>
            <w:pPr>
              <w:pStyle w:val="style59"/>
              <w:spacing w:after="0" w:before="20"/>
              <w:ind w:hanging="0" w:left="-279" w:right="101"/>
              <w:contextualSpacing w:val="false"/>
              <w:rPr/>
            </w:pPr>
            <w:r>
              <w:rPr/>
              <w:t> </w:t>
            </w:r>
          </w:p>
        </w:tc>
        <w:tc>
          <w:tcPr>
            <w:tcW w:type="dxa" w:w="1030"/>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c>
          <w:tcPr>
            <w:tcW w:type="dxa" w:w="1032"/>
            <w:tcBorders>
              <w:top w:val="nil"/>
              <w:left w:val="nil"/>
              <w:bottom w:val="nil"/>
              <w:right w:val="nil"/>
            </w:tcBorders>
            <w:shd w:fill="auto" w:val="clear"/>
            <w:tcMar>
              <w:left w:type="dxa" w:w="144"/>
            </w:tcMar>
            <w:vAlign w:val="bottom"/>
          </w:tcPr>
          <w:p>
            <w:pPr>
              <w:pStyle w:val="style59"/>
              <w:spacing w:after="0" w:before="20"/>
              <w:ind w:hanging="0" w:left="173" w:right="86"/>
              <w:contextualSpacing w:val="false"/>
              <w:rPr/>
            </w:pPr>
            <w:r>
              <w:rPr/>
              <w:t> </w:t>
            </w:r>
          </w:p>
        </w:tc>
      </w:tr>
      <w:tr>
        <w:trPr>
          <w:cantSplit w:val="false"/>
        </w:trPr>
        <w:tc>
          <w:tcPr>
            <w:tcW w:type="dxa" w:w="766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45" w:right="101"/>
              <w:contextualSpacing w:val="false"/>
              <w:rPr>
                <w:rFonts w:ascii="Arial" w:cs="Arial" w:hAnsi="Arial"/>
                <w:b/>
                <w:bCs/>
                <w:sz w:val="20"/>
                <w:szCs w:val="20"/>
              </w:rPr>
            </w:pPr>
            <w:r>
              <w:rPr>
                <w:rFonts w:ascii="Arial" w:cs="Arial" w:hAnsi="Arial"/>
                <w:b/>
                <w:bCs/>
                <w:sz w:val="20"/>
                <w:szCs w:val="20"/>
              </w:rPr>
              <w:t>$</w:t>
              <w:tab/>
              <w:t>288</w:t>
              <w:tab/>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504</w:t>
              <w:tab/>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173" w:right="86"/>
              <w:contextualSpacing w:val="false"/>
              <w:rPr>
                <w:rFonts w:ascii="Arial" w:cs="Arial" w:hAnsi="Arial"/>
                <w:sz w:val="20"/>
                <w:szCs w:val="20"/>
              </w:rPr>
            </w:pPr>
            <w:r>
              <w:rPr>
                <w:rFonts w:ascii="Arial" w:cs="Arial" w:hAnsi="Arial"/>
                <w:sz w:val="20"/>
                <w:szCs w:val="20"/>
              </w:rPr>
              <w:t>$</w:t>
              <w:tab/>
              <w:t>910</w:t>
              <w:tab/>
            </w:r>
          </w:p>
        </w:tc>
      </w:tr>
      <w:tr>
        <w:trPr>
          <w:cantSplit w:val="false"/>
        </w:trPr>
        <w:tc>
          <w:tcPr>
            <w:tcW w:type="dxa" w:w="7666"/>
            <w:tcBorders>
              <w:top w:val="nil"/>
              <w:left w:val="nil"/>
              <w:bottom w:val="nil"/>
              <w:right w:val="nil"/>
            </w:tcBorders>
            <w:shd w:fill="auto" w:val="clear"/>
            <w:tcMar>
              <w:left w:type="dxa" w:w="144"/>
            </w:tcMar>
            <w:vAlign w:val="bottom"/>
          </w:tcPr>
          <w:p>
            <w:pPr>
              <w:pStyle w:val="style65"/>
              <w:rPr/>
            </w:pPr>
            <w:r>
              <w:rPr/>
              <w:t> </w:t>
            </w:r>
          </w:p>
        </w:tc>
        <w:tc>
          <w:tcPr>
            <w:tcW w:type="dxa" w:w="1070"/>
            <w:tcBorders>
              <w:top w:val="nil"/>
              <w:left w:val="nil"/>
              <w:bottom w:val="nil"/>
              <w:right w:val="nil"/>
            </w:tcBorders>
            <w:shd w:fill="auto" w:val="clear"/>
            <w:tcMar>
              <w:left w:type="dxa" w:w="144"/>
            </w:tcMar>
            <w:vAlign w:val="bottom"/>
          </w:tcPr>
          <w:p>
            <w:pPr>
              <w:pStyle w:val="style63"/>
              <w:spacing w:after="0" w:before="20"/>
              <w:ind w:hanging="0" w:left="245" w:right="101"/>
              <w:contextualSpacing w:val="false"/>
              <w:rPr/>
            </w:pPr>
            <w:r>
              <w:rPr/>
              <w:t> </w:t>
            </w:r>
          </w:p>
        </w:tc>
        <w:tc>
          <w:tcPr>
            <w:tcW w:type="dxa" w:w="1031"/>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c>
          <w:tcPr>
            <w:tcW w:type="dxa" w:w="1033"/>
            <w:tcBorders>
              <w:top w:val="nil"/>
              <w:left w:val="nil"/>
              <w:bottom w:val="nil"/>
              <w:right w:val="nil"/>
            </w:tcBorders>
            <w:shd w:fill="auto" w:val="clear"/>
            <w:tcMar>
              <w:left w:type="dxa" w:w="144"/>
            </w:tcMar>
            <w:vAlign w:val="bottom"/>
          </w:tcPr>
          <w:p>
            <w:pPr>
              <w:pStyle w:val="style63"/>
              <w:spacing w:after="0" w:before="20"/>
              <w:ind w:hanging="0" w:left="173" w:right="86"/>
              <w:contextualSpacing w:val="false"/>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use derivative instruments to: manage risks related to foreign currencies, equity prices, interest rates, and credit; enhance investment returns; and facilitate portfolio diversification. Gains and losses from changes in fair values of derivatives that are not designated as hedges are primarily recognized in other income (expense). Other than those derivatives entered into for investment purposes, such as commodity contracts, the gains (losses) are generally economically offset by unrealized gains (losses) in the underlying available-for-sale securities, which are recorded as a component of other comprehensive income (“OCI”) until the securities are sold or other-than-temporarily impaired, at which time the amounts are reclassified from accumulated other comprehensive income (“AOCI”) into other income (expense).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2013 compared with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Dividends and interest income decreased due to lower yields on our fixed-income investments, offset in part by higher average portfolio investment balances. Net recognized gains on investments decreased primarily due to lower gains on sales of equity and fixed-income securities and a gain recognized on the partial sale of our Facebook holding in the prior year, offset in part by lower other-than-temporary impairments. Other-than-temporary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impairments were $208 million in fiscal year 2013, compared with $298 million in fiscal year 2012. Net losses on derivatives decreased due to gains on equity derivatives in the current fiscal year as compared with losses in the prior fiscal year, and lower losses on commodity and foreign exchange derivatives as compared to the prior fiscal year, offset in part by losses on interest-rate derivatives in the current fiscal year as compared to gains in the prior fiscal year. For the current year, other reflects recognized gains on divestitures, including the gain recognized upon the divestiture of our 50% share in the MSNBC joint venture.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2012 compared with fiscal year 2011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Dividends and interest income decreased due to lower yields on our fixed-income investments, offset in part by higher average portfolio investment balances. Interest expense increased due to our increased issuance of debt in the prior year. Net recognized gains on investments increased, primarily due to higher gains on sales of equity and fixed-income securities and a gain recognized on the partial sale of our Facebook holding upon the initial public offering on May 18, 2012, offset in part by higher other-than-temporary impairments. Other-than-temporary impairments were $298 million in fiscal year 2012, compared with $80 million in fiscal year 2011. Net losses on derivatives increased due to losses on commodity and equity derivatives in the current fiscal year as compared with gains in the prior fiscal year, offset in part by fewer losses on foreign exchange contracts in the current fiscal year as compared to the prior fiscal year. Changes in foreign currency remeasurements were primarily due to currency movements net of our hedging activities.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Income Taxes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2013 compared with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effective tax rate for fiscal years 2013 and 2012 was approximately 19% and 24%, respectively. Our effective tax rate was lower than the U.S. federal statutory rate primarily due to earnings taxed at lower rates in foreign jurisdictions resulting from producing and distributing our products and services through our foreign regional operations centers in Ireland, Singapore, and Puerto Rico.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fiscal year 2013 effective rate decreased by 5% from fiscal year 2012 mainly due to a nonrecurring $6.2 billion non-tax deductible goodwill impairment charge that was recorded in fiscal year 2012. The goodwill impairment charge increased our effective tax rate by 10% in fiscal year 2012. In addition, in fiscal years 2013 and 2012, we recognized a reduction of 18% and 21%, respectively, to the effective tax rate due to foreign earnings taxed at lower rates. The decrease in our effective tax rate for fiscal year 2013 was primarily offset by a 1% increase related to the EU fine, which is not tax deductible.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Changes in the mix of income before income taxes between the U.S. and foreign countries also impacted our effective tax rates and resulted primarily from changes in the geographic distribution of and changes in consumer demand for our products and services. As discussed above, Windows Division operating income declined $2.1 billion in fiscal year 2013, while MBD and Server and Tools operating income increased $362 million and $929 million, respectively, during this same period. We supply Windows, our primary Windows Division product, to customers through our U.S. regional operating center, while we supply the Microsoft Office System, our primary MBD product, and our Server and Tools products to customers through our foreign regional operations centers. In fiscal years 2013 and 2012, our U.S. income before income taxes was $6.7 billion and $1.6 billion, respectively, and comprised 25% and 7%, respectively, of our income before income taxes. In fiscal years 2013 and 2012, the foreign income before income taxes was $20.4 billion and $20.7 billion, respectively, and comprised 75% and 93%, respectively, of our income before income taxes. The primary driver for the increase in the U.S. income before income tax in fiscal year 2013 was the goodwill impairment charge recorded during the prior year.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Tax contingencies and other tax liabilities were $9.4 billion and $7.6 billion as of June 30, 2013 and 2012, respectively, and are included in other long-term liabilities. This increase relates primarily to transfer pricing, including transfer pricing developments in certain foreign tax jurisdictions, primarily Denmark. While we settled a portion of the I.R.S. audit for tax years 2004 to 2006 during the third quarter of fiscal year 2011, we remain under audit for those years. In February 2012, the I.R.S. withdrew its 2011 Revenue Agents Report and reopened the audit phase of the </w:t>
      </w:r>
    </w:p>
    <w:p>
      <w:pPr>
        <w:pStyle w:val="style62"/>
        <w:keepNext/>
        <w:pageBreakBefore/>
        <w:spacing w:after="280" w:before="280"/>
        <w:contextualSpacing w:val="false"/>
        <w:jc w:val="both"/>
        <w:rPr>
          <w:rFonts w:ascii="Arial" w:cs="Arial" w:hAnsi="Arial"/>
          <w:sz w:val="20"/>
          <w:szCs w:val="20"/>
        </w:rPr>
      </w:pPr>
      <w:r>
        <w:rPr>
          <w:rFonts w:ascii="Arial" w:cs="Arial" w:hAnsi="Arial"/>
          <w:sz w:val="20"/>
          <w:szCs w:val="20"/>
        </w:rPr>
        <w:t xml:space="preserve">examination. As of June 30, 2013, the primary unresolved issue relates to transfer pricing which could have a significant impact on our financial statements if not resolved favorably. We do not believe it is reasonably possible that the total amount of unrecognized tax benefits will significantly increase or decrease within the next 12 months because we do not believe the remaining open issues will be resolved within the next 12 months. We also continue to be subject to examination by the I.R.S. for tax years 2007 to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are subject to income tax in many jurisdictions outside the U.S. Our operations in certain jurisdictions remain subject to examination for tax years 1996 to 2012, some of which are currently under audit by local tax authorities. The resolutions of these audits are not expected to be material to our financial statements.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2012 compared with fiscal year 2011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effective tax rates for fiscal years 2012 and 2011 were approximately 24% and 18%, respectively. Our effective tax rates were lower than the U.S. federal statutory rate primarily due to earnings taxed at lower rates in foreign jurisdictions resulting from producing and distributing our products and services through our foreign regional operations centers in Ireland, Singapore, and Puerto Rico.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fiscal year 2012 effective rate increased by 6% from fiscal year 2011 mainly due to a nonrecurring $6.2 billion non-tax deductible goodwill impairment charge that was recorded in the fourth quarter of 2012. The goodwill impairment charge increased our effective tax rate by 10%. In addition, in fiscal years 2012 and 2011, we recognized a reduction of 21% and 16%, respectively, to the effective tax rate due to foreign earnings taxed at lower rates. In fiscal year 2011, we settled a portion of an I.R.S. audit of tax years 2004 to 2006, which reduced our income tax expense for fiscal year 2011 by $461 million and reduced the effective tax rate by 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Changes in the mix of income before income taxes between the U.S. and foreign countries also impacted our effective tax rates and resulted primarily from changes in the geographic distribution of and changes in consumer demand for our products and services. As discussed above, Windows Division operating income declined $751 million in fiscal year 2012, while MBD and Server and Tools operating income increased $1.1 billion and $1.1 billion, respectively, during this same period. We supply Windows, our primary Windows Division product, to customers through our U.S. regional operating center, while we supply the Microsoft Office System, our primary MBD product, and our Server and Tools products to customers through our foreign regional operations centers. In fiscal years 2012 and 2011, our U.S. income before income taxes was $1.6 billion and $8.9 billion, respectively, and comprised 7% and 32%, respectively, of our income before income taxes. In fiscal years 2012 and 2011, the foreign income before income taxes was $20.7 billion and $19.2 billion, respectively, and comprised 93% and 68%, respectively, of our income before income taxes. The primary driver for the decrease in the U.S. income before income tax in fiscal year 2012 was the goodwill impairment charge.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FINANCIAL CONDITION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Cash, Cash Equivalents, and Investments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Cash, cash equivalents, and short-term investments totaled $77.0 billion as of June 30, 2013, compared with $63.0 billion as of June 30, 2012. Equity and other investments were $10.8 billion as of June 30, 2013, compared with $9.8 billion as of June 30, 2012. Our short-term investments are primarily to facilitate liquidity and for capital preservation. They consist predominantly of highly liquid investment-grade fixed-income securities, diversified among industries and individual issuers. The investments are predominantly U.S. dollar-denominated securities, but also include foreign currency-denominated securities in order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While we own certain mortgage-backed and asset-backed fixed-income securities, our portfolio as of June 30, 2013 does not contain material direct exposure to subprime mortgages or structured vehicles that derive their value from subprime collateral. The majority of our mortgage-backed securities are collateralized by prime residential mortgages and carry a 100% principal and interest guarantee, primarily from Federal National Mortgage Association, Federal Home Loan Mortgage Corporation, and Government National Mortgage Association.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routinely monitor our financial exposure to both sovereign and non-sovereign borrowers and counterparties. Our gross exposures to our customers and investments in Portugal, Italy, Ireland, Greece, and Spain are individually and collectively not material.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Of the cash, cash equivalents, and short-term investments at June 30, 2013, approximately $69.6 billion was held by our foreign subsidiaries and would be subject to material repatriation tax effects. The amount of cash, cash equivalents, and short-term investments held by foreign subsidiaries subject to other restrictions on the free flow of funds (primarily currency and other local regulatory) was approximately $880 million. As of June 30, 2013, approximately 87% of the cash equivalents and short-term investments held by our foreign subsidiaries were invested in U.S. government and agency securities, approximately 4% were invested in corporate notes and bonds of U.S. companies, and 2% were invested in U.S. mortgage-backed securities, all of which are denominated in U.S. dollars.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Securities lending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lend certain fixed-income and equity securities to increase investment returns. The loaned securities continue to be carried as investments on our balance sheet. Cash and/or security interests are received as collateral for the loaned securities with the amount determined based upon the underlying security lent and the creditworthiness of the borrower. Cash received is recorded as an asset with a corresponding liability. Our securities lending payable balance was $645 million as of June 30, 2013. Our average and maximum securities lending payable balances for the fiscal year were $494 million and $1.4 billion, respectively. Intra-year variances in the amount of securities loaned are mainly due to fluctuations in the demand for the securities.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Valuation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exchange-traded mutual funds, domestic and international equities, and U.S. government securities.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corporate notes and bonds, foreign government bonds, mortgage-backed securities, and U.S. agency securities. Level 3 investments are valued using internally developed models with unobservable inputs. Assets and liabilities measured using unobservable inputs are an immaterial portion of our portfolio.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 majority of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of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Cash Flows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2013 compared with fiscal year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Cash flows from operations decreased $2.8 billion during the current fiscal year to $28.8 billion, due mainly to changes in working capital, including increases in inventory and other current assets. Cash used for financing decreased $1.3 billion to $8.1 billion, due mainly to a $3.5 billion increase in proceeds from issuances of debt, net of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repayments, offset in part by a $1.1 billion increase in dividends paid and a $982 million decrease in proceeds from the issuance of common stock. Cash used in investing decreased $975 million to $23.8 billion, due mainly to an $8.5 billion decrease in cash used for acquisitions of companies and purchases of intangible and other assets, offset in part by a $5.8 billion increase in cash used for net investment purchases, maturities, and sales and a $2.0 billion increase in cash used for additions to property and equipment.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Fiscal year 2012 compared with fiscal year 2011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Cash flows from operations increased $4.6 billion during fiscal year 2012 to $31.6 billion, due mainly to increased revenue and cash collections from customers. Cash used for financing increased $1.0 billion to $9.4 billion, due mainly to a $6.0 billion net decrease in proceeds from issuances of debt and a $1.2 billion increase in dividends paid, offset in part by a $6.5 billion decrease in cash used for common stock repurchases. Cash used in investing increased $10.2 billion to $24.8 billion, due mainly to a $10.0 billion increase in acquisitions of businesses and purchases of intangible assets and a $1.4 billion decrease in cash from securities lending activities, partially offset by a $1.2 billion decrease in cash used for net purchases, maturities, and sales of investments.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Debt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issued debt to take advantage of favorable pricing and liquidity in the debt markets, reflecting our credit rating and the low interest rate environment. The proceeds of these issuances were or will be used for general corporate purposes, which may include, among other things, funding for working capital, capital expenditures, repurchases of capital stock, acquisitions, and repayment of existing debt.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As of June 30, 2013, the total carrying value and estimated fair value of our long-term debt, including the current portion, were $15.6 billion and $15.8 billion, respectively. This is compared to a carrying value and estimated fair value of $11.9 billion and $13.2 billion, respectively, as of June 30, 2012. These estimated fair values are based on Level 2 inputs.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components of our long-term debt, including the current portion, and the associated interest rates were as follows as of June 30, 2013: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235"/>
        <w:gridCol w:w="1339"/>
        <w:gridCol w:w="1120"/>
        <w:gridCol w:w="1106"/>
      </w:tblGrid>
      <w:tr>
        <w:trPr>
          <w:tblHeader w:val="true"/>
          <w:cantSplit w:val="false"/>
        </w:trPr>
        <w:tc>
          <w:tcPr>
            <w:tcW w:type="dxa" w:w="7235"/>
            <w:tcBorders>
              <w:top w:val="nil"/>
              <w:left w:val="nil"/>
              <w:bottom w:val="nil"/>
              <w:right w:val="nil"/>
            </w:tcBorders>
            <w:shd w:fill="auto" w:val="clear"/>
            <w:vAlign w:val="center"/>
          </w:tcPr>
          <w:p>
            <w:pPr>
              <w:pStyle w:val="style0"/>
              <w:rPr>
                <w:sz w:val="1"/>
                <w:szCs w:val="24"/>
              </w:rPr>
            </w:pPr>
            <w:r>
              <w:rPr>
                <w:sz w:val="1"/>
                <w:szCs w:val="24"/>
              </w:rPr>
            </w:r>
          </w:p>
        </w:tc>
        <w:tc>
          <w:tcPr>
            <w:tcW w:type="dxa" w:w="1339"/>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106"/>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23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Due Date</w:t>
            </w:r>
          </w:p>
        </w:tc>
        <w:tc>
          <w:tcPr>
            <w:tcW w:type="dxa" w:w="1339"/>
            <w:tcBorders>
              <w:top w:val="nil"/>
              <w:left w:val="nil"/>
              <w:bottom w:val="nil"/>
              <w:right w:val="nil"/>
            </w:tcBorders>
            <w:shd w:fill="auto" w:val="clear"/>
            <w:tcMar>
              <w:left w:type="dxa" w:w="144"/>
            </w:tcMar>
            <w:vAlign w:val="bottom"/>
          </w:tcPr>
          <w:p>
            <w:pPr>
              <w:pStyle w:val="style0"/>
              <w:ind w:hanging="0" w:left="0" w:right="53"/>
              <w:jc w:val="right"/>
              <w:rPr>
                <w:rFonts w:ascii="Arial" w:cs="Arial" w:hAnsi="Arial"/>
                <w:b/>
                <w:bCs/>
                <w:sz w:val="15"/>
                <w:szCs w:val="15"/>
              </w:rPr>
            </w:pPr>
            <w:r>
              <w:rPr>
                <w:rFonts w:ascii="Arial" w:cs="Arial" w:hAnsi="Arial"/>
                <w:b/>
                <w:bCs/>
                <w:sz w:val="15"/>
                <w:szCs w:val="15"/>
              </w:rPr>
              <w:t>Face Value</w:t>
            </w:r>
          </w:p>
        </w:tc>
        <w:tc>
          <w:tcPr>
            <w:tcW w:type="dxa" w:w="1120"/>
            <w:tcBorders>
              <w:top w:val="nil"/>
              <w:left w:val="nil"/>
              <w:bottom w:val="nil"/>
              <w:right w:val="nil"/>
            </w:tcBorders>
            <w:shd w:fill="auto" w:val="clear"/>
            <w:tcMar>
              <w:left w:type="dxa" w:w="144"/>
            </w:tcMar>
            <w:vAlign w:val="bottom"/>
          </w:tcPr>
          <w:p>
            <w:pPr>
              <w:pStyle w:val="style62"/>
              <w:spacing w:after="280" w:before="280"/>
              <w:ind w:hanging="0" w:left="0" w:right="111"/>
              <w:contextualSpacing w:val="false"/>
              <w:jc w:val="right"/>
              <w:rPr>
                <w:rFonts w:ascii="Arial" w:cs="Arial" w:hAnsi="Arial"/>
                <w:b/>
                <w:bCs/>
                <w:sz w:val="15"/>
                <w:szCs w:val="15"/>
              </w:rPr>
            </w:pPr>
            <w:r>
              <w:rPr>
                <w:rFonts w:ascii="Arial" w:cs="Arial" w:hAnsi="Arial"/>
                <w:b/>
                <w:bCs/>
                <w:sz w:val="15"/>
                <w:szCs w:val="15"/>
              </w:rPr>
              <w:t>Stated</w:t>
              <w:br/>
              <w:t>Interest</w:t>
            </w:r>
          </w:p>
          <w:p>
            <w:pPr>
              <w:pStyle w:val="style62"/>
              <w:spacing w:after="280" w:before="280"/>
              <w:ind w:hanging="0" w:left="0" w:right="111"/>
              <w:contextualSpacing w:val="false"/>
              <w:jc w:val="right"/>
              <w:rPr>
                <w:rFonts w:ascii="Arial" w:cs="Arial" w:hAnsi="Arial"/>
                <w:b/>
                <w:bCs/>
                <w:sz w:val="15"/>
                <w:szCs w:val="15"/>
              </w:rPr>
            </w:pPr>
            <w:r>
              <w:rPr>
                <w:rFonts w:ascii="Arial" w:cs="Arial" w:hAnsi="Arial"/>
                <w:b/>
                <w:bCs/>
                <w:sz w:val="15"/>
                <w:szCs w:val="15"/>
              </w:rPr>
              <w:t>Rate</w:t>
            </w:r>
          </w:p>
        </w:tc>
        <w:tc>
          <w:tcPr>
            <w:tcW w:type="dxa" w:w="1106"/>
            <w:tcBorders>
              <w:top w:val="nil"/>
              <w:left w:val="nil"/>
              <w:bottom w:val="nil"/>
              <w:right w:val="nil"/>
            </w:tcBorders>
            <w:shd w:fill="auto" w:val="clear"/>
            <w:tcMar>
              <w:left w:type="dxa" w:w="144"/>
            </w:tcMar>
            <w:vAlign w:val="bottom"/>
          </w:tcPr>
          <w:p>
            <w:pPr>
              <w:pStyle w:val="style62"/>
              <w:spacing w:after="280" w:before="280"/>
              <w:contextualSpacing w:val="false"/>
              <w:jc w:val="right"/>
              <w:rPr>
                <w:rFonts w:ascii="Arial" w:cs="Arial" w:hAnsi="Arial"/>
                <w:b/>
                <w:bCs/>
                <w:sz w:val="15"/>
                <w:szCs w:val="15"/>
              </w:rPr>
            </w:pPr>
            <w:r>
              <w:rPr>
                <w:rFonts w:ascii="Arial" w:cs="Arial" w:hAnsi="Arial"/>
                <w:b/>
                <w:bCs/>
                <w:sz w:val="15"/>
                <w:szCs w:val="15"/>
              </w:rPr>
              <w:t>Effective</w:t>
              <w:br/>
              <w:t>Interest</w:t>
            </w:r>
          </w:p>
          <w:p>
            <w:pPr>
              <w:pStyle w:val="style62"/>
              <w:spacing w:after="280" w:before="280"/>
              <w:contextualSpacing w:val="false"/>
              <w:jc w:val="right"/>
              <w:rPr>
                <w:rFonts w:ascii="Arial" w:cs="Arial" w:hAnsi="Arial"/>
                <w:b/>
                <w:bCs/>
                <w:sz w:val="15"/>
                <w:szCs w:val="15"/>
              </w:rPr>
            </w:pPr>
            <w:r>
              <w:rPr>
                <w:rFonts w:ascii="Arial" w:cs="Arial" w:hAnsi="Arial"/>
                <w:b/>
                <w:bCs/>
                <w:sz w:val="15"/>
                <w:szCs w:val="15"/>
              </w:rPr>
              <w:t>Rate</w:t>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117" w:right="0"/>
              <w:contextualSpacing w:val="false"/>
              <w:rPr/>
            </w:pPr>
            <w:r>
              <w:rPr/>
              <w:t> </w:t>
            </w:r>
          </w:p>
        </w:tc>
      </w:tr>
      <w:tr>
        <w:trPr>
          <w:trHeight w:hRule="atLeast" w:val="75"/>
          <w:cantSplit w:val="false"/>
        </w:trPr>
        <w:tc>
          <w:tcPr>
            <w:tcW w:type="dxa" w:w="7235"/>
            <w:tcBorders>
              <w:top w:val="nil"/>
              <w:left w:val="nil"/>
              <w:bottom w:val="nil"/>
              <w:right w:val="nil"/>
            </w:tcBorders>
            <w:shd w:fill="auto" w:val="clear"/>
            <w:vAlign w:val="center"/>
          </w:tcPr>
          <w:p>
            <w:pPr>
              <w:pStyle w:val="style0"/>
              <w:rPr>
                <w:sz w:val="8"/>
                <w:szCs w:val="24"/>
              </w:rPr>
            </w:pPr>
            <w:r>
              <w:rPr>
                <w:sz w:val="8"/>
                <w:szCs w:val="24"/>
              </w:rPr>
            </w:r>
          </w:p>
        </w:tc>
        <w:tc>
          <w:tcPr>
            <w:tcW w:type="dxa" w:w="1339"/>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106"/>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7235"/>
            <w:tcBorders>
              <w:top w:val="nil"/>
              <w:left w:val="nil"/>
              <w:bottom w:val="nil"/>
              <w:right w:val="nil"/>
            </w:tcBorders>
            <w:shd w:fill="auto" w:val="clear"/>
            <w:tcMar>
              <w:left w:type="dxa" w:w="144"/>
            </w:tcMar>
            <w:vAlign w:val="bottom"/>
          </w:tcPr>
          <w:p>
            <w:pPr>
              <w:pStyle w:val="style65"/>
              <w:keepNext/>
              <w:rPr/>
            </w:pPr>
            <w:r>
              <w:rPr/>
              <w:t> </w:t>
            </w:r>
          </w:p>
        </w:tc>
        <w:tc>
          <w:tcPr>
            <w:tcW w:type="dxa" w:w="1339"/>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(In millions)</w:t>
            </w:r>
          </w:p>
        </w:tc>
        <w:tc>
          <w:tcPr>
            <w:tcW w:type="dxa" w:w="1120"/>
            <w:tcBorders>
              <w:top w:val="nil"/>
              <w:left w:val="nil"/>
              <w:bottom w:val="nil"/>
              <w:right w:val="nil"/>
            </w:tcBorders>
            <w:shd w:fill="auto" w:val="clear"/>
            <w:tcMar>
              <w:left w:type="dxa" w:w="144"/>
            </w:tcMar>
            <w:vAlign w:val="bottom"/>
          </w:tcPr>
          <w:p>
            <w:pPr>
              <w:pStyle w:val="style65"/>
              <w:rPr/>
            </w:pPr>
            <w:r>
              <w:rPr/>
              <w:t> </w:t>
            </w:r>
          </w:p>
        </w:tc>
        <w:tc>
          <w:tcPr>
            <w:tcW w:type="dxa" w:w="1106"/>
            <w:tcBorders>
              <w:top w:val="nil"/>
              <w:left w:val="nil"/>
              <w:bottom w:val="nil"/>
              <w:right w:val="nil"/>
            </w:tcBorders>
            <w:shd w:fill="auto" w:val="clear"/>
            <w:tcMar>
              <w:left w:type="dxa" w:w="144"/>
            </w:tcMar>
            <w:vAlign w:val="bottom"/>
          </w:tcPr>
          <w:p>
            <w:pPr>
              <w:pStyle w:val="style65"/>
              <w:rPr/>
            </w:pPr>
            <w:r>
              <w:rPr/>
              <w:t> </w:t>
            </w:r>
          </w:p>
        </w:tc>
      </w:tr>
      <w:tr>
        <w:trPr>
          <w:trHeight w:hRule="atLeast" w:val="75"/>
          <w:cantSplit w:val="false"/>
        </w:trPr>
        <w:tc>
          <w:tcPr>
            <w:tcW w:type="dxa" w:w="7235"/>
            <w:tcBorders>
              <w:top w:val="nil"/>
              <w:left w:val="nil"/>
              <w:bottom w:val="nil"/>
              <w:right w:val="nil"/>
            </w:tcBorders>
            <w:shd w:fill="auto" w:val="clear"/>
            <w:vAlign w:val="center"/>
          </w:tcPr>
          <w:p>
            <w:pPr>
              <w:pStyle w:val="style0"/>
              <w:rPr>
                <w:sz w:val="8"/>
                <w:szCs w:val="24"/>
              </w:rPr>
            </w:pPr>
            <w:r>
              <w:rPr>
                <w:sz w:val="8"/>
                <w:szCs w:val="24"/>
              </w:rPr>
            </w:r>
          </w:p>
        </w:tc>
        <w:tc>
          <w:tcPr>
            <w:tcW w:type="dxa" w:w="1339"/>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106"/>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723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Notes</w:t>
            </w:r>
          </w:p>
        </w:tc>
        <w:tc>
          <w:tcPr>
            <w:tcW w:type="dxa" w:w="1339"/>
            <w:tcBorders>
              <w:top w:val="nil"/>
              <w:left w:val="nil"/>
              <w:bottom w:val="nil"/>
              <w:right w:val="nil"/>
            </w:tcBorders>
            <w:shd w:fill="auto" w:val="clear"/>
            <w:tcMar>
              <w:left w:type="dxa" w:w="144"/>
            </w:tcMar>
            <w:vAlign w:val="bottom"/>
          </w:tcPr>
          <w:p>
            <w:pPr>
              <w:pStyle w:val="style65"/>
              <w:rPr/>
            </w:pPr>
            <w:r>
              <w:rPr/>
              <w:t> </w:t>
            </w:r>
          </w:p>
        </w:tc>
        <w:tc>
          <w:tcPr>
            <w:tcW w:type="dxa" w:w="1120"/>
            <w:tcBorders>
              <w:top w:val="nil"/>
              <w:left w:val="nil"/>
              <w:bottom w:val="nil"/>
              <w:right w:val="nil"/>
            </w:tcBorders>
            <w:shd w:fill="auto" w:val="clear"/>
            <w:tcMar>
              <w:left w:type="dxa" w:w="144"/>
            </w:tcMar>
            <w:vAlign w:val="bottom"/>
          </w:tcPr>
          <w:p>
            <w:pPr>
              <w:pStyle w:val="style65"/>
              <w:rPr/>
            </w:pPr>
            <w:r>
              <w:rPr/>
              <w:t> </w:t>
            </w:r>
          </w:p>
        </w:tc>
        <w:tc>
          <w:tcPr>
            <w:tcW w:type="dxa" w:w="1106"/>
            <w:tcBorders>
              <w:top w:val="nil"/>
              <w:left w:val="nil"/>
              <w:bottom w:val="nil"/>
              <w:right w:val="nil"/>
            </w:tcBorders>
            <w:shd w:fill="auto" w:val="clear"/>
            <w:tcMar>
              <w:left w:type="dxa" w:w="144"/>
            </w:tcMar>
            <w:vAlign w:val="bottom"/>
          </w:tcPr>
          <w:p>
            <w:pPr>
              <w:pStyle w:val="style65"/>
              <w:rPr/>
            </w:pPr>
            <w:r>
              <w:rPr/>
              <w:t> </w:t>
            </w:r>
          </w:p>
        </w:tc>
      </w:tr>
      <w:tr>
        <w:trPr>
          <w:trHeight w:hRule="atLeast" w:val="75"/>
          <w:cantSplit w:val="false"/>
        </w:trPr>
        <w:tc>
          <w:tcPr>
            <w:tcW w:type="dxa" w:w="7235"/>
            <w:tcBorders>
              <w:top w:val="nil"/>
              <w:left w:val="nil"/>
              <w:bottom w:val="nil"/>
              <w:right w:val="nil"/>
            </w:tcBorders>
            <w:shd w:fill="auto" w:val="clear"/>
            <w:vAlign w:val="center"/>
          </w:tcPr>
          <w:p>
            <w:pPr>
              <w:pStyle w:val="style0"/>
              <w:rPr>
                <w:sz w:val="8"/>
                <w:szCs w:val="24"/>
              </w:rPr>
            </w:pPr>
            <w:r>
              <w:rPr>
                <w:sz w:val="8"/>
                <w:szCs w:val="24"/>
              </w:rPr>
            </w:r>
          </w:p>
        </w:tc>
        <w:tc>
          <w:tcPr>
            <w:tcW w:type="dxa" w:w="1339"/>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106"/>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September 27, 2013</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w:t>
              <w:tab/>
              <w:t>1,000</w:t>
              <w:tab/>
              <w:t> </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0.875%</w:t>
              <w:tab/>
              <w:t> </w:t>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1.000%</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June 1, 2014</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2,000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2.950%</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3.049%</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September 25, 2015</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1,750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1.625%</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1.795%</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February 8, 2016</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750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2.500%</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2.642%</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November 15, 2017 </w:t>
            </w:r>
            <w:r>
              <w:rPr>
                <w:rFonts w:ascii="Arial" w:cs="Arial" w:hAnsi="Arial"/>
                <w:sz w:val="15"/>
                <w:szCs w:val="15"/>
                <w:vertAlign w:val="superscript"/>
              </w:rPr>
              <w:t>(a)</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600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0.875%</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1.084%</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May 1, 2018 </w:t>
            </w:r>
            <w:r>
              <w:rPr>
                <w:rFonts w:ascii="Arial" w:cs="Arial" w:hAnsi="Arial"/>
                <w:sz w:val="15"/>
                <w:szCs w:val="15"/>
                <w:vertAlign w:val="superscript"/>
              </w:rPr>
              <w:t>(b)</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450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1.000%</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1.106%</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June 1, 2019</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1,000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4.200%</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4.379%</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October 1, 2020</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1,000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3.000%</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3.137%</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February 8, 2021</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500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4.000%</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4.082%</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November 15, 2022 </w:t>
            </w:r>
            <w:r>
              <w:rPr>
                <w:rFonts w:ascii="Arial" w:cs="Arial" w:hAnsi="Arial"/>
                <w:sz w:val="15"/>
                <w:szCs w:val="15"/>
                <w:vertAlign w:val="superscript"/>
              </w:rPr>
              <w:t>(a)</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750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2.125%</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2.239%</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May 1, 2023 </w:t>
            </w:r>
            <w:r>
              <w:rPr>
                <w:rFonts w:ascii="Arial" w:cs="Arial" w:hAnsi="Arial"/>
                <w:sz w:val="15"/>
                <w:szCs w:val="15"/>
                <w:vertAlign w:val="superscript"/>
              </w:rPr>
              <w:t>(b)</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1,000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2.375%</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2.465%</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May 2, 2033 </w:t>
            </w:r>
            <w:r>
              <w:rPr>
                <w:rFonts w:ascii="Arial" w:cs="Arial" w:hAnsi="Arial"/>
                <w:sz w:val="15"/>
                <w:szCs w:val="15"/>
                <w:vertAlign w:val="superscript"/>
              </w:rPr>
              <w:t>(c)</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715</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2.625%</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2.690%</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June 1, 2039</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750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5.200%</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5.240%</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October 1, 2040</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1,000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4.500%</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4.567%</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February 8, 2041</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1,000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5.300%</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5.361%</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November 15, 2042 </w:t>
            </w:r>
            <w:r>
              <w:rPr>
                <w:rFonts w:ascii="Arial" w:cs="Arial" w:hAnsi="Arial"/>
                <w:sz w:val="15"/>
                <w:szCs w:val="15"/>
                <w:vertAlign w:val="superscript"/>
              </w:rPr>
              <w:t>(a)</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900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3.500%</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3.571%</w:t>
              <w:tab/>
            </w:r>
          </w:p>
        </w:tc>
      </w:tr>
      <w:tr>
        <w:trPr>
          <w:cantSplit w:val="false"/>
        </w:trPr>
        <w:tc>
          <w:tcPr>
            <w:tcW w:type="dxa" w:w="723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May 1, 2043 </w:t>
            </w:r>
            <w:r>
              <w:rPr>
                <w:rFonts w:ascii="Arial" w:cs="Arial" w:hAnsi="Arial"/>
                <w:sz w:val="15"/>
                <w:szCs w:val="15"/>
                <w:vertAlign w:val="superscript"/>
              </w:rPr>
              <w:t>(b)</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500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3.750%</w:t>
              <w:tab/>
            </w:r>
          </w:p>
        </w:tc>
        <w:tc>
          <w:tcPr>
            <w:tcW w:type="dxa" w:w="1106"/>
            <w:tcBorders>
              <w:top w:val="nil"/>
              <w:left w:val="nil"/>
              <w:bottom w:val="nil"/>
              <w:right w:val="nil"/>
            </w:tcBorders>
            <w:shd w:fill="auto" w:val="clear"/>
            <w:tcMar>
              <w:left w:type="dxa" w:w="144"/>
            </w:tcMar>
            <w:vAlign w:val="bottom"/>
          </w:tcPr>
          <w:p>
            <w:pPr>
              <w:pStyle w:val="style62"/>
              <w:tabs>
                <w:tab w:leader="none" w:pos="960" w:val="right"/>
                <w:tab w:leader="none" w:pos="1167" w:val="decimal"/>
              </w:tabs>
              <w:spacing w:after="280" w:before="280"/>
              <w:contextualSpacing w:val="false"/>
              <w:rPr>
                <w:rFonts w:ascii="Arial" w:cs="Arial" w:hAnsi="Arial"/>
                <w:b/>
                <w:bCs/>
                <w:sz w:val="20"/>
                <w:szCs w:val="20"/>
              </w:rPr>
            </w:pPr>
            <w:r>
              <w:rPr>
                <w:rFonts w:ascii="Arial" w:cs="Arial" w:hAnsi="Arial"/>
                <w:b/>
                <w:bCs/>
                <w:sz w:val="20"/>
                <w:szCs w:val="20"/>
              </w:rPr>
              <w:tab/>
              <w:t>3.829%</w:t>
              <w:tab/>
            </w:r>
          </w:p>
        </w:tc>
      </w:tr>
      <w:tr>
        <w:trPr>
          <w:cantSplit w:val="false"/>
        </w:trPr>
        <w:tc>
          <w:tcPr>
            <w:tcW w:type="dxa" w:w="8575"/>
            <w:gridSpan w:val="2"/>
            <w:tcBorders>
              <w:top w:val="nil"/>
              <w:left w:val="nil"/>
              <w:bottom w:val="nil"/>
              <w:right w:val="nil"/>
            </w:tcBorders>
            <w:shd w:fill="auto" w:val="clear"/>
            <w:vAlign w:val="bottom"/>
          </w:tcPr>
          <w:p>
            <w:pPr>
              <w:pStyle w:val="style59"/>
              <w:spacing w:after="0" w:before="20"/>
              <w:ind w:hanging="0" w:left="-117" w:right="101"/>
              <w:contextualSpacing w:val="false"/>
              <w:rPr/>
            </w:pPr>
            <w:r>
              <w:rPr/>
              <w:t> </w:t>
            </w:r>
          </w:p>
        </w:tc>
        <w:tc>
          <w:tcPr>
            <w:tcW w:type="dxa" w:w="1121"/>
            <w:tcBorders>
              <w:top w:val="nil"/>
              <w:left w:val="nil"/>
              <w:bottom w:val="nil"/>
              <w:right w:val="nil"/>
            </w:tcBorders>
            <w:shd w:fill="auto" w:val="clear"/>
            <w:tcMar>
              <w:left w:type="dxa" w:w="144"/>
            </w:tcMar>
            <w:vAlign w:val="bottom"/>
          </w:tcPr>
          <w:p>
            <w:pPr>
              <w:pStyle w:val="style65"/>
              <w:rPr/>
            </w:pPr>
            <w:r>
              <w:rPr/>
              <w:t> </w:t>
            </w:r>
          </w:p>
        </w:tc>
        <w:tc>
          <w:tcPr>
            <w:tcW w:type="dxa" w:w="1104"/>
            <w:tcBorders>
              <w:top w:val="nil"/>
              <w:left w:val="nil"/>
              <w:bottom w:val="nil"/>
              <w:right w:val="nil"/>
            </w:tcBorders>
            <w:shd w:fill="auto" w:val="clear"/>
            <w:tcMar>
              <w:left w:type="dxa" w:w="144"/>
            </w:tcMar>
            <w:vAlign w:val="bottom"/>
          </w:tcPr>
          <w:p>
            <w:pPr>
              <w:pStyle w:val="style65"/>
              <w:rPr/>
            </w:pPr>
            <w:r>
              <w:rPr/>
              <w:t> </w:t>
            </w:r>
          </w:p>
        </w:tc>
      </w:tr>
      <w:tr>
        <w:trPr>
          <w:cantSplit w:val="false"/>
        </w:trPr>
        <w:tc>
          <w:tcPr>
            <w:tcW w:type="dxa" w:w="7235"/>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w:t>
              <w:tab/>
              <w:t>15,665</w:t>
              <w:tab/>
            </w:r>
          </w:p>
        </w:tc>
        <w:tc>
          <w:tcPr>
            <w:tcW w:type="dxa" w:w="1120"/>
            <w:tcBorders>
              <w:top w:val="nil"/>
              <w:left w:val="nil"/>
              <w:bottom w:val="nil"/>
              <w:right w:val="nil"/>
            </w:tcBorders>
            <w:shd w:fill="auto" w:val="clear"/>
            <w:tcMar>
              <w:left w:type="dxa" w:w="144"/>
            </w:tcMar>
            <w:vAlign w:val="bottom"/>
          </w:tcPr>
          <w:p>
            <w:pPr>
              <w:pStyle w:val="style65"/>
              <w:rPr/>
            </w:pPr>
            <w:r>
              <w:rPr/>
              <w:t> </w:t>
            </w:r>
          </w:p>
        </w:tc>
        <w:tc>
          <w:tcPr>
            <w:tcW w:type="dxa" w:w="1106"/>
            <w:tcBorders>
              <w:top w:val="nil"/>
              <w:left w:val="nil"/>
              <w:bottom w:val="nil"/>
              <w:right w:val="nil"/>
            </w:tcBorders>
            <w:shd w:fill="auto" w:val="clear"/>
            <w:tcMar>
              <w:left w:type="dxa" w:w="144"/>
            </w:tcMar>
            <w:vAlign w:val="bottom"/>
          </w:tcPr>
          <w:p>
            <w:pPr>
              <w:pStyle w:val="style65"/>
              <w:rPr/>
            </w:pPr>
            <w:r>
              <w:rPr/>
              <w:t> </w:t>
            </w:r>
          </w:p>
        </w:tc>
      </w:tr>
      <w:tr>
        <w:trPr>
          <w:cantSplit w:val="false"/>
        </w:trPr>
        <w:tc>
          <w:tcPr>
            <w:tcW w:type="dxa" w:w="7235"/>
            <w:tcBorders>
              <w:top w:val="nil"/>
              <w:left w:val="nil"/>
              <w:bottom w:val="nil"/>
              <w:right w:val="nil"/>
            </w:tcBorders>
            <w:shd w:fill="auto" w:val="clear"/>
            <w:tcMar>
              <w:left w:type="dxa" w:w="144"/>
            </w:tcMar>
            <w:vAlign w:val="bottom"/>
          </w:tcPr>
          <w:p>
            <w:pPr>
              <w:pStyle w:val="style65"/>
              <w:rPr/>
            </w:pPr>
            <w:r>
              <w:rPr/>
              <w:t> </w:t>
            </w:r>
          </w:p>
        </w:tc>
        <w:tc>
          <w:tcPr>
            <w:tcW w:type="dxa" w:w="1339"/>
            <w:tcBorders>
              <w:top w:val="nil"/>
              <w:left w:val="nil"/>
              <w:bottom w:val="nil"/>
              <w:right w:val="nil"/>
            </w:tcBorders>
            <w:shd w:fill="auto" w:val="clear"/>
            <w:tcMar>
              <w:left w:type="dxa" w:w="144"/>
            </w:tcMar>
            <w:vAlign w:val="bottom"/>
          </w:tcPr>
          <w:p>
            <w:pPr>
              <w:pStyle w:val="style63"/>
              <w:spacing w:after="0" w:before="20"/>
              <w:ind w:hanging="0" w:left="360" w:right="101"/>
              <w:contextualSpacing w:val="false"/>
              <w:rPr/>
            </w:pPr>
            <w:r>
              <w:rPr/>
              <w:t> </w:t>
            </w:r>
          </w:p>
        </w:tc>
        <w:tc>
          <w:tcPr>
            <w:tcW w:type="dxa" w:w="1120"/>
            <w:tcBorders>
              <w:top w:val="nil"/>
              <w:left w:val="nil"/>
              <w:bottom w:val="nil"/>
              <w:right w:val="nil"/>
            </w:tcBorders>
            <w:shd w:fill="auto" w:val="clear"/>
            <w:tcMar>
              <w:left w:type="dxa" w:w="144"/>
            </w:tcMar>
            <w:vAlign w:val="bottom"/>
          </w:tcPr>
          <w:p>
            <w:pPr>
              <w:pStyle w:val="style65"/>
              <w:rPr/>
            </w:pPr>
            <w:r>
              <w:rPr/>
              <w:t> </w:t>
            </w:r>
          </w:p>
        </w:tc>
        <w:tc>
          <w:tcPr>
            <w:tcW w:type="dxa" w:w="1106"/>
            <w:tcBorders>
              <w:top w:val="nil"/>
              <w:left w:val="nil"/>
              <w:bottom w:val="nil"/>
              <w:right w:val="nil"/>
            </w:tcBorders>
            <w:shd w:fill="auto" w:val="clear"/>
            <w:tcMar>
              <w:left w:type="dxa" w:w="144"/>
            </w:tcMar>
            <w:vAlign w:val="bottom"/>
          </w:tcPr>
          <w:p>
            <w:pPr>
              <w:pStyle w:val="style65"/>
              <w:rPr/>
            </w:pPr>
            <w:r>
              <w:rPr/>
              <w:t> </w:t>
            </w:r>
          </w:p>
        </w:tc>
      </w:tr>
    </w:tbl>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(a)</w:t>
        <w:tab/>
      </w:r>
      <w:r>
        <w:rPr>
          <w:rFonts w:ascii="Arial" w:cs="Arial" w:hAnsi="Arial"/>
          <w:i/>
          <w:iCs/>
          <w:sz w:val="20"/>
          <w:szCs w:val="20"/>
        </w:rPr>
        <w:t>In November 2012, we issued $2.25 billion of debt securities.</w:t>
      </w:r>
      <w:r>
        <w:rPr>
          <w:rFonts w:ascii="Arial" w:cs="Arial" w:hAnsi="Arial"/>
          <w:sz w:val="20"/>
          <w:szCs w:val="20"/>
        </w:rPr>
        <w:t xml:space="preserv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(b)</w:t>
        <w:tab/>
      </w:r>
      <w:r>
        <w:rPr>
          <w:rFonts w:ascii="Arial" w:cs="Arial" w:hAnsi="Arial"/>
          <w:i/>
          <w:iCs/>
          <w:sz w:val="20"/>
          <w:szCs w:val="20"/>
        </w:rPr>
        <w:t>In April 2013, we issued $1.95 billion of debt securities.</w:t>
      </w:r>
      <w:r>
        <w:rPr>
          <w:rFonts w:ascii="Arial" w:cs="Arial" w:hAnsi="Arial"/>
          <w:sz w:val="20"/>
          <w:szCs w:val="20"/>
        </w:rPr>
        <w:t xml:space="preserv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(c)</w:t>
        <w:tab/>
      </w:r>
      <w:r>
        <w:rPr>
          <w:rFonts w:ascii="Arial" w:cs="Arial" w:hAnsi="Arial"/>
          <w:i/>
          <w:iCs/>
          <w:sz w:val="20"/>
          <w:szCs w:val="20"/>
        </w:rPr>
        <w:t>In April 2013, we issued €550 million of debt securities.</w:t>
      </w:r>
      <w:r>
        <w:rPr>
          <w:rFonts w:ascii="Arial" w:cs="Arial" w:hAnsi="Arial"/>
          <w:sz w:val="20"/>
          <w:szCs w:val="20"/>
        </w:rPr>
        <w:t xml:space="preserve">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Interest on the notes is paid semi-annually, except for the euro-denominated debt securities on which interest is paid annually. As of June 30, 2013, the aggregate unamortized discount for our long-term debt, including the current portion, was $65 million.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Notes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Notes are senior unsecured obligations and rank equally with our other unsecured and unsubordinated debt outstanding.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Convertible Debt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June 2013, we paid cash of $1.25 billion for the principal amount of our zero coupon convertible unsecured debt and elected to deliver cash for the $96 million excess obligation resulting from the conversion of the notes. Each $1,000 principal amount of notes was convertible into 30.68 shares of Microsoft common stock at a conversion price of $32.59 per share. As of June 30, 2012, the net carrying amount of the convertible debt and the unamortized discount were $1.2 billion and $19 million, respectively.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connection with the issuance of the notes in 2010, we entered into capped call transactions with certain option counterparties with a strike price equal to the conversion price of the notes. Upon conversion of the notes in June 2013, we exercised the capped calls. The bulk of the capped calls were physically settled by acquiring 29 million shares of our own common stock for $938 million. The remaining capped calls were net cash settled for $24 million.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Credit Facility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June 2013, we established a commercial paper program for the issuance and sale of up to $1.3 billion in commercial paper. As of June 30, 2013, we have not issued any commercial paper under this program.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June 2013, we entered into a $1.3 billion credit facility, which will serve as a back-up for our commercial paper program. As of June 30, 2013, we were in compliance with the only financial covenant in the credit agreement, which requires us to maintain a coverage ratio of at least three times earnings before interest, taxes, depreciation, and amortization to interest expense, as defined in the credit agreement. The credit facility expires on June 24, 2018. No amounts were drawn against the credit facility since its inception.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Unearned Revenue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Unearned revenue at June 30, 2013 comprised mainly unearned revenue from volume licensing programs. Unearned revenue from volume licensing programs represents customer billings for multi-year licensing arrangements paid for either at inception of the agreement or annually at the beginning of each coverage period and accounted for as subscriptions with revenue recognized ratably over the coverage period. Unearned revenue at June 30, 2013 also included payments for: post-delivery support and consulting services to be performed in the future; Xbox LIVE subscriptions and prepaid points; OEM minimum commitments; Microsoft Dynamics business solutions products; Skype prepaid credits and subscriptions; and other offerings for which we have been paid in advance and earn the revenue when we provide the service or software, or otherwise meet the revenue recognition criteria.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following table outlines the expected future recognition of unearned revenue as of June 30, 2013: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9579"/>
        <w:gridCol w:w="1220"/>
      </w:tblGrid>
      <w:tr>
        <w:trPr>
          <w:tblHeader w:val="true"/>
          <w:cantSplit w:val="false"/>
        </w:trPr>
        <w:tc>
          <w:tcPr>
            <w:tcW w:type="dxa" w:w="9579"/>
            <w:tcBorders>
              <w:top w:val="nil"/>
              <w:left w:val="nil"/>
              <w:bottom w:val="nil"/>
              <w:right w:val="nil"/>
            </w:tcBorders>
            <w:shd w:fill="auto" w:val="clear"/>
            <w:vAlign w:val="center"/>
          </w:tcPr>
          <w:p>
            <w:pPr>
              <w:pStyle w:val="style0"/>
              <w:rPr>
                <w:sz w:val="1"/>
                <w:szCs w:val="24"/>
              </w:rPr>
            </w:pPr>
            <w:r>
              <w:rPr>
                <w:sz w:val="1"/>
                <w:szCs w:val="24"/>
              </w:rPr>
            </w:r>
          </w:p>
        </w:tc>
        <w:tc>
          <w:tcPr>
            <w:tcW w:type="dxa" w:w="1220"/>
            <w:tcBorders>
              <w:top w:val="nil"/>
              <w:left w:val="nil"/>
              <w:bottom w:val="nil"/>
              <w:right w:val="nil"/>
            </w:tcBorders>
            <w:shd w:fill="auto" w:val="clear"/>
            <w:vAlign w:val="center"/>
          </w:tcPr>
          <w:p>
            <w:pPr>
              <w:pStyle w:val="style0"/>
              <w:ind w:hanging="0" w:left="0" w:right="58"/>
              <w:rPr>
                <w:sz w:val="1"/>
                <w:szCs w:val="24"/>
              </w:rPr>
            </w:pPr>
            <w:r>
              <w:rPr>
                <w:sz w:val="1"/>
                <w:szCs w:val="24"/>
              </w:rPr>
            </w:r>
          </w:p>
        </w:tc>
      </w:tr>
      <w:tr>
        <w:trPr>
          <w:tblHeader w:val="true"/>
          <w:cantSplit w:val="false"/>
        </w:trPr>
        <w:tc>
          <w:tcPr>
            <w:tcW w:type="dxa" w:w="95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20"/>
            <w:tcBorders>
              <w:top w:val="nil"/>
              <w:left w:val="nil"/>
              <w:bottom w:val="nil"/>
              <w:right w:val="nil"/>
            </w:tcBorders>
            <w:shd w:fill="auto" w:val="clear"/>
            <w:tcMar>
              <w:left w:type="dxa" w:w="144"/>
            </w:tcMar>
            <w:vAlign w:val="bottom"/>
          </w:tcPr>
          <w:p>
            <w:pPr>
              <w:pStyle w:val="style65"/>
              <w:ind w:hanging="0" w:left="216" w:right="58"/>
              <w:rPr/>
            </w:pPr>
            <w:r>
              <w:rPr/>
              <w:t> </w:t>
            </w:r>
          </w:p>
        </w:tc>
      </w:tr>
      <w:tr>
        <w:trPr>
          <w:cantSplit w:val="false"/>
        </w:trPr>
        <w:tc>
          <w:tcPr>
            <w:tcW w:type="dxa" w:w="10799"/>
            <w:gridSpan w:val="2"/>
            <w:tcBorders>
              <w:top w:val="nil"/>
              <w:left w:val="nil"/>
              <w:bottom w:val="nil"/>
              <w:right w:val="nil"/>
            </w:tcBorders>
            <w:shd w:fill="auto" w:val="clear"/>
            <w:tcMar>
              <w:left w:type="dxa" w:w="144"/>
            </w:tcMar>
            <w:vAlign w:val="bottom"/>
          </w:tcPr>
          <w:p>
            <w:pPr>
              <w:pStyle w:val="style59"/>
              <w:spacing w:after="0" w:before="20"/>
              <w:ind w:hanging="0" w:left="-264" w:right="58"/>
              <w:contextualSpacing w:val="false"/>
              <w:rPr/>
            </w:pPr>
            <w:r>
              <w:rPr/>
              <w:t> </w:t>
            </w:r>
          </w:p>
        </w:tc>
      </w:tr>
      <w:tr>
        <w:trPr>
          <w:trHeight w:hRule="atLeast" w:val="75"/>
          <w:cantSplit w:val="false"/>
        </w:trPr>
        <w:tc>
          <w:tcPr>
            <w:tcW w:type="dxa" w:w="9579"/>
            <w:tcBorders>
              <w:top w:val="nil"/>
              <w:left w:val="nil"/>
              <w:bottom w:val="nil"/>
              <w:right w:val="nil"/>
            </w:tcBorders>
            <w:shd w:fill="auto" w:val="clear"/>
            <w:vAlign w:val="center"/>
          </w:tcPr>
          <w:p>
            <w:pPr>
              <w:pStyle w:val="style0"/>
              <w:rPr>
                <w:sz w:val="8"/>
                <w:szCs w:val="24"/>
              </w:rPr>
            </w:pPr>
            <w:r>
              <w:rPr>
                <w:sz w:val="8"/>
                <w:szCs w:val="24"/>
              </w:rPr>
            </w:r>
          </w:p>
        </w:tc>
        <w:tc>
          <w:tcPr>
            <w:tcW w:type="dxa" w:w="1220"/>
            <w:tcBorders>
              <w:top w:val="nil"/>
              <w:left w:val="nil"/>
              <w:bottom w:val="nil"/>
              <w:right w:val="nil"/>
            </w:tcBorders>
            <w:shd w:fill="auto" w:val="clear"/>
            <w:vAlign w:val="center"/>
          </w:tcPr>
          <w:p>
            <w:pPr>
              <w:pStyle w:val="style0"/>
              <w:ind w:hanging="0" w:left="216" w:right="58"/>
              <w:rPr>
                <w:sz w:val="8"/>
                <w:szCs w:val="24"/>
              </w:rPr>
            </w:pPr>
            <w:r>
              <w:rPr>
                <w:sz w:val="8"/>
                <w:szCs w:val="24"/>
              </w:rPr>
            </w:r>
          </w:p>
        </w:tc>
      </w:tr>
      <w:tr>
        <w:trPr>
          <w:cantSplit w:val="false"/>
        </w:trPr>
        <w:tc>
          <w:tcPr>
            <w:tcW w:type="dxa" w:w="95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Three Months Ending,</w:t>
            </w:r>
          </w:p>
        </w:tc>
        <w:tc>
          <w:tcPr>
            <w:tcW w:type="dxa" w:w="1220"/>
            <w:tcBorders>
              <w:top w:val="nil"/>
              <w:left w:val="nil"/>
              <w:bottom w:val="nil"/>
              <w:right w:val="nil"/>
            </w:tcBorders>
            <w:shd w:fill="auto" w:val="clear"/>
            <w:tcMar>
              <w:left w:type="dxa" w:w="144"/>
            </w:tcMar>
            <w:vAlign w:val="bottom"/>
          </w:tcPr>
          <w:p>
            <w:pPr>
              <w:pStyle w:val="style65"/>
              <w:ind w:hanging="0" w:left="216" w:right="58"/>
              <w:rPr/>
            </w:pPr>
            <w:r>
              <w:rPr/>
              <w:t> </w:t>
            </w:r>
          </w:p>
        </w:tc>
      </w:tr>
      <w:tr>
        <w:trPr>
          <w:trHeight w:hRule="atLeast" w:val="75"/>
          <w:cantSplit w:val="false"/>
        </w:trPr>
        <w:tc>
          <w:tcPr>
            <w:tcW w:type="dxa" w:w="9579"/>
            <w:tcBorders>
              <w:top w:val="nil"/>
              <w:left w:val="nil"/>
              <w:bottom w:val="nil"/>
              <w:right w:val="nil"/>
            </w:tcBorders>
            <w:shd w:fill="auto" w:val="clear"/>
            <w:vAlign w:val="center"/>
          </w:tcPr>
          <w:p>
            <w:pPr>
              <w:pStyle w:val="style0"/>
              <w:rPr>
                <w:sz w:val="8"/>
                <w:szCs w:val="24"/>
              </w:rPr>
            </w:pPr>
            <w:r>
              <w:rPr>
                <w:sz w:val="8"/>
                <w:szCs w:val="24"/>
              </w:rPr>
            </w:r>
          </w:p>
        </w:tc>
        <w:tc>
          <w:tcPr>
            <w:tcW w:type="dxa" w:w="1220"/>
            <w:tcBorders>
              <w:top w:val="nil"/>
              <w:left w:val="nil"/>
              <w:bottom w:val="nil"/>
              <w:right w:val="nil"/>
            </w:tcBorders>
            <w:shd w:fill="auto" w:val="clear"/>
            <w:vAlign w:val="center"/>
          </w:tcPr>
          <w:p>
            <w:pPr>
              <w:pStyle w:val="style0"/>
              <w:ind w:hanging="0" w:left="216" w:right="58"/>
              <w:rPr>
                <w:sz w:val="8"/>
                <w:szCs w:val="24"/>
              </w:rPr>
            </w:pPr>
            <w:r>
              <w:rPr>
                <w:sz w:val="8"/>
                <w:szCs w:val="24"/>
              </w:rPr>
            </w:r>
          </w:p>
        </w:tc>
      </w:tr>
      <w:tr>
        <w:trPr>
          <w:cantSplit w:val="false"/>
        </w:trPr>
        <w:tc>
          <w:tcPr>
            <w:tcW w:type="dxa" w:w="95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September 30, 2013</w:t>
            </w:r>
          </w:p>
        </w:tc>
        <w:tc>
          <w:tcPr>
            <w:tcW w:type="dxa" w:w="1220"/>
            <w:tcBorders>
              <w:top w:val="nil"/>
              <w:left w:val="nil"/>
              <w:bottom w:val="nil"/>
              <w:right w:val="nil"/>
            </w:tcBorders>
            <w:shd w:fill="auto" w:val="clear"/>
            <w:tcMar>
              <w:left w:type="dxa" w:w="144"/>
            </w:tcMar>
            <w:vAlign w:val="bottom"/>
          </w:tcPr>
          <w:p>
            <w:pPr>
              <w:pStyle w:val="style62"/>
              <w:tabs>
                <w:tab w:leader="none" w:pos="1076" w:val="right"/>
              </w:tabs>
              <w:spacing w:after="280" w:before="280"/>
              <w:ind w:hanging="0" w:left="288" w:right="58"/>
              <w:contextualSpacing w:val="false"/>
              <w:rPr>
                <w:rFonts w:ascii="Arial" w:cs="Arial" w:hAnsi="Arial"/>
                <w:sz w:val="20"/>
                <w:szCs w:val="20"/>
              </w:rPr>
            </w:pPr>
            <w:r>
              <w:rPr>
                <w:rFonts w:ascii="Arial" w:cs="Arial" w:hAnsi="Arial"/>
                <w:sz w:val="20"/>
                <w:szCs w:val="20"/>
              </w:rPr>
              <w:t>$</w:t>
              <w:tab/>
              <w:t>7,790</w:t>
              <w:tab/>
              <w:t> </w:t>
            </w:r>
          </w:p>
        </w:tc>
      </w:tr>
      <w:tr>
        <w:trPr>
          <w:cantSplit w:val="false"/>
        </w:trPr>
        <w:tc>
          <w:tcPr>
            <w:tcW w:type="dxa" w:w="95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December 31, 2013</w:t>
            </w:r>
          </w:p>
        </w:tc>
        <w:tc>
          <w:tcPr>
            <w:tcW w:type="dxa" w:w="1220"/>
            <w:tcBorders>
              <w:top w:val="nil"/>
              <w:left w:val="nil"/>
              <w:bottom w:val="nil"/>
              <w:right w:val="nil"/>
            </w:tcBorders>
            <w:shd w:fill="auto" w:val="clear"/>
            <w:tcMar>
              <w:left w:type="dxa" w:w="144"/>
            </w:tcMar>
            <w:vAlign w:val="bottom"/>
          </w:tcPr>
          <w:p>
            <w:pPr>
              <w:pStyle w:val="style62"/>
              <w:tabs>
                <w:tab w:leader="none" w:pos="1076" w:val="right"/>
              </w:tabs>
              <w:spacing w:after="280" w:before="280"/>
              <w:ind w:hanging="0" w:left="216" w:right="58"/>
              <w:contextualSpacing w:val="false"/>
              <w:rPr>
                <w:rFonts w:ascii="Arial" w:cs="Arial" w:hAnsi="Arial"/>
                <w:sz w:val="20"/>
                <w:szCs w:val="20"/>
              </w:rPr>
            </w:pPr>
            <w:r>
              <w:rPr>
                <w:rFonts w:ascii="Arial" w:cs="Arial" w:hAnsi="Arial"/>
                <w:sz w:val="20"/>
                <w:szCs w:val="20"/>
              </w:rPr>
              <w:tab/>
              <w:t>6,571</w:t>
              <w:tab/>
            </w:r>
          </w:p>
        </w:tc>
      </w:tr>
      <w:tr>
        <w:trPr>
          <w:cantSplit w:val="false"/>
        </w:trPr>
        <w:tc>
          <w:tcPr>
            <w:tcW w:type="dxa" w:w="95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March 31, 2014</w:t>
            </w:r>
          </w:p>
        </w:tc>
        <w:tc>
          <w:tcPr>
            <w:tcW w:type="dxa" w:w="1220"/>
            <w:tcBorders>
              <w:top w:val="nil"/>
              <w:left w:val="nil"/>
              <w:bottom w:val="nil"/>
              <w:right w:val="nil"/>
            </w:tcBorders>
            <w:shd w:fill="auto" w:val="clear"/>
            <w:tcMar>
              <w:left w:type="dxa" w:w="144"/>
            </w:tcMar>
            <w:vAlign w:val="bottom"/>
          </w:tcPr>
          <w:p>
            <w:pPr>
              <w:pStyle w:val="style62"/>
              <w:tabs>
                <w:tab w:leader="none" w:pos="1076" w:val="right"/>
              </w:tabs>
              <w:spacing w:after="280" w:before="280"/>
              <w:ind w:hanging="0" w:left="216" w:right="58"/>
              <w:contextualSpacing w:val="false"/>
              <w:rPr>
                <w:rFonts w:ascii="Arial" w:cs="Arial" w:hAnsi="Arial"/>
                <w:sz w:val="20"/>
                <w:szCs w:val="20"/>
              </w:rPr>
            </w:pPr>
            <w:r>
              <w:rPr>
                <w:rFonts w:ascii="Arial" w:cs="Arial" w:hAnsi="Arial"/>
                <w:sz w:val="20"/>
                <w:szCs w:val="20"/>
              </w:rPr>
              <w:tab/>
              <w:t>4,252</w:t>
              <w:tab/>
            </w:r>
          </w:p>
        </w:tc>
      </w:tr>
      <w:tr>
        <w:trPr>
          <w:cantSplit w:val="false"/>
        </w:trPr>
        <w:tc>
          <w:tcPr>
            <w:tcW w:type="dxa" w:w="95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June 30, 2014</w:t>
            </w:r>
          </w:p>
        </w:tc>
        <w:tc>
          <w:tcPr>
            <w:tcW w:type="dxa" w:w="1220"/>
            <w:tcBorders>
              <w:top w:val="nil"/>
              <w:left w:val="nil"/>
              <w:bottom w:val="nil"/>
              <w:right w:val="nil"/>
            </w:tcBorders>
            <w:shd w:fill="auto" w:val="clear"/>
            <w:tcMar>
              <w:left w:type="dxa" w:w="144"/>
            </w:tcMar>
            <w:vAlign w:val="bottom"/>
          </w:tcPr>
          <w:p>
            <w:pPr>
              <w:pStyle w:val="style62"/>
              <w:tabs>
                <w:tab w:leader="none" w:pos="1076" w:val="right"/>
              </w:tabs>
              <w:spacing w:after="280" w:before="280"/>
              <w:ind w:hanging="0" w:left="216" w:right="58"/>
              <w:contextualSpacing w:val="false"/>
              <w:rPr>
                <w:rFonts w:ascii="Arial" w:cs="Arial" w:hAnsi="Arial"/>
                <w:sz w:val="20"/>
                <w:szCs w:val="20"/>
              </w:rPr>
            </w:pPr>
            <w:r>
              <w:rPr>
                <w:rFonts w:ascii="Arial" w:cs="Arial" w:hAnsi="Arial"/>
                <w:sz w:val="20"/>
                <w:szCs w:val="20"/>
              </w:rPr>
              <w:tab/>
              <w:t>2,026</w:t>
              <w:tab/>
            </w:r>
          </w:p>
        </w:tc>
      </w:tr>
      <w:tr>
        <w:trPr>
          <w:cantSplit w:val="false"/>
        </w:trPr>
        <w:tc>
          <w:tcPr>
            <w:tcW w:type="dxa" w:w="95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Thereafter</w:t>
            </w:r>
          </w:p>
        </w:tc>
        <w:tc>
          <w:tcPr>
            <w:tcW w:type="dxa" w:w="1220"/>
            <w:tcBorders>
              <w:top w:val="nil"/>
              <w:left w:val="nil"/>
              <w:bottom w:val="nil"/>
              <w:right w:val="nil"/>
            </w:tcBorders>
            <w:shd w:fill="auto" w:val="clear"/>
            <w:tcMar>
              <w:left w:type="dxa" w:w="144"/>
            </w:tcMar>
            <w:vAlign w:val="bottom"/>
          </w:tcPr>
          <w:p>
            <w:pPr>
              <w:pStyle w:val="style62"/>
              <w:tabs>
                <w:tab w:leader="none" w:pos="1076" w:val="right"/>
              </w:tabs>
              <w:spacing w:after="280" w:before="280"/>
              <w:ind w:hanging="0" w:left="216" w:right="58"/>
              <w:contextualSpacing w:val="false"/>
              <w:rPr>
                <w:rFonts w:ascii="Arial" w:cs="Arial" w:hAnsi="Arial"/>
                <w:sz w:val="20"/>
                <w:szCs w:val="20"/>
              </w:rPr>
            </w:pPr>
            <w:r>
              <w:rPr>
                <w:rFonts w:ascii="Arial" w:cs="Arial" w:hAnsi="Arial"/>
                <w:sz w:val="20"/>
                <w:szCs w:val="20"/>
              </w:rPr>
              <w:tab/>
              <w:t>1,760</w:t>
              <w:tab/>
            </w:r>
          </w:p>
        </w:tc>
      </w:tr>
      <w:tr>
        <w:trPr>
          <w:cantSplit w:val="false"/>
        </w:trPr>
        <w:tc>
          <w:tcPr>
            <w:tcW w:type="dxa" w:w="10799"/>
            <w:gridSpan w:val="2"/>
            <w:tcBorders>
              <w:top w:val="nil"/>
              <w:left w:val="nil"/>
              <w:bottom w:val="nil"/>
              <w:right w:val="nil"/>
            </w:tcBorders>
            <w:shd w:fill="auto" w:val="clear"/>
            <w:tcMar>
              <w:left w:type="dxa" w:w="144"/>
            </w:tcMar>
            <w:vAlign w:val="bottom"/>
          </w:tcPr>
          <w:p>
            <w:pPr>
              <w:pStyle w:val="style59"/>
              <w:spacing w:after="0" w:before="20"/>
              <w:ind w:hanging="0" w:left="-264" w:right="58"/>
              <w:contextualSpacing w:val="false"/>
              <w:rPr/>
            </w:pPr>
            <w:r>
              <w:rPr/>
              <w:t> </w:t>
            </w:r>
          </w:p>
        </w:tc>
      </w:tr>
      <w:tr>
        <w:trPr>
          <w:cantSplit w:val="false"/>
        </w:trPr>
        <w:tc>
          <w:tcPr>
            <w:tcW w:type="dxa" w:w="95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220"/>
            <w:tcBorders>
              <w:top w:val="nil"/>
              <w:left w:val="nil"/>
              <w:bottom w:val="nil"/>
              <w:right w:val="nil"/>
            </w:tcBorders>
            <w:shd w:fill="auto" w:val="clear"/>
            <w:tcMar>
              <w:left w:type="dxa" w:w="144"/>
            </w:tcMar>
            <w:vAlign w:val="bottom"/>
          </w:tcPr>
          <w:p>
            <w:pPr>
              <w:pStyle w:val="style62"/>
              <w:tabs>
                <w:tab w:leader="none" w:pos="1031" w:val="right"/>
              </w:tabs>
              <w:spacing w:after="280" w:before="280"/>
              <w:ind w:hanging="0" w:left="266" w:right="58"/>
              <w:contextualSpacing w:val="false"/>
              <w:rPr>
                <w:rFonts w:ascii="Arial" w:cs="Arial" w:hAnsi="Arial"/>
                <w:sz w:val="20"/>
                <w:szCs w:val="20"/>
              </w:rPr>
            </w:pPr>
            <w:r>
              <w:rPr>
                <w:rFonts w:ascii="Arial" w:cs="Arial" w:hAnsi="Arial"/>
                <w:sz w:val="20"/>
                <w:szCs w:val="20"/>
              </w:rPr>
              <w:t>$</w:t>
              <w:tab/>
              <w:t>  22,399</w:t>
              <w:tab/>
            </w:r>
          </w:p>
        </w:tc>
      </w:tr>
      <w:tr>
        <w:trPr>
          <w:cantSplit w:val="false"/>
        </w:trPr>
        <w:tc>
          <w:tcPr>
            <w:tcW w:type="dxa" w:w="9579"/>
            <w:tcBorders>
              <w:top w:val="nil"/>
              <w:left w:val="nil"/>
              <w:bottom w:val="nil"/>
              <w:right w:val="nil"/>
            </w:tcBorders>
            <w:shd w:fill="auto" w:val="clear"/>
            <w:tcMar>
              <w:left w:type="dxa" w:w="144"/>
            </w:tcMar>
            <w:vAlign w:val="bottom"/>
          </w:tcPr>
          <w:p>
            <w:pPr>
              <w:pStyle w:val="style65"/>
              <w:rPr/>
            </w:pPr>
            <w:r>
              <w:rPr/>
              <w:t> </w:t>
            </w:r>
          </w:p>
        </w:tc>
        <w:tc>
          <w:tcPr>
            <w:tcW w:type="dxa" w:w="1220"/>
            <w:tcBorders>
              <w:top w:val="nil"/>
              <w:left w:val="nil"/>
              <w:bottom w:val="nil"/>
              <w:right w:val="nil"/>
            </w:tcBorders>
            <w:shd w:fill="auto" w:val="clear"/>
            <w:tcMar>
              <w:left w:type="dxa" w:w="144"/>
            </w:tcMar>
            <w:vAlign w:val="bottom"/>
          </w:tcPr>
          <w:p>
            <w:pPr>
              <w:pStyle w:val="style63"/>
              <w:spacing w:after="0" w:before="20"/>
              <w:ind w:hanging="0" w:left="302" w:right="29"/>
              <w:contextualSpacing w:val="false"/>
              <w:rPr/>
            </w:pPr>
            <w:r>
              <w:rPr/>
              <w:t> </w:t>
            </w:r>
          </w:p>
        </w:tc>
      </w:tr>
    </w:tbl>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Share Repurchases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On September 22, 2008, we announced that our Board of Directors approved a new share repurchase program authorizing up to $40.0 billion in share repurchases with an expiration date of September 30, 2013. As of June 30, 2013, approximately $3.6 billion remained of the $40.0 billion approved repurchase amount. The repurchase program may be suspended or discontinued at any time without notice.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During the periods reported, we repurchased with cash resources: 158 million shares for $4.6 billion during fiscal year 2013; 142 million shares for $4.0 billion during fiscal year 2012; and 447 million shares for $11.5 billion during fiscal year 2011.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Dividends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During fiscal years 2013 and 2012, our Board of Directors declared the following dividends: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3615"/>
        <w:gridCol w:w="1139"/>
        <w:gridCol w:w="2280"/>
        <w:gridCol w:w="1480"/>
        <w:gridCol w:w="2287"/>
      </w:tblGrid>
      <w:tr>
        <w:trPr>
          <w:tblHeader w:val="true"/>
          <w:cantSplit w:val="false"/>
        </w:trPr>
        <w:tc>
          <w:tcPr>
            <w:tcW w:type="dxa" w:w="3615"/>
            <w:tcBorders>
              <w:top w:val="nil"/>
              <w:left w:val="nil"/>
              <w:bottom w:val="nil"/>
              <w:right w:val="nil"/>
            </w:tcBorders>
            <w:shd w:fill="auto" w:val="clear"/>
            <w:vAlign w:val="center"/>
          </w:tcPr>
          <w:p>
            <w:pPr>
              <w:pStyle w:val="style0"/>
              <w:rPr>
                <w:sz w:val="1"/>
                <w:szCs w:val="24"/>
              </w:rPr>
            </w:pPr>
            <w:bookmarkStart w:id="7" w:name="OLE_LINK13"/>
            <w:bookmarkStart w:id="8" w:name="OLE_LINK12"/>
            <w:bookmarkStart w:id="9" w:name="OLE_LINK13"/>
            <w:bookmarkStart w:id="10" w:name="OLE_LINK12"/>
            <w:bookmarkEnd w:id="9"/>
            <w:bookmarkEnd w:id="10"/>
            <w:r>
              <w:rPr>
                <w:sz w:val="1"/>
                <w:szCs w:val="24"/>
              </w:rPr>
            </w:r>
          </w:p>
        </w:tc>
        <w:tc>
          <w:tcPr>
            <w:tcW w:type="dxa" w:w="1139"/>
            <w:tcBorders>
              <w:top w:val="nil"/>
              <w:left w:val="nil"/>
              <w:bottom w:val="nil"/>
              <w:right w:val="nil"/>
            </w:tcBorders>
            <w:shd w:fill="auto" w:val="clear"/>
            <w:vAlign w:val="center"/>
          </w:tcPr>
          <w:p>
            <w:pPr>
              <w:pStyle w:val="style0"/>
              <w:rPr>
                <w:sz w:val="1"/>
                <w:szCs w:val="24"/>
              </w:rPr>
            </w:pPr>
            <w:r>
              <w:rPr>
                <w:sz w:val="1"/>
                <w:szCs w:val="24"/>
              </w:rPr>
            </w:r>
          </w:p>
        </w:tc>
        <w:tc>
          <w:tcPr>
            <w:tcW w:type="dxa" w:w="2280"/>
            <w:tcBorders>
              <w:top w:val="nil"/>
              <w:left w:val="nil"/>
              <w:bottom w:val="nil"/>
              <w:right w:val="nil"/>
            </w:tcBorders>
            <w:shd w:fill="auto" w:val="clear"/>
            <w:vAlign w:val="center"/>
          </w:tcPr>
          <w:p>
            <w:pPr>
              <w:pStyle w:val="style0"/>
              <w:rPr>
                <w:sz w:val="1"/>
                <w:szCs w:val="24"/>
              </w:rPr>
            </w:pPr>
            <w:r>
              <w:rPr>
                <w:sz w:val="1"/>
                <w:szCs w:val="24"/>
              </w:rPr>
            </w:r>
          </w:p>
        </w:tc>
        <w:tc>
          <w:tcPr>
            <w:tcW w:type="dxa" w:w="1480"/>
            <w:tcBorders>
              <w:top w:val="nil"/>
              <w:left w:val="nil"/>
              <w:bottom w:val="nil"/>
              <w:right w:val="nil"/>
            </w:tcBorders>
            <w:shd w:fill="auto" w:val="clear"/>
            <w:vAlign w:val="center"/>
          </w:tcPr>
          <w:p>
            <w:pPr>
              <w:pStyle w:val="style0"/>
              <w:rPr>
                <w:sz w:val="1"/>
                <w:szCs w:val="24"/>
              </w:rPr>
            </w:pPr>
            <w:r>
              <w:rPr>
                <w:sz w:val="1"/>
                <w:szCs w:val="24"/>
              </w:rPr>
            </w:r>
          </w:p>
        </w:tc>
        <w:tc>
          <w:tcPr>
            <w:tcW w:type="dxa" w:w="2287"/>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361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Declaration Date</w:t>
            </w:r>
          </w:p>
        </w:tc>
        <w:tc>
          <w:tcPr>
            <w:tcW w:type="dxa" w:w="1139"/>
            <w:tcBorders>
              <w:top w:val="nil"/>
              <w:left w:val="nil"/>
              <w:bottom w:val="nil"/>
              <w:right w:val="nil"/>
            </w:tcBorders>
            <w:shd w:fill="auto" w:val="clear"/>
            <w:tcMar>
              <w:left w:type="dxa" w:w="144"/>
            </w:tcMar>
            <w:vAlign w:val="bottom"/>
          </w:tcPr>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Dividend</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Per Share</w:t>
            </w:r>
          </w:p>
        </w:tc>
        <w:tc>
          <w:tcPr>
            <w:tcW w:type="dxa" w:w="228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Record Date</w:t>
            </w:r>
          </w:p>
        </w:tc>
        <w:tc>
          <w:tcPr>
            <w:tcW w:type="dxa" w:w="148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Total Amount</w:t>
            </w:r>
          </w:p>
        </w:tc>
        <w:tc>
          <w:tcPr>
            <w:tcW w:type="dxa" w:w="2287"/>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Payment Date</w:t>
            </w:r>
          </w:p>
        </w:tc>
      </w:tr>
      <w:tr>
        <w:trPr>
          <w:cantSplit w:val="false"/>
        </w:trPr>
        <w:tc>
          <w:tcPr>
            <w:tcW w:type="dxa" w:w="10801"/>
            <w:gridSpan w:val="5"/>
            <w:tcBorders>
              <w:top w:val="nil"/>
              <w:left w:val="nil"/>
              <w:bottom w:val="nil"/>
              <w:right w:val="nil"/>
            </w:tcBorders>
            <w:shd w:fill="auto" w:val="clear"/>
            <w:tcMar>
              <w:left w:type="dxa" w:w="144"/>
            </w:tcMar>
            <w:vAlign w:val="bottom"/>
          </w:tcPr>
          <w:p>
            <w:pPr>
              <w:pStyle w:val="style59"/>
              <w:spacing w:after="0" w:before="20"/>
              <w:ind w:hanging="0" w:left="-274" w:right="0"/>
              <w:contextualSpacing w:val="false"/>
              <w:rPr/>
            </w:pPr>
            <w:r>
              <w:rPr/>
              <w:t> </w:t>
            </w:r>
          </w:p>
        </w:tc>
      </w:tr>
      <w:tr>
        <w:trPr>
          <w:cantSplit w:val="false"/>
        </w:trPr>
        <w:tc>
          <w:tcPr>
            <w:tcW w:type="dxa" w:w="3615"/>
            <w:tcBorders>
              <w:top w:val="nil"/>
              <w:left w:val="nil"/>
              <w:bottom w:val="nil"/>
              <w:right w:val="nil"/>
            </w:tcBorders>
            <w:shd w:fill="auto" w:val="clear"/>
            <w:tcMar>
              <w:left w:type="dxa" w:w="144"/>
            </w:tcMar>
            <w:vAlign w:val="bottom"/>
          </w:tcPr>
          <w:p>
            <w:pPr>
              <w:pStyle w:val="style65"/>
              <w:keepNext/>
              <w:rPr/>
            </w:pPr>
            <w:r>
              <w:rPr/>
              <w:t> </w:t>
            </w:r>
          </w:p>
        </w:tc>
        <w:tc>
          <w:tcPr>
            <w:tcW w:type="dxa" w:w="1139"/>
            <w:tcBorders>
              <w:top w:val="nil"/>
              <w:left w:val="nil"/>
              <w:bottom w:val="nil"/>
              <w:right w:val="nil"/>
            </w:tcBorders>
            <w:shd w:fill="auto" w:val="clear"/>
            <w:tcMar>
              <w:left w:type="dxa" w:w="144"/>
            </w:tcMar>
            <w:vAlign w:val="bottom"/>
          </w:tcPr>
          <w:p>
            <w:pPr>
              <w:pStyle w:val="style65"/>
              <w:ind w:hanging="0" w:left="0" w:right="72"/>
              <w:rPr/>
            </w:pPr>
            <w:r>
              <w:rPr/>
              <w:t> </w:t>
            </w:r>
          </w:p>
        </w:tc>
        <w:tc>
          <w:tcPr>
            <w:tcW w:type="dxa" w:w="2280"/>
            <w:tcBorders>
              <w:top w:val="nil"/>
              <w:left w:val="nil"/>
              <w:bottom w:val="nil"/>
              <w:right w:val="nil"/>
            </w:tcBorders>
            <w:shd w:fill="auto" w:val="clear"/>
            <w:tcMar>
              <w:left w:type="dxa" w:w="144"/>
            </w:tcMar>
            <w:vAlign w:val="bottom"/>
          </w:tcPr>
          <w:p>
            <w:pPr>
              <w:pStyle w:val="style65"/>
              <w:ind w:hanging="0" w:left="0" w:right="72"/>
              <w:rPr/>
            </w:pPr>
            <w:r>
              <w:rPr/>
              <w:t> </w:t>
            </w:r>
          </w:p>
        </w:tc>
        <w:tc>
          <w:tcPr>
            <w:tcW w:type="dxa" w:w="148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(In millions)</w:t>
            </w:r>
          </w:p>
        </w:tc>
        <w:tc>
          <w:tcPr>
            <w:tcW w:type="dxa" w:w="2287"/>
            <w:tcBorders>
              <w:top w:val="nil"/>
              <w:left w:val="nil"/>
              <w:bottom w:val="nil"/>
              <w:right w:val="nil"/>
            </w:tcBorders>
            <w:shd w:fill="auto" w:val="clear"/>
            <w:tcMar>
              <w:left w:type="dxa" w:w="144"/>
            </w:tcMar>
            <w:vAlign w:val="bottom"/>
          </w:tcPr>
          <w:p>
            <w:pPr>
              <w:pStyle w:val="style65"/>
              <w:rPr/>
            </w:pPr>
            <w:r>
              <w:rPr/>
              <w:t> </w:t>
            </w:r>
          </w:p>
        </w:tc>
      </w:tr>
      <w:tr>
        <w:trPr>
          <w:trHeight w:hRule="atLeast" w:val="75"/>
          <w:cantSplit w:val="false"/>
        </w:trPr>
        <w:tc>
          <w:tcPr>
            <w:tcW w:type="dxa" w:w="3615"/>
            <w:tcBorders>
              <w:top w:val="nil"/>
              <w:left w:val="nil"/>
              <w:bottom w:val="nil"/>
              <w:right w:val="nil"/>
            </w:tcBorders>
            <w:shd w:fill="auto" w:val="clear"/>
            <w:vAlign w:val="center"/>
          </w:tcPr>
          <w:p>
            <w:pPr>
              <w:pStyle w:val="style0"/>
              <w:rPr>
                <w:sz w:val="8"/>
                <w:szCs w:val="24"/>
              </w:rPr>
            </w:pPr>
            <w:r>
              <w:rPr>
                <w:sz w:val="8"/>
                <w:szCs w:val="24"/>
              </w:rPr>
            </w:r>
          </w:p>
        </w:tc>
        <w:tc>
          <w:tcPr>
            <w:tcW w:type="dxa" w:w="1139"/>
            <w:tcBorders>
              <w:top w:val="nil"/>
              <w:left w:val="nil"/>
              <w:bottom w:val="nil"/>
              <w:right w:val="nil"/>
            </w:tcBorders>
            <w:shd w:fill="auto" w:val="clear"/>
            <w:vAlign w:val="center"/>
          </w:tcPr>
          <w:p>
            <w:pPr>
              <w:pStyle w:val="style0"/>
              <w:rPr>
                <w:sz w:val="8"/>
                <w:szCs w:val="24"/>
              </w:rPr>
            </w:pPr>
            <w:r>
              <w:rPr>
                <w:sz w:val="8"/>
                <w:szCs w:val="24"/>
              </w:rPr>
            </w:r>
          </w:p>
        </w:tc>
        <w:tc>
          <w:tcPr>
            <w:tcW w:type="dxa" w:w="2280"/>
            <w:tcBorders>
              <w:top w:val="nil"/>
              <w:left w:val="nil"/>
              <w:bottom w:val="nil"/>
              <w:right w:val="nil"/>
            </w:tcBorders>
            <w:shd w:fill="auto" w:val="clear"/>
            <w:vAlign w:val="center"/>
          </w:tcPr>
          <w:p>
            <w:pPr>
              <w:pStyle w:val="style0"/>
              <w:rPr>
                <w:sz w:val="8"/>
                <w:szCs w:val="24"/>
              </w:rPr>
            </w:pPr>
            <w:r>
              <w:rPr>
                <w:sz w:val="8"/>
                <w:szCs w:val="24"/>
              </w:rPr>
            </w:r>
          </w:p>
        </w:tc>
        <w:tc>
          <w:tcPr>
            <w:tcW w:type="dxa" w:w="1480"/>
            <w:tcBorders>
              <w:top w:val="nil"/>
              <w:left w:val="nil"/>
              <w:bottom w:val="nil"/>
              <w:right w:val="nil"/>
            </w:tcBorders>
            <w:shd w:fill="auto" w:val="clear"/>
            <w:vAlign w:val="center"/>
          </w:tcPr>
          <w:p>
            <w:pPr>
              <w:pStyle w:val="style0"/>
              <w:rPr>
                <w:sz w:val="8"/>
                <w:szCs w:val="24"/>
              </w:rPr>
            </w:pPr>
            <w:r>
              <w:rPr>
                <w:sz w:val="8"/>
                <w:szCs w:val="24"/>
              </w:rPr>
            </w:r>
          </w:p>
        </w:tc>
        <w:tc>
          <w:tcPr>
            <w:tcW w:type="dxa" w:w="2287"/>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361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Fiscal Year 2013</w:t>
            </w:r>
          </w:p>
        </w:tc>
        <w:tc>
          <w:tcPr>
            <w:tcW w:type="dxa" w:w="1139"/>
            <w:tcBorders>
              <w:top w:val="nil"/>
              <w:left w:val="nil"/>
              <w:bottom w:val="nil"/>
              <w:right w:val="nil"/>
            </w:tcBorders>
            <w:shd w:fill="auto" w:val="clear"/>
            <w:tcMar>
              <w:left w:type="dxa" w:w="144"/>
            </w:tcMar>
            <w:vAlign w:val="bottom"/>
          </w:tcPr>
          <w:p>
            <w:pPr>
              <w:pStyle w:val="style65"/>
              <w:rPr/>
            </w:pPr>
            <w:r>
              <w:rPr/>
              <w:t> </w:t>
            </w:r>
          </w:p>
        </w:tc>
        <w:tc>
          <w:tcPr>
            <w:tcW w:type="dxa" w:w="2280"/>
            <w:tcBorders>
              <w:top w:val="nil"/>
              <w:left w:val="nil"/>
              <w:bottom w:val="nil"/>
              <w:right w:val="nil"/>
            </w:tcBorders>
            <w:shd w:fill="auto" w:val="clear"/>
            <w:tcMar>
              <w:left w:type="dxa" w:w="144"/>
            </w:tcMar>
            <w:vAlign w:val="bottom"/>
          </w:tcPr>
          <w:p>
            <w:pPr>
              <w:pStyle w:val="style65"/>
              <w:rPr/>
            </w:pPr>
            <w:r>
              <w:rPr/>
              <w:t> </w:t>
            </w:r>
          </w:p>
        </w:tc>
        <w:tc>
          <w:tcPr>
            <w:tcW w:type="dxa" w:w="1480"/>
            <w:tcBorders>
              <w:top w:val="nil"/>
              <w:left w:val="nil"/>
              <w:bottom w:val="nil"/>
              <w:right w:val="nil"/>
            </w:tcBorders>
            <w:shd w:fill="auto" w:val="clear"/>
            <w:tcMar>
              <w:left w:type="dxa" w:w="144"/>
            </w:tcMar>
            <w:vAlign w:val="bottom"/>
          </w:tcPr>
          <w:p>
            <w:pPr>
              <w:pStyle w:val="style65"/>
              <w:rPr/>
            </w:pPr>
            <w:r>
              <w:rPr/>
              <w:t> </w:t>
            </w:r>
          </w:p>
        </w:tc>
        <w:tc>
          <w:tcPr>
            <w:tcW w:type="dxa" w:w="2287"/>
            <w:tcBorders>
              <w:top w:val="nil"/>
              <w:left w:val="nil"/>
              <w:bottom w:val="nil"/>
              <w:right w:val="nil"/>
            </w:tcBorders>
            <w:shd w:fill="auto" w:val="clear"/>
            <w:tcMar>
              <w:left w:type="dxa" w:w="144"/>
            </w:tcMar>
            <w:vAlign w:val="bottom"/>
          </w:tcPr>
          <w:p>
            <w:pPr>
              <w:pStyle w:val="style65"/>
              <w:rPr/>
            </w:pPr>
            <w:r>
              <w:rPr/>
              <w:t> </w:t>
            </w:r>
          </w:p>
        </w:tc>
      </w:tr>
      <w:tr>
        <w:trPr>
          <w:trHeight w:hRule="atLeast" w:val="75"/>
          <w:cantSplit w:val="false"/>
        </w:trPr>
        <w:tc>
          <w:tcPr>
            <w:tcW w:type="dxa" w:w="3615"/>
            <w:tcBorders>
              <w:top w:val="nil"/>
              <w:left w:val="nil"/>
              <w:bottom w:val="nil"/>
              <w:right w:val="nil"/>
            </w:tcBorders>
            <w:shd w:fill="auto" w:val="clear"/>
            <w:vAlign w:val="center"/>
          </w:tcPr>
          <w:p>
            <w:pPr>
              <w:pStyle w:val="style0"/>
              <w:rPr>
                <w:sz w:val="8"/>
                <w:szCs w:val="24"/>
              </w:rPr>
            </w:pPr>
            <w:r>
              <w:rPr>
                <w:sz w:val="8"/>
                <w:szCs w:val="24"/>
              </w:rPr>
            </w:r>
          </w:p>
        </w:tc>
        <w:tc>
          <w:tcPr>
            <w:tcW w:type="dxa" w:w="1139"/>
            <w:tcBorders>
              <w:top w:val="nil"/>
              <w:left w:val="nil"/>
              <w:bottom w:val="nil"/>
              <w:right w:val="nil"/>
            </w:tcBorders>
            <w:shd w:fill="auto" w:val="clear"/>
            <w:vAlign w:val="center"/>
          </w:tcPr>
          <w:p>
            <w:pPr>
              <w:pStyle w:val="style0"/>
              <w:rPr>
                <w:sz w:val="8"/>
                <w:szCs w:val="24"/>
              </w:rPr>
            </w:pPr>
            <w:r>
              <w:rPr>
                <w:sz w:val="8"/>
                <w:szCs w:val="24"/>
              </w:rPr>
            </w:r>
          </w:p>
        </w:tc>
        <w:tc>
          <w:tcPr>
            <w:tcW w:type="dxa" w:w="2280"/>
            <w:tcBorders>
              <w:top w:val="nil"/>
              <w:left w:val="nil"/>
              <w:bottom w:val="nil"/>
              <w:right w:val="nil"/>
            </w:tcBorders>
            <w:shd w:fill="auto" w:val="clear"/>
            <w:vAlign w:val="center"/>
          </w:tcPr>
          <w:p>
            <w:pPr>
              <w:pStyle w:val="style0"/>
              <w:rPr>
                <w:sz w:val="8"/>
                <w:szCs w:val="24"/>
              </w:rPr>
            </w:pPr>
            <w:r>
              <w:rPr>
                <w:sz w:val="8"/>
                <w:szCs w:val="24"/>
              </w:rPr>
            </w:r>
          </w:p>
        </w:tc>
        <w:tc>
          <w:tcPr>
            <w:tcW w:type="dxa" w:w="1480"/>
            <w:tcBorders>
              <w:top w:val="nil"/>
              <w:left w:val="nil"/>
              <w:bottom w:val="nil"/>
              <w:right w:val="nil"/>
            </w:tcBorders>
            <w:shd w:fill="auto" w:val="clear"/>
            <w:vAlign w:val="center"/>
          </w:tcPr>
          <w:p>
            <w:pPr>
              <w:pStyle w:val="style0"/>
              <w:rPr>
                <w:sz w:val="8"/>
                <w:szCs w:val="24"/>
              </w:rPr>
            </w:pPr>
            <w:r>
              <w:rPr>
                <w:sz w:val="8"/>
                <w:szCs w:val="24"/>
              </w:rPr>
            </w:r>
          </w:p>
        </w:tc>
        <w:tc>
          <w:tcPr>
            <w:tcW w:type="dxa" w:w="2287"/>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September 18, 2012</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b/>
                <w:bCs/>
                <w:sz w:val="20"/>
                <w:szCs w:val="20"/>
              </w:rPr>
            </w:pPr>
            <w:r>
              <w:rPr>
                <w:rFonts w:ascii="Arial" w:cs="Arial" w:hAnsi="Arial"/>
                <w:b/>
                <w:bCs/>
                <w:sz w:val="20"/>
                <w:szCs w:val="20"/>
              </w:rPr>
              <w:t>$</w:t>
              <w:tab/>
              <w:t> 0.23</w:t>
              <w:tab/>
              <w:t> </w:t>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b/>
                <w:bCs/>
                <w:sz w:val="20"/>
                <w:szCs w:val="20"/>
              </w:rPr>
            </w:pPr>
            <w:r>
              <w:rPr>
                <w:rFonts w:ascii="Arial" w:cs="Arial" w:hAnsi="Arial"/>
                <w:b/>
                <w:bCs/>
                <w:sz w:val="20"/>
                <w:szCs w:val="20"/>
              </w:rPr>
              <w:tab/>
              <w:t>November 15, 2012</w:t>
              <w:tab/>
              <w:t xml:space="preserve">  </w:t>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04" w:right="0"/>
              <w:contextualSpacing w:val="false"/>
              <w:rPr>
                <w:rFonts w:ascii="Arial" w:cs="Arial" w:hAnsi="Arial"/>
                <w:b/>
                <w:bCs/>
                <w:sz w:val="20"/>
                <w:szCs w:val="20"/>
              </w:rPr>
            </w:pPr>
            <w:r>
              <w:rPr>
                <w:rFonts w:ascii="Arial" w:cs="Arial" w:hAnsi="Arial"/>
                <w:b/>
                <w:bCs/>
                <w:sz w:val="20"/>
                <w:szCs w:val="20"/>
              </w:rPr>
              <w:t>$</w:t>
              <w:tab/>
              <w:t>  1,933</w:t>
              <w:tab/>
              <w:t> </w:t>
            </w:r>
          </w:p>
        </w:tc>
        <w:tc>
          <w:tcPr>
            <w:tcW w:type="dxa" w:w="2287"/>
            <w:tcBorders>
              <w:top w:val="nil"/>
              <w:left w:val="nil"/>
              <w:bottom w:val="nil"/>
              <w:right w:val="nil"/>
            </w:tcBorders>
            <w:shd w:fill="auto" w:val="clear"/>
            <w:tcMar>
              <w:left w:type="dxa" w:w="144"/>
            </w:tcMar>
            <w:vAlign w:val="bottom"/>
          </w:tcPr>
          <w:p>
            <w:pPr>
              <w:pStyle w:val="style62"/>
              <w:tabs>
                <w:tab w:leader="none" w:pos="2122" w:val="right"/>
                <w:tab w:leader="none" w:pos="2293" w:val="decimal"/>
              </w:tabs>
              <w:spacing w:after="280" w:before="280"/>
              <w:contextualSpacing w:val="false"/>
              <w:rPr>
                <w:rFonts w:ascii="Arial" w:cs="Arial" w:hAnsi="Arial"/>
                <w:b/>
                <w:bCs/>
                <w:sz w:val="20"/>
                <w:szCs w:val="20"/>
              </w:rPr>
            </w:pPr>
            <w:r>
              <w:rPr>
                <w:rFonts w:ascii="Arial" w:cs="Arial" w:hAnsi="Arial"/>
                <w:b/>
                <w:bCs/>
                <w:sz w:val="20"/>
                <w:szCs w:val="20"/>
              </w:rPr>
              <w:tab/>
              <w:t>December 13,  2012</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November 28, 2012</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b/>
                <w:bCs/>
                <w:sz w:val="20"/>
                <w:szCs w:val="20"/>
              </w:rPr>
            </w:pPr>
            <w:r>
              <w:rPr>
                <w:rFonts w:ascii="Arial" w:cs="Arial" w:hAnsi="Arial"/>
                <w:b/>
                <w:bCs/>
                <w:sz w:val="20"/>
                <w:szCs w:val="20"/>
              </w:rPr>
              <w:t>$</w:t>
              <w:tab/>
              <w:t>0.23</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b/>
                <w:bCs/>
                <w:sz w:val="20"/>
                <w:szCs w:val="20"/>
              </w:rPr>
            </w:pPr>
            <w:r>
              <w:rPr>
                <w:rFonts w:ascii="Arial" w:cs="Arial" w:hAnsi="Arial"/>
                <w:b/>
                <w:bCs/>
                <w:sz w:val="20"/>
                <w:szCs w:val="20"/>
              </w:rPr>
              <w:tab/>
              <w:t>February 21, 2013</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04" w:right="0"/>
              <w:contextualSpacing w:val="false"/>
              <w:rPr>
                <w:rFonts w:ascii="Arial" w:cs="Arial" w:hAnsi="Arial"/>
                <w:b/>
                <w:bCs/>
                <w:sz w:val="20"/>
                <w:szCs w:val="20"/>
              </w:rPr>
            </w:pPr>
            <w:r>
              <w:rPr>
                <w:rFonts w:ascii="Arial" w:cs="Arial" w:hAnsi="Arial"/>
                <w:b/>
                <w:bCs/>
                <w:sz w:val="20"/>
                <w:szCs w:val="20"/>
              </w:rPr>
              <w:t>$</w:t>
              <w:tab/>
              <w:t>1,925</w:t>
              <w:tab/>
            </w:r>
          </w:p>
        </w:tc>
        <w:tc>
          <w:tcPr>
            <w:tcW w:type="dxa" w:w="2287"/>
            <w:tcBorders>
              <w:top w:val="nil"/>
              <w:left w:val="nil"/>
              <w:bottom w:val="nil"/>
              <w:right w:val="nil"/>
            </w:tcBorders>
            <w:shd w:fill="auto" w:val="clear"/>
            <w:tcMar>
              <w:left w:type="dxa" w:w="144"/>
            </w:tcMar>
            <w:vAlign w:val="bottom"/>
          </w:tcPr>
          <w:p>
            <w:pPr>
              <w:pStyle w:val="style62"/>
              <w:tabs>
                <w:tab w:leader="none" w:pos="2122" w:val="right"/>
                <w:tab w:leader="none" w:pos="2293" w:val="decimal"/>
              </w:tabs>
              <w:spacing w:after="280" w:before="280"/>
              <w:contextualSpacing w:val="false"/>
              <w:rPr>
                <w:rFonts w:ascii="Arial" w:cs="Arial" w:hAnsi="Arial"/>
                <w:b/>
                <w:bCs/>
                <w:sz w:val="20"/>
                <w:szCs w:val="20"/>
              </w:rPr>
            </w:pPr>
            <w:r>
              <w:rPr>
                <w:rFonts w:ascii="Arial" w:cs="Arial" w:hAnsi="Arial"/>
                <w:b/>
                <w:bCs/>
                <w:sz w:val="20"/>
                <w:szCs w:val="20"/>
              </w:rPr>
              <w:tab/>
              <w:t>March 14, 2013</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March 11, 2013</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b/>
                <w:bCs/>
                <w:sz w:val="20"/>
                <w:szCs w:val="20"/>
              </w:rPr>
            </w:pPr>
            <w:r>
              <w:rPr>
                <w:rFonts w:ascii="Arial" w:cs="Arial" w:hAnsi="Arial"/>
                <w:b/>
                <w:bCs/>
                <w:sz w:val="20"/>
                <w:szCs w:val="20"/>
              </w:rPr>
              <w:t>$</w:t>
              <w:tab/>
              <w:t>0.23</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b/>
                <w:bCs/>
                <w:sz w:val="20"/>
                <w:szCs w:val="20"/>
              </w:rPr>
            </w:pPr>
            <w:r>
              <w:rPr>
                <w:rFonts w:ascii="Arial" w:cs="Arial" w:hAnsi="Arial"/>
                <w:b/>
                <w:bCs/>
                <w:sz w:val="20"/>
                <w:szCs w:val="20"/>
              </w:rPr>
              <w:tab/>
              <w:t>May 16, 2013</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04" w:right="0"/>
              <w:contextualSpacing w:val="false"/>
              <w:rPr>
                <w:rFonts w:ascii="Arial" w:cs="Arial" w:hAnsi="Arial"/>
                <w:b/>
                <w:bCs/>
                <w:sz w:val="20"/>
                <w:szCs w:val="20"/>
              </w:rPr>
            </w:pPr>
            <w:r>
              <w:rPr>
                <w:rFonts w:ascii="Arial" w:cs="Arial" w:hAnsi="Arial"/>
                <w:b/>
                <w:bCs/>
                <w:sz w:val="20"/>
                <w:szCs w:val="20"/>
              </w:rPr>
              <w:t>$</w:t>
              <w:tab/>
              <w:t>1,921</w:t>
              <w:tab/>
            </w:r>
          </w:p>
        </w:tc>
        <w:tc>
          <w:tcPr>
            <w:tcW w:type="dxa" w:w="2287"/>
            <w:tcBorders>
              <w:top w:val="nil"/>
              <w:left w:val="nil"/>
              <w:bottom w:val="nil"/>
              <w:right w:val="nil"/>
            </w:tcBorders>
            <w:shd w:fill="auto" w:val="clear"/>
            <w:tcMar>
              <w:left w:type="dxa" w:w="144"/>
            </w:tcMar>
            <w:vAlign w:val="bottom"/>
          </w:tcPr>
          <w:p>
            <w:pPr>
              <w:pStyle w:val="style62"/>
              <w:tabs>
                <w:tab w:leader="none" w:pos="2122" w:val="right"/>
                <w:tab w:leader="none" w:pos="2293" w:val="decimal"/>
              </w:tabs>
              <w:spacing w:after="280" w:before="280"/>
              <w:contextualSpacing w:val="false"/>
              <w:rPr>
                <w:rFonts w:ascii="Arial" w:cs="Arial" w:hAnsi="Arial"/>
                <w:b/>
                <w:bCs/>
                <w:sz w:val="20"/>
                <w:szCs w:val="20"/>
              </w:rPr>
            </w:pPr>
            <w:r>
              <w:rPr>
                <w:rFonts w:ascii="Arial" w:cs="Arial" w:hAnsi="Arial"/>
                <w:b/>
                <w:bCs/>
                <w:sz w:val="20"/>
                <w:szCs w:val="20"/>
              </w:rPr>
              <w:tab/>
              <w:t>June 13, 2013</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June 12, 2013</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b/>
                <w:bCs/>
                <w:sz w:val="20"/>
                <w:szCs w:val="20"/>
              </w:rPr>
            </w:pPr>
            <w:r>
              <w:rPr>
                <w:rFonts w:ascii="Arial" w:cs="Arial" w:hAnsi="Arial"/>
                <w:b/>
                <w:bCs/>
                <w:sz w:val="20"/>
                <w:szCs w:val="20"/>
              </w:rPr>
              <w:t>$</w:t>
              <w:tab/>
              <w:t>0.23</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b/>
                <w:bCs/>
                <w:sz w:val="20"/>
                <w:szCs w:val="20"/>
              </w:rPr>
            </w:pPr>
            <w:r>
              <w:rPr>
                <w:rFonts w:ascii="Arial" w:cs="Arial" w:hAnsi="Arial"/>
                <w:b/>
                <w:bCs/>
                <w:sz w:val="20"/>
                <w:szCs w:val="20"/>
              </w:rPr>
              <w:tab/>
              <w:t>August 15, 2013</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04" w:right="0"/>
              <w:contextualSpacing w:val="false"/>
              <w:rPr>
                <w:rFonts w:ascii="Arial" w:cs="Arial" w:hAnsi="Arial"/>
                <w:b/>
                <w:bCs/>
                <w:sz w:val="20"/>
                <w:szCs w:val="20"/>
              </w:rPr>
            </w:pPr>
            <w:r>
              <w:rPr>
                <w:rFonts w:ascii="Arial" w:cs="Arial" w:hAnsi="Arial"/>
                <w:b/>
                <w:bCs/>
                <w:sz w:val="20"/>
                <w:szCs w:val="20"/>
              </w:rPr>
              <w:t>$</w:t>
              <w:tab/>
              <w:t>1,916</w:t>
              <w:tab/>
            </w:r>
          </w:p>
        </w:tc>
        <w:tc>
          <w:tcPr>
            <w:tcW w:type="dxa" w:w="2287"/>
            <w:tcBorders>
              <w:top w:val="nil"/>
              <w:left w:val="nil"/>
              <w:bottom w:val="nil"/>
              <w:right w:val="nil"/>
            </w:tcBorders>
            <w:shd w:fill="auto" w:val="clear"/>
            <w:tcMar>
              <w:left w:type="dxa" w:w="144"/>
            </w:tcMar>
            <w:vAlign w:val="bottom"/>
          </w:tcPr>
          <w:p>
            <w:pPr>
              <w:pStyle w:val="style62"/>
              <w:tabs>
                <w:tab w:leader="none" w:pos="2122" w:val="right"/>
                <w:tab w:leader="none" w:pos="2293" w:val="decimal"/>
              </w:tabs>
              <w:spacing w:after="280" w:before="280"/>
              <w:contextualSpacing w:val="false"/>
              <w:rPr>
                <w:rFonts w:ascii="Arial" w:cs="Arial" w:hAnsi="Arial"/>
                <w:b/>
                <w:bCs/>
                <w:sz w:val="20"/>
                <w:szCs w:val="20"/>
              </w:rPr>
            </w:pPr>
            <w:r>
              <w:rPr>
                <w:rFonts w:ascii="Arial" w:cs="Arial" w:hAnsi="Arial"/>
                <w:b/>
                <w:bCs/>
                <w:sz w:val="20"/>
                <w:szCs w:val="20"/>
              </w:rPr>
              <w:tab/>
              <w:t>September 12,  2013</w:t>
              <w:tab/>
            </w:r>
          </w:p>
        </w:tc>
      </w:tr>
      <w:tr>
        <w:trPr>
          <w:trHeight w:hRule="atLeast" w:val="120"/>
          <w:cantSplit w:val="false"/>
        </w:trPr>
        <w:tc>
          <w:tcPr>
            <w:tcW w:type="dxa" w:w="3615"/>
            <w:tcBorders>
              <w:top w:val="nil"/>
              <w:left w:val="nil"/>
              <w:bottom w:val="nil"/>
              <w:right w:val="nil"/>
            </w:tcBorders>
            <w:shd w:fill="auto" w:val="clear"/>
            <w:vAlign w:val="center"/>
          </w:tcPr>
          <w:p>
            <w:pPr>
              <w:pStyle w:val="style0"/>
              <w:rPr>
                <w:sz w:val="12"/>
                <w:szCs w:val="24"/>
              </w:rPr>
            </w:pPr>
            <w:r>
              <w:rPr>
                <w:sz w:val="12"/>
                <w:szCs w:val="24"/>
              </w:rPr>
            </w:r>
          </w:p>
        </w:tc>
        <w:tc>
          <w:tcPr>
            <w:tcW w:type="dxa" w:w="1139"/>
            <w:tcBorders>
              <w:top w:val="nil"/>
              <w:left w:val="nil"/>
              <w:bottom w:val="nil"/>
              <w:right w:val="nil"/>
            </w:tcBorders>
            <w:shd w:fill="auto" w:val="clear"/>
            <w:vAlign w:val="center"/>
          </w:tcPr>
          <w:p>
            <w:pPr>
              <w:pStyle w:val="style0"/>
              <w:ind w:hanging="0" w:left="360" w:right="0"/>
              <w:rPr>
                <w:sz w:val="12"/>
                <w:szCs w:val="24"/>
              </w:rPr>
            </w:pPr>
            <w:r>
              <w:rPr>
                <w:sz w:val="12"/>
                <w:szCs w:val="24"/>
              </w:rPr>
            </w:r>
          </w:p>
        </w:tc>
        <w:tc>
          <w:tcPr>
            <w:tcW w:type="dxa" w:w="2280"/>
            <w:tcBorders>
              <w:top w:val="nil"/>
              <w:left w:val="nil"/>
              <w:bottom w:val="nil"/>
              <w:right w:val="nil"/>
            </w:tcBorders>
            <w:shd w:fill="auto" w:val="clear"/>
            <w:vAlign w:val="center"/>
          </w:tcPr>
          <w:p>
            <w:pPr>
              <w:pStyle w:val="style0"/>
              <w:rPr>
                <w:sz w:val="12"/>
                <w:szCs w:val="24"/>
              </w:rPr>
            </w:pPr>
            <w:r>
              <w:rPr>
                <w:sz w:val="12"/>
                <w:szCs w:val="24"/>
              </w:rPr>
            </w:r>
          </w:p>
        </w:tc>
        <w:tc>
          <w:tcPr>
            <w:tcW w:type="dxa" w:w="1480"/>
            <w:tcBorders>
              <w:top w:val="nil"/>
              <w:left w:val="nil"/>
              <w:bottom w:val="nil"/>
              <w:right w:val="nil"/>
            </w:tcBorders>
            <w:shd w:fill="auto" w:val="clear"/>
            <w:vAlign w:val="center"/>
          </w:tcPr>
          <w:p>
            <w:pPr>
              <w:pStyle w:val="style0"/>
              <w:ind w:hanging="0" w:left="504" w:right="0"/>
              <w:rPr>
                <w:sz w:val="12"/>
                <w:szCs w:val="24"/>
              </w:rPr>
            </w:pPr>
            <w:r>
              <w:rPr>
                <w:sz w:val="12"/>
                <w:szCs w:val="24"/>
              </w:rPr>
            </w:r>
          </w:p>
        </w:tc>
        <w:tc>
          <w:tcPr>
            <w:tcW w:type="dxa" w:w="2287"/>
            <w:tcBorders>
              <w:top w:val="nil"/>
              <w:left w:val="nil"/>
              <w:bottom w:val="nil"/>
              <w:right w:val="nil"/>
            </w:tcBorders>
            <w:shd w:fill="auto" w:val="clear"/>
            <w:vAlign w:val="center"/>
          </w:tcPr>
          <w:p>
            <w:pPr>
              <w:pStyle w:val="style0"/>
              <w:tabs>
                <w:tab w:leader="none" w:pos="2122" w:val="right"/>
                <w:tab w:leader="none" w:pos="2293" w:val="decimal"/>
              </w:tabs>
              <w:rPr>
                <w:sz w:val="12"/>
                <w:szCs w:val="24"/>
              </w:rPr>
            </w:pPr>
            <w:r>
              <w:rPr>
                <w:sz w:val="12"/>
                <w:szCs w:val="24"/>
              </w:rPr>
            </w:r>
          </w:p>
        </w:tc>
      </w:tr>
      <w:tr>
        <w:trPr>
          <w:cantSplit w:val="false"/>
        </w:trPr>
        <w:tc>
          <w:tcPr>
            <w:tcW w:type="dxa" w:w="361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Fiscal Year 2012</w:t>
            </w:r>
          </w:p>
        </w:tc>
        <w:tc>
          <w:tcPr>
            <w:tcW w:type="dxa" w:w="1139"/>
            <w:tcBorders>
              <w:top w:val="nil"/>
              <w:left w:val="nil"/>
              <w:bottom w:val="nil"/>
              <w:right w:val="nil"/>
            </w:tcBorders>
            <w:shd w:fill="auto" w:val="clear"/>
            <w:tcMar>
              <w:left w:type="dxa" w:w="144"/>
            </w:tcMar>
            <w:vAlign w:val="bottom"/>
          </w:tcPr>
          <w:p>
            <w:pPr>
              <w:pStyle w:val="style65"/>
              <w:ind w:hanging="0" w:left="360" w:right="0"/>
              <w:rPr/>
            </w:pPr>
            <w:r>
              <w:rPr/>
              <w:t> </w:t>
            </w:r>
          </w:p>
        </w:tc>
        <w:tc>
          <w:tcPr>
            <w:tcW w:type="dxa" w:w="2280"/>
            <w:tcBorders>
              <w:top w:val="nil"/>
              <w:left w:val="nil"/>
              <w:bottom w:val="nil"/>
              <w:right w:val="nil"/>
            </w:tcBorders>
            <w:shd w:fill="auto" w:val="clear"/>
            <w:tcMar>
              <w:left w:type="dxa" w:w="144"/>
            </w:tcMar>
            <w:vAlign w:val="bottom"/>
          </w:tcPr>
          <w:p>
            <w:pPr>
              <w:pStyle w:val="style65"/>
              <w:rPr/>
            </w:pPr>
            <w:r>
              <w:rPr/>
              <w:t> </w:t>
            </w:r>
          </w:p>
        </w:tc>
        <w:tc>
          <w:tcPr>
            <w:tcW w:type="dxa" w:w="1480"/>
            <w:tcBorders>
              <w:top w:val="nil"/>
              <w:left w:val="nil"/>
              <w:bottom w:val="nil"/>
              <w:right w:val="nil"/>
            </w:tcBorders>
            <w:shd w:fill="auto" w:val="clear"/>
            <w:tcMar>
              <w:left w:type="dxa" w:w="144"/>
            </w:tcMar>
            <w:vAlign w:val="bottom"/>
          </w:tcPr>
          <w:p>
            <w:pPr>
              <w:pStyle w:val="style65"/>
              <w:ind w:hanging="0" w:left="504" w:right="0"/>
              <w:rPr/>
            </w:pPr>
            <w:r>
              <w:rPr/>
              <w:t> </w:t>
            </w:r>
          </w:p>
        </w:tc>
        <w:tc>
          <w:tcPr>
            <w:tcW w:type="dxa" w:w="2287"/>
            <w:tcBorders>
              <w:top w:val="nil"/>
              <w:left w:val="nil"/>
              <w:bottom w:val="nil"/>
              <w:right w:val="nil"/>
            </w:tcBorders>
            <w:shd w:fill="auto" w:val="clear"/>
            <w:tcMar>
              <w:left w:type="dxa" w:w="144"/>
            </w:tcMar>
            <w:vAlign w:val="bottom"/>
          </w:tcPr>
          <w:p>
            <w:pPr>
              <w:pStyle w:val="style65"/>
              <w:tabs>
                <w:tab w:leader="none" w:pos="2122" w:val="right"/>
                <w:tab w:leader="none" w:pos="2293" w:val="decimal"/>
              </w:tabs>
              <w:rPr/>
            </w:pPr>
            <w:r>
              <w:rPr/>
              <w:t> </w:t>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September 20, 2011</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sz w:val="20"/>
                <w:szCs w:val="20"/>
              </w:rPr>
            </w:pPr>
            <w:r>
              <w:rPr>
                <w:rFonts w:ascii="Arial" w:cs="Arial" w:hAnsi="Arial"/>
                <w:sz w:val="20"/>
                <w:szCs w:val="20"/>
              </w:rPr>
              <w:t>$</w:t>
              <w:tab/>
              <w:t>0.20</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sz w:val="20"/>
                <w:szCs w:val="20"/>
              </w:rPr>
            </w:pPr>
            <w:r>
              <w:rPr>
                <w:rFonts w:ascii="Arial" w:cs="Arial" w:hAnsi="Arial"/>
                <w:sz w:val="20"/>
                <w:szCs w:val="20"/>
              </w:rPr>
              <w:tab/>
              <w:t>November 17, 2011</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04" w:right="0"/>
              <w:contextualSpacing w:val="false"/>
              <w:rPr>
                <w:rFonts w:ascii="Arial" w:cs="Arial" w:hAnsi="Arial"/>
                <w:sz w:val="20"/>
                <w:szCs w:val="20"/>
              </w:rPr>
            </w:pPr>
            <w:r>
              <w:rPr>
                <w:rFonts w:ascii="Arial" w:cs="Arial" w:hAnsi="Arial"/>
                <w:sz w:val="20"/>
                <w:szCs w:val="20"/>
              </w:rPr>
              <w:t>$</w:t>
              <w:tab/>
              <w:t>1,683</w:t>
              <w:tab/>
            </w:r>
          </w:p>
        </w:tc>
        <w:tc>
          <w:tcPr>
            <w:tcW w:type="dxa" w:w="2287"/>
            <w:tcBorders>
              <w:top w:val="nil"/>
              <w:left w:val="nil"/>
              <w:bottom w:val="nil"/>
              <w:right w:val="nil"/>
            </w:tcBorders>
            <w:shd w:fill="auto" w:val="clear"/>
            <w:tcMar>
              <w:left w:type="dxa" w:w="144"/>
            </w:tcMar>
            <w:vAlign w:val="bottom"/>
          </w:tcPr>
          <w:p>
            <w:pPr>
              <w:pStyle w:val="style62"/>
              <w:tabs>
                <w:tab w:leader="none" w:pos="2122" w:val="right"/>
                <w:tab w:leader="none" w:pos="2293" w:val="decimal"/>
              </w:tabs>
              <w:spacing w:after="280" w:before="280"/>
              <w:contextualSpacing w:val="false"/>
              <w:rPr>
                <w:rFonts w:ascii="Arial" w:cs="Arial" w:hAnsi="Arial"/>
                <w:sz w:val="20"/>
                <w:szCs w:val="20"/>
              </w:rPr>
            </w:pPr>
            <w:r>
              <w:rPr>
                <w:rFonts w:ascii="Arial" w:cs="Arial" w:hAnsi="Arial"/>
                <w:sz w:val="20"/>
                <w:szCs w:val="20"/>
              </w:rPr>
              <w:tab/>
              <w:t>December 8, 2011</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December 14, 2011</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sz w:val="20"/>
                <w:szCs w:val="20"/>
              </w:rPr>
            </w:pPr>
            <w:r>
              <w:rPr>
                <w:rFonts w:ascii="Arial" w:cs="Arial" w:hAnsi="Arial"/>
                <w:sz w:val="20"/>
                <w:szCs w:val="20"/>
              </w:rPr>
              <w:t>$</w:t>
              <w:tab/>
              <w:t>0.20</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sz w:val="20"/>
                <w:szCs w:val="20"/>
              </w:rPr>
            </w:pPr>
            <w:r>
              <w:rPr>
                <w:rFonts w:ascii="Arial" w:cs="Arial" w:hAnsi="Arial"/>
                <w:sz w:val="20"/>
                <w:szCs w:val="20"/>
              </w:rPr>
              <w:tab/>
              <w:t>February 16, 2012</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04" w:right="0"/>
              <w:contextualSpacing w:val="false"/>
              <w:rPr>
                <w:rFonts w:ascii="Arial" w:cs="Arial" w:hAnsi="Arial"/>
                <w:sz w:val="20"/>
                <w:szCs w:val="20"/>
              </w:rPr>
            </w:pPr>
            <w:r>
              <w:rPr>
                <w:rFonts w:ascii="Arial" w:cs="Arial" w:hAnsi="Arial"/>
                <w:sz w:val="20"/>
                <w:szCs w:val="20"/>
              </w:rPr>
              <w:t>$</w:t>
              <w:tab/>
              <w:t>1,683</w:t>
              <w:tab/>
            </w:r>
          </w:p>
        </w:tc>
        <w:tc>
          <w:tcPr>
            <w:tcW w:type="dxa" w:w="2287"/>
            <w:tcBorders>
              <w:top w:val="nil"/>
              <w:left w:val="nil"/>
              <w:bottom w:val="nil"/>
              <w:right w:val="nil"/>
            </w:tcBorders>
            <w:shd w:fill="auto" w:val="clear"/>
            <w:tcMar>
              <w:left w:type="dxa" w:w="144"/>
            </w:tcMar>
            <w:vAlign w:val="bottom"/>
          </w:tcPr>
          <w:p>
            <w:pPr>
              <w:pStyle w:val="style62"/>
              <w:tabs>
                <w:tab w:leader="none" w:pos="2122" w:val="right"/>
                <w:tab w:leader="none" w:pos="2293" w:val="decimal"/>
              </w:tabs>
              <w:spacing w:after="280" w:before="280"/>
              <w:contextualSpacing w:val="false"/>
              <w:rPr>
                <w:rFonts w:ascii="Arial" w:cs="Arial" w:hAnsi="Arial"/>
                <w:sz w:val="20"/>
                <w:szCs w:val="20"/>
              </w:rPr>
            </w:pPr>
            <w:r>
              <w:rPr>
                <w:rFonts w:ascii="Arial" w:cs="Arial" w:hAnsi="Arial"/>
                <w:sz w:val="20"/>
                <w:szCs w:val="20"/>
              </w:rPr>
              <w:tab/>
              <w:t>March 8, 2012</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March 13, 2012</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sz w:val="20"/>
                <w:szCs w:val="20"/>
              </w:rPr>
            </w:pPr>
            <w:r>
              <w:rPr>
                <w:rFonts w:ascii="Arial" w:cs="Arial" w:hAnsi="Arial"/>
                <w:sz w:val="20"/>
                <w:szCs w:val="20"/>
              </w:rPr>
              <w:t>$</w:t>
              <w:tab/>
              <w:t>0.20</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sz w:val="20"/>
                <w:szCs w:val="20"/>
              </w:rPr>
            </w:pPr>
            <w:r>
              <w:rPr>
                <w:rFonts w:ascii="Arial" w:cs="Arial" w:hAnsi="Arial"/>
                <w:sz w:val="20"/>
                <w:szCs w:val="20"/>
              </w:rPr>
              <w:tab/>
              <w:t>May 17, 2012</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04" w:right="0"/>
              <w:contextualSpacing w:val="false"/>
              <w:rPr>
                <w:rFonts w:ascii="Arial" w:cs="Arial" w:hAnsi="Arial"/>
                <w:sz w:val="20"/>
                <w:szCs w:val="20"/>
              </w:rPr>
            </w:pPr>
            <w:r>
              <w:rPr>
                <w:rFonts w:ascii="Arial" w:cs="Arial" w:hAnsi="Arial"/>
                <w:sz w:val="20"/>
                <w:szCs w:val="20"/>
              </w:rPr>
              <w:t>$</w:t>
              <w:tab/>
              <w:t>1,678</w:t>
              <w:tab/>
            </w:r>
          </w:p>
        </w:tc>
        <w:tc>
          <w:tcPr>
            <w:tcW w:type="dxa" w:w="2287"/>
            <w:tcBorders>
              <w:top w:val="nil"/>
              <w:left w:val="nil"/>
              <w:bottom w:val="nil"/>
              <w:right w:val="nil"/>
            </w:tcBorders>
            <w:shd w:fill="auto" w:val="clear"/>
            <w:tcMar>
              <w:left w:type="dxa" w:w="144"/>
            </w:tcMar>
            <w:vAlign w:val="bottom"/>
          </w:tcPr>
          <w:p>
            <w:pPr>
              <w:pStyle w:val="style62"/>
              <w:tabs>
                <w:tab w:leader="none" w:pos="2122" w:val="right"/>
                <w:tab w:leader="none" w:pos="2293" w:val="decimal"/>
              </w:tabs>
              <w:spacing w:after="280" w:before="280"/>
              <w:contextualSpacing w:val="false"/>
              <w:rPr>
                <w:rFonts w:ascii="Arial" w:cs="Arial" w:hAnsi="Arial"/>
                <w:sz w:val="20"/>
                <w:szCs w:val="20"/>
              </w:rPr>
            </w:pPr>
            <w:r>
              <w:rPr>
                <w:rFonts w:ascii="Arial" w:cs="Arial" w:hAnsi="Arial"/>
                <w:sz w:val="20"/>
                <w:szCs w:val="20"/>
              </w:rPr>
              <w:tab/>
              <w:t>June 14, 2012</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June 13, 2012</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sz w:val="20"/>
                <w:szCs w:val="20"/>
              </w:rPr>
            </w:pPr>
            <w:r>
              <w:rPr>
                <w:rFonts w:ascii="Arial" w:cs="Arial" w:hAnsi="Arial"/>
                <w:sz w:val="20"/>
                <w:szCs w:val="20"/>
              </w:rPr>
              <w:t>$</w:t>
              <w:tab/>
              <w:t>0.20</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sz w:val="20"/>
                <w:szCs w:val="20"/>
              </w:rPr>
            </w:pPr>
            <w:r>
              <w:rPr>
                <w:rFonts w:ascii="Arial" w:cs="Arial" w:hAnsi="Arial"/>
                <w:sz w:val="20"/>
                <w:szCs w:val="20"/>
              </w:rPr>
              <w:tab/>
              <w:t>August 16, 2012</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04" w:right="0"/>
              <w:contextualSpacing w:val="false"/>
              <w:rPr>
                <w:rFonts w:ascii="Arial" w:cs="Arial" w:hAnsi="Arial"/>
                <w:sz w:val="20"/>
                <w:szCs w:val="20"/>
              </w:rPr>
            </w:pPr>
            <w:r>
              <w:rPr>
                <w:rFonts w:ascii="Arial" w:cs="Arial" w:hAnsi="Arial"/>
                <w:sz w:val="20"/>
                <w:szCs w:val="20"/>
              </w:rPr>
              <w:t>$</w:t>
              <w:tab/>
              <w:t>1,676</w:t>
              <w:tab/>
            </w:r>
          </w:p>
        </w:tc>
        <w:tc>
          <w:tcPr>
            <w:tcW w:type="dxa" w:w="2287"/>
            <w:tcBorders>
              <w:top w:val="nil"/>
              <w:left w:val="nil"/>
              <w:bottom w:val="nil"/>
              <w:right w:val="nil"/>
            </w:tcBorders>
            <w:shd w:fill="auto" w:val="clear"/>
            <w:tcMar>
              <w:left w:type="dxa" w:w="144"/>
            </w:tcMar>
            <w:vAlign w:val="bottom"/>
          </w:tcPr>
          <w:p>
            <w:pPr>
              <w:pStyle w:val="style62"/>
              <w:tabs>
                <w:tab w:leader="none" w:pos="2122" w:val="right"/>
                <w:tab w:leader="none" w:pos="2293" w:val="decimal"/>
              </w:tabs>
              <w:spacing w:after="280" w:before="280"/>
              <w:contextualSpacing w:val="false"/>
              <w:rPr>
                <w:rFonts w:ascii="Arial" w:cs="Arial" w:hAnsi="Arial"/>
                <w:sz w:val="20"/>
                <w:szCs w:val="20"/>
              </w:rPr>
            </w:pPr>
            <w:r>
              <w:rPr>
                <w:rFonts w:ascii="Arial" w:cs="Arial" w:hAnsi="Arial"/>
                <w:sz w:val="20"/>
                <w:szCs w:val="20"/>
              </w:rPr>
              <w:tab/>
              <w:t>September 13, 2012</w:t>
              <w:tab/>
            </w:r>
          </w:p>
        </w:tc>
      </w:tr>
    </w:tbl>
    <w:p>
      <w:pPr>
        <w:pStyle w:val="style59"/>
        <w:pBdr>
          <w:top w:color="000001" w:space="0" w:sz="4" w:val="single"/>
          <w:left w:val="nil"/>
          <w:bottom w:val="nil"/>
          <w:insideH w:val="nil"/>
          <w:right w:val="nil"/>
          <w:insideV w:val="nil"/>
        </w:pBdr>
        <w:rPr/>
      </w:pPr>
      <w:bookmarkStart w:id="11" w:name="OLE_LINK13"/>
      <w:bookmarkStart w:id="12" w:name="OLE_LINK12"/>
      <w:bookmarkEnd w:id="11"/>
      <w:bookmarkEnd w:id="12"/>
      <w:r>
        <w:rPr/>
        <w:t> </w:t>
      </w:r>
    </w:p>
    <w:p>
      <w:pPr>
        <w:pStyle w:val="style59"/>
        <w:pBdr>
          <w:top w:color="000001" w:space="0" w:sz="4" w:val="single"/>
          <w:left w:val="nil"/>
          <w:bottom w:val="nil"/>
          <w:insideH w:val="nil"/>
          <w:right w:val="nil"/>
          <w:insideV w:val="nil"/>
        </w:pBdr>
        <w:rPr/>
      </w:pPr>
      <w:r>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Off-Balance Sheet Arrangements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provide indemnifications of varying scope and size to certain customers against claims of intellectual property infringement made by third parties arising from the use of our products and certain other matters. In evaluating estimated losses on these indemnifications, we consider factors such as the degree of probability of an unfavorable outcome and our ability to make a reasonable estimate of the amount of loss. These obligations did not have a material impact on our financial statements during the periods presented.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Contractual Obligations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following table summarizes the payments due by fiscal year for our outstanding contractual obligations as of </w:t>
        <w:br/>
        <w:t xml:space="preserve">June 30, 2013: </w:t>
      </w:r>
    </w:p>
    <w:p>
      <w:pPr>
        <w:pStyle w:val="style62"/>
        <w:keepNext/>
        <w:spacing w:after="280" w:before="280"/>
        <w:contextualSpacing w:val="false"/>
        <w:jc w:val="both"/>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4659"/>
        <w:gridCol w:w="1219"/>
        <w:gridCol w:w="1240"/>
        <w:gridCol w:w="1240"/>
        <w:gridCol w:w="1219"/>
        <w:gridCol w:w="1222"/>
      </w:tblGrid>
      <w:tr>
        <w:trPr>
          <w:tblHeader w:val="true"/>
          <w:cantSplit w:val="false"/>
        </w:trPr>
        <w:tc>
          <w:tcPr>
            <w:tcW w:type="dxa" w:w="4659"/>
            <w:tcBorders>
              <w:top w:val="nil"/>
              <w:left w:val="nil"/>
              <w:bottom w:val="nil"/>
              <w:right w:val="nil"/>
            </w:tcBorders>
            <w:shd w:fill="auto" w:val="clear"/>
            <w:vAlign w:val="center"/>
          </w:tcPr>
          <w:p>
            <w:pPr>
              <w:pStyle w:val="style0"/>
              <w:rPr>
                <w:sz w:val="1"/>
                <w:szCs w:val="24"/>
              </w:rPr>
            </w:pPr>
            <w:r>
              <w:rPr>
                <w:sz w:val="1"/>
                <w:szCs w:val="24"/>
              </w:rPr>
            </w:r>
          </w:p>
        </w:tc>
        <w:tc>
          <w:tcPr>
            <w:tcW w:type="dxa" w:w="1219"/>
            <w:tcBorders>
              <w:top w:val="nil"/>
              <w:left w:val="nil"/>
              <w:bottom w:val="nil"/>
              <w:right w:val="nil"/>
            </w:tcBorders>
            <w:shd w:fill="auto" w:val="clear"/>
            <w:vAlign w:val="center"/>
          </w:tcPr>
          <w:p>
            <w:pPr>
              <w:pStyle w:val="style0"/>
              <w:rPr>
                <w:sz w:val="1"/>
                <w:szCs w:val="24"/>
              </w:rPr>
            </w:pPr>
            <w:r>
              <w:rPr>
                <w:sz w:val="1"/>
                <w:szCs w:val="24"/>
              </w:rPr>
            </w:r>
          </w:p>
        </w:tc>
        <w:tc>
          <w:tcPr>
            <w:tcW w:type="dxa" w:w="1240"/>
            <w:tcBorders>
              <w:top w:val="nil"/>
              <w:left w:val="nil"/>
              <w:bottom w:val="nil"/>
              <w:right w:val="nil"/>
            </w:tcBorders>
            <w:shd w:fill="auto" w:val="clear"/>
            <w:vAlign w:val="center"/>
          </w:tcPr>
          <w:p>
            <w:pPr>
              <w:pStyle w:val="style0"/>
              <w:rPr>
                <w:sz w:val="1"/>
                <w:szCs w:val="24"/>
              </w:rPr>
            </w:pPr>
            <w:r>
              <w:rPr>
                <w:sz w:val="1"/>
                <w:szCs w:val="24"/>
              </w:rPr>
            </w:r>
          </w:p>
        </w:tc>
        <w:tc>
          <w:tcPr>
            <w:tcW w:type="dxa" w:w="1240"/>
            <w:tcBorders>
              <w:top w:val="nil"/>
              <w:left w:val="nil"/>
              <w:bottom w:val="nil"/>
              <w:right w:val="nil"/>
            </w:tcBorders>
            <w:shd w:fill="auto" w:val="clear"/>
            <w:vAlign w:val="center"/>
          </w:tcPr>
          <w:p>
            <w:pPr>
              <w:pStyle w:val="style0"/>
              <w:rPr>
                <w:sz w:val="1"/>
                <w:szCs w:val="24"/>
              </w:rPr>
            </w:pPr>
            <w:r>
              <w:rPr>
                <w:sz w:val="1"/>
                <w:szCs w:val="24"/>
              </w:rPr>
            </w:r>
          </w:p>
        </w:tc>
        <w:tc>
          <w:tcPr>
            <w:tcW w:type="dxa" w:w="1219"/>
            <w:tcBorders>
              <w:top w:val="nil"/>
              <w:left w:val="nil"/>
              <w:bottom w:val="nil"/>
              <w:right w:val="nil"/>
            </w:tcBorders>
            <w:shd w:fill="auto" w:val="clear"/>
            <w:vAlign w:val="center"/>
          </w:tcPr>
          <w:p>
            <w:pPr>
              <w:pStyle w:val="style0"/>
              <w:rPr>
                <w:sz w:val="1"/>
                <w:szCs w:val="24"/>
              </w:rPr>
            </w:pPr>
            <w:r>
              <w:rPr>
                <w:sz w:val="1"/>
                <w:szCs w:val="24"/>
              </w:rPr>
            </w:r>
          </w:p>
        </w:tc>
        <w:tc>
          <w:tcPr>
            <w:tcW w:type="dxa" w:w="122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465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19"/>
            <w:tcBorders>
              <w:top w:val="nil"/>
              <w:left w:val="nil"/>
              <w:bottom w:val="nil"/>
              <w:right w:val="nil"/>
            </w:tcBorders>
            <w:shd w:fill="auto" w:val="clear"/>
            <w:tcMar>
              <w:left w:type="dxa" w:w="144"/>
            </w:tcMar>
            <w:vAlign w:val="bottom"/>
          </w:tcPr>
          <w:p>
            <w:pPr>
              <w:pStyle w:val="style0"/>
              <w:ind w:hanging="0" w:left="216" w:right="43"/>
              <w:jc w:val="right"/>
              <w:rPr>
                <w:rFonts w:ascii="Arial" w:cs="Arial" w:hAnsi="Arial"/>
                <w:b/>
                <w:bCs/>
                <w:sz w:val="15"/>
                <w:szCs w:val="15"/>
              </w:rPr>
            </w:pPr>
            <w:r>
              <w:rPr>
                <w:rFonts w:ascii="Arial" w:cs="Arial" w:hAnsi="Arial"/>
                <w:b/>
                <w:bCs/>
                <w:sz w:val="15"/>
                <w:szCs w:val="15"/>
              </w:rPr>
              <w:t>2014</w:t>
            </w:r>
          </w:p>
        </w:tc>
        <w:tc>
          <w:tcPr>
            <w:tcW w:type="dxa" w:w="1240"/>
            <w:tcBorders>
              <w:top w:val="nil"/>
              <w:left w:val="nil"/>
              <w:bottom w:val="nil"/>
              <w:right w:val="nil"/>
            </w:tcBorders>
            <w:shd w:fill="auto" w:val="clear"/>
            <w:tcMar>
              <w:left w:type="dxa" w:w="144"/>
            </w:tcMar>
            <w:vAlign w:val="bottom"/>
          </w:tcPr>
          <w:p>
            <w:pPr>
              <w:pStyle w:val="style0"/>
              <w:ind w:hanging="0" w:left="216" w:right="58"/>
              <w:jc w:val="right"/>
              <w:rPr>
                <w:rFonts w:ascii="Arial" w:cs="Arial" w:hAnsi="Arial"/>
                <w:b/>
                <w:bCs/>
                <w:sz w:val="15"/>
                <w:szCs w:val="15"/>
              </w:rPr>
            </w:pPr>
            <w:r>
              <w:rPr>
                <w:rFonts w:ascii="Arial" w:cs="Arial" w:hAnsi="Arial"/>
                <w:b/>
                <w:bCs/>
                <w:sz w:val="15"/>
                <w:szCs w:val="15"/>
              </w:rPr>
              <w:t>2015-2016</w:t>
            </w:r>
          </w:p>
        </w:tc>
        <w:tc>
          <w:tcPr>
            <w:tcW w:type="dxa" w:w="1240"/>
            <w:tcBorders>
              <w:top w:val="nil"/>
              <w:left w:val="nil"/>
              <w:bottom w:val="nil"/>
              <w:right w:val="nil"/>
            </w:tcBorders>
            <w:shd w:fill="auto" w:val="clear"/>
            <w:tcMar>
              <w:left w:type="dxa" w:w="144"/>
            </w:tcMar>
            <w:vAlign w:val="bottom"/>
          </w:tcPr>
          <w:p>
            <w:pPr>
              <w:pStyle w:val="style0"/>
              <w:ind w:hanging="0" w:left="216" w:right="43"/>
              <w:jc w:val="right"/>
              <w:rPr>
                <w:rFonts w:ascii="Arial" w:cs="Arial" w:hAnsi="Arial"/>
                <w:b/>
                <w:bCs/>
                <w:sz w:val="15"/>
                <w:szCs w:val="15"/>
              </w:rPr>
            </w:pPr>
            <w:r>
              <w:rPr>
                <w:rFonts w:ascii="Arial" w:cs="Arial" w:hAnsi="Arial"/>
                <w:b/>
                <w:bCs/>
                <w:sz w:val="15"/>
                <w:szCs w:val="15"/>
              </w:rPr>
              <w:t>2017-2018</w:t>
            </w:r>
          </w:p>
        </w:tc>
        <w:tc>
          <w:tcPr>
            <w:tcW w:type="dxa" w:w="1219"/>
            <w:tcBorders>
              <w:top w:val="nil"/>
              <w:left w:val="nil"/>
              <w:bottom w:val="nil"/>
              <w:right w:val="nil"/>
            </w:tcBorders>
            <w:shd w:fill="auto" w:val="clear"/>
            <w:tcMar>
              <w:left w:type="dxa" w:w="144"/>
            </w:tcMar>
            <w:vAlign w:val="bottom"/>
          </w:tcPr>
          <w:p>
            <w:pPr>
              <w:pStyle w:val="style0"/>
              <w:ind w:hanging="0" w:left="216" w:right="43"/>
              <w:jc w:val="right"/>
              <w:rPr>
                <w:rFonts w:ascii="Arial" w:cs="Arial" w:hAnsi="Arial"/>
                <w:b/>
                <w:bCs/>
                <w:sz w:val="15"/>
                <w:szCs w:val="15"/>
              </w:rPr>
            </w:pPr>
            <w:r>
              <w:rPr>
                <w:rFonts w:ascii="Arial" w:cs="Arial" w:hAnsi="Arial"/>
                <w:b/>
                <w:bCs/>
                <w:sz w:val="15"/>
                <w:szCs w:val="15"/>
              </w:rPr>
              <w:t>Thereafter</w:t>
            </w:r>
          </w:p>
        </w:tc>
        <w:tc>
          <w:tcPr>
            <w:tcW w:type="dxa" w:w="1222"/>
            <w:tcBorders>
              <w:top w:val="nil"/>
              <w:left w:val="nil"/>
              <w:bottom w:val="nil"/>
              <w:right w:val="nil"/>
            </w:tcBorders>
            <w:shd w:fill="auto" w:val="clear"/>
            <w:tcMar>
              <w:left w:type="dxa" w:w="144"/>
            </w:tcMar>
            <w:vAlign w:val="bottom"/>
          </w:tcPr>
          <w:p>
            <w:pPr>
              <w:pStyle w:val="style0"/>
              <w:ind w:hanging="0" w:left="216" w:right="86"/>
              <w:jc w:val="right"/>
              <w:rPr>
                <w:rFonts w:ascii="Arial" w:cs="Arial" w:hAnsi="Arial"/>
                <w:b/>
                <w:bCs/>
                <w:sz w:val="15"/>
                <w:szCs w:val="15"/>
              </w:rPr>
            </w:pPr>
            <w:r>
              <w:rPr>
                <w:rFonts w:ascii="Arial" w:cs="Arial" w:hAnsi="Arial"/>
                <w:b/>
                <w:bCs/>
                <w:sz w:val="15"/>
                <w:szCs w:val="15"/>
              </w:rPr>
              <w:t>Total</w:t>
            </w:r>
          </w:p>
        </w:tc>
      </w:tr>
      <w:tr>
        <w:trPr>
          <w:cantSplit w:val="false"/>
        </w:trPr>
        <w:tc>
          <w:tcPr>
            <w:tcW w:type="dxa" w:w="10799"/>
            <w:gridSpan w:val="6"/>
            <w:tcBorders>
              <w:top w:val="nil"/>
              <w:left w:val="nil"/>
              <w:bottom w:val="nil"/>
              <w:right w:val="nil"/>
            </w:tcBorders>
            <w:shd w:fill="auto" w:val="clear"/>
            <w:tcMar>
              <w:left w:type="dxa" w:w="144"/>
            </w:tcMar>
            <w:vAlign w:val="bottom"/>
          </w:tcPr>
          <w:p>
            <w:pPr>
              <w:pStyle w:val="style59"/>
              <w:spacing w:after="0" w:before="20"/>
              <w:ind w:hanging="0" w:left="-202" w:right="115"/>
              <w:contextualSpacing w:val="false"/>
              <w:rPr/>
            </w:pPr>
            <w:r>
              <w:rPr/>
              <w:t> </w:t>
            </w:r>
          </w:p>
        </w:tc>
      </w:tr>
      <w:tr>
        <w:trPr>
          <w:trHeight w:hRule="atLeast" w:val="75"/>
          <w:cantSplit w:val="false"/>
        </w:trPr>
        <w:tc>
          <w:tcPr>
            <w:tcW w:type="dxa" w:w="4659"/>
            <w:tcBorders>
              <w:top w:val="nil"/>
              <w:left w:val="nil"/>
              <w:bottom w:val="nil"/>
              <w:right w:val="nil"/>
            </w:tcBorders>
            <w:shd w:fill="auto" w:val="clear"/>
            <w:vAlign w:val="center"/>
          </w:tcPr>
          <w:p>
            <w:pPr>
              <w:pStyle w:val="style0"/>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4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4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22"/>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4659"/>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Long-term debt: </w:t>
            </w:r>
            <w:r>
              <w:rPr>
                <w:rFonts w:ascii="Arial" w:cs="Arial" w:hAnsi="Arial"/>
                <w:sz w:val="15"/>
                <w:szCs w:val="15"/>
                <w:vertAlign w:val="superscript"/>
              </w:rPr>
              <w:t>(a)</w:t>
            </w:r>
          </w:p>
        </w:tc>
        <w:tc>
          <w:tcPr>
            <w:tcW w:type="dxa" w:w="1219"/>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240"/>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240"/>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219"/>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222"/>
            <w:tcBorders>
              <w:top w:val="nil"/>
              <w:left w:val="nil"/>
              <w:bottom w:val="nil"/>
              <w:right w:val="nil"/>
            </w:tcBorders>
            <w:shd w:fill="auto" w:val="clear"/>
            <w:tcMar>
              <w:left w:type="dxa" w:w="144"/>
            </w:tcMar>
            <w:vAlign w:val="bottom"/>
          </w:tcPr>
          <w:p>
            <w:pPr>
              <w:pStyle w:val="style65"/>
              <w:ind w:hanging="0" w:left="216" w:right="86"/>
              <w:rPr/>
            </w:pPr>
            <w:r>
              <w:rPr/>
              <w:t> </w:t>
            </w:r>
          </w:p>
        </w:tc>
      </w:tr>
      <w:tr>
        <w:trPr>
          <w:cantSplit w:val="false"/>
        </w:trPr>
        <w:tc>
          <w:tcPr>
            <w:tcW w:type="dxa" w:w="465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Principal payments</w:t>
            </w:r>
          </w:p>
        </w:tc>
        <w:tc>
          <w:tcPr>
            <w:tcW w:type="dxa" w:w="1219"/>
            <w:tcBorders>
              <w:top w:val="nil"/>
              <w:left w:val="nil"/>
              <w:bottom w:val="nil"/>
              <w:right w:val="nil"/>
            </w:tcBorders>
            <w:shd w:fill="auto" w:val="clear"/>
            <w:tcMar>
              <w:left w:type="dxa" w:w="144"/>
            </w:tcMar>
            <w:vAlign w:val="bottom"/>
          </w:tcPr>
          <w:p>
            <w:pPr>
              <w:pStyle w:val="style62"/>
              <w:tabs>
                <w:tab w:leader="none" w:pos="1046" w:val="right"/>
                <w:tab w:leader="none" w:pos="1109" w:val="decimal"/>
              </w:tabs>
              <w:spacing w:after="280" w:before="280"/>
              <w:ind w:hanging="0" w:left="216" w:right="43"/>
              <w:contextualSpacing w:val="false"/>
              <w:rPr>
                <w:rFonts w:ascii="Arial" w:cs="Arial" w:hAnsi="Arial"/>
                <w:sz w:val="20"/>
                <w:szCs w:val="20"/>
              </w:rPr>
            </w:pPr>
            <w:r>
              <w:rPr>
                <w:rFonts w:ascii="Arial" w:cs="Arial" w:hAnsi="Arial"/>
                <w:sz w:val="20"/>
                <w:szCs w:val="20"/>
              </w:rPr>
              <w:t>$</w:t>
              <w:tab/>
              <w:t>3,000</w:t>
              <w:tab/>
              <w:t> </w:t>
            </w:r>
          </w:p>
        </w:tc>
        <w:tc>
          <w:tcPr>
            <w:tcW w:type="dxa" w:w="124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2,500</w:t>
              <w:tab/>
              <w:t> </w:t>
            </w:r>
          </w:p>
        </w:tc>
        <w:tc>
          <w:tcPr>
            <w:tcW w:type="dxa" w:w="124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1,050</w:t>
              <w:tab/>
              <w:t> </w:t>
            </w:r>
          </w:p>
        </w:tc>
        <w:tc>
          <w:tcPr>
            <w:tcW w:type="dxa" w:w="1219"/>
            <w:tcBorders>
              <w:top w:val="nil"/>
              <w:left w:val="nil"/>
              <w:bottom w:val="nil"/>
              <w:right w:val="nil"/>
            </w:tcBorders>
            <w:shd w:fill="auto" w:val="clear"/>
            <w:tcMar>
              <w:left w:type="dxa" w:w="144"/>
            </w:tcMar>
            <w:vAlign w:val="bottom"/>
          </w:tcPr>
          <w:p>
            <w:pPr>
              <w:pStyle w:val="style62"/>
              <w:tabs>
                <w:tab w:leader="none" w:pos="1045" w:val="right"/>
                <w:tab w:leader="none" w:pos="1144" w:val="decimal"/>
              </w:tabs>
              <w:spacing w:after="280" w:before="280"/>
              <w:ind w:hanging="0" w:left="216" w:right="58"/>
              <w:contextualSpacing w:val="false"/>
              <w:rPr>
                <w:rFonts w:ascii="Arial" w:cs="Arial" w:hAnsi="Arial"/>
                <w:sz w:val="20"/>
                <w:szCs w:val="20"/>
              </w:rPr>
            </w:pPr>
            <w:r>
              <w:rPr>
                <w:rFonts w:ascii="Arial" w:cs="Arial" w:hAnsi="Arial"/>
                <w:sz w:val="20"/>
                <w:szCs w:val="20"/>
              </w:rPr>
              <w:t>$</w:t>
              <w:tab/>
              <w:t>9,115</w:t>
              <w:tab/>
              <w:t> </w:t>
            </w:r>
          </w:p>
        </w:tc>
        <w:tc>
          <w:tcPr>
            <w:tcW w:type="dxa" w:w="122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15,665</w:t>
              <w:tab/>
              <w:t> </w:t>
            </w:r>
          </w:p>
        </w:tc>
      </w:tr>
      <w:tr>
        <w:trPr>
          <w:cantSplit w:val="false"/>
        </w:trPr>
        <w:tc>
          <w:tcPr>
            <w:tcW w:type="dxa" w:w="465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Interest payments</w:t>
            </w:r>
          </w:p>
        </w:tc>
        <w:tc>
          <w:tcPr>
            <w:tcW w:type="dxa" w:w="1219"/>
            <w:tcBorders>
              <w:top w:val="nil"/>
              <w:left w:val="nil"/>
              <w:bottom w:val="nil"/>
              <w:right w:val="nil"/>
            </w:tcBorders>
            <w:shd w:fill="auto" w:val="clear"/>
            <w:tcMar>
              <w:left w:type="dxa" w:w="144"/>
            </w:tcMar>
            <w:vAlign w:val="bottom"/>
          </w:tcPr>
          <w:p>
            <w:pPr>
              <w:pStyle w:val="style62"/>
              <w:tabs>
                <w:tab w:leader="none" w:pos="1046" w:val="right"/>
                <w:tab w:leader="none" w:pos="1109" w:val="decimal"/>
              </w:tabs>
              <w:spacing w:after="280" w:before="280"/>
              <w:ind w:hanging="0" w:left="216" w:right="43"/>
              <w:contextualSpacing w:val="false"/>
              <w:rPr>
                <w:rFonts w:ascii="Arial" w:cs="Arial" w:hAnsi="Arial"/>
                <w:sz w:val="20"/>
                <w:szCs w:val="20"/>
              </w:rPr>
            </w:pPr>
            <w:r>
              <w:rPr>
                <w:rFonts w:ascii="Arial" w:cs="Arial" w:hAnsi="Arial"/>
                <w:sz w:val="20"/>
                <w:szCs w:val="20"/>
              </w:rPr>
              <w:tab/>
              <w:t>459</w:t>
              <w:tab/>
            </w:r>
          </w:p>
        </w:tc>
        <w:tc>
          <w:tcPr>
            <w:tcW w:type="dxa" w:w="124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sz w:val="20"/>
                <w:szCs w:val="20"/>
              </w:rPr>
            </w:pPr>
            <w:r>
              <w:rPr>
                <w:rFonts w:ascii="Arial" w:cs="Arial" w:hAnsi="Arial"/>
                <w:sz w:val="20"/>
                <w:szCs w:val="20"/>
              </w:rPr>
              <w:tab/>
              <w:t>776</w:t>
              <w:tab/>
            </w:r>
          </w:p>
        </w:tc>
        <w:tc>
          <w:tcPr>
            <w:tcW w:type="dxa" w:w="124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sz w:val="20"/>
                <w:szCs w:val="20"/>
              </w:rPr>
            </w:pPr>
            <w:r>
              <w:rPr>
                <w:rFonts w:ascii="Arial" w:cs="Arial" w:hAnsi="Arial"/>
                <w:sz w:val="20"/>
                <w:szCs w:val="20"/>
              </w:rPr>
              <w:tab/>
              <w:t>693</w:t>
              <w:tab/>
            </w:r>
          </w:p>
        </w:tc>
        <w:tc>
          <w:tcPr>
            <w:tcW w:type="dxa" w:w="1219"/>
            <w:tcBorders>
              <w:top w:val="nil"/>
              <w:left w:val="nil"/>
              <w:bottom w:val="nil"/>
              <w:right w:val="nil"/>
            </w:tcBorders>
            <w:shd w:fill="auto" w:val="clear"/>
            <w:tcMar>
              <w:left w:type="dxa" w:w="144"/>
            </w:tcMar>
            <w:vAlign w:val="bottom"/>
          </w:tcPr>
          <w:p>
            <w:pPr>
              <w:pStyle w:val="style62"/>
              <w:tabs>
                <w:tab w:leader="none" w:pos="1045" w:val="right"/>
                <w:tab w:leader="none" w:pos="1144" w:val="decimal"/>
              </w:tabs>
              <w:spacing w:after="280" w:before="280"/>
              <w:ind w:hanging="0" w:left="216" w:right="58"/>
              <w:contextualSpacing w:val="false"/>
              <w:rPr>
                <w:rFonts w:ascii="Arial" w:cs="Arial" w:hAnsi="Arial"/>
                <w:sz w:val="20"/>
                <w:szCs w:val="20"/>
              </w:rPr>
            </w:pPr>
            <w:r>
              <w:rPr>
                <w:rFonts w:ascii="Arial" w:cs="Arial" w:hAnsi="Arial"/>
                <w:sz w:val="20"/>
                <w:szCs w:val="20"/>
              </w:rPr>
              <w:tab/>
              <w:t>4,940</w:t>
              <w:tab/>
            </w:r>
          </w:p>
        </w:tc>
        <w:tc>
          <w:tcPr>
            <w:tcW w:type="dxa" w:w="122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6,868</w:t>
              <w:tab/>
            </w:r>
          </w:p>
        </w:tc>
      </w:tr>
      <w:tr>
        <w:trPr>
          <w:cantSplit w:val="false"/>
        </w:trPr>
        <w:tc>
          <w:tcPr>
            <w:tcW w:type="dxa" w:w="465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Construction commitments </w:t>
            </w:r>
            <w:r>
              <w:rPr>
                <w:rFonts w:ascii="Arial" w:cs="Arial" w:hAnsi="Arial"/>
                <w:sz w:val="15"/>
                <w:szCs w:val="15"/>
                <w:vertAlign w:val="superscript"/>
              </w:rPr>
              <w:t>(b)</w:t>
            </w:r>
          </w:p>
        </w:tc>
        <w:tc>
          <w:tcPr>
            <w:tcW w:type="dxa" w:w="1219"/>
            <w:tcBorders>
              <w:top w:val="nil"/>
              <w:left w:val="nil"/>
              <w:bottom w:val="nil"/>
              <w:right w:val="nil"/>
            </w:tcBorders>
            <w:shd w:fill="auto" w:val="clear"/>
            <w:tcMar>
              <w:left w:type="dxa" w:w="144"/>
            </w:tcMar>
            <w:vAlign w:val="bottom"/>
          </w:tcPr>
          <w:p>
            <w:pPr>
              <w:pStyle w:val="style62"/>
              <w:tabs>
                <w:tab w:leader="none" w:pos="1046" w:val="right"/>
                <w:tab w:leader="none" w:pos="1109" w:val="decimal"/>
              </w:tabs>
              <w:spacing w:after="280" w:before="280"/>
              <w:ind w:hanging="0" w:left="216" w:right="43"/>
              <w:contextualSpacing w:val="false"/>
              <w:rPr>
                <w:rFonts w:ascii="Arial" w:cs="Arial" w:hAnsi="Arial"/>
                <w:sz w:val="20"/>
                <w:szCs w:val="20"/>
              </w:rPr>
            </w:pPr>
            <w:r>
              <w:rPr>
                <w:rFonts w:ascii="Arial" w:cs="Arial" w:hAnsi="Arial"/>
                <w:sz w:val="20"/>
                <w:szCs w:val="20"/>
              </w:rPr>
              <w:tab/>
              <w:t>694</w:t>
              <w:tab/>
            </w:r>
          </w:p>
        </w:tc>
        <w:tc>
          <w:tcPr>
            <w:tcW w:type="dxa" w:w="124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sz w:val="20"/>
                <w:szCs w:val="20"/>
              </w:rPr>
            </w:pPr>
            <w:r>
              <w:rPr>
                <w:rFonts w:ascii="Arial" w:cs="Arial" w:hAnsi="Arial"/>
                <w:sz w:val="20"/>
                <w:szCs w:val="20"/>
              </w:rPr>
              <w:tab/>
              <w:t>0</w:t>
              <w:tab/>
            </w:r>
          </w:p>
        </w:tc>
        <w:tc>
          <w:tcPr>
            <w:tcW w:type="dxa" w:w="124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sz w:val="20"/>
                <w:szCs w:val="20"/>
              </w:rPr>
            </w:pPr>
            <w:r>
              <w:rPr>
                <w:rFonts w:ascii="Arial" w:cs="Arial" w:hAnsi="Arial"/>
                <w:sz w:val="20"/>
                <w:szCs w:val="20"/>
              </w:rPr>
              <w:tab/>
              <w:t>0</w:t>
              <w:tab/>
            </w:r>
          </w:p>
        </w:tc>
        <w:tc>
          <w:tcPr>
            <w:tcW w:type="dxa" w:w="1219"/>
            <w:tcBorders>
              <w:top w:val="nil"/>
              <w:left w:val="nil"/>
              <w:bottom w:val="nil"/>
              <w:right w:val="nil"/>
            </w:tcBorders>
            <w:shd w:fill="auto" w:val="clear"/>
            <w:tcMar>
              <w:left w:type="dxa" w:w="144"/>
            </w:tcMar>
            <w:vAlign w:val="bottom"/>
          </w:tcPr>
          <w:p>
            <w:pPr>
              <w:pStyle w:val="style62"/>
              <w:tabs>
                <w:tab w:leader="none" w:pos="1045" w:val="right"/>
                <w:tab w:leader="none" w:pos="1144" w:val="decimal"/>
              </w:tabs>
              <w:spacing w:after="280" w:before="280"/>
              <w:ind w:hanging="0" w:left="216" w:right="58"/>
              <w:contextualSpacing w:val="false"/>
              <w:rPr>
                <w:rFonts w:ascii="Arial" w:cs="Arial" w:hAnsi="Arial"/>
                <w:sz w:val="20"/>
                <w:szCs w:val="20"/>
              </w:rPr>
            </w:pPr>
            <w:r>
              <w:rPr>
                <w:rFonts w:ascii="Arial" w:cs="Arial" w:hAnsi="Arial"/>
                <w:sz w:val="20"/>
                <w:szCs w:val="20"/>
              </w:rPr>
              <w:tab/>
              <w:t>0</w:t>
              <w:tab/>
            </w:r>
          </w:p>
        </w:tc>
        <w:tc>
          <w:tcPr>
            <w:tcW w:type="dxa" w:w="122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694</w:t>
              <w:tab/>
            </w:r>
          </w:p>
        </w:tc>
      </w:tr>
      <w:tr>
        <w:trPr>
          <w:cantSplit w:val="false"/>
        </w:trPr>
        <w:tc>
          <w:tcPr>
            <w:tcW w:type="dxa" w:w="465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Operating leases </w:t>
            </w:r>
            <w:r>
              <w:rPr>
                <w:rFonts w:ascii="Arial" w:cs="Arial" w:hAnsi="Arial"/>
                <w:sz w:val="15"/>
                <w:szCs w:val="15"/>
                <w:vertAlign w:val="superscript"/>
              </w:rPr>
              <w:t>(c)</w:t>
            </w:r>
          </w:p>
        </w:tc>
        <w:tc>
          <w:tcPr>
            <w:tcW w:type="dxa" w:w="1219"/>
            <w:tcBorders>
              <w:top w:val="nil"/>
              <w:left w:val="nil"/>
              <w:bottom w:val="nil"/>
              <w:right w:val="nil"/>
            </w:tcBorders>
            <w:shd w:fill="auto" w:val="clear"/>
            <w:tcMar>
              <w:left w:type="dxa" w:w="144"/>
            </w:tcMar>
            <w:vAlign w:val="bottom"/>
          </w:tcPr>
          <w:p>
            <w:pPr>
              <w:pStyle w:val="style62"/>
              <w:tabs>
                <w:tab w:leader="none" w:pos="1046" w:val="right"/>
                <w:tab w:leader="none" w:pos="1109" w:val="decimal"/>
              </w:tabs>
              <w:spacing w:after="280" w:before="280"/>
              <w:ind w:hanging="0" w:left="216" w:right="43"/>
              <w:contextualSpacing w:val="false"/>
              <w:rPr>
                <w:rFonts w:ascii="Arial" w:cs="Arial" w:hAnsi="Arial"/>
                <w:sz w:val="20"/>
                <w:szCs w:val="20"/>
              </w:rPr>
            </w:pPr>
            <w:r>
              <w:rPr>
                <w:rFonts w:ascii="Arial" w:cs="Arial" w:hAnsi="Arial"/>
                <w:sz w:val="20"/>
                <w:szCs w:val="20"/>
              </w:rPr>
              <w:tab/>
              <w:t>572</w:t>
              <w:tab/>
            </w:r>
          </w:p>
        </w:tc>
        <w:tc>
          <w:tcPr>
            <w:tcW w:type="dxa" w:w="124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sz w:val="20"/>
                <w:szCs w:val="20"/>
              </w:rPr>
            </w:pPr>
            <w:r>
              <w:rPr>
                <w:rFonts w:ascii="Arial" w:cs="Arial" w:hAnsi="Arial"/>
                <w:sz w:val="20"/>
                <w:szCs w:val="20"/>
              </w:rPr>
              <w:tab/>
              <w:t>800</w:t>
              <w:tab/>
            </w:r>
          </w:p>
        </w:tc>
        <w:tc>
          <w:tcPr>
            <w:tcW w:type="dxa" w:w="124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sz w:val="20"/>
                <w:szCs w:val="20"/>
              </w:rPr>
            </w:pPr>
            <w:r>
              <w:rPr>
                <w:rFonts w:ascii="Arial" w:cs="Arial" w:hAnsi="Arial"/>
                <w:sz w:val="20"/>
                <w:szCs w:val="20"/>
              </w:rPr>
              <w:tab/>
              <w:t>485</w:t>
              <w:tab/>
            </w:r>
          </w:p>
        </w:tc>
        <w:tc>
          <w:tcPr>
            <w:tcW w:type="dxa" w:w="1219"/>
            <w:tcBorders>
              <w:top w:val="nil"/>
              <w:left w:val="nil"/>
              <w:bottom w:val="nil"/>
              <w:right w:val="nil"/>
            </w:tcBorders>
            <w:shd w:fill="auto" w:val="clear"/>
            <w:tcMar>
              <w:left w:type="dxa" w:w="144"/>
            </w:tcMar>
            <w:vAlign w:val="bottom"/>
          </w:tcPr>
          <w:p>
            <w:pPr>
              <w:pStyle w:val="style62"/>
              <w:tabs>
                <w:tab w:leader="none" w:pos="1045" w:val="right"/>
                <w:tab w:leader="none" w:pos="1144" w:val="decimal"/>
              </w:tabs>
              <w:spacing w:after="280" w:before="280"/>
              <w:ind w:hanging="0" w:left="216" w:right="58"/>
              <w:contextualSpacing w:val="false"/>
              <w:rPr>
                <w:rFonts w:ascii="Arial" w:cs="Arial" w:hAnsi="Arial"/>
                <w:sz w:val="20"/>
                <w:szCs w:val="20"/>
              </w:rPr>
            </w:pPr>
            <w:r>
              <w:rPr>
                <w:rFonts w:ascii="Arial" w:cs="Arial" w:hAnsi="Arial"/>
                <w:sz w:val="20"/>
                <w:szCs w:val="20"/>
              </w:rPr>
              <w:tab/>
              <w:t>605</w:t>
              <w:tab/>
            </w:r>
          </w:p>
        </w:tc>
        <w:tc>
          <w:tcPr>
            <w:tcW w:type="dxa" w:w="122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2,462</w:t>
              <w:tab/>
            </w:r>
          </w:p>
        </w:tc>
      </w:tr>
      <w:tr>
        <w:trPr>
          <w:cantSplit w:val="false"/>
        </w:trPr>
        <w:tc>
          <w:tcPr>
            <w:tcW w:type="dxa" w:w="465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Purchase commitments </w:t>
            </w:r>
            <w:r>
              <w:rPr>
                <w:rFonts w:ascii="Arial" w:cs="Arial" w:hAnsi="Arial"/>
                <w:sz w:val="15"/>
                <w:szCs w:val="15"/>
                <w:vertAlign w:val="superscript"/>
              </w:rPr>
              <w:t>(d)</w:t>
            </w:r>
          </w:p>
        </w:tc>
        <w:tc>
          <w:tcPr>
            <w:tcW w:type="dxa" w:w="1219"/>
            <w:tcBorders>
              <w:top w:val="nil"/>
              <w:left w:val="nil"/>
              <w:bottom w:val="nil"/>
              <w:right w:val="nil"/>
            </w:tcBorders>
            <w:shd w:fill="auto" w:val="clear"/>
            <w:tcMar>
              <w:left w:type="dxa" w:w="144"/>
            </w:tcMar>
            <w:vAlign w:val="bottom"/>
          </w:tcPr>
          <w:p>
            <w:pPr>
              <w:pStyle w:val="style62"/>
              <w:tabs>
                <w:tab w:leader="none" w:pos="1046" w:val="right"/>
                <w:tab w:leader="none" w:pos="1109" w:val="decimal"/>
              </w:tabs>
              <w:spacing w:after="280" w:before="280"/>
              <w:ind w:hanging="0" w:left="216" w:right="43"/>
              <w:contextualSpacing w:val="false"/>
              <w:rPr>
                <w:rFonts w:ascii="Arial" w:cs="Arial" w:hAnsi="Arial"/>
                <w:sz w:val="20"/>
                <w:szCs w:val="20"/>
              </w:rPr>
            </w:pPr>
            <w:r>
              <w:rPr>
                <w:rFonts w:ascii="Arial" w:cs="Arial" w:hAnsi="Arial"/>
                <w:sz w:val="20"/>
                <w:szCs w:val="20"/>
              </w:rPr>
              <w:tab/>
              <w:t>13,752</w:t>
              <w:tab/>
            </w:r>
          </w:p>
        </w:tc>
        <w:tc>
          <w:tcPr>
            <w:tcW w:type="dxa" w:w="124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sz w:val="20"/>
                <w:szCs w:val="20"/>
              </w:rPr>
            </w:pPr>
            <w:r>
              <w:rPr>
                <w:rFonts w:ascii="Arial" w:cs="Arial" w:hAnsi="Arial"/>
                <w:sz w:val="20"/>
                <w:szCs w:val="20"/>
              </w:rPr>
              <w:tab/>
              <w:t>934</w:t>
              <w:tab/>
            </w:r>
          </w:p>
        </w:tc>
        <w:tc>
          <w:tcPr>
            <w:tcW w:type="dxa" w:w="124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sz w:val="20"/>
                <w:szCs w:val="20"/>
              </w:rPr>
            </w:pPr>
            <w:r>
              <w:rPr>
                <w:rFonts w:ascii="Arial" w:cs="Arial" w:hAnsi="Arial"/>
                <w:sz w:val="20"/>
                <w:szCs w:val="20"/>
              </w:rPr>
              <w:tab/>
              <w:t>258</w:t>
              <w:tab/>
            </w:r>
          </w:p>
        </w:tc>
        <w:tc>
          <w:tcPr>
            <w:tcW w:type="dxa" w:w="1219"/>
            <w:tcBorders>
              <w:top w:val="nil"/>
              <w:left w:val="nil"/>
              <w:bottom w:val="nil"/>
              <w:right w:val="nil"/>
            </w:tcBorders>
            <w:shd w:fill="auto" w:val="clear"/>
            <w:tcMar>
              <w:left w:type="dxa" w:w="144"/>
            </w:tcMar>
            <w:vAlign w:val="bottom"/>
          </w:tcPr>
          <w:p>
            <w:pPr>
              <w:pStyle w:val="style62"/>
              <w:tabs>
                <w:tab w:leader="none" w:pos="1045" w:val="right"/>
                <w:tab w:leader="none" w:pos="1144" w:val="decimal"/>
              </w:tabs>
              <w:spacing w:after="280" w:before="280"/>
              <w:ind w:hanging="0" w:left="216" w:right="58"/>
              <w:contextualSpacing w:val="false"/>
              <w:rPr>
                <w:rFonts w:ascii="Arial" w:cs="Arial" w:hAnsi="Arial"/>
                <w:sz w:val="20"/>
                <w:szCs w:val="20"/>
              </w:rPr>
            </w:pPr>
            <w:r>
              <w:rPr>
                <w:rFonts w:ascii="Arial" w:cs="Arial" w:hAnsi="Arial"/>
                <w:sz w:val="20"/>
                <w:szCs w:val="20"/>
              </w:rPr>
              <w:tab/>
              <w:t>83</w:t>
              <w:tab/>
            </w:r>
          </w:p>
        </w:tc>
        <w:tc>
          <w:tcPr>
            <w:tcW w:type="dxa" w:w="122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15,027</w:t>
              <w:tab/>
            </w:r>
          </w:p>
        </w:tc>
      </w:tr>
      <w:tr>
        <w:trPr>
          <w:cantSplit w:val="false"/>
        </w:trPr>
        <w:tc>
          <w:tcPr>
            <w:tcW w:type="dxa" w:w="465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Other long-term liabilities </w:t>
            </w:r>
            <w:r>
              <w:rPr>
                <w:rFonts w:ascii="Arial" w:cs="Arial" w:hAnsi="Arial"/>
                <w:sz w:val="15"/>
                <w:szCs w:val="15"/>
                <w:vertAlign w:val="superscript"/>
              </w:rPr>
              <w:t>(e)</w:t>
            </w:r>
          </w:p>
        </w:tc>
        <w:tc>
          <w:tcPr>
            <w:tcW w:type="dxa" w:w="1219"/>
            <w:tcBorders>
              <w:top w:val="nil"/>
              <w:left w:val="nil"/>
              <w:bottom w:val="nil"/>
              <w:right w:val="nil"/>
            </w:tcBorders>
            <w:shd w:fill="auto" w:val="clear"/>
            <w:tcMar>
              <w:left w:type="dxa" w:w="144"/>
            </w:tcMar>
            <w:vAlign w:val="bottom"/>
          </w:tcPr>
          <w:p>
            <w:pPr>
              <w:pStyle w:val="style62"/>
              <w:tabs>
                <w:tab w:leader="none" w:pos="1046" w:val="right"/>
                <w:tab w:leader="none" w:pos="1109" w:val="decimal"/>
              </w:tabs>
              <w:spacing w:after="280" w:before="280"/>
              <w:ind w:hanging="0" w:left="216" w:right="43"/>
              <w:contextualSpacing w:val="false"/>
              <w:rPr>
                <w:rFonts w:ascii="Arial" w:cs="Arial" w:hAnsi="Arial"/>
                <w:sz w:val="20"/>
                <w:szCs w:val="20"/>
              </w:rPr>
            </w:pPr>
            <w:r>
              <w:rPr>
                <w:rFonts w:ascii="Arial" w:cs="Arial" w:hAnsi="Arial"/>
                <w:sz w:val="20"/>
                <w:szCs w:val="20"/>
              </w:rPr>
              <w:tab/>
              <w:t>0</w:t>
              <w:tab/>
            </w:r>
          </w:p>
        </w:tc>
        <w:tc>
          <w:tcPr>
            <w:tcW w:type="dxa" w:w="124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sz w:val="20"/>
                <w:szCs w:val="20"/>
              </w:rPr>
            </w:pPr>
            <w:r>
              <w:rPr>
                <w:rFonts w:ascii="Arial" w:cs="Arial" w:hAnsi="Arial"/>
                <w:sz w:val="20"/>
                <w:szCs w:val="20"/>
              </w:rPr>
              <w:tab/>
              <w:t>67</w:t>
              <w:tab/>
            </w:r>
          </w:p>
        </w:tc>
        <w:tc>
          <w:tcPr>
            <w:tcW w:type="dxa" w:w="124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sz w:val="20"/>
                <w:szCs w:val="20"/>
              </w:rPr>
            </w:pPr>
            <w:r>
              <w:rPr>
                <w:rFonts w:ascii="Arial" w:cs="Arial" w:hAnsi="Arial"/>
                <w:sz w:val="20"/>
                <w:szCs w:val="20"/>
              </w:rPr>
              <w:tab/>
              <w:t>20</w:t>
              <w:tab/>
            </w:r>
          </w:p>
        </w:tc>
        <w:tc>
          <w:tcPr>
            <w:tcW w:type="dxa" w:w="1219"/>
            <w:tcBorders>
              <w:top w:val="nil"/>
              <w:left w:val="nil"/>
              <w:bottom w:val="nil"/>
              <w:right w:val="nil"/>
            </w:tcBorders>
            <w:shd w:fill="auto" w:val="clear"/>
            <w:tcMar>
              <w:left w:type="dxa" w:w="144"/>
            </w:tcMar>
            <w:vAlign w:val="bottom"/>
          </w:tcPr>
          <w:p>
            <w:pPr>
              <w:pStyle w:val="style62"/>
              <w:tabs>
                <w:tab w:leader="none" w:pos="1045" w:val="right"/>
                <w:tab w:leader="none" w:pos="1144" w:val="decimal"/>
              </w:tabs>
              <w:spacing w:after="280" w:before="280"/>
              <w:ind w:hanging="0" w:left="216" w:right="58"/>
              <w:contextualSpacing w:val="false"/>
              <w:rPr>
                <w:rFonts w:ascii="Arial" w:cs="Arial" w:hAnsi="Arial"/>
                <w:sz w:val="20"/>
                <w:szCs w:val="20"/>
              </w:rPr>
            </w:pPr>
            <w:r>
              <w:rPr>
                <w:rFonts w:ascii="Arial" w:cs="Arial" w:hAnsi="Arial"/>
                <w:sz w:val="20"/>
                <w:szCs w:val="20"/>
              </w:rPr>
              <w:tab/>
              <w:t>23</w:t>
              <w:tab/>
            </w:r>
          </w:p>
        </w:tc>
        <w:tc>
          <w:tcPr>
            <w:tcW w:type="dxa" w:w="122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110</w:t>
              <w:tab/>
            </w:r>
          </w:p>
        </w:tc>
      </w:tr>
      <w:tr>
        <w:trPr>
          <w:cantSplit w:val="false"/>
        </w:trPr>
        <w:tc>
          <w:tcPr>
            <w:tcW w:type="dxa" w:w="5879"/>
            <w:gridSpan w:val="2"/>
            <w:tcBorders>
              <w:top w:val="nil"/>
              <w:left w:val="nil"/>
              <w:bottom w:val="nil"/>
              <w:right w:val="nil"/>
            </w:tcBorders>
            <w:shd w:fill="auto" w:val="clear"/>
            <w:vAlign w:val="bottom"/>
          </w:tcPr>
          <w:p>
            <w:pPr>
              <w:pStyle w:val="style59"/>
              <w:tabs>
                <w:tab w:leader="none" w:pos="1037" w:val="right"/>
                <w:tab w:leader="none" w:pos="1091" w:val="decimal"/>
              </w:tabs>
              <w:spacing w:after="0" w:before="20"/>
              <w:ind w:hanging="0" w:left="-207" w:right="43"/>
              <w:contextualSpacing w:val="false"/>
              <w:rPr/>
            </w:pPr>
            <w:r>
              <w:rPr/>
              <w:t> </w:t>
            </w:r>
          </w:p>
        </w:tc>
        <w:tc>
          <w:tcPr>
            <w:tcW w:type="dxa" w:w="1240"/>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c>
          <w:tcPr>
            <w:tcW w:type="dxa" w:w="1240"/>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59"/>
              <w:spacing w:after="0" w:before="20"/>
              <w:ind w:hanging="0" w:left="216" w:right="58"/>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r>
      <w:tr>
        <w:trPr>
          <w:cantSplit w:val="false"/>
        </w:trPr>
        <w:tc>
          <w:tcPr>
            <w:tcW w:type="dxa" w:w="465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 contractual obligations</w:t>
            </w:r>
          </w:p>
        </w:tc>
        <w:tc>
          <w:tcPr>
            <w:tcW w:type="dxa" w:w="1219"/>
            <w:tcBorders>
              <w:top w:val="nil"/>
              <w:left w:val="nil"/>
              <w:bottom w:val="nil"/>
              <w:right w:val="nil"/>
            </w:tcBorders>
            <w:shd w:fill="auto" w:val="clear"/>
            <w:tcMar>
              <w:left w:type="dxa" w:w="144"/>
            </w:tcMar>
            <w:vAlign w:val="bottom"/>
          </w:tcPr>
          <w:p>
            <w:pPr>
              <w:pStyle w:val="style62"/>
              <w:tabs>
                <w:tab w:leader="none" w:pos="1037" w:val="right"/>
                <w:tab w:leader="none" w:pos="1091" w:val="decimal"/>
              </w:tabs>
              <w:spacing w:after="280" w:before="280"/>
              <w:ind w:hanging="0" w:left="216" w:right="43"/>
              <w:contextualSpacing w:val="false"/>
              <w:rPr>
                <w:rFonts w:ascii="Arial" w:cs="Arial" w:hAnsi="Arial"/>
                <w:sz w:val="20"/>
                <w:szCs w:val="20"/>
              </w:rPr>
            </w:pPr>
            <w:r>
              <w:rPr>
                <w:rFonts w:ascii="Arial" w:cs="Arial" w:hAnsi="Arial"/>
                <w:sz w:val="20"/>
                <w:szCs w:val="20"/>
              </w:rPr>
              <w:t>$</w:t>
              <w:tab/>
              <w:t>  18,477</w:t>
              <w:tab/>
            </w:r>
          </w:p>
        </w:tc>
        <w:tc>
          <w:tcPr>
            <w:tcW w:type="dxa" w:w="124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  5,077</w:t>
              <w:tab/>
            </w:r>
          </w:p>
        </w:tc>
        <w:tc>
          <w:tcPr>
            <w:tcW w:type="dxa" w:w="124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  2,506</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58"/>
              <w:contextualSpacing w:val="false"/>
              <w:rPr>
                <w:rFonts w:ascii="Arial" w:cs="Arial" w:hAnsi="Arial"/>
                <w:sz w:val="20"/>
                <w:szCs w:val="20"/>
              </w:rPr>
            </w:pPr>
            <w:r>
              <w:rPr>
                <w:rFonts w:ascii="Arial" w:cs="Arial" w:hAnsi="Arial"/>
                <w:sz w:val="20"/>
                <w:szCs w:val="20"/>
              </w:rPr>
              <w:t>$</w:t>
              <w:tab/>
              <w:t>  14,766</w:t>
              <w:tab/>
            </w:r>
          </w:p>
        </w:tc>
        <w:tc>
          <w:tcPr>
            <w:tcW w:type="dxa" w:w="122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 40,826</w:t>
              <w:tab/>
            </w:r>
          </w:p>
        </w:tc>
      </w:tr>
      <w:tr>
        <w:trPr>
          <w:cantSplit w:val="false"/>
        </w:trPr>
        <w:tc>
          <w:tcPr>
            <w:tcW w:type="dxa" w:w="4659"/>
            <w:tcBorders>
              <w:top w:val="nil"/>
              <w:left w:val="nil"/>
              <w:bottom w:val="nil"/>
              <w:right w:val="nil"/>
            </w:tcBorders>
            <w:shd w:fill="auto" w:val="clear"/>
            <w:tcMar>
              <w:left w:type="dxa" w:w="144"/>
            </w:tcMar>
            <w:vAlign w:val="bottom"/>
          </w:tcPr>
          <w:p>
            <w:pPr>
              <w:pStyle w:val="style65"/>
              <w:rPr/>
            </w:pPr>
            <w:r>
              <w:rPr/>
              <w:t> </w:t>
            </w:r>
          </w:p>
        </w:tc>
        <w:tc>
          <w:tcPr>
            <w:tcW w:type="dxa" w:w="1219"/>
            <w:tcBorders>
              <w:top w:val="nil"/>
              <w:left w:val="nil"/>
              <w:bottom w:val="nil"/>
              <w:right w:val="nil"/>
            </w:tcBorders>
            <w:shd w:fill="auto" w:val="clear"/>
            <w:tcMar>
              <w:left w:type="dxa" w:w="144"/>
            </w:tcMar>
            <w:vAlign w:val="bottom"/>
          </w:tcPr>
          <w:p>
            <w:pPr>
              <w:pStyle w:val="style63"/>
              <w:spacing w:after="0" w:before="20"/>
              <w:ind w:hanging="0" w:left="216" w:right="43"/>
              <w:contextualSpacing w:val="false"/>
              <w:rPr/>
            </w:pPr>
            <w:r>
              <w:rPr/>
              <w:t> </w:t>
            </w:r>
          </w:p>
        </w:tc>
        <w:tc>
          <w:tcPr>
            <w:tcW w:type="dxa" w:w="1240"/>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240"/>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63"/>
              <w:spacing w:after="0" w:before="20"/>
              <w:ind w:hanging="0" w:left="216" w:right="58"/>
              <w:contextualSpacing w:val="false"/>
              <w:rPr/>
            </w:pPr>
            <w:r>
              <w:rPr/>
              <w:t> </w:t>
            </w:r>
          </w:p>
        </w:tc>
        <w:tc>
          <w:tcPr>
            <w:tcW w:type="dxa" w:w="1222"/>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r>
    </w:tbl>
    <w:p>
      <w:pPr>
        <w:pStyle w:val="style62"/>
        <w:pageBreakBefore/>
        <w:spacing w:after="280" w:before="280"/>
        <w:ind w:hanging="490" w:left="489" w:right="0"/>
        <w:contextualSpacing w:val="false"/>
        <w:jc w:val="both"/>
        <w:rPr>
          <w:rFonts w:ascii="Arial" w:cs="Arial" w:hAnsi="Arial"/>
          <w:sz w:val="20"/>
          <w:szCs w:val="20"/>
        </w:rPr>
      </w:pPr>
      <w:r>
        <w:rPr>
          <w:rFonts w:ascii="Arial" w:cs="Arial" w:hAnsi="Arial"/>
          <w:sz w:val="20"/>
          <w:szCs w:val="20"/>
        </w:rPr>
        <w:t>(a)</w:t>
        <w:tab/>
      </w:r>
      <w:r>
        <w:rPr>
          <w:rFonts w:ascii="Arial" w:cs="Arial" w:hAnsi="Arial"/>
          <w:i/>
          <w:iCs/>
          <w:sz w:val="20"/>
          <w:szCs w:val="20"/>
        </w:rPr>
        <w:t>See Note 12 – Debt of the Notes to Financial Statements.</w:t>
      </w:r>
      <w:r>
        <w:rPr>
          <w:rFonts w:ascii="Arial" w:cs="Arial" w:hAnsi="Arial"/>
          <w:sz w:val="20"/>
          <w:szCs w:val="20"/>
        </w:rPr>
        <w:t xml:space="preserv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(b)</w:t>
        <w:tab/>
      </w:r>
      <w:r>
        <w:rPr>
          <w:rFonts w:ascii="Arial" w:cs="Arial" w:hAnsi="Arial"/>
          <w:i/>
          <w:iCs/>
          <w:sz w:val="20"/>
          <w:szCs w:val="20"/>
        </w:rPr>
        <w:t>These amounts represent commitments for the construction of buildings, building improvements, and leasehold improvements.</w:t>
      </w:r>
      <w:r>
        <w:rPr>
          <w:rFonts w:ascii="Arial" w:cs="Arial" w:hAnsi="Arial"/>
          <w:sz w:val="20"/>
          <w:szCs w:val="20"/>
        </w:rPr>
        <w:t xml:space="preserv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(c)</w:t>
        <w:tab/>
      </w:r>
      <w:r>
        <w:rPr>
          <w:rFonts w:ascii="Arial" w:cs="Arial" w:hAnsi="Arial"/>
          <w:i/>
          <w:iCs/>
          <w:sz w:val="20"/>
          <w:szCs w:val="20"/>
        </w:rPr>
        <w:t>These amounts represent undiscounted future minimum rental commitments under noncancellable facilities leases.</w:t>
      </w:r>
      <w:r>
        <w:rPr>
          <w:rFonts w:ascii="Arial" w:cs="Arial" w:hAnsi="Arial"/>
          <w:sz w:val="20"/>
          <w:szCs w:val="20"/>
        </w:rPr>
        <w:t xml:space="preserv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(d)</w:t>
        <w:tab/>
      </w:r>
      <w:r>
        <w:rPr>
          <w:rFonts w:ascii="Arial" w:cs="Arial" w:hAnsi="Arial"/>
          <w:i/>
          <w:iCs/>
          <w:sz w:val="20"/>
          <w:szCs w:val="20"/>
        </w:rPr>
        <w:t>These amounts represent purchase commitments, including all open purchase orders and all contracts that are take-or-pay contracts that are not presented as construction commitments above.</w:t>
      </w:r>
      <w:r>
        <w:rPr>
          <w:rFonts w:ascii="Arial" w:cs="Arial" w:hAnsi="Arial"/>
          <w:sz w:val="20"/>
          <w:szCs w:val="20"/>
        </w:rPr>
        <w:t xml:space="preserv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(e)</w:t>
        <w:tab/>
      </w:r>
      <w:r>
        <w:rPr>
          <w:rFonts w:ascii="Arial" w:cs="Arial" w:hAnsi="Arial"/>
          <w:i/>
          <w:iCs/>
          <w:sz w:val="20"/>
          <w:szCs w:val="20"/>
        </w:rPr>
        <w:t>We have excluded long-term tax contingencies, other tax liabilities, and deferred income taxes of $11.3 billion and other long-term contingent liabilities of $162 million (related to the antitrust and unfair competition class action lawsuits) from the amounts presented, as the amounts that will be settled in cash are not known and the timing of any payments is uncertain. We have also excluded unearned revenue and non-cash items.</w:t>
      </w:r>
      <w:r>
        <w:rPr>
          <w:rFonts w:ascii="Arial" w:cs="Arial" w:hAnsi="Arial"/>
          <w:sz w:val="20"/>
          <w:szCs w:val="20"/>
        </w:rPr>
        <w:t xml:space="preserve">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Other Planned Uses of Capital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will continue to invest in sales, marketing, product support infrastructure, and existing and advanced areas of technology. Additions to property and equipment will continue, including new facilities, data centers, and computer systems for research and development, sales and marketing, support, and administrative staff. We expect capital expenditures to increase in coming years in support of our cloud and devices strategy. We have operating leases for most U.S. and international sales and support offices and certain equipment. We have not engaged in any related party transactions or arrangements with unconsolidated entities or other persons that are reasonably likely to materially affect liquidity or the availability of capital resources.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Liquidity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earn a significant amount of our operating income outside the U.S., which is deemed to be permanently reinvested in foreign jurisdictions. As a result, as discussed above under Cash, Cash Equivalents, and Investments, the majority of our cash, cash equivalents, and short-term investments are held by foreign subsidiaries. We currently do not intend nor foresee a need to repatriate these funds. We expect existing domestic cash, cash equivalents, short-term investments, and cash flows from operations to continue to be sufficient to fund our domestic operating activities and cash commitments for investing and financing activities, such as regular quarterly dividends, debt repayment schedules, and material capital expenditures, for at least the next 12 months and thereafter for the foreseeable future. In addition, we expect existing foreign cash, cash equivalents, short-term investments, and cash flows from operations to continue to be sufficient to fund our foreign operating activities and cash commitments for investing activities, such as material capital expenditures, for at least the next 12 months and thereafter for the foreseeable future.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Should we require more capital in the U.S. than is generated by our operations domestically, for example to fund significant discretionary activities, such as business acquisitions and share repurchases, we could elect to repatriate future earnings from foreign jurisdictions or raise capital in the U.S. through debt or equity issuances. These alternatives could result in higher effective tax rates, increased interest expense, or dilution of our earnings. We have borrowed funds domestically and continue to believe we have the ability to do so at reasonable interest rates.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RECENT ACCOUNTING GUIDANCE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Recently Adopted Accounting Guidance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September 2011, the Financial Accounting Standards Board (“FASB”) issued guidance on testing goodwill for impairment. The new guidance provides an entity the option to first perform a qualitative assessment to determine whether it is more likely than not that the fair value of a reporting unit is less than its carrying amount. If an entity determines that this is the case, it is required to perform the two-step goodwill impairment test to identify potential goodwill impairment and measure the amount of goodwill impairment loss to be recognized for that reporting unit (if any). If an entity determines that the fair value of a reporting unit is greater than its carrying amount, the two-step goodwill impairment test is not required. We adopted this new guidance beginning July 1, 2012. Adoption of this new guidance did not have a material impact on our financial statements.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June 2011, the FASB issued guidance on presentation of comprehensive income. The new guidance eliminated the option to report other comprehensive income (“OCI”) and its components in the statement of changes in stockholders’ equity. Instead, an entity is required to present either a continuous statement of net income and OCI or in two separate but consecutive statements. We adopted this new guidance beginning July 1, 2012. Adoption of this new guidance resulted only in changes to presentation of our financial statements.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Recent Accounting Guidance Not Yet Adopted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December 2011, the FASB issued guidance enhancing disclosure requirements about the nature of an entity’s right to offset and related arrangements associated with its financial instruments and derivative instruments. The new guidance requires the disclosure of the gross amounts subject to rights of set-off, amounts offset in accordance with the accounting standards followed, and the related net exposure. In January 2013, the FASB clarified that the scope of this guidance applies to derivatives, including bifurcated embedded derivatives, repurchase agreements and reverse repurchase agreements, and securities borrowing and securities lending transactions that are either offset or subject to an enforceable master netting arrangement, or similar agreements. The new guidance will be effective for us beginning July 1, 2013. Other than requiring additional disclosures, we do not anticipate material impacts on our financial statements upon adoption.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February 2013, the FASB issued guidance on disclosure requirements for items reclassified out of accumulated other comprehensive income (“AOCI”). This new guidance requires entities to present (either on the face of the income statement or in the notes) the effects on the line items of the income statement for amounts reclassified out of AOCI. The new guidance will be effective for us beginning July 1, 2013. Other than requiring additional disclosures, we do not anticipate material impacts on our financial statements upon adoption.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March 2013, the FASB issued guidance on a parent’s accounting for the cumulative translation adjustment upon derecognition of a subsidiary or group of assets within a foreign entity. This new guidance requires that the parent release any related cumulative translation adjustment into net income only if the sale or transfer results in the complete or substantially complete liquidation of the foreign entity in which the subsidiary or group of assets had resided. The new guidance will be effective for us beginning July 1, 2014. We do not anticipate material impacts on our financial statements upon adoption.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APPLICATION OF CRITICAL ACCOUNTING POLICIES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financial statements and accompanying notes are prepared in accordance with U.S. GAAP. Preparing financial statements requires management to make estimates and assumptions that affect the reported amounts of assets, liabilities, revenue, and expenses. These estimates and assumptions are affected by management’s application of accounting policies. Critical accounting policies for us include revenue recognition, impairment of investment securities, goodwill, research and development costs, contingencies, income taxes, and inventories.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Revenue Recognition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Revenue recognition requires judgment, including whether a software arrangement includes multiple elements, and if so, whether the vendor-specific objective evidence (“VSOE”) of fair value exists for those elements. A portion of revenue may be recorded as unearned due to undelivered elements. Changes to the elements in a software arrangement, the ability to identify the VSOE for those elements, and the fair value of the respective elements could materially impact the amount of earned and unearned revenue. Judgment is also required to assess whether future releases of certain software represent new products or upgrades and enhancements to existing products. Certain volume licensing arrangements include a perpetual license for current products combined with rights to receive unspecified future versions of software products (“Software Assurance”) and are accounted for as subscriptions, with billings recorded as unearned revenue and recognized as revenue ratably over the coverage period.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Software updates are evaluated on a case-by-case basis to determine whether they meet the definition of an upgrade, which may require revenue to be deferred and recognized when the upgrade is delivered, or if it is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determined that implied post-contract customer support (“PCS”) is being provided, revenue from the arrangement is deferred and recognized over the implied PCS term. If updates are determined to not meet the definition of an upgrade, revenue is generally recognized as products are shipped or made available.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Windows 8.1 will enable new hardware, further the integration with other Microsoft services and address customer issues with Windows 8, and will be provided to Windows 8 customers when available at no additional charge. We evaluated Windows 8.1 and determined that it did not meet the definition of an upgrade and thus have not deferred revenue related to this planned release.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Windows 7 revenue was subject to deferral as a result of the Windows Upgrade Offer, which started June 2, 2012. The offer provided significantly discounted rights to purchase Windows 8 Pro to qualifying end-users that purchased Windows 7 PCs during the eligibility period. Microsoft was responsible for delivering Windows 8 Pro to the end customer. Accordingly, revenue related to the allocated discount for undelivered Windows 8 was deferred until it was delivered or the redemption period expired.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Microsoft Office system revenue was subject to deferral as a result of the Office Upgrade Offer, which started October 19, 2012. The Office Upgrade Offer allowed customers who purchased qualifying 2010 Microsoft Office system or Office for Mac 2011 products to receive, at no cost, a one-year subscription to Office 365 Home Premium or the equivalent version of 2013 Microsoft Office system upon general availability. Small business customers in applicable markets were also eligible for a three-month trial of Office 365 Small Business Premium. Accordingly, estimated revenue related to the undelivered 2013 Microsoft Office system and subscription services was deferred until the products and services were delivered or the redemption period expired.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Impairment of Investment Securities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review investments quarterly for indicators of other-than-temporary impairment. This determination requires significant judgment. In making this judgment, we employ a systematic methodology quarterly that considers available quantitative and qualitative evidence in evaluating potential impairment of our investments. If the cost of an investment exceeds its fair value, we evaluate, among other factors, general market conditions, credit quality of debt instrument issuers, the duration and extent to which the fair value is less than cost, and for equity securities, our intent and ability to hold, or plans to sell, the investment. For fixed-income securities, we also evaluate whether we have plans to sell the security or it is more likely than not that we will be required to sell the security before recovery. We also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to other income (expense) and a new cost basis in the investment is established. If market, industry, and/or investee conditions deteriorate, we may incur future impairments.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Goodwill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using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Research and Development Costs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Costs incurred internally in researching and developing a computer software product are charged to expense until technological feasibility has been established for the product. Once technological feasibility is established, all 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manufacturing. The amortization of these costs is included in cost of revenue over the estimated life of the products.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Legal and Other Contingencies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outcomes of legal proceedings and claims brought against us are subject to significant uncertainty. An estimated loss from a loss contingency such as a legal proceeding or claim is accrued by a charge to income if it is probable that an asset has been impaired or a liability has been incurred and the amount of the loss can be reasonably estimated. Disclosure of a contingency is required if there is at least a reasonable possibility that a loss has been incurred. In determining whether a loss should be accrued we evaluate, among other factors, the degree of probability of an unfavorable outcome and the ability to make a reasonable estimate of the amount of loss. Changes in these factors could materially impact our financial statements.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Income Taxes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current and deferred income tax assets and liabilities, accounting for interest and penalties associated with tax positions, and income tax disclosures. Judgment is required in assessing the future tax consequences of events that have been recognized in our financial statements or tax returns. Variations in the actual outcome of these future tax consequences could materially impact our financial statements.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Inventories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Inventories are stated at average cost, subject to the lower of cost or market. Cost includes materials, labor, and manufacturing overhead related to the purchase and production of inventories. We regularly review inventory quantities on hand, future purchase commitments with our suppliers, and the estimated utility of our inventory. These reviews include analysis of demand forecasts, product life cycle status, product development plans, current sales levels, pricing strategy, and component cost trends. If our review indicates a reduction in utility below carrying value, we reduce our inventory to a new cost basis through a charge to cost of revenue. The determination of market value and the estimated volume of demand used in the lower of cost or market analysis require significant judgment. </w:t>
      </w:r>
    </w:p>
    <w:p>
      <w:pPr>
        <w:pStyle w:val="style62"/>
        <w:pageBreakBefore/>
        <w:spacing w:after="280" w:before="280"/>
        <w:contextualSpacing w:val="false"/>
        <w:jc w:val="both"/>
        <w:rPr>
          <w:rFonts w:ascii="Arial" w:cs="Arial" w:hAnsi="Arial"/>
          <w:b/>
          <w:bCs/>
          <w:sz w:val="20"/>
          <w:szCs w:val="20"/>
        </w:rPr>
      </w:pPr>
      <w:r>
        <w:rPr>
          <w:sz w:val="2"/>
          <w:szCs w:val="2"/>
        </w:rPr>
        <w:t> </w:t>
      </w:r>
      <w:r>
        <w:rPr>
          <w:rFonts w:ascii="Arial" w:cs="Arial" w:hAnsi="Arial"/>
          <w:b/>
          <w:bCs/>
          <w:sz w:val="20"/>
          <w:szCs w:val="20"/>
        </w:rPr>
        <w:t xml:space="preserve">STATEMENT OF MANAGEMENT’S RESPONSIBILITY FOR FINANCIAL STATEMENTS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w:t>
        <w:br/>
        <w:t xml:space="preserve">United States of America.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financial statements and maintaining accountability for assets. These systems are augmented by written policies, an organizational structure providing division of responsibilities, careful selection and training of qualified personnel, and a program of internal audits.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pPr>
        <w:pStyle w:val="style62"/>
        <w:spacing w:after="280" w:before="280"/>
        <w:contextualSpacing w:val="false"/>
        <w:rPr>
          <w:rFonts w:ascii="Arial" w:cs="Arial" w:hAnsi="Arial"/>
          <w:sz w:val="20"/>
          <w:szCs w:val="20"/>
        </w:rPr>
      </w:pPr>
      <w:r>
        <w:rPr>
          <w:rFonts w:ascii="Arial" w:cs="Arial" w:hAnsi="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tbl>
      <w:tblPr>
        <w:tblW w:type="dxa" w:w="5400"/>
        <w:jc w:val="left"/>
        <w:tblInd w:type="dxa" w:w="0"/>
        <w:tblBorders>
          <w:top w:val="nil"/>
          <w:left w:val="nil"/>
          <w:bottom w:val="nil"/>
          <w:insideH w:val="nil"/>
          <w:right w:val="nil"/>
          <w:insideV w:val="nil"/>
        </w:tblBorders>
        <w:tblCellMar>
          <w:top w:type="dxa" w:w="0"/>
          <w:left w:type="dxa" w:w="0"/>
          <w:bottom w:type="dxa" w:w="0"/>
          <w:right w:type="dxa" w:w="0"/>
        </w:tblCellMar>
      </w:tblPr>
      <w:tblGrid>
        <w:gridCol w:w="5400"/>
      </w:tblGrid>
      <w:tr>
        <w:trPr>
          <w:cantSplit w:val="false"/>
        </w:trPr>
        <w:tc>
          <w:tcPr>
            <w:tcW w:type="dxa" w:w="5400"/>
            <w:tcBorders>
              <w:top w:val="nil"/>
              <w:left w:val="nil"/>
              <w:bottom w:val="nil"/>
              <w:right w:val="nil"/>
            </w:tcBorders>
            <w:shd w:fill="auto" w:val="clear"/>
            <w:vAlign w:val="center"/>
          </w:tcPr>
          <w:p>
            <w:pPr>
              <w:pStyle w:val="style0"/>
              <w:rPr>
                <w:sz w:val="1"/>
                <w:szCs w:val="24"/>
              </w:rPr>
            </w:pPr>
            <w:r>
              <w:rPr>
                <w:sz w:val="1"/>
                <w:szCs w:val="24"/>
              </w:rPr>
            </w:r>
          </w:p>
        </w:tc>
      </w:tr>
      <w:tr>
        <w:trPr>
          <w:trHeight w:hRule="atLeast" w:val="480"/>
          <w:cantSplit w:val="false"/>
        </w:trPr>
        <w:tc>
          <w:tcPr>
            <w:tcW w:type="dxa" w:w="5400"/>
            <w:tcBorders>
              <w:top w:val="nil"/>
              <w:left w:val="nil"/>
              <w:bottom w:val="nil"/>
              <w:right w:val="nil"/>
            </w:tcBorders>
            <w:shd w:fill="auto" w:val="clear"/>
            <w:vAlign w:val="center"/>
          </w:tcPr>
          <w:p>
            <w:pPr>
              <w:pStyle w:val="style0"/>
              <w:rPr>
                <w:szCs w:val="24"/>
              </w:rPr>
            </w:pPr>
            <w:r>
              <w:rPr>
                <w:szCs w:val="24"/>
              </w:rPr>
            </w:r>
          </w:p>
        </w:tc>
      </w:tr>
      <w:tr>
        <w:trPr>
          <w:cantSplit w:val="false"/>
        </w:trPr>
        <w:tc>
          <w:tcPr>
            <w:tcW w:type="dxa" w:w="5400"/>
            <w:tcBorders>
              <w:top w:val="nil"/>
              <w:left w:val="nil"/>
              <w:bottom w:val="nil"/>
              <w:right w:val="nil"/>
            </w:tcBorders>
            <w:shd w:fill="auto" w:val="clear"/>
            <w:vAlign w:val="bottom"/>
          </w:tcPr>
          <w:p>
            <w:pPr>
              <w:pStyle w:val="style0"/>
              <w:rPr>
                <w:rFonts w:ascii="Arial" w:cs="Arial" w:hAnsi="Arial"/>
                <w:sz w:val="20"/>
              </w:rPr>
            </w:pPr>
            <w:r>
              <w:rPr>
                <w:rFonts w:ascii="Arial" w:cs="Arial" w:hAnsi="Arial"/>
                <w:sz w:val="20"/>
              </w:rPr>
              <w:t>Steven A. Ballmer</w:t>
            </w:r>
          </w:p>
        </w:tc>
      </w:tr>
      <w:tr>
        <w:trPr>
          <w:cantSplit w:val="false"/>
        </w:trPr>
        <w:tc>
          <w:tcPr>
            <w:tcW w:type="dxa" w:w="5400"/>
            <w:tcBorders>
              <w:top w:val="nil"/>
              <w:left w:val="nil"/>
              <w:bottom w:val="nil"/>
              <w:right w:val="nil"/>
            </w:tcBorders>
            <w:shd w:fill="auto" w:val="clear"/>
            <w:vAlign w:val="bottom"/>
          </w:tcPr>
          <w:p>
            <w:pPr>
              <w:pStyle w:val="style0"/>
              <w:rPr>
                <w:rFonts w:ascii="Arial" w:cs="Arial" w:hAnsi="Arial"/>
                <w:sz w:val="20"/>
              </w:rPr>
            </w:pPr>
            <w:r>
              <w:rPr>
                <w:rFonts w:ascii="Arial" w:cs="Arial" w:hAnsi="Arial"/>
                <w:sz w:val="20"/>
              </w:rPr>
              <w:t>Chief Executive Officer</w:t>
            </w:r>
          </w:p>
        </w:tc>
      </w:tr>
      <w:tr>
        <w:trPr>
          <w:trHeight w:hRule="atLeast" w:val="480"/>
          <w:cantSplit w:val="false"/>
        </w:trPr>
        <w:tc>
          <w:tcPr>
            <w:tcW w:type="dxa" w:w="5400"/>
            <w:tcBorders>
              <w:top w:val="nil"/>
              <w:left w:val="nil"/>
              <w:bottom w:val="nil"/>
              <w:right w:val="nil"/>
            </w:tcBorders>
            <w:shd w:fill="auto" w:val="clear"/>
            <w:vAlign w:val="center"/>
          </w:tcPr>
          <w:p>
            <w:pPr>
              <w:pStyle w:val="style0"/>
              <w:rPr>
                <w:szCs w:val="24"/>
              </w:rPr>
            </w:pPr>
            <w:r>
              <w:rPr>
                <w:szCs w:val="24"/>
              </w:rPr>
            </w:r>
          </w:p>
        </w:tc>
      </w:tr>
      <w:tr>
        <w:trPr>
          <w:cantSplit w:val="false"/>
        </w:trPr>
        <w:tc>
          <w:tcPr>
            <w:tcW w:type="dxa" w:w="5400"/>
            <w:tcBorders>
              <w:top w:val="nil"/>
              <w:left w:val="nil"/>
              <w:bottom w:val="nil"/>
              <w:right w:val="nil"/>
            </w:tcBorders>
            <w:shd w:fill="auto" w:val="clear"/>
            <w:vAlign w:val="bottom"/>
          </w:tcPr>
          <w:p>
            <w:pPr>
              <w:pStyle w:val="style0"/>
              <w:rPr>
                <w:rFonts w:ascii="Arial" w:cs="Arial" w:hAnsi="Arial"/>
                <w:sz w:val="20"/>
              </w:rPr>
            </w:pPr>
            <w:r>
              <w:rPr>
                <w:rFonts w:ascii="Arial" w:cs="Arial" w:hAnsi="Arial"/>
                <w:sz w:val="20"/>
              </w:rPr>
              <w:t>Amy E. Hood</w:t>
            </w:r>
          </w:p>
        </w:tc>
      </w:tr>
      <w:tr>
        <w:trPr>
          <w:cantSplit w:val="false"/>
        </w:trPr>
        <w:tc>
          <w:tcPr>
            <w:tcW w:type="dxa" w:w="5400"/>
            <w:tcBorders>
              <w:top w:val="nil"/>
              <w:left w:val="nil"/>
              <w:bottom w:val="nil"/>
              <w:right w:val="nil"/>
            </w:tcBorders>
            <w:shd w:fill="auto" w:val="clear"/>
            <w:vAlign w:val="bottom"/>
          </w:tcPr>
          <w:p>
            <w:pPr>
              <w:pStyle w:val="style0"/>
              <w:rPr>
                <w:rFonts w:ascii="Arial" w:cs="Arial" w:hAnsi="Arial"/>
                <w:sz w:val="20"/>
              </w:rPr>
            </w:pPr>
            <w:r>
              <w:rPr>
                <w:rFonts w:ascii="Arial" w:cs="Arial" w:hAnsi="Arial"/>
                <w:sz w:val="20"/>
              </w:rPr>
              <w:t>Executive Vice President and Chief Financial Officer</w:t>
            </w:r>
          </w:p>
        </w:tc>
      </w:tr>
      <w:tr>
        <w:trPr>
          <w:trHeight w:hRule="atLeast" w:val="480"/>
          <w:cantSplit w:val="false"/>
        </w:trPr>
        <w:tc>
          <w:tcPr>
            <w:tcW w:type="dxa" w:w="5400"/>
            <w:tcBorders>
              <w:top w:val="nil"/>
              <w:left w:val="nil"/>
              <w:bottom w:val="nil"/>
              <w:right w:val="nil"/>
            </w:tcBorders>
            <w:shd w:fill="auto" w:val="clear"/>
            <w:vAlign w:val="center"/>
          </w:tcPr>
          <w:p>
            <w:pPr>
              <w:pStyle w:val="style0"/>
              <w:rPr>
                <w:szCs w:val="24"/>
              </w:rPr>
            </w:pPr>
            <w:r>
              <w:rPr>
                <w:szCs w:val="24"/>
              </w:rPr>
            </w:r>
          </w:p>
        </w:tc>
      </w:tr>
      <w:tr>
        <w:trPr>
          <w:cantSplit w:val="false"/>
        </w:trPr>
        <w:tc>
          <w:tcPr>
            <w:tcW w:type="dxa" w:w="5400"/>
            <w:tcBorders>
              <w:top w:val="nil"/>
              <w:left w:val="nil"/>
              <w:bottom w:val="nil"/>
              <w:right w:val="nil"/>
            </w:tcBorders>
            <w:shd w:fill="auto" w:val="clear"/>
            <w:vAlign w:val="bottom"/>
          </w:tcPr>
          <w:p>
            <w:pPr>
              <w:pStyle w:val="style0"/>
              <w:rPr>
                <w:rFonts w:ascii="Arial" w:cs="Arial" w:hAnsi="Arial"/>
                <w:sz w:val="20"/>
              </w:rPr>
            </w:pPr>
            <w:r>
              <w:rPr>
                <w:rFonts w:ascii="Arial" w:cs="Arial" w:hAnsi="Arial"/>
                <w:sz w:val="20"/>
              </w:rPr>
              <w:t>Frank H. Brod</w:t>
            </w:r>
          </w:p>
        </w:tc>
      </w:tr>
      <w:tr>
        <w:trPr>
          <w:cantSplit w:val="false"/>
        </w:trPr>
        <w:tc>
          <w:tcPr>
            <w:tcW w:type="dxa" w:w="5400"/>
            <w:tcBorders>
              <w:top w:val="nil"/>
              <w:left w:val="nil"/>
              <w:bottom w:val="nil"/>
              <w:right w:val="nil"/>
            </w:tcBorders>
            <w:shd w:fill="auto" w:val="clear"/>
            <w:vAlign w:val="bottom"/>
          </w:tcPr>
          <w:p>
            <w:pPr>
              <w:pStyle w:val="style0"/>
              <w:rPr>
                <w:rFonts w:ascii="Arial" w:cs="Arial" w:hAnsi="Arial"/>
                <w:sz w:val="20"/>
              </w:rPr>
            </w:pPr>
            <w:r>
              <w:rPr>
                <w:rFonts w:ascii="Arial" w:cs="Arial" w:hAnsi="Arial"/>
                <w:sz w:val="20"/>
              </w:rPr>
              <w:t>Corporate Vice President, Finance and Administration;</w:t>
              <w:br/>
              <w:t>Chief Accounting Officer</w:t>
            </w:r>
          </w:p>
        </w:tc>
      </w:tr>
    </w:tbl>
    <w:p>
      <w:pPr>
        <w:pStyle w:val="style62"/>
        <w:pageBreakBefore/>
        <w:spacing w:after="280" w:before="280"/>
        <w:contextualSpacing w:val="false"/>
        <w:jc w:val="center"/>
        <w:rPr>
          <w:rFonts w:ascii="Arial" w:cs="Arial" w:hAnsi="Arial"/>
          <w:b/>
          <w:bCs/>
        </w:rPr>
      </w:pPr>
      <w:r>
        <w:rPr>
          <w:rFonts w:ascii="Arial" w:cs="Arial" w:hAnsi="Arial"/>
          <w:b/>
          <w:bCs/>
        </w:rPr>
        <w:t>QUANTITATIVE AND QUALITATIVE DISCLOSURES ABOUT MARKET RISK</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RISKS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are exposed to economic risk from foreign currency exchange rates, interest rates, credit risk, equity prices, and commodity prices. A portion of these risks is hedged, but they may impact our financial statements.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Foreign Currency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Certain forecasted transactions, assets, and liabilities are exposed to foreign currency risk. We monitor our foreign currency exposures daily and use hedges where practicable to offset the risks and maximize the economic effectiveness of our foreign currency positions. Principal currencies hedged include the euro, Japanese yen, British pound, and Canadian dollar.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Interest Rate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fixed-income portfolio is diversified across credit sectors and maturities, consisting primarily of investment-grade securities. The credit risk and average maturity of the fixed-income portfolio is managed to achieve economic returns that correlate to certain global and domestic fixed-income indices. In addition, we use “To Be Announced” forward purchase commitments of mortgage-backed assets to gain exposure to agency and mortgage-backed securities.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Equity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equity portfolio consists of global, developed, and emerging market securities that are subject to market price risk. We manage the securities relative to certain global and domestic indices and expect their economic risk and return to correlate with these indices.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Commodity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use broad-based commodity exposures to enhance portfolio returns and facilitate portfolio diversification. Our investment portfolio has exposure to a variety of commodities, including precious metals, energy, and grain. We manage these exposures relative to global commodity indices and expect their economic risk and return to correlate with these indices.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VALUE-AT-RISK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use a value-at-risk (“VaR”) model to estimate and quantify our market risks. VaR is the expected loss, for a given confidence level, in the fair value of our portfolio due to adverse market movements over a defined time horizon. The VaR model is not intended to represent actual losses in fair value, including determinations of other-than-temporary losses in fair value in accordance with accounting principles generally accepted in the United States (“U.S. GAAP”), but is used as a risk estimation and management tool. The distribution of the potential changes in total market value of all holdings is computed based on the historical volatilities and correlations among foreign currency exchange rates, interest rates, equity prices, and commodity prices, assuming normal market conditions.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VaR is calculated as the total loss that will not be exceeded at the 97.5 percentile confidence level or, alternatively stated, the losses could exceed the VaR in 25 out of 1,000 cases. Several risk factors are not captured in the model, including liquidity risk, operational risk, and legal risk.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following table sets forth the one-day VaR for substantially all of our positions as of June 30, 2013 and 2012 and for the year ended June 30, 2013: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5619"/>
        <w:gridCol w:w="1060"/>
        <w:gridCol w:w="1059"/>
        <w:gridCol w:w="1060"/>
        <w:gridCol w:w="999"/>
        <w:gridCol w:w="1003"/>
      </w:tblGrid>
      <w:tr>
        <w:trPr>
          <w:tblHeader w:val="true"/>
          <w:cantSplit w:val="false"/>
        </w:trPr>
        <w:tc>
          <w:tcPr>
            <w:tcW w:type="dxa" w:w="5619"/>
            <w:tcBorders>
              <w:top w:val="nil"/>
              <w:left w:val="nil"/>
              <w:bottom w:val="nil"/>
              <w:right w:val="nil"/>
            </w:tcBorders>
            <w:shd w:fill="auto" w:val="clear"/>
            <w:vAlign w:val="center"/>
          </w:tcPr>
          <w:p>
            <w:pPr>
              <w:pStyle w:val="style0"/>
              <w:rPr>
                <w:sz w:val="1"/>
                <w:szCs w:val="24"/>
              </w:rPr>
            </w:pPr>
            <w:r>
              <w:rPr>
                <w:sz w:val="1"/>
                <w:szCs w:val="24"/>
              </w:rPr>
            </w:r>
          </w:p>
        </w:tc>
        <w:tc>
          <w:tcPr>
            <w:tcW w:type="dxa" w:w="1060"/>
            <w:tcBorders>
              <w:top w:val="nil"/>
              <w:left w:val="nil"/>
              <w:bottom w:val="nil"/>
              <w:right w:val="nil"/>
            </w:tcBorders>
            <w:shd w:fill="auto" w:val="clear"/>
            <w:vAlign w:val="center"/>
          </w:tcPr>
          <w:p>
            <w:pPr>
              <w:pStyle w:val="style0"/>
              <w:rPr>
                <w:sz w:val="1"/>
                <w:szCs w:val="24"/>
              </w:rPr>
            </w:pPr>
            <w:r>
              <w:rPr>
                <w:sz w:val="1"/>
                <w:szCs w:val="24"/>
              </w:rPr>
            </w:r>
          </w:p>
        </w:tc>
        <w:tc>
          <w:tcPr>
            <w:tcW w:type="dxa" w:w="1059"/>
            <w:tcBorders>
              <w:top w:val="nil"/>
              <w:left w:val="nil"/>
              <w:bottom w:val="nil"/>
              <w:right w:val="nil"/>
            </w:tcBorders>
            <w:shd w:fill="auto" w:val="clear"/>
            <w:vAlign w:val="center"/>
          </w:tcPr>
          <w:p>
            <w:pPr>
              <w:pStyle w:val="style0"/>
              <w:rPr>
                <w:sz w:val="1"/>
                <w:szCs w:val="24"/>
              </w:rPr>
            </w:pPr>
            <w:r>
              <w:rPr>
                <w:sz w:val="1"/>
                <w:szCs w:val="24"/>
              </w:rPr>
            </w:r>
          </w:p>
        </w:tc>
        <w:tc>
          <w:tcPr>
            <w:tcW w:type="dxa" w:w="1060"/>
            <w:tcBorders>
              <w:top w:val="nil"/>
              <w:left w:val="nil"/>
              <w:bottom w:val="nil"/>
              <w:right w:val="nil"/>
            </w:tcBorders>
            <w:shd w:fill="auto" w:val="clear"/>
            <w:vAlign w:val="center"/>
          </w:tcPr>
          <w:p>
            <w:pPr>
              <w:pStyle w:val="style0"/>
              <w:rPr>
                <w:sz w:val="1"/>
                <w:szCs w:val="24"/>
              </w:rPr>
            </w:pPr>
            <w:r>
              <w:rPr>
                <w:sz w:val="1"/>
                <w:szCs w:val="24"/>
              </w:rPr>
            </w:r>
          </w:p>
        </w:tc>
        <w:tc>
          <w:tcPr>
            <w:tcW w:type="dxa" w:w="999"/>
            <w:tcBorders>
              <w:top w:val="nil"/>
              <w:left w:val="nil"/>
              <w:bottom w:val="nil"/>
              <w:right w:val="nil"/>
            </w:tcBorders>
            <w:shd w:fill="auto" w:val="clear"/>
            <w:vAlign w:val="center"/>
          </w:tcPr>
          <w:p>
            <w:pPr>
              <w:pStyle w:val="style0"/>
              <w:rPr>
                <w:sz w:val="1"/>
                <w:szCs w:val="24"/>
              </w:rPr>
            </w:pPr>
            <w:r>
              <w:rPr>
                <w:sz w:val="1"/>
                <w:szCs w:val="24"/>
              </w:rPr>
            </w:r>
          </w:p>
        </w:tc>
        <w:tc>
          <w:tcPr>
            <w:tcW w:type="dxa" w:w="1003"/>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561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060"/>
            <w:tcBorders>
              <w:top w:val="nil"/>
              <w:left w:val="nil"/>
              <w:bottom w:val="nil"/>
              <w:right w:val="nil"/>
            </w:tcBorders>
            <w:shd w:fill="auto" w:val="clear"/>
            <w:tcMar>
              <w:left w:type="dxa" w:w="144"/>
            </w:tcMar>
            <w:vAlign w:val="bottom"/>
          </w:tcPr>
          <w:p>
            <w:pPr>
              <w:pStyle w:val="style65"/>
              <w:rPr/>
            </w:pPr>
            <w:r>
              <w:rPr/>
              <w:t> </w:t>
            </w:r>
          </w:p>
        </w:tc>
        <w:tc>
          <w:tcPr>
            <w:tcW w:type="dxa" w:w="1059"/>
            <w:tcBorders>
              <w:top w:val="nil"/>
              <w:left w:val="nil"/>
              <w:bottom w:val="nil"/>
              <w:right w:val="nil"/>
            </w:tcBorders>
            <w:shd w:fill="auto" w:val="clear"/>
            <w:tcMar>
              <w:left w:type="dxa" w:w="144"/>
            </w:tcMar>
            <w:vAlign w:val="bottom"/>
          </w:tcPr>
          <w:p>
            <w:pPr>
              <w:pStyle w:val="style65"/>
              <w:rPr/>
            </w:pPr>
            <w:r>
              <w:rPr/>
              <w:t> </w:t>
            </w:r>
          </w:p>
        </w:tc>
        <w:tc>
          <w:tcPr>
            <w:tcW w:type="dxa" w:w="1060"/>
            <w:tcBorders>
              <w:top w:val="nil"/>
              <w:left w:val="nil"/>
              <w:bottom w:val="nil"/>
              <w:right w:val="nil"/>
            </w:tcBorders>
            <w:shd w:fill="auto" w:val="clear"/>
            <w:tcMar>
              <w:left w:type="dxa" w:w="144"/>
            </w:tcMar>
            <w:vAlign w:val="bottom"/>
          </w:tcPr>
          <w:p>
            <w:pPr>
              <w:pStyle w:val="style65"/>
              <w:rPr/>
            </w:pPr>
            <w:r>
              <w:rPr/>
              <w:t> </w:t>
            </w:r>
          </w:p>
        </w:tc>
        <w:tc>
          <w:tcPr>
            <w:tcW w:type="dxa" w:w="999"/>
            <w:tcBorders>
              <w:top w:val="nil"/>
              <w:left w:val="nil"/>
              <w:bottom w:val="nil"/>
              <w:right w:val="nil"/>
            </w:tcBorders>
            <w:shd w:fill="auto" w:val="clear"/>
            <w:tcMar>
              <w:left w:type="dxa" w:w="144"/>
            </w:tcMar>
            <w:vAlign w:val="bottom"/>
          </w:tcPr>
          <w:p>
            <w:pPr>
              <w:pStyle w:val="style65"/>
              <w:rPr/>
            </w:pPr>
            <w:r>
              <w:rPr/>
              <w:t> </w:t>
            </w:r>
          </w:p>
        </w:tc>
        <w:tc>
          <w:tcPr>
            <w:tcW w:type="dxa" w:w="1003"/>
            <w:tcBorders>
              <w:top w:val="nil"/>
              <w:left w:val="nil"/>
              <w:bottom w:val="nil"/>
              <w:right w:val="nil"/>
            </w:tcBorders>
            <w:shd w:fill="auto" w:val="clear"/>
            <w:tcMar>
              <w:left w:type="dxa" w:w="144"/>
            </w:tcMar>
            <w:vAlign w:val="bottom"/>
          </w:tcPr>
          <w:p>
            <w:pPr>
              <w:pStyle w:val="style65"/>
              <w:rPr/>
            </w:pPr>
            <w:r>
              <w:rPr/>
              <w:t> </w:t>
            </w:r>
          </w:p>
        </w:tc>
      </w:tr>
      <w:tr>
        <w:trPr>
          <w:cantSplit w:val="false"/>
        </w:trPr>
        <w:tc>
          <w:tcPr>
            <w:tcW w:type="dxa" w:w="10800"/>
            <w:gridSpan w:val="6"/>
            <w:tcBorders>
              <w:top w:val="nil"/>
              <w:left w:val="nil"/>
              <w:bottom w:val="nil"/>
              <w:right w:val="nil"/>
            </w:tcBorders>
            <w:shd w:fill="auto" w:val="clear"/>
            <w:tcMar>
              <w:left w:type="dxa" w:w="144"/>
            </w:tcMar>
            <w:vAlign w:val="bottom"/>
          </w:tcPr>
          <w:p>
            <w:pPr>
              <w:pStyle w:val="style59"/>
              <w:spacing w:after="0" w:before="20"/>
              <w:ind w:hanging="0" w:left="-144" w:right="0"/>
              <w:contextualSpacing w:val="false"/>
              <w:rPr/>
            </w:pPr>
            <w:r>
              <w:rPr/>
              <w:t> </w:t>
            </w:r>
          </w:p>
        </w:tc>
      </w:tr>
      <w:tr>
        <w:trPr>
          <w:trHeight w:hRule="atLeast" w:val="75"/>
          <w:cantSplit w:val="false"/>
        </w:trPr>
        <w:tc>
          <w:tcPr>
            <w:tcW w:type="dxa" w:w="5619"/>
            <w:tcBorders>
              <w:top w:val="nil"/>
              <w:left w:val="nil"/>
              <w:bottom w:val="nil"/>
              <w:right w:val="nil"/>
            </w:tcBorders>
            <w:shd w:fill="auto" w:val="clear"/>
            <w:vAlign w:val="center"/>
          </w:tcPr>
          <w:p>
            <w:pPr>
              <w:pStyle w:val="style0"/>
              <w:rPr>
                <w:sz w:val="8"/>
                <w:szCs w:val="24"/>
              </w:rPr>
            </w:pPr>
            <w:r>
              <w:rPr>
                <w:sz w:val="8"/>
                <w:szCs w:val="24"/>
              </w:rPr>
            </w:r>
          </w:p>
        </w:tc>
        <w:tc>
          <w:tcPr>
            <w:tcW w:type="dxa" w:w="1060"/>
            <w:tcBorders>
              <w:top w:val="nil"/>
              <w:left w:val="nil"/>
              <w:bottom w:val="nil"/>
              <w:right w:val="nil"/>
            </w:tcBorders>
            <w:shd w:fill="auto" w:val="clear"/>
            <w:vAlign w:val="center"/>
          </w:tcPr>
          <w:p>
            <w:pPr>
              <w:pStyle w:val="style0"/>
              <w:rPr>
                <w:sz w:val="8"/>
                <w:szCs w:val="24"/>
              </w:rPr>
            </w:pPr>
            <w:r>
              <w:rPr>
                <w:sz w:val="8"/>
                <w:szCs w:val="24"/>
              </w:rPr>
            </w:r>
          </w:p>
        </w:tc>
        <w:tc>
          <w:tcPr>
            <w:tcW w:type="dxa" w:w="1059"/>
            <w:tcBorders>
              <w:top w:val="nil"/>
              <w:left w:val="nil"/>
              <w:bottom w:val="nil"/>
              <w:right w:val="nil"/>
            </w:tcBorders>
            <w:shd w:fill="auto" w:val="clear"/>
            <w:vAlign w:val="center"/>
          </w:tcPr>
          <w:p>
            <w:pPr>
              <w:pStyle w:val="style0"/>
              <w:rPr>
                <w:sz w:val="8"/>
                <w:szCs w:val="24"/>
              </w:rPr>
            </w:pPr>
            <w:r>
              <w:rPr>
                <w:sz w:val="8"/>
                <w:szCs w:val="24"/>
              </w:rPr>
            </w:r>
          </w:p>
        </w:tc>
        <w:tc>
          <w:tcPr>
            <w:tcW w:type="dxa" w:w="3062"/>
            <w:gridSpan w:val="3"/>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5619"/>
            <w:tcBorders>
              <w:top w:val="nil"/>
              <w:left w:val="nil"/>
              <w:bottom w:val="nil"/>
              <w:right w:val="nil"/>
            </w:tcBorders>
            <w:shd w:fill="auto" w:val="clear"/>
            <w:tcMar>
              <w:left w:type="dxa" w:w="144"/>
            </w:tcMar>
            <w:vAlign w:val="bottom"/>
          </w:tcPr>
          <w:p>
            <w:pPr>
              <w:pStyle w:val="style65"/>
              <w:keepNext/>
              <w:rPr/>
            </w:pPr>
            <w:r>
              <w:rPr/>
              <w:t> </w:t>
            </w:r>
          </w:p>
        </w:tc>
        <w:tc>
          <w:tcPr>
            <w:tcW w:type="dxa" w:w="1060"/>
            <w:tcBorders>
              <w:top w:val="nil"/>
              <w:left w:val="nil"/>
              <w:bottom w:val="nil"/>
              <w:right w:val="nil"/>
            </w:tcBorders>
            <w:shd w:fill="auto" w:val="clear"/>
            <w:tcMar>
              <w:left w:type="dxa" w:w="144"/>
            </w:tcMar>
            <w:vAlign w:val="bottom"/>
          </w:tcPr>
          <w:p>
            <w:pPr>
              <w:pStyle w:val="style0"/>
              <w:ind w:hanging="0" w:left="0" w:right="56"/>
              <w:jc w:val="right"/>
              <w:rPr>
                <w:rFonts w:ascii="Arial" w:cs="Arial" w:hAnsi="Arial"/>
                <w:b/>
                <w:bCs/>
                <w:sz w:val="15"/>
                <w:szCs w:val="15"/>
              </w:rPr>
            </w:pPr>
            <w:r>
              <w:rPr>
                <w:rFonts w:ascii="Arial" w:cs="Arial" w:hAnsi="Arial"/>
                <w:b/>
                <w:bCs/>
                <w:sz w:val="15"/>
                <w:szCs w:val="15"/>
              </w:rPr>
              <w:t>June 30,</w:t>
              <w:br/>
              <w:t>2013</w:t>
            </w:r>
          </w:p>
        </w:tc>
        <w:tc>
          <w:tcPr>
            <w:tcW w:type="dxa" w:w="1059"/>
            <w:tcBorders>
              <w:top w:val="nil"/>
              <w:left w:val="nil"/>
              <w:bottom w:val="nil"/>
              <w:right w:val="nil"/>
            </w:tcBorders>
            <w:shd w:fill="auto" w:val="clear"/>
            <w:tcMar>
              <w:left w:type="dxa" w:w="144"/>
            </w:tcMar>
            <w:vAlign w:val="bottom"/>
          </w:tcPr>
          <w:p>
            <w:pPr>
              <w:pStyle w:val="style0"/>
              <w:ind w:hanging="0" w:left="0" w:right="56"/>
              <w:jc w:val="right"/>
              <w:rPr>
                <w:rFonts w:ascii="Arial" w:cs="Arial" w:hAnsi="Arial"/>
                <w:b/>
                <w:bCs/>
                <w:sz w:val="15"/>
                <w:szCs w:val="15"/>
              </w:rPr>
            </w:pPr>
            <w:r>
              <w:rPr>
                <w:rFonts w:ascii="Arial" w:cs="Arial" w:hAnsi="Arial"/>
                <w:b/>
                <w:bCs/>
                <w:sz w:val="15"/>
                <w:szCs w:val="15"/>
              </w:rPr>
              <w:t>June 30,</w:t>
              <w:br/>
              <w:t>2012</w:t>
            </w:r>
          </w:p>
        </w:tc>
        <w:tc>
          <w:tcPr>
            <w:tcW w:type="dxa" w:w="3062"/>
            <w:gridSpan w:val="3"/>
            <w:tcBorders>
              <w:top w:val="nil"/>
              <w:left w:val="nil"/>
              <w:bottom w:val="nil"/>
              <w:right w:val="nil"/>
            </w:tcBorders>
            <w:shd w:fill="auto" w:val="clear"/>
            <w:tcMar>
              <w:left w:type="dxa" w:w="144"/>
            </w:tcMar>
            <w:vAlign w:val="bottom"/>
          </w:tcPr>
          <w:p>
            <w:pPr>
              <w:pStyle w:val="style62"/>
              <w:spacing w:after="280" w:before="280"/>
              <w:contextualSpacing w:val="false"/>
              <w:jc w:val="right"/>
              <w:rPr>
                <w:rFonts w:ascii="Arial" w:cs="Arial" w:hAnsi="Arial"/>
                <w:b/>
                <w:bCs/>
                <w:sz w:val="15"/>
                <w:szCs w:val="15"/>
              </w:rPr>
            </w:pPr>
            <w:r>
              <w:rPr>
                <w:rFonts w:ascii="Arial" w:cs="Arial" w:hAnsi="Arial"/>
                <w:b/>
                <w:bCs/>
                <w:sz w:val="15"/>
                <w:szCs w:val="15"/>
              </w:rPr>
              <w:t>Year Ended June 30,</w:t>
            </w:r>
          </w:p>
          <w:p>
            <w:pPr>
              <w:pStyle w:val="style62"/>
              <w:spacing w:after="280" w:before="280"/>
              <w:contextualSpacing w:val="false"/>
              <w:jc w:val="right"/>
              <w:rPr>
                <w:rFonts w:ascii="Arial" w:cs="Arial" w:hAnsi="Arial"/>
                <w:b/>
                <w:bCs/>
                <w:sz w:val="15"/>
                <w:szCs w:val="15"/>
              </w:rPr>
            </w:pPr>
            <w:r>
              <w:rPr>
                <w:rFonts w:ascii="Arial" w:cs="Arial" w:hAnsi="Arial"/>
                <w:b/>
                <w:bCs/>
                <w:sz w:val="15"/>
                <w:szCs w:val="15"/>
              </w:rPr>
              <w:t>2013</w:t>
            </w:r>
          </w:p>
        </w:tc>
      </w:tr>
      <w:tr>
        <w:trPr>
          <w:cantSplit w:val="false"/>
        </w:trPr>
        <w:tc>
          <w:tcPr>
            <w:tcW w:type="dxa" w:w="6679"/>
            <w:gridSpan w:val="2"/>
            <w:tcBorders>
              <w:top w:val="nil"/>
              <w:left w:val="nil"/>
              <w:bottom w:val="nil"/>
              <w:right w:val="nil"/>
            </w:tcBorders>
            <w:shd w:fill="auto" w:val="clear"/>
            <w:vAlign w:val="bottom"/>
          </w:tcPr>
          <w:p>
            <w:pPr>
              <w:pStyle w:val="style65"/>
              <w:ind w:hanging="0" w:left="0" w:right="72"/>
              <w:rPr/>
            </w:pPr>
            <w:r>
              <w:rPr/>
              <w:t> </w:t>
            </w:r>
          </w:p>
        </w:tc>
        <w:tc>
          <w:tcPr>
            <w:tcW w:type="dxa" w:w="1059"/>
            <w:tcBorders>
              <w:top w:val="nil"/>
              <w:left w:val="nil"/>
              <w:bottom w:val="nil"/>
              <w:right w:val="nil"/>
            </w:tcBorders>
            <w:shd w:fill="auto" w:val="clear"/>
            <w:tcMar>
              <w:left w:type="dxa" w:w="144"/>
            </w:tcMar>
            <w:vAlign w:val="bottom"/>
          </w:tcPr>
          <w:p>
            <w:pPr>
              <w:pStyle w:val="style65"/>
              <w:ind w:hanging="0" w:left="0" w:right="72"/>
              <w:rPr/>
            </w:pPr>
            <w:r>
              <w:rPr/>
              <w:t> </w:t>
            </w:r>
          </w:p>
        </w:tc>
        <w:tc>
          <w:tcPr>
            <w:tcW w:type="dxa" w:w="3062"/>
            <w:gridSpan w:val="3"/>
            <w:tcBorders>
              <w:top w:val="nil"/>
              <w:left w:val="nil"/>
              <w:bottom w:val="nil"/>
              <w:right w:val="nil"/>
            </w:tcBorders>
            <w:shd w:fill="auto" w:val="clear"/>
            <w:tcMar>
              <w:left w:type="dxa" w:w="144"/>
            </w:tcMar>
            <w:vAlign w:val="bottom"/>
          </w:tcPr>
          <w:p>
            <w:pPr>
              <w:pStyle w:val="style59"/>
              <w:spacing w:after="0" w:before="20"/>
              <w:ind w:hanging="0" w:left="261" w:right="0"/>
              <w:contextualSpacing w:val="false"/>
              <w:rPr/>
            </w:pPr>
            <w:r>
              <w:rPr/>
              <w:t> </w:t>
            </w:r>
          </w:p>
        </w:tc>
      </w:tr>
      <w:tr>
        <w:trPr>
          <w:cantSplit w:val="false"/>
        </w:trPr>
        <w:tc>
          <w:tcPr>
            <w:tcW w:type="dxa" w:w="561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Risk Categories</w:t>
            </w:r>
          </w:p>
        </w:tc>
        <w:tc>
          <w:tcPr>
            <w:tcW w:type="dxa" w:w="1060"/>
            <w:tcBorders>
              <w:top w:val="nil"/>
              <w:left w:val="nil"/>
              <w:bottom w:val="nil"/>
              <w:right w:val="nil"/>
            </w:tcBorders>
            <w:shd w:fill="auto" w:val="clear"/>
            <w:tcMar>
              <w:left w:type="dxa" w:w="144"/>
            </w:tcMar>
            <w:vAlign w:val="bottom"/>
          </w:tcPr>
          <w:p>
            <w:pPr>
              <w:pStyle w:val="style65"/>
              <w:ind w:hanging="0" w:left="0" w:right="72"/>
              <w:rPr/>
            </w:pPr>
            <w:r>
              <w:rPr/>
              <w:t> </w:t>
            </w:r>
          </w:p>
        </w:tc>
        <w:tc>
          <w:tcPr>
            <w:tcW w:type="dxa" w:w="1059"/>
            <w:tcBorders>
              <w:top w:val="nil"/>
              <w:left w:val="nil"/>
              <w:bottom w:val="nil"/>
              <w:right w:val="nil"/>
            </w:tcBorders>
            <w:shd w:fill="auto" w:val="clear"/>
            <w:tcMar>
              <w:left w:type="dxa" w:w="144"/>
            </w:tcMar>
            <w:vAlign w:val="bottom"/>
          </w:tcPr>
          <w:p>
            <w:pPr>
              <w:pStyle w:val="style65"/>
              <w:ind w:hanging="0" w:left="0" w:right="72"/>
              <w:rPr/>
            </w:pPr>
            <w:r>
              <w:rPr/>
              <w:t> </w:t>
            </w:r>
          </w:p>
        </w:tc>
        <w:tc>
          <w:tcPr>
            <w:tcW w:type="dxa" w:w="106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Average</w:t>
            </w:r>
          </w:p>
        </w:tc>
        <w:tc>
          <w:tcPr>
            <w:tcW w:type="dxa" w:w="999"/>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High</w:t>
            </w:r>
          </w:p>
        </w:tc>
        <w:tc>
          <w:tcPr>
            <w:tcW w:type="dxa" w:w="1003"/>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Low</w:t>
            </w:r>
          </w:p>
        </w:tc>
      </w:tr>
      <w:tr>
        <w:trPr>
          <w:trHeight w:hRule="atLeast" w:val="75"/>
          <w:cantSplit w:val="false"/>
        </w:trPr>
        <w:tc>
          <w:tcPr>
            <w:tcW w:type="dxa" w:w="5619"/>
            <w:tcBorders>
              <w:top w:val="nil"/>
              <w:left w:val="nil"/>
              <w:bottom w:val="nil"/>
              <w:right w:val="nil"/>
            </w:tcBorders>
            <w:shd w:fill="auto" w:val="clear"/>
            <w:vAlign w:val="center"/>
          </w:tcPr>
          <w:p>
            <w:pPr>
              <w:pStyle w:val="style0"/>
              <w:rPr>
                <w:sz w:val="8"/>
                <w:szCs w:val="24"/>
              </w:rPr>
            </w:pPr>
            <w:r>
              <w:rPr>
                <w:sz w:val="8"/>
                <w:szCs w:val="24"/>
              </w:rPr>
            </w:r>
          </w:p>
        </w:tc>
        <w:tc>
          <w:tcPr>
            <w:tcW w:type="dxa" w:w="1060"/>
            <w:tcBorders>
              <w:top w:val="nil"/>
              <w:left w:val="nil"/>
              <w:bottom w:val="nil"/>
              <w:right w:val="nil"/>
            </w:tcBorders>
            <w:shd w:fill="auto" w:val="clear"/>
            <w:vAlign w:val="center"/>
          </w:tcPr>
          <w:p>
            <w:pPr>
              <w:pStyle w:val="style0"/>
              <w:rPr>
                <w:sz w:val="8"/>
                <w:szCs w:val="24"/>
              </w:rPr>
            </w:pPr>
            <w:r>
              <w:rPr>
                <w:sz w:val="8"/>
                <w:szCs w:val="24"/>
              </w:rPr>
            </w:r>
          </w:p>
        </w:tc>
        <w:tc>
          <w:tcPr>
            <w:tcW w:type="dxa" w:w="1059"/>
            <w:tcBorders>
              <w:top w:val="nil"/>
              <w:left w:val="nil"/>
              <w:bottom w:val="nil"/>
              <w:right w:val="nil"/>
            </w:tcBorders>
            <w:shd w:fill="auto" w:val="clear"/>
            <w:vAlign w:val="center"/>
          </w:tcPr>
          <w:p>
            <w:pPr>
              <w:pStyle w:val="style0"/>
              <w:rPr>
                <w:sz w:val="8"/>
                <w:szCs w:val="24"/>
              </w:rPr>
            </w:pPr>
            <w:r>
              <w:rPr>
                <w:sz w:val="8"/>
                <w:szCs w:val="24"/>
              </w:rPr>
            </w:r>
          </w:p>
        </w:tc>
        <w:tc>
          <w:tcPr>
            <w:tcW w:type="dxa" w:w="1060"/>
            <w:tcBorders>
              <w:top w:val="nil"/>
              <w:left w:val="nil"/>
              <w:bottom w:val="nil"/>
              <w:right w:val="nil"/>
            </w:tcBorders>
            <w:shd w:fill="auto" w:val="clear"/>
            <w:vAlign w:val="center"/>
          </w:tcPr>
          <w:p>
            <w:pPr>
              <w:pStyle w:val="style0"/>
              <w:rPr>
                <w:sz w:val="8"/>
                <w:szCs w:val="24"/>
              </w:rPr>
            </w:pPr>
            <w:r>
              <w:rPr>
                <w:sz w:val="8"/>
                <w:szCs w:val="24"/>
              </w:rPr>
            </w:r>
          </w:p>
        </w:tc>
        <w:tc>
          <w:tcPr>
            <w:tcW w:type="dxa" w:w="999"/>
            <w:tcBorders>
              <w:top w:val="nil"/>
              <w:left w:val="nil"/>
              <w:bottom w:val="nil"/>
              <w:right w:val="nil"/>
            </w:tcBorders>
            <w:shd w:fill="auto" w:val="clear"/>
            <w:vAlign w:val="center"/>
          </w:tcPr>
          <w:p>
            <w:pPr>
              <w:pStyle w:val="style0"/>
              <w:rPr>
                <w:sz w:val="8"/>
                <w:szCs w:val="24"/>
              </w:rPr>
            </w:pPr>
            <w:r>
              <w:rPr>
                <w:sz w:val="8"/>
                <w:szCs w:val="24"/>
              </w:rPr>
            </w:r>
          </w:p>
        </w:tc>
        <w:tc>
          <w:tcPr>
            <w:tcW w:type="dxa" w:w="1003"/>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561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Foreign currency</w:t>
            </w:r>
          </w:p>
        </w:tc>
        <w:tc>
          <w:tcPr>
            <w:tcW w:type="dxa" w:w="106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  199</w:t>
              <w:tab/>
              <w:t> </w:t>
            </w:r>
          </w:p>
        </w:tc>
        <w:tc>
          <w:tcPr>
            <w:tcW w:type="dxa" w:w="1059"/>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74" w:right="0"/>
              <w:contextualSpacing w:val="false"/>
              <w:rPr>
                <w:rFonts w:ascii="Arial" w:cs="Arial" w:hAnsi="Arial"/>
                <w:sz w:val="20"/>
                <w:szCs w:val="20"/>
              </w:rPr>
            </w:pPr>
            <w:r>
              <w:rPr>
                <w:rFonts w:ascii="Arial" w:cs="Arial" w:hAnsi="Arial"/>
                <w:sz w:val="20"/>
                <w:szCs w:val="20"/>
              </w:rPr>
              <w:t>$</w:t>
              <w:tab/>
              <w:t>98</w:t>
              <w:tab/>
            </w:r>
          </w:p>
        </w:tc>
        <w:tc>
          <w:tcPr>
            <w:tcW w:type="dxa" w:w="106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  215</w:t>
              <w:tab/>
              <w:t> </w:t>
            </w:r>
          </w:p>
        </w:tc>
        <w:tc>
          <w:tcPr>
            <w:tcW w:type="dxa" w:w="999"/>
            <w:tcBorders>
              <w:top w:val="nil"/>
              <w:left w:val="nil"/>
              <w:bottom w:val="nil"/>
              <w:right w:val="nil"/>
            </w:tcBorders>
            <w:shd w:fill="auto" w:val="clear"/>
            <w:tcMar>
              <w:left w:type="dxa" w:w="144"/>
            </w:tcMar>
            <w:vAlign w:val="bottom"/>
          </w:tcPr>
          <w:p>
            <w:pPr>
              <w:pStyle w:val="style62"/>
              <w:tabs>
                <w:tab w:leader="none" w:pos="800" w:val="right"/>
                <w:tab w:leader="none" w:pos="840"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 256</w:t>
              <w:tab/>
              <w:t> </w:t>
            </w:r>
          </w:p>
        </w:tc>
        <w:tc>
          <w:tcPr>
            <w:tcW w:type="dxa" w:w="1003"/>
            <w:tcBorders>
              <w:top w:val="nil"/>
              <w:left w:val="nil"/>
              <w:bottom w:val="nil"/>
              <w:right w:val="nil"/>
            </w:tcBorders>
            <w:shd w:fill="auto" w:val="clear"/>
            <w:tcMar>
              <w:left w:type="dxa" w:w="144"/>
            </w:tcMar>
            <w:vAlign w:val="bottom"/>
          </w:tcPr>
          <w:p>
            <w:pPr>
              <w:pStyle w:val="style62"/>
              <w:tabs>
                <w:tab w:leader="none" w:pos="874" w:val="right"/>
                <w:tab w:leader="none" w:pos="973"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90</w:t>
              <w:tab/>
            </w:r>
          </w:p>
        </w:tc>
      </w:tr>
      <w:tr>
        <w:trPr>
          <w:cantSplit w:val="false"/>
        </w:trPr>
        <w:tc>
          <w:tcPr>
            <w:tcW w:type="dxa" w:w="561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Interest rate</w:t>
            </w:r>
          </w:p>
        </w:tc>
        <w:tc>
          <w:tcPr>
            <w:tcW w:type="dxa" w:w="106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85</w:t>
              <w:tab/>
            </w:r>
          </w:p>
        </w:tc>
        <w:tc>
          <w:tcPr>
            <w:tcW w:type="dxa" w:w="1059"/>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74" w:right="0"/>
              <w:contextualSpacing w:val="false"/>
              <w:rPr>
                <w:rFonts w:ascii="Arial" w:cs="Arial" w:hAnsi="Arial"/>
                <w:sz w:val="20"/>
                <w:szCs w:val="20"/>
              </w:rPr>
            </w:pPr>
            <w:r>
              <w:rPr>
                <w:rFonts w:ascii="Arial" w:cs="Arial" w:hAnsi="Arial"/>
                <w:sz w:val="20"/>
                <w:szCs w:val="20"/>
              </w:rPr>
              <w:t>$</w:t>
              <w:tab/>
              <w:t>71</w:t>
              <w:tab/>
            </w:r>
          </w:p>
        </w:tc>
        <w:tc>
          <w:tcPr>
            <w:tcW w:type="dxa" w:w="106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73</w:t>
              <w:tab/>
            </w:r>
          </w:p>
        </w:tc>
        <w:tc>
          <w:tcPr>
            <w:tcW w:type="dxa" w:w="999"/>
            <w:tcBorders>
              <w:top w:val="nil"/>
              <w:left w:val="nil"/>
              <w:bottom w:val="nil"/>
              <w:right w:val="nil"/>
            </w:tcBorders>
            <w:shd w:fill="auto" w:val="clear"/>
            <w:tcMar>
              <w:left w:type="dxa" w:w="144"/>
            </w:tcMar>
            <w:vAlign w:val="bottom"/>
          </w:tcPr>
          <w:p>
            <w:pPr>
              <w:pStyle w:val="style62"/>
              <w:tabs>
                <w:tab w:leader="none" w:pos="800" w:val="right"/>
                <w:tab w:leader="none" w:pos="840"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86</w:t>
              <w:tab/>
            </w:r>
          </w:p>
        </w:tc>
        <w:tc>
          <w:tcPr>
            <w:tcW w:type="dxa" w:w="1003"/>
            <w:tcBorders>
              <w:top w:val="nil"/>
              <w:left w:val="nil"/>
              <w:bottom w:val="nil"/>
              <w:right w:val="nil"/>
            </w:tcBorders>
            <w:shd w:fill="auto" w:val="clear"/>
            <w:tcMar>
              <w:left w:type="dxa" w:w="144"/>
            </w:tcMar>
            <w:vAlign w:val="bottom"/>
          </w:tcPr>
          <w:p>
            <w:pPr>
              <w:pStyle w:val="style62"/>
              <w:tabs>
                <w:tab w:leader="none" w:pos="874" w:val="right"/>
                <w:tab w:leader="none" w:pos="973"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63</w:t>
              <w:tab/>
            </w:r>
          </w:p>
        </w:tc>
      </w:tr>
      <w:tr>
        <w:trPr>
          <w:cantSplit w:val="false"/>
        </w:trPr>
        <w:tc>
          <w:tcPr>
            <w:tcW w:type="dxa" w:w="561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Equity</w:t>
            </w:r>
          </w:p>
        </w:tc>
        <w:tc>
          <w:tcPr>
            <w:tcW w:type="dxa" w:w="106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181</w:t>
              <w:tab/>
            </w:r>
          </w:p>
        </w:tc>
        <w:tc>
          <w:tcPr>
            <w:tcW w:type="dxa" w:w="1059"/>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74" w:right="0"/>
              <w:contextualSpacing w:val="false"/>
              <w:rPr>
                <w:rFonts w:ascii="Arial" w:cs="Arial" w:hAnsi="Arial"/>
                <w:sz w:val="20"/>
                <w:szCs w:val="20"/>
              </w:rPr>
            </w:pPr>
            <w:r>
              <w:rPr>
                <w:rFonts w:ascii="Arial" w:cs="Arial" w:hAnsi="Arial"/>
                <w:sz w:val="20"/>
                <w:szCs w:val="20"/>
              </w:rPr>
              <w:t>$</w:t>
              <w:tab/>
              <w:t>  205</w:t>
              <w:tab/>
              <w:t> </w:t>
            </w:r>
          </w:p>
        </w:tc>
        <w:tc>
          <w:tcPr>
            <w:tcW w:type="dxa" w:w="106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198</w:t>
              <w:tab/>
            </w:r>
          </w:p>
        </w:tc>
        <w:tc>
          <w:tcPr>
            <w:tcW w:type="dxa" w:w="999"/>
            <w:tcBorders>
              <w:top w:val="nil"/>
              <w:left w:val="nil"/>
              <w:bottom w:val="nil"/>
              <w:right w:val="nil"/>
            </w:tcBorders>
            <w:shd w:fill="auto" w:val="clear"/>
            <w:tcMar>
              <w:left w:type="dxa" w:w="144"/>
            </w:tcMar>
            <w:vAlign w:val="bottom"/>
          </w:tcPr>
          <w:p>
            <w:pPr>
              <w:pStyle w:val="style62"/>
              <w:tabs>
                <w:tab w:leader="none" w:pos="800" w:val="right"/>
                <w:tab w:leader="none" w:pos="840"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211</w:t>
              <w:tab/>
            </w:r>
          </w:p>
        </w:tc>
        <w:tc>
          <w:tcPr>
            <w:tcW w:type="dxa" w:w="1003"/>
            <w:tcBorders>
              <w:top w:val="nil"/>
              <w:left w:val="nil"/>
              <w:bottom w:val="nil"/>
              <w:right w:val="nil"/>
            </w:tcBorders>
            <w:shd w:fill="auto" w:val="clear"/>
            <w:tcMar>
              <w:left w:type="dxa" w:w="144"/>
            </w:tcMar>
            <w:vAlign w:val="bottom"/>
          </w:tcPr>
          <w:p>
            <w:pPr>
              <w:pStyle w:val="style62"/>
              <w:tabs>
                <w:tab w:leader="none" w:pos="874" w:val="right"/>
                <w:tab w:leader="none" w:pos="973"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  178</w:t>
              <w:tab/>
              <w:t> </w:t>
            </w:r>
          </w:p>
        </w:tc>
      </w:tr>
      <w:tr>
        <w:trPr>
          <w:cantSplit w:val="false"/>
        </w:trPr>
        <w:tc>
          <w:tcPr>
            <w:tcW w:type="dxa" w:w="561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Commodity</w:t>
            </w:r>
          </w:p>
        </w:tc>
        <w:tc>
          <w:tcPr>
            <w:tcW w:type="dxa" w:w="106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19</w:t>
              <w:tab/>
            </w:r>
          </w:p>
        </w:tc>
        <w:tc>
          <w:tcPr>
            <w:tcW w:type="dxa" w:w="1059"/>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74" w:right="0"/>
              <w:contextualSpacing w:val="false"/>
              <w:rPr>
                <w:rFonts w:ascii="Arial" w:cs="Arial" w:hAnsi="Arial"/>
                <w:sz w:val="20"/>
                <w:szCs w:val="20"/>
              </w:rPr>
            </w:pPr>
            <w:r>
              <w:rPr>
                <w:rFonts w:ascii="Arial" w:cs="Arial" w:hAnsi="Arial"/>
                <w:sz w:val="20"/>
                <w:szCs w:val="20"/>
              </w:rPr>
              <w:t>$</w:t>
              <w:tab/>
              <w:t>18</w:t>
              <w:tab/>
            </w:r>
          </w:p>
        </w:tc>
        <w:tc>
          <w:tcPr>
            <w:tcW w:type="dxa" w:w="106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20</w:t>
              <w:tab/>
            </w:r>
          </w:p>
        </w:tc>
        <w:tc>
          <w:tcPr>
            <w:tcW w:type="dxa" w:w="999"/>
            <w:tcBorders>
              <w:top w:val="nil"/>
              <w:left w:val="nil"/>
              <w:bottom w:val="nil"/>
              <w:right w:val="nil"/>
            </w:tcBorders>
            <w:shd w:fill="auto" w:val="clear"/>
            <w:tcMar>
              <w:left w:type="dxa" w:w="144"/>
            </w:tcMar>
            <w:vAlign w:val="bottom"/>
          </w:tcPr>
          <w:p>
            <w:pPr>
              <w:pStyle w:val="style62"/>
              <w:tabs>
                <w:tab w:leader="none" w:pos="800" w:val="right"/>
                <w:tab w:leader="none" w:pos="840"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24</w:t>
              <w:tab/>
            </w:r>
          </w:p>
        </w:tc>
        <w:tc>
          <w:tcPr>
            <w:tcW w:type="dxa" w:w="1003"/>
            <w:tcBorders>
              <w:top w:val="nil"/>
              <w:left w:val="nil"/>
              <w:bottom w:val="nil"/>
              <w:right w:val="nil"/>
            </w:tcBorders>
            <w:shd w:fill="auto" w:val="clear"/>
            <w:tcMar>
              <w:left w:type="dxa" w:w="144"/>
            </w:tcMar>
            <w:vAlign w:val="bottom"/>
          </w:tcPr>
          <w:p>
            <w:pPr>
              <w:pStyle w:val="style62"/>
              <w:tabs>
                <w:tab w:leader="none" w:pos="874" w:val="right"/>
                <w:tab w:leader="none" w:pos="973" w:val="decimal"/>
              </w:tabs>
              <w:spacing w:after="280" w:before="280"/>
              <w:ind w:hanging="0" w:left="274" w:right="0"/>
              <w:contextualSpacing w:val="false"/>
              <w:rPr>
                <w:rFonts w:ascii="Arial" w:cs="Arial" w:hAnsi="Arial"/>
                <w:b/>
                <w:bCs/>
                <w:sz w:val="20"/>
                <w:szCs w:val="20"/>
              </w:rPr>
            </w:pPr>
            <w:r>
              <w:rPr>
                <w:rFonts w:ascii="Arial" w:cs="Arial" w:hAnsi="Arial"/>
                <w:b/>
                <w:bCs/>
                <w:sz w:val="20"/>
                <w:szCs w:val="20"/>
              </w:rPr>
              <w:t>$</w:t>
              <w:tab/>
              <w:t>18</w:t>
              <w:tab/>
            </w:r>
          </w:p>
        </w:tc>
      </w:tr>
    </w:tbl>
    <w:p>
      <w:pPr>
        <w:pStyle w:val="style59"/>
        <w:pBdr>
          <w:top w:color="000001" w:space="0" w:sz="4" w:val="single"/>
          <w:left w:val="nil"/>
          <w:bottom w:val="nil"/>
          <w:insideH w:val="nil"/>
          <w:right w:val="nil"/>
          <w:insideV w:val="nil"/>
        </w:pBdr>
        <w:rPr/>
      </w:pPr>
      <w:r>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Total one-day VaR for the combined risk categories was $350 million at June 30, 2013 and $292 million at June 30, 2012. The total VaR is 28% less at June 30, 2013, and 26% less at June 30, 2012, than the sum of the separate risk categories in the above table due to the diversification benefit of the combination of risks. </w:t>
      </w:r>
    </w:p>
    <w:p>
      <w:pPr>
        <w:pStyle w:val="style62"/>
        <w:pageBreakBefore/>
        <w:spacing w:after="280" w:before="280"/>
        <w:contextualSpacing w:val="false"/>
        <w:jc w:val="center"/>
        <w:rPr>
          <w:rFonts w:ascii="Arial" w:cs="Arial" w:hAnsi="Arial"/>
          <w:b/>
          <w:bCs/>
        </w:rPr>
      </w:pPr>
      <w:r>
        <w:rPr>
          <w:rFonts w:ascii="Arial" w:cs="Arial" w:hAnsi="Arial"/>
          <w:b/>
          <w:bCs/>
        </w:rPr>
        <w:t>FINANCIAL STATEMENTS AND SUPPLEMENTARY DATA</w:t>
      </w:r>
    </w:p>
    <w:p>
      <w:pPr>
        <w:pStyle w:val="style62"/>
        <w:keepNext/>
        <w:spacing w:after="280" w:before="280"/>
        <w:contextualSpacing w:val="false"/>
        <w:jc w:val="center"/>
        <w:rPr>
          <w:rFonts w:ascii="Arial" w:cs="Arial" w:hAnsi="Arial"/>
          <w:b/>
          <w:bCs/>
          <w:sz w:val="20"/>
          <w:szCs w:val="20"/>
        </w:rPr>
      </w:pPr>
      <w:r>
        <w:rPr>
          <w:rFonts w:ascii="Arial" w:cs="Arial" w:hAnsi="Arial"/>
          <w:b/>
          <w:bCs/>
          <w:sz w:val="20"/>
          <w:szCs w:val="20"/>
        </w:rPr>
        <w:t xml:space="preserve">INCOME STATEMENTS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079"/>
        <w:gridCol w:w="1280"/>
        <w:gridCol w:w="1219"/>
        <w:gridCol w:w="1221"/>
      </w:tblGrid>
      <w:tr>
        <w:trPr>
          <w:tblHeader w:val="true"/>
          <w:cantSplit w:val="false"/>
        </w:trPr>
        <w:tc>
          <w:tcPr>
            <w:tcW w:type="dxa" w:w="7079"/>
            <w:tcBorders>
              <w:top w:val="nil"/>
              <w:left w:val="nil"/>
              <w:bottom w:val="nil"/>
              <w:right w:val="nil"/>
            </w:tcBorders>
            <w:shd w:fill="auto" w:val="clear"/>
            <w:vAlign w:val="center"/>
          </w:tcPr>
          <w:p>
            <w:pPr>
              <w:pStyle w:val="style0"/>
              <w:rPr>
                <w:sz w:val="1"/>
                <w:szCs w:val="24"/>
              </w:rPr>
            </w:pPr>
            <w:r>
              <w:rPr>
                <w:sz w:val="1"/>
                <w:szCs w:val="24"/>
              </w:rPr>
            </w:r>
          </w:p>
        </w:tc>
        <w:tc>
          <w:tcPr>
            <w:tcW w:type="dxa" w:w="1280"/>
            <w:tcBorders>
              <w:top w:val="nil"/>
              <w:left w:val="nil"/>
              <w:bottom w:val="nil"/>
              <w:right w:val="nil"/>
            </w:tcBorders>
            <w:shd w:fill="auto" w:val="clear"/>
            <w:vAlign w:val="center"/>
          </w:tcPr>
          <w:p>
            <w:pPr>
              <w:pStyle w:val="style0"/>
              <w:rPr>
                <w:sz w:val="1"/>
                <w:szCs w:val="24"/>
              </w:rPr>
            </w:pPr>
            <w:r>
              <w:rPr>
                <w:sz w:val="1"/>
                <w:szCs w:val="24"/>
              </w:rPr>
            </w:r>
          </w:p>
        </w:tc>
        <w:tc>
          <w:tcPr>
            <w:tcW w:type="dxa" w:w="1219"/>
            <w:tcBorders>
              <w:top w:val="nil"/>
              <w:left w:val="nil"/>
              <w:bottom w:val="nil"/>
              <w:right w:val="nil"/>
            </w:tcBorders>
            <w:shd w:fill="auto" w:val="clear"/>
            <w:vAlign w:val="center"/>
          </w:tcPr>
          <w:p>
            <w:pPr>
              <w:pStyle w:val="style0"/>
              <w:rPr>
                <w:sz w:val="1"/>
                <w:szCs w:val="24"/>
              </w:rPr>
            </w:pPr>
            <w:r>
              <w:rPr>
                <w:sz w:val="1"/>
                <w:szCs w:val="24"/>
              </w:rPr>
            </w:r>
          </w:p>
        </w:tc>
        <w:tc>
          <w:tcPr>
            <w:tcW w:type="dxa" w:w="122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0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per share amounts)</w:t>
            </w:r>
          </w:p>
        </w:tc>
        <w:tc>
          <w:tcPr>
            <w:tcW w:type="dxa" w:w="1280"/>
            <w:tcBorders>
              <w:top w:val="nil"/>
              <w:left w:val="nil"/>
              <w:bottom w:val="nil"/>
              <w:right w:val="nil"/>
            </w:tcBorders>
            <w:shd w:fill="auto" w:val="clear"/>
            <w:tcMar>
              <w:left w:type="dxa" w:w="144"/>
            </w:tcMar>
            <w:vAlign w:val="bottom"/>
          </w:tcPr>
          <w:p>
            <w:pPr>
              <w:pStyle w:val="style65"/>
              <w:rPr/>
            </w:pPr>
            <w:r>
              <w:rPr/>
              <w:t> </w:t>
            </w:r>
          </w:p>
        </w:tc>
        <w:tc>
          <w:tcPr>
            <w:tcW w:type="dxa" w:w="1219"/>
            <w:tcBorders>
              <w:top w:val="nil"/>
              <w:left w:val="nil"/>
              <w:bottom w:val="nil"/>
              <w:right w:val="nil"/>
            </w:tcBorders>
            <w:shd w:fill="auto" w:val="clear"/>
            <w:tcMar>
              <w:left w:type="dxa" w:w="144"/>
            </w:tcMar>
            <w:vAlign w:val="bottom"/>
          </w:tcPr>
          <w:p>
            <w:pPr>
              <w:pStyle w:val="style65"/>
              <w:rPr/>
            </w:pPr>
            <w:r>
              <w:rPr/>
              <w:t> </w:t>
            </w:r>
          </w:p>
        </w:tc>
        <w:tc>
          <w:tcPr>
            <w:tcW w:type="dxa" w:w="1221"/>
            <w:tcBorders>
              <w:top w:val="nil"/>
              <w:left w:val="nil"/>
              <w:bottom w:val="nil"/>
              <w:right w:val="nil"/>
            </w:tcBorders>
            <w:shd w:fill="auto" w:val="clear"/>
            <w:tcMar>
              <w:left w:type="dxa" w:w="144"/>
            </w:tcMar>
            <w:vAlign w:val="bottom"/>
          </w:tcPr>
          <w:p>
            <w:pPr>
              <w:pStyle w:val="style65"/>
              <w:rPr/>
            </w:pPr>
            <w:r>
              <w:rPr/>
              <w:t> </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158" w:right="29"/>
              <w:contextualSpacing w:val="false"/>
              <w:rPr/>
            </w:pPr>
            <w:r>
              <w:rPr/>
              <w:t> </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rPr>
                <w:sz w:val="8"/>
                <w:szCs w:val="24"/>
              </w:rPr>
            </w:pPr>
            <w:r>
              <w:rPr>
                <w:sz w:val="8"/>
                <w:szCs w:val="24"/>
              </w:rPr>
            </w:r>
          </w:p>
        </w:tc>
        <w:tc>
          <w:tcPr>
            <w:tcW w:type="dxa" w:w="1219"/>
            <w:tcBorders>
              <w:top w:val="nil"/>
              <w:left w:val="nil"/>
              <w:bottom w:val="nil"/>
              <w:right w:val="nil"/>
            </w:tcBorders>
            <w:shd w:fill="auto" w:val="clear"/>
            <w:vAlign w:val="center"/>
          </w:tcPr>
          <w:p>
            <w:pPr>
              <w:pStyle w:val="style0"/>
              <w:rPr>
                <w:sz w:val="8"/>
                <w:szCs w:val="24"/>
              </w:rPr>
            </w:pPr>
            <w:r>
              <w:rPr>
                <w:sz w:val="8"/>
                <w:szCs w:val="24"/>
              </w:rPr>
            </w:r>
          </w:p>
        </w:tc>
        <w:tc>
          <w:tcPr>
            <w:tcW w:type="dxa" w:w="1221"/>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70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28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2013</w:t>
            </w:r>
          </w:p>
        </w:tc>
        <w:tc>
          <w:tcPr>
            <w:tcW w:type="dxa" w:w="1219"/>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2012</w:t>
            </w:r>
          </w:p>
        </w:tc>
        <w:tc>
          <w:tcPr>
            <w:tcW w:type="dxa" w:w="1221"/>
            <w:tcBorders>
              <w:top w:val="nil"/>
              <w:left w:val="nil"/>
              <w:bottom w:val="nil"/>
              <w:right w:val="nil"/>
            </w:tcBorders>
            <w:shd w:fill="auto" w:val="clear"/>
            <w:tcMar>
              <w:left w:type="dxa" w:w="144"/>
            </w:tcMar>
            <w:vAlign w:val="bottom"/>
          </w:tcPr>
          <w:p>
            <w:pPr>
              <w:pStyle w:val="style0"/>
              <w:ind w:hanging="0" w:left="0" w:right="18"/>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rPr>
                <w:sz w:val="8"/>
                <w:szCs w:val="24"/>
              </w:rPr>
            </w:pPr>
            <w:r>
              <w:rPr>
                <w:sz w:val="8"/>
                <w:szCs w:val="24"/>
              </w:rPr>
            </w:r>
          </w:p>
        </w:tc>
        <w:tc>
          <w:tcPr>
            <w:tcW w:type="dxa" w:w="1219"/>
            <w:tcBorders>
              <w:top w:val="nil"/>
              <w:left w:val="nil"/>
              <w:bottom w:val="nil"/>
              <w:right w:val="nil"/>
            </w:tcBorders>
            <w:shd w:fill="auto" w:val="clear"/>
            <w:vAlign w:val="center"/>
          </w:tcPr>
          <w:p>
            <w:pPr>
              <w:pStyle w:val="style0"/>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0" w:right="18"/>
              <w:rPr>
                <w:sz w:val="8"/>
                <w:szCs w:val="24"/>
              </w:rPr>
            </w:pPr>
            <w:r>
              <w:rPr>
                <w:sz w:val="8"/>
                <w:szCs w:val="24"/>
              </w:rPr>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Revenue</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w:t>
              <w:tab/>
              <w:t>  77,849</w:t>
              <w:tab/>
              <w:t> </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w:t>
              <w:tab/>
              <w:t>  73,723</w:t>
              <w:tab/>
              <w:t> </w:t>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w:t>
              <w:tab/>
              <w:t>  69,943</w:t>
              <w:tab/>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Cost of revenue</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20,249</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ab/>
              <w:t>17,530</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ab/>
              <w:t>15,577</w:t>
              <w:tab/>
            </w:r>
          </w:p>
        </w:tc>
      </w:tr>
      <w:tr>
        <w:trPr>
          <w:cantSplit w:val="false"/>
        </w:trPr>
        <w:tc>
          <w:tcPr>
            <w:tcW w:type="dxa" w:w="8359"/>
            <w:gridSpan w:val="2"/>
            <w:tcBorders>
              <w:top w:val="nil"/>
              <w:left w:val="nil"/>
              <w:bottom w:val="nil"/>
              <w:right w:val="nil"/>
            </w:tcBorders>
            <w:shd w:fill="auto" w:val="clear"/>
            <w:vAlign w:val="bottom"/>
          </w:tcPr>
          <w:p>
            <w:pPr>
              <w:pStyle w:val="style59"/>
              <w:spacing w:after="0" w:before="20"/>
              <w:ind w:hanging="0" w:left="-225"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59"/>
              <w:spacing w:after="0" w:before="20"/>
              <w:ind w:hanging="0" w:left="173"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tabs>
                <w:tab w:leader="none" w:pos="1076" w:val="right"/>
                <w:tab w:leader="none" w:pos="1166" w:val="decimal"/>
              </w:tabs>
              <w:spacing w:after="0" w:before="20"/>
              <w:ind w:hanging="0" w:left="173" w:right="18"/>
              <w:contextualSpacing w:val="false"/>
              <w:rPr/>
            </w:pPr>
            <w:r>
              <w:rPr/>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Gross profit</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57,600</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ab/>
              <w:t>56,193</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ab/>
              <w:t>54,366</w:t>
              <w:tab/>
            </w:r>
          </w:p>
        </w:tc>
      </w:tr>
      <w:tr>
        <w:trPr>
          <w:cantSplit w:val="false"/>
        </w:trPr>
        <w:tc>
          <w:tcPr>
            <w:tcW w:type="dxa" w:w="7079"/>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Operating expenses:</w:t>
            </w:r>
          </w:p>
        </w:tc>
        <w:tc>
          <w:tcPr>
            <w:tcW w:type="dxa" w:w="1280"/>
            <w:tcBorders>
              <w:top w:val="nil"/>
              <w:left w:val="nil"/>
              <w:bottom w:val="nil"/>
              <w:right w:val="nil"/>
            </w:tcBorders>
            <w:shd w:fill="auto" w:val="clear"/>
            <w:tcMar>
              <w:left w:type="dxa" w:w="144"/>
            </w:tcMar>
            <w:vAlign w:val="bottom"/>
          </w:tcPr>
          <w:p>
            <w:pPr>
              <w:pStyle w:val="style65"/>
              <w:ind w:hanging="0" w:left="173" w:right="86"/>
              <w:rPr/>
            </w:pPr>
            <w:r>
              <w:rPr/>
              <w:t> </w:t>
            </w:r>
          </w:p>
        </w:tc>
        <w:tc>
          <w:tcPr>
            <w:tcW w:type="dxa" w:w="1219"/>
            <w:tcBorders>
              <w:top w:val="nil"/>
              <w:left w:val="nil"/>
              <w:bottom w:val="nil"/>
              <w:right w:val="nil"/>
            </w:tcBorders>
            <w:shd w:fill="auto" w:val="clear"/>
            <w:tcMar>
              <w:left w:type="dxa" w:w="144"/>
            </w:tcMar>
            <w:vAlign w:val="bottom"/>
          </w:tcPr>
          <w:p>
            <w:pPr>
              <w:pStyle w:val="style65"/>
              <w:ind w:hanging="0" w:left="173" w:right="86"/>
              <w:rPr/>
            </w:pPr>
            <w:r>
              <w:rPr/>
              <w:t> </w:t>
            </w:r>
          </w:p>
        </w:tc>
        <w:tc>
          <w:tcPr>
            <w:tcW w:type="dxa" w:w="1221"/>
            <w:tcBorders>
              <w:top w:val="nil"/>
              <w:left w:val="nil"/>
              <w:bottom w:val="nil"/>
              <w:right w:val="nil"/>
            </w:tcBorders>
            <w:shd w:fill="auto" w:val="clear"/>
            <w:tcMar>
              <w:left w:type="dxa" w:w="144"/>
            </w:tcMar>
            <w:vAlign w:val="bottom"/>
          </w:tcPr>
          <w:p>
            <w:pPr>
              <w:pStyle w:val="style65"/>
              <w:tabs>
                <w:tab w:leader="none" w:pos="1076" w:val="right"/>
                <w:tab w:leader="none" w:pos="1166" w:val="decimal"/>
              </w:tabs>
              <w:ind w:hanging="0" w:left="173" w:right="18"/>
              <w:rPr/>
            </w:pPr>
            <w:r>
              <w:rPr/>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Research and development</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10,411</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ab/>
              <w:t>9,811</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ab/>
              <w:t>9,043</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Sales and marketing</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15,276</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ab/>
              <w:t>13,857</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ab/>
              <w:t>13,940</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General and administrative</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5,149</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ab/>
              <w:t>4,569</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ab/>
              <w:t>4,222</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Goodwill impairment</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0</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ab/>
              <w:t>6,193</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ab/>
              <w:t>0</w:t>
              <w:tab/>
            </w:r>
          </w:p>
        </w:tc>
      </w:tr>
      <w:tr>
        <w:trPr>
          <w:cantSplit w:val="false"/>
        </w:trPr>
        <w:tc>
          <w:tcPr>
            <w:tcW w:type="dxa" w:w="8359"/>
            <w:gridSpan w:val="2"/>
            <w:tcBorders>
              <w:top w:val="nil"/>
              <w:left w:val="nil"/>
              <w:bottom w:val="nil"/>
              <w:right w:val="nil"/>
            </w:tcBorders>
            <w:shd w:fill="auto" w:val="clear"/>
            <w:vAlign w:val="bottom"/>
          </w:tcPr>
          <w:p>
            <w:pPr>
              <w:pStyle w:val="style59"/>
              <w:spacing w:after="0" w:before="20"/>
              <w:ind w:hanging="0" w:left="-225"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59"/>
              <w:spacing w:after="0" w:before="20"/>
              <w:ind w:hanging="0" w:left="173"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tabs>
                <w:tab w:leader="none" w:pos="1076" w:val="right"/>
                <w:tab w:leader="none" w:pos="1166" w:val="decimal"/>
              </w:tabs>
              <w:spacing w:after="0" w:before="20"/>
              <w:ind w:hanging="0" w:left="173" w:right="18"/>
              <w:contextualSpacing w:val="false"/>
              <w:rPr/>
            </w:pPr>
            <w:r>
              <w:rPr/>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Total operating expenses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30,836</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ab/>
              <w:t>34,430</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ab/>
              <w:t>27,205</w:t>
              <w:tab/>
            </w:r>
          </w:p>
        </w:tc>
      </w:tr>
      <w:tr>
        <w:trPr>
          <w:cantSplit w:val="false"/>
        </w:trPr>
        <w:tc>
          <w:tcPr>
            <w:tcW w:type="dxa" w:w="8359"/>
            <w:gridSpan w:val="2"/>
            <w:tcBorders>
              <w:top w:val="nil"/>
              <w:left w:val="nil"/>
              <w:bottom w:val="nil"/>
              <w:right w:val="nil"/>
            </w:tcBorders>
            <w:shd w:fill="auto" w:val="clear"/>
            <w:vAlign w:val="bottom"/>
          </w:tcPr>
          <w:p>
            <w:pPr>
              <w:pStyle w:val="style59"/>
              <w:spacing w:after="0" w:before="20"/>
              <w:ind w:hanging="0" w:left="-225"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59"/>
              <w:spacing w:after="0" w:before="20"/>
              <w:ind w:hanging="0" w:left="173"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tabs>
                <w:tab w:leader="none" w:pos="1076" w:val="right"/>
                <w:tab w:leader="none" w:pos="1166" w:val="decimal"/>
              </w:tabs>
              <w:spacing w:after="0" w:before="20"/>
              <w:ind w:hanging="0" w:left="173" w:right="18"/>
              <w:contextualSpacing w:val="false"/>
              <w:rPr/>
            </w:pPr>
            <w:r>
              <w:rPr/>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Operating income</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26,764</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ab/>
              <w:t>21,763</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ab/>
              <w:t>27,161</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 income</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288</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ab/>
              <w:t>504</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ab/>
              <w:t>910</w:t>
              <w:tab/>
            </w:r>
          </w:p>
        </w:tc>
      </w:tr>
      <w:tr>
        <w:trPr>
          <w:cantSplit w:val="false"/>
        </w:trPr>
        <w:tc>
          <w:tcPr>
            <w:tcW w:type="dxa" w:w="8359"/>
            <w:gridSpan w:val="2"/>
            <w:tcBorders>
              <w:top w:val="nil"/>
              <w:left w:val="nil"/>
              <w:bottom w:val="nil"/>
              <w:right w:val="nil"/>
            </w:tcBorders>
            <w:shd w:fill="auto" w:val="clear"/>
            <w:vAlign w:val="bottom"/>
          </w:tcPr>
          <w:p>
            <w:pPr>
              <w:pStyle w:val="style59"/>
              <w:spacing w:after="0" w:before="20"/>
              <w:ind w:hanging="0" w:left="-225"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59"/>
              <w:spacing w:after="0" w:before="20"/>
              <w:ind w:hanging="0" w:left="173"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tabs>
                <w:tab w:leader="none" w:pos="1076" w:val="right"/>
                <w:tab w:leader="none" w:pos="1166" w:val="decimal"/>
              </w:tabs>
              <w:spacing w:after="0" w:before="20"/>
              <w:ind w:hanging="0" w:left="173" w:right="18"/>
              <w:contextualSpacing w:val="false"/>
              <w:rPr/>
            </w:pPr>
            <w:r>
              <w:rPr/>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Income before income taxes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27,052</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ab/>
              <w:t>22,267</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ab/>
              <w:t>28,071</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Provision for income taxes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5,189</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ab/>
              <w:t>5,289</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ab/>
              <w:t>4,921</w:t>
              <w:tab/>
            </w:r>
          </w:p>
        </w:tc>
      </w:tr>
      <w:tr>
        <w:trPr>
          <w:cantSplit w:val="false"/>
        </w:trPr>
        <w:tc>
          <w:tcPr>
            <w:tcW w:type="dxa" w:w="8359"/>
            <w:gridSpan w:val="2"/>
            <w:tcBorders>
              <w:top w:val="nil"/>
              <w:left w:val="nil"/>
              <w:bottom w:val="nil"/>
              <w:right w:val="nil"/>
            </w:tcBorders>
            <w:shd w:fill="auto" w:val="clear"/>
            <w:vAlign w:val="bottom"/>
          </w:tcPr>
          <w:p>
            <w:pPr>
              <w:pStyle w:val="style59"/>
              <w:spacing w:after="0" w:before="20"/>
              <w:ind w:hanging="0" w:left="-225"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59"/>
              <w:spacing w:after="0" w:before="20"/>
              <w:ind w:hanging="0" w:left="173"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tabs>
                <w:tab w:leader="none" w:pos="1076" w:val="right"/>
                <w:tab w:leader="none" w:pos="1166" w:val="decimal"/>
              </w:tabs>
              <w:spacing w:after="0" w:before="20"/>
              <w:ind w:hanging="0" w:left="173" w:right="18"/>
              <w:contextualSpacing w:val="false"/>
              <w:rPr/>
            </w:pPr>
            <w:r>
              <w:rPr/>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income</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w:t>
              <w:tab/>
              <w:t>21,863</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w:t>
              <w:tab/>
              <w:t>16,978</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w:t>
              <w:tab/>
              <w:t>23,150</w:t>
              <w:tab/>
            </w:r>
          </w:p>
        </w:tc>
      </w:tr>
      <w:tr>
        <w:trPr>
          <w:cantSplit w:val="false"/>
        </w:trPr>
        <w:tc>
          <w:tcPr>
            <w:tcW w:type="dxa" w:w="7079"/>
            <w:tcBorders>
              <w:top w:val="nil"/>
              <w:left w:val="nil"/>
              <w:bottom w:val="nil"/>
              <w:right w:val="nil"/>
            </w:tcBorders>
            <w:shd w:fill="auto" w:val="clear"/>
            <w:tcMar>
              <w:left w:type="dxa" w:w="144"/>
            </w:tcMar>
            <w:vAlign w:val="bottom"/>
          </w:tcPr>
          <w:p>
            <w:pPr>
              <w:pStyle w:val="style65"/>
              <w:rPr/>
            </w:pPr>
            <w:r>
              <w:rPr/>
              <w:t> </w:t>
            </w:r>
          </w:p>
        </w:tc>
        <w:tc>
          <w:tcPr>
            <w:tcW w:type="dxa" w:w="1280"/>
            <w:tcBorders>
              <w:top w:val="nil"/>
              <w:left w:val="nil"/>
              <w:bottom w:val="nil"/>
              <w:right w:val="nil"/>
            </w:tcBorders>
            <w:shd w:fill="auto" w:val="clear"/>
            <w:tcMar>
              <w:left w:type="dxa" w:w="144"/>
            </w:tcMar>
            <w:vAlign w:val="bottom"/>
          </w:tcPr>
          <w:p>
            <w:pPr>
              <w:pStyle w:val="style63"/>
              <w:spacing w:after="0" w:before="20"/>
              <w:ind w:hanging="0" w:left="173"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63"/>
              <w:spacing w:after="0" w:before="20"/>
              <w:ind w:hanging="0" w:left="173"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63"/>
              <w:tabs>
                <w:tab w:leader="none" w:pos="1076" w:val="right"/>
                <w:tab w:leader="none" w:pos="1166" w:val="decimal"/>
              </w:tabs>
              <w:spacing w:after="0" w:before="20"/>
              <w:ind w:hanging="0" w:left="173" w:right="18"/>
              <w:contextualSpacing w:val="false"/>
              <w:rPr/>
            </w:pPr>
            <w:r>
              <w:rPr/>
              <w:t> </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173" w:right="86"/>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173"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tabs>
                <w:tab w:leader="none" w:pos="1076" w:val="right"/>
                <w:tab w:leader="none" w:pos="1166" w:val="decimal"/>
              </w:tabs>
              <w:ind w:hanging="0" w:left="173" w:right="18"/>
              <w:rPr>
                <w:sz w:val="8"/>
                <w:szCs w:val="24"/>
              </w:rPr>
            </w:pPr>
            <w:r>
              <w:rPr>
                <w:sz w:val="8"/>
                <w:szCs w:val="24"/>
              </w:rPr>
            </w:r>
          </w:p>
        </w:tc>
      </w:tr>
      <w:tr>
        <w:trPr>
          <w:cantSplit w:val="false"/>
        </w:trPr>
        <w:tc>
          <w:tcPr>
            <w:tcW w:type="dxa" w:w="7079"/>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Earnings per share:</w:t>
            </w:r>
          </w:p>
        </w:tc>
        <w:tc>
          <w:tcPr>
            <w:tcW w:type="dxa" w:w="1280"/>
            <w:tcBorders>
              <w:top w:val="nil"/>
              <w:left w:val="nil"/>
              <w:bottom w:val="nil"/>
              <w:right w:val="nil"/>
            </w:tcBorders>
            <w:shd w:fill="auto" w:val="clear"/>
            <w:tcMar>
              <w:left w:type="dxa" w:w="144"/>
            </w:tcMar>
            <w:vAlign w:val="bottom"/>
          </w:tcPr>
          <w:p>
            <w:pPr>
              <w:pStyle w:val="style65"/>
              <w:ind w:hanging="0" w:left="173" w:right="86"/>
              <w:rPr/>
            </w:pPr>
            <w:r>
              <w:rPr/>
              <w:t> </w:t>
            </w:r>
          </w:p>
        </w:tc>
        <w:tc>
          <w:tcPr>
            <w:tcW w:type="dxa" w:w="1219"/>
            <w:tcBorders>
              <w:top w:val="nil"/>
              <w:left w:val="nil"/>
              <w:bottom w:val="nil"/>
              <w:right w:val="nil"/>
            </w:tcBorders>
            <w:shd w:fill="auto" w:val="clear"/>
            <w:tcMar>
              <w:left w:type="dxa" w:w="144"/>
            </w:tcMar>
            <w:vAlign w:val="bottom"/>
          </w:tcPr>
          <w:p>
            <w:pPr>
              <w:pStyle w:val="style65"/>
              <w:ind w:hanging="0" w:left="173" w:right="86"/>
              <w:rPr/>
            </w:pPr>
            <w:r>
              <w:rPr/>
              <w:t> </w:t>
            </w:r>
          </w:p>
        </w:tc>
        <w:tc>
          <w:tcPr>
            <w:tcW w:type="dxa" w:w="1221"/>
            <w:tcBorders>
              <w:top w:val="nil"/>
              <w:left w:val="nil"/>
              <w:bottom w:val="nil"/>
              <w:right w:val="nil"/>
            </w:tcBorders>
            <w:shd w:fill="auto" w:val="clear"/>
            <w:tcMar>
              <w:left w:type="dxa" w:w="144"/>
            </w:tcMar>
            <w:vAlign w:val="bottom"/>
          </w:tcPr>
          <w:p>
            <w:pPr>
              <w:pStyle w:val="style65"/>
              <w:tabs>
                <w:tab w:leader="none" w:pos="1076" w:val="right"/>
                <w:tab w:leader="none" w:pos="1166" w:val="decimal"/>
              </w:tabs>
              <w:ind w:hanging="0" w:left="173" w:right="18"/>
              <w:rPr/>
            </w:pPr>
            <w:r>
              <w:rPr/>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Basic</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w:t>
              <w:tab/>
              <w:t>2.61</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w:t>
              <w:tab/>
              <w:t>2.02</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w:t>
              <w:tab/>
              <w:t>2.73</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Diluted</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w:t>
              <w:tab/>
              <w:t>2.58</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w:t>
              <w:tab/>
              <w:t>2.00</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w:t>
              <w:tab/>
              <w:t>2.69</w:t>
              <w:tab/>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173" w:right="86"/>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173"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tabs>
                <w:tab w:leader="none" w:pos="1076" w:val="right"/>
                <w:tab w:leader="none" w:pos="1166" w:val="decimal"/>
              </w:tabs>
              <w:ind w:hanging="0" w:left="173" w:right="18"/>
              <w:rPr>
                <w:sz w:val="8"/>
                <w:szCs w:val="24"/>
              </w:rPr>
            </w:pPr>
            <w:r>
              <w:rPr>
                <w:sz w:val="8"/>
                <w:szCs w:val="24"/>
              </w:rPr>
            </w:r>
          </w:p>
        </w:tc>
      </w:tr>
      <w:tr>
        <w:trPr>
          <w:cantSplit w:val="false"/>
        </w:trPr>
        <w:tc>
          <w:tcPr>
            <w:tcW w:type="dxa" w:w="7079"/>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Weighted average shares outstanding:</w:t>
            </w:r>
          </w:p>
        </w:tc>
        <w:tc>
          <w:tcPr>
            <w:tcW w:type="dxa" w:w="1280"/>
            <w:tcBorders>
              <w:top w:val="nil"/>
              <w:left w:val="nil"/>
              <w:bottom w:val="nil"/>
              <w:right w:val="nil"/>
            </w:tcBorders>
            <w:shd w:fill="auto" w:val="clear"/>
            <w:tcMar>
              <w:left w:type="dxa" w:w="144"/>
            </w:tcMar>
            <w:vAlign w:val="bottom"/>
          </w:tcPr>
          <w:p>
            <w:pPr>
              <w:pStyle w:val="style65"/>
              <w:ind w:hanging="0" w:left="173" w:right="86"/>
              <w:rPr/>
            </w:pPr>
            <w:r>
              <w:rPr/>
              <w:t> </w:t>
            </w:r>
          </w:p>
        </w:tc>
        <w:tc>
          <w:tcPr>
            <w:tcW w:type="dxa" w:w="1219"/>
            <w:tcBorders>
              <w:top w:val="nil"/>
              <w:left w:val="nil"/>
              <w:bottom w:val="nil"/>
              <w:right w:val="nil"/>
            </w:tcBorders>
            <w:shd w:fill="auto" w:val="clear"/>
            <w:tcMar>
              <w:left w:type="dxa" w:w="144"/>
            </w:tcMar>
            <w:vAlign w:val="bottom"/>
          </w:tcPr>
          <w:p>
            <w:pPr>
              <w:pStyle w:val="style65"/>
              <w:ind w:hanging="0" w:left="173" w:right="86"/>
              <w:rPr/>
            </w:pPr>
            <w:r>
              <w:rPr/>
              <w:t> </w:t>
            </w:r>
          </w:p>
        </w:tc>
        <w:tc>
          <w:tcPr>
            <w:tcW w:type="dxa" w:w="1221"/>
            <w:tcBorders>
              <w:top w:val="nil"/>
              <w:left w:val="nil"/>
              <w:bottom w:val="nil"/>
              <w:right w:val="nil"/>
            </w:tcBorders>
            <w:shd w:fill="auto" w:val="clear"/>
            <w:tcMar>
              <w:left w:type="dxa" w:w="144"/>
            </w:tcMar>
            <w:vAlign w:val="bottom"/>
          </w:tcPr>
          <w:p>
            <w:pPr>
              <w:pStyle w:val="style65"/>
              <w:tabs>
                <w:tab w:leader="none" w:pos="1076" w:val="right"/>
                <w:tab w:leader="none" w:pos="1166" w:val="decimal"/>
              </w:tabs>
              <w:ind w:hanging="0" w:left="173" w:right="18"/>
              <w:rPr/>
            </w:pPr>
            <w:r>
              <w:rPr/>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Basic</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8,375</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ab/>
              <w:t>8,396</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ab/>
              <w:t>8,490</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Diluted</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8,470</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ab/>
              <w:t>8,506</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ab/>
              <w:t>8,593</w:t>
              <w:tab/>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173" w:right="86"/>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173"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tabs>
                <w:tab w:leader="none" w:pos="1076" w:val="right"/>
                <w:tab w:leader="none" w:pos="1166" w:val="decimal"/>
              </w:tabs>
              <w:ind w:hanging="0" w:left="173" w:right="18"/>
              <w:rPr>
                <w:sz w:val="8"/>
                <w:szCs w:val="24"/>
              </w:rPr>
            </w:pPr>
            <w:r>
              <w:rPr>
                <w:sz w:val="8"/>
                <w:szCs w:val="24"/>
              </w:rPr>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Cash dividends declared per common share</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w:t>
              <w:tab/>
              <w:t>0.92</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86"/>
              <w:contextualSpacing w:val="false"/>
              <w:rPr>
                <w:rFonts w:ascii="Arial" w:cs="Arial" w:hAnsi="Arial"/>
                <w:sz w:val="20"/>
                <w:szCs w:val="20"/>
              </w:rPr>
            </w:pPr>
            <w:r>
              <w:rPr>
                <w:rFonts w:ascii="Arial" w:cs="Arial" w:hAnsi="Arial"/>
                <w:sz w:val="20"/>
                <w:szCs w:val="20"/>
              </w:rPr>
              <w:t>$</w:t>
              <w:tab/>
              <w:t>0.80</w:t>
              <w:tab/>
            </w:r>
          </w:p>
        </w:tc>
        <w:tc>
          <w:tcPr>
            <w:tcW w:type="dxa" w:w="1221"/>
            <w:tcBorders>
              <w:top w:val="nil"/>
              <w:left w:val="nil"/>
              <w:bottom w:val="nil"/>
              <w:right w:val="nil"/>
            </w:tcBorders>
            <w:shd w:fill="auto" w:val="clear"/>
            <w:tcMar>
              <w:left w:type="dxa" w:w="144"/>
            </w:tcMar>
            <w:vAlign w:val="bottom"/>
          </w:tcPr>
          <w:p>
            <w:pPr>
              <w:pStyle w:val="style62"/>
              <w:tabs>
                <w:tab w:leader="none" w:pos="1076" w:val="right"/>
                <w:tab w:leader="none" w:pos="1166" w:val="decimal"/>
              </w:tabs>
              <w:spacing w:after="280" w:before="280"/>
              <w:ind w:hanging="0" w:left="173" w:right="18"/>
              <w:contextualSpacing w:val="false"/>
              <w:rPr>
                <w:rFonts w:ascii="Arial" w:cs="Arial" w:hAnsi="Arial"/>
                <w:sz w:val="20"/>
                <w:szCs w:val="20"/>
              </w:rPr>
            </w:pPr>
            <w:r>
              <w:rPr>
                <w:rFonts w:ascii="Arial" w:cs="Arial" w:hAnsi="Arial"/>
                <w:sz w:val="20"/>
                <w:szCs w:val="20"/>
              </w:rPr>
              <w:t>$</w:t>
              <w:tab/>
              <w:t>0.64</w:t>
              <w:tab/>
            </w:r>
          </w:p>
        </w:tc>
      </w:tr>
    </w:tbl>
    <w:p>
      <w:pPr>
        <w:pStyle w:val="style59"/>
        <w:pBdr>
          <w:top w:color="000001" w:space="0" w:sz="4" w:val="single"/>
          <w:left w:val="nil"/>
          <w:bottom w:val="nil"/>
          <w:insideH w:val="nil"/>
          <w:right w:val="nil"/>
          <w:insideV w:val="nil"/>
        </w:pBdr>
        <w:rPr/>
      </w:pPr>
      <w:r>
        <w:rPr/>
        <w:t> </w:t>
      </w:r>
    </w:p>
    <w:p>
      <w:pPr>
        <w:pStyle w:val="style59"/>
        <w:pBdr>
          <w:top w:color="000001" w:space="0" w:sz="4" w:val="single"/>
          <w:left w:val="nil"/>
          <w:bottom w:val="nil"/>
          <w:insideH w:val="nil"/>
          <w:right w:val="nil"/>
          <w:insideV w:val="nil"/>
        </w:pBdr>
        <w:rPr/>
      </w:pPr>
      <w:r>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See accompanying notes. </w:t>
      </w:r>
    </w:p>
    <w:p>
      <w:pPr>
        <w:pStyle w:val="style62"/>
        <w:pageBreakBefore/>
        <w:spacing w:after="280" w:before="280"/>
        <w:contextualSpacing w:val="false"/>
        <w:jc w:val="center"/>
        <w:rPr>
          <w:rFonts w:ascii="Arial" w:cs="Arial" w:hAnsi="Arial"/>
          <w:b/>
          <w:bCs/>
          <w:sz w:val="20"/>
          <w:szCs w:val="20"/>
        </w:rPr>
      </w:pPr>
      <w:r>
        <w:rPr>
          <w:rFonts w:ascii="Arial" w:cs="Arial" w:hAnsi="Arial"/>
          <w:b/>
          <w:bCs/>
          <w:sz w:val="20"/>
          <w:szCs w:val="20"/>
        </w:rPr>
        <w:t>COMPREHENSIVE INCOME STATEMENTS</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047"/>
        <w:gridCol w:w="1290"/>
        <w:gridCol w:w="1230"/>
        <w:gridCol w:w="1232"/>
      </w:tblGrid>
      <w:tr>
        <w:trPr>
          <w:tblHeader w:val="true"/>
          <w:cantSplit w:val="false"/>
        </w:trPr>
        <w:tc>
          <w:tcPr>
            <w:tcW w:type="dxa" w:w="7047"/>
            <w:tcBorders>
              <w:top w:val="nil"/>
              <w:left w:val="nil"/>
              <w:bottom w:val="nil"/>
              <w:right w:val="nil"/>
            </w:tcBorders>
            <w:shd w:fill="auto" w:val="clear"/>
            <w:vAlign w:val="center"/>
          </w:tcPr>
          <w:p>
            <w:pPr>
              <w:pStyle w:val="style0"/>
              <w:rPr>
                <w:sz w:val="1"/>
                <w:szCs w:val="24"/>
              </w:rPr>
            </w:pPr>
            <w:r>
              <w:rPr>
                <w:sz w:val="1"/>
                <w:szCs w:val="24"/>
              </w:rPr>
            </w:r>
          </w:p>
        </w:tc>
        <w:tc>
          <w:tcPr>
            <w:tcW w:type="dxa" w:w="1290"/>
            <w:tcBorders>
              <w:top w:val="nil"/>
              <w:left w:val="nil"/>
              <w:bottom w:val="nil"/>
              <w:right w:val="nil"/>
            </w:tcBorders>
            <w:shd w:fill="auto" w:val="clear"/>
            <w:vAlign w:val="center"/>
          </w:tcPr>
          <w:p>
            <w:pPr>
              <w:pStyle w:val="style0"/>
              <w:rPr>
                <w:sz w:val="1"/>
                <w:szCs w:val="24"/>
              </w:rPr>
            </w:pPr>
            <w:r>
              <w:rPr>
                <w:sz w:val="1"/>
                <w:szCs w:val="24"/>
              </w:rPr>
            </w:r>
          </w:p>
        </w:tc>
        <w:tc>
          <w:tcPr>
            <w:tcW w:type="dxa" w:w="1230"/>
            <w:tcBorders>
              <w:top w:val="nil"/>
              <w:left w:val="nil"/>
              <w:bottom w:val="nil"/>
              <w:right w:val="nil"/>
            </w:tcBorders>
            <w:shd w:fill="auto" w:val="clear"/>
            <w:vAlign w:val="center"/>
          </w:tcPr>
          <w:p>
            <w:pPr>
              <w:pStyle w:val="style0"/>
              <w:rPr>
                <w:sz w:val="1"/>
                <w:szCs w:val="24"/>
              </w:rPr>
            </w:pPr>
            <w:r>
              <w:rPr>
                <w:sz w:val="1"/>
                <w:szCs w:val="24"/>
              </w:rPr>
            </w:r>
          </w:p>
        </w:tc>
        <w:tc>
          <w:tcPr>
            <w:tcW w:type="dxa" w:w="123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04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90"/>
            <w:tcBorders>
              <w:top w:val="nil"/>
              <w:left w:val="nil"/>
              <w:bottom w:val="nil"/>
              <w:right w:val="nil"/>
            </w:tcBorders>
            <w:shd w:fill="auto" w:val="clear"/>
            <w:tcMar>
              <w:left w:type="dxa" w:w="144"/>
            </w:tcMar>
            <w:vAlign w:val="bottom"/>
          </w:tcPr>
          <w:p>
            <w:pPr>
              <w:pStyle w:val="style65"/>
              <w:rPr/>
            </w:pPr>
            <w:r>
              <w:rPr/>
              <w:t> </w:t>
            </w:r>
          </w:p>
        </w:tc>
        <w:tc>
          <w:tcPr>
            <w:tcW w:type="dxa" w:w="1230"/>
            <w:tcBorders>
              <w:top w:val="nil"/>
              <w:left w:val="nil"/>
              <w:bottom w:val="nil"/>
              <w:right w:val="nil"/>
            </w:tcBorders>
            <w:shd w:fill="auto" w:val="clear"/>
            <w:tcMar>
              <w:left w:type="dxa" w:w="144"/>
            </w:tcMar>
            <w:vAlign w:val="bottom"/>
          </w:tcPr>
          <w:p>
            <w:pPr>
              <w:pStyle w:val="style65"/>
              <w:rPr/>
            </w:pPr>
            <w:r>
              <w:rPr/>
              <w:t> </w:t>
            </w:r>
          </w:p>
        </w:tc>
        <w:tc>
          <w:tcPr>
            <w:tcW w:type="dxa" w:w="1232"/>
            <w:tcBorders>
              <w:top w:val="nil"/>
              <w:left w:val="nil"/>
              <w:bottom w:val="nil"/>
              <w:right w:val="nil"/>
            </w:tcBorders>
            <w:shd w:fill="auto" w:val="clear"/>
            <w:tcMar>
              <w:left w:type="dxa" w:w="144"/>
            </w:tcMar>
            <w:vAlign w:val="bottom"/>
          </w:tcPr>
          <w:p>
            <w:pPr>
              <w:pStyle w:val="style65"/>
              <w:ind w:hanging="0" w:left="0" w:right="112"/>
              <w:rPr/>
            </w:pPr>
            <w:r>
              <w:rPr/>
              <w:t> </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171" w:right="112"/>
              <w:contextualSpacing w:val="false"/>
              <w:rPr/>
            </w:pPr>
            <w:r>
              <w:rPr/>
              <w:t> </w:t>
            </w:r>
          </w:p>
        </w:tc>
      </w:tr>
      <w:tr>
        <w:trPr>
          <w:trHeight w:hRule="atLeast" w:val="75"/>
          <w:cantSplit w:val="false"/>
        </w:trPr>
        <w:tc>
          <w:tcPr>
            <w:tcW w:type="dxa" w:w="7047"/>
            <w:tcBorders>
              <w:top w:val="nil"/>
              <w:left w:val="nil"/>
              <w:bottom w:val="nil"/>
              <w:right w:val="nil"/>
            </w:tcBorders>
            <w:shd w:fill="auto" w:val="clear"/>
            <w:vAlign w:val="center"/>
          </w:tcPr>
          <w:p>
            <w:pPr>
              <w:pStyle w:val="style0"/>
              <w:rPr>
                <w:sz w:val="8"/>
                <w:szCs w:val="24"/>
              </w:rPr>
            </w:pPr>
            <w:r>
              <w:rPr>
                <w:sz w:val="8"/>
                <w:szCs w:val="24"/>
              </w:rPr>
            </w:r>
          </w:p>
        </w:tc>
        <w:tc>
          <w:tcPr>
            <w:tcW w:type="dxa" w:w="1290"/>
            <w:tcBorders>
              <w:top w:val="nil"/>
              <w:left w:val="nil"/>
              <w:bottom w:val="nil"/>
              <w:right w:val="nil"/>
            </w:tcBorders>
            <w:shd w:fill="auto" w:val="clear"/>
            <w:vAlign w:val="center"/>
          </w:tcPr>
          <w:p>
            <w:pPr>
              <w:pStyle w:val="style0"/>
              <w:rPr>
                <w:sz w:val="8"/>
                <w:szCs w:val="24"/>
              </w:rPr>
            </w:pPr>
            <w:r>
              <w:rPr>
                <w:sz w:val="8"/>
                <w:szCs w:val="24"/>
              </w:rPr>
            </w:r>
          </w:p>
        </w:tc>
        <w:tc>
          <w:tcPr>
            <w:tcW w:type="dxa" w:w="1230"/>
            <w:tcBorders>
              <w:top w:val="nil"/>
              <w:left w:val="nil"/>
              <w:bottom w:val="nil"/>
              <w:right w:val="nil"/>
            </w:tcBorders>
            <w:shd w:fill="auto" w:val="clear"/>
            <w:vAlign w:val="center"/>
          </w:tcPr>
          <w:p>
            <w:pPr>
              <w:pStyle w:val="style0"/>
              <w:rPr>
                <w:sz w:val="8"/>
                <w:szCs w:val="24"/>
              </w:rPr>
            </w:pPr>
            <w:r>
              <w:rPr>
                <w:sz w:val="8"/>
                <w:szCs w:val="24"/>
              </w:rPr>
            </w:r>
          </w:p>
        </w:tc>
        <w:tc>
          <w:tcPr>
            <w:tcW w:type="dxa" w:w="1232"/>
            <w:tcBorders>
              <w:top w:val="nil"/>
              <w:left w:val="nil"/>
              <w:bottom w:val="nil"/>
              <w:right w:val="nil"/>
            </w:tcBorders>
            <w:shd w:fill="auto" w:val="clear"/>
            <w:vAlign w:val="center"/>
          </w:tcPr>
          <w:p>
            <w:pPr>
              <w:pStyle w:val="style0"/>
              <w:ind w:hanging="0" w:left="0" w:right="112"/>
              <w:rPr>
                <w:sz w:val="8"/>
                <w:szCs w:val="24"/>
              </w:rPr>
            </w:pPr>
            <w:r>
              <w:rPr>
                <w:sz w:val="8"/>
                <w:szCs w:val="24"/>
              </w:rPr>
            </w:r>
          </w:p>
        </w:tc>
      </w:tr>
      <w:tr>
        <w:trPr>
          <w:cantSplit w:val="false"/>
        </w:trPr>
        <w:tc>
          <w:tcPr>
            <w:tcW w:type="dxa" w:w="704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290"/>
            <w:tcBorders>
              <w:top w:val="nil"/>
              <w:left w:val="nil"/>
              <w:bottom w:val="nil"/>
              <w:right w:val="nil"/>
            </w:tcBorders>
            <w:shd w:fill="auto" w:val="clear"/>
            <w:tcMar>
              <w:left w:type="dxa" w:w="144"/>
            </w:tcMar>
            <w:vAlign w:val="bottom"/>
          </w:tcPr>
          <w:p>
            <w:pPr>
              <w:pStyle w:val="style0"/>
              <w:ind w:hanging="0" w:left="0" w:right="76"/>
              <w:jc w:val="right"/>
              <w:rPr>
                <w:rFonts w:ascii="Arial" w:cs="Arial" w:hAnsi="Arial"/>
                <w:b/>
                <w:bCs/>
                <w:sz w:val="15"/>
                <w:szCs w:val="15"/>
              </w:rPr>
            </w:pPr>
            <w:r>
              <w:rPr>
                <w:rFonts w:ascii="Arial" w:cs="Arial" w:hAnsi="Arial"/>
                <w:b/>
                <w:bCs/>
                <w:sz w:val="15"/>
                <w:szCs w:val="15"/>
              </w:rPr>
              <w:t>2013</w:t>
            </w:r>
          </w:p>
        </w:tc>
        <w:tc>
          <w:tcPr>
            <w:tcW w:type="dxa" w:w="1230"/>
            <w:tcBorders>
              <w:top w:val="nil"/>
              <w:left w:val="nil"/>
              <w:bottom w:val="nil"/>
              <w:right w:val="nil"/>
            </w:tcBorders>
            <w:shd w:fill="auto" w:val="clear"/>
            <w:tcMar>
              <w:left w:type="dxa" w:w="144"/>
            </w:tcMar>
            <w:vAlign w:val="bottom"/>
          </w:tcPr>
          <w:p>
            <w:pPr>
              <w:pStyle w:val="style0"/>
              <w:ind w:hanging="0" w:left="0" w:right="76"/>
              <w:jc w:val="right"/>
              <w:rPr>
                <w:rFonts w:ascii="Arial" w:cs="Arial" w:hAnsi="Arial"/>
                <w:b/>
                <w:bCs/>
                <w:sz w:val="15"/>
                <w:szCs w:val="15"/>
              </w:rPr>
            </w:pPr>
            <w:r>
              <w:rPr>
                <w:rFonts w:ascii="Arial" w:cs="Arial" w:hAnsi="Arial"/>
                <w:b/>
                <w:bCs/>
                <w:sz w:val="15"/>
                <w:szCs w:val="15"/>
              </w:rPr>
              <w:t>2012</w:t>
            </w:r>
          </w:p>
        </w:tc>
        <w:tc>
          <w:tcPr>
            <w:tcW w:type="dxa" w:w="1232"/>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047"/>
            <w:tcBorders>
              <w:top w:val="nil"/>
              <w:left w:val="nil"/>
              <w:bottom w:val="nil"/>
              <w:right w:val="nil"/>
            </w:tcBorders>
            <w:shd w:fill="auto" w:val="clear"/>
            <w:vAlign w:val="center"/>
          </w:tcPr>
          <w:p>
            <w:pPr>
              <w:pStyle w:val="style0"/>
              <w:rPr>
                <w:sz w:val="8"/>
                <w:szCs w:val="24"/>
              </w:rPr>
            </w:pPr>
            <w:r>
              <w:rPr>
                <w:sz w:val="8"/>
                <w:szCs w:val="24"/>
              </w:rPr>
            </w:r>
          </w:p>
        </w:tc>
        <w:tc>
          <w:tcPr>
            <w:tcW w:type="dxa" w:w="1290"/>
            <w:tcBorders>
              <w:top w:val="nil"/>
              <w:left w:val="nil"/>
              <w:bottom w:val="nil"/>
              <w:right w:val="nil"/>
            </w:tcBorders>
            <w:shd w:fill="auto" w:val="clear"/>
            <w:vAlign w:val="center"/>
          </w:tcPr>
          <w:p>
            <w:pPr>
              <w:pStyle w:val="style0"/>
              <w:rPr>
                <w:sz w:val="8"/>
                <w:szCs w:val="24"/>
              </w:rPr>
            </w:pPr>
            <w:r>
              <w:rPr>
                <w:sz w:val="8"/>
                <w:szCs w:val="24"/>
              </w:rPr>
            </w:r>
          </w:p>
        </w:tc>
        <w:tc>
          <w:tcPr>
            <w:tcW w:type="dxa" w:w="1230"/>
            <w:tcBorders>
              <w:top w:val="nil"/>
              <w:left w:val="nil"/>
              <w:bottom w:val="nil"/>
              <w:right w:val="nil"/>
            </w:tcBorders>
            <w:shd w:fill="auto" w:val="clear"/>
            <w:vAlign w:val="center"/>
          </w:tcPr>
          <w:p>
            <w:pPr>
              <w:pStyle w:val="style0"/>
              <w:rPr>
                <w:sz w:val="8"/>
                <w:szCs w:val="24"/>
              </w:rPr>
            </w:pPr>
            <w:r>
              <w:rPr>
                <w:sz w:val="8"/>
                <w:szCs w:val="24"/>
              </w:rPr>
            </w:r>
          </w:p>
        </w:tc>
        <w:tc>
          <w:tcPr>
            <w:tcW w:type="dxa" w:w="1232"/>
            <w:tcBorders>
              <w:top w:val="nil"/>
              <w:left w:val="nil"/>
              <w:bottom w:val="nil"/>
              <w:right w:val="nil"/>
            </w:tcBorders>
            <w:shd w:fill="auto" w:val="clear"/>
            <w:vAlign w:val="center"/>
          </w:tcPr>
          <w:p>
            <w:pPr>
              <w:pStyle w:val="style0"/>
              <w:ind w:hanging="0" w:left="0" w:right="112"/>
              <w:rPr>
                <w:sz w:val="8"/>
                <w:szCs w:val="24"/>
              </w:rPr>
            </w:pPr>
            <w:r>
              <w:rPr>
                <w:sz w:val="8"/>
                <w:szCs w:val="24"/>
              </w:rPr>
            </w:r>
          </w:p>
        </w:tc>
      </w:tr>
      <w:tr>
        <w:trPr>
          <w:cantSplit w:val="false"/>
        </w:trPr>
        <w:tc>
          <w:tcPr>
            <w:tcW w:type="dxa" w:w="704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income</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115"/>
              <w:contextualSpacing w:val="false"/>
              <w:rPr>
                <w:rFonts w:ascii="Arial" w:cs="Arial" w:hAnsi="Arial"/>
                <w:b/>
                <w:bCs/>
                <w:sz w:val="20"/>
                <w:szCs w:val="20"/>
              </w:rPr>
            </w:pPr>
            <w:r>
              <w:rPr>
                <w:rFonts w:ascii="Arial" w:cs="Arial" w:hAnsi="Arial"/>
                <w:b/>
                <w:bCs/>
                <w:sz w:val="20"/>
                <w:szCs w:val="20"/>
              </w:rPr>
              <w:t>$</w:t>
              <w:tab/>
              <w:t>  21,863</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101"/>
              <w:contextualSpacing w:val="false"/>
              <w:rPr>
                <w:rFonts w:ascii="Arial" w:cs="Arial" w:hAnsi="Arial"/>
                <w:sz w:val="20"/>
                <w:szCs w:val="20"/>
              </w:rPr>
            </w:pPr>
            <w:r>
              <w:rPr>
                <w:rFonts w:ascii="Arial" w:cs="Arial" w:hAnsi="Arial"/>
                <w:sz w:val="20"/>
                <w:szCs w:val="20"/>
              </w:rPr>
              <w:t>$</w:t>
              <w:tab/>
              <w:t>  16,978</w:t>
              <w:tab/>
            </w:r>
          </w:p>
        </w:tc>
        <w:tc>
          <w:tcPr>
            <w:tcW w:type="dxa" w:w="123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112"/>
              <w:contextualSpacing w:val="false"/>
              <w:rPr>
                <w:rFonts w:ascii="Arial" w:cs="Arial" w:hAnsi="Arial"/>
                <w:sz w:val="20"/>
                <w:szCs w:val="20"/>
              </w:rPr>
            </w:pPr>
            <w:r>
              <w:rPr>
                <w:rFonts w:ascii="Arial" w:cs="Arial" w:hAnsi="Arial"/>
                <w:sz w:val="20"/>
                <w:szCs w:val="20"/>
              </w:rPr>
              <w:t>$</w:t>
              <w:tab/>
              <w:t>  23,150</w:t>
              <w:tab/>
            </w:r>
          </w:p>
        </w:tc>
      </w:tr>
      <w:tr>
        <w:trPr>
          <w:cantSplit w:val="false"/>
        </w:trPr>
        <w:tc>
          <w:tcPr>
            <w:tcW w:type="dxa" w:w="7047"/>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Other comprehensive income (loss):</w:t>
            </w:r>
          </w:p>
        </w:tc>
        <w:tc>
          <w:tcPr>
            <w:tcW w:type="dxa" w:w="1290"/>
            <w:tcBorders>
              <w:top w:val="nil"/>
              <w:left w:val="nil"/>
              <w:bottom w:val="nil"/>
              <w:right w:val="nil"/>
            </w:tcBorders>
            <w:shd w:fill="auto" w:val="clear"/>
            <w:tcMar>
              <w:left w:type="dxa" w:w="144"/>
            </w:tcMar>
            <w:vAlign w:val="bottom"/>
          </w:tcPr>
          <w:p>
            <w:pPr>
              <w:pStyle w:val="style65"/>
              <w:ind w:hanging="0" w:left="173" w:right="115"/>
              <w:rPr/>
            </w:pPr>
            <w:r>
              <w:rPr/>
              <w:t> </w:t>
            </w:r>
          </w:p>
        </w:tc>
        <w:tc>
          <w:tcPr>
            <w:tcW w:type="dxa" w:w="1230"/>
            <w:tcBorders>
              <w:top w:val="nil"/>
              <w:left w:val="nil"/>
              <w:bottom w:val="nil"/>
              <w:right w:val="nil"/>
            </w:tcBorders>
            <w:shd w:fill="auto" w:val="clear"/>
            <w:tcMar>
              <w:left w:type="dxa" w:w="144"/>
            </w:tcMar>
            <w:vAlign w:val="bottom"/>
          </w:tcPr>
          <w:p>
            <w:pPr>
              <w:pStyle w:val="style65"/>
              <w:ind w:hanging="0" w:left="173" w:right="101"/>
              <w:rPr/>
            </w:pPr>
            <w:r>
              <w:rPr/>
              <w:t> </w:t>
            </w:r>
          </w:p>
        </w:tc>
        <w:tc>
          <w:tcPr>
            <w:tcW w:type="dxa" w:w="1232"/>
            <w:tcBorders>
              <w:top w:val="nil"/>
              <w:left w:val="nil"/>
              <w:bottom w:val="nil"/>
              <w:right w:val="nil"/>
            </w:tcBorders>
            <w:shd w:fill="auto" w:val="clear"/>
            <w:tcMar>
              <w:left w:type="dxa" w:w="144"/>
            </w:tcMar>
            <w:vAlign w:val="bottom"/>
          </w:tcPr>
          <w:p>
            <w:pPr>
              <w:pStyle w:val="style65"/>
              <w:ind w:hanging="0" w:left="173" w:right="112"/>
              <w:rPr/>
            </w:pPr>
            <w:r>
              <w:rPr/>
              <w:t> </w:t>
            </w:r>
          </w:p>
        </w:tc>
      </w:tr>
      <w:tr>
        <w:trPr>
          <w:cantSplit w:val="false"/>
        </w:trPr>
        <w:tc>
          <w:tcPr>
            <w:tcW w:type="dxa" w:w="704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 xml:space="preserve">Net unrealized gains (losses) on derivatives (net of tax effects of </w:t>
            </w:r>
            <w:r>
              <w:rPr>
                <w:rFonts w:ascii="Arial" w:cs="Arial" w:hAnsi="Arial"/>
                <w:b/>
                <w:bCs/>
                <w:sz w:val="20"/>
                <w:szCs w:val="20"/>
              </w:rPr>
              <w:t>$(14)</w:t>
            </w:r>
            <w:r>
              <w:rPr>
                <w:rFonts w:ascii="Arial" w:cs="Arial" w:hAnsi="Arial"/>
                <w:sz w:val="20"/>
                <w:szCs w:val="20"/>
              </w:rPr>
              <w:t>, $137, and $(338))</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(26</w:t>
              <w:tab/>
              <w:t>)</w:t>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101"/>
              <w:contextualSpacing w:val="false"/>
              <w:rPr>
                <w:rFonts w:ascii="Arial" w:cs="Arial" w:hAnsi="Arial"/>
                <w:sz w:val="20"/>
                <w:szCs w:val="20"/>
              </w:rPr>
            </w:pPr>
            <w:r>
              <w:rPr>
                <w:rFonts w:ascii="Arial" w:cs="Arial" w:hAnsi="Arial"/>
                <w:sz w:val="20"/>
                <w:szCs w:val="20"/>
              </w:rPr>
              <w:tab/>
              <w:t>255</w:t>
              <w:tab/>
            </w:r>
          </w:p>
        </w:tc>
        <w:tc>
          <w:tcPr>
            <w:tcW w:type="dxa" w:w="123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112"/>
              <w:contextualSpacing w:val="false"/>
              <w:rPr>
                <w:rFonts w:ascii="Arial" w:cs="Arial" w:hAnsi="Arial"/>
                <w:sz w:val="20"/>
                <w:szCs w:val="20"/>
              </w:rPr>
            </w:pPr>
            <w:r>
              <w:rPr>
                <w:rFonts w:ascii="Arial" w:cs="Arial" w:hAnsi="Arial"/>
                <w:sz w:val="20"/>
                <w:szCs w:val="20"/>
              </w:rPr>
              <w:tab/>
              <w:t>(627</w:t>
              <w:tab/>
              <w:t>)</w:t>
            </w:r>
          </w:p>
        </w:tc>
      </w:tr>
      <w:tr>
        <w:trPr>
          <w:cantSplit w:val="false"/>
        </w:trPr>
        <w:tc>
          <w:tcPr>
            <w:tcW w:type="dxa" w:w="704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 xml:space="preserve">Net unrealized gains (losses) on investments (net of tax effects of </w:t>
            </w:r>
            <w:r>
              <w:rPr>
                <w:rFonts w:ascii="Arial" w:cs="Arial" w:hAnsi="Arial"/>
                <w:b/>
                <w:bCs/>
                <w:sz w:val="20"/>
                <w:szCs w:val="20"/>
              </w:rPr>
              <w:t>$195</w:t>
            </w:r>
            <w:r>
              <w:rPr>
                <w:rFonts w:ascii="Arial" w:cs="Arial" w:hAnsi="Arial"/>
                <w:sz w:val="20"/>
                <w:szCs w:val="20"/>
              </w:rPr>
              <w:t>, $(210), and $567)</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363</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101"/>
              <w:contextualSpacing w:val="false"/>
              <w:rPr>
                <w:rFonts w:ascii="Arial" w:cs="Arial" w:hAnsi="Arial"/>
                <w:sz w:val="20"/>
                <w:szCs w:val="20"/>
              </w:rPr>
            </w:pPr>
            <w:r>
              <w:rPr>
                <w:rFonts w:ascii="Arial" w:cs="Arial" w:hAnsi="Arial"/>
                <w:sz w:val="20"/>
                <w:szCs w:val="20"/>
              </w:rPr>
              <w:tab/>
              <w:t>(390</w:t>
              <w:tab/>
              <w:t>)</w:t>
            </w:r>
          </w:p>
        </w:tc>
        <w:tc>
          <w:tcPr>
            <w:tcW w:type="dxa" w:w="123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112"/>
              <w:contextualSpacing w:val="false"/>
              <w:rPr>
                <w:rFonts w:ascii="Arial" w:cs="Arial" w:hAnsi="Arial"/>
                <w:sz w:val="20"/>
                <w:szCs w:val="20"/>
              </w:rPr>
            </w:pPr>
            <w:r>
              <w:rPr>
                <w:rFonts w:ascii="Arial" w:cs="Arial" w:hAnsi="Arial"/>
                <w:sz w:val="20"/>
                <w:szCs w:val="20"/>
              </w:rPr>
              <w:tab/>
              <w:t>1,054</w:t>
              <w:tab/>
            </w:r>
          </w:p>
        </w:tc>
      </w:tr>
      <w:tr>
        <w:trPr>
          <w:cantSplit w:val="false"/>
        </w:trPr>
        <w:tc>
          <w:tcPr>
            <w:tcW w:type="dxa" w:w="704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 xml:space="preserve">Translation adjustments and other (net of tax effects of </w:t>
            </w:r>
            <w:r>
              <w:rPr>
                <w:rFonts w:ascii="Arial" w:cs="Arial" w:hAnsi="Arial"/>
                <w:b/>
                <w:bCs/>
                <w:sz w:val="20"/>
                <w:szCs w:val="20"/>
              </w:rPr>
              <w:t>$(8)</w:t>
            </w:r>
            <w:r>
              <w:rPr>
                <w:rFonts w:ascii="Arial" w:cs="Arial" w:hAnsi="Arial"/>
                <w:sz w:val="20"/>
                <w:szCs w:val="20"/>
              </w:rPr>
              <w:t>, $(165), and $205)</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(16</w:t>
              <w:tab/>
              <w:t>)</w:t>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101"/>
              <w:contextualSpacing w:val="false"/>
              <w:rPr>
                <w:rFonts w:ascii="Arial" w:cs="Arial" w:hAnsi="Arial"/>
                <w:sz w:val="20"/>
                <w:szCs w:val="20"/>
              </w:rPr>
            </w:pPr>
            <w:r>
              <w:rPr>
                <w:rFonts w:ascii="Arial" w:cs="Arial" w:hAnsi="Arial"/>
                <w:sz w:val="20"/>
                <w:szCs w:val="20"/>
              </w:rPr>
              <w:tab/>
              <w:t>(306</w:t>
              <w:tab/>
              <w:t>)</w:t>
            </w:r>
          </w:p>
        </w:tc>
        <w:tc>
          <w:tcPr>
            <w:tcW w:type="dxa" w:w="123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112"/>
              <w:contextualSpacing w:val="false"/>
              <w:rPr>
                <w:rFonts w:ascii="Arial" w:cs="Arial" w:hAnsi="Arial"/>
                <w:sz w:val="20"/>
                <w:szCs w:val="20"/>
              </w:rPr>
            </w:pPr>
            <w:r>
              <w:rPr>
                <w:rFonts w:ascii="Arial" w:cs="Arial" w:hAnsi="Arial"/>
                <w:sz w:val="20"/>
                <w:szCs w:val="20"/>
              </w:rPr>
              <w:tab/>
              <w:t>381</w:t>
              <w:tab/>
            </w:r>
          </w:p>
        </w:tc>
      </w:tr>
      <w:tr>
        <w:trPr>
          <w:cantSplit w:val="false"/>
        </w:trPr>
        <w:tc>
          <w:tcPr>
            <w:tcW w:type="dxa" w:w="8337"/>
            <w:gridSpan w:val="2"/>
            <w:tcBorders>
              <w:top w:val="nil"/>
              <w:left w:val="nil"/>
              <w:bottom w:val="nil"/>
              <w:right w:val="nil"/>
            </w:tcBorders>
            <w:shd w:fill="auto" w:val="clear"/>
            <w:vAlign w:val="bottom"/>
          </w:tcPr>
          <w:p>
            <w:pPr>
              <w:pStyle w:val="style59"/>
              <w:spacing w:after="0" w:before="20"/>
              <w:ind w:hanging="0" w:left="-162" w:right="86"/>
              <w:contextualSpacing w:val="false"/>
              <w:rPr/>
            </w:pPr>
            <w:r>
              <w:rPr/>
              <w:t> </w:t>
            </w:r>
          </w:p>
        </w:tc>
        <w:tc>
          <w:tcPr>
            <w:tcW w:type="dxa" w:w="1230"/>
            <w:tcBorders>
              <w:top w:val="nil"/>
              <w:left w:val="nil"/>
              <w:bottom w:val="nil"/>
              <w:right w:val="nil"/>
            </w:tcBorders>
            <w:shd w:fill="auto" w:val="clear"/>
            <w:tcMar>
              <w:left w:type="dxa" w:w="144"/>
            </w:tcMar>
            <w:vAlign w:val="bottom"/>
          </w:tcPr>
          <w:p>
            <w:pPr>
              <w:pStyle w:val="style59"/>
              <w:spacing w:after="0" w:before="20"/>
              <w:ind w:hanging="0" w:left="173" w:right="101"/>
              <w:contextualSpacing w:val="false"/>
              <w:rPr/>
            </w:pPr>
            <w:r>
              <w:rPr/>
              <w:t> </w:t>
            </w:r>
          </w:p>
        </w:tc>
        <w:tc>
          <w:tcPr>
            <w:tcW w:type="dxa" w:w="1232"/>
            <w:tcBorders>
              <w:top w:val="nil"/>
              <w:left w:val="nil"/>
              <w:bottom w:val="nil"/>
              <w:right w:val="nil"/>
            </w:tcBorders>
            <w:shd w:fill="auto" w:val="clear"/>
            <w:tcMar>
              <w:left w:type="dxa" w:w="144"/>
            </w:tcMar>
            <w:vAlign w:val="bottom"/>
          </w:tcPr>
          <w:p>
            <w:pPr>
              <w:pStyle w:val="style59"/>
              <w:spacing w:after="0" w:before="20"/>
              <w:ind w:hanging="0" w:left="173" w:right="112"/>
              <w:contextualSpacing w:val="false"/>
              <w:rPr/>
            </w:pPr>
            <w:r>
              <w:rPr/>
              <w:t> </w:t>
            </w:r>
          </w:p>
        </w:tc>
      </w:tr>
      <w:tr>
        <w:trPr>
          <w:cantSplit w:val="false"/>
        </w:trPr>
        <w:tc>
          <w:tcPr>
            <w:tcW w:type="dxa" w:w="704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Other comprehensive income (loss)</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ab/>
              <w:t>321</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101"/>
              <w:contextualSpacing w:val="false"/>
              <w:rPr>
                <w:rFonts w:ascii="Arial" w:cs="Arial" w:hAnsi="Arial"/>
                <w:sz w:val="20"/>
                <w:szCs w:val="20"/>
              </w:rPr>
            </w:pPr>
            <w:r>
              <w:rPr>
                <w:rFonts w:ascii="Arial" w:cs="Arial" w:hAnsi="Arial"/>
                <w:sz w:val="20"/>
                <w:szCs w:val="20"/>
              </w:rPr>
              <w:tab/>
              <w:t>(441</w:t>
              <w:tab/>
              <w:t>)</w:t>
            </w:r>
          </w:p>
        </w:tc>
        <w:tc>
          <w:tcPr>
            <w:tcW w:type="dxa" w:w="123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112"/>
              <w:contextualSpacing w:val="false"/>
              <w:rPr>
                <w:rFonts w:ascii="Arial" w:cs="Arial" w:hAnsi="Arial"/>
                <w:sz w:val="20"/>
                <w:szCs w:val="20"/>
              </w:rPr>
            </w:pPr>
            <w:r>
              <w:rPr>
                <w:rFonts w:ascii="Arial" w:cs="Arial" w:hAnsi="Arial"/>
                <w:sz w:val="20"/>
                <w:szCs w:val="20"/>
              </w:rPr>
              <w:tab/>
              <w:t>808</w:t>
              <w:tab/>
            </w:r>
          </w:p>
        </w:tc>
      </w:tr>
      <w:tr>
        <w:trPr>
          <w:cantSplit w:val="false"/>
        </w:trPr>
        <w:tc>
          <w:tcPr>
            <w:tcW w:type="dxa" w:w="8337"/>
            <w:gridSpan w:val="2"/>
            <w:tcBorders>
              <w:top w:val="nil"/>
              <w:left w:val="nil"/>
              <w:bottom w:val="nil"/>
              <w:right w:val="nil"/>
            </w:tcBorders>
            <w:shd w:fill="auto" w:val="clear"/>
            <w:vAlign w:val="bottom"/>
          </w:tcPr>
          <w:p>
            <w:pPr>
              <w:pStyle w:val="style59"/>
              <w:spacing w:after="0" w:before="20"/>
              <w:ind w:hanging="0" w:left="-162" w:right="86"/>
              <w:contextualSpacing w:val="false"/>
              <w:rPr/>
            </w:pPr>
            <w:r>
              <w:rPr/>
              <w:t> </w:t>
            </w:r>
          </w:p>
        </w:tc>
        <w:tc>
          <w:tcPr>
            <w:tcW w:type="dxa" w:w="1230"/>
            <w:tcBorders>
              <w:top w:val="nil"/>
              <w:left w:val="nil"/>
              <w:bottom w:val="nil"/>
              <w:right w:val="nil"/>
            </w:tcBorders>
            <w:shd w:fill="auto" w:val="clear"/>
            <w:tcMar>
              <w:left w:type="dxa" w:w="144"/>
            </w:tcMar>
            <w:vAlign w:val="bottom"/>
          </w:tcPr>
          <w:p>
            <w:pPr>
              <w:pStyle w:val="style59"/>
              <w:spacing w:after="0" w:before="20"/>
              <w:ind w:hanging="0" w:left="173" w:right="101"/>
              <w:contextualSpacing w:val="false"/>
              <w:rPr/>
            </w:pPr>
            <w:r>
              <w:rPr/>
              <w:t> </w:t>
            </w:r>
          </w:p>
        </w:tc>
        <w:tc>
          <w:tcPr>
            <w:tcW w:type="dxa" w:w="1232"/>
            <w:tcBorders>
              <w:top w:val="nil"/>
              <w:left w:val="nil"/>
              <w:bottom w:val="nil"/>
              <w:right w:val="nil"/>
            </w:tcBorders>
            <w:shd w:fill="auto" w:val="clear"/>
            <w:tcMar>
              <w:left w:type="dxa" w:w="144"/>
            </w:tcMar>
            <w:vAlign w:val="bottom"/>
          </w:tcPr>
          <w:p>
            <w:pPr>
              <w:pStyle w:val="style59"/>
              <w:spacing w:after="0" w:before="20"/>
              <w:ind w:hanging="0" w:left="173" w:right="112"/>
              <w:contextualSpacing w:val="false"/>
              <w:rPr/>
            </w:pPr>
            <w:r>
              <w:rPr/>
              <w:t> </w:t>
            </w:r>
          </w:p>
        </w:tc>
      </w:tr>
      <w:tr>
        <w:trPr>
          <w:cantSplit w:val="false"/>
        </w:trPr>
        <w:tc>
          <w:tcPr>
            <w:tcW w:type="dxa" w:w="704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Comprehensive income</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w:t>
              <w:tab/>
              <w:t>22,184</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101"/>
              <w:contextualSpacing w:val="false"/>
              <w:rPr>
                <w:rFonts w:ascii="Arial" w:cs="Arial" w:hAnsi="Arial"/>
                <w:sz w:val="20"/>
                <w:szCs w:val="20"/>
              </w:rPr>
            </w:pPr>
            <w:r>
              <w:rPr>
                <w:rFonts w:ascii="Arial" w:cs="Arial" w:hAnsi="Arial"/>
                <w:sz w:val="20"/>
                <w:szCs w:val="20"/>
              </w:rPr>
              <w:t>$</w:t>
              <w:tab/>
              <w:t>16,537</w:t>
              <w:tab/>
            </w:r>
          </w:p>
        </w:tc>
        <w:tc>
          <w:tcPr>
            <w:tcW w:type="dxa" w:w="123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73" w:right="112"/>
              <w:contextualSpacing w:val="false"/>
              <w:rPr>
                <w:rFonts w:ascii="Arial" w:cs="Arial" w:hAnsi="Arial"/>
                <w:sz w:val="20"/>
                <w:szCs w:val="20"/>
              </w:rPr>
            </w:pPr>
            <w:r>
              <w:rPr>
                <w:rFonts w:ascii="Arial" w:cs="Arial" w:hAnsi="Arial"/>
                <w:sz w:val="20"/>
                <w:szCs w:val="20"/>
              </w:rPr>
              <w:t>$</w:t>
              <w:tab/>
              <w:t>23,958</w:t>
              <w:tab/>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162" w:right="112"/>
              <w:contextualSpacing w:val="false"/>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See accompanying notes. </w:t>
      </w:r>
    </w:p>
    <w:p>
      <w:pPr>
        <w:pStyle w:val="style62"/>
        <w:pageBreakBefore/>
        <w:spacing w:after="280" w:before="280"/>
        <w:contextualSpacing w:val="false"/>
        <w:jc w:val="center"/>
        <w:rPr>
          <w:rFonts w:ascii="Arial" w:cs="Arial" w:hAnsi="Arial"/>
          <w:b/>
          <w:bCs/>
          <w:sz w:val="20"/>
          <w:szCs w:val="20"/>
        </w:rPr>
      </w:pPr>
      <w:r>
        <w:rPr>
          <w:rFonts w:ascii="Arial" w:cs="Arial" w:hAnsi="Arial"/>
          <w:b/>
          <w:bCs/>
          <w:sz w:val="20"/>
          <w:szCs w:val="20"/>
        </w:rPr>
        <w:t>BALANCE SHEETS</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8088"/>
        <w:gridCol w:w="1379"/>
        <w:gridCol w:w="1333"/>
      </w:tblGrid>
      <w:tr>
        <w:trPr>
          <w:tblHeader w:val="true"/>
          <w:cantSplit w:val="false"/>
        </w:trPr>
        <w:tc>
          <w:tcPr>
            <w:tcW w:type="dxa" w:w="8088"/>
            <w:tcBorders>
              <w:top w:val="nil"/>
              <w:left w:val="nil"/>
              <w:bottom w:val="nil"/>
              <w:right w:val="nil"/>
            </w:tcBorders>
            <w:shd w:fill="auto" w:val="clear"/>
            <w:vAlign w:val="center"/>
          </w:tcPr>
          <w:p>
            <w:pPr>
              <w:pStyle w:val="style0"/>
              <w:rPr>
                <w:sz w:val="1"/>
                <w:szCs w:val="24"/>
              </w:rPr>
            </w:pPr>
            <w:r>
              <w:rPr>
                <w:sz w:val="1"/>
                <w:szCs w:val="24"/>
              </w:rPr>
            </w:r>
          </w:p>
        </w:tc>
        <w:tc>
          <w:tcPr>
            <w:tcW w:type="dxa" w:w="1379"/>
            <w:tcBorders>
              <w:top w:val="nil"/>
              <w:left w:val="nil"/>
              <w:bottom w:val="nil"/>
              <w:right w:val="nil"/>
            </w:tcBorders>
            <w:shd w:fill="auto" w:val="clear"/>
            <w:vAlign w:val="center"/>
          </w:tcPr>
          <w:p>
            <w:pPr>
              <w:pStyle w:val="style0"/>
              <w:rPr>
                <w:sz w:val="1"/>
                <w:szCs w:val="24"/>
              </w:rPr>
            </w:pPr>
            <w:r>
              <w:rPr>
                <w:sz w:val="1"/>
                <w:szCs w:val="24"/>
              </w:rPr>
            </w:r>
          </w:p>
        </w:tc>
        <w:tc>
          <w:tcPr>
            <w:tcW w:type="dxa" w:w="1333"/>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8088"/>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379"/>
            <w:tcBorders>
              <w:top w:val="nil"/>
              <w:left w:val="nil"/>
              <w:bottom w:val="nil"/>
              <w:right w:val="nil"/>
            </w:tcBorders>
            <w:shd w:fill="auto" w:val="clear"/>
            <w:tcMar>
              <w:left w:type="dxa" w:w="144"/>
            </w:tcMar>
            <w:vAlign w:val="bottom"/>
          </w:tcPr>
          <w:p>
            <w:pPr>
              <w:pStyle w:val="style65"/>
              <w:rPr/>
            </w:pPr>
            <w:r>
              <w:rPr/>
              <w:t> </w:t>
            </w:r>
          </w:p>
        </w:tc>
        <w:tc>
          <w:tcPr>
            <w:tcW w:type="dxa" w:w="1333"/>
            <w:tcBorders>
              <w:top w:val="nil"/>
              <w:left w:val="nil"/>
              <w:bottom w:val="nil"/>
              <w:right w:val="nil"/>
            </w:tcBorders>
            <w:shd w:fill="auto" w:val="clear"/>
            <w:tcMar>
              <w:left w:type="dxa" w:w="144"/>
            </w:tcMar>
            <w:vAlign w:val="bottom"/>
          </w:tcPr>
          <w:p>
            <w:pPr>
              <w:pStyle w:val="style65"/>
              <w:ind w:hanging="0" w:left="144" w:right="105"/>
              <w:rPr/>
            </w:pPr>
            <w:r>
              <w:rPr/>
              <w:t> </w:t>
            </w:r>
          </w:p>
        </w:tc>
      </w:tr>
      <w:tr>
        <w:trPr>
          <w:cantSplit w:val="false"/>
        </w:trPr>
        <w:tc>
          <w:tcPr>
            <w:tcW w:type="dxa" w:w="10800"/>
            <w:gridSpan w:val="3"/>
            <w:tcBorders>
              <w:top w:val="nil"/>
              <w:left w:val="nil"/>
              <w:bottom w:val="nil"/>
              <w:right w:val="nil"/>
            </w:tcBorders>
            <w:shd w:fill="auto" w:val="clear"/>
            <w:tcMar>
              <w:left w:type="dxa" w:w="144"/>
            </w:tcMar>
            <w:vAlign w:val="bottom"/>
          </w:tcPr>
          <w:p>
            <w:pPr>
              <w:pStyle w:val="style59"/>
              <w:spacing w:after="0" w:before="20"/>
              <w:ind w:hanging="0" w:left="-684" w:right="105"/>
              <w:contextualSpacing w:val="false"/>
              <w:rPr/>
            </w:pPr>
            <w:r>
              <w:rPr/>
              <w:t> </w:t>
            </w:r>
          </w:p>
        </w:tc>
      </w:tr>
      <w:tr>
        <w:trPr>
          <w:trHeight w:hRule="atLeast" w:val="75"/>
          <w:cantSplit w:val="false"/>
        </w:trPr>
        <w:tc>
          <w:tcPr>
            <w:tcW w:type="dxa" w:w="8088"/>
            <w:tcBorders>
              <w:top w:val="nil"/>
              <w:left w:val="nil"/>
              <w:bottom w:val="nil"/>
              <w:right w:val="nil"/>
            </w:tcBorders>
            <w:shd w:fill="auto" w:val="clear"/>
            <w:vAlign w:val="center"/>
          </w:tcPr>
          <w:p>
            <w:pPr>
              <w:pStyle w:val="style0"/>
              <w:rPr>
                <w:sz w:val="8"/>
                <w:szCs w:val="24"/>
              </w:rPr>
            </w:pPr>
            <w:r>
              <w:rPr>
                <w:sz w:val="8"/>
                <w:szCs w:val="24"/>
              </w:rPr>
            </w:r>
          </w:p>
        </w:tc>
        <w:tc>
          <w:tcPr>
            <w:tcW w:type="dxa" w:w="1379"/>
            <w:tcBorders>
              <w:top w:val="nil"/>
              <w:left w:val="nil"/>
              <w:bottom w:val="nil"/>
              <w:right w:val="nil"/>
            </w:tcBorders>
            <w:shd w:fill="auto" w:val="clear"/>
            <w:vAlign w:val="center"/>
          </w:tcPr>
          <w:p>
            <w:pPr>
              <w:pStyle w:val="style0"/>
              <w:rPr>
                <w:sz w:val="8"/>
                <w:szCs w:val="24"/>
              </w:rPr>
            </w:pPr>
            <w:r>
              <w:rPr>
                <w:sz w:val="8"/>
                <w:szCs w:val="24"/>
              </w:rPr>
            </w:r>
          </w:p>
        </w:tc>
        <w:tc>
          <w:tcPr>
            <w:tcW w:type="dxa" w:w="1333"/>
            <w:tcBorders>
              <w:top w:val="nil"/>
              <w:left w:val="nil"/>
              <w:bottom w:val="nil"/>
              <w:right w:val="nil"/>
            </w:tcBorders>
            <w:shd w:fill="auto" w:val="clear"/>
            <w:vAlign w:val="center"/>
          </w:tcPr>
          <w:p>
            <w:pPr>
              <w:pStyle w:val="style0"/>
              <w:ind w:hanging="0" w:left="144" w:right="105"/>
              <w:rPr>
                <w:sz w:val="8"/>
                <w:szCs w:val="24"/>
              </w:rPr>
            </w:pPr>
            <w:r>
              <w:rPr>
                <w:sz w:val="8"/>
                <w:szCs w:val="24"/>
              </w:rPr>
            </w:r>
          </w:p>
        </w:tc>
      </w:tr>
      <w:tr>
        <w:trPr>
          <w:cantSplit w:val="false"/>
        </w:trPr>
        <w:tc>
          <w:tcPr>
            <w:tcW w:type="dxa" w:w="8088"/>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w:t>
            </w:r>
          </w:p>
        </w:tc>
        <w:tc>
          <w:tcPr>
            <w:tcW w:type="dxa" w:w="1379"/>
            <w:tcBorders>
              <w:top w:val="nil"/>
              <w:left w:val="nil"/>
              <w:bottom w:val="nil"/>
              <w:right w:val="nil"/>
            </w:tcBorders>
            <w:shd w:fill="auto" w:val="clear"/>
            <w:tcMar>
              <w:left w:type="dxa" w:w="144"/>
            </w:tcMar>
            <w:vAlign w:val="bottom"/>
          </w:tcPr>
          <w:p>
            <w:pPr>
              <w:pStyle w:val="style0"/>
              <w:ind w:hanging="0" w:left="216" w:right="55"/>
              <w:jc w:val="right"/>
              <w:rPr>
                <w:rFonts w:ascii="Arial" w:cs="Arial" w:hAnsi="Arial"/>
                <w:b/>
                <w:bCs/>
                <w:sz w:val="15"/>
                <w:szCs w:val="15"/>
              </w:rPr>
            </w:pPr>
            <w:r>
              <w:rPr>
                <w:rFonts w:ascii="Arial" w:cs="Arial" w:hAnsi="Arial"/>
                <w:b/>
                <w:bCs/>
                <w:sz w:val="15"/>
                <w:szCs w:val="15"/>
              </w:rPr>
              <w:t>2013</w:t>
            </w:r>
          </w:p>
        </w:tc>
        <w:tc>
          <w:tcPr>
            <w:tcW w:type="dxa" w:w="1333"/>
            <w:tcBorders>
              <w:top w:val="nil"/>
              <w:left w:val="nil"/>
              <w:bottom w:val="nil"/>
              <w:right w:val="nil"/>
            </w:tcBorders>
            <w:shd w:fill="auto" w:val="clear"/>
            <w:tcMar>
              <w:left w:type="dxa" w:w="144"/>
            </w:tcMar>
            <w:vAlign w:val="bottom"/>
          </w:tcPr>
          <w:p>
            <w:pPr>
              <w:pStyle w:val="style0"/>
              <w:ind w:hanging="0" w:left="144" w:right="72"/>
              <w:jc w:val="right"/>
              <w:rPr>
                <w:rFonts w:ascii="Arial" w:cs="Arial" w:hAnsi="Arial"/>
                <w:b/>
                <w:bCs/>
                <w:sz w:val="15"/>
                <w:szCs w:val="15"/>
              </w:rPr>
            </w:pPr>
            <w:r>
              <w:rPr>
                <w:rFonts w:ascii="Arial" w:cs="Arial" w:hAnsi="Arial"/>
                <w:b/>
                <w:bCs/>
                <w:sz w:val="15"/>
                <w:szCs w:val="15"/>
              </w:rPr>
              <w:t>2012</w:t>
            </w:r>
          </w:p>
        </w:tc>
      </w:tr>
      <w:tr>
        <w:trPr>
          <w:trHeight w:hRule="atLeast" w:val="75"/>
          <w:cantSplit w:val="false"/>
        </w:trPr>
        <w:tc>
          <w:tcPr>
            <w:tcW w:type="dxa" w:w="8088"/>
            <w:tcBorders>
              <w:top w:val="nil"/>
              <w:left w:val="nil"/>
              <w:bottom w:val="nil"/>
              <w:right w:val="nil"/>
            </w:tcBorders>
            <w:shd w:fill="auto" w:val="clear"/>
            <w:vAlign w:val="center"/>
          </w:tcPr>
          <w:p>
            <w:pPr>
              <w:pStyle w:val="style0"/>
              <w:rPr>
                <w:sz w:val="8"/>
                <w:szCs w:val="24"/>
              </w:rPr>
            </w:pPr>
            <w:r>
              <w:rPr>
                <w:sz w:val="8"/>
                <w:szCs w:val="24"/>
              </w:rPr>
            </w:r>
          </w:p>
        </w:tc>
        <w:tc>
          <w:tcPr>
            <w:tcW w:type="dxa" w:w="1379"/>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333"/>
            <w:tcBorders>
              <w:top w:val="nil"/>
              <w:left w:val="nil"/>
              <w:bottom w:val="nil"/>
              <w:right w:val="nil"/>
            </w:tcBorders>
            <w:shd w:fill="auto" w:val="clear"/>
            <w:vAlign w:val="center"/>
          </w:tcPr>
          <w:p>
            <w:pPr>
              <w:pStyle w:val="style0"/>
              <w:ind w:hanging="0" w:left="144" w:right="105"/>
              <w:rPr>
                <w:sz w:val="8"/>
                <w:szCs w:val="24"/>
              </w:rPr>
            </w:pPr>
            <w:r>
              <w:rPr>
                <w:sz w:val="8"/>
                <w:szCs w:val="24"/>
              </w:rPr>
            </w:r>
          </w:p>
        </w:tc>
      </w:tr>
      <w:tr>
        <w:trPr>
          <w:cantSplit w:val="false"/>
        </w:trPr>
        <w:tc>
          <w:tcPr>
            <w:tcW w:type="dxa" w:w="80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Assets</w:t>
            </w:r>
          </w:p>
        </w:tc>
        <w:tc>
          <w:tcPr>
            <w:tcW w:type="dxa" w:w="1379"/>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333"/>
            <w:tcBorders>
              <w:top w:val="nil"/>
              <w:left w:val="nil"/>
              <w:bottom w:val="nil"/>
              <w:right w:val="nil"/>
            </w:tcBorders>
            <w:shd w:fill="auto" w:val="clear"/>
            <w:tcMar>
              <w:left w:type="dxa" w:w="144"/>
            </w:tcMar>
            <w:vAlign w:val="bottom"/>
          </w:tcPr>
          <w:p>
            <w:pPr>
              <w:pStyle w:val="style65"/>
              <w:ind w:hanging="0" w:left="144" w:right="105"/>
              <w:rPr/>
            </w:pPr>
            <w:r>
              <w:rPr/>
              <w:t> </w:t>
            </w:r>
          </w:p>
        </w:tc>
      </w:tr>
      <w:tr>
        <w:trPr>
          <w:cantSplit w:val="false"/>
        </w:trPr>
        <w:tc>
          <w:tcPr>
            <w:tcW w:type="dxa" w:w="8088"/>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Current assets:</w:t>
            </w:r>
          </w:p>
        </w:tc>
        <w:tc>
          <w:tcPr>
            <w:tcW w:type="dxa" w:w="1379"/>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333"/>
            <w:tcBorders>
              <w:top w:val="nil"/>
              <w:left w:val="nil"/>
              <w:bottom w:val="nil"/>
              <w:right w:val="nil"/>
            </w:tcBorders>
            <w:shd w:fill="auto" w:val="clear"/>
            <w:tcMar>
              <w:left w:type="dxa" w:w="144"/>
            </w:tcMar>
            <w:vAlign w:val="bottom"/>
          </w:tcPr>
          <w:p>
            <w:pPr>
              <w:pStyle w:val="style65"/>
              <w:ind w:hanging="0" w:left="144" w:right="105"/>
              <w:rPr/>
            </w:pPr>
            <w:r>
              <w:rPr/>
              <w:t> </w:t>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Cash and cash equivalents</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3,804</w:t>
              <w:tab/>
              <w:t> </w:t>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w:t>
              <w:tab/>
              <w:t>6,938</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 xml:space="preserve">Short-term investments (including securities loaned of </w:t>
            </w:r>
            <w:r>
              <w:rPr>
                <w:rFonts w:ascii="Arial" w:cs="Arial" w:hAnsi="Arial"/>
                <w:b/>
                <w:bCs/>
                <w:sz w:val="20"/>
                <w:szCs w:val="20"/>
              </w:rPr>
              <w:t>$579</w:t>
            </w:r>
            <w:r>
              <w:rPr>
                <w:rFonts w:ascii="Arial" w:cs="Arial" w:hAnsi="Arial"/>
                <w:sz w:val="20"/>
                <w:szCs w:val="20"/>
              </w:rPr>
              <w:t xml:space="preserve"> and $785)</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73,218</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56,102</w:t>
              <w:tab/>
            </w:r>
          </w:p>
        </w:tc>
      </w:tr>
      <w:tr>
        <w:trPr>
          <w:cantSplit w:val="false"/>
        </w:trPr>
        <w:tc>
          <w:tcPr>
            <w:tcW w:type="dxa" w:w="9468"/>
            <w:gridSpan w:val="2"/>
            <w:tcBorders>
              <w:top w:val="nil"/>
              <w:left w:val="nil"/>
              <w:bottom w:val="nil"/>
              <w:right w:val="nil"/>
            </w:tcBorders>
            <w:shd w:fill="auto" w:val="clear"/>
            <w:tcMar>
              <w:left w:type="dxa" w:w="144"/>
            </w:tcMar>
            <w:vAlign w:val="bottom"/>
          </w:tcPr>
          <w:p>
            <w:pPr>
              <w:pStyle w:val="style59"/>
              <w:spacing w:after="0" w:before="20"/>
              <w:ind w:hanging="0" w:left="-684" w:right="101"/>
              <w:contextualSpacing w:val="false"/>
              <w:rPr/>
            </w:pPr>
            <w:r>
              <w:rPr/>
              <w:t> </w:t>
            </w:r>
          </w:p>
        </w:tc>
        <w:tc>
          <w:tcPr>
            <w:tcW w:type="dxa" w:w="1332"/>
            <w:tcBorders>
              <w:top w:val="nil"/>
              <w:left w:val="nil"/>
              <w:bottom w:val="nil"/>
              <w:right w:val="nil"/>
            </w:tcBorders>
            <w:shd w:fill="auto" w:val="clear"/>
            <w:tcMar>
              <w:left w:type="dxa" w:w="144"/>
            </w:tcMar>
            <w:vAlign w:val="bottom"/>
          </w:tcPr>
          <w:p>
            <w:pPr>
              <w:pStyle w:val="style59"/>
              <w:spacing w:after="0" w:before="20"/>
              <w:ind w:hanging="0" w:left="144" w:right="105"/>
              <w:contextualSpacing w:val="false"/>
              <w:rPr/>
            </w:pPr>
            <w:r>
              <w:rPr/>
              <w:t> </w:t>
            </w:r>
          </w:p>
        </w:tc>
      </w:tr>
      <w:tr>
        <w:trPr>
          <w:cantSplit w:val="false"/>
        </w:trPr>
        <w:tc>
          <w:tcPr>
            <w:tcW w:type="dxa" w:w="8088"/>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Total cash, cash equivalents, and short-term investments</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77,022</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63,040</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 xml:space="preserve">Accounts receivable, net of allowance for doubtful accounts of </w:t>
            </w:r>
            <w:r>
              <w:rPr>
                <w:rFonts w:ascii="Arial" w:cs="Arial" w:hAnsi="Arial"/>
                <w:b/>
                <w:bCs/>
                <w:sz w:val="20"/>
                <w:szCs w:val="20"/>
              </w:rPr>
              <w:t>$336</w:t>
            </w:r>
            <w:r>
              <w:rPr>
                <w:rFonts w:ascii="Arial" w:cs="Arial" w:hAnsi="Arial"/>
                <w:sz w:val="20"/>
                <w:szCs w:val="20"/>
              </w:rPr>
              <w:t xml:space="preserve"> and $389</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17,486</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15,780</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Inventories</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1,938</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1,137</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Deferred income taxes</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1,632</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2,035</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Other</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3,388</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3,092</w:t>
              <w:tab/>
            </w:r>
          </w:p>
        </w:tc>
      </w:tr>
      <w:tr>
        <w:trPr>
          <w:cantSplit w:val="false"/>
        </w:trPr>
        <w:tc>
          <w:tcPr>
            <w:tcW w:type="dxa" w:w="9468"/>
            <w:gridSpan w:val="2"/>
            <w:tcBorders>
              <w:top w:val="nil"/>
              <w:left w:val="nil"/>
              <w:bottom w:val="nil"/>
              <w:right w:val="nil"/>
            </w:tcBorders>
            <w:shd w:fill="auto" w:val="clear"/>
            <w:tcMar>
              <w:left w:type="dxa" w:w="144"/>
            </w:tcMar>
            <w:vAlign w:val="bottom"/>
          </w:tcPr>
          <w:p>
            <w:pPr>
              <w:pStyle w:val="style59"/>
              <w:spacing w:after="0" w:before="20"/>
              <w:ind w:hanging="0" w:left="-684" w:right="101"/>
              <w:contextualSpacing w:val="false"/>
              <w:rPr/>
            </w:pPr>
            <w:r>
              <w:rPr/>
              <w:t> </w:t>
            </w:r>
          </w:p>
        </w:tc>
        <w:tc>
          <w:tcPr>
            <w:tcW w:type="dxa" w:w="1332"/>
            <w:tcBorders>
              <w:top w:val="nil"/>
              <w:left w:val="nil"/>
              <w:bottom w:val="nil"/>
              <w:right w:val="nil"/>
            </w:tcBorders>
            <w:shd w:fill="auto" w:val="clear"/>
            <w:tcMar>
              <w:left w:type="dxa" w:w="144"/>
            </w:tcMar>
            <w:vAlign w:val="bottom"/>
          </w:tcPr>
          <w:p>
            <w:pPr>
              <w:pStyle w:val="style59"/>
              <w:spacing w:after="0" w:before="20"/>
              <w:ind w:hanging="0" w:left="144" w:right="105"/>
              <w:contextualSpacing w:val="false"/>
              <w:rPr/>
            </w:pPr>
            <w:r>
              <w:rPr/>
              <w:t> </w:t>
            </w:r>
          </w:p>
        </w:tc>
      </w:tr>
      <w:tr>
        <w:trPr>
          <w:cantSplit w:val="false"/>
        </w:trPr>
        <w:tc>
          <w:tcPr>
            <w:tcW w:type="dxa" w:w="8088"/>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Total current assets</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101,466</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85,084</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 xml:space="preserve">Property and equipment, net of accumulated depreciation of </w:t>
            </w:r>
            <w:r>
              <w:rPr>
                <w:rFonts w:ascii="Arial" w:cs="Arial" w:hAnsi="Arial"/>
                <w:b/>
                <w:bCs/>
                <w:sz w:val="20"/>
                <w:szCs w:val="20"/>
              </w:rPr>
              <w:t>$12,513</w:t>
            </w:r>
            <w:r>
              <w:rPr>
                <w:rFonts w:ascii="Arial" w:cs="Arial" w:hAnsi="Arial"/>
                <w:sz w:val="20"/>
                <w:szCs w:val="20"/>
              </w:rPr>
              <w:t xml:space="preserve"> and $10,962</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9,991</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8,269</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Equity and other investments</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10,844</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9,776</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Goodwill</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14,655</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13,452</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Intangible assets, net</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3,083</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3,170</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 long-term assets</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2,392</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1,520</w:t>
              <w:tab/>
            </w:r>
          </w:p>
        </w:tc>
      </w:tr>
      <w:tr>
        <w:trPr>
          <w:cantSplit w:val="false"/>
        </w:trPr>
        <w:tc>
          <w:tcPr>
            <w:tcW w:type="dxa" w:w="9468"/>
            <w:gridSpan w:val="2"/>
            <w:tcBorders>
              <w:top w:val="nil"/>
              <w:left w:val="nil"/>
              <w:bottom w:val="nil"/>
              <w:right w:val="nil"/>
            </w:tcBorders>
            <w:shd w:fill="auto" w:val="clear"/>
            <w:tcMar>
              <w:left w:type="dxa" w:w="144"/>
            </w:tcMar>
            <w:vAlign w:val="bottom"/>
          </w:tcPr>
          <w:p>
            <w:pPr>
              <w:pStyle w:val="style59"/>
              <w:spacing w:after="0" w:before="20"/>
              <w:ind w:hanging="0" w:left="-684" w:right="101"/>
              <w:contextualSpacing w:val="false"/>
              <w:rPr/>
            </w:pPr>
            <w:r>
              <w:rPr/>
              <w:t> </w:t>
            </w:r>
          </w:p>
        </w:tc>
        <w:tc>
          <w:tcPr>
            <w:tcW w:type="dxa" w:w="1332"/>
            <w:tcBorders>
              <w:top w:val="nil"/>
              <w:left w:val="nil"/>
              <w:bottom w:val="nil"/>
              <w:right w:val="nil"/>
            </w:tcBorders>
            <w:shd w:fill="auto" w:val="clear"/>
            <w:tcMar>
              <w:left w:type="dxa" w:w="144"/>
            </w:tcMar>
            <w:vAlign w:val="bottom"/>
          </w:tcPr>
          <w:p>
            <w:pPr>
              <w:pStyle w:val="style59"/>
              <w:spacing w:after="0" w:before="20"/>
              <w:ind w:hanging="0" w:left="144" w:right="105"/>
              <w:contextualSpacing w:val="false"/>
              <w:rPr/>
            </w:pPr>
            <w:r>
              <w:rPr/>
              <w:t> </w:t>
            </w:r>
          </w:p>
        </w:tc>
      </w:tr>
      <w:tr>
        <w:trPr>
          <w:cantSplit w:val="false"/>
        </w:trPr>
        <w:tc>
          <w:tcPr>
            <w:tcW w:type="dxa" w:w="8088"/>
            <w:tcBorders>
              <w:top w:val="nil"/>
              <w:left w:val="nil"/>
              <w:bottom w:val="nil"/>
              <w:right w:val="nil"/>
            </w:tcBorders>
            <w:shd w:fill="auto" w:val="clear"/>
          </w:tcPr>
          <w:p>
            <w:pPr>
              <w:pStyle w:val="style62"/>
              <w:spacing w:after="280" w:before="280"/>
              <w:ind w:hanging="240" w:left="1200" w:right="0"/>
              <w:contextualSpacing w:val="false"/>
              <w:rPr>
                <w:rFonts w:ascii="Arial" w:cs="Arial" w:hAnsi="Arial"/>
                <w:sz w:val="20"/>
                <w:szCs w:val="20"/>
              </w:rPr>
            </w:pPr>
            <w:r>
              <w:rPr>
                <w:rFonts w:ascii="Arial" w:cs="Arial" w:hAnsi="Arial"/>
                <w:sz w:val="20"/>
                <w:szCs w:val="20"/>
              </w:rPr>
              <w:t>Total assets</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  142,431</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w:t>
              <w:tab/>
              <w:t>  121,271</w:t>
              <w:tab/>
            </w:r>
          </w:p>
        </w:tc>
      </w:tr>
      <w:tr>
        <w:trPr>
          <w:cantSplit w:val="false"/>
        </w:trPr>
        <w:tc>
          <w:tcPr>
            <w:tcW w:type="dxa" w:w="8088"/>
            <w:tcBorders>
              <w:top w:val="nil"/>
              <w:left w:val="nil"/>
              <w:bottom w:val="nil"/>
              <w:right w:val="nil"/>
            </w:tcBorders>
            <w:shd w:fill="auto" w:val="clear"/>
            <w:tcMar>
              <w:left w:type="dxa" w:w="144"/>
            </w:tcMar>
            <w:vAlign w:val="bottom"/>
          </w:tcPr>
          <w:p>
            <w:pPr>
              <w:pStyle w:val="style65"/>
              <w:rPr/>
            </w:pPr>
            <w:r>
              <w:rPr/>
              <w:t> </w:t>
            </w:r>
          </w:p>
        </w:tc>
        <w:tc>
          <w:tcPr>
            <w:tcW w:type="dxa" w:w="1379"/>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c>
          <w:tcPr>
            <w:tcW w:type="dxa" w:w="1333"/>
            <w:tcBorders>
              <w:top w:val="nil"/>
              <w:left w:val="nil"/>
              <w:bottom w:val="nil"/>
              <w:right w:val="nil"/>
            </w:tcBorders>
            <w:shd w:fill="auto" w:val="clear"/>
            <w:tcMar>
              <w:left w:type="dxa" w:w="144"/>
            </w:tcMar>
            <w:vAlign w:val="bottom"/>
          </w:tcPr>
          <w:p>
            <w:pPr>
              <w:pStyle w:val="style63"/>
              <w:spacing w:after="0" w:before="20"/>
              <w:ind w:hanging="0" w:left="144" w:right="105"/>
              <w:contextualSpacing w:val="false"/>
              <w:rPr/>
            </w:pPr>
            <w:r>
              <w:rPr/>
              <w:t> </w:t>
            </w:r>
          </w:p>
        </w:tc>
      </w:tr>
      <w:tr>
        <w:trPr>
          <w:cantSplit w:val="false"/>
        </w:trPr>
        <w:tc>
          <w:tcPr>
            <w:tcW w:type="dxa" w:w="80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Liabilities and stockholders’ equity</w:t>
            </w:r>
          </w:p>
        </w:tc>
        <w:tc>
          <w:tcPr>
            <w:tcW w:type="dxa" w:w="1379"/>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333"/>
            <w:tcBorders>
              <w:top w:val="nil"/>
              <w:left w:val="nil"/>
              <w:bottom w:val="nil"/>
              <w:right w:val="nil"/>
            </w:tcBorders>
            <w:shd w:fill="auto" w:val="clear"/>
            <w:tcMar>
              <w:left w:type="dxa" w:w="144"/>
            </w:tcMar>
            <w:vAlign w:val="bottom"/>
          </w:tcPr>
          <w:p>
            <w:pPr>
              <w:pStyle w:val="style65"/>
              <w:ind w:hanging="0" w:left="144" w:right="105"/>
              <w:rPr/>
            </w:pPr>
            <w:r>
              <w:rPr/>
              <w:t> </w:t>
            </w:r>
          </w:p>
        </w:tc>
      </w:tr>
      <w:tr>
        <w:trPr>
          <w:cantSplit w:val="false"/>
        </w:trPr>
        <w:tc>
          <w:tcPr>
            <w:tcW w:type="dxa" w:w="8088"/>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Current liabilities:</w:t>
            </w:r>
          </w:p>
        </w:tc>
        <w:tc>
          <w:tcPr>
            <w:tcW w:type="dxa" w:w="1379"/>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333"/>
            <w:tcBorders>
              <w:top w:val="nil"/>
              <w:left w:val="nil"/>
              <w:bottom w:val="nil"/>
              <w:right w:val="nil"/>
            </w:tcBorders>
            <w:shd w:fill="auto" w:val="clear"/>
            <w:tcMar>
              <w:left w:type="dxa" w:w="144"/>
            </w:tcMar>
            <w:vAlign w:val="bottom"/>
          </w:tcPr>
          <w:p>
            <w:pPr>
              <w:pStyle w:val="style65"/>
              <w:ind w:hanging="0" w:left="144" w:right="105"/>
              <w:rPr/>
            </w:pPr>
            <w:r>
              <w:rPr/>
              <w:t> </w:t>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Accounts payable</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4,828</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w:t>
              <w:tab/>
              <w:t>4,175</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Current portion of long-term debt</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2,999</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1,231</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Accrued compensation</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4,117</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3,875</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Income taxes</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592</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789</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Short-term unearned revenue</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20,639</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18,653</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Securities lending payable</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645</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814</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Other</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3,597</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3,151</w:t>
              <w:tab/>
            </w:r>
          </w:p>
        </w:tc>
      </w:tr>
      <w:tr>
        <w:trPr>
          <w:cantSplit w:val="false"/>
        </w:trPr>
        <w:tc>
          <w:tcPr>
            <w:tcW w:type="dxa" w:w="9468"/>
            <w:gridSpan w:val="2"/>
            <w:tcBorders>
              <w:top w:val="nil"/>
              <w:left w:val="nil"/>
              <w:bottom w:val="nil"/>
              <w:right w:val="nil"/>
            </w:tcBorders>
            <w:shd w:fill="auto" w:val="clear"/>
            <w:tcMar>
              <w:left w:type="dxa" w:w="144"/>
            </w:tcMar>
            <w:vAlign w:val="bottom"/>
          </w:tcPr>
          <w:p>
            <w:pPr>
              <w:pStyle w:val="style59"/>
              <w:spacing w:after="0" w:before="20"/>
              <w:ind w:hanging="0" w:left="-684" w:right="101"/>
              <w:contextualSpacing w:val="false"/>
              <w:rPr/>
            </w:pPr>
            <w:r>
              <w:rPr/>
              <w:t> </w:t>
            </w:r>
          </w:p>
        </w:tc>
        <w:tc>
          <w:tcPr>
            <w:tcW w:type="dxa" w:w="1332"/>
            <w:tcBorders>
              <w:top w:val="nil"/>
              <w:left w:val="nil"/>
              <w:bottom w:val="nil"/>
              <w:right w:val="nil"/>
            </w:tcBorders>
            <w:shd w:fill="auto" w:val="clear"/>
            <w:tcMar>
              <w:left w:type="dxa" w:w="144"/>
            </w:tcMar>
            <w:vAlign w:val="bottom"/>
          </w:tcPr>
          <w:p>
            <w:pPr>
              <w:pStyle w:val="style59"/>
              <w:spacing w:after="0" w:before="20"/>
              <w:ind w:hanging="0" w:left="144" w:right="105"/>
              <w:contextualSpacing w:val="false"/>
              <w:rPr/>
            </w:pPr>
            <w:r>
              <w:rPr/>
              <w:t> </w:t>
            </w:r>
          </w:p>
        </w:tc>
      </w:tr>
      <w:tr>
        <w:trPr>
          <w:cantSplit w:val="false"/>
        </w:trPr>
        <w:tc>
          <w:tcPr>
            <w:tcW w:type="dxa" w:w="8088"/>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Total current liabilities</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37,417</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32,688</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Long-term debt</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12,601</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10,713</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Long-term unearned revenue</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1,760</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1,406</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Deferred income taxes</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1,709</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1,893</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 long-term liabilities</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10,000</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8,208</w:t>
              <w:tab/>
            </w:r>
          </w:p>
        </w:tc>
      </w:tr>
      <w:tr>
        <w:trPr>
          <w:cantSplit w:val="false"/>
        </w:trPr>
        <w:tc>
          <w:tcPr>
            <w:tcW w:type="dxa" w:w="9468"/>
            <w:gridSpan w:val="2"/>
            <w:tcBorders>
              <w:top w:val="nil"/>
              <w:left w:val="nil"/>
              <w:bottom w:val="nil"/>
              <w:right w:val="nil"/>
            </w:tcBorders>
            <w:shd w:fill="auto" w:val="clear"/>
            <w:tcMar>
              <w:left w:type="dxa" w:w="144"/>
            </w:tcMar>
            <w:vAlign w:val="bottom"/>
          </w:tcPr>
          <w:p>
            <w:pPr>
              <w:pStyle w:val="style59"/>
              <w:spacing w:after="0" w:before="20"/>
              <w:ind w:hanging="0" w:left="-684" w:right="101"/>
              <w:contextualSpacing w:val="false"/>
              <w:rPr/>
            </w:pPr>
            <w:r>
              <w:rPr/>
              <w:t> </w:t>
            </w:r>
          </w:p>
        </w:tc>
        <w:tc>
          <w:tcPr>
            <w:tcW w:type="dxa" w:w="1332"/>
            <w:tcBorders>
              <w:top w:val="nil"/>
              <w:left w:val="nil"/>
              <w:bottom w:val="nil"/>
              <w:right w:val="nil"/>
            </w:tcBorders>
            <w:shd w:fill="auto" w:val="clear"/>
            <w:tcMar>
              <w:left w:type="dxa" w:w="144"/>
            </w:tcMar>
            <w:vAlign w:val="bottom"/>
          </w:tcPr>
          <w:p>
            <w:pPr>
              <w:pStyle w:val="style59"/>
              <w:spacing w:after="0" w:before="20"/>
              <w:ind w:hanging="0" w:left="144" w:right="105"/>
              <w:contextualSpacing w:val="false"/>
              <w:rPr/>
            </w:pPr>
            <w:r>
              <w:rPr/>
              <w:t> </w:t>
            </w:r>
          </w:p>
        </w:tc>
      </w:tr>
      <w:tr>
        <w:trPr>
          <w:cantSplit w:val="false"/>
        </w:trPr>
        <w:tc>
          <w:tcPr>
            <w:tcW w:type="dxa" w:w="8088"/>
            <w:tcBorders>
              <w:top w:val="nil"/>
              <w:left w:val="nil"/>
              <w:bottom w:val="nil"/>
              <w:right w:val="nil"/>
            </w:tcBorders>
            <w:shd w:fill="auto" w:val="clear"/>
          </w:tcPr>
          <w:p>
            <w:pPr>
              <w:pStyle w:val="style62"/>
              <w:spacing w:after="280" w:before="280"/>
              <w:ind w:hanging="240" w:left="960" w:right="0"/>
              <w:contextualSpacing w:val="false"/>
              <w:rPr>
                <w:rFonts w:ascii="Arial" w:cs="Arial" w:hAnsi="Arial"/>
                <w:sz w:val="20"/>
                <w:szCs w:val="20"/>
              </w:rPr>
            </w:pPr>
            <w:r>
              <w:rPr>
                <w:rFonts w:ascii="Arial" w:cs="Arial" w:hAnsi="Arial"/>
                <w:sz w:val="20"/>
                <w:szCs w:val="20"/>
              </w:rPr>
              <w:t>Total liabilities</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63,487</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54,908</w:t>
              <w:tab/>
            </w:r>
          </w:p>
        </w:tc>
      </w:tr>
      <w:tr>
        <w:trPr>
          <w:cantSplit w:val="false"/>
        </w:trPr>
        <w:tc>
          <w:tcPr>
            <w:tcW w:type="dxa" w:w="9468"/>
            <w:gridSpan w:val="2"/>
            <w:tcBorders>
              <w:top w:val="nil"/>
              <w:left w:val="nil"/>
              <w:bottom w:val="nil"/>
              <w:right w:val="nil"/>
            </w:tcBorders>
            <w:shd w:fill="auto" w:val="clear"/>
            <w:tcMar>
              <w:left w:type="dxa" w:w="144"/>
            </w:tcMar>
            <w:vAlign w:val="bottom"/>
          </w:tcPr>
          <w:p>
            <w:pPr>
              <w:pStyle w:val="style59"/>
              <w:spacing w:after="0" w:before="20"/>
              <w:ind w:hanging="0" w:left="-684" w:right="101"/>
              <w:contextualSpacing w:val="false"/>
              <w:rPr/>
            </w:pPr>
            <w:r>
              <w:rPr/>
              <w:t> </w:t>
            </w:r>
          </w:p>
        </w:tc>
        <w:tc>
          <w:tcPr>
            <w:tcW w:type="dxa" w:w="1332"/>
            <w:tcBorders>
              <w:top w:val="nil"/>
              <w:left w:val="nil"/>
              <w:bottom w:val="nil"/>
              <w:right w:val="nil"/>
            </w:tcBorders>
            <w:shd w:fill="auto" w:val="clear"/>
            <w:tcMar>
              <w:left w:type="dxa" w:w="144"/>
            </w:tcMar>
            <w:vAlign w:val="bottom"/>
          </w:tcPr>
          <w:p>
            <w:pPr>
              <w:pStyle w:val="style59"/>
              <w:spacing w:after="0" w:before="20"/>
              <w:ind w:hanging="0" w:left="144" w:right="105"/>
              <w:contextualSpacing w:val="false"/>
              <w:rPr/>
            </w:pPr>
            <w:r>
              <w:rPr/>
              <w:t> </w:t>
            </w:r>
          </w:p>
        </w:tc>
      </w:tr>
      <w:tr>
        <w:trPr>
          <w:cantSplit w:val="false"/>
        </w:trPr>
        <w:tc>
          <w:tcPr>
            <w:tcW w:type="dxa" w:w="80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Commitments and contingencies</w:t>
            </w:r>
          </w:p>
        </w:tc>
        <w:tc>
          <w:tcPr>
            <w:tcW w:type="dxa" w:w="1379"/>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333"/>
            <w:tcBorders>
              <w:top w:val="nil"/>
              <w:left w:val="nil"/>
              <w:bottom w:val="nil"/>
              <w:right w:val="nil"/>
            </w:tcBorders>
            <w:shd w:fill="auto" w:val="clear"/>
            <w:tcMar>
              <w:left w:type="dxa" w:w="144"/>
            </w:tcMar>
            <w:vAlign w:val="bottom"/>
          </w:tcPr>
          <w:p>
            <w:pPr>
              <w:pStyle w:val="style65"/>
              <w:ind w:hanging="0" w:left="144" w:right="105"/>
              <w:rPr/>
            </w:pPr>
            <w:r>
              <w:rPr/>
              <w:t> </w:t>
            </w:r>
          </w:p>
        </w:tc>
      </w:tr>
      <w:tr>
        <w:trPr>
          <w:cantSplit w:val="false"/>
        </w:trPr>
        <w:tc>
          <w:tcPr>
            <w:tcW w:type="dxa" w:w="8088"/>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Stockholders’ equity:</w:t>
            </w:r>
          </w:p>
        </w:tc>
        <w:tc>
          <w:tcPr>
            <w:tcW w:type="dxa" w:w="1379"/>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333"/>
            <w:tcBorders>
              <w:top w:val="nil"/>
              <w:left w:val="nil"/>
              <w:bottom w:val="nil"/>
              <w:right w:val="nil"/>
            </w:tcBorders>
            <w:shd w:fill="auto" w:val="clear"/>
            <w:tcMar>
              <w:left w:type="dxa" w:w="144"/>
            </w:tcMar>
            <w:vAlign w:val="bottom"/>
          </w:tcPr>
          <w:p>
            <w:pPr>
              <w:pStyle w:val="style65"/>
              <w:ind w:hanging="0" w:left="144" w:right="105"/>
              <w:rPr/>
            </w:pPr>
            <w:r>
              <w:rPr/>
              <w:t> </w:t>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 xml:space="preserve">Common stock and paid-in capital – shares authorized 24,000; outstanding </w:t>
            </w:r>
            <w:r>
              <w:rPr>
                <w:rFonts w:ascii="Arial" w:cs="Arial" w:hAnsi="Arial"/>
                <w:b/>
                <w:bCs/>
                <w:sz w:val="20"/>
                <w:szCs w:val="20"/>
              </w:rPr>
              <w:t>8,328</w:t>
            </w:r>
            <w:r>
              <w:rPr>
                <w:rFonts w:ascii="Arial" w:cs="Arial" w:hAnsi="Arial"/>
                <w:sz w:val="20"/>
                <w:szCs w:val="20"/>
              </w:rPr>
              <w:t xml:space="preserve"> and 8,381</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67,306</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65,797</w:t>
              <w:tab/>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Retained earnings (deficit)</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9,895</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(856</w:t>
              <w:tab/>
              <w:t>)</w:t>
            </w:r>
          </w:p>
        </w:tc>
      </w:tr>
      <w:tr>
        <w:trPr>
          <w:cantSplit w:val="false"/>
        </w:trPr>
        <w:tc>
          <w:tcPr>
            <w:tcW w:type="dxa" w:w="80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Accumulated other comprehensive income</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1,743</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1,422</w:t>
              <w:tab/>
            </w:r>
          </w:p>
        </w:tc>
      </w:tr>
      <w:tr>
        <w:trPr>
          <w:cantSplit w:val="false"/>
        </w:trPr>
        <w:tc>
          <w:tcPr>
            <w:tcW w:type="dxa" w:w="9468"/>
            <w:gridSpan w:val="2"/>
            <w:tcBorders>
              <w:top w:val="nil"/>
              <w:left w:val="nil"/>
              <w:bottom w:val="nil"/>
              <w:right w:val="nil"/>
            </w:tcBorders>
            <w:shd w:fill="auto" w:val="clear"/>
            <w:tcMar>
              <w:left w:type="dxa" w:w="144"/>
            </w:tcMar>
            <w:vAlign w:val="bottom"/>
          </w:tcPr>
          <w:p>
            <w:pPr>
              <w:pStyle w:val="style59"/>
              <w:spacing w:after="0" w:before="20"/>
              <w:ind w:hanging="0" w:left="-684" w:right="101"/>
              <w:contextualSpacing w:val="false"/>
              <w:rPr/>
            </w:pPr>
            <w:r>
              <w:rPr/>
              <w:t> </w:t>
            </w:r>
          </w:p>
        </w:tc>
        <w:tc>
          <w:tcPr>
            <w:tcW w:type="dxa" w:w="1332"/>
            <w:tcBorders>
              <w:top w:val="nil"/>
              <w:left w:val="nil"/>
              <w:bottom w:val="nil"/>
              <w:right w:val="nil"/>
            </w:tcBorders>
            <w:shd w:fill="auto" w:val="clear"/>
            <w:tcMar>
              <w:left w:type="dxa" w:w="144"/>
            </w:tcMar>
            <w:vAlign w:val="bottom"/>
          </w:tcPr>
          <w:p>
            <w:pPr>
              <w:pStyle w:val="style59"/>
              <w:spacing w:after="0" w:before="20"/>
              <w:ind w:hanging="0" w:left="144" w:right="105"/>
              <w:contextualSpacing w:val="false"/>
              <w:rPr/>
            </w:pPr>
            <w:r>
              <w:rPr/>
              <w:t> </w:t>
            </w:r>
          </w:p>
        </w:tc>
      </w:tr>
      <w:tr>
        <w:trPr>
          <w:cantSplit w:val="false"/>
        </w:trPr>
        <w:tc>
          <w:tcPr>
            <w:tcW w:type="dxa" w:w="8088"/>
            <w:tcBorders>
              <w:top w:val="nil"/>
              <w:left w:val="nil"/>
              <w:bottom w:val="nil"/>
              <w:right w:val="nil"/>
            </w:tcBorders>
            <w:shd w:fill="auto" w:val="clear"/>
          </w:tcPr>
          <w:p>
            <w:pPr>
              <w:pStyle w:val="style62"/>
              <w:spacing w:after="280" w:before="280"/>
              <w:ind w:hanging="240" w:left="960" w:right="0"/>
              <w:contextualSpacing w:val="false"/>
              <w:rPr>
                <w:rFonts w:ascii="Arial" w:cs="Arial" w:hAnsi="Arial"/>
                <w:sz w:val="20"/>
                <w:szCs w:val="20"/>
              </w:rPr>
            </w:pPr>
            <w:r>
              <w:rPr>
                <w:rFonts w:ascii="Arial" w:cs="Arial" w:hAnsi="Arial"/>
                <w:sz w:val="20"/>
                <w:szCs w:val="20"/>
              </w:rPr>
              <w:t>Total stockholders’ equity</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78,944</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ab/>
              <w:t>66,363</w:t>
              <w:tab/>
            </w:r>
          </w:p>
        </w:tc>
      </w:tr>
      <w:tr>
        <w:trPr>
          <w:cantSplit w:val="false"/>
        </w:trPr>
        <w:tc>
          <w:tcPr>
            <w:tcW w:type="dxa" w:w="9468"/>
            <w:gridSpan w:val="2"/>
            <w:tcBorders>
              <w:top w:val="nil"/>
              <w:left w:val="nil"/>
              <w:bottom w:val="nil"/>
              <w:right w:val="nil"/>
            </w:tcBorders>
            <w:shd w:fill="auto" w:val="clear"/>
            <w:tcMar>
              <w:left w:type="dxa" w:w="144"/>
            </w:tcMar>
            <w:vAlign w:val="bottom"/>
          </w:tcPr>
          <w:p>
            <w:pPr>
              <w:pStyle w:val="style59"/>
              <w:spacing w:after="0" w:before="20"/>
              <w:ind w:hanging="0" w:left="-684" w:right="101"/>
              <w:contextualSpacing w:val="false"/>
              <w:rPr/>
            </w:pPr>
            <w:r>
              <w:rPr/>
              <w:t> </w:t>
            </w:r>
          </w:p>
        </w:tc>
        <w:tc>
          <w:tcPr>
            <w:tcW w:type="dxa" w:w="1332"/>
            <w:tcBorders>
              <w:top w:val="nil"/>
              <w:left w:val="nil"/>
              <w:bottom w:val="nil"/>
              <w:right w:val="nil"/>
            </w:tcBorders>
            <w:shd w:fill="auto" w:val="clear"/>
            <w:tcMar>
              <w:left w:type="dxa" w:w="144"/>
            </w:tcMar>
            <w:vAlign w:val="bottom"/>
          </w:tcPr>
          <w:p>
            <w:pPr>
              <w:pStyle w:val="style59"/>
              <w:spacing w:after="0" w:before="20"/>
              <w:ind w:hanging="0" w:left="144" w:right="105"/>
              <w:contextualSpacing w:val="false"/>
              <w:rPr/>
            </w:pPr>
            <w:r>
              <w:rPr/>
              <w:t> </w:t>
            </w:r>
          </w:p>
        </w:tc>
      </w:tr>
      <w:tr>
        <w:trPr>
          <w:cantSplit w:val="false"/>
        </w:trPr>
        <w:tc>
          <w:tcPr>
            <w:tcW w:type="dxa" w:w="8088"/>
            <w:tcBorders>
              <w:top w:val="nil"/>
              <w:left w:val="nil"/>
              <w:bottom w:val="nil"/>
              <w:right w:val="nil"/>
            </w:tcBorders>
            <w:shd w:fill="auto" w:val="clear"/>
          </w:tcPr>
          <w:p>
            <w:pPr>
              <w:pStyle w:val="style62"/>
              <w:spacing w:after="280" w:before="280"/>
              <w:ind w:hanging="240" w:left="1200" w:right="0"/>
              <w:contextualSpacing w:val="false"/>
              <w:rPr>
                <w:rFonts w:ascii="Arial" w:cs="Arial" w:hAnsi="Arial"/>
                <w:sz w:val="20"/>
                <w:szCs w:val="20"/>
              </w:rPr>
            </w:pPr>
            <w:r>
              <w:rPr>
                <w:rFonts w:ascii="Arial" w:cs="Arial" w:hAnsi="Arial"/>
                <w:sz w:val="20"/>
                <w:szCs w:val="20"/>
              </w:rPr>
              <w:t>Total liabilities and stockholders’ equity</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142,431</w:t>
              <w:tab/>
            </w:r>
          </w:p>
        </w:tc>
        <w:tc>
          <w:tcPr>
            <w:tcW w:type="dxa" w:w="1333"/>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144" w:right="105"/>
              <w:contextualSpacing w:val="false"/>
              <w:rPr>
                <w:rFonts w:ascii="Arial" w:cs="Arial" w:hAnsi="Arial"/>
                <w:sz w:val="20"/>
                <w:szCs w:val="20"/>
              </w:rPr>
            </w:pPr>
            <w:r>
              <w:rPr>
                <w:rFonts w:ascii="Arial" w:cs="Arial" w:hAnsi="Arial"/>
                <w:sz w:val="20"/>
                <w:szCs w:val="20"/>
              </w:rPr>
              <w:t>$</w:t>
              <w:tab/>
              <w:t>121,271</w:t>
              <w:tab/>
            </w:r>
          </w:p>
        </w:tc>
      </w:tr>
      <w:tr>
        <w:trPr>
          <w:cantSplit w:val="false"/>
        </w:trPr>
        <w:tc>
          <w:tcPr>
            <w:tcW w:type="dxa" w:w="8088"/>
            <w:tcBorders>
              <w:top w:val="nil"/>
              <w:left w:val="nil"/>
              <w:bottom w:val="nil"/>
              <w:right w:val="nil"/>
            </w:tcBorders>
            <w:shd w:fill="auto" w:val="clear"/>
            <w:tcMar>
              <w:left w:type="dxa" w:w="144"/>
            </w:tcMar>
            <w:vAlign w:val="bottom"/>
          </w:tcPr>
          <w:p>
            <w:pPr>
              <w:pStyle w:val="style65"/>
              <w:rPr/>
            </w:pPr>
            <w:r>
              <w:rPr/>
              <w:t> </w:t>
            </w:r>
          </w:p>
        </w:tc>
        <w:tc>
          <w:tcPr>
            <w:tcW w:type="dxa" w:w="1379"/>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c>
          <w:tcPr>
            <w:tcW w:type="dxa" w:w="1333"/>
            <w:tcBorders>
              <w:top w:val="nil"/>
              <w:left w:val="nil"/>
              <w:bottom w:val="nil"/>
              <w:right w:val="nil"/>
            </w:tcBorders>
            <w:shd w:fill="auto" w:val="clear"/>
            <w:tcMar>
              <w:left w:type="dxa" w:w="144"/>
            </w:tcMar>
            <w:vAlign w:val="bottom"/>
          </w:tcPr>
          <w:p>
            <w:pPr>
              <w:pStyle w:val="style63"/>
              <w:spacing w:after="0" w:before="20"/>
              <w:ind w:hanging="0" w:left="144" w:right="105"/>
              <w:contextualSpacing w:val="false"/>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See accompanying notes. </w:t>
      </w:r>
    </w:p>
    <w:p>
      <w:pPr>
        <w:pStyle w:val="style62"/>
        <w:pageBreakBefore/>
        <w:spacing w:after="280" w:before="280"/>
        <w:contextualSpacing w:val="false"/>
        <w:jc w:val="center"/>
        <w:rPr>
          <w:rFonts w:ascii="Arial" w:cs="Arial" w:hAnsi="Arial"/>
          <w:b/>
          <w:bCs/>
          <w:sz w:val="20"/>
          <w:szCs w:val="20"/>
        </w:rPr>
      </w:pPr>
      <w:r>
        <w:rPr>
          <w:rFonts w:ascii="Arial" w:cs="Arial" w:hAnsi="Arial"/>
          <w:b/>
          <w:bCs/>
          <w:sz w:val="20"/>
          <w:szCs w:val="20"/>
        </w:rPr>
        <w:t>CASH FLOWS STATEMENTS</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6866"/>
        <w:gridCol w:w="1350"/>
        <w:gridCol w:w="1291"/>
        <w:gridCol w:w="1292"/>
      </w:tblGrid>
      <w:tr>
        <w:trPr>
          <w:tblHeader w:val="true"/>
          <w:cantSplit w:val="false"/>
        </w:trPr>
        <w:tc>
          <w:tcPr>
            <w:tcW w:type="dxa" w:w="6866"/>
            <w:tcBorders>
              <w:top w:val="nil"/>
              <w:left w:val="nil"/>
              <w:bottom w:val="nil"/>
              <w:right w:val="nil"/>
            </w:tcBorders>
            <w:shd w:fill="auto" w:val="clear"/>
            <w:vAlign w:val="center"/>
          </w:tcPr>
          <w:p>
            <w:pPr>
              <w:pStyle w:val="style0"/>
              <w:rPr>
                <w:sz w:val="1"/>
                <w:szCs w:val="24"/>
              </w:rPr>
            </w:pPr>
            <w:r>
              <w:rPr>
                <w:sz w:val="1"/>
                <w:szCs w:val="24"/>
              </w:rPr>
            </w:r>
          </w:p>
        </w:tc>
        <w:tc>
          <w:tcPr>
            <w:tcW w:type="dxa" w:w="1350"/>
            <w:tcBorders>
              <w:top w:val="nil"/>
              <w:left w:val="nil"/>
              <w:bottom w:val="nil"/>
              <w:right w:val="nil"/>
            </w:tcBorders>
            <w:shd w:fill="auto" w:val="clear"/>
            <w:vAlign w:val="center"/>
          </w:tcPr>
          <w:p>
            <w:pPr>
              <w:pStyle w:val="style0"/>
              <w:rPr>
                <w:sz w:val="1"/>
                <w:szCs w:val="24"/>
              </w:rPr>
            </w:pPr>
            <w:r>
              <w:rPr>
                <w:sz w:val="1"/>
                <w:szCs w:val="24"/>
              </w:rPr>
            </w:r>
          </w:p>
        </w:tc>
        <w:tc>
          <w:tcPr>
            <w:tcW w:type="dxa" w:w="1291"/>
            <w:tcBorders>
              <w:top w:val="nil"/>
              <w:left w:val="nil"/>
              <w:bottom w:val="nil"/>
              <w:right w:val="nil"/>
            </w:tcBorders>
            <w:shd w:fill="auto" w:val="clear"/>
            <w:vAlign w:val="center"/>
          </w:tcPr>
          <w:p>
            <w:pPr>
              <w:pStyle w:val="style0"/>
              <w:rPr>
                <w:sz w:val="1"/>
                <w:szCs w:val="24"/>
              </w:rPr>
            </w:pPr>
            <w:r>
              <w:rPr>
                <w:sz w:val="1"/>
                <w:szCs w:val="24"/>
              </w:rPr>
            </w:r>
          </w:p>
        </w:tc>
        <w:tc>
          <w:tcPr>
            <w:tcW w:type="dxa" w:w="129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68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350"/>
            <w:tcBorders>
              <w:top w:val="nil"/>
              <w:left w:val="nil"/>
              <w:bottom w:val="nil"/>
              <w:right w:val="nil"/>
            </w:tcBorders>
            <w:shd w:fill="auto" w:val="clear"/>
            <w:tcMar>
              <w:left w:type="dxa" w:w="144"/>
            </w:tcMar>
            <w:vAlign w:val="bottom"/>
          </w:tcPr>
          <w:p>
            <w:pPr>
              <w:pStyle w:val="style65"/>
              <w:rPr/>
            </w:pPr>
            <w:r>
              <w:rPr/>
              <w:t> </w:t>
            </w:r>
          </w:p>
        </w:tc>
        <w:tc>
          <w:tcPr>
            <w:tcW w:type="dxa" w:w="1291"/>
            <w:tcBorders>
              <w:top w:val="nil"/>
              <w:left w:val="nil"/>
              <w:bottom w:val="nil"/>
              <w:right w:val="nil"/>
            </w:tcBorders>
            <w:shd w:fill="auto" w:val="clear"/>
            <w:tcMar>
              <w:left w:type="dxa" w:w="144"/>
            </w:tcMar>
            <w:vAlign w:val="bottom"/>
          </w:tcPr>
          <w:p>
            <w:pPr>
              <w:pStyle w:val="style65"/>
              <w:rPr/>
            </w:pPr>
            <w:r>
              <w:rPr/>
              <w:t> </w:t>
            </w:r>
          </w:p>
        </w:tc>
        <w:tc>
          <w:tcPr>
            <w:tcW w:type="dxa" w:w="1292"/>
            <w:tcBorders>
              <w:top w:val="nil"/>
              <w:left w:val="nil"/>
              <w:bottom w:val="nil"/>
              <w:right w:val="nil"/>
            </w:tcBorders>
            <w:shd w:fill="auto" w:val="clear"/>
            <w:tcMar>
              <w:left w:type="dxa" w:w="144"/>
            </w:tcMar>
            <w:vAlign w:val="bottom"/>
          </w:tcPr>
          <w:p>
            <w:pPr>
              <w:pStyle w:val="style65"/>
              <w:ind w:hanging="0" w:left="144" w:right="101"/>
              <w:rPr/>
            </w:pPr>
            <w:r>
              <w:rPr/>
              <w:t> </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477" w:right="101"/>
              <w:contextualSpacing w:val="false"/>
              <w:rPr/>
            </w:pPr>
            <w:r>
              <w:rPr/>
              <w:t> </w:t>
            </w:r>
          </w:p>
        </w:tc>
      </w:tr>
      <w:tr>
        <w:trPr>
          <w:trHeight w:hRule="atLeast" w:val="75"/>
          <w:cantSplit w:val="false"/>
        </w:trPr>
        <w:tc>
          <w:tcPr>
            <w:tcW w:type="dxa" w:w="6866"/>
            <w:tcBorders>
              <w:top w:val="nil"/>
              <w:left w:val="nil"/>
              <w:bottom w:val="nil"/>
              <w:right w:val="nil"/>
            </w:tcBorders>
            <w:shd w:fill="auto" w:val="clear"/>
            <w:vAlign w:val="center"/>
          </w:tcPr>
          <w:p>
            <w:pPr>
              <w:pStyle w:val="style0"/>
              <w:rPr>
                <w:sz w:val="8"/>
                <w:szCs w:val="24"/>
              </w:rPr>
            </w:pPr>
            <w:r>
              <w:rPr>
                <w:sz w:val="8"/>
                <w:szCs w:val="24"/>
              </w:rPr>
            </w:r>
          </w:p>
        </w:tc>
        <w:tc>
          <w:tcPr>
            <w:tcW w:type="dxa" w:w="1350"/>
            <w:tcBorders>
              <w:top w:val="nil"/>
              <w:left w:val="nil"/>
              <w:bottom w:val="nil"/>
              <w:right w:val="nil"/>
            </w:tcBorders>
            <w:shd w:fill="auto" w:val="clear"/>
            <w:vAlign w:val="center"/>
          </w:tcPr>
          <w:p>
            <w:pPr>
              <w:pStyle w:val="style0"/>
              <w:rPr>
                <w:sz w:val="8"/>
                <w:szCs w:val="24"/>
              </w:rPr>
            </w:pPr>
            <w:r>
              <w:rPr>
                <w:sz w:val="8"/>
                <w:szCs w:val="24"/>
              </w:rPr>
            </w:r>
          </w:p>
        </w:tc>
        <w:tc>
          <w:tcPr>
            <w:tcW w:type="dxa" w:w="1291"/>
            <w:tcBorders>
              <w:top w:val="nil"/>
              <w:left w:val="nil"/>
              <w:bottom w:val="nil"/>
              <w:right w:val="nil"/>
            </w:tcBorders>
            <w:shd w:fill="auto" w:val="clear"/>
            <w:vAlign w:val="center"/>
          </w:tcPr>
          <w:p>
            <w:pPr>
              <w:pStyle w:val="style0"/>
              <w:rPr>
                <w:sz w:val="8"/>
                <w:szCs w:val="24"/>
              </w:rPr>
            </w:pPr>
            <w:r>
              <w:rPr>
                <w:sz w:val="8"/>
                <w:szCs w:val="24"/>
              </w:rPr>
            </w:r>
          </w:p>
        </w:tc>
        <w:tc>
          <w:tcPr>
            <w:tcW w:type="dxa" w:w="1292"/>
            <w:tcBorders>
              <w:top w:val="nil"/>
              <w:left w:val="nil"/>
              <w:bottom w:val="nil"/>
              <w:right w:val="nil"/>
            </w:tcBorders>
            <w:shd w:fill="auto" w:val="clear"/>
            <w:vAlign w:val="center"/>
          </w:tcPr>
          <w:p>
            <w:pPr>
              <w:pStyle w:val="style0"/>
              <w:ind w:hanging="0" w:left="144" w:right="101"/>
              <w:rPr>
                <w:sz w:val="8"/>
                <w:szCs w:val="24"/>
              </w:rPr>
            </w:pPr>
            <w:r>
              <w:rPr>
                <w:sz w:val="8"/>
                <w:szCs w:val="24"/>
              </w:rPr>
            </w:r>
          </w:p>
        </w:tc>
      </w:tr>
      <w:tr>
        <w:trPr>
          <w:cantSplit w:val="false"/>
        </w:trPr>
        <w:tc>
          <w:tcPr>
            <w:tcW w:type="dxa" w:w="68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350"/>
            <w:tcBorders>
              <w:top w:val="nil"/>
              <w:left w:val="nil"/>
              <w:bottom w:val="nil"/>
              <w:right w:val="nil"/>
            </w:tcBorders>
            <w:shd w:fill="auto" w:val="clear"/>
            <w:tcMar>
              <w:left w:type="dxa" w:w="144"/>
            </w:tcMar>
            <w:vAlign w:val="bottom"/>
          </w:tcPr>
          <w:p>
            <w:pPr>
              <w:pStyle w:val="style0"/>
              <w:ind w:hanging="0" w:left="144" w:right="64"/>
              <w:jc w:val="right"/>
              <w:rPr>
                <w:rFonts w:ascii="Arial" w:cs="Arial" w:hAnsi="Arial"/>
                <w:b/>
                <w:bCs/>
                <w:sz w:val="15"/>
                <w:szCs w:val="15"/>
              </w:rPr>
            </w:pPr>
            <w:r>
              <w:rPr>
                <w:rFonts w:ascii="Arial" w:cs="Arial" w:hAnsi="Arial"/>
                <w:b/>
                <w:bCs/>
                <w:sz w:val="15"/>
                <w:szCs w:val="15"/>
              </w:rPr>
              <w:t>2013</w:t>
            </w:r>
          </w:p>
        </w:tc>
        <w:tc>
          <w:tcPr>
            <w:tcW w:type="dxa" w:w="1291"/>
            <w:tcBorders>
              <w:top w:val="nil"/>
              <w:left w:val="nil"/>
              <w:bottom w:val="nil"/>
              <w:right w:val="nil"/>
            </w:tcBorders>
            <w:shd w:fill="auto" w:val="clear"/>
            <w:tcMar>
              <w:left w:type="dxa" w:w="144"/>
            </w:tcMar>
            <w:vAlign w:val="bottom"/>
          </w:tcPr>
          <w:p>
            <w:pPr>
              <w:pStyle w:val="style0"/>
              <w:ind w:hanging="0" w:left="144" w:right="64"/>
              <w:jc w:val="right"/>
              <w:rPr>
                <w:rFonts w:ascii="Arial" w:cs="Arial" w:hAnsi="Arial"/>
                <w:b/>
                <w:bCs/>
                <w:sz w:val="15"/>
                <w:szCs w:val="15"/>
              </w:rPr>
            </w:pPr>
            <w:r>
              <w:rPr>
                <w:rFonts w:ascii="Arial" w:cs="Arial" w:hAnsi="Arial"/>
                <w:b/>
                <w:bCs/>
                <w:sz w:val="15"/>
                <w:szCs w:val="15"/>
              </w:rPr>
              <w:t>2012</w:t>
            </w:r>
          </w:p>
        </w:tc>
        <w:tc>
          <w:tcPr>
            <w:tcW w:type="dxa" w:w="1292"/>
            <w:tcBorders>
              <w:top w:val="nil"/>
              <w:left w:val="nil"/>
              <w:bottom w:val="nil"/>
              <w:right w:val="nil"/>
            </w:tcBorders>
            <w:shd w:fill="auto" w:val="clear"/>
            <w:tcMar>
              <w:left w:type="dxa" w:w="144"/>
            </w:tcMar>
            <w:vAlign w:val="bottom"/>
          </w:tcPr>
          <w:p>
            <w:pPr>
              <w:pStyle w:val="style0"/>
              <w:ind w:hanging="0" w:left="144" w:right="72"/>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6866"/>
            <w:tcBorders>
              <w:top w:val="nil"/>
              <w:left w:val="nil"/>
              <w:bottom w:val="nil"/>
              <w:right w:val="nil"/>
            </w:tcBorders>
            <w:shd w:fill="auto" w:val="clear"/>
            <w:vAlign w:val="center"/>
          </w:tcPr>
          <w:p>
            <w:pPr>
              <w:pStyle w:val="style0"/>
              <w:rPr>
                <w:sz w:val="8"/>
                <w:szCs w:val="24"/>
              </w:rPr>
            </w:pPr>
            <w:r>
              <w:rPr>
                <w:sz w:val="8"/>
                <w:szCs w:val="24"/>
              </w:rPr>
            </w:r>
          </w:p>
        </w:tc>
        <w:tc>
          <w:tcPr>
            <w:tcW w:type="dxa" w:w="1350"/>
            <w:tcBorders>
              <w:top w:val="nil"/>
              <w:left w:val="nil"/>
              <w:bottom w:val="nil"/>
              <w:right w:val="nil"/>
            </w:tcBorders>
            <w:shd w:fill="auto" w:val="clear"/>
            <w:vAlign w:val="center"/>
          </w:tcPr>
          <w:p>
            <w:pPr>
              <w:pStyle w:val="style0"/>
              <w:ind w:hanging="0" w:left="144" w:right="101"/>
              <w:rPr>
                <w:sz w:val="8"/>
                <w:szCs w:val="24"/>
              </w:rPr>
            </w:pPr>
            <w:r>
              <w:rPr>
                <w:sz w:val="8"/>
                <w:szCs w:val="24"/>
              </w:rPr>
            </w:r>
          </w:p>
        </w:tc>
        <w:tc>
          <w:tcPr>
            <w:tcW w:type="dxa" w:w="1291"/>
            <w:tcBorders>
              <w:top w:val="nil"/>
              <w:left w:val="nil"/>
              <w:bottom w:val="nil"/>
              <w:right w:val="nil"/>
            </w:tcBorders>
            <w:shd w:fill="auto" w:val="clear"/>
            <w:vAlign w:val="center"/>
          </w:tcPr>
          <w:p>
            <w:pPr>
              <w:pStyle w:val="style0"/>
              <w:ind w:hanging="0" w:left="144" w:right="101"/>
              <w:rPr>
                <w:sz w:val="8"/>
                <w:szCs w:val="24"/>
              </w:rPr>
            </w:pPr>
            <w:r>
              <w:rPr>
                <w:sz w:val="8"/>
                <w:szCs w:val="24"/>
              </w:rPr>
            </w:r>
          </w:p>
        </w:tc>
        <w:tc>
          <w:tcPr>
            <w:tcW w:type="dxa" w:w="1292"/>
            <w:tcBorders>
              <w:top w:val="nil"/>
              <w:left w:val="nil"/>
              <w:bottom w:val="nil"/>
              <w:right w:val="nil"/>
            </w:tcBorders>
            <w:shd w:fill="auto" w:val="clear"/>
            <w:vAlign w:val="center"/>
          </w:tcPr>
          <w:p>
            <w:pPr>
              <w:pStyle w:val="style0"/>
              <w:ind w:hanging="0" w:left="144" w:right="101"/>
              <w:rPr>
                <w:sz w:val="8"/>
                <w:szCs w:val="24"/>
              </w:rPr>
            </w:pPr>
            <w:r>
              <w:rPr>
                <w:sz w:val="8"/>
                <w:szCs w:val="24"/>
              </w:rPr>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Operations</w:t>
            </w:r>
          </w:p>
        </w:tc>
        <w:tc>
          <w:tcPr>
            <w:tcW w:type="dxa" w:w="1350"/>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1"/>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2"/>
            <w:tcBorders>
              <w:top w:val="nil"/>
              <w:left w:val="nil"/>
              <w:bottom w:val="nil"/>
              <w:right w:val="nil"/>
            </w:tcBorders>
            <w:shd w:fill="auto" w:val="clear"/>
            <w:tcMar>
              <w:left w:type="dxa" w:w="144"/>
            </w:tcMar>
            <w:vAlign w:val="bottom"/>
          </w:tcPr>
          <w:p>
            <w:pPr>
              <w:pStyle w:val="style65"/>
              <w:ind w:hanging="0" w:left="144" w:right="101"/>
              <w:rPr/>
            </w:pPr>
            <w:r>
              <w:rPr/>
              <w:t> </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income</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w:t>
              <w:tab/>
              <w:t>   21,863</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w:t>
              <w:tab/>
              <w:t>   16,978</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w:t>
              <w:tab/>
              <w:t>   23,150</w:t>
              <w:tab/>
            </w:r>
          </w:p>
        </w:tc>
      </w:tr>
      <w:tr>
        <w:trPr>
          <w:cantSplit w:val="false"/>
        </w:trPr>
        <w:tc>
          <w:tcPr>
            <w:tcW w:type="dxa" w:w="6866"/>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Adjustments to reconcile net income to net cash from operations:</w:t>
            </w:r>
          </w:p>
        </w:tc>
        <w:tc>
          <w:tcPr>
            <w:tcW w:type="dxa" w:w="1350"/>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1"/>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2"/>
            <w:tcBorders>
              <w:top w:val="nil"/>
              <w:left w:val="nil"/>
              <w:bottom w:val="nil"/>
              <w:right w:val="nil"/>
            </w:tcBorders>
            <w:shd w:fill="auto" w:val="clear"/>
            <w:tcMar>
              <w:left w:type="dxa" w:w="144"/>
            </w:tcMar>
            <w:vAlign w:val="bottom"/>
          </w:tcPr>
          <w:p>
            <w:pPr>
              <w:pStyle w:val="style65"/>
              <w:ind w:hanging="0" w:left="144" w:right="101"/>
              <w:rPr/>
            </w:pPr>
            <w:r>
              <w:rPr/>
              <w:t> </w:t>
            </w:r>
          </w:p>
        </w:tc>
      </w:tr>
      <w:tr>
        <w:trPr>
          <w:cantSplit w:val="false"/>
        </w:trPr>
        <w:tc>
          <w:tcPr>
            <w:tcW w:type="dxa" w:w="686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Goodwill impairment</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0</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6,193</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0</w:t>
              <w:tab/>
            </w:r>
          </w:p>
        </w:tc>
      </w:tr>
      <w:tr>
        <w:trPr>
          <w:cantSplit w:val="false"/>
        </w:trPr>
        <w:tc>
          <w:tcPr>
            <w:tcW w:type="dxa" w:w="686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Depreciation, amortization, and other</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3,755</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2,967</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2,766</w:t>
              <w:tab/>
            </w:r>
          </w:p>
        </w:tc>
      </w:tr>
      <w:tr>
        <w:trPr>
          <w:cantSplit w:val="false"/>
        </w:trPr>
        <w:tc>
          <w:tcPr>
            <w:tcW w:type="dxa" w:w="686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Stock-based compensation expense</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2,406</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2,244</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2,166</w:t>
              <w:tab/>
            </w:r>
          </w:p>
        </w:tc>
      </w:tr>
      <w:tr>
        <w:trPr>
          <w:cantSplit w:val="false"/>
        </w:trPr>
        <w:tc>
          <w:tcPr>
            <w:tcW w:type="dxa" w:w="686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Net recognized losses (gains) on investments and derivatives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80</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(200</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(362</w:t>
              <w:tab/>
              <w:t>)</w:t>
            </w:r>
          </w:p>
        </w:tc>
      </w:tr>
      <w:tr>
        <w:trPr>
          <w:cantSplit w:val="false"/>
        </w:trPr>
        <w:tc>
          <w:tcPr>
            <w:tcW w:type="dxa" w:w="686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Excess tax benefits from stock-based compensation</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(209</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(93</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(17</w:t>
              <w:tab/>
              <w:t>)</w:t>
            </w:r>
          </w:p>
        </w:tc>
      </w:tr>
      <w:tr>
        <w:trPr>
          <w:cantSplit w:val="false"/>
        </w:trPr>
        <w:tc>
          <w:tcPr>
            <w:tcW w:type="dxa" w:w="686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Deferred income taxes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(19</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954</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w:t>
              <w:tab/>
            </w:r>
          </w:p>
        </w:tc>
      </w:tr>
      <w:tr>
        <w:trPr>
          <w:cantSplit w:val="false"/>
        </w:trPr>
        <w:tc>
          <w:tcPr>
            <w:tcW w:type="dxa" w:w="686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Deferral of unearned revenue</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44,253</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36,104</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31,227</w:t>
              <w:tab/>
            </w:r>
          </w:p>
        </w:tc>
      </w:tr>
      <w:tr>
        <w:trPr>
          <w:cantSplit w:val="false"/>
        </w:trPr>
        <w:tc>
          <w:tcPr>
            <w:tcW w:type="dxa" w:w="686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Recognition of unearned revenue</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(41,921</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(33,347</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(28,935</w:t>
              <w:tab/>
              <w:t>)</w:t>
            </w:r>
          </w:p>
        </w:tc>
      </w:tr>
      <w:tr>
        <w:trPr>
          <w:cantSplit w:val="false"/>
        </w:trPr>
        <w:tc>
          <w:tcPr>
            <w:tcW w:type="dxa" w:w="6866"/>
            <w:tcBorders>
              <w:top w:val="nil"/>
              <w:left w:val="nil"/>
              <w:bottom w:val="nil"/>
              <w:right w:val="nil"/>
            </w:tcBorders>
            <w:shd w:fill="auto" w:val="clear"/>
          </w:tcPr>
          <w:p>
            <w:pPr>
              <w:pStyle w:val="style62"/>
              <w:keepNext/>
              <w:spacing w:after="280" w:before="280"/>
              <w:ind w:hanging="240" w:left="480" w:right="0"/>
              <w:contextualSpacing w:val="false"/>
              <w:rPr>
                <w:rFonts w:ascii="Arial" w:cs="Arial" w:hAnsi="Arial"/>
                <w:sz w:val="20"/>
                <w:szCs w:val="20"/>
              </w:rPr>
            </w:pPr>
            <w:r>
              <w:rPr>
                <w:rFonts w:ascii="Arial" w:cs="Arial" w:hAnsi="Arial"/>
                <w:sz w:val="20"/>
                <w:szCs w:val="20"/>
              </w:rPr>
              <w:t>Changes in operating assets and liabilities:</w:t>
            </w:r>
          </w:p>
        </w:tc>
        <w:tc>
          <w:tcPr>
            <w:tcW w:type="dxa" w:w="1350"/>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1"/>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2"/>
            <w:tcBorders>
              <w:top w:val="nil"/>
              <w:left w:val="nil"/>
              <w:bottom w:val="nil"/>
              <w:right w:val="nil"/>
            </w:tcBorders>
            <w:shd w:fill="auto" w:val="clear"/>
            <w:tcMar>
              <w:left w:type="dxa" w:w="144"/>
            </w:tcMar>
            <w:vAlign w:val="bottom"/>
          </w:tcPr>
          <w:p>
            <w:pPr>
              <w:pStyle w:val="style65"/>
              <w:ind w:hanging="0" w:left="144" w:right="101"/>
              <w:rPr/>
            </w:pPr>
            <w:r>
              <w:rPr/>
              <w:t> </w:t>
            </w:r>
          </w:p>
        </w:tc>
      </w:tr>
      <w:tr>
        <w:trPr>
          <w:cantSplit w:val="false"/>
        </w:trPr>
        <w:tc>
          <w:tcPr>
            <w:tcW w:type="dxa" w:w="6866"/>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Accounts receivable</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(1,807</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(1,156</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(1,451</w:t>
              <w:tab/>
              <w:t>)</w:t>
            </w:r>
          </w:p>
        </w:tc>
      </w:tr>
      <w:tr>
        <w:trPr>
          <w:cantSplit w:val="false"/>
        </w:trPr>
        <w:tc>
          <w:tcPr>
            <w:tcW w:type="dxa" w:w="6866"/>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Inventories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(802</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184</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(561</w:t>
              <w:tab/>
              <w:t>)</w:t>
            </w:r>
          </w:p>
        </w:tc>
      </w:tr>
      <w:tr>
        <w:trPr>
          <w:cantSplit w:val="false"/>
        </w:trPr>
        <w:tc>
          <w:tcPr>
            <w:tcW w:type="dxa" w:w="6866"/>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Other current assets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(129</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493</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(1,259</w:t>
              <w:tab/>
              <w:t>)</w:t>
            </w:r>
          </w:p>
        </w:tc>
      </w:tr>
      <w:tr>
        <w:trPr>
          <w:cantSplit w:val="false"/>
        </w:trPr>
        <w:tc>
          <w:tcPr>
            <w:tcW w:type="dxa" w:w="6866"/>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Other long-term assets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(478</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(248</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62</w:t>
              <w:tab/>
            </w:r>
          </w:p>
        </w:tc>
      </w:tr>
      <w:tr>
        <w:trPr>
          <w:cantSplit w:val="false"/>
        </w:trPr>
        <w:tc>
          <w:tcPr>
            <w:tcW w:type="dxa" w:w="6866"/>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Accounts payable</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537</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(31</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58</w:t>
              <w:tab/>
            </w:r>
          </w:p>
        </w:tc>
      </w:tr>
      <w:tr>
        <w:trPr>
          <w:cantSplit w:val="false"/>
        </w:trPr>
        <w:tc>
          <w:tcPr>
            <w:tcW w:type="dxa" w:w="6866"/>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Other current liabilities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146</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410</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(1,146</w:t>
              <w:tab/>
              <w:t>)</w:t>
            </w:r>
          </w:p>
        </w:tc>
      </w:tr>
      <w:tr>
        <w:trPr>
          <w:cantSplit w:val="false"/>
        </w:trPr>
        <w:tc>
          <w:tcPr>
            <w:tcW w:type="dxa" w:w="6866"/>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Other long-term liabilities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1,158</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174</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1,294</w:t>
              <w:tab/>
            </w:r>
          </w:p>
        </w:tc>
      </w:tr>
      <w:tr>
        <w:trPr>
          <w:cantSplit w:val="false"/>
        </w:trPr>
        <w:tc>
          <w:tcPr>
            <w:tcW w:type="dxa" w:w="8217"/>
            <w:gridSpan w:val="2"/>
            <w:tcBorders>
              <w:top w:val="nil"/>
              <w:left w:val="nil"/>
              <w:bottom w:val="nil"/>
              <w:right w:val="nil"/>
            </w:tcBorders>
            <w:shd w:fill="auto" w:val="clear"/>
            <w:vAlign w:val="bottom"/>
          </w:tcPr>
          <w:p>
            <w:pPr>
              <w:pStyle w:val="style59"/>
              <w:spacing w:after="0" w:before="20"/>
              <w:ind w:hanging="0" w:left="-720"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6866"/>
            <w:tcBorders>
              <w:top w:val="nil"/>
              <w:left w:val="nil"/>
              <w:bottom w:val="nil"/>
              <w:right w:val="nil"/>
            </w:tcBorders>
            <w:shd w:fill="auto" w:val="clear"/>
          </w:tcPr>
          <w:p>
            <w:pPr>
              <w:pStyle w:val="style62"/>
              <w:spacing w:after="280" w:before="280"/>
              <w:ind w:hanging="240" w:left="960" w:right="0"/>
              <w:contextualSpacing w:val="false"/>
              <w:rPr>
                <w:rFonts w:ascii="Arial" w:cs="Arial" w:hAnsi="Arial"/>
                <w:sz w:val="20"/>
                <w:szCs w:val="20"/>
              </w:rPr>
            </w:pPr>
            <w:r>
              <w:rPr>
                <w:rFonts w:ascii="Arial" w:cs="Arial" w:hAnsi="Arial"/>
                <w:sz w:val="20"/>
                <w:szCs w:val="20"/>
              </w:rPr>
              <w:t>Net cash from operations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28,833</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31,626</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26,994</w:t>
              <w:tab/>
            </w:r>
          </w:p>
        </w:tc>
      </w:tr>
      <w:tr>
        <w:trPr>
          <w:cantSplit w:val="false"/>
        </w:trPr>
        <w:tc>
          <w:tcPr>
            <w:tcW w:type="dxa" w:w="8217"/>
            <w:gridSpan w:val="2"/>
            <w:tcBorders>
              <w:top w:val="nil"/>
              <w:left w:val="nil"/>
              <w:bottom w:val="nil"/>
              <w:right w:val="nil"/>
            </w:tcBorders>
            <w:shd w:fill="auto" w:val="clear"/>
            <w:vAlign w:val="bottom"/>
          </w:tcPr>
          <w:p>
            <w:pPr>
              <w:pStyle w:val="style59"/>
              <w:spacing w:after="0" w:before="20"/>
              <w:ind w:hanging="0" w:left="-720"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Financing</w:t>
            </w:r>
          </w:p>
        </w:tc>
        <w:tc>
          <w:tcPr>
            <w:tcW w:type="dxa" w:w="1350"/>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1"/>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2"/>
            <w:tcBorders>
              <w:top w:val="nil"/>
              <w:left w:val="nil"/>
              <w:bottom w:val="nil"/>
              <w:right w:val="nil"/>
            </w:tcBorders>
            <w:shd w:fill="auto" w:val="clear"/>
            <w:tcMar>
              <w:left w:type="dxa" w:w="144"/>
            </w:tcMar>
            <w:vAlign w:val="bottom"/>
          </w:tcPr>
          <w:p>
            <w:pPr>
              <w:pStyle w:val="style65"/>
              <w:ind w:hanging="0" w:left="144" w:right="101"/>
              <w:rPr/>
            </w:pPr>
            <w:r>
              <w:rPr/>
              <w:t> </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Short-term debt repayments, maturities of 90 days or less, net</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0</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0</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(186</w:t>
              <w:tab/>
              <w:t>)</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Proceeds from issuance of debt</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4,883</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0</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6,960</w:t>
              <w:tab/>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Repayments of debt</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(1,346</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0</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(814</w:t>
              <w:tab/>
              <w:t>)</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stock issued</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931</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1,913</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2,422</w:t>
              <w:tab/>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stock repurchased</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(5,360</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(5,029</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(11,555</w:t>
              <w:tab/>
              <w:t>)</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stock cash dividends paid</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(7,455</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(6,385</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(5,180</w:t>
              <w:tab/>
              <w:t>)</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Excess tax benefits from stock-based compensation</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209</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93</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17</w:t>
              <w:tab/>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(10</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0</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(40</w:t>
              <w:tab/>
              <w:t>)</w:t>
            </w:r>
          </w:p>
        </w:tc>
      </w:tr>
      <w:tr>
        <w:trPr>
          <w:cantSplit w:val="false"/>
        </w:trPr>
        <w:tc>
          <w:tcPr>
            <w:tcW w:type="dxa" w:w="8217"/>
            <w:gridSpan w:val="2"/>
            <w:tcBorders>
              <w:top w:val="nil"/>
              <w:left w:val="nil"/>
              <w:bottom w:val="nil"/>
              <w:right w:val="nil"/>
            </w:tcBorders>
            <w:shd w:fill="auto" w:val="clear"/>
            <w:vAlign w:val="bottom"/>
          </w:tcPr>
          <w:p>
            <w:pPr>
              <w:pStyle w:val="style59"/>
              <w:spacing w:after="0" w:before="20"/>
              <w:ind w:hanging="0" w:left="-720"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6866"/>
            <w:tcBorders>
              <w:top w:val="nil"/>
              <w:left w:val="nil"/>
              <w:bottom w:val="nil"/>
              <w:right w:val="nil"/>
            </w:tcBorders>
            <w:shd w:fill="auto" w:val="clear"/>
          </w:tcPr>
          <w:p>
            <w:pPr>
              <w:pStyle w:val="style62"/>
              <w:spacing w:after="280" w:before="280"/>
              <w:ind w:hanging="240" w:left="960" w:right="0"/>
              <w:contextualSpacing w:val="false"/>
              <w:rPr>
                <w:rFonts w:ascii="Arial" w:cs="Arial" w:hAnsi="Arial"/>
                <w:sz w:val="20"/>
                <w:szCs w:val="20"/>
              </w:rPr>
            </w:pPr>
            <w:r>
              <w:rPr>
                <w:rFonts w:ascii="Arial" w:cs="Arial" w:hAnsi="Arial"/>
                <w:sz w:val="20"/>
                <w:szCs w:val="20"/>
              </w:rPr>
              <w:t>Net cash used in financing</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(8,148</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(9,408</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(8,376</w:t>
              <w:tab/>
              <w:t>)</w:t>
            </w:r>
          </w:p>
        </w:tc>
      </w:tr>
      <w:tr>
        <w:trPr>
          <w:cantSplit w:val="false"/>
        </w:trPr>
        <w:tc>
          <w:tcPr>
            <w:tcW w:type="dxa" w:w="8217"/>
            <w:gridSpan w:val="2"/>
            <w:tcBorders>
              <w:top w:val="nil"/>
              <w:left w:val="nil"/>
              <w:bottom w:val="nil"/>
              <w:right w:val="nil"/>
            </w:tcBorders>
            <w:shd w:fill="auto" w:val="clear"/>
            <w:vAlign w:val="bottom"/>
          </w:tcPr>
          <w:p>
            <w:pPr>
              <w:pStyle w:val="style59"/>
              <w:spacing w:after="0" w:before="20"/>
              <w:ind w:hanging="0" w:left="-720"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Investing</w:t>
            </w:r>
          </w:p>
        </w:tc>
        <w:tc>
          <w:tcPr>
            <w:tcW w:type="dxa" w:w="1350"/>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1"/>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2"/>
            <w:tcBorders>
              <w:top w:val="nil"/>
              <w:left w:val="nil"/>
              <w:bottom w:val="nil"/>
              <w:right w:val="nil"/>
            </w:tcBorders>
            <w:shd w:fill="auto" w:val="clear"/>
            <w:tcMar>
              <w:left w:type="dxa" w:w="144"/>
            </w:tcMar>
            <w:vAlign w:val="bottom"/>
          </w:tcPr>
          <w:p>
            <w:pPr>
              <w:pStyle w:val="style65"/>
              <w:ind w:hanging="0" w:left="144" w:right="101"/>
              <w:rPr/>
            </w:pPr>
            <w:r>
              <w:rPr/>
              <w:t> </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Additions to property and equipment</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(4,257</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(2,305</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(2,355</w:t>
              <w:tab/>
              <w:t>)</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Acquisition of companies, net of cash acquired, and purchases of intangible and other assets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(1,584</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(10,112</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(71</w:t>
              <w:tab/>
              <w:t>)</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Purchases of investments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(75,396</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(57,250</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(35,993</w:t>
              <w:tab/>
              <w:t>)</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Maturities of investments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5,130</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15,575</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6,897</w:t>
              <w:tab/>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Sales of investments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52,464</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29,700</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15,880</w:t>
              <w:tab/>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Securities lending payable</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(168</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(394</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1,026</w:t>
              <w:tab/>
            </w:r>
          </w:p>
        </w:tc>
      </w:tr>
      <w:tr>
        <w:trPr>
          <w:cantSplit w:val="false"/>
        </w:trPr>
        <w:tc>
          <w:tcPr>
            <w:tcW w:type="dxa" w:w="8217"/>
            <w:gridSpan w:val="2"/>
            <w:tcBorders>
              <w:top w:val="nil"/>
              <w:left w:val="nil"/>
              <w:bottom w:val="nil"/>
              <w:right w:val="nil"/>
            </w:tcBorders>
            <w:shd w:fill="auto" w:val="clear"/>
            <w:vAlign w:val="bottom"/>
          </w:tcPr>
          <w:p>
            <w:pPr>
              <w:pStyle w:val="style59"/>
              <w:spacing w:after="0" w:before="20"/>
              <w:ind w:hanging="0" w:left="-720"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6866"/>
            <w:tcBorders>
              <w:top w:val="nil"/>
              <w:left w:val="nil"/>
              <w:bottom w:val="nil"/>
              <w:right w:val="nil"/>
            </w:tcBorders>
            <w:shd w:fill="auto" w:val="clear"/>
          </w:tcPr>
          <w:p>
            <w:pPr>
              <w:pStyle w:val="style62"/>
              <w:spacing w:after="280" w:before="280"/>
              <w:ind w:hanging="240" w:left="960" w:right="0"/>
              <w:contextualSpacing w:val="false"/>
              <w:rPr>
                <w:rFonts w:ascii="Arial" w:cs="Arial" w:hAnsi="Arial"/>
                <w:sz w:val="20"/>
                <w:szCs w:val="20"/>
              </w:rPr>
            </w:pPr>
            <w:r>
              <w:rPr>
                <w:rFonts w:ascii="Arial" w:cs="Arial" w:hAnsi="Arial"/>
                <w:sz w:val="20"/>
                <w:szCs w:val="20"/>
              </w:rPr>
              <w:t>Net cash used in investing</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(23,811</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(24,786</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(14,616</w:t>
              <w:tab/>
              <w:t>)</w:t>
            </w:r>
          </w:p>
        </w:tc>
      </w:tr>
      <w:tr>
        <w:trPr>
          <w:cantSplit w:val="false"/>
        </w:trPr>
        <w:tc>
          <w:tcPr>
            <w:tcW w:type="dxa" w:w="8217"/>
            <w:gridSpan w:val="2"/>
            <w:tcBorders>
              <w:top w:val="nil"/>
              <w:left w:val="nil"/>
              <w:bottom w:val="nil"/>
              <w:right w:val="nil"/>
            </w:tcBorders>
            <w:shd w:fill="auto" w:val="clear"/>
            <w:vAlign w:val="bottom"/>
          </w:tcPr>
          <w:p>
            <w:pPr>
              <w:pStyle w:val="style59"/>
              <w:spacing w:after="0" w:before="20"/>
              <w:ind w:hanging="0" w:left="-720"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Effect of exchange rates on cash and cash equivalents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(8</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(104</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103</w:t>
              <w:tab/>
            </w:r>
          </w:p>
        </w:tc>
      </w:tr>
      <w:tr>
        <w:trPr>
          <w:cantSplit w:val="false"/>
        </w:trPr>
        <w:tc>
          <w:tcPr>
            <w:tcW w:type="dxa" w:w="8217"/>
            <w:gridSpan w:val="2"/>
            <w:tcBorders>
              <w:top w:val="nil"/>
              <w:left w:val="nil"/>
              <w:bottom w:val="nil"/>
              <w:right w:val="nil"/>
            </w:tcBorders>
            <w:shd w:fill="auto" w:val="clear"/>
            <w:vAlign w:val="bottom"/>
          </w:tcPr>
          <w:p>
            <w:pPr>
              <w:pStyle w:val="style59"/>
              <w:spacing w:after="0" w:before="20"/>
              <w:ind w:hanging="0" w:left="-720"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change in cash and cash equivalents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(3,134</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(2,672</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4,105</w:t>
              <w:tab/>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Cash and cash equivalents, beginning of period</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6,938</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9,610</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5,505</w:t>
              <w:tab/>
            </w:r>
          </w:p>
        </w:tc>
      </w:tr>
      <w:tr>
        <w:trPr>
          <w:cantSplit w:val="false"/>
        </w:trPr>
        <w:tc>
          <w:tcPr>
            <w:tcW w:type="dxa" w:w="8217"/>
            <w:gridSpan w:val="2"/>
            <w:tcBorders>
              <w:top w:val="nil"/>
              <w:left w:val="nil"/>
              <w:bottom w:val="nil"/>
              <w:right w:val="nil"/>
            </w:tcBorders>
            <w:shd w:fill="auto" w:val="clear"/>
            <w:vAlign w:val="bottom"/>
          </w:tcPr>
          <w:p>
            <w:pPr>
              <w:pStyle w:val="style59"/>
              <w:spacing w:after="0" w:before="20"/>
              <w:ind w:hanging="0" w:left="-720"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68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Cash and cash equivalents, end of period</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w:t>
              <w:tab/>
              <w:t>3,804</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w:t>
              <w:tab/>
              <w:t>6,938</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w:t>
              <w:tab/>
              <w:t>9,610</w:t>
              <w:tab/>
            </w:r>
          </w:p>
        </w:tc>
      </w:tr>
      <w:tr>
        <w:trPr>
          <w:cantSplit w:val="false"/>
        </w:trPr>
        <w:tc>
          <w:tcPr>
            <w:tcW w:type="dxa" w:w="6866"/>
            <w:tcBorders>
              <w:top w:val="nil"/>
              <w:left w:val="nil"/>
              <w:bottom w:val="nil"/>
              <w:right w:val="nil"/>
            </w:tcBorders>
            <w:shd w:fill="auto" w:val="clear"/>
            <w:tcMar>
              <w:left w:type="dxa" w:w="144"/>
            </w:tcMar>
            <w:vAlign w:val="bottom"/>
          </w:tcPr>
          <w:p>
            <w:pPr>
              <w:pStyle w:val="style65"/>
              <w:rPr/>
            </w:pPr>
            <w:r>
              <w:rPr/>
              <w:t> </w:t>
            </w:r>
          </w:p>
        </w:tc>
        <w:tc>
          <w:tcPr>
            <w:tcW w:type="dxa" w:w="1350"/>
            <w:tcBorders>
              <w:top w:val="nil"/>
              <w:left w:val="nil"/>
              <w:bottom w:val="nil"/>
              <w:right w:val="nil"/>
            </w:tcBorders>
            <w:shd w:fill="auto" w:val="clear"/>
            <w:tcMar>
              <w:left w:type="dxa" w:w="144"/>
            </w:tcMar>
            <w:vAlign w:val="bottom"/>
          </w:tcPr>
          <w:p>
            <w:pPr>
              <w:pStyle w:val="style63"/>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63"/>
              <w:spacing w:after="0" w:before="20"/>
              <w:ind w:hanging="0" w:left="144" w:right="101"/>
              <w:contextualSpacing w:val="false"/>
              <w:rPr/>
            </w:pPr>
            <w:r>
              <w:rPr/>
              <w:t> </w:t>
            </w:r>
          </w:p>
        </w:tc>
        <w:tc>
          <w:tcPr>
            <w:tcW w:type="dxa" w:w="1292"/>
            <w:tcBorders>
              <w:top w:val="nil"/>
              <w:left w:val="nil"/>
              <w:bottom w:val="nil"/>
              <w:right w:val="nil"/>
            </w:tcBorders>
            <w:shd w:fill="auto" w:val="clear"/>
            <w:tcMar>
              <w:left w:type="dxa" w:w="144"/>
            </w:tcMar>
            <w:vAlign w:val="bottom"/>
          </w:tcPr>
          <w:p>
            <w:pPr>
              <w:pStyle w:val="style63"/>
              <w:spacing w:after="0" w:before="20"/>
              <w:ind w:hanging="0" w:left="144" w:right="101"/>
              <w:contextualSpacing w:val="false"/>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See accompanying notes. </w:t>
      </w:r>
    </w:p>
    <w:p>
      <w:pPr>
        <w:pStyle w:val="style62"/>
        <w:pageBreakBefore/>
        <w:spacing w:after="280" w:before="280"/>
        <w:contextualSpacing w:val="false"/>
        <w:jc w:val="center"/>
        <w:rPr>
          <w:rFonts w:ascii="Arial" w:cs="Arial" w:hAnsi="Arial"/>
          <w:b/>
          <w:bCs/>
          <w:sz w:val="20"/>
          <w:szCs w:val="20"/>
        </w:rPr>
      </w:pPr>
      <w:r>
        <w:rPr>
          <w:rFonts w:ascii="Arial" w:cs="Arial" w:hAnsi="Arial"/>
          <w:b/>
          <w:bCs/>
          <w:sz w:val="20"/>
          <w:szCs w:val="20"/>
        </w:rPr>
        <w:t>STOCKHOLDERS’ EQUITY STATEMENTS</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6926"/>
        <w:gridCol w:w="1290"/>
        <w:gridCol w:w="1291"/>
        <w:gridCol w:w="1292"/>
      </w:tblGrid>
      <w:tr>
        <w:trPr>
          <w:tblHeader w:val="true"/>
          <w:cantSplit w:val="false"/>
        </w:trPr>
        <w:tc>
          <w:tcPr>
            <w:tcW w:type="dxa" w:w="6926"/>
            <w:tcBorders>
              <w:top w:val="nil"/>
              <w:left w:val="nil"/>
              <w:bottom w:val="nil"/>
              <w:right w:val="nil"/>
            </w:tcBorders>
            <w:shd w:fill="auto" w:val="clear"/>
            <w:vAlign w:val="center"/>
          </w:tcPr>
          <w:p>
            <w:pPr>
              <w:pStyle w:val="style0"/>
              <w:rPr>
                <w:sz w:val="1"/>
                <w:szCs w:val="24"/>
              </w:rPr>
            </w:pPr>
            <w:r>
              <w:rPr>
                <w:sz w:val="1"/>
                <w:szCs w:val="24"/>
              </w:rPr>
            </w:r>
          </w:p>
        </w:tc>
        <w:tc>
          <w:tcPr>
            <w:tcW w:type="dxa" w:w="1290"/>
            <w:tcBorders>
              <w:top w:val="nil"/>
              <w:left w:val="nil"/>
              <w:bottom w:val="nil"/>
              <w:right w:val="nil"/>
            </w:tcBorders>
            <w:shd w:fill="auto" w:val="clear"/>
            <w:vAlign w:val="center"/>
          </w:tcPr>
          <w:p>
            <w:pPr>
              <w:pStyle w:val="style0"/>
              <w:rPr>
                <w:sz w:val="1"/>
                <w:szCs w:val="24"/>
              </w:rPr>
            </w:pPr>
            <w:r>
              <w:rPr>
                <w:sz w:val="1"/>
                <w:szCs w:val="24"/>
              </w:rPr>
            </w:r>
          </w:p>
        </w:tc>
        <w:tc>
          <w:tcPr>
            <w:tcW w:type="dxa" w:w="1291"/>
            <w:tcBorders>
              <w:top w:val="nil"/>
              <w:left w:val="nil"/>
              <w:bottom w:val="nil"/>
              <w:right w:val="nil"/>
            </w:tcBorders>
            <w:shd w:fill="auto" w:val="clear"/>
            <w:vAlign w:val="center"/>
          </w:tcPr>
          <w:p>
            <w:pPr>
              <w:pStyle w:val="style0"/>
              <w:rPr>
                <w:sz w:val="1"/>
                <w:szCs w:val="24"/>
              </w:rPr>
            </w:pPr>
            <w:r>
              <w:rPr>
                <w:sz w:val="1"/>
                <w:szCs w:val="24"/>
              </w:rPr>
            </w:r>
          </w:p>
        </w:tc>
        <w:tc>
          <w:tcPr>
            <w:tcW w:type="dxa" w:w="129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692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90"/>
            <w:tcBorders>
              <w:top w:val="nil"/>
              <w:left w:val="nil"/>
              <w:bottom w:val="nil"/>
              <w:right w:val="nil"/>
            </w:tcBorders>
            <w:shd w:fill="auto" w:val="clear"/>
            <w:tcMar>
              <w:left w:type="dxa" w:w="144"/>
            </w:tcMar>
            <w:vAlign w:val="bottom"/>
          </w:tcPr>
          <w:p>
            <w:pPr>
              <w:pStyle w:val="style65"/>
              <w:rPr/>
            </w:pPr>
            <w:r>
              <w:rPr/>
              <w:t> </w:t>
            </w:r>
          </w:p>
        </w:tc>
        <w:tc>
          <w:tcPr>
            <w:tcW w:type="dxa" w:w="1291"/>
            <w:tcBorders>
              <w:top w:val="nil"/>
              <w:left w:val="nil"/>
              <w:bottom w:val="nil"/>
              <w:right w:val="nil"/>
            </w:tcBorders>
            <w:shd w:fill="auto" w:val="clear"/>
            <w:tcMar>
              <w:left w:type="dxa" w:w="144"/>
            </w:tcMar>
            <w:vAlign w:val="bottom"/>
          </w:tcPr>
          <w:p>
            <w:pPr>
              <w:pStyle w:val="style65"/>
              <w:rPr/>
            </w:pPr>
            <w:r>
              <w:rPr/>
              <w:t> </w:t>
            </w:r>
          </w:p>
        </w:tc>
        <w:tc>
          <w:tcPr>
            <w:tcW w:type="dxa" w:w="1292"/>
            <w:tcBorders>
              <w:top w:val="nil"/>
              <w:left w:val="nil"/>
              <w:bottom w:val="nil"/>
              <w:right w:val="nil"/>
            </w:tcBorders>
            <w:shd w:fill="auto" w:val="clear"/>
            <w:tcMar>
              <w:left w:type="dxa" w:w="144"/>
            </w:tcMar>
            <w:vAlign w:val="bottom"/>
          </w:tcPr>
          <w:p>
            <w:pPr>
              <w:pStyle w:val="style65"/>
              <w:ind w:hanging="0" w:left="144" w:right="101"/>
              <w:rPr/>
            </w:pPr>
            <w:r>
              <w:rPr/>
              <w:t> </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234" w:right="101"/>
              <w:contextualSpacing w:val="false"/>
              <w:rPr/>
            </w:pPr>
            <w:r>
              <w:rPr/>
              <w:t> </w:t>
            </w:r>
          </w:p>
        </w:tc>
      </w:tr>
      <w:tr>
        <w:trPr>
          <w:trHeight w:hRule="atLeast" w:val="75"/>
          <w:cantSplit w:val="false"/>
        </w:trPr>
        <w:tc>
          <w:tcPr>
            <w:tcW w:type="dxa" w:w="6926"/>
            <w:tcBorders>
              <w:top w:val="nil"/>
              <w:left w:val="nil"/>
              <w:bottom w:val="nil"/>
              <w:right w:val="nil"/>
            </w:tcBorders>
            <w:shd w:fill="auto" w:val="clear"/>
            <w:vAlign w:val="center"/>
          </w:tcPr>
          <w:p>
            <w:pPr>
              <w:pStyle w:val="style0"/>
              <w:rPr>
                <w:sz w:val="8"/>
                <w:szCs w:val="24"/>
              </w:rPr>
            </w:pPr>
            <w:r>
              <w:rPr>
                <w:sz w:val="8"/>
                <w:szCs w:val="24"/>
              </w:rPr>
            </w:r>
          </w:p>
        </w:tc>
        <w:tc>
          <w:tcPr>
            <w:tcW w:type="dxa" w:w="1290"/>
            <w:tcBorders>
              <w:top w:val="nil"/>
              <w:left w:val="nil"/>
              <w:bottom w:val="nil"/>
              <w:right w:val="nil"/>
            </w:tcBorders>
            <w:shd w:fill="auto" w:val="clear"/>
            <w:vAlign w:val="center"/>
          </w:tcPr>
          <w:p>
            <w:pPr>
              <w:pStyle w:val="style0"/>
              <w:rPr>
                <w:sz w:val="8"/>
                <w:szCs w:val="24"/>
              </w:rPr>
            </w:pPr>
            <w:r>
              <w:rPr>
                <w:sz w:val="8"/>
                <w:szCs w:val="24"/>
              </w:rPr>
            </w:r>
          </w:p>
        </w:tc>
        <w:tc>
          <w:tcPr>
            <w:tcW w:type="dxa" w:w="1291"/>
            <w:tcBorders>
              <w:top w:val="nil"/>
              <w:left w:val="nil"/>
              <w:bottom w:val="nil"/>
              <w:right w:val="nil"/>
            </w:tcBorders>
            <w:shd w:fill="auto" w:val="clear"/>
            <w:vAlign w:val="center"/>
          </w:tcPr>
          <w:p>
            <w:pPr>
              <w:pStyle w:val="style0"/>
              <w:rPr>
                <w:sz w:val="8"/>
                <w:szCs w:val="24"/>
              </w:rPr>
            </w:pPr>
            <w:r>
              <w:rPr>
                <w:sz w:val="8"/>
                <w:szCs w:val="24"/>
              </w:rPr>
            </w:r>
          </w:p>
        </w:tc>
        <w:tc>
          <w:tcPr>
            <w:tcW w:type="dxa" w:w="1292"/>
            <w:tcBorders>
              <w:top w:val="nil"/>
              <w:left w:val="nil"/>
              <w:bottom w:val="nil"/>
              <w:right w:val="nil"/>
            </w:tcBorders>
            <w:shd w:fill="auto" w:val="clear"/>
            <w:vAlign w:val="center"/>
          </w:tcPr>
          <w:p>
            <w:pPr>
              <w:pStyle w:val="style0"/>
              <w:ind w:hanging="0" w:left="144" w:right="101"/>
              <w:rPr>
                <w:sz w:val="8"/>
                <w:szCs w:val="24"/>
              </w:rPr>
            </w:pPr>
            <w:r>
              <w:rPr>
                <w:sz w:val="8"/>
                <w:szCs w:val="24"/>
              </w:rPr>
            </w:r>
          </w:p>
        </w:tc>
      </w:tr>
      <w:tr>
        <w:trPr>
          <w:cantSplit w:val="false"/>
        </w:trPr>
        <w:tc>
          <w:tcPr>
            <w:tcW w:type="dxa" w:w="692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290"/>
            <w:tcBorders>
              <w:top w:val="nil"/>
              <w:left w:val="nil"/>
              <w:bottom w:val="nil"/>
              <w:right w:val="nil"/>
            </w:tcBorders>
            <w:shd w:fill="auto" w:val="clear"/>
            <w:tcMar>
              <w:left w:type="dxa" w:w="144"/>
            </w:tcMar>
            <w:vAlign w:val="bottom"/>
          </w:tcPr>
          <w:p>
            <w:pPr>
              <w:pStyle w:val="style0"/>
              <w:ind w:hanging="0" w:left="144" w:right="73"/>
              <w:jc w:val="right"/>
              <w:rPr>
                <w:rFonts w:ascii="Arial" w:cs="Arial" w:hAnsi="Arial"/>
                <w:b/>
                <w:bCs/>
                <w:sz w:val="15"/>
                <w:szCs w:val="15"/>
              </w:rPr>
            </w:pPr>
            <w:r>
              <w:rPr>
                <w:rFonts w:ascii="Arial" w:cs="Arial" w:hAnsi="Arial"/>
                <w:b/>
                <w:bCs/>
                <w:sz w:val="15"/>
                <w:szCs w:val="15"/>
              </w:rPr>
              <w:t>2013</w:t>
            </w:r>
          </w:p>
        </w:tc>
        <w:tc>
          <w:tcPr>
            <w:tcW w:type="dxa" w:w="1291"/>
            <w:tcBorders>
              <w:top w:val="nil"/>
              <w:left w:val="nil"/>
              <w:bottom w:val="nil"/>
              <w:right w:val="nil"/>
            </w:tcBorders>
            <w:shd w:fill="auto" w:val="clear"/>
            <w:tcMar>
              <w:left w:type="dxa" w:w="144"/>
            </w:tcMar>
            <w:vAlign w:val="bottom"/>
          </w:tcPr>
          <w:p>
            <w:pPr>
              <w:pStyle w:val="style0"/>
              <w:ind w:hanging="0" w:left="144" w:right="86"/>
              <w:jc w:val="right"/>
              <w:rPr>
                <w:rFonts w:ascii="Arial" w:cs="Arial" w:hAnsi="Arial"/>
                <w:b/>
                <w:bCs/>
                <w:sz w:val="15"/>
                <w:szCs w:val="15"/>
              </w:rPr>
            </w:pPr>
            <w:r>
              <w:rPr>
                <w:rFonts w:ascii="Arial" w:cs="Arial" w:hAnsi="Arial"/>
                <w:b/>
                <w:bCs/>
                <w:sz w:val="15"/>
                <w:szCs w:val="15"/>
              </w:rPr>
              <w:t>2012</w:t>
            </w:r>
          </w:p>
        </w:tc>
        <w:tc>
          <w:tcPr>
            <w:tcW w:type="dxa" w:w="1292"/>
            <w:tcBorders>
              <w:top w:val="nil"/>
              <w:left w:val="nil"/>
              <w:bottom w:val="nil"/>
              <w:right w:val="nil"/>
            </w:tcBorders>
            <w:shd w:fill="auto" w:val="clear"/>
            <w:tcMar>
              <w:left w:type="dxa" w:w="144"/>
            </w:tcMar>
            <w:vAlign w:val="bottom"/>
          </w:tcPr>
          <w:p>
            <w:pPr>
              <w:pStyle w:val="style0"/>
              <w:ind w:hanging="0" w:left="144" w:right="72"/>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6926"/>
            <w:tcBorders>
              <w:top w:val="nil"/>
              <w:left w:val="nil"/>
              <w:bottom w:val="nil"/>
              <w:right w:val="nil"/>
            </w:tcBorders>
            <w:shd w:fill="auto" w:val="clear"/>
            <w:vAlign w:val="center"/>
          </w:tcPr>
          <w:p>
            <w:pPr>
              <w:pStyle w:val="style0"/>
              <w:rPr>
                <w:sz w:val="8"/>
                <w:szCs w:val="24"/>
              </w:rPr>
            </w:pPr>
            <w:r>
              <w:rPr>
                <w:sz w:val="8"/>
                <w:szCs w:val="24"/>
              </w:rPr>
            </w:r>
          </w:p>
        </w:tc>
        <w:tc>
          <w:tcPr>
            <w:tcW w:type="dxa" w:w="1290"/>
            <w:tcBorders>
              <w:top w:val="nil"/>
              <w:left w:val="nil"/>
              <w:bottom w:val="nil"/>
              <w:right w:val="nil"/>
            </w:tcBorders>
            <w:shd w:fill="auto" w:val="clear"/>
            <w:vAlign w:val="center"/>
          </w:tcPr>
          <w:p>
            <w:pPr>
              <w:pStyle w:val="style0"/>
              <w:ind w:hanging="0" w:left="144" w:right="101"/>
              <w:rPr>
                <w:sz w:val="8"/>
                <w:szCs w:val="24"/>
              </w:rPr>
            </w:pPr>
            <w:r>
              <w:rPr>
                <w:sz w:val="8"/>
                <w:szCs w:val="24"/>
              </w:rPr>
            </w:r>
          </w:p>
        </w:tc>
        <w:tc>
          <w:tcPr>
            <w:tcW w:type="dxa" w:w="1291"/>
            <w:tcBorders>
              <w:top w:val="nil"/>
              <w:left w:val="nil"/>
              <w:bottom w:val="nil"/>
              <w:right w:val="nil"/>
            </w:tcBorders>
            <w:shd w:fill="auto" w:val="clear"/>
            <w:vAlign w:val="center"/>
          </w:tcPr>
          <w:p>
            <w:pPr>
              <w:pStyle w:val="style0"/>
              <w:ind w:hanging="0" w:left="144" w:right="101"/>
              <w:rPr>
                <w:sz w:val="8"/>
                <w:szCs w:val="24"/>
              </w:rPr>
            </w:pPr>
            <w:r>
              <w:rPr>
                <w:sz w:val="8"/>
                <w:szCs w:val="24"/>
              </w:rPr>
            </w:r>
          </w:p>
        </w:tc>
        <w:tc>
          <w:tcPr>
            <w:tcW w:type="dxa" w:w="1292"/>
            <w:tcBorders>
              <w:top w:val="nil"/>
              <w:left w:val="nil"/>
              <w:bottom w:val="nil"/>
              <w:right w:val="nil"/>
            </w:tcBorders>
            <w:shd w:fill="auto" w:val="clear"/>
            <w:vAlign w:val="center"/>
          </w:tcPr>
          <w:p>
            <w:pPr>
              <w:pStyle w:val="style0"/>
              <w:ind w:hanging="0" w:left="144" w:right="101"/>
              <w:rPr>
                <w:sz w:val="8"/>
                <w:szCs w:val="24"/>
              </w:rPr>
            </w:pPr>
            <w:r>
              <w:rPr>
                <w:sz w:val="8"/>
                <w:szCs w:val="24"/>
              </w:rPr>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Common stock and paid-in capital</w:t>
            </w:r>
          </w:p>
        </w:tc>
        <w:tc>
          <w:tcPr>
            <w:tcW w:type="dxa" w:w="1290"/>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1"/>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2"/>
            <w:tcBorders>
              <w:top w:val="nil"/>
              <w:left w:val="nil"/>
              <w:bottom w:val="nil"/>
              <w:right w:val="nil"/>
            </w:tcBorders>
            <w:shd w:fill="auto" w:val="clear"/>
            <w:tcMar>
              <w:left w:type="dxa" w:w="144"/>
            </w:tcMar>
            <w:vAlign w:val="bottom"/>
          </w:tcPr>
          <w:p>
            <w:pPr>
              <w:pStyle w:val="style65"/>
              <w:ind w:hanging="0" w:left="144" w:right="101"/>
              <w:rPr/>
            </w:pPr>
            <w:r>
              <w:rPr/>
              <w:t> </w:t>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Balance, beginning of period</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w:t>
              <w:tab/>
              <w:t>  65,797</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w:t>
              <w:tab/>
              <w:t>   63,415</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w:t>
              <w:tab/>
              <w:t>   62,856</w:t>
              <w:tab/>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stock issued</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920</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1,924</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2,422</w:t>
              <w:tab/>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stock repurchased</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(2,014</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(1,714</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(3,738</w:t>
              <w:tab/>
              <w:t>)</w:t>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Stock-based compensation expense</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2,406</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2,244</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2,166</w:t>
              <w:tab/>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Stock-based compensation income tax benefits (deficiencies)</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190</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(75</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(292</w:t>
              <w:tab/>
              <w:t>)</w:t>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 net</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7</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3</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w:t>
              <w:tab/>
            </w:r>
          </w:p>
        </w:tc>
      </w:tr>
      <w:tr>
        <w:trPr>
          <w:cantSplit w:val="false"/>
        </w:trPr>
        <w:tc>
          <w:tcPr>
            <w:tcW w:type="dxa" w:w="8217"/>
            <w:gridSpan w:val="2"/>
            <w:tcBorders>
              <w:top w:val="nil"/>
              <w:left w:val="nil"/>
              <w:bottom w:val="nil"/>
              <w:right w:val="nil"/>
            </w:tcBorders>
            <w:shd w:fill="auto" w:val="clear"/>
            <w:vAlign w:val="bottom"/>
          </w:tcPr>
          <w:p>
            <w:pPr>
              <w:pStyle w:val="style59"/>
              <w:spacing w:after="0" w:before="20"/>
              <w:ind w:hanging="0" w:left="-23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692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Balance, end of period</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67,306</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65,797</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63,415</w:t>
              <w:tab/>
            </w:r>
          </w:p>
        </w:tc>
      </w:tr>
      <w:tr>
        <w:trPr>
          <w:cantSplit w:val="false"/>
        </w:trPr>
        <w:tc>
          <w:tcPr>
            <w:tcW w:type="dxa" w:w="8217"/>
            <w:gridSpan w:val="2"/>
            <w:tcBorders>
              <w:top w:val="nil"/>
              <w:left w:val="nil"/>
              <w:bottom w:val="nil"/>
              <w:right w:val="nil"/>
            </w:tcBorders>
            <w:shd w:fill="auto" w:val="clear"/>
            <w:vAlign w:val="bottom"/>
          </w:tcPr>
          <w:p>
            <w:pPr>
              <w:pStyle w:val="style59"/>
              <w:spacing w:after="0" w:before="20"/>
              <w:ind w:hanging="0" w:left="-23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Retained earnings (deficit)</w:t>
            </w:r>
          </w:p>
        </w:tc>
        <w:tc>
          <w:tcPr>
            <w:tcW w:type="dxa" w:w="1290"/>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1"/>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2"/>
            <w:tcBorders>
              <w:top w:val="nil"/>
              <w:left w:val="nil"/>
              <w:bottom w:val="nil"/>
              <w:right w:val="nil"/>
            </w:tcBorders>
            <w:shd w:fill="auto" w:val="clear"/>
            <w:tcMar>
              <w:left w:type="dxa" w:w="144"/>
            </w:tcMar>
            <w:vAlign w:val="bottom"/>
          </w:tcPr>
          <w:p>
            <w:pPr>
              <w:pStyle w:val="style65"/>
              <w:ind w:hanging="0" w:left="144" w:right="101"/>
              <w:rPr/>
            </w:pPr>
            <w:r>
              <w:rPr/>
              <w:t> </w:t>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Balance, beginning of period</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(856</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(8,195</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(17,736</w:t>
              <w:tab/>
              <w:t>)</w:t>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income</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21,863</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16,978</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23,150</w:t>
              <w:tab/>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stock cash dividends</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(7,694</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(6,721</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(5,394</w:t>
              <w:tab/>
              <w:t>)</w:t>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stock repurchased</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(3,418</w:t>
              <w:tab/>
              <w:t>)</w:t>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(2,918</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(8,215</w:t>
              <w:tab/>
              <w:t>)</w:t>
            </w:r>
          </w:p>
        </w:tc>
      </w:tr>
      <w:tr>
        <w:trPr>
          <w:cantSplit w:val="false"/>
        </w:trPr>
        <w:tc>
          <w:tcPr>
            <w:tcW w:type="dxa" w:w="8217"/>
            <w:gridSpan w:val="2"/>
            <w:tcBorders>
              <w:top w:val="nil"/>
              <w:left w:val="nil"/>
              <w:bottom w:val="nil"/>
              <w:right w:val="nil"/>
            </w:tcBorders>
            <w:shd w:fill="auto" w:val="clear"/>
            <w:vAlign w:val="bottom"/>
          </w:tcPr>
          <w:p>
            <w:pPr>
              <w:pStyle w:val="style59"/>
              <w:spacing w:after="0" w:before="20"/>
              <w:ind w:hanging="0" w:left="-23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692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Balance, end of period</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9,895</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(856</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(8,195</w:t>
              <w:tab/>
              <w:t>)</w:t>
            </w:r>
          </w:p>
        </w:tc>
      </w:tr>
      <w:tr>
        <w:trPr>
          <w:cantSplit w:val="false"/>
        </w:trPr>
        <w:tc>
          <w:tcPr>
            <w:tcW w:type="dxa" w:w="8217"/>
            <w:gridSpan w:val="2"/>
            <w:tcBorders>
              <w:top w:val="nil"/>
              <w:left w:val="nil"/>
              <w:bottom w:val="nil"/>
              <w:right w:val="nil"/>
            </w:tcBorders>
            <w:shd w:fill="auto" w:val="clear"/>
            <w:vAlign w:val="bottom"/>
          </w:tcPr>
          <w:p>
            <w:pPr>
              <w:pStyle w:val="style59"/>
              <w:spacing w:after="0" w:before="20"/>
              <w:ind w:hanging="0" w:left="-23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Accumulated other comprehensive income</w:t>
            </w:r>
          </w:p>
        </w:tc>
        <w:tc>
          <w:tcPr>
            <w:tcW w:type="dxa" w:w="1290"/>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1"/>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92"/>
            <w:tcBorders>
              <w:top w:val="nil"/>
              <w:left w:val="nil"/>
              <w:bottom w:val="nil"/>
              <w:right w:val="nil"/>
            </w:tcBorders>
            <w:shd w:fill="auto" w:val="clear"/>
            <w:tcMar>
              <w:left w:type="dxa" w:w="144"/>
            </w:tcMar>
            <w:vAlign w:val="bottom"/>
          </w:tcPr>
          <w:p>
            <w:pPr>
              <w:pStyle w:val="style65"/>
              <w:ind w:hanging="0" w:left="144" w:right="101"/>
              <w:rPr/>
            </w:pPr>
            <w:r>
              <w:rPr/>
              <w:t> </w:t>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Balance, beginning of period</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1,422</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1,863</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1,055</w:t>
              <w:tab/>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 comprehensive income (loss)</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321</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(441</w:t>
              <w:tab/>
              <w:t>)</w:t>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808</w:t>
              <w:tab/>
            </w:r>
          </w:p>
        </w:tc>
      </w:tr>
      <w:tr>
        <w:trPr>
          <w:cantSplit w:val="false"/>
        </w:trPr>
        <w:tc>
          <w:tcPr>
            <w:tcW w:type="dxa" w:w="8217"/>
            <w:gridSpan w:val="2"/>
            <w:tcBorders>
              <w:top w:val="nil"/>
              <w:left w:val="nil"/>
              <w:bottom w:val="nil"/>
              <w:right w:val="nil"/>
            </w:tcBorders>
            <w:shd w:fill="auto" w:val="clear"/>
            <w:vAlign w:val="bottom"/>
          </w:tcPr>
          <w:p>
            <w:pPr>
              <w:pStyle w:val="style59"/>
              <w:spacing w:after="0" w:before="20"/>
              <w:ind w:hanging="0" w:left="-23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692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Balance, end of period</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1,743</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1,422</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ab/>
              <w:t>1,863</w:t>
              <w:tab/>
            </w:r>
          </w:p>
        </w:tc>
      </w:tr>
      <w:tr>
        <w:trPr>
          <w:cantSplit w:val="false"/>
        </w:trPr>
        <w:tc>
          <w:tcPr>
            <w:tcW w:type="dxa" w:w="8217"/>
            <w:gridSpan w:val="2"/>
            <w:tcBorders>
              <w:top w:val="nil"/>
              <w:left w:val="nil"/>
              <w:bottom w:val="nil"/>
              <w:right w:val="nil"/>
            </w:tcBorders>
            <w:shd w:fill="auto" w:val="clear"/>
            <w:vAlign w:val="bottom"/>
          </w:tcPr>
          <w:p>
            <w:pPr>
              <w:pStyle w:val="style59"/>
              <w:spacing w:after="0" w:before="20"/>
              <w:ind w:hanging="0" w:left="-23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69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Total stockholders’ equity</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w:t>
              <w:tab/>
              <w:t>78,944</w:t>
              <w:tab/>
            </w:r>
          </w:p>
        </w:tc>
        <w:tc>
          <w:tcPr>
            <w:tcW w:type="dxa" w:w="12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w:t>
              <w:tab/>
              <w:t>66,363</w:t>
              <w:tab/>
            </w:r>
          </w:p>
        </w:tc>
        <w:tc>
          <w:tcPr>
            <w:tcW w:type="dxa" w:w="129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sz w:val="20"/>
                <w:szCs w:val="20"/>
              </w:rPr>
            </w:pPr>
            <w:r>
              <w:rPr>
                <w:rFonts w:ascii="Arial" w:cs="Arial" w:hAnsi="Arial"/>
                <w:sz w:val="20"/>
                <w:szCs w:val="20"/>
              </w:rPr>
              <w:t>$</w:t>
              <w:tab/>
              <w:t>57,083</w:t>
              <w:tab/>
            </w:r>
          </w:p>
        </w:tc>
      </w:tr>
      <w:tr>
        <w:trPr>
          <w:cantSplit w:val="false"/>
        </w:trPr>
        <w:tc>
          <w:tcPr>
            <w:tcW w:type="dxa" w:w="6926"/>
            <w:tcBorders>
              <w:top w:val="nil"/>
              <w:left w:val="nil"/>
              <w:bottom w:val="nil"/>
              <w:right w:val="nil"/>
            </w:tcBorders>
            <w:shd w:fill="auto" w:val="clear"/>
            <w:tcMar>
              <w:left w:type="dxa" w:w="144"/>
            </w:tcMar>
            <w:vAlign w:val="bottom"/>
          </w:tcPr>
          <w:p>
            <w:pPr>
              <w:pStyle w:val="style65"/>
              <w:rPr/>
            </w:pPr>
            <w:r>
              <w:rPr/>
              <w:t> </w:t>
            </w:r>
          </w:p>
        </w:tc>
        <w:tc>
          <w:tcPr>
            <w:tcW w:type="dxa" w:w="1290"/>
            <w:tcBorders>
              <w:top w:val="nil"/>
              <w:left w:val="nil"/>
              <w:bottom w:val="nil"/>
              <w:right w:val="nil"/>
            </w:tcBorders>
            <w:shd w:fill="auto" w:val="clear"/>
            <w:tcMar>
              <w:left w:type="dxa" w:w="144"/>
            </w:tcMar>
            <w:vAlign w:val="bottom"/>
          </w:tcPr>
          <w:p>
            <w:pPr>
              <w:pStyle w:val="style63"/>
              <w:spacing w:after="0" w:before="20"/>
              <w:ind w:hanging="0" w:left="144" w:right="101"/>
              <w:contextualSpacing w:val="false"/>
              <w:rPr/>
            </w:pPr>
            <w:r>
              <w:rPr/>
              <w:t> </w:t>
            </w:r>
          </w:p>
        </w:tc>
        <w:tc>
          <w:tcPr>
            <w:tcW w:type="dxa" w:w="1291"/>
            <w:tcBorders>
              <w:top w:val="nil"/>
              <w:left w:val="nil"/>
              <w:bottom w:val="nil"/>
              <w:right w:val="nil"/>
            </w:tcBorders>
            <w:shd w:fill="auto" w:val="clear"/>
            <w:tcMar>
              <w:left w:type="dxa" w:w="144"/>
            </w:tcMar>
            <w:vAlign w:val="bottom"/>
          </w:tcPr>
          <w:p>
            <w:pPr>
              <w:pStyle w:val="style63"/>
              <w:spacing w:after="0" w:before="20"/>
              <w:ind w:hanging="0" w:left="144" w:right="101"/>
              <w:contextualSpacing w:val="false"/>
              <w:rPr/>
            </w:pPr>
            <w:r>
              <w:rPr/>
              <w:t> </w:t>
            </w:r>
          </w:p>
        </w:tc>
        <w:tc>
          <w:tcPr>
            <w:tcW w:type="dxa" w:w="1292"/>
            <w:tcBorders>
              <w:top w:val="nil"/>
              <w:left w:val="nil"/>
              <w:bottom w:val="nil"/>
              <w:right w:val="nil"/>
            </w:tcBorders>
            <w:shd w:fill="auto" w:val="clear"/>
            <w:tcMar>
              <w:left w:type="dxa" w:w="144"/>
            </w:tcMar>
            <w:vAlign w:val="bottom"/>
          </w:tcPr>
          <w:p>
            <w:pPr>
              <w:pStyle w:val="style63"/>
              <w:spacing w:after="0" w:before="20"/>
              <w:ind w:hanging="0" w:left="144" w:right="101"/>
              <w:contextualSpacing w:val="false"/>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See accompanying notes. </w:t>
      </w:r>
    </w:p>
    <w:p>
      <w:pPr>
        <w:pStyle w:val="style62"/>
        <w:pageBreakBefore/>
        <w:spacing w:after="280" w:before="280"/>
        <w:contextualSpacing w:val="false"/>
        <w:jc w:val="center"/>
        <w:rPr>
          <w:rFonts w:ascii="Arial" w:cs="Arial" w:hAnsi="Arial"/>
          <w:b/>
          <w:bCs/>
          <w:sz w:val="20"/>
          <w:szCs w:val="20"/>
        </w:rPr>
      </w:pPr>
      <w:r>
        <w:rPr>
          <w:rFonts w:ascii="Arial" w:cs="Arial" w:hAnsi="Arial"/>
          <w:b/>
          <w:bCs/>
          <w:sz w:val="20"/>
          <w:szCs w:val="20"/>
        </w:rPr>
        <w:t>NOTES TO FINANCIAL STATEMENTS</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1 — ACCOUNTING POLICIES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Accounting Principles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financial statements and accompanying notes are prepared in accordance with accounting principles generally accepted in the United States of America (“U.S. GAAP”).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Principles of Consolidation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financial statements include the accounts of Microsoft Corporation and its subsidiaries. Intercompany transactions and balances have been eliminated. Equity investments through which we exercise significant influence over but do not control the investee and are not the primary beneficiary of the investee’s activities are accounted for using the equity method. Investments through which we are not able to exercise significant influence over the investee and which do not have readily determinable fair values are accounted for under the cost method.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Estimates and Assumptions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Preparing financial statements requires management to make estimates and assumptions that affect the reported amounts of assets, liabilities, revenue, and expenses. Examples of estimates include: loss contingencies; product warranties; the fair value of, and/or potential goodwill impairment for, our reporting units; product life cycles; useful lives of our tangible and intangible assets; allowances for doubtful accounts; allowances for product returns; the market value of our inventory; and stock-based compensation forfeiture rates. Examples of assumptions include: the elements comprising a software arrangement, including the distinction between upgrades or enhancements and new products; when technological feasibility is achieved for our products; the potential outcome of future tax consequences of events that have been recognized in our financial statements or tax returns; and determining when investment impairments are other-than-temporary. Actual results and outcomes may differ from management’s estimates and assumptions.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Foreign Currencies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 (“OCI”).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Revenue Recognition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Revenue is recognized when persuasive evidence of an arrangement exists, delivery has occurred, the fee is fixed or determinable, and collectibility is probable. Revenue generally is recognized net of allowances for returns and any taxes collected from customers and subsequently remitted to governmental authorities.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Revenue for retail packaged products, products licensed to original equipment manufacturers (“OEMs”), and perpetual licenses under certain volume licensing programs generally is recognized as products are shipped or made available.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Technology guarantee programs are accounted for as multiple element arrangements as customers receive free or significantly discounted rights to use upcoming new versions of a software product if they license existing versions of the product during the eligibility period. Revenue is allocated between the existing product and the new product, and revenue allocated to the new product is deferred until that version is delivered. The revenue allocation is based on the vendor-specific objective evidence (“VSOE”) of fair value of the products. The VSOE of fair value for upcoming new products are based on the price determined by management having the relevant authority when the element is not yet sold separately, but is expected to be sold in the near future at the price set by management.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Software updates that will be provided free of charge are evaluated on a case-by-case basis to determine whether they meet the definition of an upgrade and create a multiple element arrangement, which may require revenue to be deferred and recognized when the upgrade is delivered, or if it is determined that implied post-contract customer support (“PCS”) is being provided, the arrangement is accounted for as a multiple element arrangement and all revenue from the arrangement is deferred and recognized over the implied PCS term when the VSOE of fair value does not exist. If updates are determined to not meet the definition of an upgrade, revenue is generally recognized as products are shipped or made available. Windows 8.1 will enable new hardware, further the integration with other Microsoft services and fix some of the customer issues with Windows 8, and will be provided to Windows 8 customers when available at no additional charge. We evaluated Windows 8.1 and determined that it did not meet the definition of an upgrade and thus have not deferred revenue related to this planned release.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Certain volume licensing arrangements include a perpetual license for current products combined with rights to receive unspecified future versions of software products (“Software Assurance”), which we have determined are additional software products and are therefore accounted for as subscriptions, with billings recorded as unearned revenue and recognized as revenue ratably over the coverage period. Arrangements that include term based licenses for current products with the right to use unspecified future versions of the software during the coverage period, are also accounted for as subscriptions, with revenue recognized ratably over the coverage period.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Revenue from cloud-based services arrangements that allow for the use of a hosted software product or service over a contractually determined period of time without taking possession of software are accounted for as subscriptions with billings recorded as unearned revenue and recognized as revenue ratably over the coverage period beginning on the date the service is made available to customers. Revenue from cloud-based services arrangements that are provided on a consumption basis (for example, the amount of storage used in a particular period) is recognized commensurate with the customer utilization of such resources.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Some volume licensing arrangements include time-based subscriptions for cloud-based services and software offerings that are accounted for as subscriptions. These arrangements are considered multiple element arrangements. However, because all elements are accounted for as subscriptions and have the same coverage period and delivery pattern, they have the same revenue recognition timing.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Revenue related to Surface, our Xbox 360 gaming and entertainment console, Kinect for Xbox 360, games published by us, and other hardware components is generally recognized when ownership is transferred to the resellers or end customers when selling directly through Microsoft Stores. Revenue related to games published by third parties for use on the Xbox 360 platform is recognized when games are manufactured by the game publishers.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Display advertising revenue is recognized as advertisements are displayed. Search advertising revenue is recognized when the ad appears in the search results or when the action necessary to earn the revenue has been completed. Consulting services revenue is recognized as services are rendered, generally based on the negotiated hourly rate in the consulting arrangement and the number of hours worked during the period. Consulting revenue for fixed-price services arrangements is recognized as services are provided. Revenue from prepaid points redeemable for the purchase of software or services is recognized upon redemption of the points and delivery of the software or services.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Cost of Revenue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OEMs, to drive traffic to our websites, and to acquire online advertising space (“traffic acquisition costs”); costs incurred to support and maintain Internet-based products and services, including datacenter costs and royalties; warranty costs; inventory valuation adjustments; costs associated with the delivery of consulting services; and the amortization of capitalized research and development costs. Capitalized research and development costs are amortized over the estimated lives of the products.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Product Warranty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hardware warranty terms and conditions vary depending upon the product sold and the country in which we do business, but generally include parts and labor over a period generally ranging from 90 days to three years. For software warranties, we estimate the costs to provide bug fixes, such as security patches, over the estimated life of the software. We regularly reevaluate our estimates to assess the adequacy of the recorded warranty liabilities and adjust the amounts as necessary.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Research and Development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manufacturing. Once technological feasibility is reached, such costs are capitalized and amortized to cost of revenue over the estimated lives of the products.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Sales and Marketing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$2.6 billion, $1.6 billion, and $1.9 billion in fiscal years 2013, 2012, and 2011, respectively.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Stock-Based Compensation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measure stock-based compensation cost at the grant date based on the fair value of the award and recognize it as expense, net of estimated forfeitures, over the vesting or service period, as applicable, of the stock award (generally four to five years) using the straight-line method.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Employee Stock Purchase Plan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Shares of our common stock may be purchased by employees at three-month intervals at 90% of the fair market value of the stock on the last day of each three-month period. Compensation expense for the employee stock purchase plan is measured as the discount the employee is entitled to upon purchase and is recognized in the period of purchase.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Income Taxes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Income tax expense includes U.S. and international income taxes, the provision for U.S. taxes on undistributed earnings of international subsidiaries not deemed to be permanently invested,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The deferred income taxes are classified as current or long-term based on the classification of the related asset or liability.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Fair Value Measurements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pPr>
        <w:pStyle w:val="style62"/>
        <w:spacing w:after="280" w:before="280"/>
        <w:ind w:hanging="360" w:left="850"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r>
      <w:r>
        <w:rPr>
          <w:rFonts w:ascii="Arial" w:cs="Arial" w:hAnsi="Arial"/>
          <w:i/>
          <w:iCs/>
          <w:sz w:val="20"/>
          <w:szCs w:val="20"/>
        </w:rPr>
        <w:t>Level 1</w:t>
      </w:r>
      <w:r>
        <w:rPr>
          <w:rFonts w:ascii="Arial" w:cs="Arial" w:hAnsi="Arial"/>
          <w:sz w:val="20"/>
          <w:szCs w:val="20"/>
        </w:rPr>
        <w:t xml:space="preserve"> – inputs are based upon unadjusted quoted prices for identical instruments traded in active markets. Our Level 1 non-derivative investments primarily include U.S. government securities, domestic and international equities, and actively traded mutual funds. Our Level 1 derivative assets and liabilities include those actively traded on exchanges. </w:t>
      </w:r>
    </w:p>
    <w:p>
      <w:pPr>
        <w:pStyle w:val="style62"/>
        <w:spacing w:after="280" w:before="280"/>
        <w:ind w:hanging="360" w:left="850"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r>
      <w:r>
        <w:rPr>
          <w:rFonts w:ascii="Arial" w:cs="Arial" w:hAnsi="Arial"/>
          <w:i/>
          <w:iCs/>
          <w:sz w:val="20"/>
          <w:szCs w:val="20"/>
        </w:rPr>
        <w:t>Level 2</w:t>
      </w:r>
      <w:r>
        <w:rPr>
          <w:rFonts w:ascii="Arial" w:cs="Arial" w:hAnsi="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and commodities. Our Level 2 non-derivative investments consist primarily of corporate notes and bonds, mortgage-backed securities, U.S. agency securities, certificates of deposit, and foreign government bonds. Our Level 2 derivative assets and liabilities primarily include certain over-the-counter option and swap contracts. </w:t>
      </w:r>
    </w:p>
    <w:p>
      <w:pPr>
        <w:pStyle w:val="style62"/>
        <w:spacing w:after="280" w:before="280"/>
        <w:ind w:hanging="360" w:left="850"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r>
      <w:r>
        <w:rPr>
          <w:rFonts w:ascii="Arial" w:cs="Arial" w:hAnsi="Arial"/>
          <w:i/>
          <w:iCs/>
          <w:sz w:val="20"/>
          <w:szCs w:val="20"/>
        </w:rPr>
        <w:t>Level 3</w:t>
      </w:r>
      <w:r>
        <w:rPr>
          <w:rFonts w:ascii="Arial" w:cs="Arial" w:hAnsi="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assets primarily comprise investments in certain corporate bonds and goodwill when it is recorded at fair value due to an impairment charge. We value the Level 3 corporate bonds using internally developed valuation models, inputs to which include interest rate curves, credit spreads, stock prices, and volatilities. In certain cases, market-based observable inputs are not available and we use management judgment to develop assumptions to determine fair value for these derivatives. Unobservable inputs used in all of these models are significant to the fair values of the assets and liabilities.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measure certain assets, including our cost and equity method investments, at fair value on a nonrecurring basis when they are deemed to be other-than-temporarily impaired. The fair values of these investments are determined based on valuation techniques using the best information available, and may include quoted market prices, market comparables, and discounted cash flow projections. An impairment charge is recorded when the cost of the investment exceeds its fair value and this condition is determined to be other-than-temporary.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other current financial assets and our current financial liabilities have fair values that approximate their carrying values.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Financial Instruments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All cash equivalents and short-term investments are classified as available-for-sale and realized gains and losses are recorded using the specific identification method. Changes in market value, excluding other-than-temporary impairments, are reflected in OCI.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Equity and other investments classified as long-term include both debt and equity instruments. Debt and publicly-traded equity securities are classified as available-for-sale and realized gains and losses are recorded using the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specific identification method. Changes in market value, excluding other-than-temporary impairments, are reflected in OCI. Common and preferred stock and other investments that are restricted for more than one year or are not publicly traded are recorded at cost or using the equity method.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lend certain fixed-income and equity securities to increase investment returns. The loaned securities continue to be carried as investments on our balance sheet. Cash and/or security interests are received as collateral for the loaned securities with the amount determined based upon the underlying security lent and the creditworthiness of the borrower. Cash received is recorded as an asset with a corresponding liability.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Investments are considered to be impaired when a decline in fair value is judged to be other-than-temporary. Fair value is calculated based on publicly available market information or other estimates determined by management. We employ a systematic methodology on a quarterly basis that considers available quantitative and qualitative evidence in evaluating potential impairment of our investments. If the cost of an investment exceeds its fair value, we evaluate, among other factors, general market conditions, credit quality of debt instrument issuers, the duration and extent to which the fair value is less than cost, and for equity securities, our intent and ability to hold, or plans to sell, the investment. For fixed-income securities, we also evaluate whether we have plans to sell the security or it is more likely than not that we will be required to sell the security before recovery. We also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to other income (expense) and a new cost basis in the investment is established.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Derivative instruments are recognized as either assets or liabilities and are measured at fair value. The accounting for changes in the fair value of a derivative depends on the intended use of the derivative and the resulting designation.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For derivative instruments designated as fair-value hedges, the gains (losses) are recognized in earnings in the periods of change together with the offsetting losses (gains) on the hedged items attributed to the risk being hedged. For options designated as fair-value hedges, changes in the time value are excluded from the assessment of hedge effectiveness and are recognized in earnings.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For derivative instruments designated as cash-flow hedges, the effective portion of the gains (losses) on the derivatives is initially reported as a component of OCI and is subsequently recognized in earnings when the hedged exposure is recognized in earnings. For options designated as cash-flow hedges, changes in the time value are excluded from the assessment of hedge effectiveness and are recognized in earnings. Gains (losses) on derivatives representing either hedge components excluded from the assessment of effectiveness or hedge ineffectiveness are recognized in earnings.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For derivative instruments that are not designated as hedges, gains (losses) from changes in fair values are primarily recognized in other income (expense). Other than those derivatives entered into for investment purposes, such as commodity contracts, the gains (losses) are generally economically offset by unrealized gains (losses) in the underlying available-for-sale securities, which are recorded as a component of OCI until the securities are sold or other-than-temporarily impaired, at which time the amounts are reclassified from accumulated other comprehensive income (“AOCI”) into other income (expense).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Allowance for Doubtful Accounts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Activity in the allowance for doubtful accounts was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846"/>
        <w:gridCol w:w="1010"/>
        <w:gridCol w:w="971"/>
        <w:gridCol w:w="973"/>
      </w:tblGrid>
      <w:tr>
        <w:trPr>
          <w:tblHeader w:val="true"/>
          <w:cantSplit w:val="false"/>
        </w:trPr>
        <w:tc>
          <w:tcPr>
            <w:tcW w:type="dxa" w:w="7846"/>
            <w:tcBorders>
              <w:top w:val="nil"/>
              <w:left w:val="nil"/>
              <w:bottom w:val="nil"/>
              <w:right w:val="nil"/>
            </w:tcBorders>
            <w:shd w:fill="auto" w:val="clear"/>
            <w:vAlign w:val="center"/>
          </w:tcPr>
          <w:p>
            <w:pPr>
              <w:pStyle w:val="style0"/>
              <w:rPr>
                <w:sz w:val="2"/>
                <w:szCs w:val="24"/>
              </w:rPr>
            </w:pPr>
            <w:r>
              <w:rPr>
                <w:sz w:val="2"/>
                <w:szCs w:val="24"/>
              </w:rPr>
            </w:r>
          </w:p>
        </w:tc>
        <w:tc>
          <w:tcPr>
            <w:tcW w:type="dxa" w:w="1010"/>
            <w:tcBorders>
              <w:top w:val="nil"/>
              <w:left w:val="nil"/>
              <w:bottom w:val="nil"/>
              <w:right w:val="nil"/>
            </w:tcBorders>
            <w:shd w:fill="auto" w:val="clear"/>
            <w:vAlign w:val="center"/>
          </w:tcPr>
          <w:p>
            <w:pPr>
              <w:pStyle w:val="style0"/>
              <w:rPr>
                <w:sz w:val="2"/>
                <w:szCs w:val="24"/>
              </w:rPr>
            </w:pPr>
            <w:r>
              <w:rPr>
                <w:sz w:val="2"/>
                <w:szCs w:val="24"/>
              </w:rPr>
            </w:r>
          </w:p>
        </w:tc>
        <w:tc>
          <w:tcPr>
            <w:tcW w:type="dxa" w:w="971"/>
            <w:tcBorders>
              <w:top w:val="nil"/>
              <w:left w:val="nil"/>
              <w:bottom w:val="nil"/>
              <w:right w:val="nil"/>
            </w:tcBorders>
            <w:shd w:fill="auto" w:val="clear"/>
            <w:vAlign w:val="center"/>
          </w:tcPr>
          <w:p>
            <w:pPr>
              <w:pStyle w:val="style0"/>
              <w:rPr>
                <w:sz w:val="2"/>
                <w:szCs w:val="24"/>
              </w:rPr>
            </w:pPr>
            <w:r>
              <w:rPr>
                <w:sz w:val="2"/>
                <w:szCs w:val="24"/>
              </w:rPr>
            </w:r>
          </w:p>
        </w:tc>
        <w:tc>
          <w:tcPr>
            <w:tcW w:type="dxa" w:w="973"/>
            <w:tcBorders>
              <w:top w:val="nil"/>
              <w:left w:val="nil"/>
              <w:bottom w:val="nil"/>
              <w:right w:val="nil"/>
            </w:tcBorders>
            <w:shd w:fill="auto" w:val="clear"/>
            <w:vAlign w:val="center"/>
          </w:tcPr>
          <w:p>
            <w:pPr>
              <w:pStyle w:val="style0"/>
              <w:rPr>
                <w:sz w:val="2"/>
                <w:szCs w:val="24"/>
              </w:rPr>
            </w:pPr>
            <w:r>
              <w:rPr>
                <w:sz w:val="2"/>
                <w:szCs w:val="24"/>
              </w:rPr>
            </w:r>
          </w:p>
        </w:tc>
      </w:tr>
      <w:tr>
        <w:trPr>
          <w:tblHeader w:val="true"/>
          <w:cantSplit w:val="false"/>
        </w:trPr>
        <w:tc>
          <w:tcPr>
            <w:tcW w:type="dxa" w:w="784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010"/>
            <w:tcBorders>
              <w:top w:val="nil"/>
              <w:left w:val="nil"/>
              <w:bottom w:val="nil"/>
              <w:right w:val="nil"/>
            </w:tcBorders>
            <w:shd w:fill="auto" w:val="clear"/>
            <w:tcMar>
              <w:left w:type="dxa" w:w="144"/>
            </w:tcMar>
            <w:vAlign w:val="bottom"/>
          </w:tcPr>
          <w:p>
            <w:pPr>
              <w:pStyle w:val="style65"/>
              <w:ind w:hanging="0" w:left="202" w:right="86"/>
              <w:rPr/>
            </w:pPr>
            <w:r>
              <w:rPr/>
              <w:t> </w:t>
            </w:r>
          </w:p>
        </w:tc>
        <w:tc>
          <w:tcPr>
            <w:tcW w:type="dxa" w:w="971"/>
            <w:tcBorders>
              <w:top w:val="nil"/>
              <w:left w:val="nil"/>
              <w:bottom w:val="nil"/>
              <w:right w:val="nil"/>
            </w:tcBorders>
            <w:shd w:fill="auto" w:val="clear"/>
            <w:tcMar>
              <w:left w:type="dxa" w:w="144"/>
            </w:tcMar>
            <w:vAlign w:val="bottom"/>
          </w:tcPr>
          <w:p>
            <w:pPr>
              <w:pStyle w:val="style65"/>
              <w:ind w:hanging="0" w:left="202" w:right="86"/>
              <w:rPr/>
            </w:pPr>
            <w:r>
              <w:rPr/>
              <w:t> </w:t>
            </w:r>
          </w:p>
        </w:tc>
        <w:tc>
          <w:tcPr>
            <w:tcW w:type="dxa" w:w="973"/>
            <w:tcBorders>
              <w:top w:val="nil"/>
              <w:left w:val="nil"/>
              <w:bottom w:val="nil"/>
              <w:right w:val="nil"/>
            </w:tcBorders>
            <w:shd w:fill="auto" w:val="clear"/>
            <w:tcMar>
              <w:left w:type="dxa" w:w="144"/>
            </w:tcMar>
            <w:vAlign w:val="bottom"/>
          </w:tcPr>
          <w:p>
            <w:pPr>
              <w:pStyle w:val="style65"/>
              <w:ind w:hanging="0" w:left="202" w:right="86"/>
              <w:rPr/>
            </w:pPr>
            <w:r>
              <w:rPr/>
              <w:t> </w:t>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639" w:right="86"/>
              <w:contextualSpacing w:val="false"/>
              <w:rPr/>
            </w:pPr>
            <w:r>
              <w:rPr/>
              <w:t> </w:t>
            </w:r>
          </w:p>
        </w:tc>
      </w:tr>
      <w:tr>
        <w:trPr>
          <w:trHeight w:hRule="atLeast" w:val="75"/>
          <w:cantSplit w:val="false"/>
        </w:trPr>
        <w:tc>
          <w:tcPr>
            <w:tcW w:type="dxa" w:w="7846"/>
            <w:tcBorders>
              <w:top w:val="nil"/>
              <w:left w:val="nil"/>
              <w:bottom w:val="nil"/>
              <w:right w:val="nil"/>
            </w:tcBorders>
            <w:shd w:fill="auto" w:val="clear"/>
            <w:vAlign w:val="center"/>
          </w:tcPr>
          <w:p>
            <w:pPr>
              <w:pStyle w:val="style0"/>
              <w:rPr>
                <w:sz w:val="8"/>
                <w:szCs w:val="24"/>
              </w:rPr>
            </w:pPr>
            <w:r>
              <w:rPr>
                <w:sz w:val="8"/>
                <w:szCs w:val="24"/>
              </w:rPr>
            </w:r>
          </w:p>
        </w:tc>
        <w:tc>
          <w:tcPr>
            <w:tcW w:type="dxa" w:w="1010"/>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971"/>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973"/>
            <w:tcBorders>
              <w:top w:val="nil"/>
              <w:left w:val="nil"/>
              <w:bottom w:val="nil"/>
              <w:right w:val="nil"/>
            </w:tcBorders>
            <w:shd w:fill="auto" w:val="clear"/>
            <w:vAlign w:val="center"/>
          </w:tcPr>
          <w:p>
            <w:pPr>
              <w:pStyle w:val="style0"/>
              <w:ind w:hanging="0" w:left="202" w:right="86"/>
              <w:rPr>
                <w:sz w:val="8"/>
                <w:szCs w:val="24"/>
              </w:rPr>
            </w:pPr>
            <w:r>
              <w:rPr>
                <w:sz w:val="8"/>
                <w:szCs w:val="24"/>
              </w:rPr>
            </w:r>
          </w:p>
        </w:tc>
      </w:tr>
      <w:tr>
        <w:trPr>
          <w:cantSplit w:val="false"/>
        </w:trPr>
        <w:tc>
          <w:tcPr>
            <w:tcW w:type="dxa" w:w="784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010"/>
            <w:tcBorders>
              <w:top w:val="nil"/>
              <w:left w:val="nil"/>
              <w:bottom w:val="nil"/>
              <w:right w:val="nil"/>
            </w:tcBorders>
            <w:shd w:fill="auto" w:val="clear"/>
            <w:tcMar>
              <w:left w:type="dxa" w:w="144"/>
            </w:tcMar>
            <w:vAlign w:val="bottom"/>
          </w:tcPr>
          <w:p>
            <w:pPr>
              <w:pStyle w:val="style0"/>
              <w:ind w:hanging="0" w:left="202" w:right="72"/>
              <w:jc w:val="right"/>
              <w:rPr>
                <w:rFonts w:ascii="Arial" w:cs="Arial" w:hAnsi="Arial"/>
                <w:b/>
                <w:bCs/>
                <w:sz w:val="15"/>
                <w:szCs w:val="15"/>
              </w:rPr>
            </w:pPr>
            <w:r>
              <w:rPr>
                <w:rFonts w:ascii="Arial" w:cs="Arial" w:hAnsi="Arial"/>
                <w:b/>
                <w:bCs/>
                <w:sz w:val="15"/>
                <w:szCs w:val="15"/>
              </w:rPr>
              <w:t>2013</w:t>
            </w:r>
          </w:p>
        </w:tc>
        <w:tc>
          <w:tcPr>
            <w:tcW w:type="dxa" w:w="971"/>
            <w:tcBorders>
              <w:top w:val="nil"/>
              <w:left w:val="nil"/>
              <w:bottom w:val="nil"/>
              <w:right w:val="nil"/>
            </w:tcBorders>
            <w:shd w:fill="auto" w:val="clear"/>
            <w:tcMar>
              <w:left w:type="dxa" w:w="144"/>
            </w:tcMar>
            <w:vAlign w:val="bottom"/>
          </w:tcPr>
          <w:p>
            <w:pPr>
              <w:pStyle w:val="style0"/>
              <w:ind w:hanging="0" w:left="202" w:right="72"/>
              <w:jc w:val="right"/>
              <w:rPr>
                <w:rFonts w:ascii="Arial" w:cs="Arial" w:hAnsi="Arial"/>
                <w:b/>
                <w:bCs/>
                <w:sz w:val="15"/>
                <w:szCs w:val="15"/>
              </w:rPr>
            </w:pPr>
            <w:r>
              <w:rPr>
                <w:rFonts w:ascii="Arial" w:cs="Arial" w:hAnsi="Arial"/>
                <w:b/>
                <w:bCs/>
                <w:sz w:val="15"/>
                <w:szCs w:val="15"/>
              </w:rPr>
              <w:t>2012</w:t>
            </w:r>
          </w:p>
        </w:tc>
        <w:tc>
          <w:tcPr>
            <w:tcW w:type="dxa" w:w="973"/>
            <w:tcBorders>
              <w:top w:val="nil"/>
              <w:left w:val="nil"/>
              <w:bottom w:val="nil"/>
              <w:right w:val="nil"/>
            </w:tcBorders>
            <w:shd w:fill="auto" w:val="clear"/>
            <w:tcMar>
              <w:left w:type="dxa" w:w="144"/>
            </w:tcMar>
            <w:vAlign w:val="bottom"/>
          </w:tcPr>
          <w:p>
            <w:pPr>
              <w:pStyle w:val="style0"/>
              <w:ind w:hanging="0" w:left="202" w:right="58"/>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846"/>
            <w:tcBorders>
              <w:top w:val="nil"/>
              <w:left w:val="nil"/>
              <w:bottom w:val="nil"/>
              <w:right w:val="nil"/>
            </w:tcBorders>
            <w:shd w:fill="auto" w:val="clear"/>
            <w:vAlign w:val="center"/>
          </w:tcPr>
          <w:p>
            <w:pPr>
              <w:pStyle w:val="style0"/>
              <w:rPr>
                <w:sz w:val="8"/>
                <w:szCs w:val="24"/>
              </w:rPr>
            </w:pPr>
            <w:r>
              <w:rPr>
                <w:sz w:val="8"/>
                <w:szCs w:val="24"/>
              </w:rPr>
            </w:r>
          </w:p>
        </w:tc>
        <w:tc>
          <w:tcPr>
            <w:tcW w:type="dxa" w:w="1010"/>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971"/>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973"/>
            <w:tcBorders>
              <w:top w:val="nil"/>
              <w:left w:val="nil"/>
              <w:bottom w:val="nil"/>
              <w:right w:val="nil"/>
            </w:tcBorders>
            <w:shd w:fill="auto" w:val="clear"/>
            <w:vAlign w:val="center"/>
          </w:tcPr>
          <w:p>
            <w:pPr>
              <w:pStyle w:val="style0"/>
              <w:ind w:hanging="0" w:left="202" w:right="86"/>
              <w:rPr>
                <w:sz w:val="8"/>
                <w:szCs w:val="24"/>
              </w:rPr>
            </w:pPr>
            <w:r>
              <w:rPr>
                <w:sz w:val="8"/>
                <w:szCs w:val="24"/>
              </w:rPr>
            </w:r>
          </w:p>
        </w:tc>
      </w:tr>
      <w:tr>
        <w:trPr>
          <w:cantSplit w:val="false"/>
        </w:trPr>
        <w:tc>
          <w:tcPr>
            <w:tcW w:type="dxa" w:w="784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Balance, beginning of period</w:t>
            </w:r>
          </w:p>
        </w:tc>
        <w:tc>
          <w:tcPr>
            <w:tcW w:type="dxa" w:w="1010"/>
            <w:tcBorders>
              <w:top w:val="nil"/>
              <w:left w:val="nil"/>
              <w:bottom w:val="nil"/>
              <w:right w:val="nil"/>
            </w:tcBorders>
            <w:shd w:fill="auto" w:val="clear"/>
            <w:tcMar>
              <w:left w:type="dxa" w:w="144"/>
            </w:tcMar>
            <w:vAlign w:val="bottom"/>
          </w:tcPr>
          <w:p>
            <w:pPr>
              <w:pStyle w:val="style62"/>
              <w:tabs>
                <w:tab w:leader="none" w:pos="800" w:val="right"/>
                <w:tab w:leader="none" w:pos="84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w:t>
              <w:tab/>
              <w:t>  389</w:t>
              <w:tab/>
            </w:r>
          </w:p>
        </w:tc>
        <w:tc>
          <w:tcPr>
            <w:tcW w:type="dxa" w:w="971"/>
            <w:tcBorders>
              <w:top w:val="nil"/>
              <w:left w:val="nil"/>
              <w:bottom w:val="nil"/>
              <w:right w:val="nil"/>
            </w:tcBorders>
            <w:shd w:fill="auto" w:val="clear"/>
            <w:tcMar>
              <w:left w:type="dxa" w:w="144"/>
            </w:tcMar>
            <w:vAlign w:val="bottom"/>
          </w:tcPr>
          <w:p>
            <w:pPr>
              <w:pStyle w:val="style62"/>
              <w:tabs>
                <w:tab w:leader="none" w:pos="760" w:val="right"/>
                <w:tab w:leader="none" w:pos="80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  333</w:t>
              <w:tab/>
            </w:r>
          </w:p>
        </w:tc>
        <w:tc>
          <w:tcPr>
            <w:tcW w:type="dxa" w:w="973"/>
            <w:tcBorders>
              <w:top w:val="nil"/>
              <w:left w:val="nil"/>
              <w:bottom w:val="nil"/>
              <w:right w:val="nil"/>
            </w:tcBorders>
            <w:shd w:fill="auto" w:val="clear"/>
            <w:tcMar>
              <w:left w:type="dxa" w:w="144"/>
            </w:tcMar>
            <w:vAlign w:val="bottom"/>
          </w:tcPr>
          <w:p>
            <w:pPr>
              <w:pStyle w:val="style62"/>
              <w:tabs>
                <w:tab w:leader="none" w:pos="760" w:val="right"/>
                <w:tab w:leader="none" w:pos="80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  375</w:t>
              <w:tab/>
            </w:r>
          </w:p>
        </w:tc>
      </w:tr>
      <w:tr>
        <w:trPr>
          <w:cantSplit w:val="false"/>
        </w:trPr>
        <w:tc>
          <w:tcPr>
            <w:tcW w:type="dxa" w:w="784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Charged to costs and other</w:t>
            </w:r>
          </w:p>
        </w:tc>
        <w:tc>
          <w:tcPr>
            <w:tcW w:type="dxa" w:w="1010"/>
            <w:tcBorders>
              <w:top w:val="nil"/>
              <w:left w:val="nil"/>
              <w:bottom w:val="nil"/>
              <w:right w:val="nil"/>
            </w:tcBorders>
            <w:shd w:fill="auto" w:val="clear"/>
            <w:tcMar>
              <w:left w:type="dxa" w:w="144"/>
            </w:tcMar>
            <w:vAlign w:val="bottom"/>
          </w:tcPr>
          <w:p>
            <w:pPr>
              <w:pStyle w:val="style62"/>
              <w:tabs>
                <w:tab w:leader="none" w:pos="800" w:val="right"/>
                <w:tab w:leader="none" w:pos="84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ab/>
              <w:t>4</w:t>
              <w:tab/>
            </w:r>
          </w:p>
        </w:tc>
        <w:tc>
          <w:tcPr>
            <w:tcW w:type="dxa" w:w="971"/>
            <w:tcBorders>
              <w:top w:val="nil"/>
              <w:left w:val="nil"/>
              <w:bottom w:val="nil"/>
              <w:right w:val="nil"/>
            </w:tcBorders>
            <w:shd w:fill="auto" w:val="clear"/>
            <w:tcMar>
              <w:left w:type="dxa" w:w="144"/>
            </w:tcMar>
            <w:vAlign w:val="bottom"/>
          </w:tcPr>
          <w:p>
            <w:pPr>
              <w:pStyle w:val="style62"/>
              <w:tabs>
                <w:tab w:leader="none" w:pos="760" w:val="right"/>
                <w:tab w:leader="none" w:pos="800" w:val="decimal"/>
              </w:tabs>
              <w:spacing w:after="280" w:before="280"/>
              <w:ind w:hanging="0" w:left="202" w:right="86"/>
              <w:contextualSpacing w:val="false"/>
              <w:rPr>
                <w:rFonts w:ascii="Arial" w:cs="Arial" w:hAnsi="Arial"/>
                <w:sz w:val="20"/>
                <w:szCs w:val="20"/>
              </w:rPr>
            </w:pPr>
            <w:r>
              <w:rPr>
                <w:rFonts w:ascii="Arial" w:cs="Arial" w:hAnsi="Arial"/>
                <w:sz w:val="20"/>
                <w:szCs w:val="20"/>
              </w:rPr>
              <w:tab/>
              <w:t>115</w:t>
              <w:tab/>
            </w:r>
          </w:p>
        </w:tc>
        <w:tc>
          <w:tcPr>
            <w:tcW w:type="dxa" w:w="973"/>
            <w:tcBorders>
              <w:top w:val="nil"/>
              <w:left w:val="nil"/>
              <w:bottom w:val="nil"/>
              <w:right w:val="nil"/>
            </w:tcBorders>
            <w:shd w:fill="auto" w:val="clear"/>
            <w:tcMar>
              <w:left w:type="dxa" w:w="144"/>
            </w:tcMar>
            <w:vAlign w:val="bottom"/>
          </w:tcPr>
          <w:p>
            <w:pPr>
              <w:pStyle w:val="style62"/>
              <w:tabs>
                <w:tab w:leader="none" w:pos="760" w:val="right"/>
                <w:tab w:leader="none" w:pos="800" w:val="decimal"/>
              </w:tabs>
              <w:spacing w:after="280" w:before="280"/>
              <w:ind w:hanging="0" w:left="202" w:right="86"/>
              <w:contextualSpacing w:val="false"/>
              <w:rPr>
                <w:rFonts w:ascii="Arial" w:cs="Arial" w:hAnsi="Arial"/>
                <w:sz w:val="20"/>
                <w:szCs w:val="20"/>
              </w:rPr>
            </w:pPr>
            <w:r>
              <w:rPr>
                <w:rFonts w:ascii="Arial" w:cs="Arial" w:hAnsi="Arial"/>
                <w:sz w:val="20"/>
                <w:szCs w:val="20"/>
              </w:rPr>
              <w:tab/>
              <w:t>14</w:t>
              <w:tab/>
            </w:r>
          </w:p>
        </w:tc>
      </w:tr>
      <w:tr>
        <w:trPr>
          <w:cantSplit w:val="false"/>
        </w:trPr>
        <w:tc>
          <w:tcPr>
            <w:tcW w:type="dxa" w:w="784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Write-offs</w:t>
            </w:r>
          </w:p>
        </w:tc>
        <w:tc>
          <w:tcPr>
            <w:tcW w:type="dxa" w:w="1010"/>
            <w:tcBorders>
              <w:top w:val="nil"/>
              <w:left w:val="nil"/>
              <w:bottom w:val="nil"/>
              <w:right w:val="nil"/>
            </w:tcBorders>
            <w:shd w:fill="auto" w:val="clear"/>
            <w:tcMar>
              <w:left w:type="dxa" w:w="144"/>
            </w:tcMar>
            <w:vAlign w:val="bottom"/>
          </w:tcPr>
          <w:p>
            <w:pPr>
              <w:pStyle w:val="style62"/>
              <w:tabs>
                <w:tab w:leader="none" w:pos="800" w:val="right"/>
                <w:tab w:leader="none" w:pos="84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ab/>
              <w:t>(57</w:t>
              <w:tab/>
              <w:t>)</w:t>
            </w:r>
          </w:p>
        </w:tc>
        <w:tc>
          <w:tcPr>
            <w:tcW w:type="dxa" w:w="971"/>
            <w:tcBorders>
              <w:top w:val="nil"/>
              <w:left w:val="nil"/>
              <w:bottom w:val="nil"/>
              <w:right w:val="nil"/>
            </w:tcBorders>
            <w:shd w:fill="auto" w:val="clear"/>
            <w:tcMar>
              <w:left w:type="dxa" w:w="144"/>
            </w:tcMar>
            <w:vAlign w:val="bottom"/>
          </w:tcPr>
          <w:p>
            <w:pPr>
              <w:pStyle w:val="style62"/>
              <w:tabs>
                <w:tab w:leader="none" w:pos="760" w:val="right"/>
                <w:tab w:leader="none" w:pos="800" w:val="decimal"/>
              </w:tabs>
              <w:spacing w:after="280" w:before="280"/>
              <w:ind w:hanging="0" w:left="202" w:right="86"/>
              <w:contextualSpacing w:val="false"/>
              <w:rPr>
                <w:rFonts w:ascii="Arial" w:cs="Arial" w:hAnsi="Arial"/>
                <w:sz w:val="20"/>
                <w:szCs w:val="20"/>
              </w:rPr>
            </w:pPr>
            <w:r>
              <w:rPr>
                <w:rFonts w:ascii="Arial" w:cs="Arial" w:hAnsi="Arial"/>
                <w:sz w:val="20"/>
                <w:szCs w:val="20"/>
              </w:rPr>
              <w:tab/>
              <w:t>(59</w:t>
              <w:tab/>
              <w:t>)</w:t>
            </w:r>
          </w:p>
        </w:tc>
        <w:tc>
          <w:tcPr>
            <w:tcW w:type="dxa" w:w="973"/>
            <w:tcBorders>
              <w:top w:val="nil"/>
              <w:left w:val="nil"/>
              <w:bottom w:val="nil"/>
              <w:right w:val="nil"/>
            </w:tcBorders>
            <w:shd w:fill="auto" w:val="clear"/>
            <w:tcMar>
              <w:left w:type="dxa" w:w="144"/>
            </w:tcMar>
            <w:vAlign w:val="bottom"/>
          </w:tcPr>
          <w:p>
            <w:pPr>
              <w:pStyle w:val="style62"/>
              <w:tabs>
                <w:tab w:leader="none" w:pos="760" w:val="right"/>
                <w:tab w:leader="none" w:pos="800" w:val="decimal"/>
              </w:tabs>
              <w:spacing w:after="280" w:before="280"/>
              <w:ind w:hanging="0" w:left="202" w:right="86"/>
              <w:contextualSpacing w:val="false"/>
              <w:rPr>
                <w:rFonts w:ascii="Arial" w:cs="Arial" w:hAnsi="Arial"/>
                <w:sz w:val="20"/>
                <w:szCs w:val="20"/>
              </w:rPr>
            </w:pPr>
            <w:r>
              <w:rPr>
                <w:rFonts w:ascii="Arial" w:cs="Arial" w:hAnsi="Arial"/>
                <w:sz w:val="20"/>
                <w:szCs w:val="20"/>
              </w:rPr>
              <w:tab/>
              <w:t>(56</w:t>
              <w:tab/>
              <w:t>)</w:t>
            </w:r>
          </w:p>
        </w:tc>
      </w:tr>
      <w:tr>
        <w:trPr>
          <w:cantSplit w:val="false"/>
        </w:trPr>
        <w:tc>
          <w:tcPr>
            <w:tcW w:type="dxa" w:w="8857"/>
            <w:gridSpan w:val="2"/>
            <w:tcBorders>
              <w:top w:val="nil"/>
              <w:left w:val="nil"/>
              <w:bottom w:val="nil"/>
              <w:right w:val="nil"/>
            </w:tcBorders>
            <w:shd w:fill="auto" w:val="clear"/>
            <w:vAlign w:val="bottom"/>
          </w:tcPr>
          <w:p>
            <w:pPr>
              <w:pStyle w:val="style59"/>
              <w:spacing w:after="0" w:before="20"/>
              <w:ind w:hanging="0" w:left="-639" w:right="101"/>
              <w:contextualSpacing w:val="false"/>
              <w:rPr/>
            </w:pPr>
            <w:r>
              <w:rPr/>
              <w:t> </w:t>
            </w:r>
          </w:p>
        </w:tc>
        <w:tc>
          <w:tcPr>
            <w:tcW w:type="dxa" w:w="971"/>
            <w:tcBorders>
              <w:top w:val="nil"/>
              <w:left w:val="nil"/>
              <w:bottom w:val="nil"/>
              <w:right w:val="nil"/>
            </w:tcBorders>
            <w:shd w:fill="auto" w:val="clear"/>
            <w:tcMar>
              <w:left w:type="dxa" w:w="144"/>
            </w:tcMar>
            <w:vAlign w:val="bottom"/>
          </w:tcPr>
          <w:p>
            <w:pPr>
              <w:pStyle w:val="style59"/>
              <w:spacing w:after="0" w:before="20"/>
              <w:ind w:hanging="0" w:left="202" w:right="86"/>
              <w:contextualSpacing w:val="false"/>
              <w:rPr/>
            </w:pPr>
            <w:r>
              <w:rPr/>
              <w:t> </w:t>
            </w:r>
          </w:p>
        </w:tc>
        <w:tc>
          <w:tcPr>
            <w:tcW w:type="dxa" w:w="972"/>
            <w:tcBorders>
              <w:top w:val="nil"/>
              <w:left w:val="nil"/>
              <w:bottom w:val="nil"/>
              <w:right w:val="nil"/>
            </w:tcBorders>
            <w:shd w:fill="auto" w:val="clear"/>
            <w:tcMar>
              <w:left w:type="dxa" w:w="144"/>
            </w:tcMar>
            <w:vAlign w:val="bottom"/>
          </w:tcPr>
          <w:p>
            <w:pPr>
              <w:pStyle w:val="style59"/>
              <w:spacing w:after="0" w:before="20"/>
              <w:ind w:hanging="0" w:left="202" w:right="86"/>
              <w:contextualSpacing w:val="false"/>
              <w:rPr/>
            </w:pPr>
            <w:r>
              <w:rPr/>
              <w:t> </w:t>
            </w:r>
          </w:p>
        </w:tc>
      </w:tr>
      <w:tr>
        <w:trPr>
          <w:cantSplit w:val="false"/>
        </w:trPr>
        <w:tc>
          <w:tcPr>
            <w:tcW w:type="dxa" w:w="784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Balance, end of period</w:t>
            </w:r>
          </w:p>
        </w:tc>
        <w:tc>
          <w:tcPr>
            <w:tcW w:type="dxa" w:w="1010"/>
            <w:tcBorders>
              <w:top w:val="nil"/>
              <w:left w:val="nil"/>
              <w:bottom w:val="nil"/>
              <w:right w:val="nil"/>
            </w:tcBorders>
            <w:shd w:fill="auto" w:val="clear"/>
            <w:tcMar>
              <w:left w:type="dxa" w:w="144"/>
            </w:tcMar>
            <w:vAlign w:val="bottom"/>
          </w:tcPr>
          <w:p>
            <w:pPr>
              <w:pStyle w:val="style62"/>
              <w:tabs>
                <w:tab w:leader="none" w:pos="800" w:val="right"/>
                <w:tab w:leader="none" w:pos="84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w:t>
              <w:tab/>
              <w:t>336</w:t>
              <w:tab/>
            </w:r>
          </w:p>
        </w:tc>
        <w:tc>
          <w:tcPr>
            <w:tcW w:type="dxa" w:w="971"/>
            <w:tcBorders>
              <w:top w:val="nil"/>
              <w:left w:val="nil"/>
              <w:bottom w:val="nil"/>
              <w:right w:val="nil"/>
            </w:tcBorders>
            <w:shd w:fill="auto" w:val="clear"/>
            <w:tcMar>
              <w:left w:type="dxa" w:w="144"/>
            </w:tcMar>
            <w:vAlign w:val="bottom"/>
          </w:tcPr>
          <w:p>
            <w:pPr>
              <w:pStyle w:val="style62"/>
              <w:tabs>
                <w:tab w:leader="none" w:pos="760" w:val="right"/>
                <w:tab w:leader="none" w:pos="80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389</w:t>
              <w:tab/>
            </w:r>
          </w:p>
        </w:tc>
        <w:tc>
          <w:tcPr>
            <w:tcW w:type="dxa" w:w="973"/>
            <w:tcBorders>
              <w:top w:val="nil"/>
              <w:left w:val="nil"/>
              <w:bottom w:val="nil"/>
              <w:right w:val="nil"/>
            </w:tcBorders>
            <w:shd w:fill="auto" w:val="clear"/>
            <w:tcMar>
              <w:left w:type="dxa" w:w="144"/>
            </w:tcMar>
            <w:vAlign w:val="bottom"/>
          </w:tcPr>
          <w:p>
            <w:pPr>
              <w:pStyle w:val="style62"/>
              <w:tabs>
                <w:tab w:leader="none" w:pos="760" w:val="right"/>
                <w:tab w:leader="none" w:pos="80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333</w:t>
              <w:tab/>
            </w:r>
          </w:p>
        </w:tc>
      </w:tr>
      <w:tr>
        <w:trPr>
          <w:cantSplit w:val="false"/>
        </w:trPr>
        <w:tc>
          <w:tcPr>
            <w:tcW w:type="dxa" w:w="7846"/>
            <w:tcBorders>
              <w:top w:val="nil"/>
              <w:left w:val="nil"/>
              <w:bottom w:val="nil"/>
              <w:right w:val="nil"/>
            </w:tcBorders>
            <w:shd w:fill="auto" w:val="clear"/>
            <w:tcMar>
              <w:left w:type="dxa" w:w="144"/>
            </w:tcMar>
            <w:vAlign w:val="bottom"/>
          </w:tcPr>
          <w:p>
            <w:pPr>
              <w:pStyle w:val="style65"/>
              <w:rPr/>
            </w:pPr>
            <w:r>
              <w:rPr/>
              <w:t> </w:t>
            </w:r>
          </w:p>
        </w:tc>
        <w:tc>
          <w:tcPr>
            <w:tcW w:type="dxa" w:w="1010"/>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c>
          <w:tcPr>
            <w:tcW w:type="dxa" w:w="971"/>
            <w:tcBorders>
              <w:top w:val="nil"/>
              <w:left w:val="nil"/>
              <w:bottom w:val="nil"/>
              <w:right w:val="nil"/>
            </w:tcBorders>
            <w:shd w:fill="auto" w:val="clear"/>
            <w:tcMar>
              <w:left w:type="dxa" w:w="144"/>
            </w:tcMar>
            <w:vAlign w:val="bottom"/>
          </w:tcPr>
          <w:p>
            <w:pPr>
              <w:pStyle w:val="style63"/>
              <w:spacing w:after="0" w:before="20"/>
              <w:ind w:hanging="0" w:left="202" w:right="86"/>
              <w:contextualSpacing w:val="false"/>
              <w:rPr/>
            </w:pPr>
            <w:r>
              <w:rPr/>
              <w:t> </w:t>
            </w:r>
          </w:p>
        </w:tc>
        <w:tc>
          <w:tcPr>
            <w:tcW w:type="dxa" w:w="973"/>
            <w:tcBorders>
              <w:top w:val="nil"/>
              <w:left w:val="nil"/>
              <w:bottom w:val="nil"/>
              <w:right w:val="nil"/>
            </w:tcBorders>
            <w:shd w:fill="auto" w:val="clear"/>
            <w:tcMar>
              <w:left w:type="dxa" w:w="144"/>
            </w:tcMar>
            <w:vAlign w:val="bottom"/>
          </w:tcPr>
          <w:p>
            <w:pPr>
              <w:pStyle w:val="style63"/>
              <w:spacing w:after="0" w:before="20"/>
              <w:ind w:hanging="0" w:left="202" w:right="86"/>
              <w:contextualSpacing w:val="false"/>
              <w:rPr/>
            </w:pPr>
            <w:r>
              <w:rPr/>
              <w:t> </w:t>
            </w:r>
          </w:p>
        </w:tc>
      </w:tr>
    </w:tbl>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Inventories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Inventories are stated at average cost, subject to the lower of cost or market. Cost includes materials, labor, and manufacturing overhead related to the purchase and production of inventories. We regularly review inventory quantities on hand, future purchase commitments with our suppliers, and the estimated utility of our inventory. If our review indicates a reduction in utility below carrying value, we reduce our inventory to a new cost basis through a charge to cost of revenue.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Property and Equipment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Property and equipment is stated at cost and depreciated using the straight-line method over the shorter of the estimated useful life of the asset or the lease term. The estimated useful lives of our property and equipment are generally as follows: computer software developed or acquired for internal use, three years; computer equipment, two to three years; buildings and improvements, five to 15 years; leasehold improvements, two to 10 years; and furniture and equipment, one to five years. Land is not depreciated.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Goodwill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Intangible Assets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All of our intangible assets are subject to amortization and are amortized using the straight-line method over their estimated period of benefit, ranging from one to 15 years. We evaluate the recoverability of intangible assets periodically by taking into account events or circumstances that may warrant revised estimates of useful lives or that indicate the asset may be impaired.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Recent Accounting Guidance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Recently adopted accounting guidance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September 2011, the Financial Accounting Standards Board (“FASB”) issued guidance on testing goodwill for impairment. The new guidance provides an entity the option to first perform a qualitative assessment to determine whether it is more likely than not that the fair value of a reporting unit is less than its carrying amount. If an entity determines that this is the case, it is required to perform the two-step goodwill impairment test to identify potential goodwill impairment and measure the amount of goodwill impairment loss to be recognized for that reporting unit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(if any). If an entity determines that the fair value of a reporting unit is greater than its carrying amount, the two-step goodwill impairment test is not required. We adopted this new guidance beginning July 1, 2012. Adoption of this new guidance did not have a material impact on our financial statements.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June 2011, the FASB issued guidance on presentation of comprehensive income. The new guidance eliminated the option to report OCI and its components in the statement of changes in stockholders’ equity. Instead, an entity is required to present either a continuous statement of net income and OCI or in two separate but consecutive statements. We adopted this new guidance beginning July 1, 2012. Adoption of this new guidance resulted only in changes to presentation of our financial statements.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Recent accounting guidance not yet adopted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December 2011, the FASB issued guidance enhancing disclosure requirements about the nature of an entity’s right to offset and related arrangements associated with its financial instruments and derivative instruments. The new guidance requires the disclosure of the gross amounts subject to rights of set-off, amounts offset in accordance with the accounting standards followed, and the related net exposure. In January 2013, the FASB clarified that the scope of this guidance applies to derivatives, including bifurcated embedded derivatives, repurchase agreements and reverse repurchase agreements, and securities borrowing and securities lending transactions that are either offset or subject to an enforceable master netting arrangement, or similar agreements. The new guidance will be effective for us beginning July 1, 2013. Other than requiring additional disclosures, we do not anticipate material impacts on our financial statements upon adoption.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February 2013, the FASB issued guidance on disclosure requirements for items reclassified out of AOCI. This new guidance requires entities to present (either on the face of the income statement or in the notes) the effects on the line items of the income statement for amounts reclassified out of AOCI. The new guidance will be effective for us beginning July 1, 2013. Other than requiring additional disclosures, we do not anticipate material impacts on our financial statements upon adoption.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March 2013, the FASB issued guidance on a parent’s accounting for the cumulative translation adjustment upon derecognition of a subsidiary or group of assets within a foreign entity. This new guidance requires that the parent release any related cumulative translation adjustment into net income only if the sale or transfer results in the complete or substantially complete liquidation of the foreign entity in which the subsidiary or group of assets had resided. The new guidance will be effective for us beginning July 1, 2014. We do not anticipate material impacts on our financial statements upon adoption.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2 — EARNINGS PER SHARE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stock awards, and shared performance stock awards.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components of basic and diluted EPS are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079"/>
        <w:gridCol w:w="1280"/>
        <w:gridCol w:w="1219"/>
        <w:gridCol w:w="1221"/>
      </w:tblGrid>
      <w:tr>
        <w:trPr>
          <w:tblHeader w:val="true"/>
          <w:cantSplit w:val="false"/>
        </w:trPr>
        <w:tc>
          <w:tcPr>
            <w:tcW w:type="dxa" w:w="7079"/>
            <w:tcBorders>
              <w:top w:val="nil"/>
              <w:left w:val="nil"/>
              <w:bottom w:val="nil"/>
              <w:right w:val="nil"/>
            </w:tcBorders>
            <w:shd w:fill="auto" w:val="clear"/>
            <w:vAlign w:val="center"/>
          </w:tcPr>
          <w:p>
            <w:pPr>
              <w:pStyle w:val="style0"/>
              <w:rPr>
                <w:sz w:val="1"/>
                <w:szCs w:val="24"/>
              </w:rPr>
            </w:pPr>
            <w:r>
              <w:rPr>
                <w:sz w:val="1"/>
                <w:szCs w:val="24"/>
              </w:rPr>
            </w:r>
          </w:p>
        </w:tc>
        <w:tc>
          <w:tcPr>
            <w:tcW w:type="dxa" w:w="1280"/>
            <w:tcBorders>
              <w:top w:val="nil"/>
              <w:left w:val="nil"/>
              <w:bottom w:val="nil"/>
              <w:right w:val="nil"/>
            </w:tcBorders>
            <w:shd w:fill="auto" w:val="clear"/>
            <w:vAlign w:val="center"/>
          </w:tcPr>
          <w:p>
            <w:pPr>
              <w:pStyle w:val="style0"/>
              <w:rPr>
                <w:sz w:val="1"/>
                <w:szCs w:val="24"/>
              </w:rPr>
            </w:pPr>
            <w:r>
              <w:rPr>
                <w:sz w:val="1"/>
                <w:szCs w:val="24"/>
              </w:rPr>
            </w:r>
          </w:p>
        </w:tc>
        <w:tc>
          <w:tcPr>
            <w:tcW w:type="dxa" w:w="1219"/>
            <w:tcBorders>
              <w:top w:val="nil"/>
              <w:left w:val="nil"/>
              <w:bottom w:val="nil"/>
              <w:right w:val="nil"/>
            </w:tcBorders>
            <w:shd w:fill="auto" w:val="clear"/>
            <w:vAlign w:val="center"/>
          </w:tcPr>
          <w:p>
            <w:pPr>
              <w:pStyle w:val="style0"/>
              <w:rPr>
                <w:sz w:val="1"/>
                <w:szCs w:val="24"/>
              </w:rPr>
            </w:pPr>
            <w:r>
              <w:rPr>
                <w:sz w:val="1"/>
                <w:szCs w:val="24"/>
              </w:rPr>
            </w:r>
          </w:p>
        </w:tc>
        <w:tc>
          <w:tcPr>
            <w:tcW w:type="dxa" w:w="122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0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earnings per share)</w:t>
            </w:r>
          </w:p>
        </w:tc>
        <w:tc>
          <w:tcPr>
            <w:tcW w:type="dxa" w:w="1280"/>
            <w:tcBorders>
              <w:top w:val="nil"/>
              <w:left w:val="nil"/>
              <w:bottom w:val="nil"/>
              <w:right w:val="nil"/>
            </w:tcBorders>
            <w:shd w:fill="auto" w:val="clear"/>
            <w:tcMar>
              <w:left w:type="dxa" w:w="144"/>
            </w:tcMar>
            <w:vAlign w:val="bottom"/>
          </w:tcPr>
          <w:p>
            <w:pPr>
              <w:pStyle w:val="style65"/>
              <w:ind w:hanging="0" w:left="202" w:right="86"/>
              <w:rPr/>
            </w:pPr>
            <w:r>
              <w:rPr/>
              <w:t> </w:t>
            </w:r>
          </w:p>
        </w:tc>
        <w:tc>
          <w:tcPr>
            <w:tcW w:type="dxa" w:w="1219"/>
            <w:tcBorders>
              <w:top w:val="nil"/>
              <w:left w:val="nil"/>
              <w:bottom w:val="nil"/>
              <w:right w:val="nil"/>
            </w:tcBorders>
            <w:shd w:fill="auto" w:val="clear"/>
            <w:tcMar>
              <w:left w:type="dxa" w:w="144"/>
            </w:tcMar>
            <w:vAlign w:val="bottom"/>
          </w:tcPr>
          <w:p>
            <w:pPr>
              <w:pStyle w:val="style65"/>
              <w:ind w:hanging="0" w:left="202" w:right="86"/>
              <w:rPr/>
            </w:pPr>
            <w:r>
              <w:rPr/>
              <w:t> </w:t>
            </w:r>
          </w:p>
        </w:tc>
        <w:tc>
          <w:tcPr>
            <w:tcW w:type="dxa" w:w="1221"/>
            <w:tcBorders>
              <w:top w:val="nil"/>
              <w:left w:val="nil"/>
              <w:bottom w:val="nil"/>
              <w:right w:val="nil"/>
            </w:tcBorders>
            <w:shd w:fill="auto" w:val="clear"/>
            <w:tcMar>
              <w:left w:type="dxa" w:w="144"/>
            </w:tcMar>
            <w:vAlign w:val="bottom"/>
          </w:tcPr>
          <w:p>
            <w:pPr>
              <w:pStyle w:val="style65"/>
              <w:ind w:hanging="0" w:left="202" w:right="86"/>
              <w:rPr/>
            </w:pPr>
            <w:r>
              <w:rPr/>
              <w:t> </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594" w:right="117"/>
              <w:contextualSpacing w:val="false"/>
              <w:rPr/>
            </w:pPr>
            <w:r>
              <w:rPr/>
              <w:t> </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02" w:right="86"/>
              <w:rPr>
                <w:sz w:val="8"/>
                <w:szCs w:val="24"/>
              </w:rPr>
            </w:pPr>
            <w:r>
              <w:rPr>
                <w:sz w:val="8"/>
                <w:szCs w:val="24"/>
              </w:rPr>
            </w:r>
          </w:p>
        </w:tc>
      </w:tr>
      <w:tr>
        <w:trPr>
          <w:cantSplit w:val="false"/>
        </w:trPr>
        <w:tc>
          <w:tcPr>
            <w:tcW w:type="dxa" w:w="70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280"/>
            <w:tcBorders>
              <w:top w:val="nil"/>
              <w:left w:val="nil"/>
              <w:bottom w:val="nil"/>
              <w:right w:val="nil"/>
            </w:tcBorders>
            <w:shd w:fill="auto" w:val="clear"/>
            <w:tcMar>
              <w:left w:type="dxa" w:w="144"/>
            </w:tcMar>
            <w:vAlign w:val="bottom"/>
          </w:tcPr>
          <w:p>
            <w:pPr>
              <w:pStyle w:val="style0"/>
              <w:ind w:hanging="0" w:left="202" w:right="53"/>
              <w:jc w:val="right"/>
              <w:rPr>
                <w:rFonts w:ascii="Arial" w:cs="Arial" w:hAnsi="Arial"/>
                <w:b/>
                <w:bCs/>
                <w:sz w:val="15"/>
                <w:szCs w:val="15"/>
              </w:rPr>
            </w:pPr>
            <w:r>
              <w:rPr>
                <w:rFonts w:ascii="Arial" w:cs="Arial" w:hAnsi="Arial"/>
                <w:b/>
                <w:bCs/>
                <w:sz w:val="15"/>
                <w:szCs w:val="15"/>
              </w:rPr>
              <w:t>2013</w:t>
            </w:r>
          </w:p>
        </w:tc>
        <w:tc>
          <w:tcPr>
            <w:tcW w:type="dxa" w:w="1219"/>
            <w:tcBorders>
              <w:top w:val="nil"/>
              <w:left w:val="nil"/>
              <w:bottom w:val="nil"/>
              <w:right w:val="nil"/>
            </w:tcBorders>
            <w:shd w:fill="auto" w:val="clear"/>
            <w:tcMar>
              <w:left w:type="dxa" w:w="144"/>
            </w:tcMar>
            <w:vAlign w:val="bottom"/>
          </w:tcPr>
          <w:p>
            <w:pPr>
              <w:pStyle w:val="style0"/>
              <w:ind w:hanging="0" w:left="181" w:right="67"/>
              <w:jc w:val="right"/>
              <w:rPr>
                <w:rFonts w:ascii="Arial" w:cs="Arial" w:hAnsi="Arial"/>
                <w:b/>
                <w:bCs/>
                <w:sz w:val="15"/>
                <w:szCs w:val="15"/>
              </w:rPr>
            </w:pPr>
            <w:r>
              <w:rPr>
                <w:rFonts w:ascii="Arial" w:cs="Arial" w:hAnsi="Arial"/>
                <w:b/>
                <w:bCs/>
                <w:sz w:val="15"/>
                <w:szCs w:val="15"/>
              </w:rPr>
              <w:t>2012</w:t>
            </w:r>
          </w:p>
        </w:tc>
        <w:tc>
          <w:tcPr>
            <w:tcW w:type="dxa" w:w="1221"/>
            <w:tcBorders>
              <w:top w:val="nil"/>
              <w:left w:val="nil"/>
              <w:bottom w:val="nil"/>
              <w:right w:val="nil"/>
            </w:tcBorders>
            <w:shd w:fill="auto" w:val="clear"/>
            <w:tcMar>
              <w:left w:type="dxa" w:w="144"/>
            </w:tcMar>
            <w:vAlign w:val="bottom"/>
          </w:tcPr>
          <w:p>
            <w:pPr>
              <w:pStyle w:val="style0"/>
              <w:ind w:hanging="0" w:left="202" w:right="43"/>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02" w:right="86"/>
              <w:rPr>
                <w:sz w:val="8"/>
                <w:szCs w:val="24"/>
              </w:rPr>
            </w:pPr>
            <w:r>
              <w:rPr>
                <w:sz w:val="8"/>
                <w:szCs w:val="24"/>
              </w:rPr>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income available for common shareholders (A)</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w:t>
              <w:tab/>
              <w:t>  21,863</w:t>
              <w:tab/>
              <w:t> </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  16,978</w:t>
              <w:tab/>
              <w:t> </w:t>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  23,150</w:t>
              <w:tab/>
              <w:t> </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02" w:right="86"/>
              <w:rPr>
                <w:sz w:val="8"/>
                <w:szCs w:val="24"/>
              </w:rPr>
            </w:pPr>
            <w:r>
              <w:rPr>
                <w:sz w:val="8"/>
                <w:szCs w:val="24"/>
              </w:rPr>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Weighted average outstanding shares of common stock (B)</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ab/>
              <w:t>8,375</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8,396</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8,490</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Dilutive effect of stock-based awards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ab/>
              <w:t>95</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110</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103</w:t>
              <w:tab/>
            </w:r>
          </w:p>
        </w:tc>
      </w:tr>
      <w:tr>
        <w:trPr>
          <w:cantSplit w:val="false"/>
        </w:trPr>
        <w:tc>
          <w:tcPr>
            <w:tcW w:type="dxa" w:w="8359"/>
            <w:gridSpan w:val="2"/>
            <w:tcBorders>
              <w:top w:val="nil"/>
              <w:left w:val="nil"/>
              <w:bottom w:val="nil"/>
              <w:right w:val="nil"/>
            </w:tcBorders>
            <w:shd w:fill="auto" w:val="clear"/>
            <w:vAlign w:val="bottom"/>
          </w:tcPr>
          <w:p>
            <w:pPr>
              <w:pStyle w:val="style59"/>
              <w:spacing w:after="0" w:before="20"/>
              <w:ind w:hanging="0" w:left="-594"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59"/>
              <w:spacing w:after="0" w:before="20"/>
              <w:ind w:hanging="0" w:left="202"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spacing w:after="0" w:before="20"/>
              <w:ind w:hanging="0" w:left="202" w:right="86"/>
              <w:contextualSpacing w:val="false"/>
              <w:rPr/>
            </w:pPr>
            <w:r>
              <w:rPr/>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stock and common stock equivalents (C)</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ab/>
              <w:t>8,470</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8,506</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8,593</w:t>
              <w:tab/>
            </w:r>
          </w:p>
        </w:tc>
      </w:tr>
      <w:tr>
        <w:trPr>
          <w:cantSplit w:val="false"/>
        </w:trPr>
        <w:tc>
          <w:tcPr>
            <w:tcW w:type="dxa" w:w="7079"/>
            <w:tcBorders>
              <w:top w:val="nil"/>
              <w:left w:val="nil"/>
              <w:bottom w:val="nil"/>
              <w:right w:val="nil"/>
            </w:tcBorders>
            <w:shd w:fill="auto" w:val="clear"/>
            <w:tcMar>
              <w:left w:type="dxa" w:w="144"/>
            </w:tcMar>
            <w:vAlign w:val="bottom"/>
          </w:tcPr>
          <w:p>
            <w:pPr>
              <w:pStyle w:val="style65"/>
              <w:rPr/>
            </w:pPr>
            <w:r>
              <w:rPr/>
              <w:t> </w:t>
            </w:r>
          </w:p>
        </w:tc>
        <w:tc>
          <w:tcPr>
            <w:tcW w:type="dxa" w:w="1280"/>
            <w:tcBorders>
              <w:top w:val="nil"/>
              <w:left w:val="nil"/>
              <w:bottom w:val="nil"/>
              <w:right w:val="nil"/>
            </w:tcBorders>
            <w:shd w:fill="auto" w:val="clear"/>
            <w:tcMar>
              <w:left w:type="dxa" w:w="144"/>
            </w:tcMar>
            <w:vAlign w:val="bottom"/>
          </w:tcPr>
          <w:p>
            <w:pPr>
              <w:pStyle w:val="style63"/>
              <w:spacing w:after="0" w:before="20"/>
              <w:ind w:hanging="0" w:left="202"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63"/>
              <w:spacing w:after="0" w:before="20"/>
              <w:ind w:hanging="0" w:left="202"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63"/>
              <w:spacing w:after="0" w:before="20"/>
              <w:ind w:hanging="0" w:left="202" w:right="86"/>
              <w:contextualSpacing w:val="false"/>
              <w:rPr/>
            </w:pPr>
            <w:r>
              <w:rPr/>
              <w:t> </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02" w:right="86"/>
              <w:rPr>
                <w:sz w:val="8"/>
                <w:szCs w:val="24"/>
              </w:rPr>
            </w:pPr>
            <w:r>
              <w:rPr>
                <w:sz w:val="8"/>
                <w:szCs w:val="24"/>
              </w:rPr>
            </w:r>
          </w:p>
        </w:tc>
      </w:tr>
      <w:tr>
        <w:trPr>
          <w:cantSplit w:val="false"/>
        </w:trPr>
        <w:tc>
          <w:tcPr>
            <w:tcW w:type="dxa" w:w="70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Earnings Per Share</w:t>
            </w:r>
          </w:p>
        </w:tc>
        <w:tc>
          <w:tcPr>
            <w:tcW w:type="dxa" w:w="1280"/>
            <w:tcBorders>
              <w:top w:val="nil"/>
              <w:left w:val="nil"/>
              <w:bottom w:val="nil"/>
              <w:right w:val="nil"/>
            </w:tcBorders>
            <w:shd w:fill="auto" w:val="clear"/>
            <w:tcMar>
              <w:left w:type="dxa" w:w="144"/>
            </w:tcMar>
            <w:vAlign w:val="bottom"/>
          </w:tcPr>
          <w:p>
            <w:pPr>
              <w:pStyle w:val="style65"/>
              <w:ind w:hanging="0" w:left="202" w:right="86"/>
              <w:rPr/>
            </w:pPr>
            <w:r>
              <w:rPr/>
              <w:t> </w:t>
            </w:r>
          </w:p>
        </w:tc>
        <w:tc>
          <w:tcPr>
            <w:tcW w:type="dxa" w:w="1219"/>
            <w:tcBorders>
              <w:top w:val="nil"/>
              <w:left w:val="nil"/>
              <w:bottom w:val="nil"/>
              <w:right w:val="nil"/>
            </w:tcBorders>
            <w:shd w:fill="auto" w:val="clear"/>
            <w:tcMar>
              <w:left w:type="dxa" w:w="144"/>
            </w:tcMar>
            <w:vAlign w:val="bottom"/>
          </w:tcPr>
          <w:p>
            <w:pPr>
              <w:pStyle w:val="style65"/>
              <w:ind w:hanging="0" w:left="202" w:right="86"/>
              <w:rPr/>
            </w:pPr>
            <w:r>
              <w:rPr/>
              <w:t> </w:t>
            </w:r>
          </w:p>
        </w:tc>
        <w:tc>
          <w:tcPr>
            <w:tcW w:type="dxa" w:w="1221"/>
            <w:tcBorders>
              <w:top w:val="nil"/>
              <w:left w:val="nil"/>
              <w:bottom w:val="nil"/>
              <w:right w:val="nil"/>
            </w:tcBorders>
            <w:shd w:fill="auto" w:val="clear"/>
            <w:tcMar>
              <w:left w:type="dxa" w:w="144"/>
            </w:tcMar>
            <w:vAlign w:val="bottom"/>
          </w:tcPr>
          <w:p>
            <w:pPr>
              <w:pStyle w:val="style65"/>
              <w:ind w:hanging="0" w:left="202" w:right="86"/>
              <w:rPr/>
            </w:pPr>
            <w:r>
              <w:rPr/>
              <w:t> </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02" w:right="86"/>
              <w:rPr>
                <w:sz w:val="8"/>
                <w:szCs w:val="24"/>
              </w:rPr>
            </w:pPr>
            <w:r>
              <w:rPr>
                <w:sz w:val="8"/>
                <w:szCs w:val="24"/>
              </w:rPr>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Basic (A/B)</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w:t>
              <w:tab/>
              <w:t>2.61</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2.02</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2.73</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Diluted (A/C)</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w:t>
              <w:tab/>
              <w:t>2.58</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2.00</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2.69</w:t>
              <w:tab/>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590" w:right="117"/>
              <w:contextualSpacing w:val="false"/>
              <w:rPr/>
            </w:pPr>
            <w:r>
              <w:rPr/>
              <w:t> </w:t>
            </w:r>
          </w:p>
        </w:tc>
      </w:tr>
    </w:tbl>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Anti-dilutive stock-based awards excluded from the calculations of diluted EPS were immaterial during the periods presented.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3 — OTHER INCOME (EXPENSE)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components of other income (expense)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666"/>
        <w:gridCol w:w="1070"/>
        <w:gridCol w:w="1031"/>
        <w:gridCol w:w="1033"/>
      </w:tblGrid>
      <w:tr>
        <w:trPr>
          <w:tblHeader w:val="true"/>
          <w:cantSplit w:val="false"/>
        </w:trPr>
        <w:tc>
          <w:tcPr>
            <w:tcW w:type="dxa" w:w="7666"/>
            <w:tcBorders>
              <w:top w:val="nil"/>
              <w:left w:val="nil"/>
              <w:bottom w:val="nil"/>
              <w:right w:val="nil"/>
            </w:tcBorders>
            <w:shd w:fill="auto" w:val="clear"/>
            <w:vAlign w:val="center"/>
          </w:tcPr>
          <w:p>
            <w:pPr>
              <w:pStyle w:val="style0"/>
              <w:rPr>
                <w:sz w:val="1"/>
                <w:szCs w:val="24"/>
              </w:rPr>
            </w:pPr>
            <w:r>
              <w:rPr>
                <w:sz w:val="1"/>
                <w:szCs w:val="24"/>
              </w:rPr>
            </w:r>
          </w:p>
        </w:tc>
        <w:tc>
          <w:tcPr>
            <w:tcW w:type="dxa" w:w="1070"/>
            <w:tcBorders>
              <w:top w:val="nil"/>
              <w:left w:val="nil"/>
              <w:bottom w:val="nil"/>
              <w:right w:val="nil"/>
            </w:tcBorders>
            <w:shd w:fill="auto" w:val="clear"/>
            <w:vAlign w:val="center"/>
          </w:tcPr>
          <w:p>
            <w:pPr>
              <w:pStyle w:val="style0"/>
              <w:rPr>
                <w:sz w:val="1"/>
                <w:szCs w:val="24"/>
              </w:rPr>
            </w:pPr>
            <w:r>
              <w:rPr>
                <w:sz w:val="1"/>
                <w:szCs w:val="24"/>
              </w:rPr>
            </w:r>
          </w:p>
        </w:tc>
        <w:tc>
          <w:tcPr>
            <w:tcW w:type="dxa" w:w="1031"/>
            <w:tcBorders>
              <w:top w:val="nil"/>
              <w:left w:val="nil"/>
              <w:bottom w:val="nil"/>
              <w:right w:val="nil"/>
            </w:tcBorders>
            <w:shd w:fill="auto" w:val="clear"/>
            <w:vAlign w:val="center"/>
          </w:tcPr>
          <w:p>
            <w:pPr>
              <w:pStyle w:val="style0"/>
              <w:rPr>
                <w:sz w:val="1"/>
                <w:szCs w:val="24"/>
              </w:rPr>
            </w:pPr>
            <w:r>
              <w:rPr>
                <w:sz w:val="1"/>
                <w:szCs w:val="24"/>
              </w:rPr>
            </w:r>
          </w:p>
        </w:tc>
        <w:tc>
          <w:tcPr>
            <w:tcW w:type="dxa" w:w="1033"/>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6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070"/>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031"/>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033"/>
            <w:tcBorders>
              <w:top w:val="nil"/>
              <w:left w:val="nil"/>
              <w:bottom w:val="nil"/>
              <w:right w:val="nil"/>
            </w:tcBorders>
            <w:shd w:fill="auto" w:val="clear"/>
            <w:tcMar>
              <w:left w:type="dxa" w:w="144"/>
            </w:tcMar>
            <w:vAlign w:val="bottom"/>
          </w:tcPr>
          <w:p>
            <w:pPr>
              <w:pStyle w:val="style65"/>
              <w:ind w:hanging="0" w:left="216" w:right="86"/>
              <w:rPr/>
            </w:pPr>
            <w:r>
              <w:rPr/>
              <w:t> </w:t>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r>
      <w:tr>
        <w:trPr>
          <w:trHeight w:hRule="atLeast" w:val="75"/>
          <w:cantSplit w:val="false"/>
        </w:trPr>
        <w:tc>
          <w:tcPr>
            <w:tcW w:type="dxa" w:w="766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031"/>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033"/>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76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070"/>
            <w:tcBorders>
              <w:top w:val="nil"/>
              <w:left w:val="nil"/>
              <w:bottom w:val="nil"/>
              <w:right w:val="nil"/>
            </w:tcBorders>
            <w:shd w:fill="auto" w:val="clear"/>
            <w:tcMar>
              <w:left w:type="dxa" w:w="144"/>
            </w:tcMar>
            <w:vAlign w:val="bottom"/>
          </w:tcPr>
          <w:p>
            <w:pPr>
              <w:pStyle w:val="style0"/>
              <w:ind w:hanging="0" w:left="216" w:right="62"/>
              <w:jc w:val="right"/>
              <w:rPr>
                <w:rFonts w:ascii="Arial" w:cs="Arial" w:hAnsi="Arial"/>
                <w:b/>
                <w:bCs/>
                <w:sz w:val="15"/>
                <w:szCs w:val="15"/>
              </w:rPr>
            </w:pPr>
            <w:r>
              <w:rPr>
                <w:rFonts w:ascii="Arial" w:cs="Arial" w:hAnsi="Arial"/>
                <w:b/>
                <w:bCs/>
                <w:sz w:val="15"/>
                <w:szCs w:val="15"/>
              </w:rPr>
              <w:t>2013</w:t>
            </w:r>
          </w:p>
        </w:tc>
        <w:tc>
          <w:tcPr>
            <w:tcW w:type="dxa" w:w="1031"/>
            <w:tcBorders>
              <w:top w:val="nil"/>
              <w:left w:val="nil"/>
              <w:bottom w:val="nil"/>
              <w:right w:val="nil"/>
            </w:tcBorders>
            <w:shd w:fill="auto" w:val="clear"/>
            <w:tcMar>
              <w:left w:type="dxa" w:w="144"/>
            </w:tcMar>
            <w:vAlign w:val="bottom"/>
          </w:tcPr>
          <w:p>
            <w:pPr>
              <w:pStyle w:val="style0"/>
              <w:ind w:hanging="0" w:left="216" w:right="86"/>
              <w:jc w:val="right"/>
              <w:rPr>
                <w:rFonts w:ascii="Arial" w:cs="Arial" w:hAnsi="Arial"/>
                <w:b/>
                <w:bCs/>
                <w:sz w:val="15"/>
                <w:szCs w:val="15"/>
              </w:rPr>
            </w:pPr>
            <w:r>
              <w:rPr>
                <w:rFonts w:ascii="Arial" w:cs="Arial" w:hAnsi="Arial"/>
                <w:b/>
                <w:bCs/>
                <w:sz w:val="15"/>
                <w:szCs w:val="15"/>
              </w:rPr>
              <w:t>2012</w:t>
            </w:r>
          </w:p>
        </w:tc>
        <w:tc>
          <w:tcPr>
            <w:tcW w:type="dxa" w:w="1033"/>
            <w:tcBorders>
              <w:top w:val="nil"/>
              <w:left w:val="nil"/>
              <w:bottom w:val="nil"/>
              <w:right w:val="nil"/>
            </w:tcBorders>
            <w:shd w:fill="auto" w:val="clear"/>
            <w:tcMar>
              <w:left w:type="dxa" w:w="144"/>
            </w:tcMar>
            <w:vAlign w:val="bottom"/>
          </w:tcPr>
          <w:p>
            <w:pPr>
              <w:pStyle w:val="style0"/>
              <w:ind w:hanging="0" w:left="216" w:right="72"/>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66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031"/>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033"/>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Dividends and interest income</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677</w:t>
              <w:tab/>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800</w:t>
              <w:tab/>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900</w:t>
              <w:tab/>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Interest expense</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(429</w:t>
              <w:tab/>
              <w:t>)</w:t>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(380</w:t>
              <w:tab/>
              <w:t>)</w:t>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(295</w:t>
              <w:tab/>
              <w:t>)</w:t>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recognized gains on investments</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116</w:t>
              <w:tab/>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564</w:t>
              <w:tab/>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439</w:t>
              <w:tab/>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losses on derivatives</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(196</w:t>
              <w:tab/>
              <w:t>)</w:t>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(364</w:t>
              <w:tab/>
              <w:t>)</w:t>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(77</w:t>
              <w:tab/>
              <w:t>)</w:t>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losses on foreign currency remeasurements</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(74</w:t>
              <w:tab/>
              <w:t>)</w:t>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(117</w:t>
              <w:tab/>
              <w:t>)</w:t>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(26</w:t>
              <w:tab/>
              <w:t>)</w:t>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194</w:t>
              <w:tab/>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101"/>
              <w:contextualSpacing w:val="false"/>
              <w:rPr>
                <w:rFonts w:ascii="Arial" w:cs="Arial" w:hAnsi="Arial"/>
                <w:sz w:val="20"/>
                <w:szCs w:val="20"/>
              </w:rPr>
            </w:pPr>
            <w:r>
              <w:rPr>
                <w:rFonts w:ascii="Arial" w:cs="Arial" w:hAnsi="Arial"/>
                <w:sz w:val="20"/>
                <w:szCs w:val="20"/>
              </w:rPr>
              <w:tab/>
              <w:t>1</w:t>
              <w:tab/>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101"/>
              <w:contextualSpacing w:val="false"/>
              <w:rPr>
                <w:rFonts w:ascii="Arial" w:cs="Arial" w:hAnsi="Arial"/>
                <w:sz w:val="20"/>
                <w:szCs w:val="20"/>
              </w:rPr>
            </w:pPr>
            <w:r>
              <w:rPr>
                <w:rFonts w:ascii="Arial" w:cs="Arial" w:hAnsi="Arial"/>
                <w:sz w:val="20"/>
                <w:szCs w:val="20"/>
              </w:rPr>
              <w:tab/>
              <w:t>(31</w:t>
              <w:tab/>
              <w:t>)</w:t>
            </w:r>
          </w:p>
        </w:tc>
      </w:tr>
      <w:tr>
        <w:trPr>
          <w:cantSplit w:val="false"/>
        </w:trPr>
        <w:tc>
          <w:tcPr>
            <w:tcW w:type="dxa" w:w="8738"/>
            <w:gridSpan w:val="2"/>
            <w:tcBorders>
              <w:top w:val="nil"/>
              <w:left w:val="nil"/>
              <w:bottom w:val="nil"/>
              <w:right w:val="nil"/>
            </w:tcBorders>
            <w:shd w:fill="auto" w:val="clear"/>
            <w:vAlign w:val="bottom"/>
          </w:tcPr>
          <w:p>
            <w:pPr>
              <w:pStyle w:val="style59"/>
              <w:spacing w:after="0" w:before="20"/>
              <w:ind w:hanging="0" w:left="-216" w:right="86"/>
              <w:contextualSpacing w:val="false"/>
              <w:rPr/>
            </w:pPr>
            <w:r>
              <w:rPr/>
              <w:t> </w:t>
            </w:r>
          </w:p>
        </w:tc>
        <w:tc>
          <w:tcPr>
            <w:tcW w:type="dxa" w:w="1030"/>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c>
          <w:tcPr>
            <w:tcW w:type="dxa" w:w="1032"/>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r>
      <w:tr>
        <w:trPr>
          <w:cantSplit w:val="false"/>
        </w:trPr>
        <w:tc>
          <w:tcPr>
            <w:tcW w:type="dxa" w:w="766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   288</w:t>
              <w:tab/>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   504</w:t>
              <w:tab/>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   910</w:t>
              <w:tab/>
            </w:r>
          </w:p>
        </w:tc>
      </w:tr>
      <w:tr>
        <w:trPr>
          <w:cantSplit w:val="false"/>
        </w:trPr>
        <w:tc>
          <w:tcPr>
            <w:tcW w:type="dxa" w:w="7666"/>
            <w:tcBorders>
              <w:top w:val="nil"/>
              <w:left w:val="nil"/>
              <w:bottom w:val="nil"/>
              <w:right w:val="nil"/>
            </w:tcBorders>
            <w:shd w:fill="auto" w:val="clear"/>
            <w:tcMar>
              <w:left w:type="dxa" w:w="144"/>
            </w:tcMar>
            <w:vAlign w:val="bottom"/>
          </w:tcPr>
          <w:p>
            <w:pPr>
              <w:pStyle w:val="style65"/>
              <w:rPr/>
            </w:pPr>
            <w:r>
              <w:rPr/>
              <w:t> </w:t>
            </w:r>
          </w:p>
        </w:tc>
        <w:tc>
          <w:tcPr>
            <w:tcW w:type="dxa" w:w="1070"/>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031"/>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c>
          <w:tcPr>
            <w:tcW w:type="dxa" w:w="1033"/>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r>
    </w:tbl>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Following are details of net recognized gains (losses) on investments during the periods reported: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326"/>
        <w:gridCol w:w="1190"/>
        <w:gridCol w:w="1131"/>
        <w:gridCol w:w="1152"/>
      </w:tblGrid>
      <w:tr>
        <w:trPr>
          <w:tblHeader w:val="true"/>
          <w:cantSplit w:val="false"/>
        </w:trPr>
        <w:tc>
          <w:tcPr>
            <w:tcW w:type="dxa" w:w="7326"/>
            <w:tcBorders>
              <w:top w:val="nil"/>
              <w:left w:val="nil"/>
              <w:bottom w:val="nil"/>
              <w:right w:val="nil"/>
            </w:tcBorders>
            <w:shd w:fill="auto" w:val="clear"/>
            <w:vAlign w:val="center"/>
          </w:tcPr>
          <w:p>
            <w:pPr>
              <w:pStyle w:val="style0"/>
              <w:rPr>
                <w:sz w:val="1"/>
                <w:szCs w:val="24"/>
              </w:rPr>
            </w:pPr>
            <w:r>
              <w:rPr>
                <w:sz w:val="1"/>
                <w:szCs w:val="24"/>
              </w:rPr>
            </w:r>
          </w:p>
        </w:tc>
        <w:tc>
          <w:tcPr>
            <w:tcW w:type="dxa" w:w="1190"/>
            <w:tcBorders>
              <w:top w:val="nil"/>
              <w:left w:val="nil"/>
              <w:bottom w:val="nil"/>
              <w:right w:val="nil"/>
            </w:tcBorders>
            <w:shd w:fill="auto" w:val="clear"/>
            <w:vAlign w:val="center"/>
          </w:tcPr>
          <w:p>
            <w:pPr>
              <w:pStyle w:val="style0"/>
              <w:rPr>
                <w:sz w:val="1"/>
                <w:szCs w:val="24"/>
              </w:rPr>
            </w:pPr>
            <w:r>
              <w:rPr>
                <w:sz w:val="1"/>
                <w:szCs w:val="24"/>
              </w:rPr>
            </w:r>
          </w:p>
        </w:tc>
        <w:tc>
          <w:tcPr>
            <w:tcW w:type="dxa" w:w="1131"/>
            <w:tcBorders>
              <w:top w:val="nil"/>
              <w:left w:val="nil"/>
              <w:bottom w:val="nil"/>
              <w:right w:val="nil"/>
            </w:tcBorders>
            <w:shd w:fill="auto" w:val="clear"/>
            <w:vAlign w:val="center"/>
          </w:tcPr>
          <w:p>
            <w:pPr>
              <w:pStyle w:val="style0"/>
              <w:rPr>
                <w:sz w:val="1"/>
                <w:szCs w:val="24"/>
              </w:rPr>
            </w:pPr>
            <w:r>
              <w:rPr>
                <w:sz w:val="1"/>
                <w:szCs w:val="24"/>
              </w:rPr>
            </w:r>
          </w:p>
        </w:tc>
        <w:tc>
          <w:tcPr>
            <w:tcW w:type="dxa" w:w="115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32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190"/>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131"/>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152"/>
            <w:tcBorders>
              <w:top w:val="nil"/>
              <w:left w:val="nil"/>
              <w:bottom w:val="nil"/>
              <w:right w:val="nil"/>
            </w:tcBorders>
            <w:shd w:fill="auto" w:val="clear"/>
            <w:tcMar>
              <w:left w:type="dxa" w:w="144"/>
            </w:tcMar>
            <w:vAlign w:val="bottom"/>
          </w:tcPr>
          <w:p>
            <w:pPr>
              <w:pStyle w:val="style65"/>
              <w:ind w:hanging="0" w:left="216" w:right="86"/>
              <w:rPr/>
            </w:pPr>
            <w:r>
              <w:rPr/>
              <w:t> </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302" w:right="101"/>
              <w:contextualSpacing w:val="false"/>
              <w:rPr/>
            </w:pPr>
            <w:r>
              <w:rPr/>
              <w:t> </w:t>
            </w:r>
          </w:p>
        </w:tc>
      </w:tr>
      <w:tr>
        <w:trPr>
          <w:trHeight w:hRule="atLeast" w:val="75"/>
          <w:cantSplit w:val="false"/>
        </w:trPr>
        <w:tc>
          <w:tcPr>
            <w:tcW w:type="dxa" w:w="7326"/>
            <w:tcBorders>
              <w:top w:val="nil"/>
              <w:left w:val="nil"/>
              <w:bottom w:val="nil"/>
              <w:right w:val="nil"/>
            </w:tcBorders>
            <w:shd w:fill="auto" w:val="clear"/>
            <w:vAlign w:val="center"/>
          </w:tcPr>
          <w:p>
            <w:pPr>
              <w:pStyle w:val="style0"/>
              <w:rPr>
                <w:sz w:val="8"/>
                <w:szCs w:val="24"/>
              </w:rPr>
            </w:pPr>
            <w:r>
              <w:rPr>
                <w:sz w:val="8"/>
                <w:szCs w:val="24"/>
              </w:rPr>
            </w:r>
          </w:p>
        </w:tc>
        <w:tc>
          <w:tcPr>
            <w:tcW w:type="dxa" w:w="119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131"/>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152"/>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732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190"/>
            <w:tcBorders>
              <w:top w:val="nil"/>
              <w:left w:val="nil"/>
              <w:bottom w:val="nil"/>
              <w:right w:val="nil"/>
            </w:tcBorders>
            <w:shd w:fill="auto" w:val="clear"/>
            <w:tcMar>
              <w:left w:type="dxa" w:w="144"/>
            </w:tcMar>
            <w:vAlign w:val="bottom"/>
          </w:tcPr>
          <w:p>
            <w:pPr>
              <w:pStyle w:val="style0"/>
              <w:ind w:hanging="0" w:left="216" w:right="76"/>
              <w:jc w:val="right"/>
              <w:rPr>
                <w:rFonts w:ascii="Arial" w:cs="Arial" w:hAnsi="Arial"/>
                <w:b/>
                <w:bCs/>
                <w:sz w:val="15"/>
                <w:szCs w:val="15"/>
              </w:rPr>
            </w:pPr>
            <w:r>
              <w:rPr>
                <w:rFonts w:ascii="Arial" w:cs="Arial" w:hAnsi="Arial"/>
                <w:b/>
                <w:bCs/>
                <w:sz w:val="15"/>
                <w:szCs w:val="15"/>
              </w:rPr>
              <w:t>2013</w:t>
            </w:r>
          </w:p>
        </w:tc>
        <w:tc>
          <w:tcPr>
            <w:tcW w:type="dxa" w:w="1131"/>
            <w:tcBorders>
              <w:top w:val="nil"/>
              <w:left w:val="nil"/>
              <w:bottom w:val="nil"/>
              <w:right w:val="nil"/>
            </w:tcBorders>
            <w:shd w:fill="auto" w:val="clear"/>
            <w:tcMar>
              <w:left w:type="dxa" w:w="144"/>
            </w:tcMar>
            <w:vAlign w:val="bottom"/>
          </w:tcPr>
          <w:p>
            <w:pPr>
              <w:pStyle w:val="style0"/>
              <w:ind w:hanging="0" w:left="216" w:right="73"/>
              <w:jc w:val="right"/>
              <w:rPr>
                <w:rFonts w:ascii="Arial" w:cs="Arial" w:hAnsi="Arial"/>
                <w:b/>
                <w:bCs/>
                <w:sz w:val="15"/>
                <w:szCs w:val="15"/>
              </w:rPr>
            </w:pPr>
            <w:r>
              <w:rPr>
                <w:rFonts w:ascii="Arial" w:cs="Arial" w:hAnsi="Arial"/>
                <w:b/>
                <w:bCs/>
                <w:sz w:val="15"/>
                <w:szCs w:val="15"/>
              </w:rPr>
              <w:t>2012</w:t>
            </w:r>
          </w:p>
        </w:tc>
        <w:tc>
          <w:tcPr>
            <w:tcW w:type="dxa" w:w="1152"/>
            <w:tcBorders>
              <w:top w:val="nil"/>
              <w:left w:val="nil"/>
              <w:bottom w:val="nil"/>
              <w:right w:val="nil"/>
            </w:tcBorders>
            <w:shd w:fill="auto" w:val="clear"/>
            <w:tcMar>
              <w:left w:type="dxa" w:w="144"/>
            </w:tcMar>
            <w:vAlign w:val="bottom"/>
          </w:tcPr>
          <w:p>
            <w:pPr>
              <w:pStyle w:val="style0"/>
              <w:ind w:hanging="0" w:left="216" w:right="72"/>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326"/>
            <w:tcBorders>
              <w:top w:val="nil"/>
              <w:left w:val="nil"/>
              <w:bottom w:val="nil"/>
              <w:right w:val="nil"/>
            </w:tcBorders>
            <w:shd w:fill="auto" w:val="clear"/>
            <w:vAlign w:val="center"/>
          </w:tcPr>
          <w:p>
            <w:pPr>
              <w:pStyle w:val="style0"/>
              <w:rPr>
                <w:sz w:val="8"/>
                <w:szCs w:val="24"/>
              </w:rPr>
            </w:pPr>
            <w:r>
              <w:rPr>
                <w:sz w:val="8"/>
                <w:szCs w:val="24"/>
              </w:rPr>
            </w:r>
          </w:p>
        </w:tc>
        <w:tc>
          <w:tcPr>
            <w:tcW w:type="dxa" w:w="119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131"/>
            <w:tcBorders>
              <w:top w:val="nil"/>
              <w:left w:val="nil"/>
              <w:bottom w:val="nil"/>
              <w:right w:val="nil"/>
            </w:tcBorders>
            <w:shd w:fill="auto" w:val="clear"/>
            <w:vAlign w:val="center"/>
          </w:tcPr>
          <w:p>
            <w:pPr>
              <w:pStyle w:val="style0"/>
              <w:ind w:hanging="0" w:left="216" w:right="115"/>
              <w:rPr>
                <w:sz w:val="8"/>
                <w:szCs w:val="24"/>
              </w:rPr>
            </w:pPr>
            <w:r>
              <w:rPr>
                <w:sz w:val="8"/>
                <w:szCs w:val="24"/>
              </w:rPr>
            </w:r>
          </w:p>
        </w:tc>
        <w:tc>
          <w:tcPr>
            <w:tcW w:type="dxa" w:w="1152"/>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73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Other-than-temporary impairments of investments</w:t>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(208</w:t>
              <w:tab/>
              <w:t>)</w:t>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15"/>
              <w:contextualSpacing w:val="false"/>
              <w:rPr>
                <w:rFonts w:ascii="Arial" w:cs="Arial" w:hAnsi="Arial"/>
                <w:sz w:val="20"/>
                <w:szCs w:val="20"/>
              </w:rPr>
            </w:pPr>
            <w:r>
              <w:rPr>
                <w:rFonts w:ascii="Arial" w:cs="Arial" w:hAnsi="Arial"/>
                <w:sz w:val="20"/>
                <w:szCs w:val="20"/>
              </w:rPr>
              <w:t>$</w:t>
              <w:tab/>
              <w:t>(298</w:t>
              <w:tab/>
              <w:t>)</w:t>
            </w:r>
          </w:p>
        </w:tc>
        <w:tc>
          <w:tcPr>
            <w:tcW w:type="dxa" w:w="1152"/>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(80</w:t>
              <w:tab/>
              <w:t>)</w:t>
            </w:r>
          </w:p>
        </w:tc>
      </w:tr>
      <w:tr>
        <w:trPr>
          <w:cantSplit w:val="false"/>
        </w:trPr>
        <w:tc>
          <w:tcPr>
            <w:tcW w:type="dxa" w:w="73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Realized gains from sales of available-for-sale securities</w:t>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489</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15"/>
              <w:contextualSpacing w:val="false"/>
              <w:rPr>
                <w:rFonts w:ascii="Arial" w:cs="Arial" w:hAnsi="Arial"/>
                <w:sz w:val="20"/>
                <w:szCs w:val="20"/>
              </w:rPr>
            </w:pPr>
            <w:r>
              <w:rPr>
                <w:rFonts w:ascii="Arial" w:cs="Arial" w:hAnsi="Arial"/>
                <w:sz w:val="20"/>
                <w:szCs w:val="20"/>
              </w:rPr>
              <w:tab/>
              <w:t>  1,418</w:t>
              <w:tab/>
            </w:r>
          </w:p>
        </w:tc>
        <w:tc>
          <w:tcPr>
            <w:tcW w:type="dxa" w:w="1152"/>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16" w:right="101"/>
              <w:contextualSpacing w:val="false"/>
              <w:rPr>
                <w:rFonts w:ascii="Arial" w:cs="Arial" w:hAnsi="Arial"/>
                <w:sz w:val="20"/>
                <w:szCs w:val="20"/>
              </w:rPr>
            </w:pPr>
            <w:r>
              <w:rPr>
                <w:rFonts w:ascii="Arial" w:cs="Arial" w:hAnsi="Arial"/>
                <w:sz w:val="20"/>
                <w:szCs w:val="20"/>
              </w:rPr>
              <w:tab/>
              <w:t>734</w:t>
              <w:tab/>
            </w:r>
          </w:p>
        </w:tc>
      </w:tr>
      <w:tr>
        <w:trPr>
          <w:cantSplit w:val="false"/>
        </w:trPr>
        <w:tc>
          <w:tcPr>
            <w:tcW w:type="dxa" w:w="73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Realized losses from sales of available-for-sale securities</w:t>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(165</w:t>
              <w:tab/>
              <w:t>)</w:t>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15"/>
              <w:contextualSpacing w:val="false"/>
              <w:rPr>
                <w:rFonts w:ascii="Arial" w:cs="Arial" w:hAnsi="Arial"/>
                <w:sz w:val="20"/>
                <w:szCs w:val="20"/>
              </w:rPr>
            </w:pPr>
            <w:r>
              <w:rPr>
                <w:rFonts w:ascii="Arial" w:cs="Arial" w:hAnsi="Arial"/>
                <w:sz w:val="20"/>
                <w:szCs w:val="20"/>
              </w:rPr>
              <w:tab/>
              <w:t>(556</w:t>
              <w:tab/>
              <w:t>)</w:t>
            </w:r>
          </w:p>
        </w:tc>
        <w:tc>
          <w:tcPr>
            <w:tcW w:type="dxa" w:w="1152"/>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16" w:right="101"/>
              <w:contextualSpacing w:val="false"/>
              <w:rPr>
                <w:rFonts w:ascii="Arial" w:cs="Arial" w:hAnsi="Arial"/>
                <w:sz w:val="20"/>
                <w:szCs w:val="20"/>
              </w:rPr>
            </w:pPr>
            <w:r>
              <w:rPr>
                <w:rFonts w:ascii="Arial" w:cs="Arial" w:hAnsi="Arial"/>
                <w:sz w:val="20"/>
                <w:szCs w:val="20"/>
              </w:rPr>
              <w:tab/>
              <w:t>(215</w:t>
              <w:tab/>
              <w:t>)</w:t>
            </w:r>
          </w:p>
        </w:tc>
      </w:tr>
      <w:tr>
        <w:trPr>
          <w:cantSplit w:val="false"/>
        </w:trPr>
        <w:tc>
          <w:tcPr>
            <w:tcW w:type="dxa" w:w="8517"/>
            <w:gridSpan w:val="2"/>
            <w:tcBorders>
              <w:top w:val="nil"/>
              <w:left w:val="nil"/>
              <w:bottom w:val="nil"/>
              <w:right w:val="nil"/>
            </w:tcBorders>
            <w:shd w:fill="auto" w:val="clear"/>
            <w:vAlign w:val="bottom"/>
          </w:tcPr>
          <w:p>
            <w:pPr>
              <w:pStyle w:val="style59"/>
              <w:spacing w:after="0" w:before="20"/>
              <w:ind w:hanging="0" w:left="-297" w:right="86"/>
              <w:contextualSpacing w:val="false"/>
              <w:rPr/>
            </w:pPr>
            <w:r>
              <w:rPr/>
              <w:t> </w:t>
            </w:r>
          </w:p>
        </w:tc>
        <w:tc>
          <w:tcPr>
            <w:tcW w:type="dxa" w:w="1131"/>
            <w:tcBorders>
              <w:top w:val="nil"/>
              <w:left w:val="nil"/>
              <w:bottom w:val="nil"/>
              <w:right w:val="nil"/>
            </w:tcBorders>
            <w:shd w:fill="auto" w:val="clear"/>
            <w:tcMar>
              <w:left w:type="dxa" w:w="144"/>
            </w:tcMar>
            <w:vAlign w:val="bottom"/>
          </w:tcPr>
          <w:p>
            <w:pPr>
              <w:pStyle w:val="style59"/>
              <w:spacing w:after="0" w:before="20"/>
              <w:ind w:hanging="0" w:left="216" w:right="115"/>
              <w:contextualSpacing w:val="false"/>
              <w:rPr/>
            </w:pPr>
            <w:r>
              <w:rPr/>
              <w:t> </w:t>
            </w:r>
          </w:p>
        </w:tc>
        <w:tc>
          <w:tcPr>
            <w:tcW w:type="dxa" w:w="1151"/>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r>
      <w:tr>
        <w:trPr>
          <w:cantSplit w:val="false"/>
        </w:trPr>
        <w:tc>
          <w:tcPr>
            <w:tcW w:type="dxa" w:w="732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      116</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15"/>
              <w:contextualSpacing w:val="false"/>
              <w:rPr>
                <w:rFonts w:ascii="Arial" w:cs="Arial" w:hAnsi="Arial"/>
                <w:sz w:val="20"/>
                <w:szCs w:val="20"/>
              </w:rPr>
            </w:pPr>
            <w:r>
              <w:rPr>
                <w:rFonts w:ascii="Arial" w:cs="Arial" w:hAnsi="Arial"/>
                <w:sz w:val="20"/>
                <w:szCs w:val="20"/>
              </w:rPr>
              <w:t>$</w:t>
              <w:tab/>
              <w:t>564</w:t>
              <w:tab/>
            </w:r>
          </w:p>
        </w:tc>
        <w:tc>
          <w:tcPr>
            <w:tcW w:type="dxa" w:w="1152"/>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  439</w:t>
              <w:tab/>
            </w:r>
          </w:p>
        </w:tc>
      </w:tr>
      <w:tr>
        <w:trPr>
          <w:cantSplit w:val="false"/>
        </w:trPr>
        <w:tc>
          <w:tcPr>
            <w:tcW w:type="dxa" w:w="7326"/>
            <w:tcBorders>
              <w:top w:val="nil"/>
              <w:left w:val="nil"/>
              <w:bottom w:val="nil"/>
              <w:right w:val="nil"/>
            </w:tcBorders>
            <w:shd w:fill="auto" w:val="clear"/>
            <w:tcMar>
              <w:left w:type="dxa" w:w="144"/>
            </w:tcMar>
            <w:vAlign w:val="bottom"/>
          </w:tcPr>
          <w:p>
            <w:pPr>
              <w:pStyle w:val="style65"/>
              <w:rPr/>
            </w:pPr>
            <w:r>
              <w:rPr/>
              <w:t> </w:t>
            </w:r>
          </w:p>
        </w:tc>
        <w:tc>
          <w:tcPr>
            <w:tcW w:type="dxa" w:w="1190"/>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131"/>
            <w:tcBorders>
              <w:top w:val="nil"/>
              <w:left w:val="nil"/>
              <w:bottom w:val="nil"/>
              <w:right w:val="nil"/>
            </w:tcBorders>
            <w:shd w:fill="auto" w:val="clear"/>
            <w:tcMar>
              <w:left w:type="dxa" w:w="144"/>
            </w:tcMar>
            <w:vAlign w:val="bottom"/>
          </w:tcPr>
          <w:p>
            <w:pPr>
              <w:pStyle w:val="style63"/>
              <w:spacing w:after="0" w:before="20"/>
              <w:ind w:hanging="0" w:left="216" w:right="115"/>
              <w:contextualSpacing w:val="false"/>
              <w:rPr/>
            </w:pPr>
            <w:r>
              <w:rPr/>
              <w:t> </w:t>
            </w:r>
          </w:p>
        </w:tc>
        <w:tc>
          <w:tcPr>
            <w:tcW w:type="dxa" w:w="1152"/>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r>
    </w:tbl>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4 — INVESTMENTS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Investment Components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components of investments, including associated derivatives,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2996"/>
        <w:gridCol w:w="1070"/>
        <w:gridCol w:w="1043"/>
        <w:gridCol w:w="1052"/>
        <w:gridCol w:w="1143"/>
        <w:gridCol w:w="1107"/>
        <w:gridCol w:w="1233"/>
        <w:gridCol w:w="1155"/>
      </w:tblGrid>
      <w:tr>
        <w:trPr>
          <w:tblHeader w:val="true"/>
          <w:cantSplit w:val="false"/>
        </w:trPr>
        <w:tc>
          <w:tcPr>
            <w:tcW w:type="dxa" w:w="2996"/>
            <w:tcBorders>
              <w:top w:val="nil"/>
              <w:left w:val="nil"/>
              <w:bottom w:val="nil"/>
              <w:right w:val="nil"/>
            </w:tcBorders>
            <w:shd w:fill="auto" w:val="clear"/>
            <w:vAlign w:val="center"/>
          </w:tcPr>
          <w:p>
            <w:pPr>
              <w:pStyle w:val="style0"/>
              <w:rPr>
                <w:sz w:val="1"/>
                <w:szCs w:val="24"/>
              </w:rPr>
            </w:pPr>
            <w:r>
              <w:rPr>
                <w:sz w:val="1"/>
                <w:szCs w:val="24"/>
              </w:rPr>
            </w:r>
          </w:p>
        </w:tc>
        <w:tc>
          <w:tcPr>
            <w:tcW w:type="dxa" w:w="1070"/>
            <w:tcBorders>
              <w:top w:val="nil"/>
              <w:left w:val="nil"/>
              <w:bottom w:val="nil"/>
              <w:right w:val="nil"/>
            </w:tcBorders>
            <w:shd w:fill="auto" w:val="clear"/>
            <w:vAlign w:val="center"/>
          </w:tcPr>
          <w:p>
            <w:pPr>
              <w:pStyle w:val="style0"/>
              <w:rPr>
                <w:sz w:val="1"/>
                <w:szCs w:val="24"/>
              </w:rPr>
            </w:pPr>
            <w:r>
              <w:rPr>
                <w:sz w:val="1"/>
                <w:szCs w:val="24"/>
              </w:rPr>
            </w:r>
          </w:p>
        </w:tc>
        <w:tc>
          <w:tcPr>
            <w:tcW w:type="dxa" w:w="1043"/>
            <w:tcBorders>
              <w:top w:val="nil"/>
              <w:left w:val="nil"/>
              <w:bottom w:val="nil"/>
              <w:right w:val="nil"/>
            </w:tcBorders>
            <w:shd w:fill="auto" w:val="clear"/>
            <w:vAlign w:val="center"/>
          </w:tcPr>
          <w:p>
            <w:pPr>
              <w:pStyle w:val="style0"/>
              <w:rPr>
                <w:sz w:val="1"/>
                <w:szCs w:val="24"/>
              </w:rPr>
            </w:pPr>
            <w:r>
              <w:rPr>
                <w:sz w:val="1"/>
                <w:szCs w:val="24"/>
              </w:rPr>
            </w:r>
          </w:p>
        </w:tc>
        <w:tc>
          <w:tcPr>
            <w:tcW w:type="dxa" w:w="1052"/>
            <w:tcBorders>
              <w:top w:val="nil"/>
              <w:left w:val="nil"/>
              <w:bottom w:val="nil"/>
              <w:right w:val="nil"/>
            </w:tcBorders>
            <w:shd w:fill="auto" w:val="clear"/>
            <w:vAlign w:val="center"/>
          </w:tcPr>
          <w:p>
            <w:pPr>
              <w:pStyle w:val="style0"/>
              <w:rPr>
                <w:sz w:val="1"/>
                <w:szCs w:val="24"/>
              </w:rPr>
            </w:pPr>
            <w:r>
              <w:rPr>
                <w:sz w:val="1"/>
                <w:szCs w:val="24"/>
              </w:rPr>
            </w:r>
          </w:p>
        </w:tc>
        <w:tc>
          <w:tcPr>
            <w:tcW w:type="dxa" w:w="1143"/>
            <w:tcBorders>
              <w:top w:val="nil"/>
              <w:left w:val="nil"/>
              <w:bottom w:val="nil"/>
              <w:right w:val="nil"/>
            </w:tcBorders>
            <w:shd w:fill="auto" w:val="clear"/>
            <w:vAlign w:val="center"/>
          </w:tcPr>
          <w:p>
            <w:pPr>
              <w:pStyle w:val="style0"/>
              <w:rPr>
                <w:sz w:val="1"/>
                <w:szCs w:val="24"/>
              </w:rPr>
            </w:pPr>
            <w:r>
              <w:rPr>
                <w:sz w:val="1"/>
                <w:szCs w:val="24"/>
              </w:rPr>
            </w:r>
          </w:p>
        </w:tc>
        <w:tc>
          <w:tcPr>
            <w:tcW w:type="dxa" w:w="1107"/>
            <w:tcBorders>
              <w:top w:val="nil"/>
              <w:left w:val="nil"/>
              <w:bottom w:val="nil"/>
              <w:right w:val="nil"/>
            </w:tcBorders>
            <w:shd w:fill="auto" w:val="clear"/>
            <w:vAlign w:val="center"/>
          </w:tcPr>
          <w:p>
            <w:pPr>
              <w:pStyle w:val="style0"/>
              <w:rPr>
                <w:sz w:val="1"/>
                <w:szCs w:val="24"/>
              </w:rPr>
            </w:pPr>
            <w:r>
              <w:rPr>
                <w:sz w:val="1"/>
                <w:szCs w:val="24"/>
              </w:rPr>
            </w:r>
          </w:p>
        </w:tc>
        <w:tc>
          <w:tcPr>
            <w:tcW w:type="dxa" w:w="1233"/>
            <w:tcBorders>
              <w:top w:val="nil"/>
              <w:left w:val="nil"/>
              <w:bottom w:val="nil"/>
              <w:right w:val="nil"/>
            </w:tcBorders>
            <w:shd w:fill="auto" w:val="clear"/>
            <w:vAlign w:val="center"/>
          </w:tcPr>
          <w:p>
            <w:pPr>
              <w:pStyle w:val="style0"/>
              <w:rPr>
                <w:sz w:val="1"/>
                <w:szCs w:val="24"/>
              </w:rPr>
            </w:pPr>
            <w:r>
              <w:rPr>
                <w:sz w:val="1"/>
                <w:szCs w:val="24"/>
              </w:rPr>
            </w:r>
          </w:p>
        </w:tc>
        <w:tc>
          <w:tcPr>
            <w:tcW w:type="dxa" w:w="1155"/>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299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070"/>
            <w:tcBorders>
              <w:top w:val="nil"/>
              <w:left w:val="nil"/>
              <w:bottom w:val="nil"/>
              <w:right w:val="nil"/>
            </w:tcBorders>
            <w:shd w:fill="auto" w:val="clear"/>
            <w:tcMar>
              <w:left w:type="dxa" w:w="144"/>
            </w:tcMar>
            <w:vAlign w:val="bottom"/>
          </w:tcPr>
          <w:p>
            <w:pPr>
              <w:pStyle w:val="style0"/>
              <w:ind w:hanging="0" w:left="0" w:right="27"/>
              <w:jc w:val="right"/>
              <w:rPr>
                <w:rFonts w:ascii="Arial" w:cs="Arial" w:hAnsi="Arial"/>
                <w:b/>
                <w:bCs/>
                <w:sz w:val="15"/>
                <w:szCs w:val="15"/>
              </w:rPr>
            </w:pPr>
            <w:r>
              <w:rPr>
                <w:rFonts w:ascii="Arial" w:cs="Arial" w:hAnsi="Arial"/>
                <w:b/>
                <w:bCs/>
                <w:sz w:val="15"/>
                <w:szCs w:val="15"/>
              </w:rPr>
              <w:t>Cost Basis</w:t>
            </w:r>
          </w:p>
        </w:tc>
        <w:tc>
          <w:tcPr>
            <w:tcW w:type="dxa" w:w="1043"/>
            <w:tcBorders>
              <w:top w:val="nil"/>
              <w:left w:val="nil"/>
              <w:bottom w:val="nil"/>
              <w:right w:val="nil"/>
            </w:tcBorders>
            <w:shd w:fill="auto" w:val="clear"/>
            <w:tcMar>
              <w:left w:type="dxa" w:w="144"/>
            </w:tcMar>
            <w:vAlign w:val="bottom"/>
          </w:tcPr>
          <w:p>
            <w:pPr>
              <w:pStyle w:val="style62"/>
              <w:spacing w:after="280" w:before="280"/>
              <w:ind w:hanging="0" w:left="0" w:right="27"/>
              <w:contextualSpacing w:val="false"/>
              <w:jc w:val="right"/>
              <w:rPr>
                <w:rFonts w:ascii="Arial" w:cs="Arial" w:hAnsi="Arial"/>
                <w:b/>
                <w:bCs/>
                <w:sz w:val="15"/>
                <w:szCs w:val="15"/>
              </w:rPr>
            </w:pPr>
            <w:r>
              <w:rPr>
                <w:rFonts w:ascii="Arial" w:cs="Arial" w:hAnsi="Arial"/>
                <w:b/>
                <w:bCs/>
                <w:sz w:val="15"/>
                <w:szCs w:val="15"/>
              </w:rPr>
              <w:t>Unrealized</w:t>
            </w:r>
          </w:p>
          <w:p>
            <w:pPr>
              <w:pStyle w:val="style62"/>
              <w:spacing w:after="280" w:before="280"/>
              <w:ind w:hanging="0" w:left="0" w:right="27"/>
              <w:contextualSpacing w:val="false"/>
              <w:jc w:val="right"/>
              <w:rPr>
                <w:rFonts w:ascii="Arial" w:cs="Arial" w:hAnsi="Arial"/>
                <w:b/>
                <w:bCs/>
                <w:sz w:val="15"/>
                <w:szCs w:val="15"/>
              </w:rPr>
            </w:pPr>
            <w:r>
              <w:rPr>
                <w:rFonts w:ascii="Arial" w:cs="Arial" w:hAnsi="Arial"/>
                <w:b/>
                <w:bCs/>
                <w:sz w:val="15"/>
                <w:szCs w:val="15"/>
              </w:rPr>
              <w:t>Gains</w:t>
            </w:r>
          </w:p>
        </w:tc>
        <w:tc>
          <w:tcPr>
            <w:tcW w:type="dxa" w:w="1052"/>
            <w:tcBorders>
              <w:top w:val="nil"/>
              <w:left w:val="nil"/>
              <w:bottom w:val="nil"/>
              <w:right w:val="nil"/>
            </w:tcBorders>
            <w:shd w:fill="auto" w:val="clear"/>
            <w:tcMar>
              <w:left w:type="dxa" w:w="144"/>
            </w:tcMar>
            <w:vAlign w:val="bottom"/>
          </w:tcPr>
          <w:p>
            <w:pPr>
              <w:pStyle w:val="style62"/>
              <w:spacing w:after="280" w:before="280"/>
              <w:ind w:hanging="0" w:left="0" w:right="81"/>
              <w:contextualSpacing w:val="false"/>
              <w:jc w:val="right"/>
              <w:rPr>
                <w:rFonts w:ascii="Arial" w:cs="Arial" w:hAnsi="Arial"/>
                <w:b/>
                <w:bCs/>
                <w:sz w:val="15"/>
                <w:szCs w:val="15"/>
              </w:rPr>
            </w:pPr>
            <w:r>
              <w:rPr>
                <w:rFonts w:ascii="Arial" w:cs="Arial" w:hAnsi="Arial"/>
                <w:b/>
                <w:bCs/>
                <w:sz w:val="15"/>
                <w:szCs w:val="15"/>
              </w:rPr>
              <w:t>Unrealized</w:t>
            </w:r>
          </w:p>
          <w:p>
            <w:pPr>
              <w:pStyle w:val="style62"/>
              <w:spacing w:after="280" w:before="280"/>
              <w:ind w:hanging="0" w:left="0" w:right="81"/>
              <w:contextualSpacing w:val="false"/>
              <w:jc w:val="right"/>
              <w:rPr>
                <w:rFonts w:ascii="Arial" w:cs="Arial" w:hAnsi="Arial"/>
                <w:b/>
                <w:bCs/>
                <w:sz w:val="15"/>
                <w:szCs w:val="15"/>
              </w:rPr>
            </w:pPr>
            <w:r>
              <w:rPr>
                <w:rFonts w:ascii="Arial" w:cs="Arial" w:hAnsi="Arial"/>
                <w:b/>
                <w:bCs/>
                <w:sz w:val="15"/>
                <w:szCs w:val="15"/>
              </w:rPr>
              <w:t>Losses</w:t>
            </w:r>
          </w:p>
        </w:tc>
        <w:tc>
          <w:tcPr>
            <w:tcW w:type="dxa" w:w="1143"/>
            <w:tcBorders>
              <w:top w:val="nil"/>
              <w:left w:val="nil"/>
              <w:bottom w:val="nil"/>
              <w:right w:val="nil"/>
            </w:tcBorders>
            <w:shd w:fill="auto" w:val="clear"/>
            <w:tcMar>
              <w:left w:type="dxa" w:w="144"/>
            </w:tcMar>
            <w:vAlign w:val="bottom"/>
          </w:tcPr>
          <w:p>
            <w:pPr>
              <w:pStyle w:val="style62"/>
              <w:spacing w:after="280" w:before="280"/>
              <w:ind w:hanging="0" w:left="0" w:right="27"/>
              <w:contextualSpacing w:val="false"/>
              <w:jc w:val="right"/>
              <w:rPr>
                <w:rFonts w:ascii="Arial" w:cs="Arial" w:hAnsi="Arial"/>
                <w:b/>
                <w:bCs/>
                <w:sz w:val="15"/>
                <w:szCs w:val="15"/>
              </w:rPr>
            </w:pPr>
            <w:r>
              <w:rPr>
                <w:rFonts w:ascii="Arial" w:cs="Arial" w:hAnsi="Arial"/>
                <w:b/>
                <w:bCs/>
                <w:sz w:val="15"/>
                <w:szCs w:val="15"/>
              </w:rPr>
              <w:t>Recorded</w:t>
            </w:r>
          </w:p>
          <w:p>
            <w:pPr>
              <w:pStyle w:val="style62"/>
              <w:spacing w:after="280" w:before="280"/>
              <w:ind w:hanging="0" w:left="0" w:right="27"/>
              <w:contextualSpacing w:val="false"/>
              <w:jc w:val="right"/>
              <w:rPr>
                <w:rFonts w:ascii="Arial" w:cs="Arial" w:hAnsi="Arial"/>
                <w:b/>
                <w:bCs/>
                <w:sz w:val="15"/>
                <w:szCs w:val="15"/>
              </w:rPr>
            </w:pPr>
            <w:r>
              <w:rPr>
                <w:rFonts w:ascii="Arial" w:cs="Arial" w:hAnsi="Arial"/>
                <w:b/>
                <w:bCs/>
                <w:sz w:val="15"/>
                <w:szCs w:val="15"/>
              </w:rPr>
              <w:t>Basis</w:t>
            </w:r>
          </w:p>
        </w:tc>
        <w:tc>
          <w:tcPr>
            <w:tcW w:type="dxa" w:w="1107"/>
            <w:tcBorders>
              <w:top w:val="nil"/>
              <w:left w:val="nil"/>
              <w:bottom w:val="nil"/>
              <w:right w:val="nil"/>
            </w:tcBorders>
            <w:shd w:fill="auto" w:val="clear"/>
            <w:tcMar>
              <w:left w:type="dxa" w:w="144"/>
            </w:tcMar>
            <w:vAlign w:val="bottom"/>
          </w:tcPr>
          <w:p>
            <w:pPr>
              <w:pStyle w:val="style62"/>
              <w:spacing w:after="280" w:before="280"/>
              <w:ind w:hanging="0" w:left="0" w:right="27"/>
              <w:contextualSpacing w:val="false"/>
              <w:jc w:val="right"/>
              <w:rPr>
                <w:rFonts w:ascii="Arial" w:cs="Arial" w:hAnsi="Arial"/>
                <w:b/>
                <w:bCs/>
                <w:sz w:val="15"/>
                <w:szCs w:val="15"/>
              </w:rPr>
            </w:pPr>
            <w:r>
              <w:rPr>
                <w:rFonts w:ascii="Arial" w:cs="Arial" w:hAnsi="Arial"/>
                <w:b/>
                <w:bCs/>
                <w:sz w:val="15"/>
                <w:szCs w:val="15"/>
              </w:rPr>
              <w:t>Cash</w:t>
            </w:r>
          </w:p>
          <w:p>
            <w:pPr>
              <w:pStyle w:val="style62"/>
              <w:spacing w:after="280" w:before="280"/>
              <w:ind w:hanging="0" w:left="0" w:right="27"/>
              <w:contextualSpacing w:val="false"/>
              <w:jc w:val="right"/>
              <w:rPr>
                <w:rFonts w:ascii="Arial" w:cs="Arial" w:hAnsi="Arial"/>
                <w:b/>
                <w:bCs/>
                <w:sz w:val="15"/>
                <w:szCs w:val="15"/>
              </w:rPr>
            </w:pPr>
            <w:r>
              <w:rPr>
                <w:rFonts w:ascii="Arial" w:cs="Arial" w:hAnsi="Arial"/>
                <w:b/>
                <w:bCs/>
                <w:sz w:val="15"/>
                <w:szCs w:val="15"/>
              </w:rPr>
              <w:t>and Cash</w:t>
            </w:r>
          </w:p>
          <w:p>
            <w:pPr>
              <w:pStyle w:val="style62"/>
              <w:spacing w:after="280" w:before="280"/>
              <w:ind w:hanging="0" w:left="0" w:right="27"/>
              <w:contextualSpacing w:val="false"/>
              <w:jc w:val="right"/>
              <w:rPr>
                <w:rFonts w:ascii="Arial" w:cs="Arial" w:hAnsi="Arial"/>
                <w:b/>
                <w:bCs/>
                <w:sz w:val="15"/>
                <w:szCs w:val="15"/>
              </w:rPr>
            </w:pPr>
            <w:r>
              <w:rPr>
                <w:rFonts w:ascii="Arial" w:cs="Arial" w:hAnsi="Arial"/>
                <w:b/>
                <w:bCs/>
                <w:sz w:val="15"/>
                <w:szCs w:val="15"/>
              </w:rPr>
              <w:t>Equivalents</w:t>
            </w:r>
          </w:p>
        </w:tc>
        <w:tc>
          <w:tcPr>
            <w:tcW w:type="dxa" w:w="1233"/>
            <w:tcBorders>
              <w:top w:val="nil"/>
              <w:left w:val="nil"/>
              <w:bottom w:val="nil"/>
              <w:right w:val="nil"/>
            </w:tcBorders>
            <w:shd w:fill="auto" w:val="clear"/>
            <w:tcMar>
              <w:left w:type="dxa" w:w="144"/>
            </w:tcMar>
            <w:vAlign w:val="bottom"/>
          </w:tcPr>
          <w:p>
            <w:pPr>
              <w:pStyle w:val="style62"/>
              <w:spacing w:after="280" w:before="280"/>
              <w:ind w:hanging="0" w:left="0" w:right="27"/>
              <w:contextualSpacing w:val="false"/>
              <w:jc w:val="right"/>
              <w:rPr>
                <w:rFonts w:ascii="Arial" w:cs="Arial" w:hAnsi="Arial"/>
                <w:b/>
                <w:bCs/>
                <w:sz w:val="15"/>
                <w:szCs w:val="15"/>
              </w:rPr>
            </w:pPr>
            <w:r>
              <w:rPr>
                <w:rFonts w:ascii="Arial" w:cs="Arial" w:hAnsi="Arial"/>
                <w:b/>
                <w:bCs/>
                <w:sz w:val="15"/>
                <w:szCs w:val="15"/>
              </w:rPr>
              <w:t>Short-term</w:t>
            </w:r>
          </w:p>
          <w:p>
            <w:pPr>
              <w:pStyle w:val="style62"/>
              <w:spacing w:after="280" w:before="280"/>
              <w:ind w:hanging="0" w:left="0" w:right="27"/>
              <w:contextualSpacing w:val="false"/>
              <w:jc w:val="right"/>
              <w:rPr>
                <w:rFonts w:ascii="Arial" w:cs="Arial" w:hAnsi="Arial"/>
                <w:b/>
                <w:bCs/>
                <w:sz w:val="15"/>
                <w:szCs w:val="15"/>
              </w:rPr>
            </w:pPr>
            <w:r>
              <w:rPr>
                <w:rFonts w:ascii="Arial" w:cs="Arial" w:hAnsi="Arial"/>
                <w:b/>
                <w:bCs/>
                <w:sz w:val="15"/>
                <w:szCs w:val="15"/>
              </w:rPr>
              <w:t>Investments</w:t>
            </w:r>
          </w:p>
        </w:tc>
        <w:tc>
          <w:tcPr>
            <w:tcW w:type="dxa" w:w="1155"/>
            <w:tcBorders>
              <w:top w:val="nil"/>
              <w:left w:val="nil"/>
              <w:bottom w:val="nil"/>
              <w:right w:val="nil"/>
            </w:tcBorders>
            <w:shd w:fill="auto" w:val="clear"/>
            <w:tcMar>
              <w:left w:type="dxa" w:w="144"/>
            </w:tcMar>
            <w:vAlign w:val="bottom"/>
          </w:tcPr>
          <w:p>
            <w:pPr>
              <w:pStyle w:val="style62"/>
              <w:spacing w:after="280" w:before="280"/>
              <w:ind w:hanging="0" w:left="0" w:right="14"/>
              <w:contextualSpacing w:val="false"/>
              <w:jc w:val="right"/>
              <w:rPr>
                <w:rFonts w:ascii="Arial" w:cs="Arial" w:hAnsi="Arial"/>
                <w:b/>
                <w:bCs/>
                <w:sz w:val="15"/>
                <w:szCs w:val="15"/>
              </w:rPr>
            </w:pPr>
            <w:r>
              <w:rPr>
                <w:rFonts w:ascii="Arial" w:cs="Arial" w:hAnsi="Arial"/>
                <w:b/>
                <w:bCs/>
                <w:sz w:val="15"/>
                <w:szCs w:val="15"/>
              </w:rPr>
              <w:t>Equity</w:t>
            </w:r>
          </w:p>
          <w:p>
            <w:pPr>
              <w:pStyle w:val="style62"/>
              <w:spacing w:after="280" w:before="280"/>
              <w:ind w:hanging="0" w:left="0" w:right="14"/>
              <w:contextualSpacing w:val="false"/>
              <w:jc w:val="right"/>
              <w:rPr>
                <w:rFonts w:ascii="Arial" w:cs="Arial" w:hAnsi="Arial"/>
                <w:b/>
                <w:bCs/>
                <w:sz w:val="15"/>
                <w:szCs w:val="15"/>
              </w:rPr>
            </w:pPr>
            <w:r>
              <w:rPr>
                <w:rFonts w:ascii="Arial" w:cs="Arial" w:hAnsi="Arial"/>
                <w:b/>
                <w:bCs/>
                <w:sz w:val="15"/>
                <w:szCs w:val="15"/>
              </w:rPr>
              <w:t>and Other</w:t>
            </w:r>
          </w:p>
          <w:p>
            <w:pPr>
              <w:pStyle w:val="style62"/>
              <w:spacing w:after="280" w:before="280"/>
              <w:ind w:hanging="0" w:left="0" w:right="14"/>
              <w:contextualSpacing w:val="false"/>
              <w:jc w:val="right"/>
              <w:rPr>
                <w:rFonts w:ascii="Arial" w:cs="Arial" w:hAnsi="Arial"/>
                <w:b/>
                <w:bCs/>
                <w:sz w:val="15"/>
                <w:szCs w:val="15"/>
              </w:rPr>
            </w:pPr>
            <w:r>
              <w:rPr>
                <w:rFonts w:ascii="Arial" w:cs="Arial" w:hAnsi="Arial"/>
                <w:b/>
                <w:bCs/>
                <w:sz w:val="15"/>
                <w:szCs w:val="15"/>
              </w:rPr>
              <w:t>Investments</w:t>
            </w:r>
          </w:p>
        </w:tc>
      </w:tr>
      <w:tr>
        <w:trPr>
          <w:cantSplit w:val="false"/>
        </w:trPr>
        <w:tc>
          <w:tcPr>
            <w:tcW w:type="dxa" w:w="10799"/>
            <w:gridSpan w:val="8"/>
            <w:tcBorders>
              <w:top w:val="nil"/>
              <w:left w:val="nil"/>
              <w:bottom w:val="nil"/>
              <w:right w:val="nil"/>
            </w:tcBorders>
            <w:shd w:fill="auto" w:val="clear"/>
            <w:tcMar>
              <w:left w:type="dxa" w:w="144"/>
            </w:tcMar>
            <w:vAlign w:val="bottom"/>
          </w:tcPr>
          <w:p>
            <w:pPr>
              <w:pStyle w:val="style59"/>
              <w:spacing w:after="0" w:before="20"/>
              <w:ind w:hanging="0" w:left="-144" w:right="0"/>
              <w:contextualSpacing w:val="false"/>
              <w:rPr/>
            </w:pPr>
            <w:r>
              <w:rPr/>
              <w:t> </w:t>
            </w:r>
          </w:p>
        </w:tc>
      </w:tr>
      <w:tr>
        <w:trPr>
          <w:trHeight w:hRule="atLeast" w:val="75"/>
          <w:cantSplit w:val="false"/>
        </w:trPr>
        <w:tc>
          <w:tcPr>
            <w:tcW w:type="dxa" w:w="299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rPr>
                <w:sz w:val="8"/>
                <w:szCs w:val="24"/>
              </w:rPr>
            </w:pPr>
            <w:r>
              <w:rPr>
                <w:sz w:val="8"/>
                <w:szCs w:val="24"/>
              </w:rPr>
            </w:r>
          </w:p>
        </w:tc>
        <w:tc>
          <w:tcPr>
            <w:tcW w:type="dxa" w:w="1043"/>
            <w:tcBorders>
              <w:top w:val="nil"/>
              <w:left w:val="nil"/>
              <w:bottom w:val="nil"/>
              <w:right w:val="nil"/>
            </w:tcBorders>
            <w:shd w:fill="auto" w:val="clear"/>
            <w:vAlign w:val="center"/>
          </w:tcPr>
          <w:p>
            <w:pPr>
              <w:pStyle w:val="style0"/>
              <w:rPr>
                <w:sz w:val="8"/>
                <w:szCs w:val="24"/>
              </w:rPr>
            </w:pPr>
            <w:r>
              <w:rPr>
                <w:sz w:val="8"/>
                <w:szCs w:val="24"/>
              </w:rPr>
            </w:r>
          </w:p>
        </w:tc>
        <w:tc>
          <w:tcPr>
            <w:tcW w:type="dxa" w:w="1052"/>
            <w:tcBorders>
              <w:top w:val="nil"/>
              <w:left w:val="nil"/>
              <w:bottom w:val="nil"/>
              <w:right w:val="nil"/>
            </w:tcBorders>
            <w:shd w:fill="auto" w:val="clear"/>
            <w:vAlign w:val="center"/>
          </w:tcPr>
          <w:p>
            <w:pPr>
              <w:pStyle w:val="style0"/>
              <w:rPr>
                <w:sz w:val="8"/>
                <w:szCs w:val="24"/>
              </w:rPr>
            </w:pPr>
            <w:r>
              <w:rPr>
                <w:sz w:val="8"/>
                <w:szCs w:val="24"/>
              </w:rPr>
            </w:r>
          </w:p>
        </w:tc>
        <w:tc>
          <w:tcPr>
            <w:tcW w:type="dxa" w:w="1143"/>
            <w:tcBorders>
              <w:top w:val="nil"/>
              <w:left w:val="nil"/>
              <w:bottom w:val="nil"/>
              <w:right w:val="nil"/>
            </w:tcBorders>
            <w:shd w:fill="auto" w:val="clear"/>
            <w:vAlign w:val="center"/>
          </w:tcPr>
          <w:p>
            <w:pPr>
              <w:pStyle w:val="style0"/>
              <w:rPr>
                <w:sz w:val="8"/>
                <w:szCs w:val="24"/>
              </w:rPr>
            </w:pPr>
            <w:r>
              <w:rPr>
                <w:sz w:val="8"/>
                <w:szCs w:val="24"/>
              </w:rPr>
            </w:r>
          </w:p>
        </w:tc>
        <w:tc>
          <w:tcPr>
            <w:tcW w:type="dxa" w:w="1107"/>
            <w:tcBorders>
              <w:top w:val="nil"/>
              <w:left w:val="nil"/>
              <w:bottom w:val="nil"/>
              <w:right w:val="nil"/>
            </w:tcBorders>
            <w:shd w:fill="auto" w:val="clear"/>
            <w:vAlign w:val="center"/>
          </w:tcPr>
          <w:p>
            <w:pPr>
              <w:pStyle w:val="style0"/>
              <w:rPr>
                <w:sz w:val="8"/>
                <w:szCs w:val="24"/>
              </w:rPr>
            </w:pPr>
            <w:r>
              <w:rPr>
                <w:sz w:val="8"/>
                <w:szCs w:val="24"/>
              </w:rPr>
            </w:r>
          </w:p>
        </w:tc>
        <w:tc>
          <w:tcPr>
            <w:tcW w:type="dxa" w:w="1233"/>
            <w:tcBorders>
              <w:top w:val="nil"/>
              <w:left w:val="nil"/>
              <w:bottom w:val="nil"/>
              <w:right w:val="nil"/>
            </w:tcBorders>
            <w:shd w:fill="auto" w:val="clear"/>
            <w:vAlign w:val="center"/>
          </w:tcPr>
          <w:p>
            <w:pPr>
              <w:pStyle w:val="style0"/>
              <w:rPr>
                <w:sz w:val="8"/>
                <w:szCs w:val="24"/>
              </w:rPr>
            </w:pPr>
            <w:r>
              <w:rPr>
                <w:sz w:val="8"/>
                <w:szCs w:val="24"/>
              </w:rPr>
            </w:r>
          </w:p>
        </w:tc>
        <w:tc>
          <w:tcPr>
            <w:tcW w:type="dxa" w:w="1155"/>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299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 2013</w:t>
            </w:r>
          </w:p>
        </w:tc>
        <w:tc>
          <w:tcPr>
            <w:tcW w:type="dxa" w:w="1070"/>
            <w:tcBorders>
              <w:top w:val="nil"/>
              <w:left w:val="nil"/>
              <w:bottom w:val="nil"/>
              <w:right w:val="nil"/>
            </w:tcBorders>
            <w:shd w:fill="auto" w:val="clear"/>
            <w:tcMar>
              <w:left w:type="dxa" w:w="144"/>
            </w:tcMar>
            <w:vAlign w:val="bottom"/>
          </w:tcPr>
          <w:p>
            <w:pPr>
              <w:pStyle w:val="style65"/>
              <w:rPr/>
            </w:pPr>
            <w:r>
              <w:rPr/>
              <w:t> </w:t>
            </w:r>
          </w:p>
        </w:tc>
        <w:tc>
          <w:tcPr>
            <w:tcW w:type="dxa" w:w="1043"/>
            <w:tcBorders>
              <w:top w:val="nil"/>
              <w:left w:val="nil"/>
              <w:bottom w:val="nil"/>
              <w:right w:val="nil"/>
            </w:tcBorders>
            <w:shd w:fill="auto" w:val="clear"/>
            <w:tcMar>
              <w:left w:type="dxa" w:w="144"/>
            </w:tcMar>
            <w:vAlign w:val="bottom"/>
          </w:tcPr>
          <w:p>
            <w:pPr>
              <w:pStyle w:val="style65"/>
              <w:rPr/>
            </w:pPr>
            <w:r>
              <w:rPr/>
              <w:t> </w:t>
            </w:r>
          </w:p>
        </w:tc>
        <w:tc>
          <w:tcPr>
            <w:tcW w:type="dxa" w:w="1052"/>
            <w:tcBorders>
              <w:top w:val="nil"/>
              <w:left w:val="nil"/>
              <w:bottom w:val="nil"/>
              <w:right w:val="nil"/>
            </w:tcBorders>
            <w:shd w:fill="auto" w:val="clear"/>
            <w:tcMar>
              <w:left w:type="dxa" w:w="144"/>
            </w:tcMar>
            <w:vAlign w:val="bottom"/>
          </w:tcPr>
          <w:p>
            <w:pPr>
              <w:pStyle w:val="style65"/>
              <w:rPr/>
            </w:pPr>
            <w:r>
              <w:rPr/>
              <w:t> </w:t>
            </w:r>
          </w:p>
        </w:tc>
        <w:tc>
          <w:tcPr>
            <w:tcW w:type="dxa" w:w="1143"/>
            <w:tcBorders>
              <w:top w:val="nil"/>
              <w:left w:val="nil"/>
              <w:bottom w:val="nil"/>
              <w:right w:val="nil"/>
            </w:tcBorders>
            <w:shd w:fill="auto" w:val="clear"/>
            <w:tcMar>
              <w:left w:type="dxa" w:w="144"/>
            </w:tcMar>
            <w:vAlign w:val="bottom"/>
          </w:tcPr>
          <w:p>
            <w:pPr>
              <w:pStyle w:val="style65"/>
              <w:rPr/>
            </w:pPr>
            <w:r>
              <w:rPr/>
              <w:t> </w:t>
            </w:r>
          </w:p>
        </w:tc>
        <w:tc>
          <w:tcPr>
            <w:tcW w:type="dxa" w:w="1107"/>
            <w:tcBorders>
              <w:top w:val="nil"/>
              <w:left w:val="nil"/>
              <w:bottom w:val="nil"/>
              <w:right w:val="nil"/>
            </w:tcBorders>
            <w:shd w:fill="auto" w:val="clear"/>
            <w:tcMar>
              <w:left w:type="dxa" w:w="144"/>
            </w:tcMar>
            <w:vAlign w:val="bottom"/>
          </w:tcPr>
          <w:p>
            <w:pPr>
              <w:pStyle w:val="style65"/>
              <w:rPr/>
            </w:pPr>
            <w:r>
              <w:rPr/>
              <w:t> </w:t>
            </w:r>
          </w:p>
        </w:tc>
        <w:tc>
          <w:tcPr>
            <w:tcW w:type="dxa" w:w="1233"/>
            <w:tcBorders>
              <w:top w:val="nil"/>
              <w:left w:val="nil"/>
              <w:bottom w:val="nil"/>
              <w:right w:val="nil"/>
            </w:tcBorders>
            <w:shd w:fill="auto" w:val="clear"/>
            <w:tcMar>
              <w:left w:type="dxa" w:w="144"/>
            </w:tcMar>
            <w:vAlign w:val="bottom"/>
          </w:tcPr>
          <w:p>
            <w:pPr>
              <w:pStyle w:val="style65"/>
              <w:rPr/>
            </w:pPr>
            <w:r>
              <w:rPr/>
              <w:t> </w:t>
            </w:r>
          </w:p>
        </w:tc>
        <w:tc>
          <w:tcPr>
            <w:tcW w:type="dxa" w:w="1155"/>
            <w:tcBorders>
              <w:top w:val="nil"/>
              <w:left w:val="nil"/>
              <w:bottom w:val="nil"/>
              <w:right w:val="nil"/>
            </w:tcBorders>
            <w:shd w:fill="auto" w:val="clear"/>
            <w:tcMar>
              <w:left w:type="dxa" w:w="144"/>
            </w:tcMar>
            <w:vAlign w:val="bottom"/>
          </w:tcPr>
          <w:p>
            <w:pPr>
              <w:pStyle w:val="style65"/>
              <w:rPr/>
            </w:pPr>
            <w:r>
              <w:rPr/>
              <w:t> </w:t>
            </w:r>
          </w:p>
        </w:tc>
      </w:tr>
      <w:tr>
        <w:trPr>
          <w:trHeight w:hRule="atLeast" w:val="75"/>
          <w:cantSplit w:val="false"/>
        </w:trPr>
        <w:tc>
          <w:tcPr>
            <w:tcW w:type="dxa" w:w="299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rPr>
                <w:sz w:val="8"/>
                <w:szCs w:val="24"/>
              </w:rPr>
            </w:pPr>
            <w:r>
              <w:rPr>
                <w:sz w:val="8"/>
                <w:szCs w:val="24"/>
              </w:rPr>
            </w:r>
          </w:p>
        </w:tc>
        <w:tc>
          <w:tcPr>
            <w:tcW w:type="dxa" w:w="1043"/>
            <w:tcBorders>
              <w:top w:val="nil"/>
              <w:left w:val="nil"/>
              <w:bottom w:val="nil"/>
              <w:right w:val="nil"/>
            </w:tcBorders>
            <w:shd w:fill="auto" w:val="clear"/>
            <w:vAlign w:val="center"/>
          </w:tcPr>
          <w:p>
            <w:pPr>
              <w:pStyle w:val="style0"/>
              <w:rPr>
                <w:sz w:val="8"/>
                <w:szCs w:val="24"/>
              </w:rPr>
            </w:pPr>
            <w:r>
              <w:rPr>
                <w:sz w:val="8"/>
                <w:szCs w:val="24"/>
              </w:rPr>
            </w:r>
          </w:p>
        </w:tc>
        <w:tc>
          <w:tcPr>
            <w:tcW w:type="dxa" w:w="1052"/>
            <w:tcBorders>
              <w:top w:val="nil"/>
              <w:left w:val="nil"/>
              <w:bottom w:val="nil"/>
              <w:right w:val="nil"/>
            </w:tcBorders>
            <w:shd w:fill="auto" w:val="clear"/>
            <w:vAlign w:val="center"/>
          </w:tcPr>
          <w:p>
            <w:pPr>
              <w:pStyle w:val="style0"/>
              <w:rPr>
                <w:sz w:val="8"/>
                <w:szCs w:val="24"/>
              </w:rPr>
            </w:pPr>
            <w:r>
              <w:rPr>
                <w:sz w:val="8"/>
                <w:szCs w:val="24"/>
              </w:rPr>
            </w:r>
          </w:p>
        </w:tc>
        <w:tc>
          <w:tcPr>
            <w:tcW w:type="dxa" w:w="1143"/>
            <w:tcBorders>
              <w:top w:val="nil"/>
              <w:left w:val="nil"/>
              <w:bottom w:val="nil"/>
              <w:right w:val="nil"/>
            </w:tcBorders>
            <w:shd w:fill="auto" w:val="clear"/>
            <w:vAlign w:val="center"/>
          </w:tcPr>
          <w:p>
            <w:pPr>
              <w:pStyle w:val="style0"/>
              <w:rPr>
                <w:sz w:val="8"/>
                <w:szCs w:val="24"/>
              </w:rPr>
            </w:pPr>
            <w:r>
              <w:rPr>
                <w:sz w:val="8"/>
                <w:szCs w:val="24"/>
              </w:rPr>
            </w:r>
          </w:p>
        </w:tc>
        <w:tc>
          <w:tcPr>
            <w:tcW w:type="dxa" w:w="1107"/>
            <w:tcBorders>
              <w:top w:val="nil"/>
              <w:left w:val="nil"/>
              <w:bottom w:val="nil"/>
              <w:right w:val="nil"/>
            </w:tcBorders>
            <w:shd w:fill="auto" w:val="clear"/>
            <w:vAlign w:val="center"/>
          </w:tcPr>
          <w:p>
            <w:pPr>
              <w:pStyle w:val="style0"/>
              <w:rPr>
                <w:sz w:val="8"/>
                <w:szCs w:val="24"/>
              </w:rPr>
            </w:pPr>
            <w:r>
              <w:rPr>
                <w:sz w:val="8"/>
                <w:szCs w:val="24"/>
              </w:rPr>
            </w:r>
          </w:p>
        </w:tc>
        <w:tc>
          <w:tcPr>
            <w:tcW w:type="dxa" w:w="1233"/>
            <w:tcBorders>
              <w:top w:val="nil"/>
              <w:left w:val="nil"/>
              <w:bottom w:val="nil"/>
              <w:right w:val="nil"/>
            </w:tcBorders>
            <w:shd w:fill="auto" w:val="clear"/>
            <w:vAlign w:val="center"/>
          </w:tcPr>
          <w:p>
            <w:pPr>
              <w:pStyle w:val="style0"/>
              <w:rPr>
                <w:sz w:val="8"/>
                <w:szCs w:val="24"/>
              </w:rPr>
            </w:pPr>
            <w:r>
              <w:rPr>
                <w:sz w:val="8"/>
                <w:szCs w:val="24"/>
              </w:rPr>
            </w:r>
          </w:p>
        </w:tc>
        <w:tc>
          <w:tcPr>
            <w:tcW w:type="dxa" w:w="1155"/>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299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Cash</w:t>
            </w:r>
          </w:p>
        </w:tc>
        <w:tc>
          <w:tcPr>
            <w:tcW w:type="dxa" w:w="1070"/>
            <w:tcBorders>
              <w:top w:val="nil"/>
              <w:left w:val="nil"/>
              <w:bottom w:val="nil"/>
              <w:right w:val="nil"/>
            </w:tcBorders>
            <w:shd w:fill="auto" w:val="clear"/>
            <w:tcMar>
              <w:left w:type="dxa" w:w="144"/>
            </w:tcMar>
            <w:vAlign w:val="bottom"/>
          </w:tcPr>
          <w:p>
            <w:pPr>
              <w:pStyle w:val="style62"/>
              <w:tabs>
                <w:tab w:leader="none" w:pos="909" w:val="right"/>
                <w:tab w:leader="none" w:pos="1120" w:val="decimal"/>
              </w:tabs>
              <w:spacing w:after="280" w:before="280"/>
              <w:ind w:hanging="0" w:left="99" w:right="43"/>
              <w:contextualSpacing w:val="false"/>
              <w:rPr>
                <w:rFonts w:ascii="Arial" w:cs="Arial" w:hAnsi="Arial"/>
                <w:b/>
                <w:bCs/>
                <w:sz w:val="20"/>
                <w:szCs w:val="20"/>
              </w:rPr>
            </w:pPr>
            <w:r>
              <w:rPr>
                <w:rFonts w:ascii="Arial" w:cs="Arial" w:hAnsi="Arial"/>
                <w:b/>
                <w:bCs/>
                <w:sz w:val="20"/>
                <w:szCs w:val="20"/>
              </w:rPr>
              <w:t>$</w:t>
              <w:tab/>
              <w:t>1,967</w:t>
              <w:tab/>
              <w:t> </w:t>
            </w:r>
          </w:p>
        </w:tc>
        <w:tc>
          <w:tcPr>
            <w:tcW w:type="dxa" w:w="1043"/>
            <w:tcBorders>
              <w:top w:val="nil"/>
              <w:left w:val="nil"/>
              <w:bottom w:val="nil"/>
              <w:right w:val="nil"/>
            </w:tcBorders>
            <w:shd w:fill="auto" w:val="clear"/>
            <w:tcMar>
              <w:left w:type="dxa" w:w="144"/>
            </w:tcMar>
            <w:vAlign w:val="bottom"/>
          </w:tcPr>
          <w:p>
            <w:pPr>
              <w:pStyle w:val="style62"/>
              <w:tabs>
                <w:tab w:leader="none" w:pos="873" w:val="right"/>
                <w:tab w:leader="none" w:pos="108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w:t>
              <w:tab/>
              <w:t>0</w:t>
              <w:tab/>
              <w:t> </w:t>
            </w:r>
          </w:p>
        </w:tc>
        <w:tc>
          <w:tcPr>
            <w:tcW w:type="dxa" w:w="1052"/>
            <w:tcBorders>
              <w:top w:val="nil"/>
              <w:left w:val="nil"/>
              <w:bottom w:val="nil"/>
              <w:right w:val="nil"/>
            </w:tcBorders>
            <w:shd w:fill="auto" w:val="clear"/>
            <w:tcMar>
              <w:left w:type="dxa" w:w="144"/>
            </w:tcMar>
            <w:vAlign w:val="bottom"/>
          </w:tcPr>
          <w:p>
            <w:pPr>
              <w:pStyle w:val="style62"/>
              <w:tabs>
                <w:tab w:leader="none" w:pos="837" w:val="right"/>
                <w:tab w:leader="none" w:pos="882"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w:t>
              <w:tab/>
              <w:t>0</w:t>
              <w:tab/>
            </w:r>
          </w:p>
        </w:tc>
        <w:tc>
          <w:tcPr>
            <w:tcW w:type="dxa" w:w="1143"/>
            <w:tcBorders>
              <w:top w:val="nil"/>
              <w:left w:val="nil"/>
              <w:bottom w:val="nil"/>
              <w:right w:val="nil"/>
            </w:tcBorders>
            <w:shd w:fill="auto" w:val="clear"/>
            <w:tcMar>
              <w:left w:type="dxa" w:w="144"/>
            </w:tcMar>
            <w:vAlign w:val="bottom"/>
          </w:tcPr>
          <w:p>
            <w:pPr>
              <w:pStyle w:val="style62"/>
              <w:tabs>
                <w:tab w:leader="none" w:pos="981" w:val="right"/>
                <w:tab w:leader="none" w:pos="112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w:t>
              <w:tab/>
              <w:t>1,967</w:t>
              <w:tab/>
              <w:t> </w:t>
            </w:r>
          </w:p>
        </w:tc>
        <w:tc>
          <w:tcPr>
            <w:tcW w:type="dxa" w:w="1107"/>
            <w:tcBorders>
              <w:top w:val="nil"/>
              <w:left w:val="nil"/>
              <w:bottom w:val="nil"/>
              <w:right w:val="nil"/>
            </w:tcBorders>
            <w:shd w:fill="auto" w:val="clear"/>
            <w:tcMar>
              <w:left w:type="dxa" w:w="144"/>
            </w:tcMar>
            <w:vAlign w:val="bottom"/>
          </w:tcPr>
          <w:p>
            <w:pPr>
              <w:pStyle w:val="style62"/>
              <w:tabs>
                <w:tab w:leader="none" w:pos="936" w:val="right"/>
                <w:tab w:leader="none" w:pos="114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w:t>
              <w:tab/>
              <w:t>1,967</w:t>
              <w:tab/>
              <w:t> </w:t>
            </w:r>
          </w:p>
        </w:tc>
        <w:tc>
          <w:tcPr>
            <w:tcW w:type="dxa" w:w="1233"/>
            <w:tcBorders>
              <w:top w:val="nil"/>
              <w:left w:val="nil"/>
              <w:bottom w:val="nil"/>
              <w:right w:val="nil"/>
            </w:tcBorders>
            <w:shd w:fill="auto" w:val="clear"/>
            <w:tcMar>
              <w:left w:type="dxa" w:w="144"/>
            </w:tcMar>
            <w:vAlign w:val="bottom"/>
          </w:tcPr>
          <w:p>
            <w:pPr>
              <w:pStyle w:val="style62"/>
              <w:tabs>
                <w:tab w:leader="none" w:pos="1071" w:val="right"/>
                <w:tab w:leader="none" w:pos="118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w:t>
              <w:tab/>
              <w:t>0</w:t>
              <w:tab/>
              <w:t> </w:t>
            </w:r>
          </w:p>
        </w:tc>
        <w:tc>
          <w:tcPr>
            <w:tcW w:type="dxa" w:w="1155"/>
            <w:tcBorders>
              <w:top w:val="nil"/>
              <w:left w:val="nil"/>
              <w:bottom w:val="nil"/>
              <w:right w:val="nil"/>
            </w:tcBorders>
            <w:shd w:fill="auto" w:val="clear"/>
            <w:tcMar>
              <w:left w:type="dxa" w:w="144"/>
            </w:tcMar>
            <w:vAlign w:val="bottom"/>
          </w:tcPr>
          <w:p>
            <w:pPr>
              <w:pStyle w:val="style62"/>
              <w:tabs>
                <w:tab w:leader="none" w:pos="990" w:val="right"/>
                <w:tab w:leader="none" w:pos="1180" w:val="decimal"/>
              </w:tabs>
              <w:spacing w:after="280" w:before="280"/>
              <w:ind w:hanging="0" w:left="144" w:right="0"/>
              <w:contextualSpacing w:val="false"/>
              <w:rPr>
                <w:rFonts w:ascii="Arial" w:cs="Arial" w:hAnsi="Arial"/>
                <w:b/>
                <w:bCs/>
                <w:sz w:val="20"/>
                <w:szCs w:val="20"/>
              </w:rPr>
            </w:pPr>
            <w:r>
              <w:rPr>
                <w:rFonts w:ascii="Arial" w:cs="Arial" w:hAnsi="Arial"/>
                <w:b/>
                <w:bCs/>
                <w:sz w:val="20"/>
                <w:szCs w:val="20"/>
              </w:rPr>
              <w:t>$</w:t>
              <w:tab/>
              <w:t>0</w:t>
              <w:tab/>
              <w:t> </w:t>
            </w:r>
          </w:p>
        </w:tc>
      </w:tr>
      <w:tr>
        <w:trPr>
          <w:cantSplit w:val="false"/>
        </w:trPr>
        <w:tc>
          <w:tcPr>
            <w:tcW w:type="dxa" w:w="299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Mutual funds</w:t>
            </w:r>
          </w:p>
        </w:tc>
        <w:tc>
          <w:tcPr>
            <w:tcW w:type="dxa" w:w="1070"/>
            <w:tcBorders>
              <w:top w:val="nil"/>
              <w:left w:val="nil"/>
              <w:bottom w:val="nil"/>
              <w:right w:val="nil"/>
            </w:tcBorders>
            <w:shd w:fill="auto" w:val="clear"/>
            <w:tcMar>
              <w:left w:type="dxa" w:w="144"/>
            </w:tcMar>
            <w:vAlign w:val="bottom"/>
          </w:tcPr>
          <w:p>
            <w:pPr>
              <w:pStyle w:val="style62"/>
              <w:tabs>
                <w:tab w:leader="none" w:pos="909" w:val="right"/>
                <w:tab w:leader="none" w:pos="1120" w:val="decimal"/>
              </w:tabs>
              <w:spacing w:after="280" w:before="280"/>
              <w:ind w:hanging="0" w:left="99" w:right="43"/>
              <w:contextualSpacing w:val="false"/>
              <w:rPr>
                <w:rFonts w:ascii="Arial" w:cs="Arial" w:hAnsi="Arial"/>
                <w:b/>
                <w:bCs/>
                <w:sz w:val="20"/>
                <w:szCs w:val="20"/>
              </w:rPr>
            </w:pPr>
            <w:r>
              <w:rPr>
                <w:rFonts w:ascii="Arial" w:cs="Arial" w:hAnsi="Arial"/>
                <w:b/>
                <w:bCs/>
                <w:sz w:val="20"/>
                <w:szCs w:val="20"/>
              </w:rPr>
              <w:tab/>
              <w:t>868</w:t>
              <w:tab/>
            </w:r>
          </w:p>
        </w:tc>
        <w:tc>
          <w:tcPr>
            <w:tcW w:type="dxa" w:w="1043"/>
            <w:tcBorders>
              <w:top w:val="nil"/>
              <w:left w:val="nil"/>
              <w:bottom w:val="nil"/>
              <w:right w:val="nil"/>
            </w:tcBorders>
            <w:shd w:fill="auto" w:val="clear"/>
            <w:tcMar>
              <w:left w:type="dxa" w:w="144"/>
            </w:tcMar>
            <w:vAlign w:val="bottom"/>
          </w:tcPr>
          <w:p>
            <w:pPr>
              <w:pStyle w:val="style62"/>
              <w:tabs>
                <w:tab w:leader="none" w:pos="873" w:val="right"/>
                <w:tab w:leader="none" w:pos="108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0</w:t>
              <w:tab/>
            </w:r>
          </w:p>
        </w:tc>
        <w:tc>
          <w:tcPr>
            <w:tcW w:type="dxa" w:w="1052"/>
            <w:tcBorders>
              <w:top w:val="nil"/>
              <w:left w:val="nil"/>
              <w:bottom w:val="nil"/>
              <w:right w:val="nil"/>
            </w:tcBorders>
            <w:shd w:fill="auto" w:val="clear"/>
            <w:tcMar>
              <w:left w:type="dxa" w:w="144"/>
            </w:tcMar>
            <w:vAlign w:val="bottom"/>
          </w:tcPr>
          <w:p>
            <w:pPr>
              <w:pStyle w:val="style62"/>
              <w:tabs>
                <w:tab w:leader="none" w:pos="837" w:val="right"/>
                <w:tab w:leader="none" w:pos="882"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0</w:t>
              <w:tab/>
            </w:r>
          </w:p>
        </w:tc>
        <w:tc>
          <w:tcPr>
            <w:tcW w:type="dxa" w:w="1143"/>
            <w:tcBorders>
              <w:top w:val="nil"/>
              <w:left w:val="nil"/>
              <w:bottom w:val="nil"/>
              <w:right w:val="nil"/>
            </w:tcBorders>
            <w:shd w:fill="auto" w:val="clear"/>
            <w:tcMar>
              <w:left w:type="dxa" w:w="144"/>
            </w:tcMar>
            <w:vAlign w:val="bottom"/>
          </w:tcPr>
          <w:p>
            <w:pPr>
              <w:pStyle w:val="style62"/>
              <w:tabs>
                <w:tab w:leader="none" w:pos="981" w:val="right"/>
                <w:tab w:leader="none" w:pos="112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868</w:t>
              <w:tab/>
            </w:r>
          </w:p>
        </w:tc>
        <w:tc>
          <w:tcPr>
            <w:tcW w:type="dxa" w:w="1107"/>
            <w:tcBorders>
              <w:top w:val="nil"/>
              <w:left w:val="nil"/>
              <w:bottom w:val="nil"/>
              <w:right w:val="nil"/>
            </w:tcBorders>
            <w:shd w:fill="auto" w:val="clear"/>
            <w:tcMar>
              <w:left w:type="dxa" w:w="144"/>
            </w:tcMar>
            <w:vAlign w:val="bottom"/>
          </w:tcPr>
          <w:p>
            <w:pPr>
              <w:pStyle w:val="style62"/>
              <w:tabs>
                <w:tab w:leader="none" w:pos="936" w:val="right"/>
                <w:tab w:leader="none" w:pos="114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868</w:t>
              <w:tab/>
            </w:r>
          </w:p>
        </w:tc>
        <w:tc>
          <w:tcPr>
            <w:tcW w:type="dxa" w:w="1233"/>
            <w:tcBorders>
              <w:top w:val="nil"/>
              <w:left w:val="nil"/>
              <w:bottom w:val="nil"/>
              <w:right w:val="nil"/>
            </w:tcBorders>
            <w:shd w:fill="auto" w:val="clear"/>
            <w:tcMar>
              <w:left w:type="dxa" w:w="144"/>
            </w:tcMar>
            <w:vAlign w:val="bottom"/>
          </w:tcPr>
          <w:p>
            <w:pPr>
              <w:pStyle w:val="style62"/>
              <w:tabs>
                <w:tab w:leader="none" w:pos="1071" w:val="right"/>
                <w:tab w:leader="none" w:pos="118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0</w:t>
              <w:tab/>
            </w:r>
          </w:p>
        </w:tc>
        <w:tc>
          <w:tcPr>
            <w:tcW w:type="dxa" w:w="1155"/>
            <w:tcBorders>
              <w:top w:val="nil"/>
              <w:left w:val="nil"/>
              <w:bottom w:val="nil"/>
              <w:right w:val="nil"/>
            </w:tcBorders>
            <w:shd w:fill="auto" w:val="clear"/>
            <w:tcMar>
              <w:left w:type="dxa" w:w="144"/>
            </w:tcMar>
            <w:vAlign w:val="bottom"/>
          </w:tcPr>
          <w:p>
            <w:pPr>
              <w:pStyle w:val="style62"/>
              <w:tabs>
                <w:tab w:leader="none" w:pos="990" w:val="right"/>
                <w:tab w:leader="none" w:pos="1180" w:val="decimal"/>
              </w:tabs>
              <w:spacing w:after="280" w:before="280"/>
              <w:ind w:hanging="0" w:left="144" w:right="0"/>
              <w:contextualSpacing w:val="false"/>
              <w:rPr>
                <w:rFonts w:ascii="Arial" w:cs="Arial" w:hAnsi="Arial"/>
                <w:b/>
                <w:bCs/>
                <w:sz w:val="20"/>
                <w:szCs w:val="20"/>
              </w:rPr>
            </w:pPr>
            <w:r>
              <w:rPr>
                <w:rFonts w:ascii="Arial" w:cs="Arial" w:hAnsi="Arial"/>
                <w:b/>
                <w:bCs/>
                <w:sz w:val="20"/>
                <w:szCs w:val="20"/>
              </w:rPr>
              <w:tab/>
              <w:t>0</w:t>
              <w:tab/>
            </w:r>
          </w:p>
        </w:tc>
      </w:tr>
      <w:tr>
        <w:trPr>
          <w:cantSplit w:val="false"/>
        </w:trPr>
        <w:tc>
          <w:tcPr>
            <w:tcW w:type="dxa" w:w="299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Commercial paper</w:t>
            </w:r>
          </w:p>
        </w:tc>
        <w:tc>
          <w:tcPr>
            <w:tcW w:type="dxa" w:w="1070"/>
            <w:tcBorders>
              <w:top w:val="nil"/>
              <w:left w:val="nil"/>
              <w:bottom w:val="nil"/>
              <w:right w:val="nil"/>
            </w:tcBorders>
            <w:shd w:fill="auto" w:val="clear"/>
            <w:tcMar>
              <w:left w:type="dxa" w:w="144"/>
            </w:tcMar>
            <w:vAlign w:val="bottom"/>
          </w:tcPr>
          <w:p>
            <w:pPr>
              <w:pStyle w:val="style62"/>
              <w:tabs>
                <w:tab w:leader="none" w:pos="909" w:val="right"/>
                <w:tab w:leader="none" w:pos="1120" w:val="decimal"/>
              </w:tabs>
              <w:spacing w:after="280" w:before="280"/>
              <w:ind w:hanging="0" w:left="99" w:right="43"/>
              <w:contextualSpacing w:val="false"/>
              <w:rPr>
                <w:rFonts w:ascii="Arial" w:cs="Arial" w:hAnsi="Arial"/>
                <w:b/>
                <w:bCs/>
                <w:sz w:val="20"/>
                <w:szCs w:val="20"/>
              </w:rPr>
            </w:pPr>
            <w:r>
              <w:rPr>
                <w:rFonts w:ascii="Arial" w:cs="Arial" w:hAnsi="Arial"/>
                <w:b/>
                <w:bCs/>
                <w:sz w:val="20"/>
                <w:szCs w:val="20"/>
              </w:rPr>
              <w:tab/>
              <w:t>603</w:t>
              <w:tab/>
            </w:r>
          </w:p>
        </w:tc>
        <w:tc>
          <w:tcPr>
            <w:tcW w:type="dxa" w:w="1043"/>
            <w:tcBorders>
              <w:top w:val="nil"/>
              <w:left w:val="nil"/>
              <w:bottom w:val="nil"/>
              <w:right w:val="nil"/>
            </w:tcBorders>
            <w:shd w:fill="auto" w:val="clear"/>
            <w:tcMar>
              <w:left w:type="dxa" w:w="144"/>
            </w:tcMar>
            <w:vAlign w:val="bottom"/>
          </w:tcPr>
          <w:p>
            <w:pPr>
              <w:pStyle w:val="style62"/>
              <w:tabs>
                <w:tab w:leader="none" w:pos="873" w:val="right"/>
                <w:tab w:leader="none" w:pos="108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0</w:t>
              <w:tab/>
            </w:r>
          </w:p>
        </w:tc>
        <w:tc>
          <w:tcPr>
            <w:tcW w:type="dxa" w:w="1052"/>
            <w:tcBorders>
              <w:top w:val="nil"/>
              <w:left w:val="nil"/>
              <w:bottom w:val="nil"/>
              <w:right w:val="nil"/>
            </w:tcBorders>
            <w:shd w:fill="auto" w:val="clear"/>
            <w:tcMar>
              <w:left w:type="dxa" w:w="144"/>
            </w:tcMar>
            <w:vAlign w:val="bottom"/>
          </w:tcPr>
          <w:p>
            <w:pPr>
              <w:pStyle w:val="style62"/>
              <w:tabs>
                <w:tab w:leader="none" w:pos="837" w:val="right"/>
                <w:tab w:leader="none" w:pos="882"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0</w:t>
              <w:tab/>
            </w:r>
          </w:p>
        </w:tc>
        <w:tc>
          <w:tcPr>
            <w:tcW w:type="dxa" w:w="1143"/>
            <w:tcBorders>
              <w:top w:val="nil"/>
              <w:left w:val="nil"/>
              <w:bottom w:val="nil"/>
              <w:right w:val="nil"/>
            </w:tcBorders>
            <w:shd w:fill="auto" w:val="clear"/>
            <w:tcMar>
              <w:left w:type="dxa" w:w="144"/>
            </w:tcMar>
            <w:vAlign w:val="bottom"/>
          </w:tcPr>
          <w:p>
            <w:pPr>
              <w:pStyle w:val="style62"/>
              <w:tabs>
                <w:tab w:leader="none" w:pos="981" w:val="right"/>
                <w:tab w:leader="none" w:pos="112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603</w:t>
              <w:tab/>
            </w:r>
          </w:p>
        </w:tc>
        <w:tc>
          <w:tcPr>
            <w:tcW w:type="dxa" w:w="1107"/>
            <w:tcBorders>
              <w:top w:val="nil"/>
              <w:left w:val="nil"/>
              <w:bottom w:val="nil"/>
              <w:right w:val="nil"/>
            </w:tcBorders>
            <w:shd w:fill="auto" w:val="clear"/>
            <w:tcMar>
              <w:left w:type="dxa" w:w="144"/>
            </w:tcMar>
            <w:vAlign w:val="bottom"/>
          </w:tcPr>
          <w:p>
            <w:pPr>
              <w:pStyle w:val="style62"/>
              <w:tabs>
                <w:tab w:leader="none" w:pos="936" w:val="right"/>
                <w:tab w:leader="none" w:pos="114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214</w:t>
              <w:tab/>
            </w:r>
          </w:p>
        </w:tc>
        <w:tc>
          <w:tcPr>
            <w:tcW w:type="dxa" w:w="1233"/>
            <w:tcBorders>
              <w:top w:val="nil"/>
              <w:left w:val="nil"/>
              <w:bottom w:val="nil"/>
              <w:right w:val="nil"/>
            </w:tcBorders>
            <w:shd w:fill="auto" w:val="clear"/>
            <w:tcMar>
              <w:left w:type="dxa" w:w="144"/>
            </w:tcMar>
            <w:vAlign w:val="bottom"/>
          </w:tcPr>
          <w:p>
            <w:pPr>
              <w:pStyle w:val="style62"/>
              <w:tabs>
                <w:tab w:leader="none" w:pos="1071" w:val="right"/>
                <w:tab w:leader="none" w:pos="118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389</w:t>
              <w:tab/>
            </w:r>
          </w:p>
        </w:tc>
        <w:tc>
          <w:tcPr>
            <w:tcW w:type="dxa" w:w="1155"/>
            <w:tcBorders>
              <w:top w:val="nil"/>
              <w:left w:val="nil"/>
              <w:bottom w:val="nil"/>
              <w:right w:val="nil"/>
            </w:tcBorders>
            <w:shd w:fill="auto" w:val="clear"/>
            <w:tcMar>
              <w:left w:type="dxa" w:w="144"/>
            </w:tcMar>
            <w:vAlign w:val="bottom"/>
          </w:tcPr>
          <w:p>
            <w:pPr>
              <w:pStyle w:val="style62"/>
              <w:tabs>
                <w:tab w:leader="none" w:pos="990" w:val="right"/>
                <w:tab w:leader="none" w:pos="1180" w:val="decimal"/>
              </w:tabs>
              <w:spacing w:after="280" w:before="280"/>
              <w:ind w:hanging="0" w:left="144" w:right="0"/>
              <w:contextualSpacing w:val="false"/>
              <w:rPr>
                <w:rFonts w:ascii="Arial" w:cs="Arial" w:hAnsi="Arial"/>
                <w:b/>
                <w:bCs/>
                <w:sz w:val="20"/>
                <w:szCs w:val="20"/>
              </w:rPr>
            </w:pPr>
            <w:r>
              <w:rPr>
                <w:rFonts w:ascii="Arial" w:cs="Arial" w:hAnsi="Arial"/>
                <w:b/>
                <w:bCs/>
                <w:sz w:val="20"/>
                <w:szCs w:val="20"/>
              </w:rPr>
              <w:tab/>
              <w:t>0</w:t>
              <w:tab/>
            </w:r>
          </w:p>
        </w:tc>
      </w:tr>
      <w:tr>
        <w:trPr>
          <w:cantSplit w:val="false"/>
        </w:trPr>
        <w:tc>
          <w:tcPr>
            <w:tcW w:type="dxa" w:w="299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Certificates of deposit</w:t>
            </w:r>
          </w:p>
        </w:tc>
        <w:tc>
          <w:tcPr>
            <w:tcW w:type="dxa" w:w="1070"/>
            <w:tcBorders>
              <w:top w:val="nil"/>
              <w:left w:val="nil"/>
              <w:bottom w:val="nil"/>
              <w:right w:val="nil"/>
            </w:tcBorders>
            <w:shd w:fill="auto" w:val="clear"/>
            <w:tcMar>
              <w:left w:type="dxa" w:w="144"/>
            </w:tcMar>
            <w:vAlign w:val="bottom"/>
          </w:tcPr>
          <w:p>
            <w:pPr>
              <w:pStyle w:val="style62"/>
              <w:tabs>
                <w:tab w:leader="none" w:pos="909" w:val="right"/>
                <w:tab w:leader="none" w:pos="1120" w:val="decimal"/>
              </w:tabs>
              <w:spacing w:after="280" w:before="280"/>
              <w:ind w:hanging="0" w:left="99" w:right="43"/>
              <w:contextualSpacing w:val="false"/>
              <w:rPr>
                <w:rFonts w:ascii="Arial" w:cs="Arial" w:hAnsi="Arial"/>
                <w:b/>
                <w:bCs/>
                <w:sz w:val="20"/>
                <w:szCs w:val="20"/>
              </w:rPr>
            </w:pPr>
            <w:r>
              <w:rPr>
                <w:rFonts w:ascii="Arial" w:cs="Arial" w:hAnsi="Arial"/>
                <w:b/>
                <w:bCs/>
                <w:sz w:val="20"/>
                <w:szCs w:val="20"/>
              </w:rPr>
              <w:tab/>
              <w:t>994</w:t>
              <w:tab/>
            </w:r>
          </w:p>
        </w:tc>
        <w:tc>
          <w:tcPr>
            <w:tcW w:type="dxa" w:w="1043"/>
            <w:tcBorders>
              <w:top w:val="nil"/>
              <w:left w:val="nil"/>
              <w:bottom w:val="nil"/>
              <w:right w:val="nil"/>
            </w:tcBorders>
            <w:shd w:fill="auto" w:val="clear"/>
            <w:tcMar>
              <w:left w:type="dxa" w:w="144"/>
            </w:tcMar>
            <w:vAlign w:val="bottom"/>
          </w:tcPr>
          <w:p>
            <w:pPr>
              <w:pStyle w:val="style62"/>
              <w:tabs>
                <w:tab w:leader="none" w:pos="873" w:val="right"/>
                <w:tab w:leader="none" w:pos="108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0</w:t>
              <w:tab/>
            </w:r>
          </w:p>
        </w:tc>
        <w:tc>
          <w:tcPr>
            <w:tcW w:type="dxa" w:w="1052"/>
            <w:tcBorders>
              <w:top w:val="nil"/>
              <w:left w:val="nil"/>
              <w:bottom w:val="nil"/>
              <w:right w:val="nil"/>
            </w:tcBorders>
            <w:shd w:fill="auto" w:val="clear"/>
            <w:tcMar>
              <w:left w:type="dxa" w:w="144"/>
            </w:tcMar>
            <w:vAlign w:val="bottom"/>
          </w:tcPr>
          <w:p>
            <w:pPr>
              <w:pStyle w:val="style62"/>
              <w:tabs>
                <w:tab w:leader="none" w:pos="837" w:val="right"/>
                <w:tab w:leader="none" w:pos="882"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0</w:t>
              <w:tab/>
            </w:r>
          </w:p>
        </w:tc>
        <w:tc>
          <w:tcPr>
            <w:tcW w:type="dxa" w:w="1143"/>
            <w:tcBorders>
              <w:top w:val="nil"/>
              <w:left w:val="nil"/>
              <w:bottom w:val="nil"/>
              <w:right w:val="nil"/>
            </w:tcBorders>
            <w:shd w:fill="auto" w:val="clear"/>
            <w:tcMar>
              <w:left w:type="dxa" w:w="144"/>
            </w:tcMar>
            <w:vAlign w:val="bottom"/>
          </w:tcPr>
          <w:p>
            <w:pPr>
              <w:pStyle w:val="style62"/>
              <w:tabs>
                <w:tab w:leader="none" w:pos="981" w:val="right"/>
                <w:tab w:leader="none" w:pos="112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994</w:t>
              <w:tab/>
            </w:r>
          </w:p>
        </w:tc>
        <w:tc>
          <w:tcPr>
            <w:tcW w:type="dxa" w:w="1107"/>
            <w:tcBorders>
              <w:top w:val="nil"/>
              <w:left w:val="nil"/>
              <w:bottom w:val="nil"/>
              <w:right w:val="nil"/>
            </w:tcBorders>
            <w:shd w:fill="auto" w:val="clear"/>
            <w:tcMar>
              <w:left w:type="dxa" w:w="144"/>
            </w:tcMar>
            <w:vAlign w:val="bottom"/>
          </w:tcPr>
          <w:p>
            <w:pPr>
              <w:pStyle w:val="style62"/>
              <w:tabs>
                <w:tab w:leader="none" w:pos="936" w:val="right"/>
                <w:tab w:leader="none" w:pos="114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609</w:t>
              <w:tab/>
            </w:r>
          </w:p>
        </w:tc>
        <w:tc>
          <w:tcPr>
            <w:tcW w:type="dxa" w:w="1233"/>
            <w:tcBorders>
              <w:top w:val="nil"/>
              <w:left w:val="nil"/>
              <w:bottom w:val="nil"/>
              <w:right w:val="nil"/>
            </w:tcBorders>
            <w:shd w:fill="auto" w:val="clear"/>
            <w:tcMar>
              <w:left w:type="dxa" w:w="144"/>
            </w:tcMar>
            <w:vAlign w:val="bottom"/>
          </w:tcPr>
          <w:p>
            <w:pPr>
              <w:pStyle w:val="style62"/>
              <w:tabs>
                <w:tab w:leader="none" w:pos="1071" w:val="right"/>
                <w:tab w:leader="none" w:pos="118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385</w:t>
              <w:tab/>
            </w:r>
          </w:p>
        </w:tc>
        <w:tc>
          <w:tcPr>
            <w:tcW w:type="dxa" w:w="1155"/>
            <w:tcBorders>
              <w:top w:val="nil"/>
              <w:left w:val="nil"/>
              <w:bottom w:val="nil"/>
              <w:right w:val="nil"/>
            </w:tcBorders>
            <w:shd w:fill="auto" w:val="clear"/>
            <w:tcMar>
              <w:left w:type="dxa" w:w="144"/>
            </w:tcMar>
            <w:vAlign w:val="bottom"/>
          </w:tcPr>
          <w:p>
            <w:pPr>
              <w:pStyle w:val="style62"/>
              <w:tabs>
                <w:tab w:leader="none" w:pos="990" w:val="right"/>
                <w:tab w:leader="none" w:pos="1180" w:val="decimal"/>
              </w:tabs>
              <w:spacing w:after="280" w:before="280"/>
              <w:ind w:hanging="0" w:left="144" w:right="0"/>
              <w:contextualSpacing w:val="false"/>
              <w:rPr>
                <w:rFonts w:ascii="Arial" w:cs="Arial" w:hAnsi="Arial"/>
                <w:b/>
                <w:bCs/>
                <w:sz w:val="20"/>
                <w:szCs w:val="20"/>
              </w:rPr>
            </w:pPr>
            <w:r>
              <w:rPr>
                <w:rFonts w:ascii="Arial" w:cs="Arial" w:hAnsi="Arial"/>
                <w:b/>
                <w:bCs/>
                <w:sz w:val="20"/>
                <w:szCs w:val="20"/>
              </w:rPr>
              <w:tab/>
              <w:t>0</w:t>
              <w:tab/>
            </w:r>
          </w:p>
        </w:tc>
      </w:tr>
      <w:tr>
        <w:trPr>
          <w:cantSplit w:val="false"/>
        </w:trPr>
        <w:tc>
          <w:tcPr>
            <w:tcW w:type="dxa" w:w="299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U.S. government and agency securities</w:t>
            </w:r>
          </w:p>
        </w:tc>
        <w:tc>
          <w:tcPr>
            <w:tcW w:type="dxa" w:w="1070"/>
            <w:tcBorders>
              <w:top w:val="nil"/>
              <w:left w:val="nil"/>
              <w:bottom w:val="nil"/>
              <w:right w:val="nil"/>
            </w:tcBorders>
            <w:shd w:fill="auto" w:val="clear"/>
            <w:tcMar>
              <w:left w:type="dxa" w:w="144"/>
            </w:tcMar>
            <w:vAlign w:val="bottom"/>
          </w:tcPr>
          <w:p>
            <w:pPr>
              <w:pStyle w:val="style62"/>
              <w:tabs>
                <w:tab w:leader="none" w:pos="909" w:val="right"/>
                <w:tab w:leader="none" w:pos="1120" w:val="decimal"/>
              </w:tabs>
              <w:spacing w:after="280" w:before="280"/>
              <w:ind w:hanging="0" w:left="99" w:right="43"/>
              <w:contextualSpacing w:val="false"/>
              <w:rPr>
                <w:rFonts w:ascii="Arial" w:cs="Arial" w:hAnsi="Arial"/>
                <w:b/>
                <w:bCs/>
                <w:sz w:val="20"/>
                <w:szCs w:val="20"/>
              </w:rPr>
            </w:pPr>
            <w:r>
              <w:rPr>
                <w:rFonts w:ascii="Arial" w:cs="Arial" w:hAnsi="Arial"/>
                <w:b/>
                <w:bCs/>
                <w:sz w:val="20"/>
                <w:szCs w:val="20"/>
              </w:rPr>
              <w:tab/>
              <w:t>64,934</w:t>
              <w:tab/>
            </w:r>
          </w:p>
        </w:tc>
        <w:tc>
          <w:tcPr>
            <w:tcW w:type="dxa" w:w="1043"/>
            <w:tcBorders>
              <w:top w:val="nil"/>
              <w:left w:val="nil"/>
              <w:bottom w:val="nil"/>
              <w:right w:val="nil"/>
            </w:tcBorders>
            <w:shd w:fill="auto" w:val="clear"/>
            <w:tcMar>
              <w:left w:type="dxa" w:w="144"/>
            </w:tcMar>
            <w:vAlign w:val="bottom"/>
          </w:tcPr>
          <w:p>
            <w:pPr>
              <w:pStyle w:val="style62"/>
              <w:tabs>
                <w:tab w:leader="none" w:pos="873" w:val="right"/>
                <w:tab w:leader="none" w:pos="108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47</w:t>
              <w:tab/>
            </w:r>
          </w:p>
        </w:tc>
        <w:tc>
          <w:tcPr>
            <w:tcW w:type="dxa" w:w="1052"/>
            <w:tcBorders>
              <w:top w:val="nil"/>
              <w:left w:val="nil"/>
              <w:bottom w:val="nil"/>
              <w:right w:val="nil"/>
            </w:tcBorders>
            <w:shd w:fill="auto" w:val="clear"/>
            <w:tcMar>
              <w:left w:type="dxa" w:w="144"/>
            </w:tcMar>
            <w:vAlign w:val="bottom"/>
          </w:tcPr>
          <w:p>
            <w:pPr>
              <w:pStyle w:val="style62"/>
              <w:tabs>
                <w:tab w:leader="none" w:pos="837" w:val="right"/>
                <w:tab w:leader="none" w:pos="882"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(84</w:t>
              <w:tab/>
              <w:t>)</w:t>
            </w:r>
          </w:p>
        </w:tc>
        <w:tc>
          <w:tcPr>
            <w:tcW w:type="dxa" w:w="1143"/>
            <w:tcBorders>
              <w:top w:val="nil"/>
              <w:left w:val="nil"/>
              <w:bottom w:val="nil"/>
              <w:right w:val="nil"/>
            </w:tcBorders>
            <w:shd w:fill="auto" w:val="clear"/>
            <w:tcMar>
              <w:left w:type="dxa" w:w="144"/>
            </w:tcMar>
            <w:vAlign w:val="bottom"/>
          </w:tcPr>
          <w:p>
            <w:pPr>
              <w:pStyle w:val="style62"/>
              <w:tabs>
                <w:tab w:leader="none" w:pos="981" w:val="right"/>
                <w:tab w:leader="none" w:pos="112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64,897</w:t>
              <w:tab/>
            </w:r>
          </w:p>
        </w:tc>
        <w:tc>
          <w:tcPr>
            <w:tcW w:type="dxa" w:w="1107"/>
            <w:tcBorders>
              <w:top w:val="nil"/>
              <w:left w:val="nil"/>
              <w:bottom w:val="nil"/>
              <w:right w:val="nil"/>
            </w:tcBorders>
            <w:shd w:fill="auto" w:val="clear"/>
            <w:tcMar>
              <w:left w:type="dxa" w:w="144"/>
            </w:tcMar>
            <w:vAlign w:val="bottom"/>
          </w:tcPr>
          <w:p>
            <w:pPr>
              <w:pStyle w:val="style62"/>
              <w:tabs>
                <w:tab w:leader="none" w:pos="936" w:val="right"/>
                <w:tab w:leader="none" w:pos="114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146</w:t>
              <w:tab/>
            </w:r>
          </w:p>
        </w:tc>
        <w:tc>
          <w:tcPr>
            <w:tcW w:type="dxa" w:w="1233"/>
            <w:tcBorders>
              <w:top w:val="nil"/>
              <w:left w:val="nil"/>
              <w:bottom w:val="nil"/>
              <w:right w:val="nil"/>
            </w:tcBorders>
            <w:shd w:fill="auto" w:val="clear"/>
            <w:tcMar>
              <w:left w:type="dxa" w:w="144"/>
            </w:tcMar>
            <w:vAlign w:val="bottom"/>
          </w:tcPr>
          <w:p>
            <w:pPr>
              <w:pStyle w:val="style62"/>
              <w:tabs>
                <w:tab w:leader="none" w:pos="1071" w:val="right"/>
                <w:tab w:leader="none" w:pos="118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64,751</w:t>
              <w:tab/>
            </w:r>
          </w:p>
        </w:tc>
        <w:tc>
          <w:tcPr>
            <w:tcW w:type="dxa" w:w="1155"/>
            <w:tcBorders>
              <w:top w:val="nil"/>
              <w:left w:val="nil"/>
              <w:bottom w:val="nil"/>
              <w:right w:val="nil"/>
            </w:tcBorders>
            <w:shd w:fill="auto" w:val="clear"/>
            <w:tcMar>
              <w:left w:type="dxa" w:w="144"/>
            </w:tcMar>
            <w:vAlign w:val="bottom"/>
          </w:tcPr>
          <w:p>
            <w:pPr>
              <w:pStyle w:val="style62"/>
              <w:tabs>
                <w:tab w:leader="none" w:pos="990" w:val="right"/>
                <w:tab w:leader="none" w:pos="1180" w:val="decimal"/>
              </w:tabs>
              <w:spacing w:after="280" w:before="280"/>
              <w:ind w:hanging="0" w:left="144" w:right="0"/>
              <w:contextualSpacing w:val="false"/>
              <w:rPr>
                <w:rFonts w:ascii="Arial" w:cs="Arial" w:hAnsi="Arial"/>
                <w:b/>
                <w:bCs/>
                <w:sz w:val="20"/>
                <w:szCs w:val="20"/>
              </w:rPr>
            </w:pPr>
            <w:r>
              <w:rPr>
                <w:rFonts w:ascii="Arial" w:cs="Arial" w:hAnsi="Arial"/>
                <w:b/>
                <w:bCs/>
                <w:sz w:val="20"/>
                <w:szCs w:val="20"/>
              </w:rPr>
              <w:tab/>
              <w:t>0</w:t>
              <w:tab/>
            </w:r>
          </w:p>
        </w:tc>
      </w:tr>
      <w:tr>
        <w:trPr>
          <w:cantSplit w:val="false"/>
        </w:trPr>
        <w:tc>
          <w:tcPr>
            <w:tcW w:type="dxa" w:w="299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Foreign government bonds</w:t>
            </w:r>
          </w:p>
        </w:tc>
        <w:tc>
          <w:tcPr>
            <w:tcW w:type="dxa" w:w="1070"/>
            <w:tcBorders>
              <w:top w:val="nil"/>
              <w:left w:val="nil"/>
              <w:bottom w:val="nil"/>
              <w:right w:val="nil"/>
            </w:tcBorders>
            <w:shd w:fill="auto" w:val="clear"/>
            <w:tcMar>
              <w:left w:type="dxa" w:w="144"/>
            </w:tcMar>
            <w:vAlign w:val="bottom"/>
          </w:tcPr>
          <w:p>
            <w:pPr>
              <w:pStyle w:val="style62"/>
              <w:tabs>
                <w:tab w:leader="none" w:pos="909" w:val="right"/>
                <w:tab w:leader="none" w:pos="1120" w:val="decimal"/>
              </w:tabs>
              <w:spacing w:after="280" w:before="280"/>
              <w:ind w:hanging="0" w:left="99" w:right="43"/>
              <w:contextualSpacing w:val="false"/>
              <w:rPr>
                <w:rFonts w:ascii="Arial" w:cs="Arial" w:hAnsi="Arial"/>
                <w:b/>
                <w:bCs/>
                <w:sz w:val="20"/>
                <w:szCs w:val="20"/>
              </w:rPr>
            </w:pPr>
            <w:r>
              <w:rPr>
                <w:rFonts w:ascii="Arial" w:cs="Arial" w:hAnsi="Arial"/>
                <w:b/>
                <w:bCs/>
                <w:sz w:val="20"/>
                <w:szCs w:val="20"/>
              </w:rPr>
              <w:tab/>
              <w:t>900</w:t>
              <w:tab/>
            </w:r>
          </w:p>
        </w:tc>
        <w:tc>
          <w:tcPr>
            <w:tcW w:type="dxa" w:w="1043"/>
            <w:tcBorders>
              <w:top w:val="nil"/>
              <w:left w:val="nil"/>
              <w:bottom w:val="nil"/>
              <w:right w:val="nil"/>
            </w:tcBorders>
            <w:shd w:fill="auto" w:val="clear"/>
            <w:tcMar>
              <w:left w:type="dxa" w:w="144"/>
            </w:tcMar>
            <w:vAlign w:val="bottom"/>
          </w:tcPr>
          <w:p>
            <w:pPr>
              <w:pStyle w:val="style62"/>
              <w:tabs>
                <w:tab w:leader="none" w:pos="873" w:val="right"/>
                <w:tab w:leader="none" w:pos="108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16</w:t>
              <w:tab/>
            </w:r>
          </w:p>
        </w:tc>
        <w:tc>
          <w:tcPr>
            <w:tcW w:type="dxa" w:w="1052"/>
            <w:tcBorders>
              <w:top w:val="nil"/>
              <w:left w:val="nil"/>
              <w:bottom w:val="nil"/>
              <w:right w:val="nil"/>
            </w:tcBorders>
            <w:shd w:fill="auto" w:val="clear"/>
            <w:tcMar>
              <w:left w:type="dxa" w:w="144"/>
            </w:tcMar>
            <w:vAlign w:val="bottom"/>
          </w:tcPr>
          <w:p>
            <w:pPr>
              <w:pStyle w:val="style62"/>
              <w:tabs>
                <w:tab w:leader="none" w:pos="837" w:val="right"/>
                <w:tab w:leader="none" w:pos="882"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(41</w:t>
              <w:tab/>
              <w:t>)</w:t>
            </w:r>
          </w:p>
        </w:tc>
        <w:tc>
          <w:tcPr>
            <w:tcW w:type="dxa" w:w="1143"/>
            <w:tcBorders>
              <w:top w:val="nil"/>
              <w:left w:val="nil"/>
              <w:bottom w:val="nil"/>
              <w:right w:val="nil"/>
            </w:tcBorders>
            <w:shd w:fill="auto" w:val="clear"/>
            <w:tcMar>
              <w:left w:type="dxa" w:w="144"/>
            </w:tcMar>
            <w:vAlign w:val="bottom"/>
          </w:tcPr>
          <w:p>
            <w:pPr>
              <w:pStyle w:val="style62"/>
              <w:tabs>
                <w:tab w:leader="none" w:pos="981" w:val="right"/>
                <w:tab w:leader="none" w:pos="112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875</w:t>
              <w:tab/>
            </w:r>
          </w:p>
        </w:tc>
        <w:tc>
          <w:tcPr>
            <w:tcW w:type="dxa" w:w="1107"/>
            <w:tcBorders>
              <w:top w:val="nil"/>
              <w:left w:val="nil"/>
              <w:bottom w:val="nil"/>
              <w:right w:val="nil"/>
            </w:tcBorders>
            <w:shd w:fill="auto" w:val="clear"/>
            <w:tcMar>
              <w:left w:type="dxa" w:w="144"/>
            </w:tcMar>
            <w:vAlign w:val="bottom"/>
          </w:tcPr>
          <w:p>
            <w:pPr>
              <w:pStyle w:val="style62"/>
              <w:tabs>
                <w:tab w:leader="none" w:pos="936" w:val="right"/>
                <w:tab w:leader="none" w:pos="114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0</w:t>
              <w:tab/>
            </w:r>
          </w:p>
        </w:tc>
        <w:tc>
          <w:tcPr>
            <w:tcW w:type="dxa" w:w="1233"/>
            <w:tcBorders>
              <w:top w:val="nil"/>
              <w:left w:val="nil"/>
              <w:bottom w:val="nil"/>
              <w:right w:val="nil"/>
            </w:tcBorders>
            <w:shd w:fill="auto" w:val="clear"/>
            <w:tcMar>
              <w:left w:type="dxa" w:w="144"/>
            </w:tcMar>
            <w:vAlign w:val="bottom"/>
          </w:tcPr>
          <w:p>
            <w:pPr>
              <w:pStyle w:val="style62"/>
              <w:tabs>
                <w:tab w:leader="none" w:pos="1071" w:val="right"/>
                <w:tab w:leader="none" w:pos="118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875</w:t>
              <w:tab/>
            </w:r>
          </w:p>
        </w:tc>
        <w:tc>
          <w:tcPr>
            <w:tcW w:type="dxa" w:w="1155"/>
            <w:tcBorders>
              <w:top w:val="nil"/>
              <w:left w:val="nil"/>
              <w:bottom w:val="nil"/>
              <w:right w:val="nil"/>
            </w:tcBorders>
            <w:shd w:fill="auto" w:val="clear"/>
            <w:tcMar>
              <w:left w:type="dxa" w:w="144"/>
            </w:tcMar>
            <w:vAlign w:val="bottom"/>
          </w:tcPr>
          <w:p>
            <w:pPr>
              <w:pStyle w:val="style62"/>
              <w:tabs>
                <w:tab w:leader="none" w:pos="990" w:val="right"/>
                <w:tab w:leader="none" w:pos="1180" w:val="decimal"/>
              </w:tabs>
              <w:spacing w:after="280" w:before="280"/>
              <w:ind w:hanging="0" w:left="144" w:right="0"/>
              <w:contextualSpacing w:val="false"/>
              <w:rPr>
                <w:rFonts w:ascii="Arial" w:cs="Arial" w:hAnsi="Arial"/>
                <w:b/>
                <w:bCs/>
                <w:sz w:val="20"/>
                <w:szCs w:val="20"/>
              </w:rPr>
            </w:pPr>
            <w:r>
              <w:rPr>
                <w:rFonts w:ascii="Arial" w:cs="Arial" w:hAnsi="Arial"/>
                <w:b/>
                <w:bCs/>
                <w:sz w:val="20"/>
                <w:szCs w:val="20"/>
              </w:rPr>
              <w:tab/>
              <w:t>0</w:t>
              <w:tab/>
            </w:r>
          </w:p>
        </w:tc>
      </w:tr>
      <w:tr>
        <w:trPr>
          <w:cantSplit w:val="false"/>
        </w:trPr>
        <w:tc>
          <w:tcPr>
            <w:tcW w:type="dxa" w:w="299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Mortgage-backed securities</w:t>
            </w:r>
          </w:p>
        </w:tc>
        <w:tc>
          <w:tcPr>
            <w:tcW w:type="dxa" w:w="1070"/>
            <w:tcBorders>
              <w:top w:val="nil"/>
              <w:left w:val="nil"/>
              <w:bottom w:val="nil"/>
              <w:right w:val="nil"/>
            </w:tcBorders>
            <w:shd w:fill="auto" w:val="clear"/>
            <w:tcMar>
              <w:left w:type="dxa" w:w="144"/>
            </w:tcMar>
            <w:vAlign w:val="bottom"/>
          </w:tcPr>
          <w:p>
            <w:pPr>
              <w:pStyle w:val="style62"/>
              <w:tabs>
                <w:tab w:leader="none" w:pos="909" w:val="right"/>
                <w:tab w:leader="none" w:pos="1120" w:val="decimal"/>
              </w:tabs>
              <w:spacing w:after="280" w:before="280"/>
              <w:ind w:hanging="0" w:left="99" w:right="43"/>
              <w:contextualSpacing w:val="false"/>
              <w:rPr>
                <w:rFonts w:ascii="Arial" w:cs="Arial" w:hAnsi="Arial"/>
                <w:b/>
                <w:bCs/>
                <w:sz w:val="20"/>
                <w:szCs w:val="20"/>
              </w:rPr>
            </w:pPr>
            <w:r>
              <w:rPr>
                <w:rFonts w:ascii="Arial" w:cs="Arial" w:hAnsi="Arial"/>
                <w:b/>
                <w:bCs/>
                <w:sz w:val="20"/>
                <w:szCs w:val="20"/>
              </w:rPr>
              <w:tab/>
              <w:t>1,258</w:t>
              <w:tab/>
            </w:r>
          </w:p>
        </w:tc>
        <w:tc>
          <w:tcPr>
            <w:tcW w:type="dxa" w:w="1043"/>
            <w:tcBorders>
              <w:top w:val="nil"/>
              <w:left w:val="nil"/>
              <w:bottom w:val="nil"/>
              <w:right w:val="nil"/>
            </w:tcBorders>
            <w:shd w:fill="auto" w:val="clear"/>
            <w:tcMar>
              <w:left w:type="dxa" w:w="144"/>
            </w:tcMar>
            <w:vAlign w:val="bottom"/>
          </w:tcPr>
          <w:p>
            <w:pPr>
              <w:pStyle w:val="style62"/>
              <w:tabs>
                <w:tab w:leader="none" w:pos="873" w:val="right"/>
                <w:tab w:leader="none" w:pos="108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43</w:t>
              <w:tab/>
            </w:r>
          </w:p>
        </w:tc>
        <w:tc>
          <w:tcPr>
            <w:tcW w:type="dxa" w:w="1052"/>
            <w:tcBorders>
              <w:top w:val="nil"/>
              <w:left w:val="nil"/>
              <w:bottom w:val="nil"/>
              <w:right w:val="nil"/>
            </w:tcBorders>
            <w:shd w:fill="auto" w:val="clear"/>
            <w:tcMar>
              <w:left w:type="dxa" w:w="144"/>
            </w:tcMar>
            <w:vAlign w:val="bottom"/>
          </w:tcPr>
          <w:p>
            <w:pPr>
              <w:pStyle w:val="style62"/>
              <w:tabs>
                <w:tab w:leader="none" w:pos="837" w:val="right"/>
                <w:tab w:leader="none" w:pos="882"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(13</w:t>
              <w:tab/>
              <w:t>)</w:t>
            </w:r>
          </w:p>
        </w:tc>
        <w:tc>
          <w:tcPr>
            <w:tcW w:type="dxa" w:w="1143"/>
            <w:tcBorders>
              <w:top w:val="nil"/>
              <w:left w:val="nil"/>
              <w:bottom w:val="nil"/>
              <w:right w:val="nil"/>
            </w:tcBorders>
            <w:shd w:fill="auto" w:val="clear"/>
            <w:tcMar>
              <w:left w:type="dxa" w:w="144"/>
            </w:tcMar>
            <w:vAlign w:val="bottom"/>
          </w:tcPr>
          <w:p>
            <w:pPr>
              <w:pStyle w:val="style62"/>
              <w:tabs>
                <w:tab w:leader="none" w:pos="981" w:val="right"/>
                <w:tab w:leader="none" w:pos="112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1,288</w:t>
              <w:tab/>
            </w:r>
          </w:p>
        </w:tc>
        <w:tc>
          <w:tcPr>
            <w:tcW w:type="dxa" w:w="1107"/>
            <w:tcBorders>
              <w:top w:val="nil"/>
              <w:left w:val="nil"/>
              <w:bottom w:val="nil"/>
              <w:right w:val="nil"/>
            </w:tcBorders>
            <w:shd w:fill="auto" w:val="clear"/>
            <w:tcMar>
              <w:left w:type="dxa" w:w="144"/>
            </w:tcMar>
            <w:vAlign w:val="bottom"/>
          </w:tcPr>
          <w:p>
            <w:pPr>
              <w:pStyle w:val="style62"/>
              <w:tabs>
                <w:tab w:leader="none" w:pos="936" w:val="right"/>
                <w:tab w:leader="none" w:pos="114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0</w:t>
              <w:tab/>
            </w:r>
          </w:p>
        </w:tc>
        <w:tc>
          <w:tcPr>
            <w:tcW w:type="dxa" w:w="1233"/>
            <w:tcBorders>
              <w:top w:val="nil"/>
              <w:left w:val="nil"/>
              <w:bottom w:val="nil"/>
              <w:right w:val="nil"/>
            </w:tcBorders>
            <w:shd w:fill="auto" w:val="clear"/>
            <w:tcMar>
              <w:left w:type="dxa" w:w="144"/>
            </w:tcMar>
            <w:vAlign w:val="bottom"/>
          </w:tcPr>
          <w:p>
            <w:pPr>
              <w:pStyle w:val="style62"/>
              <w:tabs>
                <w:tab w:leader="none" w:pos="1071" w:val="right"/>
                <w:tab w:leader="none" w:pos="118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1,288</w:t>
              <w:tab/>
            </w:r>
          </w:p>
        </w:tc>
        <w:tc>
          <w:tcPr>
            <w:tcW w:type="dxa" w:w="1155"/>
            <w:tcBorders>
              <w:top w:val="nil"/>
              <w:left w:val="nil"/>
              <w:bottom w:val="nil"/>
              <w:right w:val="nil"/>
            </w:tcBorders>
            <w:shd w:fill="auto" w:val="clear"/>
            <w:tcMar>
              <w:left w:type="dxa" w:w="144"/>
            </w:tcMar>
            <w:vAlign w:val="bottom"/>
          </w:tcPr>
          <w:p>
            <w:pPr>
              <w:pStyle w:val="style62"/>
              <w:tabs>
                <w:tab w:leader="none" w:pos="990" w:val="right"/>
                <w:tab w:leader="none" w:pos="1180" w:val="decimal"/>
              </w:tabs>
              <w:spacing w:after="280" w:before="280"/>
              <w:ind w:hanging="0" w:left="144" w:right="0"/>
              <w:contextualSpacing w:val="false"/>
              <w:rPr>
                <w:rFonts w:ascii="Arial" w:cs="Arial" w:hAnsi="Arial"/>
                <w:b/>
                <w:bCs/>
                <w:sz w:val="20"/>
                <w:szCs w:val="20"/>
              </w:rPr>
            </w:pPr>
            <w:r>
              <w:rPr>
                <w:rFonts w:ascii="Arial" w:cs="Arial" w:hAnsi="Arial"/>
                <w:b/>
                <w:bCs/>
                <w:sz w:val="20"/>
                <w:szCs w:val="20"/>
              </w:rPr>
              <w:tab/>
              <w:t>0</w:t>
              <w:tab/>
            </w:r>
          </w:p>
        </w:tc>
      </w:tr>
      <w:tr>
        <w:trPr>
          <w:cantSplit w:val="false"/>
        </w:trPr>
        <w:tc>
          <w:tcPr>
            <w:tcW w:type="dxa" w:w="299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Corporate notes and bonds</w:t>
            </w:r>
          </w:p>
        </w:tc>
        <w:tc>
          <w:tcPr>
            <w:tcW w:type="dxa" w:w="1070"/>
            <w:tcBorders>
              <w:top w:val="nil"/>
              <w:left w:val="nil"/>
              <w:bottom w:val="nil"/>
              <w:right w:val="nil"/>
            </w:tcBorders>
            <w:shd w:fill="auto" w:val="clear"/>
            <w:tcMar>
              <w:left w:type="dxa" w:w="144"/>
            </w:tcMar>
            <w:vAlign w:val="bottom"/>
          </w:tcPr>
          <w:p>
            <w:pPr>
              <w:pStyle w:val="style62"/>
              <w:tabs>
                <w:tab w:leader="none" w:pos="909" w:val="right"/>
                <w:tab w:leader="none" w:pos="1120" w:val="decimal"/>
              </w:tabs>
              <w:spacing w:after="280" w:before="280"/>
              <w:ind w:hanging="0" w:left="99" w:right="43"/>
              <w:contextualSpacing w:val="false"/>
              <w:rPr>
                <w:rFonts w:ascii="Arial" w:cs="Arial" w:hAnsi="Arial"/>
                <w:b/>
                <w:bCs/>
                <w:sz w:val="20"/>
                <w:szCs w:val="20"/>
              </w:rPr>
            </w:pPr>
            <w:r>
              <w:rPr>
                <w:rFonts w:ascii="Arial" w:cs="Arial" w:hAnsi="Arial"/>
                <w:b/>
                <w:bCs/>
                <w:sz w:val="20"/>
                <w:szCs w:val="20"/>
              </w:rPr>
              <w:tab/>
              <w:t>4,993</w:t>
              <w:tab/>
            </w:r>
          </w:p>
        </w:tc>
        <w:tc>
          <w:tcPr>
            <w:tcW w:type="dxa" w:w="1043"/>
            <w:tcBorders>
              <w:top w:val="nil"/>
              <w:left w:val="nil"/>
              <w:bottom w:val="nil"/>
              <w:right w:val="nil"/>
            </w:tcBorders>
            <w:shd w:fill="auto" w:val="clear"/>
            <w:tcMar>
              <w:left w:type="dxa" w:w="144"/>
            </w:tcMar>
            <w:vAlign w:val="bottom"/>
          </w:tcPr>
          <w:p>
            <w:pPr>
              <w:pStyle w:val="style62"/>
              <w:tabs>
                <w:tab w:leader="none" w:pos="873" w:val="right"/>
                <w:tab w:leader="none" w:pos="108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169</w:t>
              <w:tab/>
            </w:r>
          </w:p>
        </w:tc>
        <w:tc>
          <w:tcPr>
            <w:tcW w:type="dxa" w:w="1052"/>
            <w:tcBorders>
              <w:top w:val="nil"/>
              <w:left w:val="nil"/>
              <w:bottom w:val="nil"/>
              <w:right w:val="nil"/>
            </w:tcBorders>
            <w:shd w:fill="auto" w:val="clear"/>
            <w:tcMar>
              <w:left w:type="dxa" w:w="144"/>
            </w:tcMar>
            <w:vAlign w:val="bottom"/>
          </w:tcPr>
          <w:p>
            <w:pPr>
              <w:pStyle w:val="style62"/>
              <w:tabs>
                <w:tab w:leader="none" w:pos="837" w:val="right"/>
                <w:tab w:leader="none" w:pos="882"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(40</w:t>
              <w:tab/>
              <w:t>)</w:t>
            </w:r>
          </w:p>
        </w:tc>
        <w:tc>
          <w:tcPr>
            <w:tcW w:type="dxa" w:w="1143"/>
            <w:tcBorders>
              <w:top w:val="nil"/>
              <w:left w:val="nil"/>
              <w:bottom w:val="nil"/>
              <w:right w:val="nil"/>
            </w:tcBorders>
            <w:shd w:fill="auto" w:val="clear"/>
            <w:tcMar>
              <w:left w:type="dxa" w:w="144"/>
            </w:tcMar>
            <w:vAlign w:val="bottom"/>
          </w:tcPr>
          <w:p>
            <w:pPr>
              <w:pStyle w:val="style62"/>
              <w:tabs>
                <w:tab w:leader="none" w:pos="981" w:val="right"/>
                <w:tab w:leader="none" w:pos="112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5,122</w:t>
              <w:tab/>
            </w:r>
          </w:p>
        </w:tc>
        <w:tc>
          <w:tcPr>
            <w:tcW w:type="dxa" w:w="1107"/>
            <w:tcBorders>
              <w:top w:val="nil"/>
              <w:left w:val="nil"/>
              <w:bottom w:val="nil"/>
              <w:right w:val="nil"/>
            </w:tcBorders>
            <w:shd w:fill="auto" w:val="clear"/>
            <w:tcMar>
              <w:left w:type="dxa" w:w="144"/>
            </w:tcMar>
            <w:vAlign w:val="bottom"/>
          </w:tcPr>
          <w:p>
            <w:pPr>
              <w:pStyle w:val="style62"/>
              <w:tabs>
                <w:tab w:leader="none" w:pos="936" w:val="right"/>
                <w:tab w:leader="none" w:pos="114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0</w:t>
              <w:tab/>
            </w:r>
          </w:p>
        </w:tc>
        <w:tc>
          <w:tcPr>
            <w:tcW w:type="dxa" w:w="1233"/>
            <w:tcBorders>
              <w:top w:val="nil"/>
              <w:left w:val="nil"/>
              <w:bottom w:val="nil"/>
              <w:right w:val="nil"/>
            </w:tcBorders>
            <w:shd w:fill="auto" w:val="clear"/>
            <w:tcMar>
              <w:left w:type="dxa" w:w="144"/>
            </w:tcMar>
            <w:vAlign w:val="bottom"/>
          </w:tcPr>
          <w:p>
            <w:pPr>
              <w:pStyle w:val="style62"/>
              <w:tabs>
                <w:tab w:leader="none" w:pos="1071" w:val="right"/>
                <w:tab w:leader="none" w:pos="118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5,122</w:t>
              <w:tab/>
            </w:r>
          </w:p>
        </w:tc>
        <w:tc>
          <w:tcPr>
            <w:tcW w:type="dxa" w:w="1155"/>
            <w:tcBorders>
              <w:top w:val="nil"/>
              <w:left w:val="nil"/>
              <w:bottom w:val="nil"/>
              <w:right w:val="nil"/>
            </w:tcBorders>
            <w:shd w:fill="auto" w:val="clear"/>
            <w:tcMar>
              <w:left w:type="dxa" w:w="144"/>
            </w:tcMar>
            <w:vAlign w:val="bottom"/>
          </w:tcPr>
          <w:p>
            <w:pPr>
              <w:pStyle w:val="style62"/>
              <w:tabs>
                <w:tab w:leader="none" w:pos="990" w:val="right"/>
                <w:tab w:leader="none" w:pos="1180" w:val="decimal"/>
              </w:tabs>
              <w:spacing w:after="280" w:before="280"/>
              <w:ind w:hanging="0" w:left="144" w:right="0"/>
              <w:contextualSpacing w:val="false"/>
              <w:rPr>
                <w:rFonts w:ascii="Arial" w:cs="Arial" w:hAnsi="Arial"/>
                <w:b/>
                <w:bCs/>
                <w:sz w:val="20"/>
                <w:szCs w:val="20"/>
              </w:rPr>
            </w:pPr>
            <w:r>
              <w:rPr>
                <w:rFonts w:ascii="Arial" w:cs="Arial" w:hAnsi="Arial"/>
                <w:b/>
                <w:bCs/>
                <w:sz w:val="20"/>
                <w:szCs w:val="20"/>
              </w:rPr>
              <w:tab/>
              <w:t>0</w:t>
              <w:tab/>
            </w:r>
          </w:p>
        </w:tc>
      </w:tr>
      <w:tr>
        <w:trPr>
          <w:cantSplit w:val="false"/>
        </w:trPr>
        <w:tc>
          <w:tcPr>
            <w:tcW w:type="dxa" w:w="299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Municipal securities</w:t>
            </w:r>
          </w:p>
        </w:tc>
        <w:tc>
          <w:tcPr>
            <w:tcW w:type="dxa" w:w="1070"/>
            <w:tcBorders>
              <w:top w:val="nil"/>
              <w:left w:val="nil"/>
              <w:bottom w:val="nil"/>
              <w:right w:val="nil"/>
            </w:tcBorders>
            <w:shd w:fill="auto" w:val="clear"/>
            <w:tcMar>
              <w:left w:type="dxa" w:w="144"/>
            </w:tcMar>
            <w:vAlign w:val="bottom"/>
          </w:tcPr>
          <w:p>
            <w:pPr>
              <w:pStyle w:val="style62"/>
              <w:tabs>
                <w:tab w:leader="none" w:pos="909" w:val="right"/>
                <w:tab w:leader="none" w:pos="1120" w:val="decimal"/>
              </w:tabs>
              <w:spacing w:after="280" w:before="280"/>
              <w:ind w:hanging="0" w:left="99" w:right="43"/>
              <w:contextualSpacing w:val="false"/>
              <w:rPr>
                <w:rFonts w:ascii="Arial" w:cs="Arial" w:hAnsi="Arial"/>
                <w:b/>
                <w:bCs/>
                <w:sz w:val="20"/>
                <w:szCs w:val="20"/>
              </w:rPr>
            </w:pPr>
            <w:r>
              <w:rPr>
                <w:rFonts w:ascii="Arial" w:cs="Arial" w:hAnsi="Arial"/>
                <w:b/>
                <w:bCs/>
                <w:sz w:val="20"/>
                <w:szCs w:val="20"/>
              </w:rPr>
              <w:tab/>
              <w:t>350</w:t>
              <w:tab/>
            </w:r>
          </w:p>
        </w:tc>
        <w:tc>
          <w:tcPr>
            <w:tcW w:type="dxa" w:w="1043"/>
            <w:tcBorders>
              <w:top w:val="nil"/>
              <w:left w:val="nil"/>
              <w:bottom w:val="nil"/>
              <w:right w:val="nil"/>
            </w:tcBorders>
            <w:shd w:fill="auto" w:val="clear"/>
            <w:tcMar>
              <w:left w:type="dxa" w:w="144"/>
            </w:tcMar>
            <w:vAlign w:val="bottom"/>
          </w:tcPr>
          <w:p>
            <w:pPr>
              <w:pStyle w:val="style62"/>
              <w:tabs>
                <w:tab w:leader="none" w:pos="873" w:val="right"/>
                <w:tab w:leader="none" w:pos="108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36</w:t>
              <w:tab/>
            </w:r>
          </w:p>
        </w:tc>
        <w:tc>
          <w:tcPr>
            <w:tcW w:type="dxa" w:w="1052"/>
            <w:tcBorders>
              <w:top w:val="nil"/>
              <w:left w:val="nil"/>
              <w:bottom w:val="nil"/>
              <w:right w:val="nil"/>
            </w:tcBorders>
            <w:shd w:fill="auto" w:val="clear"/>
            <w:tcMar>
              <w:left w:type="dxa" w:w="144"/>
            </w:tcMar>
            <w:vAlign w:val="bottom"/>
          </w:tcPr>
          <w:p>
            <w:pPr>
              <w:pStyle w:val="style62"/>
              <w:tabs>
                <w:tab w:leader="none" w:pos="837" w:val="right"/>
                <w:tab w:leader="none" w:pos="882"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(1</w:t>
              <w:tab/>
              <w:t>)</w:t>
            </w:r>
          </w:p>
        </w:tc>
        <w:tc>
          <w:tcPr>
            <w:tcW w:type="dxa" w:w="1143"/>
            <w:tcBorders>
              <w:top w:val="nil"/>
              <w:left w:val="nil"/>
              <w:bottom w:val="nil"/>
              <w:right w:val="nil"/>
            </w:tcBorders>
            <w:shd w:fill="auto" w:val="clear"/>
            <w:tcMar>
              <w:left w:type="dxa" w:w="144"/>
            </w:tcMar>
            <w:vAlign w:val="bottom"/>
          </w:tcPr>
          <w:p>
            <w:pPr>
              <w:pStyle w:val="style62"/>
              <w:tabs>
                <w:tab w:leader="none" w:pos="981" w:val="right"/>
                <w:tab w:leader="none" w:pos="112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385</w:t>
              <w:tab/>
            </w:r>
          </w:p>
        </w:tc>
        <w:tc>
          <w:tcPr>
            <w:tcW w:type="dxa" w:w="1107"/>
            <w:tcBorders>
              <w:top w:val="nil"/>
              <w:left w:val="nil"/>
              <w:bottom w:val="nil"/>
              <w:right w:val="nil"/>
            </w:tcBorders>
            <w:shd w:fill="auto" w:val="clear"/>
            <w:tcMar>
              <w:left w:type="dxa" w:w="144"/>
            </w:tcMar>
            <w:vAlign w:val="bottom"/>
          </w:tcPr>
          <w:p>
            <w:pPr>
              <w:pStyle w:val="style62"/>
              <w:tabs>
                <w:tab w:leader="none" w:pos="936" w:val="right"/>
                <w:tab w:leader="none" w:pos="114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0</w:t>
              <w:tab/>
            </w:r>
          </w:p>
        </w:tc>
        <w:tc>
          <w:tcPr>
            <w:tcW w:type="dxa" w:w="1233"/>
            <w:tcBorders>
              <w:top w:val="nil"/>
              <w:left w:val="nil"/>
              <w:bottom w:val="nil"/>
              <w:right w:val="nil"/>
            </w:tcBorders>
            <w:shd w:fill="auto" w:val="clear"/>
            <w:tcMar>
              <w:left w:type="dxa" w:w="144"/>
            </w:tcMar>
            <w:vAlign w:val="bottom"/>
          </w:tcPr>
          <w:p>
            <w:pPr>
              <w:pStyle w:val="style62"/>
              <w:tabs>
                <w:tab w:leader="none" w:pos="1071" w:val="right"/>
                <w:tab w:leader="none" w:pos="118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385</w:t>
              <w:tab/>
            </w:r>
          </w:p>
        </w:tc>
        <w:tc>
          <w:tcPr>
            <w:tcW w:type="dxa" w:w="1155"/>
            <w:tcBorders>
              <w:top w:val="nil"/>
              <w:left w:val="nil"/>
              <w:bottom w:val="nil"/>
              <w:right w:val="nil"/>
            </w:tcBorders>
            <w:shd w:fill="auto" w:val="clear"/>
            <w:tcMar>
              <w:left w:type="dxa" w:w="144"/>
            </w:tcMar>
            <w:vAlign w:val="bottom"/>
          </w:tcPr>
          <w:p>
            <w:pPr>
              <w:pStyle w:val="style62"/>
              <w:tabs>
                <w:tab w:leader="none" w:pos="990" w:val="right"/>
                <w:tab w:leader="none" w:pos="1180" w:val="decimal"/>
              </w:tabs>
              <w:spacing w:after="280" w:before="280"/>
              <w:ind w:hanging="0" w:left="144" w:right="0"/>
              <w:contextualSpacing w:val="false"/>
              <w:rPr>
                <w:rFonts w:ascii="Arial" w:cs="Arial" w:hAnsi="Arial"/>
                <w:b/>
                <w:bCs/>
                <w:sz w:val="20"/>
                <w:szCs w:val="20"/>
              </w:rPr>
            </w:pPr>
            <w:r>
              <w:rPr>
                <w:rFonts w:ascii="Arial" w:cs="Arial" w:hAnsi="Arial"/>
                <w:b/>
                <w:bCs/>
                <w:sz w:val="20"/>
                <w:szCs w:val="20"/>
              </w:rPr>
              <w:tab/>
              <w:t>0</w:t>
              <w:tab/>
            </w:r>
          </w:p>
        </w:tc>
      </w:tr>
      <w:tr>
        <w:trPr>
          <w:cantSplit w:val="false"/>
        </w:trPr>
        <w:tc>
          <w:tcPr>
            <w:tcW w:type="dxa" w:w="299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and preferred stock</w:t>
            </w:r>
          </w:p>
        </w:tc>
        <w:tc>
          <w:tcPr>
            <w:tcW w:type="dxa" w:w="1070"/>
            <w:tcBorders>
              <w:top w:val="nil"/>
              <w:left w:val="nil"/>
              <w:bottom w:val="nil"/>
              <w:right w:val="nil"/>
            </w:tcBorders>
            <w:shd w:fill="auto" w:val="clear"/>
            <w:tcMar>
              <w:left w:type="dxa" w:w="144"/>
            </w:tcMar>
            <w:vAlign w:val="bottom"/>
          </w:tcPr>
          <w:p>
            <w:pPr>
              <w:pStyle w:val="style62"/>
              <w:tabs>
                <w:tab w:leader="none" w:pos="909" w:val="right"/>
                <w:tab w:leader="none" w:pos="1120" w:val="decimal"/>
              </w:tabs>
              <w:spacing w:after="280" w:before="280"/>
              <w:ind w:hanging="0" w:left="99" w:right="43"/>
              <w:contextualSpacing w:val="false"/>
              <w:rPr>
                <w:rFonts w:ascii="Arial" w:cs="Arial" w:hAnsi="Arial"/>
                <w:b/>
                <w:bCs/>
                <w:sz w:val="20"/>
                <w:szCs w:val="20"/>
              </w:rPr>
            </w:pPr>
            <w:r>
              <w:rPr>
                <w:rFonts w:ascii="Arial" w:cs="Arial" w:hAnsi="Arial"/>
                <w:b/>
                <w:bCs/>
                <w:sz w:val="20"/>
                <w:szCs w:val="20"/>
              </w:rPr>
              <w:tab/>
              <w:t>6,931</w:t>
              <w:tab/>
            </w:r>
          </w:p>
        </w:tc>
        <w:tc>
          <w:tcPr>
            <w:tcW w:type="dxa" w:w="1043"/>
            <w:tcBorders>
              <w:top w:val="nil"/>
              <w:left w:val="nil"/>
              <w:bottom w:val="nil"/>
              <w:right w:val="nil"/>
            </w:tcBorders>
            <w:shd w:fill="auto" w:val="clear"/>
            <w:tcMar>
              <w:left w:type="dxa" w:w="144"/>
            </w:tcMar>
            <w:vAlign w:val="bottom"/>
          </w:tcPr>
          <w:p>
            <w:pPr>
              <w:pStyle w:val="style62"/>
              <w:tabs>
                <w:tab w:leader="none" w:pos="873" w:val="right"/>
                <w:tab w:leader="none" w:pos="108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2,938</w:t>
              <w:tab/>
            </w:r>
          </w:p>
        </w:tc>
        <w:tc>
          <w:tcPr>
            <w:tcW w:type="dxa" w:w="1052"/>
            <w:tcBorders>
              <w:top w:val="nil"/>
              <w:left w:val="nil"/>
              <w:bottom w:val="nil"/>
              <w:right w:val="nil"/>
            </w:tcBorders>
            <w:shd w:fill="auto" w:val="clear"/>
            <w:tcMar>
              <w:left w:type="dxa" w:w="144"/>
            </w:tcMar>
            <w:vAlign w:val="bottom"/>
          </w:tcPr>
          <w:p>
            <w:pPr>
              <w:pStyle w:val="style62"/>
              <w:tabs>
                <w:tab w:leader="none" w:pos="837" w:val="right"/>
                <w:tab w:leader="none" w:pos="882"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(281</w:t>
              <w:tab/>
              <w:t>)</w:t>
            </w:r>
          </w:p>
        </w:tc>
        <w:tc>
          <w:tcPr>
            <w:tcW w:type="dxa" w:w="1143"/>
            <w:tcBorders>
              <w:top w:val="nil"/>
              <w:left w:val="nil"/>
              <w:bottom w:val="nil"/>
              <w:right w:val="nil"/>
            </w:tcBorders>
            <w:shd w:fill="auto" w:val="clear"/>
            <w:tcMar>
              <w:left w:type="dxa" w:w="144"/>
            </w:tcMar>
            <w:vAlign w:val="bottom"/>
          </w:tcPr>
          <w:p>
            <w:pPr>
              <w:pStyle w:val="style62"/>
              <w:tabs>
                <w:tab w:leader="none" w:pos="981" w:val="right"/>
                <w:tab w:leader="none" w:pos="112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9,588</w:t>
              <w:tab/>
            </w:r>
          </w:p>
        </w:tc>
        <w:tc>
          <w:tcPr>
            <w:tcW w:type="dxa" w:w="1107"/>
            <w:tcBorders>
              <w:top w:val="nil"/>
              <w:left w:val="nil"/>
              <w:bottom w:val="nil"/>
              <w:right w:val="nil"/>
            </w:tcBorders>
            <w:shd w:fill="auto" w:val="clear"/>
            <w:tcMar>
              <w:left w:type="dxa" w:w="144"/>
            </w:tcMar>
            <w:vAlign w:val="bottom"/>
          </w:tcPr>
          <w:p>
            <w:pPr>
              <w:pStyle w:val="style62"/>
              <w:tabs>
                <w:tab w:leader="none" w:pos="936" w:val="right"/>
                <w:tab w:leader="none" w:pos="114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0</w:t>
              <w:tab/>
            </w:r>
          </w:p>
        </w:tc>
        <w:tc>
          <w:tcPr>
            <w:tcW w:type="dxa" w:w="1233"/>
            <w:tcBorders>
              <w:top w:val="nil"/>
              <w:left w:val="nil"/>
              <w:bottom w:val="nil"/>
              <w:right w:val="nil"/>
            </w:tcBorders>
            <w:shd w:fill="auto" w:val="clear"/>
            <w:tcMar>
              <w:left w:type="dxa" w:w="144"/>
            </w:tcMar>
            <w:vAlign w:val="bottom"/>
          </w:tcPr>
          <w:p>
            <w:pPr>
              <w:pStyle w:val="style62"/>
              <w:tabs>
                <w:tab w:leader="none" w:pos="1071" w:val="right"/>
                <w:tab w:leader="none" w:pos="118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0</w:t>
              <w:tab/>
            </w:r>
          </w:p>
        </w:tc>
        <w:tc>
          <w:tcPr>
            <w:tcW w:type="dxa" w:w="1155"/>
            <w:tcBorders>
              <w:top w:val="nil"/>
              <w:left w:val="nil"/>
              <w:bottom w:val="nil"/>
              <w:right w:val="nil"/>
            </w:tcBorders>
            <w:shd w:fill="auto" w:val="clear"/>
            <w:tcMar>
              <w:left w:type="dxa" w:w="144"/>
            </w:tcMar>
            <w:vAlign w:val="bottom"/>
          </w:tcPr>
          <w:p>
            <w:pPr>
              <w:pStyle w:val="style62"/>
              <w:tabs>
                <w:tab w:leader="none" w:pos="990" w:val="right"/>
                <w:tab w:leader="none" w:pos="1180" w:val="decimal"/>
              </w:tabs>
              <w:spacing w:after="280" w:before="280"/>
              <w:ind w:hanging="0" w:left="144" w:right="0"/>
              <w:contextualSpacing w:val="false"/>
              <w:rPr>
                <w:rFonts w:ascii="Arial" w:cs="Arial" w:hAnsi="Arial"/>
                <w:b/>
                <w:bCs/>
                <w:sz w:val="20"/>
                <w:szCs w:val="20"/>
              </w:rPr>
            </w:pPr>
            <w:r>
              <w:rPr>
                <w:rFonts w:ascii="Arial" w:cs="Arial" w:hAnsi="Arial"/>
                <w:b/>
                <w:bCs/>
                <w:sz w:val="20"/>
                <w:szCs w:val="20"/>
              </w:rPr>
              <w:tab/>
              <w:t>9,588</w:t>
              <w:tab/>
            </w:r>
          </w:p>
        </w:tc>
      </w:tr>
      <w:tr>
        <w:trPr>
          <w:cantSplit w:val="false"/>
        </w:trPr>
        <w:tc>
          <w:tcPr>
            <w:tcW w:type="dxa" w:w="299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 investments</w:t>
            </w:r>
          </w:p>
        </w:tc>
        <w:tc>
          <w:tcPr>
            <w:tcW w:type="dxa" w:w="1070"/>
            <w:tcBorders>
              <w:top w:val="nil"/>
              <w:left w:val="nil"/>
              <w:bottom w:val="nil"/>
              <w:right w:val="nil"/>
            </w:tcBorders>
            <w:shd w:fill="auto" w:val="clear"/>
            <w:tcMar>
              <w:left w:type="dxa" w:w="144"/>
            </w:tcMar>
            <w:vAlign w:val="bottom"/>
          </w:tcPr>
          <w:p>
            <w:pPr>
              <w:pStyle w:val="style62"/>
              <w:tabs>
                <w:tab w:leader="none" w:pos="909" w:val="right"/>
                <w:tab w:leader="none" w:pos="1120" w:val="decimal"/>
              </w:tabs>
              <w:spacing w:after="280" w:before="280"/>
              <w:ind w:hanging="0" w:left="99" w:right="43"/>
              <w:contextualSpacing w:val="false"/>
              <w:rPr>
                <w:rFonts w:ascii="Arial" w:cs="Arial" w:hAnsi="Arial"/>
                <w:b/>
                <w:bCs/>
                <w:sz w:val="20"/>
                <w:szCs w:val="20"/>
              </w:rPr>
            </w:pPr>
            <w:r>
              <w:rPr>
                <w:rFonts w:ascii="Arial" w:cs="Arial" w:hAnsi="Arial"/>
                <w:b/>
                <w:bCs/>
                <w:sz w:val="20"/>
                <w:szCs w:val="20"/>
              </w:rPr>
              <w:tab/>
              <w:t>1,279</w:t>
              <w:tab/>
            </w:r>
          </w:p>
        </w:tc>
        <w:tc>
          <w:tcPr>
            <w:tcW w:type="dxa" w:w="1043"/>
            <w:tcBorders>
              <w:top w:val="nil"/>
              <w:left w:val="nil"/>
              <w:bottom w:val="nil"/>
              <w:right w:val="nil"/>
            </w:tcBorders>
            <w:shd w:fill="auto" w:val="clear"/>
            <w:tcMar>
              <w:left w:type="dxa" w:w="144"/>
            </w:tcMar>
            <w:vAlign w:val="bottom"/>
          </w:tcPr>
          <w:p>
            <w:pPr>
              <w:pStyle w:val="style62"/>
              <w:tabs>
                <w:tab w:leader="none" w:pos="873" w:val="right"/>
                <w:tab w:leader="none" w:pos="108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0</w:t>
              <w:tab/>
            </w:r>
          </w:p>
        </w:tc>
        <w:tc>
          <w:tcPr>
            <w:tcW w:type="dxa" w:w="1052"/>
            <w:tcBorders>
              <w:top w:val="nil"/>
              <w:left w:val="nil"/>
              <w:bottom w:val="nil"/>
              <w:right w:val="nil"/>
            </w:tcBorders>
            <w:shd w:fill="auto" w:val="clear"/>
            <w:tcMar>
              <w:left w:type="dxa" w:w="144"/>
            </w:tcMar>
            <w:vAlign w:val="bottom"/>
          </w:tcPr>
          <w:p>
            <w:pPr>
              <w:pStyle w:val="style62"/>
              <w:tabs>
                <w:tab w:leader="none" w:pos="837" w:val="right"/>
                <w:tab w:leader="none" w:pos="882"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0</w:t>
              <w:tab/>
            </w:r>
          </w:p>
        </w:tc>
        <w:tc>
          <w:tcPr>
            <w:tcW w:type="dxa" w:w="1143"/>
            <w:tcBorders>
              <w:top w:val="nil"/>
              <w:left w:val="nil"/>
              <w:bottom w:val="nil"/>
              <w:right w:val="nil"/>
            </w:tcBorders>
            <w:shd w:fill="auto" w:val="clear"/>
            <w:tcMar>
              <w:left w:type="dxa" w:w="144"/>
            </w:tcMar>
            <w:vAlign w:val="bottom"/>
          </w:tcPr>
          <w:p>
            <w:pPr>
              <w:pStyle w:val="style62"/>
              <w:tabs>
                <w:tab w:leader="none" w:pos="981" w:val="right"/>
                <w:tab w:leader="none" w:pos="112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ab/>
              <w:t>1,279</w:t>
              <w:tab/>
            </w:r>
          </w:p>
        </w:tc>
        <w:tc>
          <w:tcPr>
            <w:tcW w:type="dxa" w:w="1107"/>
            <w:tcBorders>
              <w:top w:val="nil"/>
              <w:left w:val="nil"/>
              <w:bottom w:val="nil"/>
              <w:right w:val="nil"/>
            </w:tcBorders>
            <w:shd w:fill="auto" w:val="clear"/>
            <w:tcMar>
              <w:left w:type="dxa" w:w="144"/>
            </w:tcMar>
            <w:vAlign w:val="bottom"/>
          </w:tcPr>
          <w:p>
            <w:pPr>
              <w:pStyle w:val="style62"/>
              <w:tabs>
                <w:tab w:leader="none" w:pos="936" w:val="right"/>
                <w:tab w:leader="none" w:pos="114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0</w:t>
              <w:tab/>
            </w:r>
          </w:p>
        </w:tc>
        <w:tc>
          <w:tcPr>
            <w:tcW w:type="dxa" w:w="1233"/>
            <w:tcBorders>
              <w:top w:val="nil"/>
              <w:left w:val="nil"/>
              <w:bottom w:val="nil"/>
              <w:right w:val="nil"/>
            </w:tcBorders>
            <w:shd w:fill="auto" w:val="clear"/>
            <w:tcMar>
              <w:left w:type="dxa" w:w="144"/>
            </w:tcMar>
            <w:vAlign w:val="bottom"/>
          </w:tcPr>
          <w:p>
            <w:pPr>
              <w:pStyle w:val="style62"/>
              <w:tabs>
                <w:tab w:leader="none" w:pos="1071" w:val="right"/>
                <w:tab w:leader="none" w:pos="118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23</w:t>
              <w:tab/>
            </w:r>
          </w:p>
        </w:tc>
        <w:tc>
          <w:tcPr>
            <w:tcW w:type="dxa" w:w="1155"/>
            <w:tcBorders>
              <w:top w:val="nil"/>
              <w:left w:val="nil"/>
              <w:bottom w:val="nil"/>
              <w:right w:val="nil"/>
            </w:tcBorders>
            <w:shd w:fill="auto" w:val="clear"/>
            <w:tcMar>
              <w:left w:type="dxa" w:w="144"/>
            </w:tcMar>
            <w:vAlign w:val="bottom"/>
          </w:tcPr>
          <w:p>
            <w:pPr>
              <w:pStyle w:val="style62"/>
              <w:tabs>
                <w:tab w:leader="none" w:pos="990" w:val="right"/>
                <w:tab w:leader="none" w:pos="118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ab/>
              <w:t>1,256</w:t>
              <w:tab/>
            </w:r>
          </w:p>
        </w:tc>
      </w:tr>
      <w:tr>
        <w:trPr>
          <w:cantSplit w:val="false"/>
        </w:trPr>
        <w:tc>
          <w:tcPr>
            <w:tcW w:type="dxa" w:w="4067"/>
            <w:gridSpan w:val="2"/>
            <w:tcBorders>
              <w:top w:val="nil"/>
              <w:left w:val="nil"/>
              <w:bottom w:val="nil"/>
              <w:right w:val="nil"/>
            </w:tcBorders>
            <w:shd w:fill="auto" w:val="clear"/>
            <w:vAlign w:val="bottom"/>
          </w:tcPr>
          <w:p>
            <w:pPr>
              <w:pStyle w:val="style59"/>
              <w:tabs>
                <w:tab w:leader="none" w:pos="909" w:val="right"/>
              </w:tabs>
              <w:spacing w:after="0" w:before="20"/>
              <w:ind w:hanging="0" w:left="-117" w:right="72"/>
              <w:contextualSpacing w:val="false"/>
              <w:rPr/>
            </w:pPr>
            <w:r>
              <w:rPr/>
              <w:t> </w:t>
            </w:r>
          </w:p>
        </w:tc>
        <w:tc>
          <w:tcPr>
            <w:tcW w:type="dxa" w:w="1044"/>
            <w:tcBorders>
              <w:top w:val="nil"/>
              <w:left w:val="nil"/>
              <w:bottom w:val="nil"/>
              <w:right w:val="nil"/>
            </w:tcBorders>
            <w:shd w:fill="auto" w:val="clear"/>
            <w:tcMar>
              <w:left w:type="dxa" w:w="144"/>
            </w:tcMar>
            <w:vAlign w:val="bottom"/>
          </w:tcPr>
          <w:p>
            <w:pPr>
              <w:pStyle w:val="style59"/>
              <w:tabs>
                <w:tab w:leader="none" w:pos="873" w:val="right"/>
              </w:tabs>
              <w:spacing w:after="0" w:before="20"/>
              <w:ind w:hanging="0" w:left="144" w:right="72"/>
              <w:contextualSpacing w:val="false"/>
              <w:rPr/>
            </w:pPr>
            <w:r>
              <w:rPr/>
              <w:t> </w:t>
            </w:r>
          </w:p>
        </w:tc>
        <w:tc>
          <w:tcPr>
            <w:tcW w:type="dxa" w:w="1052"/>
            <w:tcBorders>
              <w:top w:val="nil"/>
              <w:left w:val="nil"/>
              <w:bottom w:val="nil"/>
              <w:right w:val="nil"/>
            </w:tcBorders>
            <w:shd w:fill="auto" w:val="clear"/>
            <w:tcMar>
              <w:left w:type="dxa" w:w="144"/>
            </w:tcMar>
            <w:vAlign w:val="bottom"/>
          </w:tcPr>
          <w:p>
            <w:pPr>
              <w:pStyle w:val="style59"/>
              <w:tabs>
                <w:tab w:leader="none" w:pos="837" w:val="right"/>
                <w:tab w:leader="none" w:pos="882" w:val="decimal"/>
              </w:tabs>
              <w:spacing w:after="0" w:before="20"/>
              <w:ind w:hanging="0" w:left="144" w:right="72"/>
              <w:contextualSpacing w:val="false"/>
              <w:rPr/>
            </w:pPr>
            <w:r>
              <w:rPr/>
              <w:t> </w:t>
            </w:r>
          </w:p>
        </w:tc>
        <w:tc>
          <w:tcPr>
            <w:tcW w:type="dxa" w:w="1142"/>
            <w:tcBorders>
              <w:top w:val="nil"/>
              <w:left w:val="nil"/>
              <w:bottom w:val="nil"/>
              <w:right w:val="nil"/>
            </w:tcBorders>
            <w:shd w:fill="auto" w:val="clear"/>
            <w:tcMar>
              <w:left w:type="dxa" w:w="144"/>
            </w:tcMar>
            <w:vAlign w:val="bottom"/>
          </w:tcPr>
          <w:p>
            <w:pPr>
              <w:pStyle w:val="style59"/>
              <w:tabs>
                <w:tab w:leader="none" w:pos="981" w:val="right"/>
              </w:tabs>
              <w:spacing w:after="0" w:before="20"/>
              <w:ind w:hanging="0" w:left="144" w:right="58"/>
              <w:contextualSpacing w:val="false"/>
              <w:rPr/>
            </w:pPr>
            <w:r>
              <w:rPr/>
              <w:t> </w:t>
            </w:r>
          </w:p>
        </w:tc>
        <w:tc>
          <w:tcPr>
            <w:tcW w:type="dxa" w:w="1107"/>
            <w:tcBorders>
              <w:top w:val="nil"/>
              <w:left w:val="nil"/>
              <w:bottom w:val="nil"/>
              <w:right w:val="nil"/>
            </w:tcBorders>
            <w:shd w:fill="auto" w:val="clear"/>
            <w:tcMar>
              <w:left w:type="dxa" w:w="144"/>
            </w:tcMar>
            <w:vAlign w:val="bottom"/>
          </w:tcPr>
          <w:p>
            <w:pPr>
              <w:pStyle w:val="style59"/>
              <w:tabs>
                <w:tab w:leader="none" w:pos="936" w:val="right"/>
              </w:tabs>
              <w:spacing w:after="0" w:before="20"/>
              <w:ind w:hanging="0" w:left="144" w:right="58"/>
              <w:contextualSpacing w:val="false"/>
              <w:rPr/>
            </w:pPr>
            <w:r>
              <w:rPr/>
              <w:t> </w:t>
            </w:r>
          </w:p>
        </w:tc>
        <w:tc>
          <w:tcPr>
            <w:tcW w:type="dxa" w:w="1233"/>
            <w:tcBorders>
              <w:top w:val="nil"/>
              <w:left w:val="nil"/>
              <w:bottom w:val="nil"/>
              <w:right w:val="nil"/>
            </w:tcBorders>
            <w:shd w:fill="auto" w:val="clear"/>
            <w:tcMar>
              <w:left w:type="dxa" w:w="144"/>
            </w:tcMar>
            <w:vAlign w:val="bottom"/>
          </w:tcPr>
          <w:p>
            <w:pPr>
              <w:pStyle w:val="style59"/>
              <w:tabs>
                <w:tab w:leader="none" w:pos="1071" w:val="right"/>
              </w:tabs>
              <w:spacing w:after="0" w:before="20"/>
              <w:ind w:hanging="0" w:left="144" w:right="58"/>
              <w:contextualSpacing w:val="false"/>
              <w:rPr/>
            </w:pPr>
            <w:r>
              <w:rPr/>
              <w:t> </w:t>
            </w:r>
          </w:p>
        </w:tc>
        <w:tc>
          <w:tcPr>
            <w:tcW w:type="dxa" w:w="1154"/>
            <w:tcBorders>
              <w:top w:val="nil"/>
              <w:left w:val="nil"/>
              <w:bottom w:val="nil"/>
              <w:right w:val="nil"/>
            </w:tcBorders>
            <w:shd w:fill="auto" w:val="clear"/>
            <w:tcMar>
              <w:left w:type="dxa" w:w="144"/>
            </w:tcMar>
            <w:vAlign w:val="bottom"/>
          </w:tcPr>
          <w:p>
            <w:pPr>
              <w:pStyle w:val="style59"/>
              <w:tabs>
                <w:tab w:leader="none" w:pos="990" w:val="right"/>
              </w:tabs>
              <w:spacing w:after="0" w:before="20"/>
              <w:ind w:hanging="0" w:left="144" w:right="58"/>
              <w:contextualSpacing w:val="false"/>
              <w:rPr/>
            </w:pPr>
            <w:r>
              <w:rPr/>
              <w:t> </w:t>
            </w:r>
          </w:p>
        </w:tc>
      </w:tr>
      <w:tr>
        <w:trPr>
          <w:cantSplit w:val="false"/>
        </w:trPr>
        <w:tc>
          <w:tcPr>
            <w:tcW w:type="dxa" w:w="299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070"/>
            <w:tcBorders>
              <w:top w:val="nil"/>
              <w:left w:val="nil"/>
              <w:bottom w:val="nil"/>
              <w:right w:val="nil"/>
            </w:tcBorders>
            <w:shd w:fill="auto" w:val="clear"/>
            <w:tcMar>
              <w:left w:type="dxa" w:w="144"/>
            </w:tcMar>
            <w:vAlign w:val="bottom"/>
          </w:tcPr>
          <w:p>
            <w:pPr>
              <w:pStyle w:val="style62"/>
              <w:tabs>
                <w:tab w:leader="none" w:pos="909" w:val="right"/>
                <w:tab w:leader="none" w:pos="1120" w:val="decimal"/>
              </w:tabs>
              <w:spacing w:after="280" w:before="280"/>
              <w:ind w:hanging="0" w:left="99" w:right="43"/>
              <w:contextualSpacing w:val="false"/>
              <w:rPr>
                <w:rFonts w:ascii="Arial" w:cs="Arial" w:hAnsi="Arial"/>
                <w:b/>
                <w:bCs/>
                <w:sz w:val="20"/>
                <w:szCs w:val="20"/>
              </w:rPr>
            </w:pPr>
            <w:r>
              <w:rPr>
                <w:rFonts w:ascii="Arial" w:cs="Arial" w:hAnsi="Arial"/>
                <w:b/>
                <w:bCs/>
                <w:sz w:val="20"/>
                <w:szCs w:val="20"/>
              </w:rPr>
              <w:t>$ 85,077</w:t>
              <w:tab/>
            </w:r>
          </w:p>
        </w:tc>
        <w:tc>
          <w:tcPr>
            <w:tcW w:type="dxa" w:w="1043"/>
            <w:tcBorders>
              <w:top w:val="nil"/>
              <w:left w:val="nil"/>
              <w:bottom w:val="nil"/>
              <w:right w:val="nil"/>
            </w:tcBorders>
            <w:shd w:fill="auto" w:val="clear"/>
            <w:tcMar>
              <w:left w:type="dxa" w:w="144"/>
            </w:tcMar>
            <w:vAlign w:val="bottom"/>
          </w:tcPr>
          <w:p>
            <w:pPr>
              <w:pStyle w:val="style62"/>
              <w:tabs>
                <w:tab w:leader="none" w:pos="873" w:val="right"/>
                <w:tab w:leader="none" w:pos="108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w:t>
              <w:tab/>
              <w:t>  3,249</w:t>
              <w:tab/>
            </w:r>
          </w:p>
        </w:tc>
        <w:tc>
          <w:tcPr>
            <w:tcW w:type="dxa" w:w="1052"/>
            <w:tcBorders>
              <w:top w:val="nil"/>
              <w:left w:val="nil"/>
              <w:bottom w:val="nil"/>
              <w:right w:val="nil"/>
            </w:tcBorders>
            <w:shd w:fill="auto" w:val="clear"/>
            <w:tcMar>
              <w:left w:type="dxa" w:w="144"/>
            </w:tcMar>
            <w:vAlign w:val="bottom"/>
          </w:tcPr>
          <w:p>
            <w:pPr>
              <w:pStyle w:val="style62"/>
              <w:tabs>
                <w:tab w:leader="none" w:pos="837" w:val="right"/>
                <w:tab w:leader="none" w:pos="882"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w:t>
              <w:tab/>
              <w:t>  (460</w:t>
              <w:tab/>
              <w:t>)</w:t>
            </w:r>
          </w:p>
        </w:tc>
        <w:tc>
          <w:tcPr>
            <w:tcW w:type="dxa" w:w="1143"/>
            <w:tcBorders>
              <w:top w:val="nil"/>
              <w:left w:val="nil"/>
              <w:bottom w:val="nil"/>
              <w:right w:val="nil"/>
            </w:tcBorders>
            <w:shd w:fill="auto" w:val="clear"/>
            <w:tcMar>
              <w:left w:type="dxa" w:w="144"/>
            </w:tcMar>
            <w:vAlign w:val="bottom"/>
          </w:tcPr>
          <w:p>
            <w:pPr>
              <w:pStyle w:val="style62"/>
              <w:tabs>
                <w:tab w:leader="none" w:pos="981" w:val="right"/>
                <w:tab w:leader="none" w:pos="1120" w:val="decimal"/>
              </w:tabs>
              <w:spacing w:after="280" w:before="280"/>
              <w:ind w:hanging="0" w:left="144" w:right="72"/>
              <w:contextualSpacing w:val="false"/>
              <w:rPr>
                <w:rFonts w:ascii="Arial" w:cs="Arial" w:hAnsi="Arial"/>
                <w:b/>
                <w:bCs/>
                <w:sz w:val="20"/>
                <w:szCs w:val="20"/>
              </w:rPr>
            </w:pPr>
            <w:r>
              <w:rPr>
                <w:rFonts w:ascii="Arial" w:cs="Arial" w:hAnsi="Arial"/>
                <w:b/>
                <w:bCs/>
                <w:sz w:val="20"/>
                <w:szCs w:val="20"/>
              </w:rPr>
              <w:t>$</w:t>
              <w:tab/>
              <w:t>  87,866</w:t>
              <w:tab/>
            </w:r>
          </w:p>
        </w:tc>
        <w:tc>
          <w:tcPr>
            <w:tcW w:type="dxa" w:w="1107"/>
            <w:tcBorders>
              <w:top w:val="nil"/>
              <w:left w:val="nil"/>
              <w:bottom w:val="nil"/>
              <w:right w:val="nil"/>
            </w:tcBorders>
            <w:shd w:fill="auto" w:val="clear"/>
            <w:tcMar>
              <w:left w:type="dxa" w:w="144"/>
            </w:tcMar>
            <w:vAlign w:val="bottom"/>
          </w:tcPr>
          <w:p>
            <w:pPr>
              <w:pStyle w:val="style62"/>
              <w:tabs>
                <w:tab w:leader="none" w:pos="936" w:val="right"/>
                <w:tab w:leader="none" w:pos="114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w:t>
              <w:tab/>
              <w:t>  3,804</w:t>
              <w:tab/>
            </w:r>
          </w:p>
        </w:tc>
        <w:tc>
          <w:tcPr>
            <w:tcW w:type="dxa" w:w="1233"/>
            <w:tcBorders>
              <w:top w:val="nil"/>
              <w:left w:val="nil"/>
              <w:bottom w:val="nil"/>
              <w:right w:val="nil"/>
            </w:tcBorders>
            <w:shd w:fill="auto" w:val="clear"/>
            <w:tcMar>
              <w:left w:type="dxa" w:w="144"/>
            </w:tcMar>
            <w:vAlign w:val="bottom"/>
          </w:tcPr>
          <w:p>
            <w:pPr>
              <w:pStyle w:val="style62"/>
              <w:tabs>
                <w:tab w:leader="none" w:pos="1071" w:val="right"/>
                <w:tab w:leader="none" w:pos="118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w:t>
              <w:tab/>
              <w:t>  73,218</w:t>
              <w:tab/>
            </w:r>
          </w:p>
        </w:tc>
        <w:tc>
          <w:tcPr>
            <w:tcW w:type="dxa" w:w="1155"/>
            <w:tcBorders>
              <w:top w:val="nil"/>
              <w:left w:val="nil"/>
              <w:bottom w:val="nil"/>
              <w:right w:val="nil"/>
            </w:tcBorders>
            <w:shd w:fill="auto" w:val="clear"/>
            <w:tcMar>
              <w:left w:type="dxa" w:w="144"/>
            </w:tcMar>
            <w:vAlign w:val="bottom"/>
          </w:tcPr>
          <w:p>
            <w:pPr>
              <w:pStyle w:val="style62"/>
              <w:tabs>
                <w:tab w:leader="none" w:pos="990" w:val="right"/>
                <w:tab w:leader="none" w:pos="1180" w:val="decimal"/>
              </w:tabs>
              <w:spacing w:after="280" w:before="280"/>
              <w:ind w:hanging="0" w:left="144" w:right="58"/>
              <w:contextualSpacing w:val="false"/>
              <w:rPr>
                <w:rFonts w:ascii="Arial" w:cs="Arial" w:hAnsi="Arial"/>
                <w:b/>
                <w:bCs/>
                <w:sz w:val="20"/>
                <w:szCs w:val="20"/>
              </w:rPr>
            </w:pPr>
            <w:r>
              <w:rPr>
                <w:rFonts w:ascii="Arial" w:cs="Arial" w:hAnsi="Arial"/>
                <w:b/>
                <w:bCs/>
                <w:sz w:val="20"/>
                <w:szCs w:val="20"/>
              </w:rPr>
              <w:t>$</w:t>
              <w:tab/>
              <w:t>  10,844</w:t>
              <w:tab/>
            </w:r>
          </w:p>
        </w:tc>
      </w:tr>
      <w:tr>
        <w:trPr>
          <w:cantSplit w:val="false"/>
        </w:trPr>
        <w:tc>
          <w:tcPr>
            <w:tcW w:type="dxa" w:w="2996"/>
            <w:tcBorders>
              <w:top w:val="nil"/>
              <w:left w:val="nil"/>
              <w:bottom w:val="nil"/>
              <w:right w:val="nil"/>
            </w:tcBorders>
            <w:shd w:fill="auto" w:val="clear"/>
            <w:tcMar>
              <w:left w:type="dxa" w:w="144"/>
            </w:tcMar>
            <w:vAlign w:val="bottom"/>
          </w:tcPr>
          <w:p>
            <w:pPr>
              <w:pStyle w:val="style65"/>
              <w:rPr/>
            </w:pPr>
            <w:r>
              <w:rPr/>
              <w:t> </w:t>
            </w:r>
          </w:p>
        </w:tc>
        <w:tc>
          <w:tcPr>
            <w:tcW w:type="dxa" w:w="1070"/>
            <w:tcBorders>
              <w:top w:val="nil"/>
              <w:left w:val="nil"/>
              <w:bottom w:val="nil"/>
              <w:right w:val="nil"/>
            </w:tcBorders>
            <w:shd w:fill="auto" w:val="clear"/>
            <w:tcMar>
              <w:left w:type="dxa" w:w="144"/>
            </w:tcMar>
            <w:vAlign w:val="bottom"/>
          </w:tcPr>
          <w:p>
            <w:pPr>
              <w:pStyle w:val="style63"/>
              <w:spacing w:after="0" w:before="20"/>
              <w:ind w:hanging="0" w:left="101" w:right="72"/>
              <w:contextualSpacing w:val="false"/>
              <w:rPr/>
            </w:pPr>
            <w:r>
              <w:rPr/>
              <w:t> </w:t>
            </w:r>
          </w:p>
        </w:tc>
        <w:tc>
          <w:tcPr>
            <w:tcW w:type="dxa" w:w="1043"/>
            <w:tcBorders>
              <w:top w:val="nil"/>
              <w:left w:val="nil"/>
              <w:bottom w:val="nil"/>
              <w:right w:val="nil"/>
            </w:tcBorders>
            <w:shd w:fill="auto" w:val="clear"/>
            <w:tcMar>
              <w:left w:type="dxa" w:w="144"/>
            </w:tcMar>
            <w:vAlign w:val="bottom"/>
          </w:tcPr>
          <w:p>
            <w:pPr>
              <w:pStyle w:val="style63"/>
              <w:spacing w:after="0" w:before="20"/>
              <w:ind w:hanging="0" w:left="144" w:right="72"/>
              <w:contextualSpacing w:val="false"/>
              <w:rPr/>
            </w:pPr>
            <w:r>
              <w:rPr/>
              <w:t> </w:t>
            </w:r>
          </w:p>
        </w:tc>
        <w:tc>
          <w:tcPr>
            <w:tcW w:type="dxa" w:w="1052"/>
            <w:tcBorders>
              <w:top w:val="nil"/>
              <w:left w:val="nil"/>
              <w:bottom w:val="nil"/>
              <w:right w:val="nil"/>
            </w:tcBorders>
            <w:shd w:fill="auto" w:val="clear"/>
            <w:tcMar>
              <w:left w:type="dxa" w:w="144"/>
            </w:tcMar>
            <w:vAlign w:val="bottom"/>
          </w:tcPr>
          <w:p>
            <w:pPr>
              <w:pStyle w:val="style63"/>
              <w:spacing w:after="0" w:before="20"/>
              <w:ind w:hanging="0" w:left="144" w:right="72"/>
              <w:contextualSpacing w:val="false"/>
              <w:rPr/>
            </w:pPr>
            <w:r>
              <w:rPr/>
              <w:t> </w:t>
            </w:r>
          </w:p>
        </w:tc>
        <w:tc>
          <w:tcPr>
            <w:tcW w:type="dxa" w:w="1143"/>
            <w:tcBorders>
              <w:top w:val="nil"/>
              <w:left w:val="nil"/>
              <w:bottom w:val="nil"/>
              <w:right w:val="nil"/>
            </w:tcBorders>
            <w:shd w:fill="auto" w:val="clear"/>
            <w:tcMar>
              <w:left w:type="dxa" w:w="144"/>
            </w:tcMar>
            <w:vAlign w:val="bottom"/>
          </w:tcPr>
          <w:p>
            <w:pPr>
              <w:pStyle w:val="style63"/>
              <w:spacing w:after="0" w:before="20"/>
              <w:ind w:hanging="0" w:left="144" w:right="58"/>
              <w:contextualSpacing w:val="false"/>
              <w:rPr/>
            </w:pPr>
            <w:r>
              <w:rPr/>
              <w:t> </w:t>
            </w:r>
          </w:p>
        </w:tc>
        <w:tc>
          <w:tcPr>
            <w:tcW w:type="dxa" w:w="1107"/>
            <w:tcBorders>
              <w:top w:val="nil"/>
              <w:left w:val="nil"/>
              <w:bottom w:val="nil"/>
              <w:right w:val="nil"/>
            </w:tcBorders>
            <w:shd w:fill="auto" w:val="clear"/>
            <w:tcMar>
              <w:left w:type="dxa" w:w="144"/>
            </w:tcMar>
            <w:vAlign w:val="bottom"/>
          </w:tcPr>
          <w:p>
            <w:pPr>
              <w:pStyle w:val="style63"/>
              <w:spacing w:after="0" w:before="20"/>
              <w:ind w:hanging="0" w:left="144" w:right="58"/>
              <w:contextualSpacing w:val="false"/>
              <w:rPr/>
            </w:pPr>
            <w:r>
              <w:rPr/>
              <w:t> </w:t>
            </w:r>
          </w:p>
        </w:tc>
        <w:tc>
          <w:tcPr>
            <w:tcW w:type="dxa" w:w="1233"/>
            <w:tcBorders>
              <w:top w:val="nil"/>
              <w:left w:val="nil"/>
              <w:bottom w:val="nil"/>
              <w:right w:val="nil"/>
            </w:tcBorders>
            <w:shd w:fill="auto" w:val="clear"/>
            <w:tcMar>
              <w:left w:type="dxa" w:w="144"/>
            </w:tcMar>
            <w:vAlign w:val="bottom"/>
          </w:tcPr>
          <w:p>
            <w:pPr>
              <w:pStyle w:val="style63"/>
              <w:spacing w:after="0" w:before="20"/>
              <w:ind w:hanging="0" w:left="144" w:right="58"/>
              <w:contextualSpacing w:val="false"/>
              <w:rPr/>
            </w:pPr>
            <w:r>
              <w:rPr/>
              <w:t> </w:t>
            </w:r>
          </w:p>
        </w:tc>
        <w:tc>
          <w:tcPr>
            <w:tcW w:type="dxa" w:w="1155"/>
            <w:tcBorders>
              <w:top w:val="nil"/>
              <w:left w:val="nil"/>
              <w:bottom w:val="nil"/>
              <w:right w:val="nil"/>
            </w:tcBorders>
            <w:shd w:fill="auto" w:val="clear"/>
            <w:tcMar>
              <w:left w:type="dxa" w:w="144"/>
            </w:tcMar>
            <w:vAlign w:val="bottom"/>
          </w:tcPr>
          <w:p>
            <w:pPr>
              <w:pStyle w:val="style63"/>
              <w:spacing w:after="0" w:before="20"/>
              <w:ind w:hanging="0" w:left="144" w:right="58"/>
              <w:contextualSpacing w:val="false"/>
              <w:rPr/>
            </w:pPr>
            <w:r>
              <w:rPr/>
              <w:t> </w:t>
            </w:r>
          </w:p>
        </w:tc>
      </w:tr>
    </w:tbl>
    <w:p>
      <w:pPr>
        <w:pStyle w:val="style62"/>
        <w:pageBreakBefore/>
        <w:spacing w:after="280" w:before="280"/>
        <w:contextualSpacing w:val="false"/>
        <w:jc w:val="both"/>
        <w:rPr>
          <w:sz w:val="2"/>
          <w:szCs w:val="2"/>
        </w:rPr>
      </w:pPr>
      <w:r>
        <w:rPr>
          <w:sz w:val="2"/>
          <w:szCs w:val="2"/>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2538"/>
        <w:gridCol w:w="1213"/>
        <w:gridCol w:w="1125"/>
        <w:gridCol w:w="1107"/>
        <w:gridCol w:w="1196"/>
        <w:gridCol w:w="1188"/>
        <w:gridCol w:w="1233"/>
        <w:gridCol w:w="1198"/>
      </w:tblGrid>
      <w:tr>
        <w:trPr>
          <w:tblHeader w:val="true"/>
          <w:cantSplit w:val="false"/>
        </w:trPr>
        <w:tc>
          <w:tcPr>
            <w:tcW w:type="dxa" w:w="2538"/>
            <w:tcBorders>
              <w:top w:val="nil"/>
              <w:left w:val="nil"/>
              <w:bottom w:val="nil"/>
              <w:right w:val="nil"/>
            </w:tcBorders>
            <w:shd w:fill="auto" w:val="clear"/>
            <w:vAlign w:val="center"/>
          </w:tcPr>
          <w:p>
            <w:pPr>
              <w:pStyle w:val="style0"/>
              <w:rPr>
                <w:sz w:val="1"/>
                <w:szCs w:val="24"/>
              </w:rPr>
            </w:pPr>
            <w:r>
              <w:rPr>
                <w:sz w:val="1"/>
                <w:szCs w:val="24"/>
              </w:rPr>
            </w:r>
          </w:p>
        </w:tc>
        <w:tc>
          <w:tcPr>
            <w:tcW w:type="dxa" w:w="1213"/>
            <w:tcBorders>
              <w:top w:val="nil"/>
              <w:left w:val="nil"/>
              <w:bottom w:val="nil"/>
              <w:right w:val="nil"/>
            </w:tcBorders>
            <w:shd w:fill="auto" w:val="clear"/>
            <w:vAlign w:val="center"/>
          </w:tcPr>
          <w:p>
            <w:pPr>
              <w:pStyle w:val="style0"/>
              <w:rPr>
                <w:sz w:val="1"/>
                <w:szCs w:val="24"/>
              </w:rPr>
            </w:pPr>
            <w:r>
              <w:rPr>
                <w:sz w:val="1"/>
                <w:szCs w:val="24"/>
              </w:rPr>
            </w:r>
          </w:p>
        </w:tc>
        <w:tc>
          <w:tcPr>
            <w:tcW w:type="dxa" w:w="1125"/>
            <w:tcBorders>
              <w:top w:val="nil"/>
              <w:left w:val="nil"/>
              <w:bottom w:val="nil"/>
              <w:right w:val="nil"/>
            </w:tcBorders>
            <w:shd w:fill="auto" w:val="clear"/>
            <w:vAlign w:val="center"/>
          </w:tcPr>
          <w:p>
            <w:pPr>
              <w:pStyle w:val="style0"/>
              <w:rPr>
                <w:sz w:val="1"/>
                <w:szCs w:val="24"/>
              </w:rPr>
            </w:pPr>
            <w:r>
              <w:rPr>
                <w:sz w:val="1"/>
                <w:szCs w:val="24"/>
              </w:rPr>
            </w:r>
          </w:p>
        </w:tc>
        <w:tc>
          <w:tcPr>
            <w:tcW w:type="dxa" w:w="1107"/>
            <w:tcBorders>
              <w:top w:val="nil"/>
              <w:left w:val="nil"/>
              <w:bottom w:val="nil"/>
              <w:right w:val="nil"/>
            </w:tcBorders>
            <w:shd w:fill="auto" w:val="clear"/>
            <w:vAlign w:val="center"/>
          </w:tcPr>
          <w:p>
            <w:pPr>
              <w:pStyle w:val="style0"/>
              <w:rPr>
                <w:sz w:val="1"/>
                <w:szCs w:val="24"/>
              </w:rPr>
            </w:pPr>
            <w:r>
              <w:rPr>
                <w:sz w:val="1"/>
                <w:szCs w:val="24"/>
              </w:rPr>
            </w:r>
          </w:p>
        </w:tc>
        <w:tc>
          <w:tcPr>
            <w:tcW w:type="dxa" w:w="1196"/>
            <w:tcBorders>
              <w:top w:val="nil"/>
              <w:left w:val="nil"/>
              <w:bottom w:val="nil"/>
              <w:right w:val="nil"/>
            </w:tcBorders>
            <w:shd w:fill="auto" w:val="clear"/>
            <w:vAlign w:val="center"/>
          </w:tcPr>
          <w:p>
            <w:pPr>
              <w:pStyle w:val="style0"/>
              <w:rPr>
                <w:sz w:val="1"/>
                <w:szCs w:val="24"/>
              </w:rPr>
            </w:pPr>
            <w:r>
              <w:rPr>
                <w:sz w:val="1"/>
                <w:szCs w:val="24"/>
              </w:rPr>
            </w:r>
          </w:p>
        </w:tc>
        <w:tc>
          <w:tcPr>
            <w:tcW w:type="dxa" w:w="1188"/>
            <w:tcBorders>
              <w:top w:val="nil"/>
              <w:left w:val="nil"/>
              <w:bottom w:val="nil"/>
              <w:right w:val="nil"/>
            </w:tcBorders>
            <w:shd w:fill="auto" w:val="clear"/>
            <w:vAlign w:val="center"/>
          </w:tcPr>
          <w:p>
            <w:pPr>
              <w:pStyle w:val="style0"/>
              <w:rPr>
                <w:sz w:val="1"/>
                <w:szCs w:val="24"/>
              </w:rPr>
            </w:pPr>
            <w:r>
              <w:rPr>
                <w:sz w:val="1"/>
                <w:szCs w:val="24"/>
              </w:rPr>
            </w:r>
          </w:p>
        </w:tc>
        <w:tc>
          <w:tcPr>
            <w:tcW w:type="dxa" w:w="1233"/>
            <w:tcBorders>
              <w:top w:val="nil"/>
              <w:left w:val="nil"/>
              <w:bottom w:val="nil"/>
              <w:right w:val="nil"/>
            </w:tcBorders>
            <w:shd w:fill="auto" w:val="clear"/>
            <w:vAlign w:val="center"/>
          </w:tcPr>
          <w:p>
            <w:pPr>
              <w:pStyle w:val="style0"/>
              <w:rPr>
                <w:sz w:val="1"/>
                <w:szCs w:val="24"/>
              </w:rPr>
            </w:pPr>
            <w:r>
              <w:rPr>
                <w:sz w:val="1"/>
                <w:szCs w:val="24"/>
              </w:rPr>
            </w:r>
          </w:p>
        </w:tc>
        <w:tc>
          <w:tcPr>
            <w:tcW w:type="dxa" w:w="1198"/>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2538"/>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13"/>
            <w:tcBorders>
              <w:top w:val="nil"/>
              <w:left w:val="nil"/>
              <w:bottom w:val="nil"/>
              <w:right w:val="nil"/>
            </w:tcBorders>
            <w:shd w:fill="auto" w:val="clear"/>
            <w:tcMar>
              <w:left w:type="dxa" w:w="144"/>
            </w:tcMar>
            <w:vAlign w:val="bottom"/>
          </w:tcPr>
          <w:p>
            <w:pPr>
              <w:pStyle w:val="style0"/>
              <w:ind w:hanging="0" w:left="0" w:right="54"/>
              <w:jc w:val="right"/>
              <w:rPr>
                <w:rFonts w:ascii="Arial" w:cs="Arial" w:hAnsi="Arial"/>
                <w:b/>
                <w:bCs/>
                <w:sz w:val="15"/>
                <w:szCs w:val="15"/>
              </w:rPr>
            </w:pPr>
            <w:r>
              <w:rPr>
                <w:rFonts w:ascii="Arial" w:cs="Arial" w:hAnsi="Arial"/>
                <w:b/>
                <w:bCs/>
                <w:sz w:val="15"/>
                <w:szCs w:val="15"/>
              </w:rPr>
              <w:t>Cost Basis</w:t>
            </w:r>
          </w:p>
        </w:tc>
        <w:tc>
          <w:tcPr>
            <w:tcW w:type="dxa" w:w="1125"/>
            <w:tcBorders>
              <w:top w:val="nil"/>
              <w:left w:val="nil"/>
              <w:bottom w:val="nil"/>
              <w:right w:val="nil"/>
            </w:tcBorders>
            <w:shd w:fill="auto" w:val="clear"/>
            <w:tcMar>
              <w:left w:type="dxa" w:w="144"/>
            </w:tcMar>
            <w:vAlign w:val="bottom"/>
          </w:tcPr>
          <w:p>
            <w:pPr>
              <w:pStyle w:val="style62"/>
              <w:spacing w:after="280" w:before="280"/>
              <w:ind w:hanging="0" w:left="0" w:right="54"/>
              <w:contextualSpacing w:val="false"/>
              <w:jc w:val="right"/>
              <w:rPr>
                <w:rFonts w:ascii="Arial" w:cs="Arial" w:hAnsi="Arial"/>
                <w:b/>
                <w:bCs/>
                <w:sz w:val="15"/>
                <w:szCs w:val="15"/>
              </w:rPr>
            </w:pPr>
            <w:r>
              <w:rPr>
                <w:rFonts w:ascii="Arial" w:cs="Arial" w:hAnsi="Arial"/>
                <w:b/>
                <w:bCs/>
                <w:sz w:val="15"/>
                <w:szCs w:val="15"/>
              </w:rPr>
              <w:t>Unrealized</w:t>
            </w:r>
          </w:p>
          <w:p>
            <w:pPr>
              <w:pStyle w:val="style62"/>
              <w:spacing w:after="280" w:before="280"/>
              <w:ind w:hanging="0" w:left="0" w:right="54"/>
              <w:contextualSpacing w:val="false"/>
              <w:jc w:val="right"/>
              <w:rPr>
                <w:rFonts w:ascii="Arial" w:cs="Arial" w:hAnsi="Arial"/>
                <w:b/>
                <w:bCs/>
                <w:sz w:val="15"/>
                <w:szCs w:val="15"/>
              </w:rPr>
            </w:pPr>
            <w:r>
              <w:rPr>
                <w:rFonts w:ascii="Arial" w:cs="Arial" w:hAnsi="Arial"/>
                <w:b/>
                <w:bCs/>
                <w:sz w:val="15"/>
                <w:szCs w:val="15"/>
              </w:rPr>
              <w:t>Gains</w:t>
            </w:r>
          </w:p>
        </w:tc>
        <w:tc>
          <w:tcPr>
            <w:tcW w:type="dxa" w:w="1107"/>
            <w:tcBorders>
              <w:top w:val="nil"/>
              <w:left w:val="nil"/>
              <w:bottom w:val="nil"/>
              <w:right w:val="nil"/>
            </w:tcBorders>
            <w:shd w:fill="auto" w:val="clear"/>
            <w:tcMar>
              <w:left w:type="dxa" w:w="144"/>
            </w:tcMar>
            <w:vAlign w:val="bottom"/>
          </w:tcPr>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Unrealized</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Losses</w:t>
            </w:r>
          </w:p>
        </w:tc>
        <w:tc>
          <w:tcPr>
            <w:tcW w:type="dxa" w:w="1196"/>
            <w:tcBorders>
              <w:top w:val="nil"/>
              <w:left w:val="nil"/>
              <w:bottom w:val="nil"/>
              <w:right w:val="nil"/>
            </w:tcBorders>
            <w:shd w:fill="auto" w:val="clear"/>
            <w:tcMar>
              <w:left w:type="dxa" w:w="144"/>
            </w:tcMar>
            <w:vAlign w:val="bottom"/>
          </w:tcPr>
          <w:p>
            <w:pPr>
              <w:pStyle w:val="style62"/>
              <w:spacing w:after="280" w:before="280"/>
              <w:ind w:hanging="0" w:left="0" w:right="27"/>
              <w:contextualSpacing w:val="false"/>
              <w:jc w:val="right"/>
              <w:rPr>
                <w:rFonts w:ascii="Arial" w:cs="Arial" w:hAnsi="Arial"/>
                <w:b/>
                <w:bCs/>
                <w:sz w:val="15"/>
                <w:szCs w:val="15"/>
              </w:rPr>
            </w:pPr>
            <w:r>
              <w:rPr>
                <w:rFonts w:ascii="Arial" w:cs="Arial" w:hAnsi="Arial"/>
                <w:b/>
                <w:bCs/>
                <w:sz w:val="15"/>
                <w:szCs w:val="15"/>
              </w:rPr>
              <w:t>Recorded</w:t>
            </w:r>
          </w:p>
          <w:p>
            <w:pPr>
              <w:pStyle w:val="style62"/>
              <w:spacing w:after="280" w:before="280"/>
              <w:ind w:hanging="0" w:left="0" w:right="27"/>
              <w:contextualSpacing w:val="false"/>
              <w:jc w:val="right"/>
              <w:rPr>
                <w:rFonts w:ascii="Arial" w:cs="Arial" w:hAnsi="Arial"/>
                <w:b/>
                <w:bCs/>
                <w:sz w:val="15"/>
                <w:szCs w:val="15"/>
              </w:rPr>
            </w:pPr>
            <w:r>
              <w:rPr>
                <w:rFonts w:ascii="Arial" w:cs="Arial" w:hAnsi="Arial"/>
                <w:b/>
                <w:bCs/>
                <w:sz w:val="15"/>
                <w:szCs w:val="15"/>
              </w:rPr>
              <w:t>Basis</w:t>
            </w:r>
          </w:p>
        </w:tc>
        <w:tc>
          <w:tcPr>
            <w:tcW w:type="dxa" w:w="1188"/>
            <w:tcBorders>
              <w:top w:val="nil"/>
              <w:left w:val="nil"/>
              <w:bottom w:val="nil"/>
              <w:right w:val="nil"/>
            </w:tcBorders>
            <w:shd w:fill="auto" w:val="clear"/>
            <w:tcMar>
              <w:left w:type="dxa" w:w="144"/>
            </w:tcMar>
            <w:vAlign w:val="bottom"/>
          </w:tcPr>
          <w:p>
            <w:pPr>
              <w:pStyle w:val="style62"/>
              <w:spacing w:after="280" w:before="280"/>
              <w:ind w:hanging="0" w:left="0" w:right="45"/>
              <w:contextualSpacing w:val="false"/>
              <w:jc w:val="right"/>
              <w:rPr>
                <w:rFonts w:ascii="Arial" w:cs="Arial" w:hAnsi="Arial"/>
                <w:b/>
                <w:bCs/>
                <w:sz w:val="15"/>
                <w:szCs w:val="15"/>
              </w:rPr>
            </w:pPr>
            <w:r>
              <w:rPr>
                <w:rFonts w:ascii="Arial" w:cs="Arial" w:hAnsi="Arial"/>
                <w:b/>
                <w:bCs/>
                <w:sz w:val="15"/>
                <w:szCs w:val="15"/>
              </w:rPr>
              <w:t>Cash</w:t>
            </w:r>
          </w:p>
          <w:p>
            <w:pPr>
              <w:pStyle w:val="style62"/>
              <w:spacing w:after="280" w:before="280"/>
              <w:ind w:hanging="0" w:left="0" w:right="45"/>
              <w:contextualSpacing w:val="false"/>
              <w:jc w:val="right"/>
              <w:rPr>
                <w:rFonts w:ascii="Arial" w:cs="Arial" w:hAnsi="Arial"/>
                <w:b/>
                <w:bCs/>
                <w:sz w:val="15"/>
                <w:szCs w:val="15"/>
              </w:rPr>
            </w:pPr>
            <w:r>
              <w:rPr>
                <w:rFonts w:ascii="Arial" w:cs="Arial" w:hAnsi="Arial"/>
                <w:b/>
                <w:bCs/>
                <w:sz w:val="15"/>
                <w:szCs w:val="15"/>
              </w:rPr>
              <w:t>and Cash</w:t>
            </w:r>
          </w:p>
          <w:p>
            <w:pPr>
              <w:pStyle w:val="style62"/>
              <w:spacing w:after="280" w:before="280"/>
              <w:ind w:hanging="0" w:left="0" w:right="45"/>
              <w:contextualSpacing w:val="false"/>
              <w:jc w:val="right"/>
              <w:rPr>
                <w:rFonts w:ascii="Arial" w:cs="Arial" w:hAnsi="Arial"/>
                <w:b/>
                <w:bCs/>
                <w:sz w:val="15"/>
                <w:szCs w:val="15"/>
              </w:rPr>
            </w:pPr>
            <w:r>
              <w:rPr>
                <w:rFonts w:ascii="Arial" w:cs="Arial" w:hAnsi="Arial"/>
                <w:b/>
                <w:bCs/>
                <w:sz w:val="15"/>
                <w:szCs w:val="15"/>
              </w:rPr>
              <w:t>Equivalents</w:t>
            </w:r>
          </w:p>
        </w:tc>
        <w:tc>
          <w:tcPr>
            <w:tcW w:type="dxa" w:w="1233"/>
            <w:tcBorders>
              <w:top w:val="nil"/>
              <w:left w:val="nil"/>
              <w:bottom w:val="nil"/>
              <w:right w:val="nil"/>
            </w:tcBorders>
            <w:shd w:fill="auto" w:val="clear"/>
            <w:tcMar>
              <w:left w:type="dxa" w:w="144"/>
            </w:tcMar>
            <w:vAlign w:val="bottom"/>
          </w:tcPr>
          <w:p>
            <w:pPr>
              <w:pStyle w:val="style62"/>
              <w:spacing w:after="280" w:before="280"/>
              <w:ind w:hanging="0" w:left="0" w:right="54"/>
              <w:contextualSpacing w:val="false"/>
              <w:jc w:val="right"/>
              <w:rPr>
                <w:rFonts w:ascii="Arial" w:cs="Arial" w:hAnsi="Arial"/>
                <w:b/>
                <w:bCs/>
                <w:sz w:val="15"/>
                <w:szCs w:val="15"/>
              </w:rPr>
            </w:pPr>
            <w:r>
              <w:rPr>
                <w:rFonts w:ascii="Arial" w:cs="Arial" w:hAnsi="Arial"/>
                <w:b/>
                <w:bCs/>
                <w:sz w:val="15"/>
                <w:szCs w:val="15"/>
              </w:rPr>
              <w:t>Short-term</w:t>
            </w:r>
          </w:p>
          <w:p>
            <w:pPr>
              <w:pStyle w:val="style62"/>
              <w:spacing w:after="280" w:before="280"/>
              <w:ind w:hanging="0" w:left="0" w:right="54"/>
              <w:contextualSpacing w:val="false"/>
              <w:jc w:val="right"/>
              <w:rPr>
                <w:rFonts w:ascii="Arial" w:cs="Arial" w:hAnsi="Arial"/>
                <w:b/>
                <w:bCs/>
                <w:sz w:val="15"/>
                <w:szCs w:val="15"/>
              </w:rPr>
            </w:pPr>
            <w:r>
              <w:rPr>
                <w:rFonts w:ascii="Arial" w:cs="Arial" w:hAnsi="Arial"/>
                <w:b/>
                <w:bCs/>
                <w:sz w:val="15"/>
                <w:szCs w:val="15"/>
              </w:rPr>
              <w:t>Investments</w:t>
            </w:r>
          </w:p>
        </w:tc>
        <w:tc>
          <w:tcPr>
            <w:tcW w:type="dxa" w:w="1198"/>
            <w:tcBorders>
              <w:top w:val="nil"/>
              <w:left w:val="nil"/>
              <w:bottom w:val="nil"/>
              <w:right w:val="nil"/>
            </w:tcBorders>
            <w:shd w:fill="auto" w:val="clear"/>
            <w:tcMar>
              <w:left w:type="dxa" w:w="144"/>
            </w:tcMar>
            <w:vAlign w:val="bottom"/>
          </w:tcPr>
          <w:p>
            <w:pPr>
              <w:pStyle w:val="style62"/>
              <w:spacing w:after="280" w:before="280"/>
              <w:ind w:hanging="0" w:left="0" w:right="27"/>
              <w:contextualSpacing w:val="false"/>
              <w:jc w:val="right"/>
              <w:rPr>
                <w:rFonts w:ascii="Arial" w:cs="Arial" w:hAnsi="Arial"/>
                <w:b/>
                <w:bCs/>
                <w:sz w:val="15"/>
                <w:szCs w:val="15"/>
              </w:rPr>
            </w:pPr>
            <w:r>
              <w:rPr>
                <w:rFonts w:ascii="Arial" w:cs="Arial" w:hAnsi="Arial"/>
                <w:b/>
                <w:bCs/>
                <w:sz w:val="15"/>
                <w:szCs w:val="15"/>
              </w:rPr>
              <w:t>Equity</w:t>
            </w:r>
          </w:p>
          <w:p>
            <w:pPr>
              <w:pStyle w:val="style62"/>
              <w:spacing w:after="280" w:before="280"/>
              <w:ind w:hanging="0" w:left="0" w:right="27"/>
              <w:contextualSpacing w:val="false"/>
              <w:jc w:val="right"/>
              <w:rPr>
                <w:rFonts w:ascii="Arial" w:cs="Arial" w:hAnsi="Arial"/>
                <w:b/>
                <w:bCs/>
                <w:sz w:val="15"/>
                <w:szCs w:val="15"/>
              </w:rPr>
            </w:pPr>
            <w:r>
              <w:rPr>
                <w:rFonts w:ascii="Arial" w:cs="Arial" w:hAnsi="Arial"/>
                <w:b/>
                <w:bCs/>
                <w:sz w:val="15"/>
                <w:szCs w:val="15"/>
              </w:rPr>
              <w:t>and Other</w:t>
            </w:r>
          </w:p>
          <w:p>
            <w:pPr>
              <w:pStyle w:val="style62"/>
              <w:spacing w:after="280" w:before="280"/>
              <w:ind w:hanging="0" w:left="0" w:right="27"/>
              <w:contextualSpacing w:val="false"/>
              <w:jc w:val="right"/>
              <w:rPr>
                <w:rFonts w:ascii="Arial" w:cs="Arial" w:hAnsi="Arial"/>
                <w:b/>
                <w:bCs/>
                <w:sz w:val="15"/>
                <w:szCs w:val="15"/>
              </w:rPr>
            </w:pPr>
            <w:r>
              <w:rPr>
                <w:rFonts w:ascii="Arial" w:cs="Arial" w:hAnsi="Arial"/>
                <w:b/>
                <w:bCs/>
                <w:sz w:val="15"/>
                <w:szCs w:val="15"/>
              </w:rPr>
              <w:t>Investments</w:t>
            </w:r>
          </w:p>
        </w:tc>
      </w:tr>
      <w:tr>
        <w:trPr>
          <w:cantSplit w:val="false"/>
        </w:trPr>
        <w:tc>
          <w:tcPr>
            <w:tcW w:type="dxa" w:w="10798"/>
            <w:gridSpan w:val="8"/>
            <w:tcBorders>
              <w:top w:val="nil"/>
              <w:left w:val="nil"/>
              <w:bottom w:val="nil"/>
              <w:right w:val="nil"/>
            </w:tcBorders>
            <w:shd w:fill="auto" w:val="clear"/>
            <w:tcMar>
              <w:left w:type="dxa" w:w="144"/>
            </w:tcMar>
            <w:vAlign w:val="bottom"/>
          </w:tcPr>
          <w:p>
            <w:pPr>
              <w:pStyle w:val="style59"/>
              <w:spacing w:after="0" w:before="20"/>
              <w:ind w:hanging="0" w:left="-594" w:right="58"/>
              <w:contextualSpacing w:val="false"/>
              <w:rPr/>
            </w:pPr>
            <w:r>
              <w:rPr/>
              <w:t> </w:t>
            </w:r>
          </w:p>
        </w:tc>
      </w:tr>
      <w:tr>
        <w:trPr>
          <w:trHeight w:hRule="atLeast" w:val="75"/>
          <w:cantSplit w:val="false"/>
        </w:trPr>
        <w:tc>
          <w:tcPr>
            <w:tcW w:type="dxa" w:w="2538"/>
            <w:tcBorders>
              <w:top w:val="nil"/>
              <w:left w:val="nil"/>
              <w:bottom w:val="nil"/>
              <w:right w:val="nil"/>
            </w:tcBorders>
            <w:shd w:fill="auto" w:val="clear"/>
            <w:vAlign w:val="center"/>
          </w:tcPr>
          <w:p>
            <w:pPr>
              <w:pStyle w:val="style0"/>
              <w:rPr>
                <w:sz w:val="8"/>
                <w:szCs w:val="24"/>
              </w:rPr>
            </w:pPr>
            <w:r>
              <w:rPr>
                <w:sz w:val="8"/>
                <w:szCs w:val="24"/>
              </w:rPr>
            </w:r>
          </w:p>
        </w:tc>
        <w:tc>
          <w:tcPr>
            <w:tcW w:type="dxa" w:w="1213"/>
            <w:tcBorders>
              <w:top w:val="nil"/>
              <w:left w:val="nil"/>
              <w:bottom w:val="nil"/>
              <w:right w:val="nil"/>
            </w:tcBorders>
            <w:shd w:fill="auto" w:val="clear"/>
            <w:vAlign w:val="center"/>
          </w:tcPr>
          <w:p>
            <w:pPr>
              <w:pStyle w:val="style0"/>
              <w:rPr>
                <w:sz w:val="8"/>
                <w:szCs w:val="24"/>
              </w:rPr>
            </w:pPr>
            <w:r>
              <w:rPr>
                <w:sz w:val="8"/>
                <w:szCs w:val="24"/>
              </w:rPr>
            </w:r>
          </w:p>
        </w:tc>
        <w:tc>
          <w:tcPr>
            <w:tcW w:type="dxa" w:w="1125"/>
            <w:tcBorders>
              <w:top w:val="nil"/>
              <w:left w:val="nil"/>
              <w:bottom w:val="nil"/>
              <w:right w:val="nil"/>
            </w:tcBorders>
            <w:shd w:fill="auto" w:val="clear"/>
            <w:vAlign w:val="center"/>
          </w:tcPr>
          <w:p>
            <w:pPr>
              <w:pStyle w:val="style0"/>
              <w:rPr>
                <w:sz w:val="8"/>
                <w:szCs w:val="24"/>
              </w:rPr>
            </w:pPr>
            <w:r>
              <w:rPr>
                <w:sz w:val="8"/>
                <w:szCs w:val="24"/>
              </w:rPr>
            </w:r>
          </w:p>
        </w:tc>
        <w:tc>
          <w:tcPr>
            <w:tcW w:type="dxa" w:w="1107"/>
            <w:tcBorders>
              <w:top w:val="nil"/>
              <w:left w:val="nil"/>
              <w:bottom w:val="nil"/>
              <w:right w:val="nil"/>
            </w:tcBorders>
            <w:shd w:fill="auto" w:val="clear"/>
            <w:vAlign w:val="center"/>
          </w:tcPr>
          <w:p>
            <w:pPr>
              <w:pStyle w:val="style0"/>
              <w:rPr>
                <w:sz w:val="8"/>
                <w:szCs w:val="24"/>
              </w:rPr>
            </w:pPr>
            <w:r>
              <w:rPr>
                <w:sz w:val="8"/>
                <w:szCs w:val="24"/>
              </w:rPr>
            </w:r>
          </w:p>
        </w:tc>
        <w:tc>
          <w:tcPr>
            <w:tcW w:type="dxa" w:w="1196"/>
            <w:tcBorders>
              <w:top w:val="nil"/>
              <w:left w:val="nil"/>
              <w:bottom w:val="nil"/>
              <w:right w:val="nil"/>
            </w:tcBorders>
            <w:shd w:fill="auto" w:val="clear"/>
            <w:vAlign w:val="center"/>
          </w:tcPr>
          <w:p>
            <w:pPr>
              <w:pStyle w:val="style0"/>
              <w:rPr>
                <w:sz w:val="8"/>
                <w:szCs w:val="24"/>
              </w:rPr>
            </w:pPr>
            <w:r>
              <w:rPr>
                <w:sz w:val="8"/>
                <w:szCs w:val="24"/>
              </w:rPr>
            </w:r>
          </w:p>
        </w:tc>
        <w:tc>
          <w:tcPr>
            <w:tcW w:type="dxa" w:w="1188"/>
            <w:tcBorders>
              <w:top w:val="nil"/>
              <w:left w:val="nil"/>
              <w:bottom w:val="nil"/>
              <w:right w:val="nil"/>
            </w:tcBorders>
            <w:shd w:fill="auto" w:val="clear"/>
            <w:vAlign w:val="center"/>
          </w:tcPr>
          <w:p>
            <w:pPr>
              <w:pStyle w:val="style0"/>
              <w:rPr>
                <w:sz w:val="8"/>
                <w:szCs w:val="24"/>
              </w:rPr>
            </w:pPr>
            <w:r>
              <w:rPr>
                <w:sz w:val="8"/>
                <w:szCs w:val="24"/>
              </w:rPr>
            </w:r>
          </w:p>
        </w:tc>
        <w:tc>
          <w:tcPr>
            <w:tcW w:type="dxa" w:w="1233"/>
            <w:tcBorders>
              <w:top w:val="nil"/>
              <w:left w:val="nil"/>
              <w:bottom w:val="nil"/>
              <w:right w:val="nil"/>
            </w:tcBorders>
            <w:shd w:fill="auto" w:val="clear"/>
            <w:vAlign w:val="center"/>
          </w:tcPr>
          <w:p>
            <w:pPr>
              <w:pStyle w:val="style0"/>
              <w:rPr>
                <w:sz w:val="8"/>
                <w:szCs w:val="24"/>
              </w:rPr>
            </w:pPr>
            <w:r>
              <w:rPr>
                <w:sz w:val="8"/>
                <w:szCs w:val="24"/>
              </w:rPr>
            </w:r>
          </w:p>
        </w:tc>
        <w:tc>
          <w:tcPr>
            <w:tcW w:type="dxa" w:w="1198"/>
            <w:tcBorders>
              <w:top w:val="nil"/>
              <w:left w:val="nil"/>
              <w:bottom w:val="nil"/>
              <w:right w:val="nil"/>
            </w:tcBorders>
            <w:shd w:fill="auto" w:val="clear"/>
            <w:vAlign w:val="center"/>
          </w:tcPr>
          <w:p>
            <w:pPr>
              <w:pStyle w:val="style0"/>
              <w:ind w:hanging="0" w:left="0" w:right="58"/>
              <w:rPr>
                <w:sz w:val="8"/>
                <w:szCs w:val="24"/>
              </w:rPr>
            </w:pPr>
            <w:r>
              <w:rPr>
                <w:sz w:val="8"/>
                <w:szCs w:val="24"/>
              </w:rPr>
            </w:r>
          </w:p>
        </w:tc>
      </w:tr>
      <w:tr>
        <w:trPr>
          <w:cantSplit w:val="false"/>
        </w:trPr>
        <w:tc>
          <w:tcPr>
            <w:tcW w:type="dxa" w:w="2538"/>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 2012</w:t>
            </w:r>
          </w:p>
        </w:tc>
        <w:tc>
          <w:tcPr>
            <w:tcW w:type="dxa" w:w="1213"/>
            <w:tcBorders>
              <w:top w:val="nil"/>
              <w:left w:val="nil"/>
              <w:bottom w:val="nil"/>
              <w:right w:val="nil"/>
            </w:tcBorders>
            <w:shd w:fill="auto" w:val="clear"/>
            <w:tcMar>
              <w:left w:type="dxa" w:w="144"/>
            </w:tcMar>
            <w:vAlign w:val="bottom"/>
          </w:tcPr>
          <w:p>
            <w:pPr>
              <w:pStyle w:val="style65"/>
              <w:rPr/>
            </w:pPr>
            <w:r>
              <w:rPr/>
              <w:t> </w:t>
            </w:r>
          </w:p>
        </w:tc>
        <w:tc>
          <w:tcPr>
            <w:tcW w:type="dxa" w:w="1125"/>
            <w:tcBorders>
              <w:top w:val="nil"/>
              <w:left w:val="nil"/>
              <w:bottom w:val="nil"/>
              <w:right w:val="nil"/>
            </w:tcBorders>
            <w:shd w:fill="auto" w:val="clear"/>
            <w:tcMar>
              <w:left w:type="dxa" w:w="144"/>
            </w:tcMar>
            <w:vAlign w:val="bottom"/>
          </w:tcPr>
          <w:p>
            <w:pPr>
              <w:pStyle w:val="style65"/>
              <w:rPr/>
            </w:pPr>
            <w:r>
              <w:rPr/>
              <w:t> </w:t>
            </w:r>
          </w:p>
        </w:tc>
        <w:tc>
          <w:tcPr>
            <w:tcW w:type="dxa" w:w="1107"/>
            <w:tcBorders>
              <w:top w:val="nil"/>
              <w:left w:val="nil"/>
              <w:bottom w:val="nil"/>
              <w:right w:val="nil"/>
            </w:tcBorders>
            <w:shd w:fill="auto" w:val="clear"/>
            <w:tcMar>
              <w:left w:type="dxa" w:w="144"/>
            </w:tcMar>
            <w:vAlign w:val="bottom"/>
          </w:tcPr>
          <w:p>
            <w:pPr>
              <w:pStyle w:val="style65"/>
              <w:rPr/>
            </w:pPr>
            <w:r>
              <w:rPr/>
              <w:t> </w:t>
            </w:r>
          </w:p>
        </w:tc>
        <w:tc>
          <w:tcPr>
            <w:tcW w:type="dxa" w:w="1196"/>
            <w:tcBorders>
              <w:top w:val="nil"/>
              <w:left w:val="nil"/>
              <w:bottom w:val="nil"/>
              <w:right w:val="nil"/>
            </w:tcBorders>
            <w:shd w:fill="auto" w:val="clear"/>
            <w:tcMar>
              <w:left w:type="dxa" w:w="144"/>
            </w:tcMar>
            <w:vAlign w:val="bottom"/>
          </w:tcPr>
          <w:p>
            <w:pPr>
              <w:pStyle w:val="style65"/>
              <w:rPr/>
            </w:pPr>
            <w:r>
              <w:rPr/>
              <w:t> </w:t>
            </w:r>
          </w:p>
        </w:tc>
        <w:tc>
          <w:tcPr>
            <w:tcW w:type="dxa" w:w="1188"/>
            <w:tcBorders>
              <w:top w:val="nil"/>
              <w:left w:val="nil"/>
              <w:bottom w:val="nil"/>
              <w:right w:val="nil"/>
            </w:tcBorders>
            <w:shd w:fill="auto" w:val="clear"/>
            <w:tcMar>
              <w:left w:type="dxa" w:w="144"/>
            </w:tcMar>
            <w:vAlign w:val="bottom"/>
          </w:tcPr>
          <w:p>
            <w:pPr>
              <w:pStyle w:val="style65"/>
              <w:rPr/>
            </w:pPr>
            <w:r>
              <w:rPr/>
              <w:t> </w:t>
            </w:r>
          </w:p>
        </w:tc>
        <w:tc>
          <w:tcPr>
            <w:tcW w:type="dxa" w:w="1233"/>
            <w:tcBorders>
              <w:top w:val="nil"/>
              <w:left w:val="nil"/>
              <w:bottom w:val="nil"/>
              <w:right w:val="nil"/>
            </w:tcBorders>
            <w:shd w:fill="auto" w:val="clear"/>
            <w:tcMar>
              <w:left w:type="dxa" w:w="144"/>
            </w:tcMar>
            <w:vAlign w:val="bottom"/>
          </w:tcPr>
          <w:p>
            <w:pPr>
              <w:pStyle w:val="style65"/>
              <w:rPr/>
            </w:pPr>
            <w:r>
              <w:rPr/>
              <w:t> </w:t>
            </w:r>
          </w:p>
        </w:tc>
        <w:tc>
          <w:tcPr>
            <w:tcW w:type="dxa" w:w="1198"/>
            <w:tcBorders>
              <w:top w:val="nil"/>
              <w:left w:val="nil"/>
              <w:bottom w:val="nil"/>
              <w:right w:val="nil"/>
            </w:tcBorders>
            <w:shd w:fill="auto" w:val="clear"/>
            <w:tcMar>
              <w:left w:type="dxa" w:w="144"/>
            </w:tcMar>
            <w:vAlign w:val="bottom"/>
          </w:tcPr>
          <w:p>
            <w:pPr>
              <w:pStyle w:val="style65"/>
              <w:ind w:hanging="0" w:left="0" w:right="58"/>
              <w:rPr/>
            </w:pPr>
            <w:r>
              <w:rPr/>
              <w:t> </w:t>
            </w:r>
          </w:p>
        </w:tc>
      </w:tr>
      <w:tr>
        <w:trPr>
          <w:trHeight w:hRule="atLeast" w:val="75"/>
          <w:cantSplit w:val="false"/>
        </w:trPr>
        <w:tc>
          <w:tcPr>
            <w:tcW w:type="dxa" w:w="2538"/>
            <w:tcBorders>
              <w:top w:val="nil"/>
              <w:left w:val="nil"/>
              <w:bottom w:val="nil"/>
              <w:right w:val="nil"/>
            </w:tcBorders>
            <w:shd w:fill="auto" w:val="clear"/>
            <w:vAlign w:val="center"/>
          </w:tcPr>
          <w:p>
            <w:pPr>
              <w:pStyle w:val="style0"/>
              <w:rPr>
                <w:sz w:val="8"/>
                <w:szCs w:val="24"/>
              </w:rPr>
            </w:pPr>
            <w:r>
              <w:rPr>
                <w:sz w:val="8"/>
                <w:szCs w:val="24"/>
              </w:rPr>
            </w:r>
          </w:p>
        </w:tc>
        <w:tc>
          <w:tcPr>
            <w:tcW w:type="dxa" w:w="1213"/>
            <w:tcBorders>
              <w:top w:val="nil"/>
              <w:left w:val="nil"/>
              <w:bottom w:val="nil"/>
              <w:right w:val="nil"/>
            </w:tcBorders>
            <w:shd w:fill="auto" w:val="clear"/>
            <w:vAlign w:val="center"/>
          </w:tcPr>
          <w:p>
            <w:pPr>
              <w:pStyle w:val="style0"/>
              <w:rPr>
                <w:sz w:val="8"/>
                <w:szCs w:val="24"/>
              </w:rPr>
            </w:pPr>
            <w:r>
              <w:rPr>
                <w:sz w:val="8"/>
                <w:szCs w:val="24"/>
              </w:rPr>
            </w:r>
          </w:p>
        </w:tc>
        <w:tc>
          <w:tcPr>
            <w:tcW w:type="dxa" w:w="1125"/>
            <w:tcBorders>
              <w:top w:val="nil"/>
              <w:left w:val="nil"/>
              <w:bottom w:val="nil"/>
              <w:right w:val="nil"/>
            </w:tcBorders>
            <w:shd w:fill="auto" w:val="clear"/>
            <w:vAlign w:val="center"/>
          </w:tcPr>
          <w:p>
            <w:pPr>
              <w:pStyle w:val="style0"/>
              <w:rPr>
                <w:sz w:val="8"/>
                <w:szCs w:val="24"/>
              </w:rPr>
            </w:pPr>
            <w:r>
              <w:rPr>
                <w:sz w:val="8"/>
                <w:szCs w:val="24"/>
              </w:rPr>
            </w:r>
          </w:p>
        </w:tc>
        <w:tc>
          <w:tcPr>
            <w:tcW w:type="dxa" w:w="1107"/>
            <w:tcBorders>
              <w:top w:val="nil"/>
              <w:left w:val="nil"/>
              <w:bottom w:val="nil"/>
              <w:right w:val="nil"/>
            </w:tcBorders>
            <w:shd w:fill="auto" w:val="clear"/>
            <w:vAlign w:val="center"/>
          </w:tcPr>
          <w:p>
            <w:pPr>
              <w:pStyle w:val="style0"/>
              <w:rPr>
                <w:sz w:val="8"/>
                <w:szCs w:val="24"/>
              </w:rPr>
            </w:pPr>
            <w:r>
              <w:rPr>
                <w:sz w:val="8"/>
                <w:szCs w:val="24"/>
              </w:rPr>
            </w:r>
          </w:p>
        </w:tc>
        <w:tc>
          <w:tcPr>
            <w:tcW w:type="dxa" w:w="1196"/>
            <w:tcBorders>
              <w:top w:val="nil"/>
              <w:left w:val="nil"/>
              <w:bottom w:val="nil"/>
              <w:right w:val="nil"/>
            </w:tcBorders>
            <w:shd w:fill="auto" w:val="clear"/>
            <w:vAlign w:val="center"/>
          </w:tcPr>
          <w:p>
            <w:pPr>
              <w:pStyle w:val="style0"/>
              <w:rPr>
                <w:sz w:val="8"/>
                <w:szCs w:val="24"/>
              </w:rPr>
            </w:pPr>
            <w:r>
              <w:rPr>
                <w:sz w:val="8"/>
                <w:szCs w:val="24"/>
              </w:rPr>
            </w:r>
          </w:p>
        </w:tc>
        <w:tc>
          <w:tcPr>
            <w:tcW w:type="dxa" w:w="1188"/>
            <w:tcBorders>
              <w:top w:val="nil"/>
              <w:left w:val="nil"/>
              <w:bottom w:val="nil"/>
              <w:right w:val="nil"/>
            </w:tcBorders>
            <w:shd w:fill="auto" w:val="clear"/>
            <w:vAlign w:val="center"/>
          </w:tcPr>
          <w:p>
            <w:pPr>
              <w:pStyle w:val="style0"/>
              <w:rPr>
                <w:sz w:val="8"/>
                <w:szCs w:val="24"/>
              </w:rPr>
            </w:pPr>
            <w:r>
              <w:rPr>
                <w:sz w:val="8"/>
                <w:szCs w:val="24"/>
              </w:rPr>
            </w:r>
          </w:p>
        </w:tc>
        <w:tc>
          <w:tcPr>
            <w:tcW w:type="dxa" w:w="1233"/>
            <w:tcBorders>
              <w:top w:val="nil"/>
              <w:left w:val="nil"/>
              <w:bottom w:val="nil"/>
              <w:right w:val="nil"/>
            </w:tcBorders>
            <w:shd w:fill="auto" w:val="clear"/>
            <w:vAlign w:val="center"/>
          </w:tcPr>
          <w:p>
            <w:pPr>
              <w:pStyle w:val="style0"/>
              <w:rPr>
                <w:sz w:val="8"/>
                <w:szCs w:val="24"/>
              </w:rPr>
            </w:pPr>
            <w:r>
              <w:rPr>
                <w:sz w:val="8"/>
                <w:szCs w:val="24"/>
              </w:rPr>
            </w:r>
          </w:p>
        </w:tc>
        <w:tc>
          <w:tcPr>
            <w:tcW w:type="dxa" w:w="1198"/>
            <w:tcBorders>
              <w:top w:val="nil"/>
              <w:left w:val="nil"/>
              <w:bottom w:val="nil"/>
              <w:right w:val="nil"/>
            </w:tcBorders>
            <w:shd w:fill="auto" w:val="clear"/>
            <w:vAlign w:val="center"/>
          </w:tcPr>
          <w:p>
            <w:pPr>
              <w:pStyle w:val="style0"/>
              <w:ind w:hanging="0" w:left="0" w:right="58"/>
              <w:rPr>
                <w:sz w:val="8"/>
                <w:szCs w:val="24"/>
              </w:rPr>
            </w:pPr>
            <w:r>
              <w:rPr>
                <w:sz w:val="8"/>
                <w:szCs w:val="24"/>
              </w:rPr>
            </w:r>
          </w:p>
        </w:tc>
      </w:tr>
      <w:tr>
        <w:trPr>
          <w:cantSplit w:val="false"/>
        </w:trPr>
        <w:tc>
          <w:tcPr>
            <w:tcW w:type="dxa" w:w="253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Cash</w:t>
            </w:r>
          </w:p>
        </w:tc>
        <w:tc>
          <w:tcPr>
            <w:tcW w:type="dxa" w:w="1213"/>
            <w:tcBorders>
              <w:top w:val="nil"/>
              <w:left w:val="nil"/>
              <w:bottom w:val="nil"/>
              <w:right w:val="nil"/>
            </w:tcBorders>
            <w:shd w:fill="auto" w:val="clear"/>
            <w:tcMar>
              <w:left w:type="dxa" w:w="144"/>
            </w:tcMar>
            <w:vAlign w:val="bottom"/>
          </w:tcPr>
          <w:p>
            <w:pPr>
              <w:pStyle w:val="style62"/>
              <w:tabs>
                <w:tab w:leader="none" w:pos="1071" w:val="right"/>
                <w:tab w:leader="none" w:pos="117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2,019 </w:t>
            </w:r>
          </w:p>
        </w:tc>
        <w:tc>
          <w:tcPr>
            <w:tcW w:type="dxa" w:w="1125"/>
            <w:tcBorders>
              <w:top w:val="nil"/>
              <w:left w:val="nil"/>
              <w:bottom w:val="nil"/>
              <w:right w:val="nil"/>
            </w:tcBorders>
            <w:shd w:fill="auto" w:val="clear"/>
            <w:tcMar>
              <w:left w:type="dxa" w:w="144"/>
            </w:tcMar>
            <w:vAlign w:val="bottom"/>
          </w:tcPr>
          <w:p>
            <w:pPr>
              <w:pStyle w:val="style62"/>
              <w:tabs>
                <w:tab w:leader="none" w:pos="945" w:val="right"/>
                <w:tab w:leader="none" w:pos="108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0</w:t>
              <w:tab/>
              <w:t> </w:t>
            </w:r>
          </w:p>
        </w:tc>
        <w:tc>
          <w:tcPr>
            <w:tcW w:type="dxa" w:w="1107"/>
            <w:tcBorders>
              <w:top w:val="nil"/>
              <w:left w:val="nil"/>
              <w:bottom w:val="nil"/>
              <w:right w:val="nil"/>
            </w:tcBorders>
            <w:shd w:fill="auto" w:val="clear"/>
            <w:tcMar>
              <w:left w:type="dxa" w:w="144"/>
            </w:tcMar>
            <w:vAlign w:val="bottom"/>
          </w:tcPr>
          <w:p>
            <w:pPr>
              <w:pStyle w:val="style62"/>
              <w:tabs>
                <w:tab w:leader="none" w:pos="891" w:val="right"/>
                <w:tab w:leader="none" w:pos="945" w:val="decimal"/>
              </w:tabs>
              <w:spacing w:after="280" w:before="280"/>
              <w:ind w:hanging="0" w:left="274" w:right="101"/>
              <w:contextualSpacing w:val="false"/>
              <w:rPr>
                <w:rFonts w:ascii="Arial" w:cs="Arial" w:hAnsi="Arial"/>
                <w:sz w:val="20"/>
                <w:szCs w:val="20"/>
              </w:rPr>
            </w:pPr>
            <w:r>
              <w:rPr>
                <w:rFonts w:ascii="Arial" w:cs="Arial" w:hAnsi="Arial"/>
                <w:sz w:val="20"/>
                <w:szCs w:val="20"/>
              </w:rPr>
              <w:t>$</w:t>
              <w:tab/>
              <w:t>0</w:t>
              <w:tab/>
            </w:r>
          </w:p>
        </w:tc>
        <w:tc>
          <w:tcPr>
            <w:tcW w:type="dxa" w:w="1196"/>
            <w:tcBorders>
              <w:top w:val="nil"/>
              <w:left w:val="nil"/>
              <w:bottom w:val="nil"/>
              <w:right w:val="nil"/>
            </w:tcBorders>
            <w:shd w:fill="auto" w:val="clear"/>
            <w:tcMar>
              <w:left w:type="dxa" w:w="144"/>
            </w:tcMar>
            <w:vAlign w:val="bottom"/>
          </w:tcPr>
          <w:p>
            <w:pPr>
              <w:pStyle w:val="style62"/>
              <w:tabs>
                <w:tab w:leader="none" w:pos="1026" w:val="right"/>
                <w:tab w:leader="none" w:pos="1188" w:val="decimal"/>
              </w:tabs>
              <w:spacing w:after="280" w:before="280"/>
              <w:ind w:hanging="0" w:left="216" w:right="58"/>
              <w:contextualSpacing w:val="false"/>
              <w:rPr>
                <w:rFonts w:ascii="Arial" w:cs="Arial" w:hAnsi="Arial"/>
                <w:sz w:val="20"/>
                <w:szCs w:val="20"/>
              </w:rPr>
            </w:pPr>
            <w:r>
              <w:rPr>
                <w:rFonts w:ascii="Arial" w:cs="Arial" w:hAnsi="Arial"/>
                <w:sz w:val="20"/>
                <w:szCs w:val="20"/>
              </w:rPr>
              <w:t>$</w:t>
              <w:tab/>
              <w:t>2,019</w:t>
              <w:tab/>
              <w:t> </w:t>
            </w:r>
          </w:p>
        </w:tc>
        <w:tc>
          <w:tcPr>
            <w:tcW w:type="dxa" w:w="1188"/>
            <w:tcBorders>
              <w:top w:val="nil"/>
              <w:left w:val="nil"/>
              <w:bottom w:val="nil"/>
              <w:right w:val="nil"/>
            </w:tcBorders>
            <w:shd w:fill="auto" w:val="clear"/>
            <w:tcMar>
              <w:left w:type="dxa" w:w="144"/>
            </w:tcMar>
            <w:vAlign w:val="bottom"/>
          </w:tcPr>
          <w:p>
            <w:pPr>
              <w:pStyle w:val="style62"/>
              <w:tabs>
                <w:tab w:leader="none" w:pos="1017" w:val="right"/>
                <w:tab w:leader="none" w:pos="1140" w:val="decimal"/>
              </w:tabs>
              <w:spacing w:after="280" w:before="280"/>
              <w:ind w:hanging="0" w:left="216" w:right="72"/>
              <w:contextualSpacing w:val="false"/>
              <w:rPr>
                <w:rFonts w:ascii="Arial" w:cs="Arial" w:hAnsi="Arial"/>
                <w:sz w:val="20"/>
                <w:szCs w:val="20"/>
              </w:rPr>
            </w:pPr>
            <w:r>
              <w:rPr>
                <w:rFonts w:ascii="Arial" w:cs="Arial" w:hAnsi="Arial"/>
                <w:sz w:val="20"/>
                <w:szCs w:val="20"/>
              </w:rPr>
              <w:t>$</w:t>
              <w:tab/>
              <w:t>2,019</w:t>
              <w:tab/>
              <w:t> </w:t>
            </w:r>
          </w:p>
        </w:tc>
        <w:tc>
          <w:tcPr>
            <w:tcW w:type="dxa" w:w="1233"/>
            <w:tcBorders>
              <w:top w:val="nil"/>
              <w:left w:val="nil"/>
              <w:bottom w:val="nil"/>
              <w:right w:val="nil"/>
            </w:tcBorders>
            <w:shd w:fill="auto" w:val="clear"/>
            <w:tcMar>
              <w:left w:type="dxa" w:w="144"/>
            </w:tcMar>
            <w:vAlign w:val="bottom"/>
          </w:tcPr>
          <w:p>
            <w:pPr>
              <w:pStyle w:val="style62"/>
              <w:tabs>
                <w:tab w:leader="none" w:pos="1053" w:val="right"/>
                <w:tab w:leader="none" w:pos="1180" w:val="decimal"/>
              </w:tabs>
              <w:spacing w:after="280" w:before="280"/>
              <w:ind w:hanging="0" w:left="173" w:right="72"/>
              <w:contextualSpacing w:val="false"/>
              <w:rPr>
                <w:rFonts w:ascii="Arial" w:cs="Arial" w:hAnsi="Arial"/>
                <w:sz w:val="20"/>
                <w:szCs w:val="20"/>
              </w:rPr>
            </w:pPr>
            <w:r>
              <w:rPr>
                <w:rFonts w:ascii="Arial" w:cs="Arial" w:hAnsi="Arial"/>
                <w:sz w:val="20"/>
                <w:szCs w:val="20"/>
              </w:rPr>
              <w:t>$</w:t>
              <w:tab/>
              <w:t>0</w:t>
              <w:tab/>
              <w:t> </w:t>
            </w:r>
          </w:p>
        </w:tc>
        <w:tc>
          <w:tcPr>
            <w:tcW w:type="dxa" w:w="1198"/>
            <w:tcBorders>
              <w:top w:val="nil"/>
              <w:left w:val="nil"/>
              <w:bottom w:val="nil"/>
              <w:right w:val="nil"/>
            </w:tcBorders>
            <w:shd w:fill="auto" w:val="clear"/>
            <w:tcMar>
              <w:left w:type="dxa" w:w="144"/>
            </w:tcMar>
            <w:vAlign w:val="bottom"/>
          </w:tcPr>
          <w:p>
            <w:pPr>
              <w:pStyle w:val="style62"/>
              <w:tabs>
                <w:tab w:leader="none" w:pos="1035" w:val="right"/>
                <w:tab w:leader="none" w:pos="1180" w:val="decimal"/>
              </w:tabs>
              <w:spacing w:after="280" w:before="280"/>
              <w:ind w:hanging="0" w:left="288" w:right="58"/>
              <w:contextualSpacing w:val="false"/>
              <w:rPr>
                <w:rFonts w:ascii="Arial" w:cs="Arial" w:hAnsi="Arial"/>
                <w:sz w:val="20"/>
                <w:szCs w:val="20"/>
              </w:rPr>
            </w:pPr>
            <w:r>
              <w:rPr>
                <w:rFonts w:ascii="Arial" w:cs="Arial" w:hAnsi="Arial"/>
                <w:sz w:val="20"/>
                <w:szCs w:val="20"/>
              </w:rPr>
              <w:t>$</w:t>
              <w:tab/>
              <w:t>0</w:t>
              <w:tab/>
              <w:t> </w:t>
            </w:r>
          </w:p>
        </w:tc>
      </w:tr>
      <w:tr>
        <w:trPr>
          <w:cantSplit w:val="false"/>
        </w:trPr>
        <w:tc>
          <w:tcPr>
            <w:tcW w:type="dxa" w:w="253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Mutual funds</w:t>
            </w:r>
          </w:p>
        </w:tc>
        <w:tc>
          <w:tcPr>
            <w:tcW w:type="dxa" w:w="121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820</w:t>
              <w:tab/>
            </w:r>
          </w:p>
        </w:tc>
        <w:tc>
          <w:tcPr>
            <w:tcW w:type="dxa" w:w="1125"/>
            <w:tcBorders>
              <w:top w:val="nil"/>
              <w:left w:val="nil"/>
              <w:bottom w:val="nil"/>
              <w:right w:val="nil"/>
            </w:tcBorders>
            <w:shd w:fill="auto" w:val="clear"/>
            <w:tcMar>
              <w:left w:type="dxa" w:w="144"/>
            </w:tcMar>
            <w:vAlign w:val="bottom"/>
          </w:tcPr>
          <w:p>
            <w:pPr>
              <w:pStyle w:val="style62"/>
              <w:tabs>
                <w:tab w:leader="none" w:pos="945" w:val="right"/>
                <w:tab w:leader="none" w:pos="1080" w:val="decimal"/>
              </w:tabs>
              <w:spacing w:after="280" w:before="280"/>
              <w:ind w:hanging="0" w:left="202" w:right="86"/>
              <w:contextualSpacing w:val="false"/>
              <w:rPr>
                <w:rFonts w:ascii="Arial" w:cs="Arial" w:hAnsi="Arial"/>
                <w:sz w:val="20"/>
                <w:szCs w:val="20"/>
              </w:rPr>
            </w:pPr>
            <w:r>
              <w:rPr>
                <w:rFonts w:ascii="Arial" w:cs="Arial" w:hAnsi="Arial"/>
                <w:sz w:val="20"/>
                <w:szCs w:val="20"/>
              </w:rPr>
              <w:tab/>
              <w:t>0</w:t>
              <w:tab/>
            </w:r>
          </w:p>
        </w:tc>
        <w:tc>
          <w:tcPr>
            <w:tcW w:type="dxa" w:w="1107"/>
            <w:tcBorders>
              <w:top w:val="nil"/>
              <w:left w:val="nil"/>
              <w:bottom w:val="nil"/>
              <w:right w:val="nil"/>
            </w:tcBorders>
            <w:shd w:fill="auto" w:val="clear"/>
            <w:tcMar>
              <w:left w:type="dxa" w:w="144"/>
            </w:tcMar>
            <w:vAlign w:val="bottom"/>
          </w:tcPr>
          <w:p>
            <w:pPr>
              <w:pStyle w:val="style62"/>
              <w:tabs>
                <w:tab w:leader="none" w:pos="891" w:val="right"/>
                <w:tab w:leader="none" w:pos="945" w:val="decimal"/>
              </w:tabs>
              <w:spacing w:after="280" w:before="280"/>
              <w:ind w:hanging="0" w:left="274" w:right="101"/>
              <w:contextualSpacing w:val="false"/>
              <w:rPr>
                <w:rFonts w:ascii="Arial" w:cs="Arial" w:hAnsi="Arial"/>
                <w:sz w:val="20"/>
                <w:szCs w:val="20"/>
              </w:rPr>
            </w:pPr>
            <w:r>
              <w:rPr>
                <w:rFonts w:ascii="Arial" w:cs="Arial" w:hAnsi="Arial"/>
                <w:sz w:val="20"/>
                <w:szCs w:val="20"/>
              </w:rPr>
              <w:tab/>
              <w:t>0</w:t>
              <w:tab/>
            </w:r>
          </w:p>
        </w:tc>
        <w:tc>
          <w:tcPr>
            <w:tcW w:type="dxa" w:w="1196"/>
            <w:tcBorders>
              <w:top w:val="nil"/>
              <w:left w:val="nil"/>
              <w:bottom w:val="nil"/>
              <w:right w:val="nil"/>
            </w:tcBorders>
            <w:shd w:fill="auto" w:val="clear"/>
            <w:tcMar>
              <w:left w:type="dxa" w:w="144"/>
            </w:tcMar>
            <w:vAlign w:val="bottom"/>
          </w:tcPr>
          <w:p>
            <w:pPr>
              <w:pStyle w:val="style62"/>
              <w:tabs>
                <w:tab w:leader="none" w:pos="1026" w:val="right"/>
                <w:tab w:leader="none" w:pos="1188" w:val="decimal"/>
              </w:tabs>
              <w:spacing w:after="280" w:before="280"/>
              <w:ind w:hanging="0" w:left="216" w:right="58"/>
              <w:contextualSpacing w:val="false"/>
              <w:rPr>
                <w:rFonts w:ascii="Arial" w:cs="Arial" w:hAnsi="Arial"/>
                <w:sz w:val="20"/>
                <w:szCs w:val="20"/>
              </w:rPr>
            </w:pPr>
            <w:r>
              <w:rPr>
                <w:rFonts w:ascii="Arial" w:cs="Arial" w:hAnsi="Arial"/>
                <w:sz w:val="20"/>
                <w:szCs w:val="20"/>
              </w:rPr>
              <w:tab/>
              <w:t>820</w:t>
              <w:tab/>
            </w:r>
          </w:p>
        </w:tc>
        <w:tc>
          <w:tcPr>
            <w:tcW w:type="dxa" w:w="1188"/>
            <w:tcBorders>
              <w:top w:val="nil"/>
              <w:left w:val="nil"/>
              <w:bottom w:val="nil"/>
              <w:right w:val="nil"/>
            </w:tcBorders>
            <w:shd w:fill="auto" w:val="clear"/>
            <w:tcMar>
              <w:left w:type="dxa" w:w="144"/>
            </w:tcMar>
            <w:vAlign w:val="bottom"/>
          </w:tcPr>
          <w:p>
            <w:pPr>
              <w:pStyle w:val="style62"/>
              <w:tabs>
                <w:tab w:leader="none" w:pos="1017" w:val="right"/>
                <w:tab w:leader="none" w:pos="1140" w:val="decimal"/>
              </w:tabs>
              <w:spacing w:after="280" w:before="280"/>
              <w:ind w:hanging="0" w:left="216" w:right="72"/>
              <w:contextualSpacing w:val="false"/>
              <w:rPr>
                <w:rFonts w:ascii="Arial" w:cs="Arial" w:hAnsi="Arial"/>
                <w:sz w:val="20"/>
                <w:szCs w:val="20"/>
              </w:rPr>
            </w:pPr>
            <w:r>
              <w:rPr>
                <w:rFonts w:ascii="Arial" w:cs="Arial" w:hAnsi="Arial"/>
                <w:sz w:val="20"/>
                <w:szCs w:val="20"/>
              </w:rPr>
              <w:tab/>
              <w:t>820</w:t>
              <w:tab/>
            </w:r>
          </w:p>
        </w:tc>
        <w:tc>
          <w:tcPr>
            <w:tcW w:type="dxa" w:w="1233"/>
            <w:tcBorders>
              <w:top w:val="nil"/>
              <w:left w:val="nil"/>
              <w:bottom w:val="nil"/>
              <w:right w:val="nil"/>
            </w:tcBorders>
            <w:shd w:fill="auto" w:val="clear"/>
            <w:tcMar>
              <w:left w:type="dxa" w:w="144"/>
            </w:tcMar>
            <w:vAlign w:val="bottom"/>
          </w:tcPr>
          <w:p>
            <w:pPr>
              <w:pStyle w:val="style62"/>
              <w:tabs>
                <w:tab w:leader="none" w:pos="1053" w:val="right"/>
                <w:tab w:leader="none" w:pos="1180" w:val="decimal"/>
              </w:tabs>
              <w:spacing w:after="280" w:before="280"/>
              <w:ind w:hanging="0" w:left="173" w:right="72"/>
              <w:contextualSpacing w:val="false"/>
              <w:rPr>
                <w:rFonts w:ascii="Arial" w:cs="Arial" w:hAnsi="Arial"/>
                <w:sz w:val="20"/>
                <w:szCs w:val="20"/>
              </w:rPr>
            </w:pPr>
            <w:r>
              <w:rPr>
                <w:rFonts w:ascii="Arial" w:cs="Arial" w:hAnsi="Arial"/>
                <w:sz w:val="20"/>
                <w:szCs w:val="20"/>
              </w:rPr>
              <w:tab/>
              <w:t>0</w:t>
              <w:tab/>
            </w:r>
          </w:p>
        </w:tc>
        <w:tc>
          <w:tcPr>
            <w:tcW w:type="dxa" w:w="1198"/>
            <w:tcBorders>
              <w:top w:val="nil"/>
              <w:left w:val="nil"/>
              <w:bottom w:val="nil"/>
              <w:right w:val="nil"/>
            </w:tcBorders>
            <w:shd w:fill="auto" w:val="clear"/>
            <w:tcMar>
              <w:left w:type="dxa" w:w="144"/>
            </w:tcMar>
            <w:vAlign w:val="bottom"/>
          </w:tcPr>
          <w:p>
            <w:pPr>
              <w:pStyle w:val="style62"/>
              <w:tabs>
                <w:tab w:leader="none" w:pos="1035" w:val="right"/>
                <w:tab w:leader="none" w:pos="1180" w:val="decimal"/>
              </w:tabs>
              <w:spacing w:after="280" w:before="280"/>
              <w:ind w:hanging="0" w:left="288" w:right="58"/>
              <w:contextualSpacing w:val="false"/>
              <w:rPr>
                <w:rFonts w:ascii="Arial" w:cs="Arial" w:hAnsi="Arial"/>
                <w:sz w:val="20"/>
                <w:szCs w:val="20"/>
              </w:rPr>
            </w:pPr>
            <w:r>
              <w:rPr>
                <w:rFonts w:ascii="Arial" w:cs="Arial" w:hAnsi="Arial"/>
                <w:sz w:val="20"/>
                <w:szCs w:val="20"/>
              </w:rPr>
              <w:tab/>
              <w:t>0</w:t>
              <w:tab/>
            </w:r>
          </w:p>
        </w:tc>
      </w:tr>
      <w:tr>
        <w:trPr>
          <w:cantSplit w:val="false"/>
        </w:trPr>
        <w:tc>
          <w:tcPr>
            <w:tcW w:type="dxa" w:w="253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Commercial paper</w:t>
            </w:r>
          </w:p>
        </w:tc>
        <w:tc>
          <w:tcPr>
            <w:tcW w:type="dxa" w:w="121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96</w:t>
              <w:tab/>
            </w:r>
          </w:p>
        </w:tc>
        <w:tc>
          <w:tcPr>
            <w:tcW w:type="dxa" w:w="1125"/>
            <w:tcBorders>
              <w:top w:val="nil"/>
              <w:left w:val="nil"/>
              <w:bottom w:val="nil"/>
              <w:right w:val="nil"/>
            </w:tcBorders>
            <w:shd w:fill="auto" w:val="clear"/>
            <w:tcMar>
              <w:left w:type="dxa" w:w="144"/>
            </w:tcMar>
            <w:vAlign w:val="bottom"/>
          </w:tcPr>
          <w:p>
            <w:pPr>
              <w:pStyle w:val="style62"/>
              <w:tabs>
                <w:tab w:leader="none" w:pos="945" w:val="right"/>
                <w:tab w:leader="none" w:pos="1080" w:val="decimal"/>
              </w:tabs>
              <w:spacing w:after="280" w:before="280"/>
              <w:ind w:hanging="0" w:left="202" w:right="86"/>
              <w:contextualSpacing w:val="false"/>
              <w:rPr>
                <w:rFonts w:ascii="Arial" w:cs="Arial" w:hAnsi="Arial"/>
                <w:sz w:val="20"/>
                <w:szCs w:val="20"/>
              </w:rPr>
            </w:pPr>
            <w:r>
              <w:rPr>
                <w:rFonts w:ascii="Arial" w:cs="Arial" w:hAnsi="Arial"/>
                <w:sz w:val="20"/>
                <w:szCs w:val="20"/>
              </w:rPr>
              <w:tab/>
              <w:t>0</w:t>
              <w:tab/>
            </w:r>
          </w:p>
        </w:tc>
        <w:tc>
          <w:tcPr>
            <w:tcW w:type="dxa" w:w="1107"/>
            <w:tcBorders>
              <w:top w:val="nil"/>
              <w:left w:val="nil"/>
              <w:bottom w:val="nil"/>
              <w:right w:val="nil"/>
            </w:tcBorders>
            <w:shd w:fill="auto" w:val="clear"/>
            <w:tcMar>
              <w:left w:type="dxa" w:w="144"/>
            </w:tcMar>
            <w:vAlign w:val="bottom"/>
          </w:tcPr>
          <w:p>
            <w:pPr>
              <w:pStyle w:val="style62"/>
              <w:tabs>
                <w:tab w:leader="none" w:pos="891" w:val="right"/>
                <w:tab w:leader="none" w:pos="945" w:val="decimal"/>
              </w:tabs>
              <w:spacing w:after="280" w:before="280"/>
              <w:ind w:hanging="0" w:left="274" w:right="101"/>
              <w:contextualSpacing w:val="false"/>
              <w:rPr>
                <w:rFonts w:ascii="Arial" w:cs="Arial" w:hAnsi="Arial"/>
                <w:sz w:val="20"/>
                <w:szCs w:val="20"/>
              </w:rPr>
            </w:pPr>
            <w:r>
              <w:rPr>
                <w:rFonts w:ascii="Arial" w:cs="Arial" w:hAnsi="Arial"/>
                <w:sz w:val="20"/>
                <w:szCs w:val="20"/>
              </w:rPr>
              <w:tab/>
              <w:t>0</w:t>
              <w:tab/>
            </w:r>
          </w:p>
        </w:tc>
        <w:tc>
          <w:tcPr>
            <w:tcW w:type="dxa" w:w="1196"/>
            <w:tcBorders>
              <w:top w:val="nil"/>
              <w:left w:val="nil"/>
              <w:bottom w:val="nil"/>
              <w:right w:val="nil"/>
            </w:tcBorders>
            <w:shd w:fill="auto" w:val="clear"/>
            <w:tcMar>
              <w:left w:type="dxa" w:w="144"/>
            </w:tcMar>
            <w:vAlign w:val="bottom"/>
          </w:tcPr>
          <w:p>
            <w:pPr>
              <w:pStyle w:val="style62"/>
              <w:tabs>
                <w:tab w:leader="none" w:pos="1026" w:val="right"/>
                <w:tab w:leader="none" w:pos="1188" w:val="decimal"/>
              </w:tabs>
              <w:spacing w:after="280" w:before="280"/>
              <w:ind w:hanging="0" w:left="216" w:right="58"/>
              <w:contextualSpacing w:val="false"/>
              <w:rPr>
                <w:rFonts w:ascii="Arial" w:cs="Arial" w:hAnsi="Arial"/>
                <w:sz w:val="20"/>
                <w:szCs w:val="20"/>
              </w:rPr>
            </w:pPr>
            <w:r>
              <w:rPr>
                <w:rFonts w:ascii="Arial" w:cs="Arial" w:hAnsi="Arial"/>
                <w:sz w:val="20"/>
                <w:szCs w:val="20"/>
              </w:rPr>
              <w:tab/>
              <w:t>96</w:t>
              <w:tab/>
            </w:r>
          </w:p>
        </w:tc>
        <w:tc>
          <w:tcPr>
            <w:tcW w:type="dxa" w:w="1188"/>
            <w:tcBorders>
              <w:top w:val="nil"/>
              <w:left w:val="nil"/>
              <w:bottom w:val="nil"/>
              <w:right w:val="nil"/>
            </w:tcBorders>
            <w:shd w:fill="auto" w:val="clear"/>
            <w:tcMar>
              <w:left w:type="dxa" w:w="144"/>
            </w:tcMar>
            <w:vAlign w:val="bottom"/>
          </w:tcPr>
          <w:p>
            <w:pPr>
              <w:pStyle w:val="style62"/>
              <w:tabs>
                <w:tab w:leader="none" w:pos="1017" w:val="right"/>
                <w:tab w:leader="none" w:pos="1140" w:val="decimal"/>
              </w:tabs>
              <w:spacing w:after="280" w:before="280"/>
              <w:ind w:hanging="0" w:left="216" w:right="72"/>
              <w:contextualSpacing w:val="false"/>
              <w:rPr>
                <w:rFonts w:ascii="Arial" w:cs="Arial" w:hAnsi="Arial"/>
                <w:sz w:val="20"/>
                <w:szCs w:val="20"/>
              </w:rPr>
            </w:pPr>
            <w:r>
              <w:rPr>
                <w:rFonts w:ascii="Arial" w:cs="Arial" w:hAnsi="Arial"/>
                <w:sz w:val="20"/>
                <w:szCs w:val="20"/>
              </w:rPr>
              <w:tab/>
              <w:t>96</w:t>
              <w:tab/>
            </w:r>
          </w:p>
        </w:tc>
        <w:tc>
          <w:tcPr>
            <w:tcW w:type="dxa" w:w="1233"/>
            <w:tcBorders>
              <w:top w:val="nil"/>
              <w:left w:val="nil"/>
              <w:bottom w:val="nil"/>
              <w:right w:val="nil"/>
            </w:tcBorders>
            <w:shd w:fill="auto" w:val="clear"/>
            <w:tcMar>
              <w:left w:type="dxa" w:w="144"/>
            </w:tcMar>
            <w:vAlign w:val="bottom"/>
          </w:tcPr>
          <w:p>
            <w:pPr>
              <w:pStyle w:val="style62"/>
              <w:tabs>
                <w:tab w:leader="none" w:pos="1053" w:val="right"/>
                <w:tab w:leader="none" w:pos="1180" w:val="decimal"/>
              </w:tabs>
              <w:spacing w:after="280" w:before="280"/>
              <w:ind w:hanging="0" w:left="173" w:right="72"/>
              <w:contextualSpacing w:val="false"/>
              <w:rPr>
                <w:rFonts w:ascii="Arial" w:cs="Arial" w:hAnsi="Arial"/>
                <w:sz w:val="20"/>
                <w:szCs w:val="20"/>
              </w:rPr>
            </w:pPr>
            <w:r>
              <w:rPr>
                <w:rFonts w:ascii="Arial" w:cs="Arial" w:hAnsi="Arial"/>
                <w:sz w:val="20"/>
                <w:szCs w:val="20"/>
              </w:rPr>
              <w:tab/>
              <w:t>0</w:t>
              <w:tab/>
            </w:r>
          </w:p>
        </w:tc>
        <w:tc>
          <w:tcPr>
            <w:tcW w:type="dxa" w:w="1198"/>
            <w:tcBorders>
              <w:top w:val="nil"/>
              <w:left w:val="nil"/>
              <w:bottom w:val="nil"/>
              <w:right w:val="nil"/>
            </w:tcBorders>
            <w:shd w:fill="auto" w:val="clear"/>
            <w:tcMar>
              <w:left w:type="dxa" w:w="144"/>
            </w:tcMar>
            <w:vAlign w:val="bottom"/>
          </w:tcPr>
          <w:p>
            <w:pPr>
              <w:pStyle w:val="style62"/>
              <w:tabs>
                <w:tab w:leader="none" w:pos="1035" w:val="right"/>
                <w:tab w:leader="none" w:pos="1180" w:val="decimal"/>
              </w:tabs>
              <w:spacing w:after="280" w:before="280"/>
              <w:ind w:hanging="0" w:left="288" w:right="58"/>
              <w:contextualSpacing w:val="false"/>
              <w:rPr>
                <w:rFonts w:ascii="Arial" w:cs="Arial" w:hAnsi="Arial"/>
                <w:sz w:val="20"/>
                <w:szCs w:val="20"/>
              </w:rPr>
            </w:pPr>
            <w:r>
              <w:rPr>
                <w:rFonts w:ascii="Arial" w:cs="Arial" w:hAnsi="Arial"/>
                <w:sz w:val="20"/>
                <w:szCs w:val="20"/>
              </w:rPr>
              <w:tab/>
              <w:t>0</w:t>
              <w:tab/>
            </w:r>
          </w:p>
        </w:tc>
      </w:tr>
      <w:tr>
        <w:trPr>
          <w:cantSplit w:val="false"/>
        </w:trPr>
        <w:tc>
          <w:tcPr>
            <w:tcW w:type="dxa" w:w="253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Certificates of deposit</w:t>
            </w:r>
          </w:p>
        </w:tc>
        <w:tc>
          <w:tcPr>
            <w:tcW w:type="dxa" w:w="121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744</w:t>
              <w:tab/>
            </w:r>
          </w:p>
        </w:tc>
        <w:tc>
          <w:tcPr>
            <w:tcW w:type="dxa" w:w="1125"/>
            <w:tcBorders>
              <w:top w:val="nil"/>
              <w:left w:val="nil"/>
              <w:bottom w:val="nil"/>
              <w:right w:val="nil"/>
            </w:tcBorders>
            <w:shd w:fill="auto" w:val="clear"/>
            <w:tcMar>
              <w:left w:type="dxa" w:w="144"/>
            </w:tcMar>
            <w:vAlign w:val="bottom"/>
          </w:tcPr>
          <w:p>
            <w:pPr>
              <w:pStyle w:val="style62"/>
              <w:tabs>
                <w:tab w:leader="none" w:pos="945" w:val="right"/>
                <w:tab w:leader="none" w:pos="1080" w:val="decimal"/>
              </w:tabs>
              <w:spacing w:after="280" w:before="280"/>
              <w:ind w:hanging="0" w:left="202" w:right="86"/>
              <w:contextualSpacing w:val="false"/>
              <w:rPr>
                <w:rFonts w:ascii="Arial" w:cs="Arial" w:hAnsi="Arial"/>
                <w:sz w:val="20"/>
                <w:szCs w:val="20"/>
              </w:rPr>
            </w:pPr>
            <w:r>
              <w:rPr>
                <w:rFonts w:ascii="Arial" w:cs="Arial" w:hAnsi="Arial"/>
                <w:sz w:val="20"/>
                <w:szCs w:val="20"/>
              </w:rPr>
              <w:tab/>
              <w:t>0</w:t>
              <w:tab/>
            </w:r>
          </w:p>
        </w:tc>
        <w:tc>
          <w:tcPr>
            <w:tcW w:type="dxa" w:w="1107"/>
            <w:tcBorders>
              <w:top w:val="nil"/>
              <w:left w:val="nil"/>
              <w:bottom w:val="nil"/>
              <w:right w:val="nil"/>
            </w:tcBorders>
            <w:shd w:fill="auto" w:val="clear"/>
            <w:tcMar>
              <w:left w:type="dxa" w:w="144"/>
            </w:tcMar>
            <w:vAlign w:val="bottom"/>
          </w:tcPr>
          <w:p>
            <w:pPr>
              <w:pStyle w:val="style62"/>
              <w:tabs>
                <w:tab w:leader="none" w:pos="891" w:val="right"/>
                <w:tab w:leader="none" w:pos="945" w:val="decimal"/>
              </w:tabs>
              <w:spacing w:after="280" w:before="280"/>
              <w:ind w:hanging="0" w:left="274" w:right="101"/>
              <w:contextualSpacing w:val="false"/>
              <w:rPr>
                <w:rFonts w:ascii="Arial" w:cs="Arial" w:hAnsi="Arial"/>
                <w:sz w:val="20"/>
                <w:szCs w:val="20"/>
              </w:rPr>
            </w:pPr>
            <w:r>
              <w:rPr>
                <w:rFonts w:ascii="Arial" w:cs="Arial" w:hAnsi="Arial"/>
                <w:sz w:val="20"/>
                <w:szCs w:val="20"/>
              </w:rPr>
              <w:tab/>
              <w:t>0</w:t>
              <w:tab/>
            </w:r>
          </w:p>
        </w:tc>
        <w:tc>
          <w:tcPr>
            <w:tcW w:type="dxa" w:w="1196"/>
            <w:tcBorders>
              <w:top w:val="nil"/>
              <w:left w:val="nil"/>
              <w:bottom w:val="nil"/>
              <w:right w:val="nil"/>
            </w:tcBorders>
            <w:shd w:fill="auto" w:val="clear"/>
            <w:tcMar>
              <w:left w:type="dxa" w:w="144"/>
            </w:tcMar>
            <w:vAlign w:val="bottom"/>
          </w:tcPr>
          <w:p>
            <w:pPr>
              <w:pStyle w:val="style62"/>
              <w:tabs>
                <w:tab w:leader="none" w:pos="1026" w:val="right"/>
                <w:tab w:leader="none" w:pos="1188" w:val="decimal"/>
              </w:tabs>
              <w:spacing w:after="280" w:before="280"/>
              <w:ind w:hanging="0" w:left="216" w:right="58"/>
              <w:contextualSpacing w:val="false"/>
              <w:rPr>
                <w:rFonts w:ascii="Arial" w:cs="Arial" w:hAnsi="Arial"/>
                <w:sz w:val="20"/>
                <w:szCs w:val="20"/>
              </w:rPr>
            </w:pPr>
            <w:r>
              <w:rPr>
                <w:rFonts w:ascii="Arial" w:cs="Arial" w:hAnsi="Arial"/>
                <w:sz w:val="20"/>
                <w:szCs w:val="20"/>
              </w:rPr>
              <w:tab/>
              <w:t>744</w:t>
              <w:tab/>
            </w:r>
          </w:p>
        </w:tc>
        <w:tc>
          <w:tcPr>
            <w:tcW w:type="dxa" w:w="1188"/>
            <w:tcBorders>
              <w:top w:val="nil"/>
              <w:left w:val="nil"/>
              <w:bottom w:val="nil"/>
              <w:right w:val="nil"/>
            </w:tcBorders>
            <w:shd w:fill="auto" w:val="clear"/>
            <w:tcMar>
              <w:left w:type="dxa" w:w="144"/>
            </w:tcMar>
            <w:vAlign w:val="bottom"/>
          </w:tcPr>
          <w:p>
            <w:pPr>
              <w:pStyle w:val="style62"/>
              <w:tabs>
                <w:tab w:leader="none" w:pos="1017" w:val="right"/>
                <w:tab w:leader="none" w:pos="1140" w:val="decimal"/>
              </w:tabs>
              <w:spacing w:after="280" w:before="280"/>
              <w:ind w:hanging="0" w:left="216" w:right="72"/>
              <w:contextualSpacing w:val="false"/>
              <w:rPr>
                <w:rFonts w:ascii="Arial" w:cs="Arial" w:hAnsi="Arial"/>
                <w:sz w:val="20"/>
                <w:szCs w:val="20"/>
              </w:rPr>
            </w:pPr>
            <w:r>
              <w:rPr>
                <w:rFonts w:ascii="Arial" w:cs="Arial" w:hAnsi="Arial"/>
                <w:sz w:val="20"/>
                <w:szCs w:val="20"/>
              </w:rPr>
              <w:tab/>
              <w:t>342</w:t>
              <w:tab/>
            </w:r>
          </w:p>
        </w:tc>
        <w:tc>
          <w:tcPr>
            <w:tcW w:type="dxa" w:w="1233"/>
            <w:tcBorders>
              <w:top w:val="nil"/>
              <w:left w:val="nil"/>
              <w:bottom w:val="nil"/>
              <w:right w:val="nil"/>
            </w:tcBorders>
            <w:shd w:fill="auto" w:val="clear"/>
            <w:tcMar>
              <w:left w:type="dxa" w:w="144"/>
            </w:tcMar>
            <w:vAlign w:val="bottom"/>
          </w:tcPr>
          <w:p>
            <w:pPr>
              <w:pStyle w:val="style62"/>
              <w:tabs>
                <w:tab w:leader="none" w:pos="1053" w:val="right"/>
                <w:tab w:leader="none" w:pos="1180" w:val="decimal"/>
              </w:tabs>
              <w:spacing w:after="280" w:before="280"/>
              <w:ind w:hanging="0" w:left="173" w:right="72"/>
              <w:contextualSpacing w:val="false"/>
              <w:rPr>
                <w:rFonts w:ascii="Arial" w:cs="Arial" w:hAnsi="Arial"/>
                <w:sz w:val="20"/>
                <w:szCs w:val="20"/>
              </w:rPr>
            </w:pPr>
            <w:r>
              <w:rPr>
                <w:rFonts w:ascii="Arial" w:cs="Arial" w:hAnsi="Arial"/>
                <w:sz w:val="20"/>
                <w:szCs w:val="20"/>
              </w:rPr>
              <w:tab/>
              <w:t>402</w:t>
              <w:tab/>
            </w:r>
          </w:p>
        </w:tc>
        <w:tc>
          <w:tcPr>
            <w:tcW w:type="dxa" w:w="1198"/>
            <w:tcBorders>
              <w:top w:val="nil"/>
              <w:left w:val="nil"/>
              <w:bottom w:val="nil"/>
              <w:right w:val="nil"/>
            </w:tcBorders>
            <w:shd w:fill="auto" w:val="clear"/>
            <w:tcMar>
              <w:left w:type="dxa" w:w="144"/>
            </w:tcMar>
            <w:vAlign w:val="bottom"/>
          </w:tcPr>
          <w:p>
            <w:pPr>
              <w:pStyle w:val="style62"/>
              <w:tabs>
                <w:tab w:leader="none" w:pos="1035" w:val="right"/>
                <w:tab w:leader="none" w:pos="1180" w:val="decimal"/>
              </w:tabs>
              <w:spacing w:after="280" w:before="280"/>
              <w:ind w:hanging="0" w:left="288" w:right="58"/>
              <w:contextualSpacing w:val="false"/>
              <w:rPr>
                <w:rFonts w:ascii="Arial" w:cs="Arial" w:hAnsi="Arial"/>
                <w:sz w:val="20"/>
                <w:szCs w:val="20"/>
              </w:rPr>
            </w:pPr>
            <w:r>
              <w:rPr>
                <w:rFonts w:ascii="Arial" w:cs="Arial" w:hAnsi="Arial"/>
                <w:sz w:val="20"/>
                <w:szCs w:val="20"/>
              </w:rPr>
              <w:tab/>
              <w:t>0</w:t>
              <w:tab/>
            </w:r>
          </w:p>
        </w:tc>
      </w:tr>
      <w:tr>
        <w:trPr>
          <w:cantSplit w:val="false"/>
        </w:trPr>
        <w:tc>
          <w:tcPr>
            <w:tcW w:type="dxa" w:w="253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U.S. government and agency securities</w:t>
            </w:r>
          </w:p>
        </w:tc>
        <w:tc>
          <w:tcPr>
            <w:tcW w:type="dxa" w:w="121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47,178</w:t>
              <w:tab/>
            </w:r>
          </w:p>
        </w:tc>
        <w:tc>
          <w:tcPr>
            <w:tcW w:type="dxa" w:w="1125"/>
            <w:tcBorders>
              <w:top w:val="nil"/>
              <w:left w:val="nil"/>
              <w:bottom w:val="nil"/>
              <w:right w:val="nil"/>
            </w:tcBorders>
            <w:shd w:fill="auto" w:val="clear"/>
            <w:tcMar>
              <w:left w:type="dxa" w:w="144"/>
            </w:tcMar>
            <w:vAlign w:val="bottom"/>
          </w:tcPr>
          <w:p>
            <w:pPr>
              <w:pStyle w:val="style62"/>
              <w:tabs>
                <w:tab w:leader="none" w:pos="945" w:val="right"/>
                <w:tab w:leader="none" w:pos="1080" w:val="decimal"/>
              </w:tabs>
              <w:spacing w:after="280" w:before="280"/>
              <w:ind w:hanging="0" w:left="202" w:right="86"/>
              <w:contextualSpacing w:val="false"/>
              <w:rPr>
                <w:rFonts w:ascii="Arial" w:cs="Arial" w:hAnsi="Arial"/>
                <w:sz w:val="20"/>
                <w:szCs w:val="20"/>
              </w:rPr>
            </w:pPr>
            <w:r>
              <w:rPr>
                <w:rFonts w:ascii="Arial" w:cs="Arial" w:hAnsi="Arial"/>
                <w:sz w:val="20"/>
                <w:szCs w:val="20"/>
              </w:rPr>
              <w:tab/>
              <w:t>130</w:t>
              <w:tab/>
            </w:r>
          </w:p>
        </w:tc>
        <w:tc>
          <w:tcPr>
            <w:tcW w:type="dxa" w:w="1107"/>
            <w:tcBorders>
              <w:top w:val="nil"/>
              <w:left w:val="nil"/>
              <w:bottom w:val="nil"/>
              <w:right w:val="nil"/>
            </w:tcBorders>
            <w:shd w:fill="auto" w:val="clear"/>
            <w:tcMar>
              <w:left w:type="dxa" w:w="144"/>
            </w:tcMar>
            <w:vAlign w:val="bottom"/>
          </w:tcPr>
          <w:p>
            <w:pPr>
              <w:pStyle w:val="style62"/>
              <w:tabs>
                <w:tab w:leader="none" w:pos="891" w:val="right"/>
                <w:tab w:leader="none" w:pos="945" w:val="decimal"/>
              </w:tabs>
              <w:spacing w:after="280" w:before="280"/>
              <w:ind w:hanging="0" w:left="274" w:right="101"/>
              <w:contextualSpacing w:val="false"/>
              <w:rPr>
                <w:rFonts w:ascii="Arial" w:cs="Arial" w:hAnsi="Arial"/>
                <w:sz w:val="20"/>
                <w:szCs w:val="20"/>
              </w:rPr>
            </w:pPr>
            <w:r>
              <w:rPr>
                <w:rFonts w:ascii="Arial" w:cs="Arial" w:hAnsi="Arial"/>
                <w:sz w:val="20"/>
                <w:szCs w:val="20"/>
              </w:rPr>
              <w:tab/>
              <w:t>(2</w:t>
              <w:tab/>
              <w:t>)</w:t>
            </w:r>
          </w:p>
        </w:tc>
        <w:tc>
          <w:tcPr>
            <w:tcW w:type="dxa" w:w="1196"/>
            <w:tcBorders>
              <w:top w:val="nil"/>
              <w:left w:val="nil"/>
              <w:bottom w:val="nil"/>
              <w:right w:val="nil"/>
            </w:tcBorders>
            <w:shd w:fill="auto" w:val="clear"/>
            <w:tcMar>
              <w:left w:type="dxa" w:w="144"/>
            </w:tcMar>
            <w:vAlign w:val="bottom"/>
          </w:tcPr>
          <w:p>
            <w:pPr>
              <w:pStyle w:val="style62"/>
              <w:tabs>
                <w:tab w:leader="none" w:pos="1026" w:val="right"/>
                <w:tab w:leader="none" w:pos="1188" w:val="decimal"/>
              </w:tabs>
              <w:spacing w:after="280" w:before="280"/>
              <w:ind w:hanging="0" w:left="216" w:right="58"/>
              <w:contextualSpacing w:val="false"/>
              <w:rPr>
                <w:rFonts w:ascii="Arial" w:cs="Arial" w:hAnsi="Arial"/>
                <w:sz w:val="20"/>
                <w:szCs w:val="20"/>
              </w:rPr>
            </w:pPr>
            <w:r>
              <w:rPr>
                <w:rFonts w:ascii="Arial" w:cs="Arial" w:hAnsi="Arial"/>
                <w:sz w:val="20"/>
                <w:szCs w:val="20"/>
              </w:rPr>
              <w:tab/>
              <w:t>47,306</w:t>
              <w:tab/>
            </w:r>
          </w:p>
        </w:tc>
        <w:tc>
          <w:tcPr>
            <w:tcW w:type="dxa" w:w="1188"/>
            <w:tcBorders>
              <w:top w:val="nil"/>
              <w:left w:val="nil"/>
              <w:bottom w:val="nil"/>
              <w:right w:val="nil"/>
            </w:tcBorders>
            <w:shd w:fill="auto" w:val="clear"/>
            <w:tcMar>
              <w:left w:type="dxa" w:w="144"/>
            </w:tcMar>
            <w:vAlign w:val="bottom"/>
          </w:tcPr>
          <w:p>
            <w:pPr>
              <w:pStyle w:val="style62"/>
              <w:tabs>
                <w:tab w:leader="none" w:pos="1017" w:val="right"/>
                <w:tab w:leader="none" w:pos="1140" w:val="decimal"/>
              </w:tabs>
              <w:spacing w:after="280" w:before="280"/>
              <w:ind w:hanging="0" w:left="216" w:right="72"/>
              <w:contextualSpacing w:val="false"/>
              <w:rPr>
                <w:rFonts w:ascii="Arial" w:cs="Arial" w:hAnsi="Arial"/>
                <w:sz w:val="20"/>
                <w:szCs w:val="20"/>
              </w:rPr>
            </w:pPr>
            <w:r>
              <w:rPr>
                <w:rFonts w:ascii="Arial" w:cs="Arial" w:hAnsi="Arial"/>
                <w:sz w:val="20"/>
                <w:szCs w:val="20"/>
              </w:rPr>
              <w:tab/>
              <w:t>561</w:t>
              <w:tab/>
            </w:r>
          </w:p>
        </w:tc>
        <w:tc>
          <w:tcPr>
            <w:tcW w:type="dxa" w:w="1233"/>
            <w:tcBorders>
              <w:top w:val="nil"/>
              <w:left w:val="nil"/>
              <w:bottom w:val="nil"/>
              <w:right w:val="nil"/>
            </w:tcBorders>
            <w:shd w:fill="auto" w:val="clear"/>
            <w:tcMar>
              <w:left w:type="dxa" w:w="144"/>
            </w:tcMar>
            <w:vAlign w:val="bottom"/>
          </w:tcPr>
          <w:p>
            <w:pPr>
              <w:pStyle w:val="style62"/>
              <w:tabs>
                <w:tab w:leader="none" w:pos="1053" w:val="right"/>
                <w:tab w:leader="none" w:pos="1180" w:val="decimal"/>
              </w:tabs>
              <w:spacing w:after="280" w:before="280"/>
              <w:ind w:hanging="0" w:left="173" w:right="72"/>
              <w:contextualSpacing w:val="false"/>
              <w:rPr>
                <w:rFonts w:ascii="Arial" w:cs="Arial" w:hAnsi="Arial"/>
                <w:sz w:val="20"/>
                <w:szCs w:val="20"/>
              </w:rPr>
            </w:pPr>
            <w:r>
              <w:rPr>
                <w:rFonts w:ascii="Arial" w:cs="Arial" w:hAnsi="Arial"/>
                <w:sz w:val="20"/>
                <w:szCs w:val="20"/>
              </w:rPr>
              <w:tab/>
              <w:t>46,745</w:t>
              <w:tab/>
            </w:r>
          </w:p>
        </w:tc>
        <w:tc>
          <w:tcPr>
            <w:tcW w:type="dxa" w:w="1198"/>
            <w:tcBorders>
              <w:top w:val="nil"/>
              <w:left w:val="nil"/>
              <w:bottom w:val="nil"/>
              <w:right w:val="nil"/>
            </w:tcBorders>
            <w:shd w:fill="auto" w:val="clear"/>
            <w:tcMar>
              <w:left w:type="dxa" w:w="144"/>
            </w:tcMar>
            <w:vAlign w:val="bottom"/>
          </w:tcPr>
          <w:p>
            <w:pPr>
              <w:pStyle w:val="style62"/>
              <w:tabs>
                <w:tab w:leader="none" w:pos="1035" w:val="right"/>
                <w:tab w:leader="none" w:pos="1180" w:val="decimal"/>
              </w:tabs>
              <w:spacing w:after="280" w:before="280"/>
              <w:ind w:hanging="0" w:left="288" w:right="58"/>
              <w:contextualSpacing w:val="false"/>
              <w:rPr>
                <w:rFonts w:ascii="Arial" w:cs="Arial" w:hAnsi="Arial"/>
                <w:sz w:val="20"/>
                <w:szCs w:val="20"/>
              </w:rPr>
            </w:pPr>
            <w:r>
              <w:rPr>
                <w:rFonts w:ascii="Arial" w:cs="Arial" w:hAnsi="Arial"/>
                <w:sz w:val="20"/>
                <w:szCs w:val="20"/>
              </w:rPr>
              <w:tab/>
              <w:t>0</w:t>
              <w:tab/>
            </w:r>
          </w:p>
        </w:tc>
      </w:tr>
      <w:tr>
        <w:trPr>
          <w:cantSplit w:val="false"/>
        </w:trPr>
        <w:tc>
          <w:tcPr>
            <w:tcW w:type="dxa" w:w="253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Foreign government bonds</w:t>
            </w:r>
          </w:p>
        </w:tc>
        <w:tc>
          <w:tcPr>
            <w:tcW w:type="dxa" w:w="121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1,741</w:t>
              <w:tab/>
            </w:r>
          </w:p>
        </w:tc>
        <w:tc>
          <w:tcPr>
            <w:tcW w:type="dxa" w:w="1125"/>
            <w:tcBorders>
              <w:top w:val="nil"/>
              <w:left w:val="nil"/>
              <w:bottom w:val="nil"/>
              <w:right w:val="nil"/>
            </w:tcBorders>
            <w:shd w:fill="auto" w:val="clear"/>
            <w:tcMar>
              <w:left w:type="dxa" w:w="144"/>
            </w:tcMar>
            <w:vAlign w:val="bottom"/>
          </w:tcPr>
          <w:p>
            <w:pPr>
              <w:pStyle w:val="style62"/>
              <w:tabs>
                <w:tab w:leader="none" w:pos="945" w:val="right"/>
                <w:tab w:leader="none" w:pos="1080" w:val="decimal"/>
              </w:tabs>
              <w:spacing w:after="280" w:before="280"/>
              <w:ind w:hanging="0" w:left="202" w:right="86"/>
              <w:contextualSpacing w:val="false"/>
              <w:rPr>
                <w:rFonts w:ascii="Arial" w:cs="Arial" w:hAnsi="Arial"/>
                <w:sz w:val="20"/>
                <w:szCs w:val="20"/>
              </w:rPr>
            </w:pPr>
            <w:r>
              <w:rPr>
                <w:rFonts w:ascii="Arial" w:cs="Arial" w:hAnsi="Arial"/>
                <w:sz w:val="20"/>
                <w:szCs w:val="20"/>
              </w:rPr>
              <w:tab/>
              <w:t>18</w:t>
              <w:tab/>
            </w:r>
          </w:p>
        </w:tc>
        <w:tc>
          <w:tcPr>
            <w:tcW w:type="dxa" w:w="1107"/>
            <w:tcBorders>
              <w:top w:val="nil"/>
              <w:left w:val="nil"/>
              <w:bottom w:val="nil"/>
              <w:right w:val="nil"/>
            </w:tcBorders>
            <w:shd w:fill="auto" w:val="clear"/>
            <w:tcMar>
              <w:left w:type="dxa" w:w="144"/>
            </w:tcMar>
            <w:vAlign w:val="bottom"/>
          </w:tcPr>
          <w:p>
            <w:pPr>
              <w:pStyle w:val="style62"/>
              <w:tabs>
                <w:tab w:leader="none" w:pos="891" w:val="right"/>
                <w:tab w:leader="none" w:pos="945" w:val="decimal"/>
              </w:tabs>
              <w:spacing w:after="280" w:before="280"/>
              <w:ind w:hanging="0" w:left="274" w:right="101"/>
              <w:contextualSpacing w:val="false"/>
              <w:rPr>
                <w:rFonts w:ascii="Arial" w:cs="Arial" w:hAnsi="Arial"/>
                <w:sz w:val="20"/>
                <w:szCs w:val="20"/>
              </w:rPr>
            </w:pPr>
            <w:r>
              <w:rPr>
                <w:rFonts w:ascii="Arial" w:cs="Arial" w:hAnsi="Arial"/>
                <w:sz w:val="20"/>
                <w:szCs w:val="20"/>
              </w:rPr>
              <w:tab/>
              <w:t>(29</w:t>
              <w:tab/>
              <w:t>)</w:t>
            </w:r>
          </w:p>
        </w:tc>
        <w:tc>
          <w:tcPr>
            <w:tcW w:type="dxa" w:w="1196"/>
            <w:tcBorders>
              <w:top w:val="nil"/>
              <w:left w:val="nil"/>
              <w:bottom w:val="nil"/>
              <w:right w:val="nil"/>
            </w:tcBorders>
            <w:shd w:fill="auto" w:val="clear"/>
            <w:tcMar>
              <w:left w:type="dxa" w:w="144"/>
            </w:tcMar>
            <w:vAlign w:val="bottom"/>
          </w:tcPr>
          <w:p>
            <w:pPr>
              <w:pStyle w:val="style62"/>
              <w:tabs>
                <w:tab w:leader="none" w:pos="1026" w:val="right"/>
                <w:tab w:leader="none" w:pos="1188" w:val="decimal"/>
              </w:tabs>
              <w:spacing w:after="280" w:before="280"/>
              <w:ind w:hanging="0" w:left="216" w:right="58"/>
              <w:contextualSpacing w:val="false"/>
              <w:rPr>
                <w:rFonts w:ascii="Arial" w:cs="Arial" w:hAnsi="Arial"/>
                <w:sz w:val="20"/>
                <w:szCs w:val="20"/>
              </w:rPr>
            </w:pPr>
            <w:r>
              <w:rPr>
                <w:rFonts w:ascii="Arial" w:cs="Arial" w:hAnsi="Arial"/>
                <w:sz w:val="20"/>
                <w:szCs w:val="20"/>
              </w:rPr>
              <w:tab/>
              <w:t>1,730</w:t>
              <w:tab/>
            </w:r>
          </w:p>
        </w:tc>
        <w:tc>
          <w:tcPr>
            <w:tcW w:type="dxa" w:w="1188"/>
            <w:tcBorders>
              <w:top w:val="nil"/>
              <w:left w:val="nil"/>
              <w:bottom w:val="nil"/>
              <w:right w:val="nil"/>
            </w:tcBorders>
            <w:shd w:fill="auto" w:val="clear"/>
            <w:tcMar>
              <w:left w:type="dxa" w:w="144"/>
            </w:tcMar>
            <w:vAlign w:val="bottom"/>
          </w:tcPr>
          <w:p>
            <w:pPr>
              <w:pStyle w:val="style62"/>
              <w:tabs>
                <w:tab w:leader="none" w:pos="1017" w:val="right"/>
                <w:tab w:leader="none" w:pos="1140" w:val="decimal"/>
              </w:tabs>
              <w:spacing w:after="280" w:before="280"/>
              <w:ind w:hanging="0" w:left="216" w:right="72"/>
              <w:contextualSpacing w:val="false"/>
              <w:rPr>
                <w:rFonts w:ascii="Arial" w:cs="Arial" w:hAnsi="Arial"/>
                <w:sz w:val="20"/>
                <w:szCs w:val="20"/>
              </w:rPr>
            </w:pPr>
            <w:r>
              <w:rPr>
                <w:rFonts w:ascii="Arial" w:cs="Arial" w:hAnsi="Arial"/>
                <w:sz w:val="20"/>
                <w:szCs w:val="20"/>
              </w:rPr>
              <w:tab/>
              <w:t>575</w:t>
              <w:tab/>
            </w:r>
          </w:p>
        </w:tc>
        <w:tc>
          <w:tcPr>
            <w:tcW w:type="dxa" w:w="1233"/>
            <w:tcBorders>
              <w:top w:val="nil"/>
              <w:left w:val="nil"/>
              <w:bottom w:val="nil"/>
              <w:right w:val="nil"/>
            </w:tcBorders>
            <w:shd w:fill="auto" w:val="clear"/>
            <w:tcMar>
              <w:left w:type="dxa" w:w="144"/>
            </w:tcMar>
            <w:vAlign w:val="bottom"/>
          </w:tcPr>
          <w:p>
            <w:pPr>
              <w:pStyle w:val="style62"/>
              <w:tabs>
                <w:tab w:leader="none" w:pos="1053" w:val="right"/>
                <w:tab w:leader="none" w:pos="1180" w:val="decimal"/>
              </w:tabs>
              <w:spacing w:after="280" w:before="280"/>
              <w:ind w:hanging="0" w:left="173" w:right="72"/>
              <w:contextualSpacing w:val="false"/>
              <w:rPr>
                <w:rFonts w:ascii="Arial" w:cs="Arial" w:hAnsi="Arial"/>
                <w:sz w:val="20"/>
                <w:szCs w:val="20"/>
              </w:rPr>
            </w:pPr>
            <w:r>
              <w:rPr>
                <w:rFonts w:ascii="Arial" w:cs="Arial" w:hAnsi="Arial"/>
                <w:sz w:val="20"/>
                <w:szCs w:val="20"/>
              </w:rPr>
              <w:tab/>
              <w:t>1,155</w:t>
              <w:tab/>
            </w:r>
          </w:p>
        </w:tc>
        <w:tc>
          <w:tcPr>
            <w:tcW w:type="dxa" w:w="1198"/>
            <w:tcBorders>
              <w:top w:val="nil"/>
              <w:left w:val="nil"/>
              <w:bottom w:val="nil"/>
              <w:right w:val="nil"/>
            </w:tcBorders>
            <w:shd w:fill="auto" w:val="clear"/>
            <w:tcMar>
              <w:left w:type="dxa" w:w="144"/>
            </w:tcMar>
            <w:vAlign w:val="bottom"/>
          </w:tcPr>
          <w:p>
            <w:pPr>
              <w:pStyle w:val="style62"/>
              <w:tabs>
                <w:tab w:leader="none" w:pos="1035" w:val="right"/>
                <w:tab w:leader="none" w:pos="1180" w:val="decimal"/>
              </w:tabs>
              <w:spacing w:after="280" w:before="280"/>
              <w:ind w:hanging="0" w:left="288" w:right="58"/>
              <w:contextualSpacing w:val="false"/>
              <w:rPr>
                <w:rFonts w:ascii="Arial" w:cs="Arial" w:hAnsi="Arial"/>
                <w:sz w:val="20"/>
                <w:szCs w:val="20"/>
              </w:rPr>
            </w:pPr>
            <w:r>
              <w:rPr>
                <w:rFonts w:ascii="Arial" w:cs="Arial" w:hAnsi="Arial"/>
                <w:sz w:val="20"/>
                <w:szCs w:val="20"/>
              </w:rPr>
              <w:tab/>
              <w:t>0</w:t>
              <w:tab/>
            </w:r>
          </w:p>
        </w:tc>
      </w:tr>
      <w:tr>
        <w:trPr>
          <w:cantSplit w:val="false"/>
        </w:trPr>
        <w:tc>
          <w:tcPr>
            <w:tcW w:type="dxa" w:w="253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Mortgage-backed securities</w:t>
            </w:r>
          </w:p>
        </w:tc>
        <w:tc>
          <w:tcPr>
            <w:tcW w:type="dxa" w:w="121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1,816</w:t>
              <w:tab/>
            </w:r>
          </w:p>
        </w:tc>
        <w:tc>
          <w:tcPr>
            <w:tcW w:type="dxa" w:w="1125"/>
            <w:tcBorders>
              <w:top w:val="nil"/>
              <w:left w:val="nil"/>
              <w:bottom w:val="nil"/>
              <w:right w:val="nil"/>
            </w:tcBorders>
            <w:shd w:fill="auto" w:val="clear"/>
            <w:tcMar>
              <w:left w:type="dxa" w:w="144"/>
            </w:tcMar>
            <w:vAlign w:val="bottom"/>
          </w:tcPr>
          <w:p>
            <w:pPr>
              <w:pStyle w:val="style62"/>
              <w:tabs>
                <w:tab w:leader="none" w:pos="945" w:val="right"/>
                <w:tab w:leader="none" w:pos="1080" w:val="decimal"/>
              </w:tabs>
              <w:spacing w:after="280" w:before="280"/>
              <w:ind w:hanging="0" w:left="202" w:right="86"/>
              <w:contextualSpacing w:val="false"/>
              <w:rPr>
                <w:rFonts w:ascii="Arial" w:cs="Arial" w:hAnsi="Arial"/>
                <w:sz w:val="20"/>
                <w:szCs w:val="20"/>
              </w:rPr>
            </w:pPr>
            <w:r>
              <w:rPr>
                <w:rFonts w:ascii="Arial" w:cs="Arial" w:hAnsi="Arial"/>
                <w:sz w:val="20"/>
                <w:szCs w:val="20"/>
              </w:rPr>
              <w:tab/>
              <w:t>82</w:t>
              <w:tab/>
            </w:r>
          </w:p>
        </w:tc>
        <w:tc>
          <w:tcPr>
            <w:tcW w:type="dxa" w:w="1107"/>
            <w:tcBorders>
              <w:top w:val="nil"/>
              <w:left w:val="nil"/>
              <w:bottom w:val="nil"/>
              <w:right w:val="nil"/>
            </w:tcBorders>
            <w:shd w:fill="auto" w:val="clear"/>
            <w:tcMar>
              <w:left w:type="dxa" w:w="144"/>
            </w:tcMar>
            <w:vAlign w:val="bottom"/>
          </w:tcPr>
          <w:p>
            <w:pPr>
              <w:pStyle w:val="style62"/>
              <w:tabs>
                <w:tab w:leader="none" w:pos="891" w:val="right"/>
                <w:tab w:leader="none" w:pos="945" w:val="decimal"/>
              </w:tabs>
              <w:spacing w:after="280" w:before="280"/>
              <w:ind w:hanging="0" w:left="274" w:right="101"/>
              <w:contextualSpacing w:val="false"/>
              <w:rPr>
                <w:rFonts w:ascii="Arial" w:cs="Arial" w:hAnsi="Arial"/>
                <w:sz w:val="20"/>
                <w:szCs w:val="20"/>
              </w:rPr>
            </w:pPr>
            <w:r>
              <w:rPr>
                <w:rFonts w:ascii="Arial" w:cs="Arial" w:hAnsi="Arial"/>
                <w:sz w:val="20"/>
                <w:szCs w:val="20"/>
              </w:rPr>
              <w:tab/>
              <w:t>(2</w:t>
              <w:tab/>
              <w:t>)</w:t>
            </w:r>
          </w:p>
        </w:tc>
        <w:tc>
          <w:tcPr>
            <w:tcW w:type="dxa" w:w="1196"/>
            <w:tcBorders>
              <w:top w:val="nil"/>
              <w:left w:val="nil"/>
              <w:bottom w:val="nil"/>
              <w:right w:val="nil"/>
            </w:tcBorders>
            <w:shd w:fill="auto" w:val="clear"/>
            <w:tcMar>
              <w:left w:type="dxa" w:w="144"/>
            </w:tcMar>
            <w:vAlign w:val="bottom"/>
          </w:tcPr>
          <w:p>
            <w:pPr>
              <w:pStyle w:val="style62"/>
              <w:tabs>
                <w:tab w:leader="none" w:pos="1026" w:val="right"/>
                <w:tab w:leader="none" w:pos="1188" w:val="decimal"/>
              </w:tabs>
              <w:spacing w:after="280" w:before="280"/>
              <w:ind w:hanging="0" w:left="216" w:right="58"/>
              <w:contextualSpacing w:val="false"/>
              <w:rPr>
                <w:rFonts w:ascii="Arial" w:cs="Arial" w:hAnsi="Arial"/>
                <w:sz w:val="20"/>
                <w:szCs w:val="20"/>
              </w:rPr>
            </w:pPr>
            <w:r>
              <w:rPr>
                <w:rFonts w:ascii="Arial" w:cs="Arial" w:hAnsi="Arial"/>
                <w:sz w:val="20"/>
                <w:szCs w:val="20"/>
              </w:rPr>
              <w:tab/>
              <w:t>1,896</w:t>
              <w:tab/>
            </w:r>
          </w:p>
        </w:tc>
        <w:tc>
          <w:tcPr>
            <w:tcW w:type="dxa" w:w="1188"/>
            <w:tcBorders>
              <w:top w:val="nil"/>
              <w:left w:val="nil"/>
              <w:bottom w:val="nil"/>
              <w:right w:val="nil"/>
            </w:tcBorders>
            <w:shd w:fill="auto" w:val="clear"/>
            <w:tcMar>
              <w:left w:type="dxa" w:w="144"/>
            </w:tcMar>
            <w:vAlign w:val="bottom"/>
          </w:tcPr>
          <w:p>
            <w:pPr>
              <w:pStyle w:val="style62"/>
              <w:tabs>
                <w:tab w:leader="none" w:pos="1017" w:val="right"/>
                <w:tab w:leader="none" w:pos="1140" w:val="decimal"/>
              </w:tabs>
              <w:spacing w:after="280" w:before="280"/>
              <w:ind w:hanging="0" w:left="216" w:right="72"/>
              <w:contextualSpacing w:val="false"/>
              <w:rPr>
                <w:rFonts w:ascii="Arial" w:cs="Arial" w:hAnsi="Arial"/>
                <w:sz w:val="20"/>
                <w:szCs w:val="20"/>
              </w:rPr>
            </w:pPr>
            <w:r>
              <w:rPr>
                <w:rFonts w:ascii="Arial" w:cs="Arial" w:hAnsi="Arial"/>
                <w:sz w:val="20"/>
                <w:szCs w:val="20"/>
              </w:rPr>
              <w:tab/>
              <w:t>0</w:t>
              <w:tab/>
            </w:r>
          </w:p>
        </w:tc>
        <w:tc>
          <w:tcPr>
            <w:tcW w:type="dxa" w:w="1233"/>
            <w:tcBorders>
              <w:top w:val="nil"/>
              <w:left w:val="nil"/>
              <w:bottom w:val="nil"/>
              <w:right w:val="nil"/>
            </w:tcBorders>
            <w:shd w:fill="auto" w:val="clear"/>
            <w:tcMar>
              <w:left w:type="dxa" w:w="144"/>
            </w:tcMar>
            <w:vAlign w:val="bottom"/>
          </w:tcPr>
          <w:p>
            <w:pPr>
              <w:pStyle w:val="style62"/>
              <w:tabs>
                <w:tab w:leader="none" w:pos="1053" w:val="right"/>
                <w:tab w:leader="none" w:pos="1180" w:val="decimal"/>
              </w:tabs>
              <w:spacing w:after="280" w:before="280"/>
              <w:ind w:hanging="0" w:left="173" w:right="72"/>
              <w:contextualSpacing w:val="false"/>
              <w:rPr>
                <w:rFonts w:ascii="Arial" w:cs="Arial" w:hAnsi="Arial"/>
                <w:sz w:val="20"/>
                <w:szCs w:val="20"/>
              </w:rPr>
            </w:pPr>
            <w:r>
              <w:rPr>
                <w:rFonts w:ascii="Arial" w:cs="Arial" w:hAnsi="Arial"/>
                <w:sz w:val="20"/>
                <w:szCs w:val="20"/>
              </w:rPr>
              <w:tab/>
              <w:t>1,896</w:t>
              <w:tab/>
            </w:r>
          </w:p>
        </w:tc>
        <w:tc>
          <w:tcPr>
            <w:tcW w:type="dxa" w:w="1198"/>
            <w:tcBorders>
              <w:top w:val="nil"/>
              <w:left w:val="nil"/>
              <w:bottom w:val="nil"/>
              <w:right w:val="nil"/>
            </w:tcBorders>
            <w:shd w:fill="auto" w:val="clear"/>
            <w:tcMar>
              <w:left w:type="dxa" w:w="144"/>
            </w:tcMar>
            <w:vAlign w:val="bottom"/>
          </w:tcPr>
          <w:p>
            <w:pPr>
              <w:pStyle w:val="style62"/>
              <w:tabs>
                <w:tab w:leader="none" w:pos="1035" w:val="right"/>
                <w:tab w:leader="none" w:pos="1180" w:val="decimal"/>
              </w:tabs>
              <w:spacing w:after="280" w:before="280"/>
              <w:ind w:hanging="0" w:left="288" w:right="58"/>
              <w:contextualSpacing w:val="false"/>
              <w:rPr>
                <w:rFonts w:ascii="Arial" w:cs="Arial" w:hAnsi="Arial"/>
                <w:sz w:val="20"/>
                <w:szCs w:val="20"/>
              </w:rPr>
            </w:pPr>
            <w:r>
              <w:rPr>
                <w:rFonts w:ascii="Arial" w:cs="Arial" w:hAnsi="Arial"/>
                <w:sz w:val="20"/>
                <w:szCs w:val="20"/>
              </w:rPr>
              <w:tab/>
              <w:t>0</w:t>
              <w:tab/>
            </w:r>
          </w:p>
        </w:tc>
      </w:tr>
      <w:tr>
        <w:trPr>
          <w:cantSplit w:val="false"/>
        </w:trPr>
        <w:tc>
          <w:tcPr>
            <w:tcW w:type="dxa" w:w="253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Corporate notes and bonds</w:t>
            </w:r>
          </w:p>
        </w:tc>
        <w:tc>
          <w:tcPr>
            <w:tcW w:type="dxa" w:w="121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7,799</w:t>
              <w:tab/>
            </w:r>
          </w:p>
        </w:tc>
        <w:tc>
          <w:tcPr>
            <w:tcW w:type="dxa" w:w="1125"/>
            <w:tcBorders>
              <w:top w:val="nil"/>
              <w:left w:val="nil"/>
              <w:bottom w:val="nil"/>
              <w:right w:val="nil"/>
            </w:tcBorders>
            <w:shd w:fill="auto" w:val="clear"/>
            <w:tcMar>
              <w:left w:type="dxa" w:w="144"/>
            </w:tcMar>
            <w:vAlign w:val="bottom"/>
          </w:tcPr>
          <w:p>
            <w:pPr>
              <w:pStyle w:val="style62"/>
              <w:tabs>
                <w:tab w:leader="none" w:pos="945" w:val="right"/>
                <w:tab w:leader="none" w:pos="1080" w:val="decimal"/>
              </w:tabs>
              <w:spacing w:after="280" w:before="280"/>
              <w:ind w:hanging="0" w:left="202" w:right="86"/>
              <w:contextualSpacing w:val="false"/>
              <w:rPr>
                <w:rFonts w:ascii="Arial" w:cs="Arial" w:hAnsi="Arial"/>
                <w:sz w:val="20"/>
                <w:szCs w:val="20"/>
              </w:rPr>
            </w:pPr>
            <w:r>
              <w:rPr>
                <w:rFonts w:ascii="Arial" w:cs="Arial" w:hAnsi="Arial"/>
                <w:sz w:val="20"/>
                <w:szCs w:val="20"/>
              </w:rPr>
              <w:tab/>
              <w:t>224</w:t>
              <w:tab/>
            </w:r>
          </w:p>
        </w:tc>
        <w:tc>
          <w:tcPr>
            <w:tcW w:type="dxa" w:w="1107"/>
            <w:tcBorders>
              <w:top w:val="nil"/>
              <w:left w:val="nil"/>
              <w:bottom w:val="nil"/>
              <w:right w:val="nil"/>
            </w:tcBorders>
            <w:shd w:fill="auto" w:val="clear"/>
            <w:tcMar>
              <w:left w:type="dxa" w:w="144"/>
            </w:tcMar>
            <w:vAlign w:val="bottom"/>
          </w:tcPr>
          <w:p>
            <w:pPr>
              <w:pStyle w:val="style62"/>
              <w:tabs>
                <w:tab w:leader="none" w:pos="891" w:val="right"/>
                <w:tab w:leader="none" w:pos="945" w:val="decimal"/>
              </w:tabs>
              <w:spacing w:after="280" w:before="280"/>
              <w:ind w:hanging="0" w:left="274" w:right="101"/>
              <w:contextualSpacing w:val="false"/>
              <w:rPr>
                <w:rFonts w:ascii="Arial" w:cs="Arial" w:hAnsi="Arial"/>
                <w:sz w:val="20"/>
                <w:szCs w:val="20"/>
              </w:rPr>
            </w:pPr>
            <w:r>
              <w:rPr>
                <w:rFonts w:ascii="Arial" w:cs="Arial" w:hAnsi="Arial"/>
                <w:sz w:val="20"/>
                <w:szCs w:val="20"/>
              </w:rPr>
              <w:tab/>
              <w:t>(15</w:t>
              <w:tab/>
              <w:t>)</w:t>
            </w:r>
          </w:p>
        </w:tc>
        <w:tc>
          <w:tcPr>
            <w:tcW w:type="dxa" w:w="1196"/>
            <w:tcBorders>
              <w:top w:val="nil"/>
              <w:left w:val="nil"/>
              <w:bottom w:val="nil"/>
              <w:right w:val="nil"/>
            </w:tcBorders>
            <w:shd w:fill="auto" w:val="clear"/>
            <w:tcMar>
              <w:left w:type="dxa" w:w="144"/>
            </w:tcMar>
            <w:vAlign w:val="bottom"/>
          </w:tcPr>
          <w:p>
            <w:pPr>
              <w:pStyle w:val="style62"/>
              <w:tabs>
                <w:tab w:leader="none" w:pos="1026" w:val="right"/>
                <w:tab w:leader="none" w:pos="1188" w:val="decimal"/>
              </w:tabs>
              <w:spacing w:after="280" w:before="280"/>
              <w:ind w:hanging="0" w:left="216" w:right="58"/>
              <w:contextualSpacing w:val="false"/>
              <w:rPr>
                <w:rFonts w:ascii="Arial" w:cs="Arial" w:hAnsi="Arial"/>
                <w:sz w:val="20"/>
                <w:szCs w:val="20"/>
              </w:rPr>
            </w:pPr>
            <w:r>
              <w:rPr>
                <w:rFonts w:ascii="Arial" w:cs="Arial" w:hAnsi="Arial"/>
                <w:sz w:val="20"/>
                <w:szCs w:val="20"/>
              </w:rPr>
              <w:tab/>
              <w:t>8,008</w:t>
              <w:tab/>
            </w:r>
          </w:p>
        </w:tc>
        <w:tc>
          <w:tcPr>
            <w:tcW w:type="dxa" w:w="1188"/>
            <w:tcBorders>
              <w:top w:val="nil"/>
              <w:left w:val="nil"/>
              <w:bottom w:val="nil"/>
              <w:right w:val="nil"/>
            </w:tcBorders>
            <w:shd w:fill="auto" w:val="clear"/>
            <w:tcMar>
              <w:left w:type="dxa" w:w="144"/>
            </w:tcMar>
            <w:vAlign w:val="bottom"/>
          </w:tcPr>
          <w:p>
            <w:pPr>
              <w:pStyle w:val="style62"/>
              <w:tabs>
                <w:tab w:leader="none" w:pos="1017" w:val="right"/>
                <w:tab w:leader="none" w:pos="1140" w:val="decimal"/>
              </w:tabs>
              <w:spacing w:after="280" w:before="280"/>
              <w:ind w:hanging="0" w:left="216" w:right="72"/>
              <w:contextualSpacing w:val="false"/>
              <w:rPr>
                <w:rFonts w:ascii="Arial" w:cs="Arial" w:hAnsi="Arial"/>
                <w:sz w:val="20"/>
                <w:szCs w:val="20"/>
              </w:rPr>
            </w:pPr>
            <w:r>
              <w:rPr>
                <w:rFonts w:ascii="Arial" w:cs="Arial" w:hAnsi="Arial"/>
                <w:sz w:val="20"/>
                <w:szCs w:val="20"/>
              </w:rPr>
              <w:tab/>
              <w:t>2,525</w:t>
              <w:tab/>
            </w:r>
          </w:p>
        </w:tc>
        <w:tc>
          <w:tcPr>
            <w:tcW w:type="dxa" w:w="1233"/>
            <w:tcBorders>
              <w:top w:val="nil"/>
              <w:left w:val="nil"/>
              <w:bottom w:val="nil"/>
              <w:right w:val="nil"/>
            </w:tcBorders>
            <w:shd w:fill="auto" w:val="clear"/>
            <w:tcMar>
              <w:left w:type="dxa" w:w="144"/>
            </w:tcMar>
            <w:vAlign w:val="bottom"/>
          </w:tcPr>
          <w:p>
            <w:pPr>
              <w:pStyle w:val="style62"/>
              <w:tabs>
                <w:tab w:leader="none" w:pos="1053" w:val="right"/>
                <w:tab w:leader="none" w:pos="1180" w:val="decimal"/>
              </w:tabs>
              <w:spacing w:after="280" w:before="280"/>
              <w:ind w:hanging="0" w:left="173" w:right="72"/>
              <w:contextualSpacing w:val="false"/>
              <w:rPr>
                <w:rFonts w:ascii="Arial" w:cs="Arial" w:hAnsi="Arial"/>
                <w:sz w:val="20"/>
                <w:szCs w:val="20"/>
              </w:rPr>
            </w:pPr>
            <w:r>
              <w:rPr>
                <w:rFonts w:ascii="Arial" w:cs="Arial" w:hAnsi="Arial"/>
                <w:sz w:val="20"/>
                <w:szCs w:val="20"/>
              </w:rPr>
              <w:tab/>
              <w:t>5,483</w:t>
              <w:tab/>
            </w:r>
          </w:p>
        </w:tc>
        <w:tc>
          <w:tcPr>
            <w:tcW w:type="dxa" w:w="1198"/>
            <w:tcBorders>
              <w:top w:val="nil"/>
              <w:left w:val="nil"/>
              <w:bottom w:val="nil"/>
              <w:right w:val="nil"/>
            </w:tcBorders>
            <w:shd w:fill="auto" w:val="clear"/>
            <w:tcMar>
              <w:left w:type="dxa" w:w="144"/>
            </w:tcMar>
            <w:vAlign w:val="bottom"/>
          </w:tcPr>
          <w:p>
            <w:pPr>
              <w:pStyle w:val="style62"/>
              <w:tabs>
                <w:tab w:leader="none" w:pos="1035" w:val="right"/>
                <w:tab w:leader="none" w:pos="1180" w:val="decimal"/>
              </w:tabs>
              <w:spacing w:after="280" w:before="280"/>
              <w:ind w:hanging="0" w:left="288" w:right="58"/>
              <w:contextualSpacing w:val="false"/>
              <w:rPr>
                <w:rFonts w:ascii="Arial" w:cs="Arial" w:hAnsi="Arial"/>
                <w:sz w:val="20"/>
                <w:szCs w:val="20"/>
              </w:rPr>
            </w:pPr>
            <w:r>
              <w:rPr>
                <w:rFonts w:ascii="Arial" w:cs="Arial" w:hAnsi="Arial"/>
                <w:sz w:val="20"/>
                <w:szCs w:val="20"/>
              </w:rPr>
              <w:tab/>
              <w:t>0</w:t>
              <w:tab/>
            </w:r>
          </w:p>
        </w:tc>
      </w:tr>
      <w:tr>
        <w:trPr>
          <w:cantSplit w:val="false"/>
        </w:trPr>
        <w:tc>
          <w:tcPr>
            <w:tcW w:type="dxa" w:w="253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Municipal securities</w:t>
            </w:r>
          </w:p>
        </w:tc>
        <w:tc>
          <w:tcPr>
            <w:tcW w:type="dxa" w:w="121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358</w:t>
              <w:tab/>
            </w:r>
          </w:p>
        </w:tc>
        <w:tc>
          <w:tcPr>
            <w:tcW w:type="dxa" w:w="1125"/>
            <w:tcBorders>
              <w:top w:val="nil"/>
              <w:left w:val="nil"/>
              <w:bottom w:val="nil"/>
              <w:right w:val="nil"/>
            </w:tcBorders>
            <w:shd w:fill="auto" w:val="clear"/>
            <w:tcMar>
              <w:left w:type="dxa" w:w="144"/>
            </w:tcMar>
            <w:vAlign w:val="bottom"/>
          </w:tcPr>
          <w:p>
            <w:pPr>
              <w:pStyle w:val="style62"/>
              <w:tabs>
                <w:tab w:leader="none" w:pos="945" w:val="right"/>
                <w:tab w:leader="none" w:pos="1080" w:val="decimal"/>
              </w:tabs>
              <w:spacing w:after="280" w:before="280"/>
              <w:ind w:hanging="0" w:left="202" w:right="86"/>
              <w:contextualSpacing w:val="false"/>
              <w:rPr>
                <w:rFonts w:ascii="Arial" w:cs="Arial" w:hAnsi="Arial"/>
                <w:sz w:val="20"/>
                <w:szCs w:val="20"/>
              </w:rPr>
            </w:pPr>
            <w:r>
              <w:rPr>
                <w:rFonts w:ascii="Arial" w:cs="Arial" w:hAnsi="Arial"/>
                <w:sz w:val="20"/>
                <w:szCs w:val="20"/>
              </w:rPr>
              <w:tab/>
              <w:t>58</w:t>
              <w:tab/>
            </w:r>
          </w:p>
        </w:tc>
        <w:tc>
          <w:tcPr>
            <w:tcW w:type="dxa" w:w="1107"/>
            <w:tcBorders>
              <w:top w:val="nil"/>
              <w:left w:val="nil"/>
              <w:bottom w:val="nil"/>
              <w:right w:val="nil"/>
            </w:tcBorders>
            <w:shd w:fill="auto" w:val="clear"/>
            <w:tcMar>
              <w:left w:type="dxa" w:w="144"/>
            </w:tcMar>
            <w:vAlign w:val="bottom"/>
          </w:tcPr>
          <w:p>
            <w:pPr>
              <w:pStyle w:val="style62"/>
              <w:tabs>
                <w:tab w:leader="none" w:pos="891" w:val="right"/>
                <w:tab w:leader="none" w:pos="945" w:val="decimal"/>
              </w:tabs>
              <w:spacing w:after="280" w:before="280"/>
              <w:ind w:hanging="0" w:left="274" w:right="101"/>
              <w:contextualSpacing w:val="false"/>
              <w:rPr>
                <w:rFonts w:ascii="Arial" w:cs="Arial" w:hAnsi="Arial"/>
                <w:sz w:val="20"/>
                <w:szCs w:val="20"/>
              </w:rPr>
            </w:pPr>
            <w:r>
              <w:rPr>
                <w:rFonts w:ascii="Arial" w:cs="Arial" w:hAnsi="Arial"/>
                <w:sz w:val="20"/>
                <w:szCs w:val="20"/>
              </w:rPr>
              <w:tab/>
              <w:t>(0</w:t>
              <w:tab/>
              <w:t>)</w:t>
            </w:r>
          </w:p>
        </w:tc>
        <w:tc>
          <w:tcPr>
            <w:tcW w:type="dxa" w:w="1196"/>
            <w:tcBorders>
              <w:top w:val="nil"/>
              <w:left w:val="nil"/>
              <w:bottom w:val="nil"/>
              <w:right w:val="nil"/>
            </w:tcBorders>
            <w:shd w:fill="auto" w:val="clear"/>
            <w:tcMar>
              <w:left w:type="dxa" w:w="144"/>
            </w:tcMar>
            <w:vAlign w:val="bottom"/>
          </w:tcPr>
          <w:p>
            <w:pPr>
              <w:pStyle w:val="style62"/>
              <w:tabs>
                <w:tab w:leader="none" w:pos="1026" w:val="right"/>
                <w:tab w:leader="none" w:pos="1188" w:val="decimal"/>
              </w:tabs>
              <w:spacing w:after="280" w:before="280"/>
              <w:ind w:hanging="0" w:left="216" w:right="58"/>
              <w:contextualSpacing w:val="false"/>
              <w:rPr>
                <w:rFonts w:ascii="Arial" w:cs="Arial" w:hAnsi="Arial"/>
                <w:sz w:val="20"/>
                <w:szCs w:val="20"/>
              </w:rPr>
            </w:pPr>
            <w:r>
              <w:rPr>
                <w:rFonts w:ascii="Arial" w:cs="Arial" w:hAnsi="Arial"/>
                <w:sz w:val="20"/>
                <w:szCs w:val="20"/>
              </w:rPr>
              <w:tab/>
              <w:t>416</w:t>
              <w:tab/>
            </w:r>
          </w:p>
        </w:tc>
        <w:tc>
          <w:tcPr>
            <w:tcW w:type="dxa" w:w="1188"/>
            <w:tcBorders>
              <w:top w:val="nil"/>
              <w:left w:val="nil"/>
              <w:bottom w:val="nil"/>
              <w:right w:val="nil"/>
            </w:tcBorders>
            <w:shd w:fill="auto" w:val="clear"/>
            <w:tcMar>
              <w:left w:type="dxa" w:w="144"/>
            </w:tcMar>
            <w:vAlign w:val="bottom"/>
          </w:tcPr>
          <w:p>
            <w:pPr>
              <w:pStyle w:val="style62"/>
              <w:tabs>
                <w:tab w:leader="none" w:pos="1017" w:val="right"/>
                <w:tab w:leader="none" w:pos="1140" w:val="decimal"/>
              </w:tabs>
              <w:spacing w:after="280" w:before="280"/>
              <w:ind w:hanging="0" w:left="216" w:right="72"/>
              <w:contextualSpacing w:val="false"/>
              <w:rPr>
                <w:rFonts w:ascii="Arial" w:cs="Arial" w:hAnsi="Arial"/>
                <w:sz w:val="20"/>
                <w:szCs w:val="20"/>
              </w:rPr>
            </w:pPr>
            <w:r>
              <w:rPr>
                <w:rFonts w:ascii="Arial" w:cs="Arial" w:hAnsi="Arial"/>
                <w:sz w:val="20"/>
                <w:szCs w:val="20"/>
              </w:rPr>
              <w:tab/>
              <w:t>0</w:t>
              <w:tab/>
            </w:r>
          </w:p>
        </w:tc>
        <w:tc>
          <w:tcPr>
            <w:tcW w:type="dxa" w:w="1233"/>
            <w:tcBorders>
              <w:top w:val="nil"/>
              <w:left w:val="nil"/>
              <w:bottom w:val="nil"/>
              <w:right w:val="nil"/>
            </w:tcBorders>
            <w:shd w:fill="auto" w:val="clear"/>
            <w:tcMar>
              <w:left w:type="dxa" w:w="144"/>
            </w:tcMar>
            <w:vAlign w:val="bottom"/>
          </w:tcPr>
          <w:p>
            <w:pPr>
              <w:pStyle w:val="style62"/>
              <w:tabs>
                <w:tab w:leader="none" w:pos="1053" w:val="right"/>
                <w:tab w:leader="none" w:pos="1180" w:val="decimal"/>
              </w:tabs>
              <w:spacing w:after="280" w:before="280"/>
              <w:ind w:hanging="0" w:left="173" w:right="72"/>
              <w:contextualSpacing w:val="false"/>
              <w:rPr>
                <w:rFonts w:ascii="Arial" w:cs="Arial" w:hAnsi="Arial"/>
                <w:sz w:val="20"/>
                <w:szCs w:val="20"/>
              </w:rPr>
            </w:pPr>
            <w:r>
              <w:rPr>
                <w:rFonts w:ascii="Arial" w:cs="Arial" w:hAnsi="Arial"/>
                <w:sz w:val="20"/>
                <w:szCs w:val="20"/>
              </w:rPr>
              <w:tab/>
              <w:t>416</w:t>
              <w:tab/>
            </w:r>
          </w:p>
        </w:tc>
        <w:tc>
          <w:tcPr>
            <w:tcW w:type="dxa" w:w="1198"/>
            <w:tcBorders>
              <w:top w:val="nil"/>
              <w:left w:val="nil"/>
              <w:bottom w:val="nil"/>
              <w:right w:val="nil"/>
            </w:tcBorders>
            <w:shd w:fill="auto" w:val="clear"/>
            <w:tcMar>
              <w:left w:type="dxa" w:w="144"/>
            </w:tcMar>
            <w:vAlign w:val="bottom"/>
          </w:tcPr>
          <w:p>
            <w:pPr>
              <w:pStyle w:val="style62"/>
              <w:tabs>
                <w:tab w:leader="none" w:pos="1035" w:val="right"/>
                <w:tab w:leader="none" w:pos="1180" w:val="decimal"/>
              </w:tabs>
              <w:spacing w:after="280" w:before="280"/>
              <w:ind w:hanging="0" w:left="288" w:right="58"/>
              <w:contextualSpacing w:val="false"/>
              <w:rPr>
                <w:rFonts w:ascii="Arial" w:cs="Arial" w:hAnsi="Arial"/>
                <w:sz w:val="20"/>
                <w:szCs w:val="20"/>
              </w:rPr>
            </w:pPr>
            <w:r>
              <w:rPr>
                <w:rFonts w:ascii="Arial" w:cs="Arial" w:hAnsi="Arial"/>
                <w:sz w:val="20"/>
                <w:szCs w:val="20"/>
              </w:rPr>
              <w:tab/>
              <w:t>0</w:t>
              <w:tab/>
            </w:r>
          </w:p>
        </w:tc>
      </w:tr>
      <w:tr>
        <w:trPr>
          <w:cantSplit w:val="false"/>
        </w:trPr>
        <w:tc>
          <w:tcPr>
            <w:tcW w:type="dxa" w:w="253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and preferred stock</w:t>
            </w:r>
          </w:p>
        </w:tc>
        <w:tc>
          <w:tcPr>
            <w:tcW w:type="dxa" w:w="121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6,965</w:t>
              <w:tab/>
            </w:r>
          </w:p>
        </w:tc>
        <w:tc>
          <w:tcPr>
            <w:tcW w:type="dxa" w:w="1125"/>
            <w:tcBorders>
              <w:top w:val="nil"/>
              <w:left w:val="nil"/>
              <w:bottom w:val="nil"/>
              <w:right w:val="nil"/>
            </w:tcBorders>
            <w:shd w:fill="auto" w:val="clear"/>
            <w:tcMar>
              <w:left w:type="dxa" w:w="144"/>
            </w:tcMar>
            <w:vAlign w:val="bottom"/>
          </w:tcPr>
          <w:p>
            <w:pPr>
              <w:pStyle w:val="style62"/>
              <w:tabs>
                <w:tab w:leader="none" w:pos="945" w:val="right"/>
                <w:tab w:leader="none" w:pos="1080" w:val="decimal"/>
              </w:tabs>
              <w:spacing w:after="280" w:before="280"/>
              <w:ind w:hanging="0" w:left="202" w:right="86"/>
              <w:contextualSpacing w:val="false"/>
              <w:rPr>
                <w:rFonts w:ascii="Arial" w:cs="Arial" w:hAnsi="Arial"/>
                <w:sz w:val="20"/>
                <w:szCs w:val="20"/>
              </w:rPr>
            </w:pPr>
            <w:r>
              <w:rPr>
                <w:rFonts w:ascii="Arial" w:cs="Arial" w:hAnsi="Arial"/>
                <w:sz w:val="20"/>
                <w:szCs w:val="20"/>
              </w:rPr>
              <w:tab/>
              <w:t>2,204</w:t>
              <w:tab/>
            </w:r>
          </w:p>
        </w:tc>
        <w:tc>
          <w:tcPr>
            <w:tcW w:type="dxa" w:w="1107"/>
            <w:tcBorders>
              <w:top w:val="nil"/>
              <w:left w:val="nil"/>
              <w:bottom w:val="nil"/>
              <w:right w:val="nil"/>
            </w:tcBorders>
            <w:shd w:fill="auto" w:val="clear"/>
            <w:tcMar>
              <w:left w:type="dxa" w:w="144"/>
            </w:tcMar>
            <w:vAlign w:val="bottom"/>
          </w:tcPr>
          <w:p>
            <w:pPr>
              <w:pStyle w:val="style62"/>
              <w:tabs>
                <w:tab w:leader="none" w:pos="891" w:val="right"/>
                <w:tab w:leader="none" w:pos="945" w:val="decimal"/>
              </w:tabs>
              <w:spacing w:after="280" w:before="280"/>
              <w:ind w:hanging="0" w:left="274" w:right="101"/>
              <w:contextualSpacing w:val="false"/>
              <w:rPr>
                <w:rFonts w:ascii="Arial" w:cs="Arial" w:hAnsi="Arial"/>
                <w:sz w:val="20"/>
                <w:szCs w:val="20"/>
              </w:rPr>
            </w:pPr>
            <w:r>
              <w:rPr>
                <w:rFonts w:ascii="Arial" w:cs="Arial" w:hAnsi="Arial"/>
                <w:sz w:val="20"/>
                <w:szCs w:val="20"/>
              </w:rPr>
              <w:tab/>
              <w:t>(436</w:t>
              <w:tab/>
              <w:t>)</w:t>
            </w:r>
          </w:p>
        </w:tc>
        <w:tc>
          <w:tcPr>
            <w:tcW w:type="dxa" w:w="1196"/>
            <w:tcBorders>
              <w:top w:val="nil"/>
              <w:left w:val="nil"/>
              <w:bottom w:val="nil"/>
              <w:right w:val="nil"/>
            </w:tcBorders>
            <w:shd w:fill="auto" w:val="clear"/>
            <w:tcMar>
              <w:left w:type="dxa" w:w="144"/>
            </w:tcMar>
            <w:vAlign w:val="bottom"/>
          </w:tcPr>
          <w:p>
            <w:pPr>
              <w:pStyle w:val="style62"/>
              <w:tabs>
                <w:tab w:leader="none" w:pos="1026" w:val="right"/>
                <w:tab w:leader="none" w:pos="1188" w:val="decimal"/>
              </w:tabs>
              <w:spacing w:after="280" w:before="280"/>
              <w:ind w:hanging="0" w:left="216" w:right="58"/>
              <w:contextualSpacing w:val="false"/>
              <w:rPr>
                <w:rFonts w:ascii="Arial" w:cs="Arial" w:hAnsi="Arial"/>
                <w:sz w:val="20"/>
                <w:szCs w:val="20"/>
              </w:rPr>
            </w:pPr>
            <w:r>
              <w:rPr>
                <w:rFonts w:ascii="Arial" w:cs="Arial" w:hAnsi="Arial"/>
                <w:sz w:val="20"/>
                <w:szCs w:val="20"/>
              </w:rPr>
              <w:tab/>
              <w:t>8,733</w:t>
              <w:tab/>
            </w:r>
          </w:p>
        </w:tc>
        <w:tc>
          <w:tcPr>
            <w:tcW w:type="dxa" w:w="1188"/>
            <w:tcBorders>
              <w:top w:val="nil"/>
              <w:left w:val="nil"/>
              <w:bottom w:val="nil"/>
              <w:right w:val="nil"/>
            </w:tcBorders>
            <w:shd w:fill="auto" w:val="clear"/>
            <w:tcMar>
              <w:left w:type="dxa" w:w="144"/>
            </w:tcMar>
            <w:vAlign w:val="bottom"/>
          </w:tcPr>
          <w:p>
            <w:pPr>
              <w:pStyle w:val="style62"/>
              <w:tabs>
                <w:tab w:leader="none" w:pos="1017" w:val="right"/>
                <w:tab w:leader="none" w:pos="1140" w:val="decimal"/>
              </w:tabs>
              <w:spacing w:after="280" w:before="280"/>
              <w:ind w:hanging="0" w:left="216" w:right="72"/>
              <w:contextualSpacing w:val="false"/>
              <w:rPr>
                <w:rFonts w:ascii="Arial" w:cs="Arial" w:hAnsi="Arial"/>
                <w:sz w:val="20"/>
                <w:szCs w:val="20"/>
              </w:rPr>
            </w:pPr>
            <w:r>
              <w:rPr>
                <w:rFonts w:ascii="Arial" w:cs="Arial" w:hAnsi="Arial"/>
                <w:sz w:val="20"/>
                <w:szCs w:val="20"/>
              </w:rPr>
              <w:tab/>
              <w:t>0</w:t>
              <w:tab/>
            </w:r>
          </w:p>
        </w:tc>
        <w:tc>
          <w:tcPr>
            <w:tcW w:type="dxa" w:w="1233"/>
            <w:tcBorders>
              <w:top w:val="nil"/>
              <w:left w:val="nil"/>
              <w:bottom w:val="nil"/>
              <w:right w:val="nil"/>
            </w:tcBorders>
            <w:shd w:fill="auto" w:val="clear"/>
            <w:tcMar>
              <w:left w:type="dxa" w:w="144"/>
            </w:tcMar>
            <w:vAlign w:val="bottom"/>
          </w:tcPr>
          <w:p>
            <w:pPr>
              <w:pStyle w:val="style62"/>
              <w:tabs>
                <w:tab w:leader="none" w:pos="1053" w:val="right"/>
                <w:tab w:leader="none" w:pos="1180" w:val="decimal"/>
              </w:tabs>
              <w:spacing w:after="280" w:before="280"/>
              <w:ind w:hanging="0" w:left="173" w:right="72"/>
              <w:contextualSpacing w:val="false"/>
              <w:rPr>
                <w:rFonts w:ascii="Arial" w:cs="Arial" w:hAnsi="Arial"/>
                <w:sz w:val="20"/>
                <w:szCs w:val="20"/>
              </w:rPr>
            </w:pPr>
            <w:r>
              <w:rPr>
                <w:rFonts w:ascii="Arial" w:cs="Arial" w:hAnsi="Arial"/>
                <w:sz w:val="20"/>
                <w:szCs w:val="20"/>
              </w:rPr>
              <w:tab/>
              <w:t>0</w:t>
              <w:tab/>
            </w:r>
          </w:p>
        </w:tc>
        <w:tc>
          <w:tcPr>
            <w:tcW w:type="dxa" w:w="1198"/>
            <w:tcBorders>
              <w:top w:val="nil"/>
              <w:left w:val="nil"/>
              <w:bottom w:val="nil"/>
              <w:right w:val="nil"/>
            </w:tcBorders>
            <w:shd w:fill="auto" w:val="clear"/>
            <w:tcMar>
              <w:left w:type="dxa" w:w="144"/>
            </w:tcMar>
            <w:vAlign w:val="bottom"/>
          </w:tcPr>
          <w:p>
            <w:pPr>
              <w:pStyle w:val="style62"/>
              <w:tabs>
                <w:tab w:leader="none" w:pos="1035" w:val="right"/>
                <w:tab w:leader="none" w:pos="1180" w:val="decimal"/>
              </w:tabs>
              <w:spacing w:after="280" w:before="280"/>
              <w:ind w:hanging="0" w:left="288" w:right="58"/>
              <w:contextualSpacing w:val="false"/>
              <w:rPr>
                <w:rFonts w:ascii="Arial" w:cs="Arial" w:hAnsi="Arial"/>
                <w:sz w:val="20"/>
                <w:szCs w:val="20"/>
              </w:rPr>
            </w:pPr>
            <w:r>
              <w:rPr>
                <w:rFonts w:ascii="Arial" w:cs="Arial" w:hAnsi="Arial"/>
                <w:sz w:val="20"/>
                <w:szCs w:val="20"/>
              </w:rPr>
              <w:tab/>
              <w:t>8,733</w:t>
              <w:tab/>
            </w:r>
          </w:p>
        </w:tc>
      </w:tr>
      <w:tr>
        <w:trPr>
          <w:cantSplit w:val="false"/>
        </w:trPr>
        <w:tc>
          <w:tcPr>
            <w:tcW w:type="dxa" w:w="253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 investments</w:t>
            </w:r>
          </w:p>
        </w:tc>
        <w:tc>
          <w:tcPr>
            <w:tcW w:type="dxa" w:w="121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101"/>
              <w:contextualSpacing w:val="false"/>
              <w:rPr>
                <w:rFonts w:ascii="Arial" w:cs="Arial" w:hAnsi="Arial"/>
                <w:sz w:val="20"/>
                <w:szCs w:val="20"/>
              </w:rPr>
            </w:pPr>
            <w:r>
              <w:rPr>
                <w:rFonts w:ascii="Arial" w:cs="Arial" w:hAnsi="Arial"/>
                <w:sz w:val="20"/>
                <w:szCs w:val="20"/>
              </w:rPr>
              <w:tab/>
              <w:t>1,048</w:t>
              <w:tab/>
            </w:r>
          </w:p>
        </w:tc>
        <w:tc>
          <w:tcPr>
            <w:tcW w:type="dxa" w:w="1125"/>
            <w:tcBorders>
              <w:top w:val="nil"/>
              <w:left w:val="nil"/>
              <w:bottom w:val="nil"/>
              <w:right w:val="nil"/>
            </w:tcBorders>
            <w:shd w:fill="auto" w:val="clear"/>
            <w:tcMar>
              <w:left w:type="dxa" w:w="144"/>
            </w:tcMar>
            <w:vAlign w:val="bottom"/>
          </w:tcPr>
          <w:p>
            <w:pPr>
              <w:pStyle w:val="style62"/>
              <w:tabs>
                <w:tab w:leader="none" w:pos="945" w:val="right"/>
                <w:tab w:leader="none" w:pos="1080" w:val="decimal"/>
              </w:tabs>
              <w:spacing w:after="280" w:before="280"/>
              <w:ind w:hanging="0" w:left="202" w:right="86"/>
              <w:contextualSpacing w:val="false"/>
              <w:rPr>
                <w:rFonts w:ascii="Arial" w:cs="Arial" w:hAnsi="Arial"/>
                <w:sz w:val="20"/>
                <w:szCs w:val="20"/>
              </w:rPr>
            </w:pPr>
            <w:r>
              <w:rPr>
                <w:rFonts w:ascii="Arial" w:cs="Arial" w:hAnsi="Arial"/>
                <w:sz w:val="20"/>
                <w:szCs w:val="20"/>
              </w:rPr>
              <w:tab/>
              <w:t>0</w:t>
              <w:tab/>
            </w:r>
          </w:p>
        </w:tc>
        <w:tc>
          <w:tcPr>
            <w:tcW w:type="dxa" w:w="1107"/>
            <w:tcBorders>
              <w:top w:val="nil"/>
              <w:left w:val="nil"/>
              <w:bottom w:val="nil"/>
              <w:right w:val="nil"/>
            </w:tcBorders>
            <w:shd w:fill="auto" w:val="clear"/>
            <w:tcMar>
              <w:left w:type="dxa" w:w="144"/>
            </w:tcMar>
            <w:vAlign w:val="bottom"/>
          </w:tcPr>
          <w:p>
            <w:pPr>
              <w:pStyle w:val="style62"/>
              <w:tabs>
                <w:tab w:leader="none" w:pos="891" w:val="right"/>
                <w:tab w:leader="none" w:pos="945" w:val="decimal"/>
              </w:tabs>
              <w:spacing w:after="280" w:before="280"/>
              <w:ind w:hanging="0" w:left="274" w:right="101"/>
              <w:contextualSpacing w:val="false"/>
              <w:rPr>
                <w:rFonts w:ascii="Arial" w:cs="Arial" w:hAnsi="Arial"/>
                <w:sz w:val="20"/>
                <w:szCs w:val="20"/>
              </w:rPr>
            </w:pPr>
            <w:r>
              <w:rPr>
                <w:rFonts w:ascii="Arial" w:cs="Arial" w:hAnsi="Arial"/>
                <w:sz w:val="20"/>
                <w:szCs w:val="20"/>
              </w:rPr>
              <w:tab/>
              <w:t>0</w:t>
              <w:tab/>
            </w:r>
          </w:p>
        </w:tc>
        <w:tc>
          <w:tcPr>
            <w:tcW w:type="dxa" w:w="1196"/>
            <w:tcBorders>
              <w:top w:val="nil"/>
              <w:left w:val="nil"/>
              <w:bottom w:val="nil"/>
              <w:right w:val="nil"/>
            </w:tcBorders>
            <w:shd w:fill="auto" w:val="clear"/>
            <w:tcMar>
              <w:left w:type="dxa" w:w="144"/>
            </w:tcMar>
            <w:vAlign w:val="bottom"/>
          </w:tcPr>
          <w:p>
            <w:pPr>
              <w:pStyle w:val="style62"/>
              <w:tabs>
                <w:tab w:leader="none" w:pos="1026" w:val="right"/>
                <w:tab w:leader="none" w:pos="1188" w:val="decimal"/>
              </w:tabs>
              <w:spacing w:after="280" w:before="280"/>
              <w:ind w:hanging="0" w:left="216" w:right="58"/>
              <w:contextualSpacing w:val="false"/>
              <w:rPr>
                <w:rFonts w:ascii="Arial" w:cs="Arial" w:hAnsi="Arial"/>
                <w:sz w:val="20"/>
                <w:szCs w:val="20"/>
              </w:rPr>
            </w:pPr>
            <w:r>
              <w:rPr>
                <w:rFonts w:ascii="Arial" w:cs="Arial" w:hAnsi="Arial"/>
                <w:sz w:val="20"/>
                <w:szCs w:val="20"/>
              </w:rPr>
              <w:tab/>
              <w:t>1,048</w:t>
              <w:tab/>
            </w:r>
          </w:p>
        </w:tc>
        <w:tc>
          <w:tcPr>
            <w:tcW w:type="dxa" w:w="1188"/>
            <w:tcBorders>
              <w:top w:val="nil"/>
              <w:left w:val="nil"/>
              <w:bottom w:val="nil"/>
              <w:right w:val="nil"/>
            </w:tcBorders>
            <w:shd w:fill="auto" w:val="clear"/>
            <w:tcMar>
              <w:left w:type="dxa" w:w="144"/>
            </w:tcMar>
            <w:vAlign w:val="bottom"/>
          </w:tcPr>
          <w:p>
            <w:pPr>
              <w:pStyle w:val="style62"/>
              <w:tabs>
                <w:tab w:leader="none" w:pos="1017" w:val="right"/>
                <w:tab w:leader="none" w:pos="1140" w:val="decimal"/>
              </w:tabs>
              <w:spacing w:after="280" w:before="280"/>
              <w:ind w:hanging="0" w:left="216" w:right="72"/>
              <w:contextualSpacing w:val="false"/>
              <w:rPr>
                <w:rFonts w:ascii="Arial" w:cs="Arial" w:hAnsi="Arial"/>
                <w:sz w:val="20"/>
                <w:szCs w:val="20"/>
              </w:rPr>
            </w:pPr>
            <w:r>
              <w:rPr>
                <w:rFonts w:ascii="Arial" w:cs="Arial" w:hAnsi="Arial"/>
                <w:sz w:val="20"/>
                <w:szCs w:val="20"/>
              </w:rPr>
              <w:tab/>
              <w:t>0</w:t>
              <w:tab/>
            </w:r>
          </w:p>
        </w:tc>
        <w:tc>
          <w:tcPr>
            <w:tcW w:type="dxa" w:w="1233"/>
            <w:tcBorders>
              <w:top w:val="nil"/>
              <w:left w:val="nil"/>
              <w:bottom w:val="nil"/>
              <w:right w:val="nil"/>
            </w:tcBorders>
            <w:shd w:fill="auto" w:val="clear"/>
            <w:tcMar>
              <w:left w:type="dxa" w:w="144"/>
            </w:tcMar>
            <w:vAlign w:val="bottom"/>
          </w:tcPr>
          <w:p>
            <w:pPr>
              <w:pStyle w:val="style62"/>
              <w:tabs>
                <w:tab w:leader="none" w:pos="1053" w:val="right"/>
                <w:tab w:leader="none" w:pos="1180" w:val="decimal"/>
              </w:tabs>
              <w:spacing w:after="280" w:before="280"/>
              <w:ind w:hanging="0" w:left="173" w:right="72"/>
              <w:contextualSpacing w:val="false"/>
              <w:rPr>
                <w:rFonts w:ascii="Arial" w:cs="Arial" w:hAnsi="Arial"/>
                <w:sz w:val="20"/>
                <w:szCs w:val="20"/>
              </w:rPr>
            </w:pPr>
            <w:r>
              <w:rPr>
                <w:rFonts w:ascii="Arial" w:cs="Arial" w:hAnsi="Arial"/>
                <w:sz w:val="20"/>
                <w:szCs w:val="20"/>
              </w:rPr>
              <w:tab/>
              <w:t>5</w:t>
              <w:tab/>
            </w:r>
          </w:p>
        </w:tc>
        <w:tc>
          <w:tcPr>
            <w:tcW w:type="dxa" w:w="1198"/>
            <w:tcBorders>
              <w:top w:val="nil"/>
              <w:left w:val="nil"/>
              <w:bottom w:val="nil"/>
              <w:right w:val="nil"/>
            </w:tcBorders>
            <w:shd w:fill="auto" w:val="clear"/>
            <w:tcMar>
              <w:left w:type="dxa" w:w="144"/>
            </w:tcMar>
            <w:vAlign w:val="bottom"/>
          </w:tcPr>
          <w:p>
            <w:pPr>
              <w:pStyle w:val="style62"/>
              <w:tabs>
                <w:tab w:leader="none" w:pos="1035" w:val="right"/>
                <w:tab w:leader="none" w:pos="1180" w:val="decimal"/>
              </w:tabs>
              <w:spacing w:after="280" w:before="280"/>
              <w:ind w:hanging="0" w:left="288" w:right="58"/>
              <w:contextualSpacing w:val="false"/>
              <w:rPr>
                <w:rFonts w:ascii="Arial" w:cs="Arial" w:hAnsi="Arial"/>
                <w:sz w:val="20"/>
                <w:szCs w:val="20"/>
              </w:rPr>
            </w:pPr>
            <w:r>
              <w:rPr>
                <w:rFonts w:ascii="Arial" w:cs="Arial" w:hAnsi="Arial"/>
                <w:sz w:val="20"/>
                <w:szCs w:val="20"/>
              </w:rPr>
              <w:tab/>
              <w:t>1,043</w:t>
              <w:tab/>
            </w:r>
          </w:p>
        </w:tc>
      </w:tr>
      <w:tr>
        <w:trPr>
          <w:cantSplit w:val="false"/>
        </w:trPr>
        <w:tc>
          <w:tcPr>
            <w:tcW w:type="dxa" w:w="3753"/>
            <w:gridSpan w:val="2"/>
            <w:tcBorders>
              <w:top w:val="nil"/>
              <w:left w:val="nil"/>
              <w:bottom w:val="nil"/>
              <w:right w:val="nil"/>
            </w:tcBorders>
            <w:shd w:fill="auto" w:val="clear"/>
            <w:vAlign w:val="bottom"/>
          </w:tcPr>
          <w:p>
            <w:pPr>
              <w:pStyle w:val="style59"/>
              <w:spacing w:after="0" w:before="20"/>
              <w:ind w:hanging="0" w:left="-594" w:right="101"/>
              <w:contextualSpacing w:val="false"/>
              <w:rPr/>
            </w:pPr>
            <w:r>
              <w:rPr/>
              <w:t> </w:t>
            </w:r>
          </w:p>
        </w:tc>
        <w:tc>
          <w:tcPr>
            <w:tcW w:type="dxa" w:w="1124"/>
            <w:tcBorders>
              <w:top w:val="nil"/>
              <w:left w:val="nil"/>
              <w:bottom w:val="nil"/>
              <w:right w:val="nil"/>
            </w:tcBorders>
            <w:shd w:fill="auto" w:val="clear"/>
            <w:tcMar>
              <w:left w:type="dxa" w:w="144"/>
            </w:tcMar>
            <w:vAlign w:val="bottom"/>
          </w:tcPr>
          <w:p>
            <w:pPr>
              <w:pStyle w:val="style59"/>
              <w:tabs>
                <w:tab w:leader="none" w:pos="945" w:val="right"/>
              </w:tabs>
              <w:spacing w:after="0" w:before="20"/>
              <w:ind w:hanging="0" w:left="202" w:right="72"/>
              <w:contextualSpacing w:val="false"/>
              <w:rPr/>
            </w:pPr>
            <w:r>
              <w:rPr/>
              <w:t> </w:t>
            </w:r>
          </w:p>
        </w:tc>
        <w:tc>
          <w:tcPr>
            <w:tcW w:type="dxa" w:w="1107"/>
            <w:tcBorders>
              <w:top w:val="nil"/>
              <w:left w:val="nil"/>
              <w:bottom w:val="nil"/>
              <w:right w:val="nil"/>
            </w:tcBorders>
            <w:shd w:fill="auto" w:val="clear"/>
            <w:tcMar>
              <w:left w:type="dxa" w:w="144"/>
            </w:tcMar>
            <w:vAlign w:val="bottom"/>
          </w:tcPr>
          <w:p>
            <w:pPr>
              <w:pStyle w:val="style59"/>
              <w:tabs>
                <w:tab w:leader="none" w:pos="891" w:val="right"/>
                <w:tab w:leader="none" w:pos="945" w:val="decimal"/>
              </w:tabs>
              <w:spacing w:after="0" w:before="20"/>
              <w:ind w:hanging="0" w:left="274" w:right="101"/>
              <w:contextualSpacing w:val="false"/>
              <w:rPr/>
            </w:pPr>
            <w:r>
              <w:rPr/>
              <w:t> </w:t>
            </w:r>
          </w:p>
        </w:tc>
        <w:tc>
          <w:tcPr>
            <w:tcW w:type="dxa" w:w="1196"/>
            <w:tcBorders>
              <w:top w:val="nil"/>
              <w:left w:val="nil"/>
              <w:bottom w:val="nil"/>
              <w:right w:val="nil"/>
            </w:tcBorders>
            <w:shd w:fill="auto" w:val="clear"/>
            <w:tcMar>
              <w:left w:type="dxa" w:w="144"/>
            </w:tcMar>
            <w:vAlign w:val="bottom"/>
          </w:tcPr>
          <w:p>
            <w:pPr>
              <w:pStyle w:val="style59"/>
              <w:tabs>
                <w:tab w:leader="none" w:pos="1026" w:val="right"/>
                <w:tab w:leader="none" w:pos="1188" w:val="decimal"/>
              </w:tabs>
              <w:spacing w:after="0" w:before="20"/>
              <w:ind w:hanging="0" w:left="216" w:right="58"/>
              <w:contextualSpacing w:val="false"/>
              <w:rPr/>
            </w:pPr>
            <w:r>
              <w:rPr/>
              <w:t> </w:t>
            </w:r>
          </w:p>
        </w:tc>
        <w:tc>
          <w:tcPr>
            <w:tcW w:type="dxa" w:w="1188"/>
            <w:tcBorders>
              <w:top w:val="nil"/>
              <w:left w:val="nil"/>
              <w:bottom w:val="nil"/>
              <w:right w:val="nil"/>
            </w:tcBorders>
            <w:shd w:fill="auto" w:val="clear"/>
            <w:tcMar>
              <w:left w:type="dxa" w:w="144"/>
            </w:tcMar>
            <w:vAlign w:val="bottom"/>
          </w:tcPr>
          <w:p>
            <w:pPr>
              <w:pStyle w:val="style59"/>
              <w:tabs>
                <w:tab w:leader="none" w:pos="1017" w:val="right"/>
              </w:tabs>
              <w:spacing w:after="0" w:before="20"/>
              <w:ind w:hanging="0" w:left="216" w:right="72"/>
              <w:contextualSpacing w:val="false"/>
              <w:rPr/>
            </w:pPr>
            <w:r>
              <w:rPr/>
              <w:t> </w:t>
            </w:r>
          </w:p>
        </w:tc>
        <w:tc>
          <w:tcPr>
            <w:tcW w:type="dxa" w:w="1233"/>
            <w:tcBorders>
              <w:top w:val="nil"/>
              <w:left w:val="nil"/>
              <w:bottom w:val="nil"/>
              <w:right w:val="nil"/>
            </w:tcBorders>
            <w:shd w:fill="auto" w:val="clear"/>
            <w:tcMar>
              <w:left w:type="dxa" w:w="144"/>
            </w:tcMar>
            <w:vAlign w:val="bottom"/>
          </w:tcPr>
          <w:p>
            <w:pPr>
              <w:pStyle w:val="style59"/>
              <w:tabs>
                <w:tab w:leader="none" w:pos="1053" w:val="right"/>
              </w:tabs>
              <w:spacing w:after="0" w:before="20"/>
              <w:ind w:hanging="0" w:left="173" w:right="72"/>
              <w:contextualSpacing w:val="false"/>
              <w:rPr/>
            </w:pPr>
            <w:r>
              <w:rPr/>
              <w:t> </w:t>
            </w:r>
          </w:p>
        </w:tc>
        <w:tc>
          <w:tcPr>
            <w:tcW w:type="dxa" w:w="1197"/>
            <w:tcBorders>
              <w:top w:val="nil"/>
              <w:left w:val="nil"/>
              <w:bottom w:val="nil"/>
              <w:right w:val="nil"/>
            </w:tcBorders>
            <w:shd w:fill="auto" w:val="clear"/>
            <w:tcMar>
              <w:left w:type="dxa" w:w="144"/>
            </w:tcMar>
            <w:vAlign w:val="bottom"/>
          </w:tcPr>
          <w:p>
            <w:pPr>
              <w:pStyle w:val="style59"/>
              <w:tabs>
                <w:tab w:leader="none" w:pos="1035" w:val="right"/>
              </w:tabs>
              <w:spacing w:after="0" w:before="20"/>
              <w:ind w:hanging="0" w:left="288" w:right="58"/>
              <w:contextualSpacing w:val="false"/>
              <w:rPr/>
            </w:pPr>
            <w:r>
              <w:rPr/>
              <w:t> </w:t>
            </w:r>
          </w:p>
        </w:tc>
      </w:tr>
      <w:tr>
        <w:trPr>
          <w:cantSplit w:val="false"/>
        </w:trPr>
        <w:tc>
          <w:tcPr>
            <w:tcW w:type="dxa" w:w="253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21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70,584</w:t>
              <w:tab/>
            </w:r>
          </w:p>
        </w:tc>
        <w:tc>
          <w:tcPr>
            <w:tcW w:type="dxa" w:w="1125"/>
            <w:tcBorders>
              <w:top w:val="nil"/>
              <w:left w:val="nil"/>
              <w:bottom w:val="nil"/>
              <w:right w:val="nil"/>
            </w:tcBorders>
            <w:shd w:fill="auto" w:val="clear"/>
            <w:tcMar>
              <w:left w:type="dxa" w:w="144"/>
            </w:tcMar>
            <w:vAlign w:val="bottom"/>
          </w:tcPr>
          <w:p>
            <w:pPr>
              <w:pStyle w:val="style62"/>
              <w:tabs>
                <w:tab w:leader="none" w:pos="945" w:val="right"/>
                <w:tab w:leader="none" w:pos="1080" w:val="decimal"/>
              </w:tabs>
              <w:spacing w:after="280" w:before="280"/>
              <w:ind w:hanging="0" w:left="202" w:right="72"/>
              <w:contextualSpacing w:val="false"/>
              <w:rPr>
                <w:rFonts w:ascii="Arial" w:cs="Arial" w:hAnsi="Arial"/>
                <w:sz w:val="20"/>
                <w:szCs w:val="20"/>
              </w:rPr>
            </w:pPr>
            <w:r>
              <w:rPr>
                <w:rFonts w:ascii="Arial" w:cs="Arial" w:hAnsi="Arial"/>
                <w:sz w:val="20"/>
                <w:szCs w:val="20"/>
              </w:rPr>
              <w:t>$</w:t>
              <w:tab/>
              <w:t>2,716</w:t>
              <w:tab/>
            </w:r>
          </w:p>
        </w:tc>
        <w:tc>
          <w:tcPr>
            <w:tcW w:type="dxa" w:w="1107"/>
            <w:tcBorders>
              <w:top w:val="nil"/>
              <w:left w:val="nil"/>
              <w:bottom w:val="nil"/>
              <w:right w:val="nil"/>
            </w:tcBorders>
            <w:shd w:fill="auto" w:val="clear"/>
            <w:tcMar>
              <w:left w:type="dxa" w:w="144"/>
            </w:tcMar>
            <w:vAlign w:val="bottom"/>
          </w:tcPr>
          <w:p>
            <w:pPr>
              <w:pStyle w:val="style62"/>
              <w:tabs>
                <w:tab w:leader="none" w:pos="891" w:val="right"/>
                <w:tab w:leader="none" w:pos="945" w:val="decimal"/>
              </w:tabs>
              <w:spacing w:after="280" w:before="280"/>
              <w:ind w:hanging="0" w:left="274" w:right="101"/>
              <w:contextualSpacing w:val="false"/>
              <w:rPr>
                <w:rFonts w:ascii="Arial" w:cs="Arial" w:hAnsi="Arial"/>
                <w:sz w:val="20"/>
                <w:szCs w:val="20"/>
              </w:rPr>
            </w:pPr>
            <w:r>
              <w:rPr>
                <w:rFonts w:ascii="Arial" w:cs="Arial" w:hAnsi="Arial"/>
                <w:sz w:val="20"/>
                <w:szCs w:val="20"/>
              </w:rPr>
              <w:t>$</w:t>
              <w:tab/>
              <w:t>  (484</w:t>
              <w:tab/>
              <w:t>)</w:t>
            </w:r>
          </w:p>
        </w:tc>
        <w:tc>
          <w:tcPr>
            <w:tcW w:type="dxa" w:w="1196"/>
            <w:tcBorders>
              <w:top w:val="nil"/>
              <w:left w:val="nil"/>
              <w:bottom w:val="nil"/>
              <w:right w:val="nil"/>
            </w:tcBorders>
            <w:shd w:fill="auto" w:val="clear"/>
            <w:tcMar>
              <w:left w:type="dxa" w:w="144"/>
            </w:tcMar>
            <w:vAlign w:val="bottom"/>
          </w:tcPr>
          <w:p>
            <w:pPr>
              <w:pStyle w:val="style62"/>
              <w:tabs>
                <w:tab w:leader="none" w:pos="1026" w:val="right"/>
                <w:tab w:leader="none" w:pos="1188" w:val="decimal"/>
              </w:tabs>
              <w:spacing w:after="280" w:before="280"/>
              <w:ind w:hanging="0" w:left="216" w:right="58"/>
              <w:contextualSpacing w:val="false"/>
              <w:rPr>
                <w:rFonts w:ascii="Arial" w:cs="Arial" w:hAnsi="Arial"/>
                <w:sz w:val="20"/>
                <w:szCs w:val="20"/>
              </w:rPr>
            </w:pPr>
            <w:r>
              <w:rPr>
                <w:rFonts w:ascii="Arial" w:cs="Arial" w:hAnsi="Arial"/>
                <w:sz w:val="20"/>
                <w:szCs w:val="20"/>
              </w:rPr>
              <w:t>$</w:t>
              <w:tab/>
              <w:t>72,816</w:t>
              <w:tab/>
            </w:r>
          </w:p>
        </w:tc>
        <w:tc>
          <w:tcPr>
            <w:tcW w:type="dxa" w:w="1188"/>
            <w:tcBorders>
              <w:top w:val="nil"/>
              <w:left w:val="nil"/>
              <w:bottom w:val="nil"/>
              <w:right w:val="nil"/>
            </w:tcBorders>
            <w:shd w:fill="auto" w:val="clear"/>
            <w:tcMar>
              <w:left w:type="dxa" w:w="144"/>
            </w:tcMar>
            <w:vAlign w:val="bottom"/>
          </w:tcPr>
          <w:p>
            <w:pPr>
              <w:pStyle w:val="style62"/>
              <w:tabs>
                <w:tab w:leader="none" w:pos="1017" w:val="right"/>
                <w:tab w:leader="none" w:pos="1140" w:val="decimal"/>
              </w:tabs>
              <w:spacing w:after="280" w:before="280"/>
              <w:ind w:hanging="0" w:left="216" w:right="72"/>
              <w:contextualSpacing w:val="false"/>
              <w:rPr>
                <w:rFonts w:ascii="Arial" w:cs="Arial" w:hAnsi="Arial"/>
                <w:sz w:val="20"/>
                <w:szCs w:val="20"/>
              </w:rPr>
            </w:pPr>
            <w:r>
              <w:rPr>
                <w:rFonts w:ascii="Arial" w:cs="Arial" w:hAnsi="Arial"/>
                <w:sz w:val="20"/>
                <w:szCs w:val="20"/>
              </w:rPr>
              <w:t>$</w:t>
              <w:tab/>
              <w:t>  6,938</w:t>
              <w:tab/>
            </w:r>
          </w:p>
        </w:tc>
        <w:tc>
          <w:tcPr>
            <w:tcW w:type="dxa" w:w="1233"/>
            <w:tcBorders>
              <w:top w:val="nil"/>
              <w:left w:val="nil"/>
              <w:bottom w:val="nil"/>
              <w:right w:val="nil"/>
            </w:tcBorders>
            <w:shd w:fill="auto" w:val="clear"/>
            <w:tcMar>
              <w:left w:type="dxa" w:w="144"/>
            </w:tcMar>
            <w:vAlign w:val="bottom"/>
          </w:tcPr>
          <w:p>
            <w:pPr>
              <w:pStyle w:val="style62"/>
              <w:tabs>
                <w:tab w:leader="none" w:pos="1053" w:val="right"/>
                <w:tab w:leader="none" w:pos="1180" w:val="decimal"/>
              </w:tabs>
              <w:spacing w:after="280" w:before="280"/>
              <w:ind w:hanging="0" w:left="173" w:right="72"/>
              <w:contextualSpacing w:val="false"/>
              <w:rPr>
                <w:rFonts w:ascii="Arial" w:cs="Arial" w:hAnsi="Arial"/>
                <w:sz w:val="20"/>
                <w:szCs w:val="20"/>
              </w:rPr>
            </w:pPr>
            <w:r>
              <w:rPr>
                <w:rFonts w:ascii="Arial" w:cs="Arial" w:hAnsi="Arial"/>
                <w:sz w:val="20"/>
                <w:szCs w:val="20"/>
              </w:rPr>
              <w:t>$</w:t>
              <w:tab/>
              <w:t>  56,102</w:t>
              <w:tab/>
            </w:r>
          </w:p>
        </w:tc>
        <w:tc>
          <w:tcPr>
            <w:tcW w:type="dxa" w:w="1198"/>
            <w:tcBorders>
              <w:top w:val="nil"/>
              <w:left w:val="nil"/>
              <w:bottom w:val="nil"/>
              <w:right w:val="nil"/>
            </w:tcBorders>
            <w:shd w:fill="auto" w:val="clear"/>
            <w:tcMar>
              <w:left w:type="dxa" w:w="144"/>
            </w:tcMar>
            <w:vAlign w:val="bottom"/>
          </w:tcPr>
          <w:p>
            <w:pPr>
              <w:pStyle w:val="style62"/>
              <w:tabs>
                <w:tab w:leader="none" w:pos="1035" w:val="right"/>
                <w:tab w:leader="none" w:pos="1180" w:val="decimal"/>
              </w:tabs>
              <w:spacing w:after="280" w:before="280"/>
              <w:ind w:hanging="0" w:left="288" w:right="58"/>
              <w:contextualSpacing w:val="false"/>
              <w:rPr>
                <w:rFonts w:ascii="Arial" w:cs="Arial" w:hAnsi="Arial"/>
                <w:sz w:val="20"/>
                <w:szCs w:val="20"/>
              </w:rPr>
            </w:pPr>
            <w:r>
              <w:rPr>
                <w:rFonts w:ascii="Arial" w:cs="Arial" w:hAnsi="Arial"/>
                <w:sz w:val="20"/>
                <w:szCs w:val="20"/>
              </w:rPr>
              <w:t>$</w:t>
              <w:tab/>
              <w:t>  9,776</w:t>
              <w:tab/>
            </w:r>
          </w:p>
        </w:tc>
      </w:tr>
      <w:tr>
        <w:trPr>
          <w:cantSplit w:val="false"/>
        </w:trPr>
        <w:tc>
          <w:tcPr>
            <w:tcW w:type="dxa" w:w="2538"/>
            <w:tcBorders>
              <w:top w:val="nil"/>
              <w:left w:val="nil"/>
              <w:bottom w:val="nil"/>
              <w:right w:val="nil"/>
            </w:tcBorders>
            <w:shd w:fill="auto" w:val="clear"/>
            <w:tcMar>
              <w:left w:type="dxa" w:w="144"/>
            </w:tcMar>
            <w:vAlign w:val="bottom"/>
          </w:tcPr>
          <w:p>
            <w:pPr>
              <w:pStyle w:val="style65"/>
              <w:rPr/>
            </w:pPr>
            <w:r>
              <w:rPr/>
              <w:t> </w:t>
            </w:r>
          </w:p>
        </w:tc>
        <w:tc>
          <w:tcPr>
            <w:tcW w:type="dxa" w:w="1213"/>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c>
          <w:tcPr>
            <w:tcW w:type="dxa" w:w="1125"/>
            <w:tcBorders>
              <w:top w:val="nil"/>
              <w:left w:val="nil"/>
              <w:bottom w:val="nil"/>
              <w:right w:val="nil"/>
            </w:tcBorders>
            <w:shd w:fill="auto" w:val="clear"/>
            <w:tcMar>
              <w:left w:type="dxa" w:w="144"/>
            </w:tcMar>
            <w:vAlign w:val="bottom"/>
          </w:tcPr>
          <w:p>
            <w:pPr>
              <w:pStyle w:val="style63"/>
              <w:spacing w:after="0" w:before="20"/>
              <w:ind w:hanging="0" w:left="202" w:right="72"/>
              <w:contextualSpacing w:val="false"/>
              <w:rPr/>
            </w:pPr>
            <w:r>
              <w:rPr/>
              <w:t> </w:t>
            </w:r>
          </w:p>
        </w:tc>
        <w:tc>
          <w:tcPr>
            <w:tcW w:type="dxa" w:w="1107"/>
            <w:tcBorders>
              <w:top w:val="nil"/>
              <w:left w:val="nil"/>
              <w:bottom w:val="nil"/>
              <w:right w:val="nil"/>
            </w:tcBorders>
            <w:shd w:fill="auto" w:val="clear"/>
            <w:tcMar>
              <w:left w:type="dxa" w:w="144"/>
            </w:tcMar>
            <w:vAlign w:val="bottom"/>
          </w:tcPr>
          <w:p>
            <w:pPr>
              <w:pStyle w:val="style63"/>
              <w:tabs>
                <w:tab w:leader="none" w:pos="891" w:val="right"/>
                <w:tab w:leader="none" w:pos="945" w:val="decimal"/>
              </w:tabs>
              <w:spacing w:after="0" w:before="20"/>
              <w:ind w:hanging="0" w:left="274" w:right="101"/>
              <w:contextualSpacing w:val="false"/>
              <w:rPr/>
            </w:pPr>
            <w:r>
              <w:rPr/>
              <w:t> </w:t>
            </w:r>
          </w:p>
        </w:tc>
        <w:tc>
          <w:tcPr>
            <w:tcW w:type="dxa" w:w="1196"/>
            <w:tcBorders>
              <w:top w:val="nil"/>
              <w:left w:val="nil"/>
              <w:bottom w:val="nil"/>
              <w:right w:val="nil"/>
            </w:tcBorders>
            <w:shd w:fill="auto" w:val="clear"/>
            <w:tcMar>
              <w:left w:type="dxa" w:w="144"/>
            </w:tcMar>
            <w:vAlign w:val="bottom"/>
          </w:tcPr>
          <w:p>
            <w:pPr>
              <w:pStyle w:val="style63"/>
              <w:tabs>
                <w:tab w:leader="none" w:pos="1026" w:val="right"/>
              </w:tabs>
              <w:spacing w:after="0" w:before="20"/>
              <w:ind w:hanging="0" w:left="216" w:right="58"/>
              <w:contextualSpacing w:val="false"/>
              <w:rPr/>
            </w:pPr>
            <w:r>
              <w:rPr/>
              <w:t> </w:t>
            </w:r>
          </w:p>
        </w:tc>
        <w:tc>
          <w:tcPr>
            <w:tcW w:type="dxa" w:w="1188"/>
            <w:tcBorders>
              <w:top w:val="nil"/>
              <w:left w:val="nil"/>
              <w:bottom w:val="nil"/>
              <w:right w:val="nil"/>
            </w:tcBorders>
            <w:shd w:fill="auto" w:val="clear"/>
            <w:tcMar>
              <w:left w:type="dxa" w:w="144"/>
            </w:tcMar>
            <w:vAlign w:val="bottom"/>
          </w:tcPr>
          <w:p>
            <w:pPr>
              <w:pStyle w:val="style63"/>
              <w:tabs>
                <w:tab w:leader="none" w:pos="1017" w:val="right"/>
              </w:tabs>
              <w:spacing w:after="0" w:before="20"/>
              <w:ind w:hanging="0" w:left="216" w:right="72"/>
              <w:contextualSpacing w:val="false"/>
              <w:rPr/>
            </w:pPr>
            <w:r>
              <w:rPr/>
              <w:t> </w:t>
            </w:r>
          </w:p>
        </w:tc>
        <w:tc>
          <w:tcPr>
            <w:tcW w:type="dxa" w:w="1233"/>
            <w:tcBorders>
              <w:top w:val="nil"/>
              <w:left w:val="nil"/>
              <w:bottom w:val="nil"/>
              <w:right w:val="nil"/>
            </w:tcBorders>
            <w:shd w:fill="auto" w:val="clear"/>
            <w:tcMar>
              <w:left w:type="dxa" w:w="144"/>
            </w:tcMar>
            <w:vAlign w:val="bottom"/>
          </w:tcPr>
          <w:p>
            <w:pPr>
              <w:pStyle w:val="style63"/>
              <w:spacing w:after="0" w:before="20"/>
              <w:ind w:hanging="0" w:left="173" w:right="72"/>
              <w:contextualSpacing w:val="false"/>
              <w:rPr/>
            </w:pPr>
            <w:r>
              <w:rPr/>
              <w:t> </w:t>
            </w:r>
          </w:p>
        </w:tc>
        <w:tc>
          <w:tcPr>
            <w:tcW w:type="dxa" w:w="1198"/>
            <w:tcBorders>
              <w:top w:val="nil"/>
              <w:left w:val="nil"/>
              <w:bottom w:val="nil"/>
              <w:right w:val="nil"/>
            </w:tcBorders>
            <w:shd w:fill="auto" w:val="clear"/>
            <w:tcMar>
              <w:left w:type="dxa" w:w="144"/>
            </w:tcMar>
            <w:vAlign w:val="bottom"/>
          </w:tcPr>
          <w:p>
            <w:pPr>
              <w:pStyle w:val="style63"/>
              <w:spacing w:after="0" w:before="20"/>
              <w:ind w:hanging="0" w:left="288" w:right="58"/>
              <w:contextualSpacing w:val="false"/>
              <w:rPr/>
            </w:pPr>
            <w:r>
              <w:rPr/>
              <w:t> </w:t>
            </w:r>
          </w:p>
        </w:tc>
      </w:tr>
    </w:tbl>
    <w:p>
      <w:pPr>
        <w:pStyle w:val="style62"/>
        <w:spacing w:after="280" w:before="280"/>
        <w:contextualSpacing w:val="false"/>
        <w:jc w:val="both"/>
        <w:rPr>
          <w:sz w:val="2"/>
          <w:szCs w:val="2"/>
        </w:rPr>
      </w:pPr>
      <w:r>
        <w:rPr>
          <w:sz w:val="2"/>
          <w:szCs w:val="2"/>
        </w:rPr>
      </w:r>
    </w:p>
    <w:p>
      <w:pPr>
        <w:pStyle w:val="style62"/>
        <w:spacing w:after="280" w:before="280"/>
        <w:contextualSpacing w:val="false"/>
        <w:jc w:val="both"/>
        <w:rPr>
          <w:sz w:val="2"/>
          <w:szCs w:val="2"/>
        </w:rPr>
      </w:pPr>
      <w:r>
        <w:rPr>
          <w:sz w:val="2"/>
          <w:szCs w:val="2"/>
        </w:rPr>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Unrealized Losses on Investments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Investments with continuous unrealized losses for less than 12 months and 12 months or greater and their related fair values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3506"/>
        <w:gridCol w:w="1180"/>
        <w:gridCol w:w="1250"/>
        <w:gridCol w:w="1180"/>
        <w:gridCol w:w="1250"/>
        <w:gridCol w:w="1180"/>
        <w:gridCol w:w="1253"/>
      </w:tblGrid>
      <w:tr>
        <w:trPr>
          <w:tblHeader w:val="true"/>
          <w:cantSplit w:val="false"/>
        </w:trPr>
        <w:tc>
          <w:tcPr>
            <w:tcW w:type="dxa" w:w="3506"/>
            <w:tcBorders>
              <w:top w:val="nil"/>
              <w:left w:val="nil"/>
              <w:bottom w:val="nil"/>
              <w:right w:val="nil"/>
            </w:tcBorders>
            <w:shd w:fill="auto" w:val="clear"/>
            <w:vAlign w:val="center"/>
          </w:tcPr>
          <w:p>
            <w:pPr>
              <w:pStyle w:val="style0"/>
              <w:rPr>
                <w:sz w:val="1"/>
                <w:szCs w:val="24"/>
              </w:rPr>
            </w:pPr>
            <w:r>
              <w:rPr>
                <w:sz w:val="1"/>
                <w:szCs w:val="24"/>
              </w:rPr>
            </w:r>
          </w:p>
        </w:tc>
        <w:tc>
          <w:tcPr>
            <w:tcW w:type="dxa" w:w="1180"/>
            <w:tcBorders>
              <w:top w:val="nil"/>
              <w:left w:val="nil"/>
              <w:bottom w:val="nil"/>
              <w:right w:val="nil"/>
            </w:tcBorders>
            <w:shd w:fill="auto" w:val="clear"/>
            <w:vAlign w:val="center"/>
          </w:tcPr>
          <w:p>
            <w:pPr>
              <w:pStyle w:val="style0"/>
              <w:rPr>
                <w:sz w:val="1"/>
                <w:szCs w:val="24"/>
              </w:rPr>
            </w:pPr>
            <w:r>
              <w:rPr>
                <w:sz w:val="1"/>
                <w:szCs w:val="24"/>
              </w:rPr>
            </w:r>
          </w:p>
        </w:tc>
        <w:tc>
          <w:tcPr>
            <w:tcW w:type="dxa" w:w="1250"/>
            <w:tcBorders>
              <w:top w:val="nil"/>
              <w:left w:val="nil"/>
              <w:bottom w:val="nil"/>
              <w:right w:val="nil"/>
            </w:tcBorders>
            <w:shd w:fill="auto" w:val="clear"/>
            <w:vAlign w:val="center"/>
          </w:tcPr>
          <w:p>
            <w:pPr>
              <w:pStyle w:val="style0"/>
              <w:rPr>
                <w:sz w:val="1"/>
                <w:szCs w:val="24"/>
              </w:rPr>
            </w:pPr>
            <w:r>
              <w:rPr>
                <w:sz w:val="1"/>
                <w:szCs w:val="24"/>
              </w:rPr>
            </w:r>
          </w:p>
        </w:tc>
        <w:tc>
          <w:tcPr>
            <w:tcW w:type="dxa" w:w="1180"/>
            <w:tcBorders>
              <w:top w:val="nil"/>
              <w:left w:val="nil"/>
              <w:bottom w:val="nil"/>
              <w:right w:val="nil"/>
            </w:tcBorders>
            <w:shd w:fill="auto" w:val="clear"/>
            <w:vAlign w:val="center"/>
          </w:tcPr>
          <w:p>
            <w:pPr>
              <w:pStyle w:val="style0"/>
              <w:rPr>
                <w:sz w:val="1"/>
                <w:szCs w:val="24"/>
              </w:rPr>
            </w:pPr>
            <w:r>
              <w:rPr>
                <w:sz w:val="1"/>
                <w:szCs w:val="24"/>
              </w:rPr>
            </w:r>
          </w:p>
        </w:tc>
        <w:tc>
          <w:tcPr>
            <w:tcW w:type="dxa" w:w="1250"/>
            <w:tcBorders>
              <w:top w:val="nil"/>
              <w:left w:val="nil"/>
              <w:bottom w:val="nil"/>
              <w:right w:val="nil"/>
            </w:tcBorders>
            <w:shd w:fill="auto" w:val="clear"/>
            <w:vAlign w:val="center"/>
          </w:tcPr>
          <w:p>
            <w:pPr>
              <w:pStyle w:val="style0"/>
              <w:rPr>
                <w:sz w:val="1"/>
                <w:szCs w:val="24"/>
              </w:rPr>
            </w:pPr>
            <w:r>
              <w:rPr>
                <w:sz w:val="1"/>
                <w:szCs w:val="24"/>
              </w:rPr>
            </w:r>
          </w:p>
        </w:tc>
        <w:tc>
          <w:tcPr>
            <w:tcW w:type="dxa" w:w="1180"/>
            <w:tcBorders>
              <w:top w:val="nil"/>
              <w:left w:val="nil"/>
              <w:bottom w:val="nil"/>
              <w:right w:val="nil"/>
            </w:tcBorders>
            <w:shd w:fill="auto" w:val="clear"/>
            <w:vAlign w:val="center"/>
          </w:tcPr>
          <w:p>
            <w:pPr>
              <w:pStyle w:val="style0"/>
              <w:rPr>
                <w:sz w:val="1"/>
                <w:szCs w:val="24"/>
              </w:rPr>
            </w:pPr>
            <w:r>
              <w:rPr>
                <w:sz w:val="1"/>
                <w:szCs w:val="24"/>
              </w:rPr>
            </w:r>
          </w:p>
        </w:tc>
        <w:tc>
          <w:tcPr>
            <w:tcW w:type="dxa" w:w="1253"/>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3506"/>
            <w:tcBorders>
              <w:top w:val="nil"/>
              <w:left w:val="nil"/>
              <w:bottom w:val="nil"/>
              <w:right w:val="nil"/>
            </w:tcBorders>
            <w:shd w:fill="auto" w:val="clear"/>
            <w:vAlign w:val="bottom"/>
          </w:tcPr>
          <w:p>
            <w:pPr>
              <w:pStyle w:val="style65"/>
              <w:keepNext/>
              <w:rPr/>
            </w:pPr>
            <w:r>
              <w:rPr/>
              <w:t> </w:t>
            </w:r>
          </w:p>
        </w:tc>
        <w:tc>
          <w:tcPr>
            <w:tcW w:type="dxa" w:w="2430"/>
            <w:gridSpan w:val="2"/>
            <w:tcBorders>
              <w:top w:val="nil"/>
              <w:left w:val="nil"/>
              <w:bottom w:val="nil"/>
              <w:right w:val="nil"/>
            </w:tcBorders>
            <w:shd w:fill="auto" w:val="clear"/>
            <w:vAlign w:val="bottom"/>
          </w:tcPr>
          <w:p>
            <w:pPr>
              <w:pStyle w:val="style0"/>
              <w:ind w:hanging="0" w:left="0" w:right="79"/>
              <w:jc w:val="right"/>
              <w:rPr>
                <w:rFonts w:ascii="Arial" w:cs="Arial" w:hAnsi="Arial"/>
                <w:b/>
                <w:bCs/>
                <w:sz w:val="15"/>
                <w:szCs w:val="15"/>
              </w:rPr>
            </w:pPr>
            <w:r>
              <w:rPr>
                <w:rFonts w:ascii="Arial" w:cs="Arial" w:hAnsi="Arial"/>
                <w:b/>
                <w:bCs/>
                <w:sz w:val="15"/>
                <w:szCs w:val="15"/>
              </w:rPr>
              <w:t>Less than 12 Months</w:t>
            </w:r>
          </w:p>
        </w:tc>
        <w:tc>
          <w:tcPr>
            <w:tcW w:type="dxa" w:w="2430"/>
            <w:gridSpan w:val="2"/>
            <w:tcBorders>
              <w:top w:val="nil"/>
              <w:left w:val="nil"/>
              <w:bottom w:val="nil"/>
              <w:right w:val="nil"/>
            </w:tcBorders>
            <w:shd w:fill="auto" w:val="clear"/>
            <w:tcMar>
              <w:left w:type="dxa" w:w="144"/>
            </w:tcMar>
            <w:vAlign w:val="bottom"/>
          </w:tcPr>
          <w:p>
            <w:pPr>
              <w:pStyle w:val="style0"/>
              <w:ind w:hanging="0" w:left="0" w:right="62"/>
              <w:jc w:val="right"/>
              <w:rPr>
                <w:rFonts w:ascii="Arial" w:cs="Arial" w:hAnsi="Arial"/>
                <w:b/>
                <w:bCs/>
                <w:sz w:val="15"/>
                <w:szCs w:val="15"/>
              </w:rPr>
            </w:pPr>
            <w:r>
              <w:rPr>
                <w:rFonts w:ascii="Arial" w:cs="Arial" w:hAnsi="Arial"/>
                <w:b/>
                <w:bCs/>
                <w:sz w:val="15"/>
                <w:szCs w:val="15"/>
              </w:rPr>
              <w:t>12 Months or Greater</w:t>
            </w:r>
          </w:p>
        </w:tc>
        <w:tc>
          <w:tcPr>
            <w:tcW w:type="dxa" w:w="1180"/>
            <w:tcBorders>
              <w:top w:val="nil"/>
              <w:left w:val="nil"/>
              <w:bottom w:val="nil"/>
              <w:right w:val="nil"/>
            </w:tcBorders>
            <w:shd w:fill="auto" w:val="clear"/>
            <w:tcMar>
              <w:left w:type="dxa" w:w="144"/>
            </w:tcMar>
            <w:vAlign w:val="bottom"/>
          </w:tcPr>
          <w:p>
            <w:pPr>
              <w:pStyle w:val="style65"/>
              <w:rPr/>
            </w:pPr>
            <w:r>
              <w:rPr/>
              <w:t> </w:t>
            </w:r>
          </w:p>
        </w:tc>
        <w:tc>
          <w:tcPr>
            <w:tcW w:type="dxa" w:w="1253"/>
            <w:vMerge w:val="restart"/>
            <w:tcBorders>
              <w:top w:val="nil"/>
              <w:left w:val="nil"/>
              <w:bottom w:val="nil"/>
              <w:right w:val="nil"/>
            </w:tcBorders>
            <w:shd w:fill="auto" w:val="clear"/>
            <w:tcMar>
              <w:left w:type="dxa" w:w="144"/>
            </w:tcMar>
            <w:vAlign w:val="bottom"/>
          </w:tcPr>
          <w:p>
            <w:pPr>
              <w:pStyle w:val="style62"/>
              <w:spacing w:after="280" w:before="280"/>
              <w:ind w:hanging="0" w:left="144" w:right="58"/>
              <w:contextualSpacing w:val="false"/>
              <w:jc w:val="right"/>
              <w:rPr>
                <w:rFonts w:ascii="Arial" w:cs="Arial" w:hAnsi="Arial"/>
                <w:b/>
                <w:bCs/>
                <w:sz w:val="15"/>
                <w:szCs w:val="15"/>
              </w:rPr>
            </w:pPr>
            <w:r>
              <w:rPr>
                <w:rFonts w:ascii="Arial" w:cs="Arial" w:hAnsi="Arial"/>
                <w:b/>
                <w:bCs/>
                <w:sz w:val="15"/>
                <w:szCs w:val="15"/>
              </w:rPr>
              <w:t>Total</w:t>
            </w:r>
          </w:p>
          <w:p>
            <w:pPr>
              <w:pStyle w:val="style62"/>
              <w:spacing w:after="280" w:before="280"/>
              <w:ind w:hanging="0" w:left="144" w:right="58"/>
              <w:contextualSpacing w:val="false"/>
              <w:jc w:val="right"/>
              <w:rPr>
                <w:rFonts w:ascii="Arial" w:cs="Arial" w:hAnsi="Arial"/>
                <w:b/>
                <w:bCs/>
                <w:sz w:val="15"/>
                <w:szCs w:val="15"/>
              </w:rPr>
            </w:pPr>
            <w:r>
              <w:rPr>
                <w:rFonts w:ascii="Arial" w:cs="Arial" w:hAnsi="Arial"/>
                <w:b/>
                <w:bCs/>
                <w:sz w:val="15"/>
                <w:szCs w:val="15"/>
              </w:rPr>
              <w:t>Unrealized</w:t>
            </w:r>
          </w:p>
          <w:p>
            <w:pPr>
              <w:pStyle w:val="style62"/>
              <w:spacing w:after="280" w:before="280"/>
              <w:ind w:hanging="0" w:left="144" w:right="58"/>
              <w:contextualSpacing w:val="false"/>
              <w:jc w:val="right"/>
              <w:rPr>
                <w:rFonts w:ascii="Arial" w:cs="Arial" w:hAnsi="Arial"/>
                <w:b/>
                <w:bCs/>
                <w:sz w:val="15"/>
                <w:szCs w:val="15"/>
              </w:rPr>
            </w:pPr>
            <w:r>
              <w:rPr>
                <w:rFonts w:ascii="Arial" w:cs="Arial" w:hAnsi="Arial"/>
                <w:b/>
                <w:bCs/>
                <w:sz w:val="15"/>
                <w:szCs w:val="15"/>
              </w:rPr>
              <w:t>Losses</w:t>
            </w:r>
          </w:p>
        </w:tc>
      </w:tr>
      <w:tr>
        <w:trPr>
          <w:cantSplit w:val="false"/>
        </w:trPr>
        <w:tc>
          <w:tcPr>
            <w:tcW w:type="dxa" w:w="3506"/>
            <w:tcBorders>
              <w:top w:val="nil"/>
              <w:left w:val="nil"/>
              <w:bottom w:val="nil"/>
              <w:right w:val="nil"/>
            </w:tcBorders>
            <w:shd w:fill="auto" w:val="clear"/>
            <w:tcMar>
              <w:left w:type="dxa" w:w="144"/>
            </w:tcMar>
            <w:vAlign w:val="bottom"/>
          </w:tcPr>
          <w:p>
            <w:pPr>
              <w:pStyle w:val="style65"/>
              <w:rPr/>
            </w:pPr>
            <w:r>
              <w:rPr/>
              <w:t> </w:t>
            </w:r>
          </w:p>
        </w:tc>
        <w:tc>
          <w:tcPr>
            <w:tcW w:type="dxa" w:w="2430"/>
            <w:gridSpan w:val="2"/>
            <w:tcBorders>
              <w:top w:val="nil"/>
              <w:left w:val="nil"/>
              <w:bottom w:val="nil"/>
              <w:right w:val="nil"/>
            </w:tcBorders>
            <w:shd w:fill="auto" w:val="clear"/>
            <w:tcMar>
              <w:left w:type="dxa" w:w="144"/>
            </w:tcMar>
            <w:vAlign w:val="bottom"/>
          </w:tcPr>
          <w:p>
            <w:pPr>
              <w:pStyle w:val="style59"/>
              <w:spacing w:after="0" w:before="20"/>
              <w:ind w:hanging="0" w:left="263" w:right="101"/>
              <w:contextualSpacing w:val="false"/>
              <w:rPr/>
            </w:pPr>
            <w:r>
              <w:rPr/>
              <w:t> </w:t>
            </w:r>
          </w:p>
        </w:tc>
        <w:tc>
          <w:tcPr>
            <w:tcW w:type="dxa" w:w="2430"/>
            <w:gridSpan w:val="2"/>
            <w:tcBorders>
              <w:top w:val="nil"/>
              <w:left w:val="nil"/>
              <w:bottom w:val="nil"/>
              <w:right w:val="nil"/>
            </w:tcBorders>
            <w:shd w:fill="auto" w:val="clear"/>
            <w:tcMar>
              <w:left w:type="dxa" w:w="144"/>
            </w:tcMar>
            <w:vAlign w:val="bottom"/>
          </w:tcPr>
          <w:p>
            <w:pPr>
              <w:pStyle w:val="style59"/>
              <w:spacing w:after="0" w:before="20"/>
              <w:ind w:hanging="0" w:left="263" w:right="86"/>
              <w:contextualSpacing w:val="false"/>
              <w:rPr/>
            </w:pPr>
            <w:r>
              <w:rPr/>
              <w:t> </w:t>
            </w:r>
          </w:p>
        </w:tc>
        <w:tc>
          <w:tcPr>
            <w:tcW w:type="dxa" w:w="1180"/>
            <w:tcBorders>
              <w:top w:val="nil"/>
              <w:left w:val="nil"/>
              <w:bottom w:val="nil"/>
              <w:right w:val="nil"/>
            </w:tcBorders>
            <w:shd w:fill="auto" w:val="clear"/>
            <w:tcMar>
              <w:left w:type="dxa" w:w="144"/>
            </w:tcMar>
            <w:vAlign w:val="bottom"/>
          </w:tcPr>
          <w:p>
            <w:pPr>
              <w:pStyle w:val="style65"/>
              <w:rPr/>
            </w:pPr>
            <w:r>
              <w:rPr/>
              <w:t> </w:t>
            </w:r>
          </w:p>
        </w:tc>
        <w:tc>
          <w:tcPr>
            <w:tcW w:type="dxa" w:w="1253"/>
            <w:vMerge w:val="continue"/>
            <w:tcBorders>
              <w:top w:val="nil"/>
              <w:left w:val="nil"/>
              <w:bottom w:val="nil"/>
              <w:right w:val="nil"/>
            </w:tcBorders>
            <w:shd w:fill="auto" w:val="clear"/>
            <w:vAlign w:val="center"/>
          </w:tcPr>
          <w:p>
            <w:pPr>
              <w:pStyle w:val="style0"/>
              <w:ind w:hanging="0" w:left="144" w:right="86"/>
              <w:rPr>
                <w:szCs w:val="24"/>
              </w:rPr>
            </w:pPr>
            <w:r>
              <w:rPr>
                <w:szCs w:val="24"/>
              </w:rPr>
            </w:r>
          </w:p>
        </w:tc>
      </w:tr>
      <w:tr>
        <w:trPr>
          <w:cantSplit w:val="false"/>
        </w:trPr>
        <w:tc>
          <w:tcPr>
            <w:tcW w:type="dxa" w:w="350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180"/>
            <w:tcBorders>
              <w:top w:val="nil"/>
              <w:left w:val="nil"/>
              <w:bottom w:val="nil"/>
              <w:right w:val="nil"/>
            </w:tcBorders>
            <w:shd w:fill="auto" w:val="clear"/>
            <w:tcMar>
              <w:left w:type="dxa" w:w="144"/>
            </w:tcMar>
            <w:vAlign w:val="bottom"/>
          </w:tcPr>
          <w:p>
            <w:pPr>
              <w:pStyle w:val="style0"/>
              <w:ind w:hanging="0" w:left="0" w:right="70"/>
              <w:jc w:val="right"/>
              <w:rPr>
                <w:rFonts w:ascii="Arial" w:cs="Arial" w:hAnsi="Arial"/>
                <w:b/>
                <w:bCs/>
                <w:sz w:val="15"/>
                <w:szCs w:val="15"/>
              </w:rPr>
            </w:pPr>
            <w:r>
              <w:rPr>
                <w:rFonts w:ascii="Arial" w:cs="Arial" w:hAnsi="Arial"/>
                <w:b/>
                <w:bCs/>
                <w:sz w:val="15"/>
                <w:szCs w:val="15"/>
              </w:rPr>
              <w:t>Fair Value</w:t>
            </w:r>
          </w:p>
        </w:tc>
        <w:tc>
          <w:tcPr>
            <w:tcW w:type="dxa" w:w="1250"/>
            <w:tcBorders>
              <w:top w:val="nil"/>
              <w:left w:val="nil"/>
              <w:bottom w:val="nil"/>
              <w:right w:val="nil"/>
            </w:tcBorders>
            <w:shd w:fill="auto" w:val="clear"/>
            <w:tcMar>
              <w:left w:type="dxa" w:w="144"/>
            </w:tcMar>
            <w:vAlign w:val="bottom"/>
          </w:tcPr>
          <w:p>
            <w:pPr>
              <w:pStyle w:val="style0"/>
              <w:ind w:hanging="0" w:left="0" w:right="88"/>
              <w:jc w:val="right"/>
              <w:rPr>
                <w:rFonts w:ascii="Arial" w:cs="Arial" w:hAnsi="Arial"/>
                <w:b/>
                <w:bCs/>
                <w:sz w:val="15"/>
                <w:szCs w:val="15"/>
              </w:rPr>
            </w:pPr>
            <w:r>
              <w:rPr>
                <w:rFonts w:ascii="Arial" w:cs="Arial" w:hAnsi="Arial"/>
                <w:b/>
                <w:bCs/>
                <w:sz w:val="15"/>
                <w:szCs w:val="15"/>
              </w:rPr>
              <w:t>Unrealized</w:t>
              <w:br/>
              <w:t>Losses</w:t>
            </w:r>
          </w:p>
        </w:tc>
        <w:tc>
          <w:tcPr>
            <w:tcW w:type="dxa" w:w="1180"/>
            <w:tcBorders>
              <w:top w:val="nil"/>
              <w:left w:val="nil"/>
              <w:bottom w:val="nil"/>
              <w:right w:val="nil"/>
            </w:tcBorders>
            <w:shd w:fill="auto" w:val="clear"/>
            <w:tcMar>
              <w:left w:type="dxa" w:w="144"/>
            </w:tcMar>
            <w:vAlign w:val="bottom"/>
          </w:tcPr>
          <w:p>
            <w:pPr>
              <w:pStyle w:val="style0"/>
              <w:ind w:hanging="0" w:left="0" w:right="71"/>
              <w:jc w:val="right"/>
              <w:rPr>
                <w:rFonts w:ascii="Arial" w:cs="Arial" w:hAnsi="Arial"/>
                <w:b/>
                <w:bCs/>
                <w:sz w:val="15"/>
                <w:szCs w:val="15"/>
              </w:rPr>
            </w:pPr>
            <w:r>
              <w:rPr>
                <w:rFonts w:ascii="Arial" w:cs="Arial" w:hAnsi="Arial"/>
                <w:b/>
                <w:bCs/>
                <w:sz w:val="15"/>
                <w:szCs w:val="15"/>
              </w:rPr>
              <w:t>Fair Value</w:t>
            </w:r>
          </w:p>
        </w:tc>
        <w:tc>
          <w:tcPr>
            <w:tcW w:type="dxa" w:w="1250"/>
            <w:tcBorders>
              <w:top w:val="nil"/>
              <w:left w:val="nil"/>
              <w:bottom w:val="nil"/>
              <w:right w:val="nil"/>
            </w:tcBorders>
            <w:shd w:fill="auto" w:val="clear"/>
            <w:tcMar>
              <w:left w:type="dxa" w:w="144"/>
            </w:tcMar>
            <w:vAlign w:val="bottom"/>
          </w:tcPr>
          <w:p>
            <w:pPr>
              <w:pStyle w:val="style0"/>
              <w:ind w:hanging="0" w:left="0" w:right="62"/>
              <w:jc w:val="right"/>
              <w:rPr>
                <w:rFonts w:ascii="Arial" w:cs="Arial" w:hAnsi="Arial"/>
                <w:b/>
                <w:bCs/>
                <w:sz w:val="15"/>
                <w:szCs w:val="15"/>
              </w:rPr>
            </w:pPr>
            <w:r>
              <w:rPr>
                <w:rFonts w:ascii="Arial" w:cs="Arial" w:hAnsi="Arial"/>
                <w:b/>
                <w:bCs/>
                <w:sz w:val="15"/>
                <w:szCs w:val="15"/>
              </w:rPr>
              <w:t>Unrealized</w:t>
              <w:br/>
              <w:t>Losses</w:t>
            </w:r>
          </w:p>
        </w:tc>
        <w:tc>
          <w:tcPr>
            <w:tcW w:type="dxa" w:w="1180"/>
            <w:tcBorders>
              <w:top w:val="nil"/>
              <w:left w:val="nil"/>
              <w:bottom w:val="nil"/>
              <w:right w:val="nil"/>
            </w:tcBorders>
            <w:shd w:fill="auto" w:val="clear"/>
            <w:tcMar>
              <w:left w:type="dxa" w:w="144"/>
            </w:tcMar>
            <w:vAlign w:val="bottom"/>
          </w:tcPr>
          <w:p>
            <w:pPr>
              <w:pStyle w:val="style0"/>
              <w:ind w:hanging="0" w:left="144" w:right="81"/>
              <w:jc w:val="right"/>
              <w:rPr>
                <w:rFonts w:ascii="Arial" w:cs="Arial" w:hAnsi="Arial"/>
                <w:b/>
                <w:bCs/>
                <w:sz w:val="15"/>
                <w:szCs w:val="15"/>
              </w:rPr>
            </w:pPr>
            <w:r>
              <w:rPr>
                <w:rFonts w:ascii="Arial" w:cs="Arial" w:hAnsi="Arial"/>
                <w:b/>
                <w:bCs/>
                <w:sz w:val="15"/>
                <w:szCs w:val="15"/>
              </w:rPr>
              <w:t>Total</w:t>
              <w:br/>
              <w:t>Fair Value</w:t>
            </w:r>
          </w:p>
        </w:tc>
        <w:tc>
          <w:tcPr>
            <w:tcW w:type="dxa" w:w="1253"/>
            <w:vMerge w:val="continue"/>
            <w:tcBorders>
              <w:top w:val="nil"/>
              <w:left w:val="nil"/>
              <w:bottom w:val="nil"/>
              <w:right w:val="nil"/>
            </w:tcBorders>
            <w:shd w:fill="auto" w:val="clear"/>
            <w:vAlign w:val="center"/>
          </w:tcPr>
          <w:p>
            <w:pPr>
              <w:pStyle w:val="style0"/>
              <w:ind w:hanging="0" w:left="144" w:right="86"/>
              <w:rPr>
                <w:szCs w:val="24"/>
              </w:rPr>
            </w:pPr>
            <w:r>
              <w:rPr>
                <w:szCs w:val="24"/>
              </w:rPr>
            </w:r>
          </w:p>
        </w:tc>
      </w:tr>
      <w:tr>
        <w:trPr>
          <w:cantSplit w:val="false"/>
        </w:trPr>
        <w:tc>
          <w:tcPr>
            <w:tcW w:type="dxa" w:w="10799"/>
            <w:gridSpan w:val="7"/>
            <w:tcBorders>
              <w:top w:val="nil"/>
              <w:left w:val="nil"/>
              <w:bottom w:val="nil"/>
              <w:right w:val="nil"/>
            </w:tcBorders>
            <w:shd w:fill="auto" w:val="clear"/>
            <w:tcMar>
              <w:left w:type="dxa" w:w="144"/>
            </w:tcMar>
            <w:vAlign w:val="bottom"/>
          </w:tcPr>
          <w:p>
            <w:pPr>
              <w:pStyle w:val="style59"/>
              <w:spacing w:after="0" w:before="20"/>
              <w:ind w:hanging="0" w:left="-396" w:right="86"/>
              <w:contextualSpacing w:val="false"/>
              <w:rPr/>
            </w:pPr>
            <w:r>
              <w:rPr/>
              <w:t> </w:t>
            </w:r>
          </w:p>
        </w:tc>
      </w:tr>
      <w:tr>
        <w:trPr>
          <w:trHeight w:hRule="atLeast" w:val="75"/>
          <w:cantSplit w:val="false"/>
        </w:trPr>
        <w:tc>
          <w:tcPr>
            <w:tcW w:type="dxa" w:w="3506"/>
            <w:tcBorders>
              <w:top w:val="nil"/>
              <w:left w:val="nil"/>
              <w:bottom w:val="nil"/>
              <w:right w:val="nil"/>
            </w:tcBorders>
            <w:shd w:fill="auto" w:val="clear"/>
            <w:vAlign w:val="center"/>
          </w:tcPr>
          <w:p>
            <w:pPr>
              <w:pStyle w:val="style0"/>
              <w:rPr>
                <w:sz w:val="8"/>
                <w:szCs w:val="24"/>
              </w:rPr>
            </w:pPr>
            <w:r>
              <w:rPr>
                <w:sz w:val="8"/>
                <w:szCs w:val="24"/>
              </w:rPr>
            </w:r>
          </w:p>
        </w:tc>
        <w:tc>
          <w:tcPr>
            <w:tcW w:type="dxa" w:w="118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25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180"/>
            <w:tcBorders>
              <w:top w:val="nil"/>
              <w:left w:val="nil"/>
              <w:bottom w:val="nil"/>
              <w:right w:val="nil"/>
            </w:tcBorders>
            <w:shd w:fill="auto" w:val="clear"/>
            <w:vAlign w:val="center"/>
          </w:tcPr>
          <w:p>
            <w:pPr>
              <w:pStyle w:val="style0"/>
              <w:rPr>
                <w:sz w:val="8"/>
                <w:szCs w:val="24"/>
              </w:rPr>
            </w:pPr>
            <w:r>
              <w:rPr>
                <w:sz w:val="8"/>
                <w:szCs w:val="24"/>
              </w:rPr>
            </w:r>
          </w:p>
        </w:tc>
        <w:tc>
          <w:tcPr>
            <w:tcW w:type="dxa" w:w="12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180"/>
            <w:tcBorders>
              <w:top w:val="nil"/>
              <w:left w:val="nil"/>
              <w:bottom w:val="nil"/>
              <w:right w:val="nil"/>
            </w:tcBorders>
            <w:shd w:fill="auto" w:val="clear"/>
            <w:vAlign w:val="center"/>
          </w:tcPr>
          <w:p>
            <w:pPr>
              <w:pStyle w:val="style0"/>
              <w:ind w:hanging="0" w:left="144" w:right="101"/>
              <w:rPr>
                <w:sz w:val="8"/>
                <w:szCs w:val="24"/>
              </w:rPr>
            </w:pPr>
            <w:r>
              <w:rPr>
                <w:sz w:val="8"/>
                <w:szCs w:val="24"/>
              </w:rPr>
            </w:r>
          </w:p>
        </w:tc>
        <w:tc>
          <w:tcPr>
            <w:tcW w:type="dxa" w:w="1253"/>
            <w:tcBorders>
              <w:top w:val="nil"/>
              <w:left w:val="nil"/>
              <w:bottom w:val="nil"/>
              <w:right w:val="nil"/>
            </w:tcBorders>
            <w:shd w:fill="auto" w:val="clear"/>
            <w:vAlign w:val="center"/>
          </w:tcPr>
          <w:p>
            <w:pPr>
              <w:pStyle w:val="style0"/>
              <w:ind w:hanging="0" w:left="144" w:right="86"/>
              <w:rPr>
                <w:sz w:val="8"/>
                <w:szCs w:val="24"/>
              </w:rPr>
            </w:pPr>
            <w:r>
              <w:rPr>
                <w:sz w:val="8"/>
                <w:szCs w:val="24"/>
              </w:rPr>
            </w:r>
          </w:p>
        </w:tc>
      </w:tr>
      <w:tr>
        <w:trPr>
          <w:cantSplit w:val="false"/>
        </w:trPr>
        <w:tc>
          <w:tcPr>
            <w:tcW w:type="dxa" w:w="350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 2013</w:t>
            </w:r>
          </w:p>
        </w:tc>
        <w:tc>
          <w:tcPr>
            <w:tcW w:type="dxa" w:w="118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250"/>
            <w:tcBorders>
              <w:top w:val="nil"/>
              <w:left w:val="nil"/>
              <w:bottom w:val="nil"/>
              <w:right w:val="nil"/>
            </w:tcBorders>
            <w:shd w:fill="auto" w:val="clear"/>
            <w:tcMar>
              <w:left w:type="dxa" w:w="144"/>
            </w:tcMar>
            <w:vAlign w:val="bottom"/>
          </w:tcPr>
          <w:p>
            <w:pPr>
              <w:pStyle w:val="style65"/>
              <w:ind w:hanging="0" w:left="0" w:right="101"/>
              <w:rPr/>
            </w:pPr>
            <w:r>
              <w:rPr/>
              <w:t> </w:t>
            </w:r>
          </w:p>
        </w:tc>
        <w:tc>
          <w:tcPr>
            <w:tcW w:type="dxa" w:w="1180"/>
            <w:tcBorders>
              <w:top w:val="nil"/>
              <w:left w:val="nil"/>
              <w:bottom w:val="nil"/>
              <w:right w:val="nil"/>
            </w:tcBorders>
            <w:shd w:fill="auto" w:val="clear"/>
            <w:tcMar>
              <w:left w:type="dxa" w:w="144"/>
            </w:tcMar>
            <w:vAlign w:val="bottom"/>
          </w:tcPr>
          <w:p>
            <w:pPr>
              <w:pStyle w:val="style65"/>
              <w:rPr/>
            </w:pPr>
            <w:r>
              <w:rPr/>
              <w:t> </w:t>
            </w:r>
          </w:p>
        </w:tc>
        <w:tc>
          <w:tcPr>
            <w:tcW w:type="dxa" w:w="125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180"/>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53"/>
            <w:tcBorders>
              <w:top w:val="nil"/>
              <w:left w:val="nil"/>
              <w:bottom w:val="nil"/>
              <w:right w:val="nil"/>
            </w:tcBorders>
            <w:shd w:fill="auto" w:val="clear"/>
            <w:tcMar>
              <w:left w:type="dxa" w:w="144"/>
            </w:tcMar>
            <w:vAlign w:val="bottom"/>
          </w:tcPr>
          <w:p>
            <w:pPr>
              <w:pStyle w:val="style65"/>
              <w:ind w:hanging="0" w:left="144" w:right="86"/>
              <w:rPr/>
            </w:pPr>
            <w:r>
              <w:rPr/>
              <w:t> </w:t>
            </w:r>
          </w:p>
        </w:tc>
      </w:tr>
      <w:tr>
        <w:trPr>
          <w:trHeight w:hRule="atLeast" w:val="75"/>
          <w:cantSplit w:val="false"/>
        </w:trPr>
        <w:tc>
          <w:tcPr>
            <w:tcW w:type="dxa" w:w="3506"/>
            <w:tcBorders>
              <w:top w:val="nil"/>
              <w:left w:val="nil"/>
              <w:bottom w:val="nil"/>
              <w:right w:val="nil"/>
            </w:tcBorders>
            <w:shd w:fill="auto" w:val="clear"/>
            <w:vAlign w:val="center"/>
          </w:tcPr>
          <w:p>
            <w:pPr>
              <w:pStyle w:val="style0"/>
              <w:rPr>
                <w:sz w:val="8"/>
                <w:szCs w:val="24"/>
              </w:rPr>
            </w:pPr>
            <w:r>
              <w:rPr>
                <w:sz w:val="8"/>
                <w:szCs w:val="24"/>
              </w:rPr>
            </w:r>
          </w:p>
        </w:tc>
        <w:tc>
          <w:tcPr>
            <w:tcW w:type="dxa" w:w="118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25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180"/>
            <w:tcBorders>
              <w:top w:val="nil"/>
              <w:left w:val="nil"/>
              <w:bottom w:val="nil"/>
              <w:right w:val="nil"/>
            </w:tcBorders>
            <w:shd w:fill="auto" w:val="clear"/>
            <w:vAlign w:val="center"/>
          </w:tcPr>
          <w:p>
            <w:pPr>
              <w:pStyle w:val="style0"/>
              <w:rPr>
                <w:sz w:val="8"/>
                <w:szCs w:val="24"/>
              </w:rPr>
            </w:pPr>
            <w:r>
              <w:rPr>
                <w:sz w:val="8"/>
                <w:szCs w:val="24"/>
              </w:rPr>
            </w:r>
          </w:p>
        </w:tc>
        <w:tc>
          <w:tcPr>
            <w:tcW w:type="dxa" w:w="12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180"/>
            <w:tcBorders>
              <w:top w:val="nil"/>
              <w:left w:val="nil"/>
              <w:bottom w:val="nil"/>
              <w:right w:val="nil"/>
            </w:tcBorders>
            <w:shd w:fill="auto" w:val="clear"/>
            <w:vAlign w:val="center"/>
          </w:tcPr>
          <w:p>
            <w:pPr>
              <w:pStyle w:val="style0"/>
              <w:ind w:hanging="0" w:left="144" w:right="101"/>
              <w:rPr>
                <w:sz w:val="8"/>
                <w:szCs w:val="24"/>
              </w:rPr>
            </w:pPr>
            <w:r>
              <w:rPr>
                <w:sz w:val="8"/>
                <w:szCs w:val="24"/>
              </w:rPr>
            </w:r>
          </w:p>
        </w:tc>
        <w:tc>
          <w:tcPr>
            <w:tcW w:type="dxa" w:w="1253"/>
            <w:tcBorders>
              <w:top w:val="nil"/>
              <w:left w:val="nil"/>
              <w:bottom w:val="nil"/>
              <w:right w:val="nil"/>
            </w:tcBorders>
            <w:shd w:fill="auto" w:val="clear"/>
            <w:vAlign w:val="center"/>
          </w:tcPr>
          <w:p>
            <w:pPr>
              <w:pStyle w:val="style0"/>
              <w:ind w:hanging="0" w:left="144" w:right="86"/>
              <w:rPr>
                <w:sz w:val="8"/>
                <w:szCs w:val="24"/>
              </w:rPr>
            </w:pPr>
            <w:r>
              <w:rPr>
                <w:sz w:val="8"/>
                <w:szCs w:val="24"/>
              </w:rPr>
            </w:r>
          </w:p>
        </w:tc>
      </w:tr>
      <w:tr>
        <w:trPr>
          <w:cantSplit w:val="false"/>
        </w:trPr>
        <w:tc>
          <w:tcPr>
            <w:tcW w:type="dxa" w:w="350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U.S. government and agency securities</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59" w:right="86"/>
              <w:contextualSpacing w:val="false"/>
              <w:rPr>
                <w:rFonts w:ascii="Arial" w:cs="Arial" w:hAnsi="Arial"/>
                <w:b/>
                <w:bCs/>
                <w:sz w:val="20"/>
                <w:szCs w:val="20"/>
              </w:rPr>
            </w:pPr>
            <w:r>
              <w:rPr>
                <w:rFonts w:ascii="Arial" w:cs="Arial" w:hAnsi="Arial"/>
                <w:b/>
                <w:bCs/>
                <w:sz w:val="20"/>
                <w:szCs w:val="20"/>
              </w:rPr>
              <w:t>$</w:t>
              <w:tab/>
              <w:t>2,208</w:t>
              <w:tab/>
              <w:t> </w:t>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w:t>
              <w:tab/>
              <w:t>(84</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w:t>
              <w:tab/>
              <w:t>0</w:t>
              <w:tab/>
              <w:t> </w:t>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360" w:right="86"/>
              <w:contextualSpacing w:val="false"/>
              <w:rPr>
                <w:rFonts w:ascii="Arial" w:cs="Arial" w:hAnsi="Arial"/>
                <w:b/>
                <w:bCs/>
                <w:sz w:val="20"/>
                <w:szCs w:val="20"/>
              </w:rPr>
            </w:pPr>
            <w:r>
              <w:rPr>
                <w:rFonts w:ascii="Arial" w:cs="Arial" w:hAnsi="Arial"/>
                <w:b/>
                <w:bCs/>
                <w:sz w:val="20"/>
                <w:szCs w:val="20"/>
              </w:rPr>
              <w:t>$</w:t>
              <w:tab/>
              <w:t>0</w:t>
              <w:tab/>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w:t>
              <w:tab/>
              <w:t>2,208</w:t>
              <w:tab/>
              <w:t> </w:t>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(84</w:t>
              <w:tab/>
              <w:t>)</w:t>
            </w:r>
          </w:p>
        </w:tc>
      </w:tr>
      <w:tr>
        <w:trPr>
          <w:cantSplit w:val="false"/>
        </w:trPr>
        <w:tc>
          <w:tcPr>
            <w:tcW w:type="dxa" w:w="350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Foreign government bonds</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59" w:right="86"/>
              <w:contextualSpacing w:val="false"/>
              <w:rPr>
                <w:rFonts w:ascii="Arial" w:cs="Arial" w:hAnsi="Arial"/>
                <w:b/>
                <w:bCs/>
                <w:sz w:val="20"/>
                <w:szCs w:val="20"/>
              </w:rPr>
            </w:pPr>
            <w:r>
              <w:rPr>
                <w:rFonts w:ascii="Arial" w:cs="Arial" w:hAnsi="Arial"/>
                <w:b/>
                <w:bCs/>
                <w:sz w:val="20"/>
                <w:szCs w:val="20"/>
              </w:rPr>
              <w:tab/>
              <w:t>589</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(18</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ab/>
              <w:t>69</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360" w:right="86"/>
              <w:contextualSpacing w:val="false"/>
              <w:rPr>
                <w:rFonts w:ascii="Arial" w:cs="Arial" w:hAnsi="Arial"/>
                <w:b/>
                <w:bCs/>
                <w:sz w:val="20"/>
                <w:szCs w:val="20"/>
              </w:rPr>
            </w:pPr>
            <w:r>
              <w:rPr>
                <w:rFonts w:ascii="Arial" w:cs="Arial" w:hAnsi="Arial"/>
                <w:b/>
                <w:bCs/>
                <w:sz w:val="20"/>
                <w:szCs w:val="20"/>
              </w:rPr>
              <w:tab/>
              <w:t>(23</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658</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ab/>
              <w:t>(41</w:t>
              <w:tab/>
              <w:t>)</w:t>
            </w:r>
          </w:p>
        </w:tc>
      </w:tr>
      <w:tr>
        <w:trPr>
          <w:cantSplit w:val="false"/>
        </w:trPr>
        <w:tc>
          <w:tcPr>
            <w:tcW w:type="dxa" w:w="350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Mortgage-backed securities</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59" w:right="86"/>
              <w:contextualSpacing w:val="false"/>
              <w:rPr>
                <w:rFonts w:ascii="Arial" w:cs="Arial" w:hAnsi="Arial"/>
                <w:b/>
                <w:bCs/>
                <w:sz w:val="20"/>
                <w:szCs w:val="20"/>
              </w:rPr>
            </w:pPr>
            <w:r>
              <w:rPr>
                <w:rFonts w:ascii="Arial" w:cs="Arial" w:hAnsi="Arial"/>
                <w:b/>
                <w:bCs/>
                <w:sz w:val="20"/>
                <w:szCs w:val="20"/>
              </w:rPr>
              <w:tab/>
              <w:t>357</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(12</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ab/>
              <w:t>39</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360" w:right="86"/>
              <w:contextualSpacing w:val="false"/>
              <w:rPr>
                <w:rFonts w:ascii="Arial" w:cs="Arial" w:hAnsi="Arial"/>
                <w:b/>
                <w:bCs/>
                <w:sz w:val="20"/>
                <w:szCs w:val="20"/>
              </w:rPr>
            </w:pPr>
            <w:r>
              <w:rPr>
                <w:rFonts w:ascii="Arial" w:cs="Arial" w:hAnsi="Arial"/>
                <w:b/>
                <w:bCs/>
                <w:sz w:val="20"/>
                <w:szCs w:val="20"/>
              </w:rPr>
              <w:tab/>
              <w:t>(1</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396</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ab/>
              <w:t>(13</w:t>
              <w:tab/>
              <w:t>)</w:t>
            </w:r>
          </w:p>
        </w:tc>
      </w:tr>
      <w:tr>
        <w:trPr>
          <w:cantSplit w:val="false"/>
        </w:trPr>
        <w:tc>
          <w:tcPr>
            <w:tcW w:type="dxa" w:w="350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Corporate notes and bonds</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59" w:right="86"/>
              <w:contextualSpacing w:val="false"/>
              <w:rPr>
                <w:rFonts w:ascii="Arial" w:cs="Arial" w:hAnsi="Arial"/>
                <w:b/>
                <w:bCs/>
                <w:sz w:val="20"/>
                <w:szCs w:val="20"/>
              </w:rPr>
            </w:pPr>
            <w:r>
              <w:rPr>
                <w:rFonts w:ascii="Arial" w:cs="Arial" w:hAnsi="Arial"/>
                <w:b/>
                <w:bCs/>
                <w:sz w:val="20"/>
                <w:szCs w:val="20"/>
              </w:rPr>
              <w:tab/>
              <w:t>1,142</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(38</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ab/>
              <w:t>27</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360" w:right="86"/>
              <w:contextualSpacing w:val="false"/>
              <w:rPr>
                <w:rFonts w:ascii="Arial" w:cs="Arial" w:hAnsi="Arial"/>
                <w:b/>
                <w:bCs/>
                <w:sz w:val="20"/>
                <w:szCs w:val="20"/>
              </w:rPr>
            </w:pPr>
            <w:r>
              <w:rPr>
                <w:rFonts w:ascii="Arial" w:cs="Arial" w:hAnsi="Arial"/>
                <w:b/>
                <w:bCs/>
                <w:sz w:val="20"/>
                <w:szCs w:val="20"/>
              </w:rPr>
              <w:tab/>
              <w:t>(2</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1,169</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ab/>
              <w:t>(40</w:t>
              <w:tab/>
              <w:t>)</w:t>
            </w:r>
          </w:p>
        </w:tc>
      </w:tr>
      <w:tr>
        <w:trPr>
          <w:cantSplit w:val="false"/>
        </w:trPr>
        <w:tc>
          <w:tcPr>
            <w:tcW w:type="dxa" w:w="350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Municipal securities</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59" w:right="86"/>
              <w:contextualSpacing w:val="false"/>
              <w:rPr>
                <w:rFonts w:ascii="Arial" w:cs="Arial" w:hAnsi="Arial"/>
                <w:b/>
                <w:bCs/>
                <w:sz w:val="20"/>
                <w:szCs w:val="20"/>
              </w:rPr>
            </w:pPr>
            <w:r>
              <w:rPr>
                <w:rFonts w:ascii="Arial" w:cs="Arial" w:hAnsi="Arial"/>
                <w:b/>
                <w:bCs/>
                <w:sz w:val="20"/>
                <w:szCs w:val="20"/>
              </w:rPr>
              <w:tab/>
              <w:t>44</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(1</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ab/>
              <w:t>0</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360" w:right="86"/>
              <w:contextualSpacing w:val="false"/>
              <w:rPr>
                <w:rFonts w:ascii="Arial" w:cs="Arial" w:hAnsi="Arial"/>
                <w:b/>
                <w:bCs/>
                <w:sz w:val="20"/>
                <w:szCs w:val="20"/>
              </w:rPr>
            </w:pPr>
            <w:r>
              <w:rPr>
                <w:rFonts w:ascii="Arial" w:cs="Arial" w:hAnsi="Arial"/>
                <w:b/>
                <w:bCs/>
                <w:sz w:val="20"/>
                <w:szCs w:val="20"/>
              </w:rPr>
              <w:tab/>
              <w:t>0</w:t>
              <w:tab/>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44</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ab/>
              <w:t>(1</w:t>
              <w:tab/>
              <w:t>)</w:t>
            </w:r>
          </w:p>
        </w:tc>
      </w:tr>
      <w:tr>
        <w:trPr>
          <w:cantSplit w:val="false"/>
        </w:trPr>
        <w:tc>
          <w:tcPr>
            <w:tcW w:type="dxa" w:w="350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and preferred stock</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59" w:right="86"/>
              <w:contextualSpacing w:val="false"/>
              <w:rPr>
                <w:rFonts w:ascii="Arial" w:cs="Arial" w:hAnsi="Arial"/>
                <w:b/>
                <w:bCs/>
                <w:sz w:val="20"/>
                <w:szCs w:val="20"/>
              </w:rPr>
            </w:pPr>
            <w:r>
              <w:rPr>
                <w:rFonts w:ascii="Arial" w:cs="Arial" w:hAnsi="Arial"/>
                <w:b/>
                <w:bCs/>
                <w:sz w:val="20"/>
                <w:szCs w:val="20"/>
              </w:rPr>
              <w:tab/>
              <w:t>1,166</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(168</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ab/>
              <w:t>409</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360" w:right="86"/>
              <w:contextualSpacing w:val="false"/>
              <w:rPr>
                <w:rFonts w:ascii="Arial" w:cs="Arial" w:hAnsi="Arial"/>
                <w:b/>
                <w:bCs/>
                <w:sz w:val="20"/>
                <w:szCs w:val="20"/>
              </w:rPr>
            </w:pPr>
            <w:r>
              <w:rPr>
                <w:rFonts w:ascii="Arial" w:cs="Arial" w:hAnsi="Arial"/>
                <w:b/>
                <w:bCs/>
                <w:sz w:val="20"/>
                <w:szCs w:val="20"/>
              </w:rPr>
              <w:tab/>
              <w:t>(113</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1,575</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ab/>
              <w:t>(281</w:t>
              <w:tab/>
              <w:t>)</w:t>
            </w:r>
          </w:p>
        </w:tc>
      </w:tr>
      <w:tr>
        <w:trPr>
          <w:cantSplit w:val="false"/>
        </w:trPr>
        <w:tc>
          <w:tcPr>
            <w:tcW w:type="dxa" w:w="4686"/>
            <w:gridSpan w:val="2"/>
            <w:tcBorders>
              <w:top w:val="nil"/>
              <w:left w:val="nil"/>
              <w:bottom w:val="nil"/>
              <w:right w:val="nil"/>
            </w:tcBorders>
            <w:shd w:fill="auto" w:val="clear"/>
            <w:vAlign w:val="bottom"/>
          </w:tcPr>
          <w:p>
            <w:pPr>
              <w:pStyle w:val="style59"/>
              <w:spacing w:after="0" w:before="20"/>
              <w:ind w:hanging="0" w:left="-396" w:right="86"/>
              <w:contextualSpacing w:val="false"/>
              <w:rPr/>
            </w:pPr>
            <w:r>
              <w:rPr/>
              <w:t> </w:t>
            </w:r>
          </w:p>
        </w:tc>
        <w:tc>
          <w:tcPr>
            <w:tcW w:type="dxa" w:w="1250"/>
            <w:tcBorders>
              <w:top w:val="nil"/>
              <w:left w:val="nil"/>
              <w:bottom w:val="nil"/>
              <w:right w:val="nil"/>
            </w:tcBorders>
            <w:shd w:fill="auto" w:val="clear"/>
            <w:tcMar>
              <w:left w:type="dxa" w:w="144"/>
            </w:tcMar>
            <w:vAlign w:val="bottom"/>
          </w:tcPr>
          <w:p>
            <w:pPr>
              <w:pStyle w:val="style59"/>
              <w:spacing w:after="0" w:before="20"/>
              <w:ind w:hanging="0" w:left="288" w:right="101"/>
              <w:contextualSpacing w:val="false"/>
              <w:rPr/>
            </w:pPr>
            <w:r>
              <w:rPr/>
              <w:t> </w:t>
            </w:r>
          </w:p>
        </w:tc>
        <w:tc>
          <w:tcPr>
            <w:tcW w:type="dxa" w:w="1180"/>
            <w:tcBorders>
              <w:top w:val="nil"/>
              <w:left w:val="nil"/>
              <w:bottom w:val="nil"/>
              <w:right w:val="nil"/>
            </w:tcBorders>
            <w:shd w:fill="auto" w:val="clear"/>
            <w:tcMar>
              <w:left w:type="dxa" w:w="144"/>
            </w:tcMar>
            <w:vAlign w:val="bottom"/>
          </w:tcPr>
          <w:p>
            <w:pPr>
              <w:pStyle w:val="style59"/>
              <w:spacing w:after="0" w:before="20"/>
              <w:ind w:hanging="0" w:left="360" w:right="101"/>
              <w:contextualSpacing w:val="false"/>
              <w:rPr/>
            </w:pPr>
            <w:r>
              <w:rPr/>
              <w:t> </w:t>
            </w:r>
          </w:p>
        </w:tc>
        <w:tc>
          <w:tcPr>
            <w:tcW w:type="dxa" w:w="1250"/>
            <w:tcBorders>
              <w:top w:val="nil"/>
              <w:left w:val="nil"/>
              <w:bottom w:val="nil"/>
              <w:right w:val="nil"/>
            </w:tcBorders>
            <w:shd w:fill="auto" w:val="clear"/>
            <w:tcMar>
              <w:left w:type="dxa" w:w="144"/>
            </w:tcMar>
            <w:vAlign w:val="bottom"/>
          </w:tcPr>
          <w:p>
            <w:pPr>
              <w:pStyle w:val="style59"/>
              <w:spacing w:after="0" w:before="20"/>
              <w:ind w:hanging="0" w:left="360" w:right="86"/>
              <w:contextualSpacing w:val="false"/>
              <w:rPr/>
            </w:pPr>
            <w:r>
              <w:rPr/>
              <w:t> </w:t>
            </w:r>
          </w:p>
        </w:tc>
        <w:tc>
          <w:tcPr>
            <w:tcW w:type="dxa" w:w="1180"/>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53"/>
            <w:tcBorders>
              <w:top w:val="nil"/>
              <w:left w:val="nil"/>
              <w:bottom w:val="nil"/>
              <w:right w:val="nil"/>
            </w:tcBorders>
            <w:shd w:fill="auto" w:val="clear"/>
            <w:tcMar>
              <w:left w:type="dxa" w:w="144"/>
            </w:tcMar>
            <w:vAlign w:val="bottom"/>
          </w:tcPr>
          <w:p>
            <w:pPr>
              <w:pStyle w:val="style59"/>
              <w:spacing w:after="0" w:before="20"/>
              <w:ind w:hanging="0" w:left="432" w:right="86"/>
              <w:contextualSpacing w:val="false"/>
              <w:rPr/>
            </w:pPr>
            <w:r>
              <w:rPr/>
              <w:t> </w:t>
            </w:r>
          </w:p>
        </w:tc>
      </w:tr>
      <w:tr>
        <w:trPr>
          <w:cantSplit w:val="false"/>
        </w:trPr>
        <w:tc>
          <w:tcPr>
            <w:tcW w:type="dxa" w:w="350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59" w:right="86"/>
              <w:contextualSpacing w:val="false"/>
              <w:rPr>
                <w:rFonts w:ascii="Arial" w:cs="Arial" w:hAnsi="Arial"/>
                <w:b/>
                <w:bCs/>
                <w:sz w:val="20"/>
                <w:szCs w:val="20"/>
              </w:rPr>
            </w:pPr>
            <w:r>
              <w:rPr>
                <w:rFonts w:ascii="Arial" w:cs="Arial" w:hAnsi="Arial"/>
                <w:b/>
                <w:bCs/>
                <w:sz w:val="20"/>
                <w:szCs w:val="20"/>
              </w:rPr>
              <w:t>$</w:t>
              <w:tab/>
              <w:t>  5,506</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w:t>
              <w:tab/>
              <w:t>  (321</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w:t>
              <w:tab/>
              <w:t>  544</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360" w:right="86"/>
              <w:contextualSpacing w:val="false"/>
              <w:rPr>
                <w:rFonts w:ascii="Arial" w:cs="Arial" w:hAnsi="Arial"/>
                <w:b/>
                <w:bCs/>
                <w:sz w:val="20"/>
                <w:szCs w:val="20"/>
              </w:rPr>
            </w:pPr>
            <w:r>
              <w:rPr>
                <w:rFonts w:ascii="Arial" w:cs="Arial" w:hAnsi="Arial"/>
                <w:b/>
                <w:bCs/>
                <w:sz w:val="20"/>
                <w:szCs w:val="20"/>
              </w:rPr>
              <w:t>$</w:t>
              <w:tab/>
              <w:t>  (139</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w:t>
              <w:tab/>
              <w:t>  6,050</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(460</w:t>
              <w:tab/>
              <w:t>)</w:t>
            </w:r>
          </w:p>
        </w:tc>
      </w:tr>
      <w:tr>
        <w:trPr>
          <w:cantSplit w:val="false"/>
        </w:trPr>
        <w:tc>
          <w:tcPr>
            <w:tcW w:type="dxa" w:w="3506"/>
            <w:tcBorders>
              <w:top w:val="nil"/>
              <w:left w:val="nil"/>
              <w:bottom w:val="nil"/>
              <w:right w:val="nil"/>
            </w:tcBorders>
            <w:shd w:fill="auto" w:val="clear"/>
            <w:tcMar>
              <w:left w:type="dxa" w:w="144"/>
            </w:tcMar>
            <w:vAlign w:val="bottom"/>
          </w:tcPr>
          <w:p>
            <w:pPr>
              <w:pStyle w:val="style65"/>
              <w:rPr/>
            </w:pPr>
            <w:r>
              <w:rPr/>
              <w:t> </w:t>
            </w:r>
          </w:p>
        </w:tc>
        <w:tc>
          <w:tcPr>
            <w:tcW w:type="dxa" w:w="1180"/>
            <w:tcBorders>
              <w:top w:val="nil"/>
              <w:left w:val="nil"/>
              <w:bottom w:val="nil"/>
              <w:right w:val="nil"/>
            </w:tcBorders>
            <w:shd w:fill="auto" w:val="clear"/>
            <w:tcMar>
              <w:left w:type="dxa" w:w="144"/>
            </w:tcMar>
            <w:vAlign w:val="bottom"/>
          </w:tcPr>
          <w:p>
            <w:pPr>
              <w:pStyle w:val="style63"/>
              <w:spacing w:after="0" w:before="20"/>
              <w:ind w:hanging="0" w:left="264" w:right="86"/>
              <w:contextualSpacing w:val="false"/>
              <w:rPr/>
            </w:pPr>
            <w:r>
              <w:rPr/>
              <w:t> </w:t>
            </w:r>
          </w:p>
        </w:tc>
        <w:tc>
          <w:tcPr>
            <w:tcW w:type="dxa" w:w="1250"/>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c>
          <w:tcPr>
            <w:tcW w:type="dxa" w:w="1180"/>
            <w:tcBorders>
              <w:top w:val="nil"/>
              <w:left w:val="nil"/>
              <w:bottom w:val="nil"/>
              <w:right w:val="nil"/>
            </w:tcBorders>
            <w:shd w:fill="auto" w:val="clear"/>
            <w:tcMar>
              <w:left w:type="dxa" w:w="144"/>
            </w:tcMar>
            <w:vAlign w:val="bottom"/>
          </w:tcPr>
          <w:p>
            <w:pPr>
              <w:pStyle w:val="style63"/>
              <w:spacing w:after="0" w:before="20"/>
              <w:ind w:hanging="0" w:left="360" w:right="101"/>
              <w:contextualSpacing w:val="false"/>
              <w:rPr/>
            </w:pPr>
            <w:r>
              <w:rPr/>
              <w:t> </w:t>
            </w:r>
          </w:p>
        </w:tc>
        <w:tc>
          <w:tcPr>
            <w:tcW w:type="dxa" w:w="1250"/>
            <w:tcBorders>
              <w:top w:val="nil"/>
              <w:left w:val="nil"/>
              <w:bottom w:val="nil"/>
              <w:right w:val="nil"/>
            </w:tcBorders>
            <w:shd w:fill="auto" w:val="clear"/>
            <w:tcMar>
              <w:left w:type="dxa" w:w="144"/>
            </w:tcMar>
            <w:vAlign w:val="bottom"/>
          </w:tcPr>
          <w:p>
            <w:pPr>
              <w:pStyle w:val="style63"/>
              <w:spacing w:after="0" w:before="20"/>
              <w:ind w:hanging="0" w:left="360" w:right="86"/>
              <w:contextualSpacing w:val="false"/>
              <w:rPr/>
            </w:pPr>
            <w:r>
              <w:rPr/>
              <w:t> </w:t>
            </w:r>
          </w:p>
        </w:tc>
        <w:tc>
          <w:tcPr>
            <w:tcW w:type="dxa" w:w="1180"/>
            <w:tcBorders>
              <w:top w:val="nil"/>
              <w:left w:val="nil"/>
              <w:bottom w:val="nil"/>
              <w:right w:val="nil"/>
            </w:tcBorders>
            <w:shd w:fill="auto" w:val="clear"/>
            <w:tcMar>
              <w:left w:type="dxa" w:w="144"/>
            </w:tcMar>
            <w:vAlign w:val="bottom"/>
          </w:tcPr>
          <w:p>
            <w:pPr>
              <w:pStyle w:val="style63"/>
              <w:spacing w:after="0" w:before="20"/>
              <w:ind w:hanging="0" w:left="144" w:right="101"/>
              <w:contextualSpacing w:val="false"/>
              <w:rPr/>
            </w:pPr>
            <w:r>
              <w:rPr/>
              <w:t> </w:t>
            </w:r>
          </w:p>
        </w:tc>
        <w:tc>
          <w:tcPr>
            <w:tcW w:type="dxa" w:w="1253"/>
            <w:tcBorders>
              <w:top w:val="nil"/>
              <w:left w:val="nil"/>
              <w:bottom w:val="nil"/>
              <w:right w:val="nil"/>
            </w:tcBorders>
            <w:shd w:fill="auto" w:val="clear"/>
            <w:tcMar>
              <w:left w:type="dxa" w:w="144"/>
            </w:tcMar>
            <w:vAlign w:val="bottom"/>
          </w:tcPr>
          <w:p>
            <w:pPr>
              <w:pStyle w:val="style63"/>
              <w:spacing w:after="0" w:before="20"/>
              <w:ind w:hanging="0" w:left="432" w:right="86"/>
              <w:contextualSpacing w:val="false"/>
              <w:rPr/>
            </w:pPr>
            <w:r>
              <w:rPr/>
              <w:t> </w:t>
            </w:r>
          </w:p>
        </w:tc>
      </w:tr>
    </w:tbl>
    <w:p>
      <w:pPr>
        <w:pStyle w:val="style62"/>
        <w:keepNext/>
        <w:spacing w:after="280" w:before="280"/>
        <w:contextualSpacing w:val="false"/>
        <w:rPr>
          <w:sz w:val="18"/>
          <w:szCs w:val="18"/>
        </w:rPr>
      </w:pPr>
      <w:r>
        <w:rPr>
          <w:sz w:val="18"/>
          <w:szCs w:val="18"/>
        </w:rPr>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3506"/>
        <w:gridCol w:w="1180"/>
        <w:gridCol w:w="1250"/>
        <w:gridCol w:w="1180"/>
        <w:gridCol w:w="1250"/>
        <w:gridCol w:w="1180"/>
        <w:gridCol w:w="1253"/>
      </w:tblGrid>
      <w:tr>
        <w:trPr>
          <w:tblHeader w:val="true"/>
          <w:cantSplit w:val="false"/>
        </w:trPr>
        <w:tc>
          <w:tcPr>
            <w:tcW w:type="dxa" w:w="3506"/>
            <w:tcBorders>
              <w:top w:val="nil"/>
              <w:left w:val="nil"/>
              <w:bottom w:val="nil"/>
              <w:right w:val="nil"/>
            </w:tcBorders>
            <w:shd w:fill="auto" w:val="clear"/>
            <w:vAlign w:val="center"/>
          </w:tcPr>
          <w:p>
            <w:pPr>
              <w:pStyle w:val="style0"/>
              <w:rPr>
                <w:sz w:val="1"/>
                <w:szCs w:val="24"/>
              </w:rPr>
            </w:pPr>
            <w:r>
              <w:rPr>
                <w:sz w:val="1"/>
                <w:szCs w:val="24"/>
              </w:rPr>
            </w:r>
          </w:p>
        </w:tc>
        <w:tc>
          <w:tcPr>
            <w:tcW w:type="dxa" w:w="1180"/>
            <w:tcBorders>
              <w:top w:val="nil"/>
              <w:left w:val="nil"/>
              <w:bottom w:val="nil"/>
              <w:right w:val="nil"/>
            </w:tcBorders>
            <w:shd w:fill="auto" w:val="clear"/>
            <w:vAlign w:val="center"/>
          </w:tcPr>
          <w:p>
            <w:pPr>
              <w:pStyle w:val="style0"/>
              <w:rPr>
                <w:sz w:val="1"/>
                <w:szCs w:val="24"/>
              </w:rPr>
            </w:pPr>
            <w:r>
              <w:rPr>
                <w:sz w:val="1"/>
                <w:szCs w:val="24"/>
              </w:rPr>
            </w:r>
          </w:p>
        </w:tc>
        <w:tc>
          <w:tcPr>
            <w:tcW w:type="dxa" w:w="1250"/>
            <w:tcBorders>
              <w:top w:val="nil"/>
              <w:left w:val="nil"/>
              <w:bottom w:val="nil"/>
              <w:right w:val="nil"/>
            </w:tcBorders>
            <w:shd w:fill="auto" w:val="clear"/>
            <w:vAlign w:val="center"/>
          </w:tcPr>
          <w:p>
            <w:pPr>
              <w:pStyle w:val="style0"/>
              <w:rPr>
                <w:sz w:val="1"/>
                <w:szCs w:val="24"/>
              </w:rPr>
            </w:pPr>
            <w:r>
              <w:rPr>
                <w:sz w:val="1"/>
                <w:szCs w:val="24"/>
              </w:rPr>
            </w:r>
          </w:p>
        </w:tc>
        <w:tc>
          <w:tcPr>
            <w:tcW w:type="dxa" w:w="1180"/>
            <w:tcBorders>
              <w:top w:val="nil"/>
              <w:left w:val="nil"/>
              <w:bottom w:val="nil"/>
              <w:right w:val="nil"/>
            </w:tcBorders>
            <w:shd w:fill="auto" w:val="clear"/>
            <w:vAlign w:val="center"/>
          </w:tcPr>
          <w:p>
            <w:pPr>
              <w:pStyle w:val="style0"/>
              <w:rPr>
                <w:sz w:val="1"/>
                <w:szCs w:val="24"/>
              </w:rPr>
            </w:pPr>
            <w:r>
              <w:rPr>
                <w:sz w:val="1"/>
                <w:szCs w:val="24"/>
              </w:rPr>
            </w:r>
          </w:p>
        </w:tc>
        <w:tc>
          <w:tcPr>
            <w:tcW w:type="dxa" w:w="1250"/>
            <w:tcBorders>
              <w:top w:val="nil"/>
              <w:left w:val="nil"/>
              <w:bottom w:val="nil"/>
              <w:right w:val="nil"/>
            </w:tcBorders>
            <w:shd w:fill="auto" w:val="clear"/>
            <w:vAlign w:val="center"/>
          </w:tcPr>
          <w:p>
            <w:pPr>
              <w:pStyle w:val="style0"/>
              <w:rPr>
                <w:sz w:val="1"/>
                <w:szCs w:val="24"/>
              </w:rPr>
            </w:pPr>
            <w:r>
              <w:rPr>
                <w:sz w:val="1"/>
                <w:szCs w:val="24"/>
              </w:rPr>
            </w:r>
          </w:p>
        </w:tc>
        <w:tc>
          <w:tcPr>
            <w:tcW w:type="dxa" w:w="1180"/>
            <w:tcBorders>
              <w:top w:val="nil"/>
              <w:left w:val="nil"/>
              <w:bottom w:val="nil"/>
              <w:right w:val="nil"/>
            </w:tcBorders>
            <w:shd w:fill="auto" w:val="clear"/>
            <w:vAlign w:val="center"/>
          </w:tcPr>
          <w:p>
            <w:pPr>
              <w:pStyle w:val="style0"/>
              <w:rPr>
                <w:sz w:val="1"/>
                <w:szCs w:val="24"/>
              </w:rPr>
            </w:pPr>
            <w:r>
              <w:rPr>
                <w:sz w:val="1"/>
                <w:szCs w:val="24"/>
              </w:rPr>
            </w:r>
          </w:p>
        </w:tc>
        <w:tc>
          <w:tcPr>
            <w:tcW w:type="dxa" w:w="1253"/>
            <w:tcBorders>
              <w:top w:val="nil"/>
              <w:left w:val="nil"/>
              <w:bottom w:val="nil"/>
              <w:right w:val="nil"/>
            </w:tcBorders>
            <w:shd w:fill="auto" w:val="clear"/>
            <w:vAlign w:val="center"/>
          </w:tcPr>
          <w:p>
            <w:pPr>
              <w:pStyle w:val="style0"/>
              <w:rPr>
                <w:sz w:val="1"/>
                <w:szCs w:val="24"/>
              </w:rPr>
            </w:pPr>
            <w:r>
              <w:rPr>
                <w:sz w:val="1"/>
                <w:szCs w:val="24"/>
              </w:rPr>
            </w:r>
          </w:p>
        </w:tc>
      </w:tr>
      <w:tr>
        <w:trPr>
          <w:tblHeader w:val="true"/>
          <w:trHeight w:hRule="atLeast" w:val="240"/>
          <w:cantSplit w:val="false"/>
        </w:trPr>
        <w:tc>
          <w:tcPr>
            <w:tcW w:type="dxa" w:w="3506"/>
            <w:tcBorders>
              <w:top w:val="nil"/>
              <w:left w:val="nil"/>
              <w:bottom w:val="nil"/>
              <w:right w:val="nil"/>
            </w:tcBorders>
            <w:shd w:fill="auto" w:val="clear"/>
            <w:vAlign w:val="center"/>
          </w:tcPr>
          <w:p>
            <w:pPr>
              <w:pStyle w:val="style0"/>
              <w:rPr>
                <w:szCs w:val="24"/>
              </w:rPr>
            </w:pPr>
            <w:r>
              <w:rPr>
                <w:szCs w:val="24"/>
              </w:rPr>
            </w:r>
          </w:p>
        </w:tc>
        <w:tc>
          <w:tcPr>
            <w:tcW w:type="dxa" w:w="2430"/>
            <w:gridSpan w:val="2"/>
            <w:tcBorders>
              <w:top w:val="nil"/>
              <w:left w:val="nil"/>
              <w:bottom w:val="nil"/>
              <w:right w:val="nil"/>
            </w:tcBorders>
            <w:shd w:fill="auto" w:val="clear"/>
            <w:vAlign w:val="center"/>
          </w:tcPr>
          <w:p>
            <w:pPr>
              <w:pStyle w:val="style0"/>
              <w:rPr>
                <w:szCs w:val="24"/>
              </w:rPr>
            </w:pPr>
            <w:r>
              <w:rPr>
                <w:szCs w:val="24"/>
              </w:rPr>
            </w:r>
          </w:p>
        </w:tc>
        <w:tc>
          <w:tcPr>
            <w:tcW w:type="dxa" w:w="2430"/>
            <w:gridSpan w:val="2"/>
            <w:tcBorders>
              <w:top w:val="nil"/>
              <w:left w:val="nil"/>
              <w:bottom w:val="nil"/>
              <w:right w:val="nil"/>
            </w:tcBorders>
            <w:shd w:fill="auto" w:val="clear"/>
            <w:vAlign w:val="center"/>
          </w:tcPr>
          <w:p>
            <w:pPr>
              <w:pStyle w:val="style0"/>
              <w:rPr>
                <w:szCs w:val="24"/>
              </w:rPr>
            </w:pPr>
            <w:r>
              <w:rPr>
                <w:szCs w:val="24"/>
              </w:rPr>
            </w:r>
          </w:p>
        </w:tc>
        <w:tc>
          <w:tcPr>
            <w:tcW w:type="dxa" w:w="1180"/>
            <w:tcBorders>
              <w:top w:val="nil"/>
              <w:left w:val="nil"/>
              <w:bottom w:val="nil"/>
              <w:right w:val="nil"/>
            </w:tcBorders>
            <w:shd w:fill="auto" w:val="clear"/>
            <w:vAlign w:val="center"/>
          </w:tcPr>
          <w:p>
            <w:pPr>
              <w:pStyle w:val="style0"/>
              <w:rPr>
                <w:szCs w:val="24"/>
              </w:rPr>
            </w:pPr>
            <w:r>
              <w:rPr>
                <w:szCs w:val="24"/>
              </w:rPr>
            </w:r>
          </w:p>
        </w:tc>
        <w:tc>
          <w:tcPr>
            <w:tcW w:type="dxa" w:w="1253"/>
            <w:tcBorders>
              <w:top w:val="nil"/>
              <w:left w:val="nil"/>
              <w:bottom w:val="nil"/>
              <w:right w:val="nil"/>
            </w:tcBorders>
            <w:shd w:fill="auto" w:val="clear"/>
            <w:vAlign w:val="center"/>
          </w:tcPr>
          <w:p>
            <w:pPr>
              <w:pStyle w:val="style0"/>
              <w:rPr>
                <w:szCs w:val="24"/>
              </w:rPr>
            </w:pPr>
            <w:r>
              <w:rPr>
                <w:szCs w:val="24"/>
              </w:rPr>
            </w:r>
          </w:p>
        </w:tc>
      </w:tr>
      <w:tr>
        <w:trPr>
          <w:tblHeader w:val="true"/>
          <w:cantSplit w:val="false"/>
        </w:trPr>
        <w:tc>
          <w:tcPr>
            <w:tcW w:type="dxa" w:w="3506"/>
            <w:tcBorders>
              <w:top w:val="nil"/>
              <w:left w:val="nil"/>
              <w:bottom w:val="nil"/>
              <w:right w:val="nil"/>
            </w:tcBorders>
            <w:shd w:fill="auto" w:val="clear"/>
            <w:vAlign w:val="bottom"/>
          </w:tcPr>
          <w:p>
            <w:pPr>
              <w:pStyle w:val="style65"/>
              <w:keepNext/>
              <w:rPr/>
            </w:pPr>
            <w:r>
              <w:rPr/>
              <w:t> </w:t>
            </w:r>
          </w:p>
        </w:tc>
        <w:tc>
          <w:tcPr>
            <w:tcW w:type="dxa" w:w="2430"/>
            <w:gridSpan w:val="2"/>
            <w:tcBorders>
              <w:top w:val="nil"/>
              <w:left w:val="nil"/>
              <w:bottom w:val="nil"/>
              <w:right w:val="nil"/>
            </w:tcBorders>
            <w:shd w:fill="auto" w:val="clear"/>
            <w:vAlign w:val="bottom"/>
          </w:tcPr>
          <w:p>
            <w:pPr>
              <w:pStyle w:val="style0"/>
              <w:ind w:hanging="0" w:left="0" w:right="52"/>
              <w:jc w:val="right"/>
              <w:rPr>
                <w:rFonts w:ascii="Arial" w:cs="Arial" w:hAnsi="Arial"/>
                <w:b/>
                <w:bCs/>
                <w:sz w:val="15"/>
                <w:szCs w:val="15"/>
              </w:rPr>
            </w:pPr>
            <w:r>
              <w:rPr>
                <w:rFonts w:ascii="Arial" w:cs="Arial" w:hAnsi="Arial"/>
                <w:b/>
                <w:bCs/>
                <w:sz w:val="15"/>
                <w:szCs w:val="15"/>
              </w:rPr>
              <w:t>Less than 12 Months</w:t>
            </w:r>
          </w:p>
        </w:tc>
        <w:tc>
          <w:tcPr>
            <w:tcW w:type="dxa" w:w="2430"/>
            <w:gridSpan w:val="2"/>
            <w:tcBorders>
              <w:top w:val="nil"/>
              <w:left w:val="nil"/>
              <w:bottom w:val="nil"/>
              <w:right w:val="nil"/>
            </w:tcBorders>
            <w:shd w:fill="auto" w:val="clear"/>
            <w:tcMar>
              <w:left w:type="dxa" w:w="144"/>
            </w:tcMar>
            <w:vAlign w:val="bottom"/>
          </w:tcPr>
          <w:p>
            <w:pPr>
              <w:pStyle w:val="style0"/>
              <w:ind w:hanging="0" w:left="0" w:right="71"/>
              <w:jc w:val="right"/>
              <w:rPr>
                <w:rFonts w:ascii="Arial" w:cs="Arial" w:hAnsi="Arial"/>
                <w:b/>
                <w:bCs/>
                <w:sz w:val="15"/>
                <w:szCs w:val="15"/>
              </w:rPr>
            </w:pPr>
            <w:r>
              <w:rPr>
                <w:rFonts w:ascii="Arial" w:cs="Arial" w:hAnsi="Arial"/>
                <w:b/>
                <w:bCs/>
                <w:sz w:val="15"/>
                <w:szCs w:val="15"/>
              </w:rPr>
              <w:t>12 Months or Greater</w:t>
            </w:r>
          </w:p>
        </w:tc>
        <w:tc>
          <w:tcPr>
            <w:tcW w:type="dxa" w:w="1180"/>
            <w:tcBorders>
              <w:top w:val="nil"/>
              <w:left w:val="nil"/>
              <w:bottom w:val="nil"/>
              <w:right w:val="nil"/>
            </w:tcBorders>
            <w:shd w:fill="auto" w:val="clear"/>
            <w:tcMar>
              <w:left w:type="dxa" w:w="144"/>
            </w:tcMar>
            <w:vAlign w:val="bottom"/>
          </w:tcPr>
          <w:p>
            <w:pPr>
              <w:pStyle w:val="style65"/>
              <w:ind w:hanging="0" w:left="0" w:right="101"/>
              <w:rPr/>
            </w:pPr>
            <w:r>
              <w:rPr/>
              <w:t> </w:t>
            </w:r>
          </w:p>
        </w:tc>
        <w:tc>
          <w:tcPr>
            <w:tcW w:type="dxa" w:w="1253"/>
            <w:vMerge w:val="restart"/>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Total</w:t>
              <w:br/>
              <w:t>Unrealized</w:t>
              <w:br/>
              <w:t>Losses</w:t>
            </w:r>
          </w:p>
        </w:tc>
      </w:tr>
      <w:tr>
        <w:trPr>
          <w:cantSplit w:val="false"/>
        </w:trPr>
        <w:tc>
          <w:tcPr>
            <w:tcW w:type="dxa" w:w="3506"/>
            <w:tcBorders>
              <w:top w:val="nil"/>
              <w:left w:val="nil"/>
              <w:bottom w:val="nil"/>
              <w:right w:val="nil"/>
            </w:tcBorders>
            <w:shd w:fill="auto" w:val="clear"/>
            <w:tcMar>
              <w:left w:type="dxa" w:w="144"/>
            </w:tcMar>
            <w:vAlign w:val="bottom"/>
          </w:tcPr>
          <w:p>
            <w:pPr>
              <w:pStyle w:val="style65"/>
              <w:rPr/>
            </w:pPr>
            <w:r>
              <w:rPr/>
              <w:t> </w:t>
            </w:r>
          </w:p>
        </w:tc>
        <w:tc>
          <w:tcPr>
            <w:tcW w:type="dxa" w:w="2430"/>
            <w:gridSpan w:val="2"/>
            <w:tcBorders>
              <w:top w:val="nil"/>
              <w:left w:val="nil"/>
              <w:bottom w:val="nil"/>
              <w:right w:val="nil"/>
            </w:tcBorders>
            <w:shd w:fill="auto" w:val="clear"/>
            <w:tcMar>
              <w:left w:type="dxa" w:w="144"/>
            </w:tcMar>
            <w:vAlign w:val="bottom"/>
          </w:tcPr>
          <w:p>
            <w:pPr>
              <w:pStyle w:val="style59"/>
              <w:spacing w:after="0" w:before="20"/>
              <w:ind w:hanging="0" w:left="255" w:right="79"/>
              <w:contextualSpacing w:val="false"/>
              <w:rPr/>
            </w:pPr>
            <w:r>
              <w:rPr/>
              <w:t> </w:t>
            </w:r>
          </w:p>
        </w:tc>
        <w:tc>
          <w:tcPr>
            <w:tcW w:type="dxa" w:w="2430"/>
            <w:gridSpan w:val="2"/>
            <w:tcBorders>
              <w:top w:val="nil"/>
              <w:left w:val="nil"/>
              <w:bottom w:val="nil"/>
              <w:right w:val="nil"/>
            </w:tcBorders>
            <w:shd w:fill="auto" w:val="clear"/>
            <w:tcMar>
              <w:left w:type="dxa" w:w="144"/>
            </w:tcMar>
            <w:vAlign w:val="bottom"/>
          </w:tcPr>
          <w:p>
            <w:pPr>
              <w:pStyle w:val="style59"/>
              <w:spacing w:after="0" w:before="20"/>
              <w:ind w:hanging="0" w:left="274" w:right="101"/>
              <w:contextualSpacing w:val="false"/>
              <w:rPr/>
            </w:pPr>
            <w:r>
              <w:rPr/>
              <w:t> </w:t>
            </w:r>
          </w:p>
        </w:tc>
        <w:tc>
          <w:tcPr>
            <w:tcW w:type="dxa" w:w="1180"/>
            <w:tcBorders>
              <w:top w:val="nil"/>
              <w:left w:val="nil"/>
              <w:bottom w:val="nil"/>
              <w:right w:val="nil"/>
            </w:tcBorders>
            <w:shd w:fill="auto" w:val="clear"/>
            <w:tcMar>
              <w:left w:type="dxa" w:w="144"/>
            </w:tcMar>
            <w:vAlign w:val="bottom"/>
          </w:tcPr>
          <w:p>
            <w:pPr>
              <w:pStyle w:val="style65"/>
              <w:ind w:hanging="0" w:left="0" w:right="101"/>
              <w:rPr/>
            </w:pPr>
            <w:r>
              <w:rPr/>
              <w:t> </w:t>
            </w:r>
          </w:p>
        </w:tc>
        <w:tc>
          <w:tcPr>
            <w:tcW w:type="dxa" w:w="1253"/>
            <w:vMerge w:val="continue"/>
            <w:tcBorders>
              <w:top w:val="nil"/>
              <w:left w:val="nil"/>
              <w:bottom w:val="nil"/>
              <w:right w:val="nil"/>
            </w:tcBorders>
            <w:shd w:fill="auto" w:val="clear"/>
            <w:vAlign w:val="center"/>
          </w:tcPr>
          <w:p>
            <w:pPr>
              <w:pStyle w:val="style0"/>
              <w:ind w:hanging="0" w:left="0" w:right="101"/>
              <w:rPr>
                <w:szCs w:val="24"/>
              </w:rPr>
            </w:pPr>
            <w:r>
              <w:rPr>
                <w:szCs w:val="24"/>
              </w:rPr>
            </w:r>
          </w:p>
        </w:tc>
      </w:tr>
      <w:tr>
        <w:trPr>
          <w:cantSplit w:val="false"/>
        </w:trPr>
        <w:tc>
          <w:tcPr>
            <w:tcW w:type="dxa" w:w="350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180"/>
            <w:tcBorders>
              <w:top w:val="nil"/>
              <w:left w:val="nil"/>
              <w:bottom w:val="nil"/>
              <w:right w:val="nil"/>
            </w:tcBorders>
            <w:shd w:fill="auto" w:val="clear"/>
            <w:tcMar>
              <w:left w:type="dxa" w:w="144"/>
            </w:tcMar>
            <w:vAlign w:val="bottom"/>
          </w:tcPr>
          <w:p>
            <w:pPr>
              <w:pStyle w:val="style0"/>
              <w:ind w:hanging="0" w:left="0" w:right="79"/>
              <w:jc w:val="right"/>
              <w:rPr>
                <w:rFonts w:ascii="Arial" w:cs="Arial" w:hAnsi="Arial"/>
                <w:b/>
                <w:bCs/>
                <w:sz w:val="15"/>
                <w:szCs w:val="15"/>
              </w:rPr>
            </w:pPr>
            <w:r>
              <w:rPr>
                <w:rFonts w:ascii="Arial" w:cs="Arial" w:hAnsi="Arial"/>
                <w:b/>
                <w:bCs/>
                <w:sz w:val="15"/>
                <w:szCs w:val="15"/>
              </w:rPr>
              <w:t>Fair Value</w:t>
            </w:r>
          </w:p>
        </w:tc>
        <w:tc>
          <w:tcPr>
            <w:tcW w:type="dxa" w:w="1250"/>
            <w:tcBorders>
              <w:top w:val="nil"/>
              <w:left w:val="nil"/>
              <w:bottom w:val="nil"/>
              <w:right w:val="nil"/>
            </w:tcBorders>
            <w:shd w:fill="auto" w:val="clear"/>
            <w:tcMar>
              <w:left w:type="dxa" w:w="144"/>
            </w:tcMar>
            <w:vAlign w:val="bottom"/>
          </w:tcPr>
          <w:p>
            <w:pPr>
              <w:pStyle w:val="style0"/>
              <w:ind w:hanging="0" w:left="0" w:right="61"/>
              <w:jc w:val="right"/>
              <w:rPr>
                <w:rFonts w:ascii="Arial" w:cs="Arial" w:hAnsi="Arial"/>
                <w:b/>
                <w:bCs/>
                <w:sz w:val="15"/>
                <w:szCs w:val="15"/>
              </w:rPr>
            </w:pPr>
            <w:r>
              <w:rPr>
                <w:rFonts w:ascii="Arial" w:cs="Arial" w:hAnsi="Arial"/>
                <w:b/>
                <w:bCs/>
                <w:sz w:val="15"/>
                <w:szCs w:val="15"/>
              </w:rPr>
              <w:t>Unrealized</w:t>
              <w:br/>
              <w:t>Losses</w:t>
            </w:r>
          </w:p>
        </w:tc>
        <w:tc>
          <w:tcPr>
            <w:tcW w:type="dxa" w:w="1180"/>
            <w:tcBorders>
              <w:top w:val="nil"/>
              <w:left w:val="nil"/>
              <w:bottom w:val="nil"/>
              <w:right w:val="nil"/>
            </w:tcBorders>
            <w:shd w:fill="auto" w:val="clear"/>
            <w:tcMar>
              <w:left w:type="dxa" w:w="144"/>
            </w:tcMar>
            <w:vAlign w:val="bottom"/>
          </w:tcPr>
          <w:p>
            <w:pPr>
              <w:pStyle w:val="style0"/>
              <w:ind w:hanging="0" w:left="0" w:right="53"/>
              <w:jc w:val="right"/>
              <w:rPr>
                <w:rFonts w:ascii="Arial" w:cs="Arial" w:hAnsi="Arial"/>
                <w:b/>
                <w:bCs/>
                <w:sz w:val="15"/>
                <w:szCs w:val="15"/>
              </w:rPr>
            </w:pPr>
            <w:r>
              <w:rPr>
                <w:rFonts w:ascii="Arial" w:cs="Arial" w:hAnsi="Arial"/>
                <w:b/>
                <w:bCs/>
                <w:sz w:val="15"/>
                <w:szCs w:val="15"/>
              </w:rPr>
              <w:t>Fair Value</w:t>
            </w:r>
          </w:p>
        </w:tc>
        <w:tc>
          <w:tcPr>
            <w:tcW w:type="dxa" w:w="1250"/>
            <w:tcBorders>
              <w:top w:val="nil"/>
              <w:left w:val="nil"/>
              <w:bottom w:val="nil"/>
              <w:right w:val="nil"/>
            </w:tcBorders>
            <w:shd w:fill="auto" w:val="clear"/>
            <w:tcMar>
              <w:left w:type="dxa" w:w="144"/>
            </w:tcMar>
            <w:vAlign w:val="bottom"/>
          </w:tcPr>
          <w:p>
            <w:pPr>
              <w:pStyle w:val="style0"/>
              <w:ind w:hanging="0" w:left="0" w:right="71"/>
              <w:jc w:val="right"/>
              <w:rPr>
                <w:rFonts w:ascii="Arial" w:cs="Arial" w:hAnsi="Arial"/>
                <w:b/>
                <w:bCs/>
                <w:sz w:val="15"/>
                <w:szCs w:val="15"/>
              </w:rPr>
            </w:pPr>
            <w:r>
              <w:rPr>
                <w:rFonts w:ascii="Arial" w:cs="Arial" w:hAnsi="Arial"/>
                <w:b/>
                <w:bCs/>
                <w:sz w:val="15"/>
                <w:szCs w:val="15"/>
              </w:rPr>
              <w:t>Unrealized</w:t>
              <w:br/>
              <w:t>Losses</w:t>
            </w:r>
          </w:p>
        </w:tc>
        <w:tc>
          <w:tcPr>
            <w:tcW w:type="dxa" w:w="118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Total</w:t>
              <w:br/>
              <w:t>Fair Value</w:t>
            </w:r>
          </w:p>
        </w:tc>
        <w:tc>
          <w:tcPr>
            <w:tcW w:type="dxa" w:w="1253"/>
            <w:vMerge w:val="continue"/>
            <w:tcBorders>
              <w:top w:val="nil"/>
              <w:left w:val="nil"/>
              <w:bottom w:val="nil"/>
              <w:right w:val="nil"/>
            </w:tcBorders>
            <w:shd w:fill="auto" w:val="clear"/>
            <w:vAlign w:val="center"/>
          </w:tcPr>
          <w:p>
            <w:pPr>
              <w:pStyle w:val="style0"/>
              <w:ind w:hanging="0" w:left="0" w:right="101"/>
              <w:rPr>
                <w:szCs w:val="24"/>
              </w:rPr>
            </w:pPr>
            <w:r>
              <w:rPr>
                <w:szCs w:val="24"/>
              </w:rPr>
            </w:r>
          </w:p>
        </w:tc>
      </w:tr>
      <w:tr>
        <w:trPr>
          <w:cantSplit w:val="false"/>
        </w:trPr>
        <w:tc>
          <w:tcPr>
            <w:tcW w:type="dxa" w:w="10799"/>
            <w:gridSpan w:val="7"/>
            <w:tcBorders>
              <w:top w:val="nil"/>
              <w:left w:val="nil"/>
              <w:bottom w:val="nil"/>
              <w:right w:val="nil"/>
            </w:tcBorders>
            <w:shd w:fill="auto" w:val="clear"/>
            <w:tcMar>
              <w:left w:type="dxa" w:w="144"/>
            </w:tcMar>
            <w:vAlign w:val="bottom"/>
          </w:tcPr>
          <w:p>
            <w:pPr>
              <w:pStyle w:val="style59"/>
              <w:spacing w:after="0" w:before="20"/>
              <w:ind w:hanging="0" w:left="-261" w:right="101"/>
              <w:contextualSpacing w:val="false"/>
              <w:rPr/>
            </w:pPr>
            <w:r>
              <w:rPr/>
              <w:t> </w:t>
            </w:r>
          </w:p>
        </w:tc>
      </w:tr>
      <w:tr>
        <w:trPr>
          <w:trHeight w:hRule="atLeast" w:val="75"/>
          <w:cantSplit w:val="false"/>
        </w:trPr>
        <w:tc>
          <w:tcPr>
            <w:tcW w:type="dxa" w:w="3506"/>
            <w:tcBorders>
              <w:top w:val="nil"/>
              <w:left w:val="nil"/>
              <w:bottom w:val="nil"/>
              <w:right w:val="nil"/>
            </w:tcBorders>
            <w:shd w:fill="auto" w:val="clear"/>
            <w:vAlign w:val="center"/>
          </w:tcPr>
          <w:p>
            <w:pPr>
              <w:pStyle w:val="style0"/>
              <w:rPr>
                <w:sz w:val="8"/>
                <w:szCs w:val="24"/>
              </w:rPr>
            </w:pPr>
            <w:r>
              <w:rPr>
                <w:sz w:val="8"/>
                <w:szCs w:val="24"/>
              </w:rPr>
            </w:r>
          </w:p>
        </w:tc>
        <w:tc>
          <w:tcPr>
            <w:tcW w:type="dxa" w:w="118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25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18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25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18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253"/>
            <w:tcBorders>
              <w:top w:val="nil"/>
              <w:left w:val="nil"/>
              <w:bottom w:val="nil"/>
              <w:right w:val="nil"/>
            </w:tcBorders>
            <w:shd w:fill="auto" w:val="clear"/>
            <w:vAlign w:val="center"/>
          </w:tcPr>
          <w:p>
            <w:pPr>
              <w:pStyle w:val="style0"/>
              <w:ind w:hanging="0" w:left="0" w:right="101"/>
              <w:rPr>
                <w:sz w:val="8"/>
                <w:szCs w:val="24"/>
              </w:rPr>
            </w:pPr>
            <w:r>
              <w:rPr>
                <w:sz w:val="8"/>
                <w:szCs w:val="24"/>
              </w:rPr>
            </w:r>
          </w:p>
        </w:tc>
      </w:tr>
      <w:tr>
        <w:trPr>
          <w:cantSplit w:val="false"/>
        </w:trPr>
        <w:tc>
          <w:tcPr>
            <w:tcW w:type="dxa" w:w="350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 2012</w:t>
            </w:r>
          </w:p>
        </w:tc>
        <w:tc>
          <w:tcPr>
            <w:tcW w:type="dxa" w:w="1180"/>
            <w:tcBorders>
              <w:top w:val="nil"/>
              <w:left w:val="nil"/>
              <w:bottom w:val="nil"/>
              <w:right w:val="nil"/>
            </w:tcBorders>
            <w:shd w:fill="auto" w:val="clear"/>
            <w:tcMar>
              <w:left w:type="dxa" w:w="144"/>
            </w:tcMar>
            <w:vAlign w:val="bottom"/>
          </w:tcPr>
          <w:p>
            <w:pPr>
              <w:pStyle w:val="style65"/>
              <w:ind w:hanging="0" w:left="0" w:right="101"/>
              <w:rPr/>
            </w:pPr>
            <w:r>
              <w:rPr/>
              <w:t> </w:t>
            </w:r>
          </w:p>
        </w:tc>
        <w:tc>
          <w:tcPr>
            <w:tcW w:type="dxa" w:w="1250"/>
            <w:tcBorders>
              <w:top w:val="nil"/>
              <w:left w:val="nil"/>
              <w:bottom w:val="nil"/>
              <w:right w:val="nil"/>
            </w:tcBorders>
            <w:shd w:fill="auto" w:val="clear"/>
            <w:tcMar>
              <w:left w:type="dxa" w:w="144"/>
            </w:tcMar>
            <w:vAlign w:val="bottom"/>
          </w:tcPr>
          <w:p>
            <w:pPr>
              <w:pStyle w:val="style65"/>
              <w:ind w:hanging="0" w:left="0" w:right="101"/>
              <w:rPr/>
            </w:pPr>
            <w:r>
              <w:rPr/>
              <w:t> </w:t>
            </w:r>
          </w:p>
        </w:tc>
        <w:tc>
          <w:tcPr>
            <w:tcW w:type="dxa" w:w="1180"/>
            <w:tcBorders>
              <w:top w:val="nil"/>
              <w:left w:val="nil"/>
              <w:bottom w:val="nil"/>
              <w:right w:val="nil"/>
            </w:tcBorders>
            <w:shd w:fill="auto" w:val="clear"/>
            <w:tcMar>
              <w:left w:type="dxa" w:w="144"/>
            </w:tcMar>
            <w:vAlign w:val="bottom"/>
          </w:tcPr>
          <w:p>
            <w:pPr>
              <w:pStyle w:val="style65"/>
              <w:ind w:hanging="0" w:left="0" w:right="101"/>
              <w:rPr/>
            </w:pPr>
            <w:r>
              <w:rPr/>
              <w:t> </w:t>
            </w:r>
          </w:p>
        </w:tc>
        <w:tc>
          <w:tcPr>
            <w:tcW w:type="dxa" w:w="1250"/>
            <w:tcBorders>
              <w:top w:val="nil"/>
              <w:left w:val="nil"/>
              <w:bottom w:val="nil"/>
              <w:right w:val="nil"/>
            </w:tcBorders>
            <w:shd w:fill="auto" w:val="clear"/>
            <w:tcMar>
              <w:left w:type="dxa" w:w="144"/>
            </w:tcMar>
            <w:vAlign w:val="bottom"/>
          </w:tcPr>
          <w:p>
            <w:pPr>
              <w:pStyle w:val="style65"/>
              <w:ind w:hanging="0" w:left="0" w:right="101"/>
              <w:rPr/>
            </w:pPr>
            <w:r>
              <w:rPr/>
              <w:t> </w:t>
            </w:r>
          </w:p>
        </w:tc>
        <w:tc>
          <w:tcPr>
            <w:tcW w:type="dxa" w:w="1180"/>
            <w:tcBorders>
              <w:top w:val="nil"/>
              <w:left w:val="nil"/>
              <w:bottom w:val="nil"/>
              <w:right w:val="nil"/>
            </w:tcBorders>
            <w:shd w:fill="auto" w:val="clear"/>
            <w:tcMar>
              <w:left w:type="dxa" w:w="144"/>
            </w:tcMar>
            <w:vAlign w:val="bottom"/>
          </w:tcPr>
          <w:p>
            <w:pPr>
              <w:pStyle w:val="style65"/>
              <w:ind w:hanging="0" w:left="0" w:right="101"/>
              <w:rPr/>
            </w:pPr>
            <w:r>
              <w:rPr/>
              <w:t> </w:t>
            </w:r>
          </w:p>
        </w:tc>
        <w:tc>
          <w:tcPr>
            <w:tcW w:type="dxa" w:w="1253"/>
            <w:tcBorders>
              <w:top w:val="nil"/>
              <w:left w:val="nil"/>
              <w:bottom w:val="nil"/>
              <w:right w:val="nil"/>
            </w:tcBorders>
            <w:shd w:fill="auto" w:val="clear"/>
            <w:tcMar>
              <w:left w:type="dxa" w:w="144"/>
            </w:tcMar>
            <w:vAlign w:val="bottom"/>
          </w:tcPr>
          <w:p>
            <w:pPr>
              <w:pStyle w:val="style65"/>
              <w:ind w:hanging="0" w:left="0" w:right="101"/>
              <w:rPr/>
            </w:pPr>
            <w:r>
              <w:rPr/>
              <w:t> </w:t>
            </w:r>
          </w:p>
        </w:tc>
      </w:tr>
      <w:tr>
        <w:trPr>
          <w:trHeight w:hRule="atLeast" w:val="75"/>
          <w:cantSplit w:val="false"/>
        </w:trPr>
        <w:tc>
          <w:tcPr>
            <w:tcW w:type="dxa" w:w="3506"/>
            <w:tcBorders>
              <w:top w:val="nil"/>
              <w:left w:val="nil"/>
              <w:bottom w:val="nil"/>
              <w:right w:val="nil"/>
            </w:tcBorders>
            <w:shd w:fill="auto" w:val="clear"/>
            <w:vAlign w:val="center"/>
          </w:tcPr>
          <w:p>
            <w:pPr>
              <w:pStyle w:val="style0"/>
              <w:rPr>
                <w:sz w:val="8"/>
                <w:szCs w:val="24"/>
              </w:rPr>
            </w:pPr>
            <w:r>
              <w:rPr>
                <w:sz w:val="8"/>
                <w:szCs w:val="24"/>
              </w:rPr>
            </w:r>
          </w:p>
        </w:tc>
        <w:tc>
          <w:tcPr>
            <w:tcW w:type="dxa" w:w="118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25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18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25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18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253"/>
            <w:tcBorders>
              <w:top w:val="nil"/>
              <w:left w:val="nil"/>
              <w:bottom w:val="nil"/>
              <w:right w:val="nil"/>
            </w:tcBorders>
            <w:shd w:fill="auto" w:val="clear"/>
            <w:vAlign w:val="center"/>
          </w:tcPr>
          <w:p>
            <w:pPr>
              <w:pStyle w:val="style0"/>
              <w:ind w:hanging="0" w:left="0" w:right="101"/>
              <w:rPr>
                <w:sz w:val="8"/>
                <w:szCs w:val="24"/>
              </w:rPr>
            </w:pPr>
            <w:r>
              <w:rPr>
                <w:sz w:val="8"/>
                <w:szCs w:val="24"/>
              </w:rPr>
            </w:r>
          </w:p>
        </w:tc>
      </w:tr>
      <w:tr>
        <w:trPr>
          <w:cantSplit w:val="false"/>
        </w:trPr>
        <w:tc>
          <w:tcPr>
            <w:tcW w:type="dxa" w:w="350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U.S. government and agency securities</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44</w:t>
              <w:tab/>
              <w:t> </w:t>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(2</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0</w:t>
              <w:tab/>
              <w:t> </w:t>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0</w:t>
              <w:tab/>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44</w:t>
              <w:tab/>
              <w:t> </w:t>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432" w:right="101"/>
              <w:contextualSpacing w:val="false"/>
              <w:rPr>
                <w:rFonts w:ascii="Arial" w:cs="Arial" w:hAnsi="Arial"/>
                <w:sz w:val="20"/>
                <w:szCs w:val="20"/>
              </w:rPr>
            </w:pPr>
            <w:r>
              <w:rPr>
                <w:rFonts w:ascii="Arial" w:cs="Arial" w:hAnsi="Arial"/>
                <w:sz w:val="20"/>
                <w:szCs w:val="20"/>
              </w:rPr>
              <w:t>$</w:t>
              <w:tab/>
              <w:t>(2</w:t>
              <w:tab/>
              <w:t>)</w:t>
            </w:r>
          </w:p>
        </w:tc>
      </w:tr>
      <w:tr>
        <w:trPr>
          <w:cantSplit w:val="false"/>
        </w:trPr>
        <w:tc>
          <w:tcPr>
            <w:tcW w:type="dxa" w:w="350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Foreign government bonds</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02" w:right="101"/>
              <w:contextualSpacing w:val="false"/>
              <w:rPr>
                <w:rFonts w:ascii="Arial" w:cs="Arial" w:hAnsi="Arial"/>
                <w:sz w:val="20"/>
                <w:szCs w:val="20"/>
              </w:rPr>
            </w:pPr>
            <w:r>
              <w:rPr>
                <w:rFonts w:ascii="Arial" w:cs="Arial" w:hAnsi="Arial"/>
                <w:sz w:val="20"/>
                <w:szCs w:val="20"/>
              </w:rPr>
              <w:tab/>
              <w:t>657</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sz w:val="20"/>
                <w:szCs w:val="20"/>
              </w:rPr>
            </w:pPr>
            <w:r>
              <w:rPr>
                <w:rFonts w:ascii="Arial" w:cs="Arial" w:hAnsi="Arial"/>
                <w:sz w:val="20"/>
                <w:szCs w:val="20"/>
              </w:rPr>
              <w:tab/>
              <w:t>(27</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88" w:right="101"/>
              <w:contextualSpacing w:val="false"/>
              <w:rPr>
                <w:rFonts w:ascii="Arial" w:cs="Arial" w:hAnsi="Arial"/>
                <w:sz w:val="20"/>
                <w:szCs w:val="20"/>
              </w:rPr>
            </w:pPr>
            <w:r>
              <w:rPr>
                <w:rFonts w:ascii="Arial" w:cs="Arial" w:hAnsi="Arial"/>
                <w:sz w:val="20"/>
                <w:szCs w:val="20"/>
              </w:rPr>
              <w:tab/>
              <w:t>12</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sz w:val="20"/>
                <w:szCs w:val="20"/>
              </w:rPr>
            </w:pPr>
            <w:r>
              <w:rPr>
                <w:rFonts w:ascii="Arial" w:cs="Arial" w:hAnsi="Arial"/>
                <w:sz w:val="20"/>
                <w:szCs w:val="20"/>
              </w:rPr>
              <w:tab/>
              <w:t>(2</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88" w:right="101"/>
              <w:contextualSpacing w:val="false"/>
              <w:rPr>
                <w:rFonts w:ascii="Arial" w:cs="Arial" w:hAnsi="Arial"/>
                <w:sz w:val="20"/>
                <w:szCs w:val="20"/>
              </w:rPr>
            </w:pPr>
            <w:r>
              <w:rPr>
                <w:rFonts w:ascii="Arial" w:cs="Arial" w:hAnsi="Arial"/>
                <w:sz w:val="20"/>
                <w:szCs w:val="20"/>
              </w:rPr>
              <w:tab/>
              <w:t>669</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432" w:right="101"/>
              <w:contextualSpacing w:val="false"/>
              <w:rPr>
                <w:rFonts w:ascii="Arial" w:cs="Arial" w:hAnsi="Arial"/>
                <w:sz w:val="20"/>
                <w:szCs w:val="20"/>
              </w:rPr>
            </w:pPr>
            <w:r>
              <w:rPr>
                <w:rFonts w:ascii="Arial" w:cs="Arial" w:hAnsi="Arial"/>
                <w:sz w:val="20"/>
                <w:szCs w:val="20"/>
              </w:rPr>
              <w:tab/>
              <w:t>(29</w:t>
              <w:tab/>
              <w:t>)</w:t>
            </w:r>
          </w:p>
        </w:tc>
      </w:tr>
      <w:tr>
        <w:trPr>
          <w:cantSplit w:val="false"/>
        </w:trPr>
        <w:tc>
          <w:tcPr>
            <w:tcW w:type="dxa" w:w="350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Mortgage-backed securities</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02" w:right="101"/>
              <w:contextualSpacing w:val="false"/>
              <w:rPr>
                <w:rFonts w:ascii="Arial" w:cs="Arial" w:hAnsi="Arial"/>
                <w:sz w:val="20"/>
                <w:szCs w:val="20"/>
              </w:rPr>
            </w:pPr>
            <w:r>
              <w:rPr>
                <w:rFonts w:ascii="Arial" w:cs="Arial" w:hAnsi="Arial"/>
                <w:sz w:val="20"/>
                <w:szCs w:val="20"/>
              </w:rPr>
              <w:tab/>
              <w:t>53</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sz w:val="20"/>
                <w:szCs w:val="20"/>
              </w:rPr>
            </w:pPr>
            <w:r>
              <w:rPr>
                <w:rFonts w:ascii="Arial" w:cs="Arial" w:hAnsi="Arial"/>
                <w:sz w:val="20"/>
                <w:szCs w:val="20"/>
              </w:rPr>
              <w:tab/>
              <w:t>0</w:t>
              <w:tab/>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88" w:right="101"/>
              <w:contextualSpacing w:val="false"/>
              <w:rPr>
                <w:rFonts w:ascii="Arial" w:cs="Arial" w:hAnsi="Arial"/>
                <w:sz w:val="20"/>
                <w:szCs w:val="20"/>
              </w:rPr>
            </w:pPr>
            <w:r>
              <w:rPr>
                <w:rFonts w:ascii="Arial" w:cs="Arial" w:hAnsi="Arial"/>
                <w:sz w:val="20"/>
                <w:szCs w:val="20"/>
              </w:rPr>
              <w:tab/>
              <w:t>48</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sz w:val="20"/>
                <w:szCs w:val="20"/>
              </w:rPr>
            </w:pPr>
            <w:r>
              <w:rPr>
                <w:rFonts w:ascii="Arial" w:cs="Arial" w:hAnsi="Arial"/>
                <w:sz w:val="20"/>
                <w:szCs w:val="20"/>
              </w:rPr>
              <w:tab/>
              <w:t>(2</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88" w:right="101"/>
              <w:contextualSpacing w:val="false"/>
              <w:rPr>
                <w:rFonts w:ascii="Arial" w:cs="Arial" w:hAnsi="Arial"/>
                <w:sz w:val="20"/>
                <w:szCs w:val="20"/>
              </w:rPr>
            </w:pPr>
            <w:r>
              <w:rPr>
                <w:rFonts w:ascii="Arial" w:cs="Arial" w:hAnsi="Arial"/>
                <w:sz w:val="20"/>
                <w:szCs w:val="20"/>
              </w:rPr>
              <w:tab/>
              <w:t>101</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432" w:right="101"/>
              <w:contextualSpacing w:val="false"/>
              <w:rPr>
                <w:rFonts w:ascii="Arial" w:cs="Arial" w:hAnsi="Arial"/>
                <w:sz w:val="20"/>
                <w:szCs w:val="20"/>
              </w:rPr>
            </w:pPr>
            <w:r>
              <w:rPr>
                <w:rFonts w:ascii="Arial" w:cs="Arial" w:hAnsi="Arial"/>
                <w:sz w:val="20"/>
                <w:szCs w:val="20"/>
              </w:rPr>
              <w:tab/>
              <w:t>(2</w:t>
              <w:tab/>
              <w:t>)</w:t>
            </w:r>
          </w:p>
        </w:tc>
      </w:tr>
      <w:tr>
        <w:trPr>
          <w:cantSplit w:val="false"/>
        </w:trPr>
        <w:tc>
          <w:tcPr>
            <w:tcW w:type="dxa" w:w="350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Corporate notes and bonds</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02" w:right="101"/>
              <w:contextualSpacing w:val="false"/>
              <w:rPr>
                <w:rFonts w:ascii="Arial" w:cs="Arial" w:hAnsi="Arial"/>
                <w:sz w:val="20"/>
                <w:szCs w:val="20"/>
              </w:rPr>
            </w:pPr>
            <w:r>
              <w:rPr>
                <w:rFonts w:ascii="Arial" w:cs="Arial" w:hAnsi="Arial"/>
                <w:sz w:val="20"/>
                <w:szCs w:val="20"/>
              </w:rPr>
              <w:tab/>
              <w:t>640</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sz w:val="20"/>
                <w:szCs w:val="20"/>
              </w:rPr>
            </w:pPr>
            <w:r>
              <w:rPr>
                <w:rFonts w:ascii="Arial" w:cs="Arial" w:hAnsi="Arial"/>
                <w:sz w:val="20"/>
                <w:szCs w:val="20"/>
              </w:rPr>
              <w:tab/>
              <w:t>(11</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88" w:right="101"/>
              <w:contextualSpacing w:val="false"/>
              <w:rPr>
                <w:rFonts w:ascii="Arial" w:cs="Arial" w:hAnsi="Arial"/>
                <w:sz w:val="20"/>
                <w:szCs w:val="20"/>
              </w:rPr>
            </w:pPr>
            <w:r>
              <w:rPr>
                <w:rFonts w:ascii="Arial" w:cs="Arial" w:hAnsi="Arial"/>
                <w:sz w:val="20"/>
                <w:szCs w:val="20"/>
              </w:rPr>
              <w:tab/>
              <w:t>70</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sz w:val="20"/>
                <w:szCs w:val="20"/>
              </w:rPr>
            </w:pPr>
            <w:r>
              <w:rPr>
                <w:rFonts w:ascii="Arial" w:cs="Arial" w:hAnsi="Arial"/>
                <w:sz w:val="20"/>
                <w:szCs w:val="20"/>
              </w:rPr>
              <w:tab/>
              <w:t>(4</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88" w:right="101"/>
              <w:contextualSpacing w:val="false"/>
              <w:rPr>
                <w:rFonts w:ascii="Arial" w:cs="Arial" w:hAnsi="Arial"/>
                <w:sz w:val="20"/>
                <w:szCs w:val="20"/>
              </w:rPr>
            </w:pPr>
            <w:r>
              <w:rPr>
                <w:rFonts w:ascii="Arial" w:cs="Arial" w:hAnsi="Arial"/>
                <w:sz w:val="20"/>
                <w:szCs w:val="20"/>
              </w:rPr>
              <w:tab/>
              <w:t>710</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432" w:right="101"/>
              <w:contextualSpacing w:val="false"/>
              <w:rPr>
                <w:rFonts w:ascii="Arial" w:cs="Arial" w:hAnsi="Arial"/>
                <w:sz w:val="20"/>
                <w:szCs w:val="20"/>
              </w:rPr>
            </w:pPr>
            <w:r>
              <w:rPr>
                <w:rFonts w:ascii="Arial" w:cs="Arial" w:hAnsi="Arial"/>
                <w:sz w:val="20"/>
                <w:szCs w:val="20"/>
              </w:rPr>
              <w:tab/>
              <w:t>(15</w:t>
              <w:tab/>
              <w:t>)</w:t>
            </w:r>
          </w:p>
        </w:tc>
      </w:tr>
      <w:tr>
        <w:trPr>
          <w:cantSplit w:val="false"/>
        </w:trPr>
        <w:tc>
          <w:tcPr>
            <w:tcW w:type="dxa" w:w="350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and preferred stock</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02" w:right="101"/>
              <w:contextualSpacing w:val="false"/>
              <w:rPr>
                <w:rFonts w:ascii="Arial" w:cs="Arial" w:hAnsi="Arial"/>
                <w:sz w:val="20"/>
                <w:szCs w:val="20"/>
              </w:rPr>
            </w:pPr>
            <w:r>
              <w:rPr>
                <w:rFonts w:ascii="Arial" w:cs="Arial" w:hAnsi="Arial"/>
                <w:sz w:val="20"/>
                <w:szCs w:val="20"/>
              </w:rPr>
              <w:tab/>
              <w:t>2,135</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sz w:val="20"/>
                <w:szCs w:val="20"/>
              </w:rPr>
            </w:pPr>
            <w:r>
              <w:rPr>
                <w:rFonts w:ascii="Arial" w:cs="Arial" w:hAnsi="Arial"/>
                <w:sz w:val="20"/>
                <w:szCs w:val="20"/>
              </w:rPr>
              <w:tab/>
              <w:t>(329</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88" w:right="101"/>
              <w:contextualSpacing w:val="false"/>
              <w:rPr>
                <w:rFonts w:ascii="Arial" w:cs="Arial" w:hAnsi="Arial"/>
                <w:sz w:val="20"/>
                <w:szCs w:val="20"/>
              </w:rPr>
            </w:pPr>
            <w:r>
              <w:rPr>
                <w:rFonts w:ascii="Arial" w:cs="Arial" w:hAnsi="Arial"/>
                <w:sz w:val="20"/>
                <w:szCs w:val="20"/>
              </w:rPr>
              <w:tab/>
              <w:t>305</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sz w:val="20"/>
                <w:szCs w:val="20"/>
              </w:rPr>
            </w:pPr>
            <w:r>
              <w:rPr>
                <w:rFonts w:ascii="Arial" w:cs="Arial" w:hAnsi="Arial"/>
                <w:sz w:val="20"/>
                <w:szCs w:val="20"/>
              </w:rPr>
              <w:tab/>
              <w:t>(107</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88" w:right="101"/>
              <w:contextualSpacing w:val="false"/>
              <w:rPr>
                <w:rFonts w:ascii="Arial" w:cs="Arial" w:hAnsi="Arial"/>
                <w:sz w:val="20"/>
                <w:szCs w:val="20"/>
              </w:rPr>
            </w:pPr>
            <w:r>
              <w:rPr>
                <w:rFonts w:ascii="Arial" w:cs="Arial" w:hAnsi="Arial"/>
                <w:sz w:val="20"/>
                <w:szCs w:val="20"/>
              </w:rPr>
              <w:tab/>
              <w:t>2,440</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432" w:right="101"/>
              <w:contextualSpacing w:val="false"/>
              <w:rPr>
                <w:rFonts w:ascii="Arial" w:cs="Arial" w:hAnsi="Arial"/>
                <w:sz w:val="20"/>
                <w:szCs w:val="20"/>
              </w:rPr>
            </w:pPr>
            <w:r>
              <w:rPr>
                <w:rFonts w:ascii="Arial" w:cs="Arial" w:hAnsi="Arial"/>
                <w:sz w:val="20"/>
                <w:szCs w:val="20"/>
              </w:rPr>
              <w:tab/>
              <w:t>(436</w:t>
              <w:tab/>
              <w:t>)</w:t>
            </w:r>
          </w:p>
        </w:tc>
      </w:tr>
      <w:tr>
        <w:trPr>
          <w:cantSplit w:val="false"/>
        </w:trPr>
        <w:tc>
          <w:tcPr>
            <w:tcW w:type="dxa" w:w="4686"/>
            <w:gridSpan w:val="2"/>
            <w:tcBorders>
              <w:top w:val="nil"/>
              <w:left w:val="nil"/>
              <w:bottom w:val="nil"/>
              <w:right w:val="nil"/>
            </w:tcBorders>
            <w:shd w:fill="auto" w:val="clear"/>
            <w:vAlign w:val="bottom"/>
          </w:tcPr>
          <w:p>
            <w:pPr>
              <w:pStyle w:val="style59"/>
              <w:spacing w:after="0" w:before="20"/>
              <w:ind w:hanging="0" w:left="-261" w:right="101"/>
              <w:contextualSpacing w:val="false"/>
              <w:rPr/>
            </w:pPr>
            <w:r>
              <w:rPr/>
              <w:t> </w:t>
            </w:r>
          </w:p>
        </w:tc>
        <w:tc>
          <w:tcPr>
            <w:tcW w:type="dxa" w:w="1250"/>
            <w:tcBorders>
              <w:top w:val="nil"/>
              <w:left w:val="nil"/>
              <w:bottom w:val="nil"/>
              <w:right w:val="nil"/>
            </w:tcBorders>
            <w:shd w:fill="auto" w:val="clear"/>
            <w:tcMar>
              <w:left w:type="dxa" w:w="144"/>
            </w:tcMar>
            <w:vAlign w:val="bottom"/>
          </w:tcPr>
          <w:p>
            <w:pPr>
              <w:pStyle w:val="style59"/>
              <w:spacing w:after="0" w:before="20"/>
              <w:ind w:hanging="0" w:left="288" w:right="101"/>
              <w:contextualSpacing w:val="false"/>
              <w:rPr/>
            </w:pPr>
            <w:r>
              <w:rPr/>
              <w:t> </w:t>
            </w:r>
          </w:p>
        </w:tc>
        <w:tc>
          <w:tcPr>
            <w:tcW w:type="dxa" w:w="1180"/>
            <w:tcBorders>
              <w:top w:val="nil"/>
              <w:left w:val="nil"/>
              <w:bottom w:val="nil"/>
              <w:right w:val="nil"/>
            </w:tcBorders>
            <w:shd w:fill="auto" w:val="clear"/>
            <w:tcMar>
              <w:left w:type="dxa" w:w="144"/>
            </w:tcMar>
            <w:vAlign w:val="bottom"/>
          </w:tcPr>
          <w:p>
            <w:pPr>
              <w:pStyle w:val="style59"/>
              <w:spacing w:after="0" w:before="20"/>
              <w:ind w:hanging="0" w:left="288" w:right="101"/>
              <w:contextualSpacing w:val="false"/>
              <w:rPr/>
            </w:pPr>
            <w:r>
              <w:rPr/>
              <w:t> </w:t>
            </w:r>
          </w:p>
        </w:tc>
        <w:tc>
          <w:tcPr>
            <w:tcW w:type="dxa" w:w="1250"/>
            <w:tcBorders>
              <w:top w:val="nil"/>
              <w:left w:val="nil"/>
              <w:bottom w:val="nil"/>
              <w:right w:val="nil"/>
            </w:tcBorders>
            <w:shd w:fill="auto" w:val="clear"/>
            <w:tcMar>
              <w:left w:type="dxa" w:w="144"/>
            </w:tcMar>
            <w:vAlign w:val="bottom"/>
          </w:tcPr>
          <w:p>
            <w:pPr>
              <w:pStyle w:val="style59"/>
              <w:spacing w:after="0" w:before="20"/>
              <w:ind w:hanging="0" w:left="288" w:right="101"/>
              <w:contextualSpacing w:val="false"/>
              <w:rPr/>
            </w:pPr>
            <w:r>
              <w:rPr/>
              <w:t> </w:t>
            </w:r>
          </w:p>
        </w:tc>
        <w:tc>
          <w:tcPr>
            <w:tcW w:type="dxa" w:w="1180"/>
            <w:tcBorders>
              <w:top w:val="nil"/>
              <w:left w:val="nil"/>
              <w:bottom w:val="nil"/>
              <w:right w:val="nil"/>
            </w:tcBorders>
            <w:shd w:fill="auto" w:val="clear"/>
            <w:tcMar>
              <w:left w:type="dxa" w:w="144"/>
            </w:tcMar>
            <w:vAlign w:val="bottom"/>
          </w:tcPr>
          <w:p>
            <w:pPr>
              <w:pStyle w:val="style59"/>
              <w:spacing w:after="0" w:before="20"/>
              <w:ind w:hanging="0" w:left="288" w:right="101"/>
              <w:contextualSpacing w:val="false"/>
              <w:rPr/>
            </w:pPr>
            <w:r>
              <w:rPr/>
              <w:t> </w:t>
            </w:r>
          </w:p>
        </w:tc>
        <w:tc>
          <w:tcPr>
            <w:tcW w:type="dxa" w:w="1253"/>
            <w:tcBorders>
              <w:top w:val="nil"/>
              <w:left w:val="nil"/>
              <w:bottom w:val="nil"/>
              <w:right w:val="nil"/>
            </w:tcBorders>
            <w:shd w:fill="auto" w:val="clear"/>
            <w:tcMar>
              <w:left w:type="dxa" w:w="144"/>
            </w:tcMar>
            <w:vAlign w:val="bottom"/>
          </w:tcPr>
          <w:p>
            <w:pPr>
              <w:pStyle w:val="style59"/>
              <w:spacing w:after="0" w:before="20"/>
              <w:ind w:hanging="0" w:left="432" w:right="101"/>
              <w:contextualSpacing w:val="false"/>
              <w:rPr/>
            </w:pPr>
            <w:r>
              <w:rPr/>
              <w:t> </w:t>
            </w:r>
          </w:p>
        </w:tc>
      </w:tr>
      <w:tr>
        <w:trPr>
          <w:cantSplit w:val="false"/>
        </w:trPr>
        <w:tc>
          <w:tcPr>
            <w:tcW w:type="dxa" w:w="350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  3,529</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  (369</w:t>
              <w:tab/>
              <w:t>)</w:t>
            </w:r>
          </w:p>
        </w:tc>
        <w:tc>
          <w:tcPr>
            <w:tcW w:type="dxa" w:w="118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  435</w:t>
              <w:tab/>
            </w:r>
          </w:p>
        </w:tc>
        <w:tc>
          <w:tcPr>
            <w:tcW w:type="dxa" w:w="1250"/>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  (115</w:t>
              <w:tab/>
              <w:t>)</w:t>
            </w:r>
          </w:p>
        </w:tc>
        <w:tc>
          <w:tcPr>
            <w:tcW w:type="dxa" w:w="1180"/>
            <w:tcBorders>
              <w:top w:val="nil"/>
              <w:left w:val="nil"/>
              <w:bottom w:val="nil"/>
              <w:right w:val="nil"/>
            </w:tcBorders>
            <w:shd w:fill="auto" w:val="clear"/>
            <w:tcMar>
              <w:left w:type="dxa" w:w="144"/>
            </w:tcMar>
            <w:vAlign w:val="bottom"/>
          </w:tcPr>
          <w:p>
            <w:pPr>
              <w:pStyle w:val="style62"/>
              <w:tabs>
                <w:tab w:leader="none" w:pos="937" w:val="right"/>
                <w:tab w:leader="none" w:pos="102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r>
            <w:r>
              <w:rPr>
                <w:rFonts w:ascii="Arial" w:cs="Arial" w:hAnsi="Arial"/>
                <w:sz w:val="12"/>
                <w:szCs w:val="12"/>
              </w:rPr>
              <w:t> </w:t>
            </w:r>
            <w:r>
              <w:rPr>
                <w:rFonts w:ascii="Arial" w:cs="Arial" w:hAnsi="Arial"/>
                <w:sz w:val="20"/>
                <w:szCs w:val="20"/>
              </w:rPr>
              <w:t> 3,964</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432" w:right="101"/>
              <w:contextualSpacing w:val="false"/>
              <w:rPr>
                <w:rFonts w:ascii="Arial" w:cs="Arial" w:hAnsi="Arial"/>
                <w:sz w:val="20"/>
                <w:szCs w:val="20"/>
              </w:rPr>
            </w:pPr>
            <w:r>
              <w:rPr>
                <w:rFonts w:ascii="Arial" w:cs="Arial" w:hAnsi="Arial"/>
                <w:sz w:val="20"/>
                <w:szCs w:val="20"/>
              </w:rPr>
              <w:t>$</w:t>
              <w:tab/>
              <w:t>(484</w:t>
              <w:tab/>
              <w:t>)</w:t>
            </w:r>
          </w:p>
        </w:tc>
      </w:tr>
      <w:tr>
        <w:trPr>
          <w:cantSplit w:val="false"/>
        </w:trPr>
        <w:tc>
          <w:tcPr>
            <w:tcW w:type="dxa" w:w="3506"/>
            <w:tcBorders>
              <w:top w:val="nil"/>
              <w:left w:val="nil"/>
              <w:bottom w:val="nil"/>
              <w:right w:val="nil"/>
            </w:tcBorders>
            <w:shd w:fill="auto" w:val="clear"/>
            <w:tcMar>
              <w:left w:type="dxa" w:w="144"/>
            </w:tcMar>
            <w:vAlign w:val="bottom"/>
          </w:tcPr>
          <w:p>
            <w:pPr>
              <w:pStyle w:val="style65"/>
              <w:rPr/>
            </w:pPr>
            <w:r>
              <w:rPr/>
              <w:t> </w:t>
            </w:r>
          </w:p>
        </w:tc>
        <w:tc>
          <w:tcPr>
            <w:tcW w:type="dxa" w:w="1180"/>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c>
          <w:tcPr>
            <w:tcW w:type="dxa" w:w="1250"/>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c>
          <w:tcPr>
            <w:tcW w:type="dxa" w:w="1180"/>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c>
          <w:tcPr>
            <w:tcW w:type="dxa" w:w="1250"/>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c>
          <w:tcPr>
            <w:tcW w:type="dxa" w:w="1180"/>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c>
          <w:tcPr>
            <w:tcW w:type="dxa" w:w="1253"/>
            <w:tcBorders>
              <w:top w:val="nil"/>
              <w:left w:val="nil"/>
              <w:bottom w:val="nil"/>
              <w:right w:val="nil"/>
            </w:tcBorders>
            <w:shd w:fill="auto" w:val="clear"/>
            <w:tcMar>
              <w:left w:type="dxa" w:w="144"/>
            </w:tcMar>
            <w:vAlign w:val="bottom"/>
          </w:tcPr>
          <w:p>
            <w:pPr>
              <w:pStyle w:val="style63"/>
              <w:spacing w:after="0" w:before="20"/>
              <w:ind w:hanging="0" w:left="432" w:right="101"/>
              <w:contextualSpacing w:val="false"/>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Unrealized losses from fixed-income securities are primarily attributable to changes in interest rates. Unrealized losses from domestic and international equities are due to market price movements. Management does not believe any remaining unrealized losses represent other-than-temporary impairments based on our evaluation of available evidence as of June 30, 2013.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At June 30, 2013 and 2012, the recorded bases of common and preferred stock and other investments that are restricted for more than one year or are not publicly traded were $395 million and $313 million, respectively. These investments are carried at cost and are reviewed quarterly for indicators of other-than-temporary impairment. It is not practicable for us to reliably estimate the fair value of these investments.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Debt Investment Maturities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8359"/>
        <w:gridCol w:w="1219"/>
        <w:gridCol w:w="1222"/>
      </w:tblGrid>
      <w:tr>
        <w:trPr>
          <w:tblHeader w:val="true"/>
          <w:cantSplit w:val="false"/>
        </w:trPr>
        <w:tc>
          <w:tcPr>
            <w:tcW w:type="dxa" w:w="8359"/>
            <w:tcBorders>
              <w:top w:val="nil"/>
              <w:left w:val="nil"/>
              <w:bottom w:val="nil"/>
              <w:right w:val="nil"/>
            </w:tcBorders>
            <w:shd w:fill="auto" w:val="clear"/>
            <w:vAlign w:val="center"/>
          </w:tcPr>
          <w:p>
            <w:pPr>
              <w:pStyle w:val="style0"/>
              <w:rPr>
                <w:sz w:val="1"/>
                <w:szCs w:val="24"/>
              </w:rPr>
            </w:pPr>
            <w:r>
              <w:rPr>
                <w:sz w:val="1"/>
                <w:szCs w:val="24"/>
              </w:rPr>
            </w:r>
          </w:p>
        </w:tc>
        <w:tc>
          <w:tcPr>
            <w:tcW w:type="dxa" w:w="1219"/>
            <w:tcBorders>
              <w:top w:val="nil"/>
              <w:left w:val="nil"/>
              <w:bottom w:val="nil"/>
              <w:right w:val="nil"/>
            </w:tcBorders>
            <w:shd w:fill="auto" w:val="clear"/>
            <w:vAlign w:val="center"/>
          </w:tcPr>
          <w:p>
            <w:pPr>
              <w:pStyle w:val="style0"/>
              <w:rPr>
                <w:sz w:val="1"/>
                <w:szCs w:val="24"/>
              </w:rPr>
            </w:pPr>
            <w:r>
              <w:rPr>
                <w:sz w:val="1"/>
                <w:szCs w:val="24"/>
              </w:rPr>
            </w:r>
          </w:p>
        </w:tc>
        <w:tc>
          <w:tcPr>
            <w:tcW w:type="dxa" w:w="122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835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19"/>
            <w:tcBorders>
              <w:top w:val="nil"/>
              <w:left w:val="nil"/>
              <w:bottom w:val="nil"/>
              <w:right w:val="nil"/>
            </w:tcBorders>
            <w:shd w:fill="auto" w:val="clear"/>
            <w:tcMar>
              <w:left w:type="dxa" w:w="144"/>
            </w:tcMar>
            <w:vAlign w:val="bottom"/>
          </w:tcPr>
          <w:p>
            <w:pPr>
              <w:pStyle w:val="style0"/>
              <w:ind w:hanging="0" w:left="144" w:right="49"/>
              <w:jc w:val="right"/>
              <w:rPr>
                <w:rFonts w:ascii="Arial" w:cs="Arial" w:hAnsi="Arial"/>
                <w:b/>
                <w:bCs/>
                <w:sz w:val="15"/>
                <w:szCs w:val="15"/>
              </w:rPr>
            </w:pPr>
            <w:r>
              <w:rPr>
                <w:rFonts w:ascii="Arial" w:cs="Arial" w:hAnsi="Arial"/>
                <w:b/>
                <w:bCs/>
                <w:sz w:val="15"/>
                <w:szCs w:val="15"/>
              </w:rPr>
              <w:t>Cost Basis</w:t>
            </w:r>
          </w:p>
        </w:tc>
        <w:tc>
          <w:tcPr>
            <w:tcW w:type="dxa" w:w="1222"/>
            <w:tcBorders>
              <w:top w:val="nil"/>
              <w:left w:val="nil"/>
              <w:bottom w:val="nil"/>
              <w:right w:val="nil"/>
            </w:tcBorders>
            <w:shd w:fill="auto" w:val="clear"/>
            <w:tcMar>
              <w:left w:type="dxa" w:w="144"/>
            </w:tcMar>
            <w:vAlign w:val="bottom"/>
          </w:tcPr>
          <w:p>
            <w:pPr>
              <w:pStyle w:val="style62"/>
              <w:spacing w:after="280" w:before="280"/>
              <w:ind w:hanging="0" w:left="144" w:right="72"/>
              <w:contextualSpacing w:val="false"/>
              <w:jc w:val="right"/>
              <w:rPr>
                <w:rFonts w:ascii="Arial" w:cs="Arial" w:hAnsi="Arial"/>
                <w:b/>
                <w:bCs/>
                <w:sz w:val="15"/>
                <w:szCs w:val="15"/>
              </w:rPr>
            </w:pPr>
            <w:r>
              <w:rPr>
                <w:rFonts w:ascii="Arial" w:cs="Arial" w:hAnsi="Arial"/>
                <w:b/>
                <w:bCs/>
                <w:sz w:val="15"/>
                <w:szCs w:val="15"/>
              </w:rPr>
              <w:t>Estimated</w:t>
            </w:r>
          </w:p>
          <w:p>
            <w:pPr>
              <w:pStyle w:val="style62"/>
              <w:spacing w:after="280" w:before="280"/>
              <w:ind w:hanging="0" w:left="144" w:right="72"/>
              <w:contextualSpacing w:val="false"/>
              <w:jc w:val="right"/>
              <w:rPr>
                <w:rFonts w:ascii="Arial" w:cs="Arial" w:hAnsi="Arial"/>
                <w:b/>
                <w:bCs/>
                <w:sz w:val="15"/>
                <w:szCs w:val="15"/>
              </w:rPr>
            </w:pPr>
            <w:r>
              <w:rPr>
                <w:rFonts w:ascii="Arial" w:cs="Arial" w:hAnsi="Arial"/>
                <w:b/>
                <w:bCs/>
                <w:sz w:val="15"/>
                <w:szCs w:val="15"/>
              </w:rPr>
              <w:t>Fair Value</w:t>
            </w:r>
          </w:p>
        </w:tc>
      </w:tr>
      <w:tr>
        <w:trPr>
          <w:cantSplit w:val="false"/>
        </w:trPr>
        <w:tc>
          <w:tcPr>
            <w:tcW w:type="dxa" w:w="10800"/>
            <w:gridSpan w:val="3"/>
            <w:tcBorders>
              <w:top w:val="nil"/>
              <w:left w:val="nil"/>
              <w:bottom w:val="nil"/>
              <w:right w:val="nil"/>
            </w:tcBorders>
            <w:shd w:fill="auto" w:val="clear"/>
            <w:tcMar>
              <w:left w:type="dxa" w:w="144"/>
            </w:tcMar>
            <w:vAlign w:val="bottom"/>
          </w:tcPr>
          <w:p>
            <w:pPr>
              <w:pStyle w:val="style59"/>
              <w:spacing w:after="0" w:before="20"/>
              <w:ind w:hanging="0" w:left="-207" w:right="101"/>
              <w:contextualSpacing w:val="false"/>
              <w:rPr/>
            </w:pPr>
            <w:r>
              <w:rPr/>
              <w:t> </w:t>
            </w:r>
          </w:p>
        </w:tc>
      </w:tr>
      <w:tr>
        <w:trPr>
          <w:trHeight w:hRule="atLeast" w:val="75"/>
          <w:cantSplit w:val="false"/>
        </w:trPr>
        <w:tc>
          <w:tcPr>
            <w:tcW w:type="dxa" w:w="8359"/>
            <w:tcBorders>
              <w:top w:val="nil"/>
              <w:left w:val="nil"/>
              <w:bottom w:val="nil"/>
              <w:right w:val="nil"/>
            </w:tcBorders>
            <w:shd w:fill="auto" w:val="clear"/>
            <w:vAlign w:val="center"/>
          </w:tcPr>
          <w:p>
            <w:pPr>
              <w:pStyle w:val="style0"/>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144" w:right="101"/>
              <w:rPr>
                <w:sz w:val="8"/>
                <w:szCs w:val="24"/>
              </w:rPr>
            </w:pPr>
            <w:r>
              <w:rPr>
                <w:sz w:val="8"/>
                <w:szCs w:val="24"/>
              </w:rPr>
            </w:r>
          </w:p>
        </w:tc>
        <w:tc>
          <w:tcPr>
            <w:tcW w:type="dxa" w:w="1222"/>
            <w:tcBorders>
              <w:top w:val="nil"/>
              <w:left w:val="nil"/>
              <w:bottom w:val="nil"/>
              <w:right w:val="nil"/>
            </w:tcBorders>
            <w:shd w:fill="auto" w:val="clear"/>
            <w:vAlign w:val="center"/>
          </w:tcPr>
          <w:p>
            <w:pPr>
              <w:pStyle w:val="style0"/>
              <w:ind w:hanging="0" w:left="144" w:right="101"/>
              <w:rPr>
                <w:sz w:val="8"/>
                <w:szCs w:val="24"/>
              </w:rPr>
            </w:pPr>
            <w:r>
              <w:rPr>
                <w:sz w:val="8"/>
                <w:szCs w:val="24"/>
              </w:rPr>
            </w:r>
          </w:p>
        </w:tc>
      </w:tr>
      <w:tr>
        <w:trPr>
          <w:cantSplit w:val="false"/>
        </w:trPr>
        <w:tc>
          <w:tcPr>
            <w:tcW w:type="dxa" w:w="835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 2013</w:t>
            </w:r>
          </w:p>
        </w:tc>
        <w:tc>
          <w:tcPr>
            <w:tcW w:type="dxa" w:w="1219"/>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22"/>
            <w:tcBorders>
              <w:top w:val="nil"/>
              <w:left w:val="nil"/>
              <w:bottom w:val="nil"/>
              <w:right w:val="nil"/>
            </w:tcBorders>
            <w:shd w:fill="auto" w:val="clear"/>
            <w:tcMar>
              <w:left w:type="dxa" w:w="144"/>
            </w:tcMar>
            <w:vAlign w:val="bottom"/>
          </w:tcPr>
          <w:p>
            <w:pPr>
              <w:pStyle w:val="style65"/>
              <w:ind w:hanging="0" w:left="144" w:right="101"/>
              <w:rPr/>
            </w:pPr>
            <w:r>
              <w:rPr/>
              <w:t> </w:t>
            </w:r>
          </w:p>
        </w:tc>
      </w:tr>
      <w:tr>
        <w:trPr>
          <w:trHeight w:hRule="atLeast" w:val="75"/>
          <w:cantSplit w:val="false"/>
        </w:trPr>
        <w:tc>
          <w:tcPr>
            <w:tcW w:type="dxa" w:w="8359"/>
            <w:tcBorders>
              <w:top w:val="nil"/>
              <w:left w:val="nil"/>
              <w:bottom w:val="nil"/>
              <w:right w:val="nil"/>
            </w:tcBorders>
            <w:shd w:fill="auto" w:val="clear"/>
            <w:vAlign w:val="center"/>
          </w:tcPr>
          <w:p>
            <w:pPr>
              <w:pStyle w:val="style0"/>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144" w:right="101"/>
              <w:rPr>
                <w:sz w:val="8"/>
                <w:szCs w:val="24"/>
              </w:rPr>
            </w:pPr>
            <w:r>
              <w:rPr>
                <w:sz w:val="8"/>
                <w:szCs w:val="24"/>
              </w:rPr>
            </w:r>
          </w:p>
        </w:tc>
        <w:tc>
          <w:tcPr>
            <w:tcW w:type="dxa" w:w="1222"/>
            <w:tcBorders>
              <w:top w:val="nil"/>
              <w:left w:val="nil"/>
              <w:bottom w:val="nil"/>
              <w:right w:val="nil"/>
            </w:tcBorders>
            <w:shd w:fill="auto" w:val="clear"/>
            <w:vAlign w:val="center"/>
          </w:tcPr>
          <w:p>
            <w:pPr>
              <w:pStyle w:val="style0"/>
              <w:ind w:hanging="0" w:left="144" w:right="101"/>
              <w:rPr>
                <w:sz w:val="8"/>
                <w:szCs w:val="24"/>
              </w:rPr>
            </w:pPr>
            <w:r>
              <w:rPr>
                <w:sz w:val="8"/>
                <w:szCs w:val="24"/>
              </w:rPr>
            </w:r>
          </w:p>
        </w:tc>
      </w:tr>
      <w:tr>
        <w:trPr>
          <w:cantSplit w:val="false"/>
        </w:trPr>
        <w:tc>
          <w:tcPr>
            <w:tcW w:type="dxa" w:w="835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Due in one year or less</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72"/>
              <w:contextualSpacing w:val="false"/>
              <w:rPr>
                <w:rFonts w:ascii="Arial" w:cs="Arial" w:hAnsi="Arial"/>
                <w:sz w:val="20"/>
                <w:szCs w:val="20"/>
              </w:rPr>
            </w:pPr>
            <w:r>
              <w:rPr>
                <w:rFonts w:ascii="Arial" w:cs="Arial" w:hAnsi="Arial"/>
                <w:sz w:val="20"/>
                <w:szCs w:val="20"/>
              </w:rPr>
              <w:t>$</w:t>
              <w:tab/>
              <w:t>26,386</w:t>
              <w:tab/>
              <w:t> </w:t>
            </w:r>
          </w:p>
        </w:tc>
        <w:tc>
          <w:tcPr>
            <w:tcW w:type="dxa" w:w="122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72"/>
              <w:contextualSpacing w:val="false"/>
              <w:rPr>
                <w:rFonts w:ascii="Arial" w:cs="Arial" w:hAnsi="Arial"/>
                <w:sz w:val="20"/>
                <w:szCs w:val="20"/>
              </w:rPr>
            </w:pPr>
            <w:r>
              <w:rPr>
                <w:rFonts w:ascii="Arial" w:cs="Arial" w:hAnsi="Arial"/>
                <w:sz w:val="20"/>
                <w:szCs w:val="20"/>
              </w:rPr>
              <w:t>$</w:t>
              <w:tab/>
              <w:t>26,412</w:t>
              <w:tab/>
              <w:t> </w:t>
            </w:r>
          </w:p>
        </w:tc>
      </w:tr>
      <w:tr>
        <w:trPr>
          <w:cantSplit w:val="false"/>
        </w:trPr>
        <w:tc>
          <w:tcPr>
            <w:tcW w:type="dxa" w:w="835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Due after one year through five years</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72"/>
              <w:contextualSpacing w:val="false"/>
              <w:rPr>
                <w:rFonts w:ascii="Arial" w:cs="Arial" w:hAnsi="Arial"/>
                <w:sz w:val="20"/>
                <w:szCs w:val="20"/>
              </w:rPr>
            </w:pPr>
            <w:r>
              <w:rPr>
                <w:rFonts w:ascii="Arial" w:cs="Arial" w:hAnsi="Arial"/>
                <w:sz w:val="20"/>
                <w:szCs w:val="20"/>
              </w:rPr>
              <w:tab/>
              <w:t>42,343</w:t>
              <w:tab/>
            </w:r>
          </w:p>
        </w:tc>
        <w:tc>
          <w:tcPr>
            <w:tcW w:type="dxa" w:w="122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72"/>
              <w:contextualSpacing w:val="false"/>
              <w:rPr>
                <w:rFonts w:ascii="Arial" w:cs="Arial" w:hAnsi="Arial"/>
                <w:sz w:val="20"/>
                <w:szCs w:val="20"/>
              </w:rPr>
            </w:pPr>
            <w:r>
              <w:rPr>
                <w:rFonts w:ascii="Arial" w:cs="Arial" w:hAnsi="Arial"/>
                <w:sz w:val="20"/>
                <w:szCs w:val="20"/>
              </w:rPr>
              <w:tab/>
              <w:t>42,400</w:t>
              <w:tab/>
            </w:r>
          </w:p>
        </w:tc>
      </w:tr>
      <w:tr>
        <w:trPr>
          <w:cantSplit w:val="false"/>
        </w:trPr>
        <w:tc>
          <w:tcPr>
            <w:tcW w:type="dxa" w:w="835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Due after five years through 10 years</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72"/>
              <w:contextualSpacing w:val="false"/>
              <w:rPr>
                <w:rFonts w:ascii="Arial" w:cs="Arial" w:hAnsi="Arial"/>
                <w:sz w:val="20"/>
                <w:szCs w:val="20"/>
              </w:rPr>
            </w:pPr>
            <w:r>
              <w:rPr>
                <w:rFonts w:ascii="Arial" w:cs="Arial" w:hAnsi="Arial"/>
                <w:sz w:val="20"/>
                <w:szCs w:val="20"/>
              </w:rPr>
              <w:tab/>
              <w:t>3,293</w:t>
              <w:tab/>
            </w:r>
          </w:p>
        </w:tc>
        <w:tc>
          <w:tcPr>
            <w:tcW w:type="dxa" w:w="122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72"/>
              <w:contextualSpacing w:val="false"/>
              <w:rPr>
                <w:rFonts w:ascii="Arial" w:cs="Arial" w:hAnsi="Arial"/>
                <w:sz w:val="20"/>
                <w:szCs w:val="20"/>
              </w:rPr>
            </w:pPr>
            <w:r>
              <w:rPr>
                <w:rFonts w:ascii="Arial" w:cs="Arial" w:hAnsi="Arial"/>
                <w:sz w:val="20"/>
                <w:szCs w:val="20"/>
              </w:rPr>
              <w:tab/>
              <w:t>3,303</w:t>
              <w:tab/>
            </w:r>
          </w:p>
        </w:tc>
      </w:tr>
      <w:tr>
        <w:trPr>
          <w:cantSplit w:val="false"/>
        </w:trPr>
        <w:tc>
          <w:tcPr>
            <w:tcW w:type="dxa" w:w="835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Due after 10 years</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72"/>
              <w:contextualSpacing w:val="false"/>
              <w:rPr>
                <w:rFonts w:ascii="Arial" w:cs="Arial" w:hAnsi="Arial"/>
                <w:sz w:val="20"/>
                <w:szCs w:val="20"/>
              </w:rPr>
            </w:pPr>
            <w:r>
              <w:rPr>
                <w:rFonts w:ascii="Arial" w:cs="Arial" w:hAnsi="Arial"/>
                <w:sz w:val="20"/>
                <w:szCs w:val="20"/>
              </w:rPr>
              <w:tab/>
              <w:t>2,010</w:t>
              <w:tab/>
            </w:r>
          </w:p>
        </w:tc>
        <w:tc>
          <w:tcPr>
            <w:tcW w:type="dxa" w:w="122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72"/>
              <w:contextualSpacing w:val="false"/>
              <w:rPr>
                <w:rFonts w:ascii="Arial" w:cs="Arial" w:hAnsi="Arial"/>
                <w:sz w:val="20"/>
                <w:szCs w:val="20"/>
              </w:rPr>
            </w:pPr>
            <w:r>
              <w:rPr>
                <w:rFonts w:ascii="Arial" w:cs="Arial" w:hAnsi="Arial"/>
                <w:sz w:val="20"/>
                <w:szCs w:val="20"/>
              </w:rPr>
              <w:tab/>
              <w:t>2,049</w:t>
              <w:tab/>
            </w:r>
          </w:p>
        </w:tc>
      </w:tr>
      <w:tr>
        <w:trPr>
          <w:cantSplit w:val="false"/>
        </w:trPr>
        <w:tc>
          <w:tcPr>
            <w:tcW w:type="dxa" w:w="9579"/>
            <w:gridSpan w:val="2"/>
            <w:tcBorders>
              <w:top w:val="nil"/>
              <w:left w:val="nil"/>
              <w:bottom w:val="nil"/>
              <w:right w:val="nil"/>
            </w:tcBorders>
            <w:shd w:fill="auto" w:val="clear"/>
            <w:tcMar>
              <w:left w:type="dxa" w:w="144"/>
            </w:tcMar>
            <w:vAlign w:val="bottom"/>
          </w:tcPr>
          <w:p>
            <w:pPr>
              <w:pStyle w:val="style59"/>
              <w:spacing w:after="0" w:before="20"/>
              <w:ind w:hanging="0" w:left="-207" w:right="72"/>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spacing w:after="0" w:before="20"/>
              <w:ind w:hanging="0" w:left="202" w:right="72"/>
              <w:contextualSpacing w:val="false"/>
              <w:rPr/>
            </w:pPr>
            <w:r>
              <w:rPr/>
              <w:t> </w:t>
            </w:r>
          </w:p>
        </w:tc>
      </w:tr>
      <w:tr>
        <w:trPr>
          <w:cantSplit w:val="false"/>
        </w:trPr>
        <w:tc>
          <w:tcPr>
            <w:tcW w:type="dxa" w:w="835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72"/>
              <w:contextualSpacing w:val="false"/>
              <w:rPr>
                <w:rFonts w:ascii="Arial" w:cs="Arial" w:hAnsi="Arial"/>
                <w:sz w:val="20"/>
                <w:szCs w:val="20"/>
              </w:rPr>
            </w:pPr>
            <w:r>
              <w:rPr>
                <w:rFonts w:ascii="Arial" w:cs="Arial" w:hAnsi="Arial"/>
                <w:sz w:val="20"/>
                <w:szCs w:val="20"/>
              </w:rPr>
              <w:t>$</w:t>
              <w:tab/>
              <w:t>  74,032</w:t>
              <w:tab/>
            </w:r>
          </w:p>
        </w:tc>
        <w:tc>
          <w:tcPr>
            <w:tcW w:type="dxa" w:w="122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72"/>
              <w:contextualSpacing w:val="false"/>
              <w:rPr>
                <w:rFonts w:ascii="Arial" w:cs="Arial" w:hAnsi="Arial"/>
                <w:sz w:val="20"/>
                <w:szCs w:val="20"/>
              </w:rPr>
            </w:pPr>
            <w:r>
              <w:rPr>
                <w:rFonts w:ascii="Arial" w:cs="Arial" w:hAnsi="Arial"/>
                <w:sz w:val="20"/>
                <w:szCs w:val="20"/>
              </w:rPr>
              <w:t>$</w:t>
              <w:tab/>
              <w:t>  74,164</w:t>
              <w:tab/>
            </w:r>
          </w:p>
        </w:tc>
      </w:tr>
      <w:tr>
        <w:trPr>
          <w:cantSplit w:val="false"/>
        </w:trPr>
        <w:tc>
          <w:tcPr>
            <w:tcW w:type="dxa" w:w="8359"/>
            <w:tcBorders>
              <w:top w:val="nil"/>
              <w:left w:val="nil"/>
              <w:bottom w:val="nil"/>
              <w:right w:val="nil"/>
            </w:tcBorders>
            <w:shd w:fill="auto" w:val="clear"/>
            <w:tcMar>
              <w:left w:type="dxa" w:w="144"/>
            </w:tcMar>
            <w:vAlign w:val="bottom"/>
          </w:tcPr>
          <w:p>
            <w:pPr>
              <w:pStyle w:val="style65"/>
              <w:rPr/>
            </w:pPr>
            <w:r>
              <w:rPr/>
              <w:t> </w:t>
            </w:r>
          </w:p>
        </w:tc>
        <w:tc>
          <w:tcPr>
            <w:tcW w:type="dxa" w:w="1219"/>
            <w:tcBorders>
              <w:top w:val="nil"/>
              <w:left w:val="nil"/>
              <w:bottom w:val="nil"/>
              <w:right w:val="nil"/>
            </w:tcBorders>
            <w:shd w:fill="auto" w:val="clear"/>
            <w:tcMar>
              <w:left w:type="dxa" w:w="144"/>
            </w:tcMar>
            <w:vAlign w:val="bottom"/>
          </w:tcPr>
          <w:p>
            <w:pPr>
              <w:pStyle w:val="style63"/>
              <w:spacing w:after="0" w:before="20"/>
              <w:ind w:hanging="0" w:left="202" w:right="72"/>
              <w:contextualSpacing w:val="false"/>
              <w:rPr/>
            </w:pPr>
            <w:r>
              <w:rPr/>
              <w:t> </w:t>
            </w:r>
          </w:p>
        </w:tc>
        <w:tc>
          <w:tcPr>
            <w:tcW w:type="dxa" w:w="1222"/>
            <w:tcBorders>
              <w:top w:val="nil"/>
              <w:left w:val="nil"/>
              <w:bottom w:val="nil"/>
              <w:right w:val="nil"/>
            </w:tcBorders>
            <w:shd w:fill="auto" w:val="clear"/>
            <w:tcMar>
              <w:left w:type="dxa" w:w="144"/>
            </w:tcMar>
            <w:vAlign w:val="bottom"/>
          </w:tcPr>
          <w:p>
            <w:pPr>
              <w:pStyle w:val="style63"/>
              <w:spacing w:after="0" w:before="20"/>
              <w:ind w:hanging="0" w:left="202" w:right="72"/>
              <w:contextualSpacing w:val="false"/>
              <w:rPr/>
            </w:pPr>
            <w:r>
              <w:rPr/>
              <w:t> </w:t>
            </w:r>
          </w:p>
        </w:tc>
      </w:tr>
    </w:tbl>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5 — DERIVATIVES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use derivative instruments to manage risks related to foreign currencies, equity prices, interest rates, and credit; to enhance investment returns; and to facilitate portfolio diversification. Our objectives for holding derivatives include reducing, eliminating, and efficiently managing the economic impact of these exposures as effectively as possible.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derivative programs include strategies that both qualify and do not qualify for hedge accounting treatment. All notional amounts presented below are measured in U.S. dollar equivalents.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Foreign Currency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Certain forecasted transactions, assets, and liabilities are exposed to foreign currency risk. We monitor our foreign currency exposures daily to maximize the economic effectiveness of our foreign currency hedge positions. Option and forward contracts are used to hedge a portion of forecasted international revenue for up to three years in the future and are designated as cash flow hedging instruments. Principal currencies hedged include the euro, Japanese yen, British pound, and Canadian dollar. As of June 30, 2013 and June 30, 2012, the total notional amounts of these foreign exchange contracts sold were $5.1 billion and $6.7 billion, respectively.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Foreign currency risks related to certain non-U.S. dollar denominated securities are hedged using foreign exchange forward contracts that are designated as fair value hedging instruments. As of June 30, 2013 and June 30, 2012, the total notional amounts of these foreign exchange contracts sold were $407 million and $1.3 billion, respectively.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Certain options and forwards not designated as hedging instruments are also used to manage the variability in exchange rates on accounts receivable, cash, and intercompany positions, and to manage other foreign currency exposures. As of June 30, 2013, the total notional amounts of these foreign exchange contracts purchased and sold were $5.0 billion and $7.9 billion, respectively. As of June 30, 2012, the total notional amounts of these foreign exchange contracts purchased and sold were $3.6 billion and $7.3 billion, respectively.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Equity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Securities held in our equity and other investments portfolio are subject to market price risk. Market price risk is managed relative to broad-based global and domestic equity indices using certain convertible preferred investments, options, futures, and swap contracts not designated as hedging instruments. From time to time, to hedge our price risk, we may use and designate equity derivatives as hedging instruments, including puts, calls, swaps, and forwards. As of June 30, 2013, the total notional amounts of designated and non-designated equity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contracts purchased and sold were $898 million and $1.0 billion, respectively. As of June 30, 2012, the total notional amounts of designated and non-designated equity contracts purchased and sold were $1.4 billion and $982 million, respectively.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Interest Rate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Securities held in our fixed-income portfolio are subject to different interest rate risks based on their maturities. We manage the average maturity of our fixed-income portfolio to achieve economic returns that correlate to certain broad-based fixed-income indices using exchange-traded option and futures contracts and over-the-counter swap and option contracts, none of which are designated as hedging instruments. As of June 30, 2013, the total notional amounts of fixed-interest rate contracts purchased and sold were $1.1 billion and $809 million, respectively. As of June 30, 2012, the total notional amounts of fixed-interest rate contracts purchased and sold were $3.2 billion and $1.9 billion, respectively.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addition, we use “To Be Announced” forward purchase commitments of mortgage-backed assets to gain exposure to agency mortgage-backed securities. These meet the definition of a derivative instrument in cases where physical delivery of the assets is not taken at the earliest available delivery date. As of June 30, 2013 and 2012, the total notional derivative amounts of mortgage contracts purchased were $1.2 billion and $1.1 billion, respectively.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Credit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fixed-income portfolio is diversified and consists primarily of investment-grade securities. We use credit default swap contracts, not designated as hedging instruments, to manage credit exposures relative to broad-based indices and to facilitate portfolio diversification. We use credit default swaps as they are a low cost method of managing exposure to individual credit risks or groups of credit risks. As of June 30, 2013, the total notional amounts of credit contracts purchased and sold were $377 million and $501 million, respectively. As of June 30, 2012, the total notional amounts of credit contracts purchased and sold were $318 million and $456 million, respectively.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Commodity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use broad-based commodity exposures to enhance portfolio returns and to facilitate portfolio diversification. We use swaps, futures, and option contracts, not designated as hedging instruments, to generate and manage exposures to broad-based commodity indices. We use derivatives on commodities as they can be low-cost alternatives to the purchase and storage of a variety of commodities, including, but not limited to, precious metals, energy, and grain. As of June 30, 2013, the total notional amounts of commodity contracts purchased and sold were $1.2 billion and $249 million, respectively. As of June 30, 2012, the total notional amounts of commodity contracts purchased and sold were $1.5 billion and $445 million, respectively.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Credit-Risk-Related Contingent Features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Certain of our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similar to the standard convention related to over-the-counter derivatives. As of June 30, 2013, our long-term unsecured debt rating was AAA, and cash investments were in excess of $1.0 billion. As a result, no collateral was required to be posted.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Fair Values of Derivative Instruments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following tables present the gross fair values of derivative instruments designated as hedging instruments (“designated hedge derivatives”) and not designated as hedging instruments (“non-designated hedge derivatives”). The fair values exclude the impact of netting derivative assets and liabilities when a legally enforceable master netting agreement exists and fair value adjustments related to our own credit risk and counterparty credit risk: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3593"/>
        <w:gridCol w:w="1150"/>
        <w:gridCol w:w="1150"/>
        <w:gridCol w:w="1150"/>
        <w:gridCol w:w="1150"/>
        <w:gridCol w:w="1331"/>
        <w:gridCol w:w="1275"/>
      </w:tblGrid>
      <w:tr>
        <w:trPr>
          <w:tblHeader w:val="true"/>
          <w:cantSplit w:val="false"/>
        </w:trPr>
        <w:tc>
          <w:tcPr>
            <w:tcW w:type="dxa" w:w="3593"/>
            <w:tcBorders>
              <w:top w:val="nil"/>
              <w:left w:val="nil"/>
              <w:bottom w:val="nil"/>
              <w:right w:val="nil"/>
            </w:tcBorders>
            <w:shd w:fill="auto" w:val="clear"/>
            <w:vAlign w:val="center"/>
          </w:tcPr>
          <w:p>
            <w:pPr>
              <w:pStyle w:val="style0"/>
              <w:rPr>
                <w:sz w:val="1"/>
                <w:szCs w:val="24"/>
              </w:rPr>
            </w:pPr>
            <w:r>
              <w:rPr>
                <w:sz w:val="1"/>
                <w:szCs w:val="24"/>
              </w:rPr>
            </w:r>
          </w:p>
        </w:tc>
        <w:tc>
          <w:tcPr>
            <w:tcW w:type="dxa" w:w="1150"/>
            <w:tcBorders>
              <w:top w:val="nil"/>
              <w:left w:val="nil"/>
              <w:bottom w:val="nil"/>
              <w:right w:val="nil"/>
            </w:tcBorders>
            <w:shd w:fill="auto" w:val="clear"/>
            <w:vAlign w:val="center"/>
          </w:tcPr>
          <w:p>
            <w:pPr>
              <w:pStyle w:val="style0"/>
              <w:rPr>
                <w:sz w:val="1"/>
                <w:szCs w:val="24"/>
              </w:rPr>
            </w:pPr>
            <w:r>
              <w:rPr>
                <w:sz w:val="1"/>
                <w:szCs w:val="24"/>
              </w:rPr>
            </w:r>
          </w:p>
        </w:tc>
        <w:tc>
          <w:tcPr>
            <w:tcW w:type="dxa" w:w="1150"/>
            <w:tcBorders>
              <w:top w:val="nil"/>
              <w:left w:val="nil"/>
              <w:bottom w:val="nil"/>
              <w:right w:val="nil"/>
            </w:tcBorders>
            <w:shd w:fill="auto" w:val="clear"/>
            <w:vAlign w:val="center"/>
          </w:tcPr>
          <w:p>
            <w:pPr>
              <w:pStyle w:val="style0"/>
              <w:rPr>
                <w:sz w:val="1"/>
                <w:szCs w:val="24"/>
              </w:rPr>
            </w:pPr>
            <w:r>
              <w:rPr>
                <w:sz w:val="1"/>
                <w:szCs w:val="24"/>
              </w:rPr>
            </w:r>
          </w:p>
        </w:tc>
        <w:tc>
          <w:tcPr>
            <w:tcW w:type="dxa" w:w="1150"/>
            <w:tcBorders>
              <w:top w:val="nil"/>
              <w:left w:val="nil"/>
              <w:bottom w:val="nil"/>
              <w:right w:val="nil"/>
            </w:tcBorders>
            <w:shd w:fill="auto" w:val="clear"/>
            <w:vAlign w:val="center"/>
          </w:tcPr>
          <w:p>
            <w:pPr>
              <w:pStyle w:val="style0"/>
              <w:rPr>
                <w:sz w:val="1"/>
                <w:szCs w:val="24"/>
              </w:rPr>
            </w:pPr>
            <w:r>
              <w:rPr>
                <w:sz w:val="1"/>
                <w:szCs w:val="24"/>
              </w:rPr>
            </w:r>
          </w:p>
        </w:tc>
        <w:tc>
          <w:tcPr>
            <w:tcW w:type="dxa" w:w="1150"/>
            <w:tcBorders>
              <w:top w:val="nil"/>
              <w:left w:val="nil"/>
              <w:bottom w:val="nil"/>
              <w:right w:val="nil"/>
            </w:tcBorders>
            <w:shd w:fill="auto" w:val="clear"/>
            <w:vAlign w:val="center"/>
          </w:tcPr>
          <w:p>
            <w:pPr>
              <w:pStyle w:val="style0"/>
              <w:rPr>
                <w:sz w:val="1"/>
                <w:szCs w:val="24"/>
              </w:rPr>
            </w:pPr>
            <w:r>
              <w:rPr>
                <w:sz w:val="1"/>
                <w:szCs w:val="24"/>
              </w:rPr>
            </w:r>
          </w:p>
        </w:tc>
        <w:tc>
          <w:tcPr>
            <w:tcW w:type="dxa" w:w="1331"/>
            <w:tcBorders>
              <w:top w:val="nil"/>
              <w:left w:val="nil"/>
              <w:bottom w:val="nil"/>
              <w:right w:val="nil"/>
            </w:tcBorders>
            <w:shd w:fill="auto" w:val="clear"/>
            <w:vAlign w:val="center"/>
          </w:tcPr>
          <w:p>
            <w:pPr>
              <w:pStyle w:val="style0"/>
              <w:rPr>
                <w:sz w:val="1"/>
                <w:szCs w:val="24"/>
              </w:rPr>
            </w:pPr>
            <w:r>
              <w:rPr>
                <w:sz w:val="1"/>
                <w:szCs w:val="24"/>
              </w:rPr>
            </w:r>
          </w:p>
        </w:tc>
        <w:tc>
          <w:tcPr>
            <w:tcW w:type="dxa" w:w="1275"/>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3593"/>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150"/>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Foreign</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Exchange</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Contracts</w:t>
            </w:r>
          </w:p>
        </w:tc>
        <w:tc>
          <w:tcPr>
            <w:tcW w:type="dxa" w:w="1150"/>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Equity</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Contracts</w:t>
            </w:r>
          </w:p>
        </w:tc>
        <w:tc>
          <w:tcPr>
            <w:tcW w:type="dxa" w:w="1150"/>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Interest</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Rate</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Contracts</w:t>
            </w:r>
          </w:p>
        </w:tc>
        <w:tc>
          <w:tcPr>
            <w:tcW w:type="dxa" w:w="1150"/>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Credit</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Contracts</w:t>
            </w:r>
          </w:p>
        </w:tc>
        <w:tc>
          <w:tcPr>
            <w:tcW w:type="dxa" w:w="1331"/>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Commodity</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Contracts</w:t>
            </w:r>
          </w:p>
        </w:tc>
        <w:tc>
          <w:tcPr>
            <w:tcW w:type="dxa" w:w="1275"/>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Total</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Derivatives</w:t>
            </w:r>
          </w:p>
        </w:tc>
      </w:tr>
      <w:tr>
        <w:trPr>
          <w:cantSplit w:val="false"/>
        </w:trPr>
        <w:tc>
          <w:tcPr>
            <w:tcW w:type="dxa" w:w="10799"/>
            <w:gridSpan w:val="7"/>
            <w:tcBorders>
              <w:top w:val="nil"/>
              <w:left w:val="nil"/>
              <w:bottom w:val="nil"/>
              <w:right w:val="nil"/>
            </w:tcBorders>
            <w:shd w:fill="auto" w:val="clear"/>
            <w:tcMar>
              <w:left w:type="dxa" w:w="144"/>
            </w:tcMar>
            <w:vAlign w:val="bottom"/>
          </w:tcPr>
          <w:p>
            <w:pPr>
              <w:pStyle w:val="style59"/>
              <w:spacing w:after="0" w:before="20"/>
              <w:ind w:hanging="0" w:left="-432" w:right="86"/>
              <w:contextualSpacing w:val="false"/>
              <w:rPr/>
            </w:pPr>
            <w:r>
              <w:rPr/>
              <w:t> </w:t>
            </w:r>
          </w:p>
        </w:tc>
      </w:tr>
      <w:tr>
        <w:trPr>
          <w:trHeight w:hRule="atLeast" w:val="75"/>
          <w:cantSplit w:val="false"/>
        </w:trPr>
        <w:tc>
          <w:tcPr>
            <w:tcW w:type="dxa" w:w="3593"/>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331"/>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275"/>
            <w:tcBorders>
              <w:top w:val="nil"/>
              <w:left w:val="nil"/>
              <w:bottom w:val="nil"/>
              <w:right w:val="nil"/>
            </w:tcBorders>
            <w:shd w:fill="auto" w:val="clear"/>
            <w:vAlign w:val="center"/>
          </w:tcPr>
          <w:p>
            <w:pPr>
              <w:pStyle w:val="style0"/>
              <w:ind w:hanging="0" w:left="0" w:right="86"/>
              <w:rPr>
                <w:sz w:val="8"/>
                <w:szCs w:val="24"/>
              </w:rPr>
            </w:pPr>
            <w:r>
              <w:rPr>
                <w:sz w:val="8"/>
                <w:szCs w:val="24"/>
              </w:rPr>
            </w:r>
          </w:p>
        </w:tc>
      </w:tr>
      <w:tr>
        <w:trPr>
          <w:cantSplit w:val="false"/>
        </w:trPr>
        <w:tc>
          <w:tcPr>
            <w:tcW w:type="dxa" w:w="3593"/>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 2013</w:t>
            </w:r>
          </w:p>
        </w:tc>
        <w:tc>
          <w:tcPr>
            <w:tcW w:type="dxa" w:w="115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331"/>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275"/>
            <w:tcBorders>
              <w:top w:val="nil"/>
              <w:left w:val="nil"/>
              <w:bottom w:val="nil"/>
              <w:right w:val="nil"/>
            </w:tcBorders>
            <w:shd w:fill="auto" w:val="clear"/>
            <w:tcMar>
              <w:left w:type="dxa" w:w="144"/>
            </w:tcMar>
            <w:vAlign w:val="bottom"/>
          </w:tcPr>
          <w:p>
            <w:pPr>
              <w:pStyle w:val="style65"/>
              <w:ind w:hanging="0" w:left="0" w:right="86"/>
              <w:rPr/>
            </w:pPr>
            <w:r>
              <w:rPr/>
              <w:t> </w:t>
            </w:r>
          </w:p>
        </w:tc>
      </w:tr>
      <w:tr>
        <w:trPr>
          <w:trHeight w:hRule="atLeast" w:val="75"/>
          <w:cantSplit w:val="false"/>
        </w:trPr>
        <w:tc>
          <w:tcPr>
            <w:tcW w:type="dxa" w:w="3593"/>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331"/>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275"/>
            <w:tcBorders>
              <w:top w:val="nil"/>
              <w:left w:val="nil"/>
              <w:bottom w:val="nil"/>
              <w:right w:val="nil"/>
            </w:tcBorders>
            <w:shd w:fill="auto" w:val="clear"/>
            <w:vAlign w:val="center"/>
          </w:tcPr>
          <w:p>
            <w:pPr>
              <w:pStyle w:val="style0"/>
              <w:ind w:hanging="0" w:left="0" w:right="86"/>
              <w:rPr>
                <w:sz w:val="8"/>
                <w:szCs w:val="24"/>
              </w:rPr>
            </w:pPr>
            <w:r>
              <w:rPr>
                <w:sz w:val="8"/>
                <w:szCs w:val="24"/>
              </w:rPr>
            </w:r>
          </w:p>
        </w:tc>
      </w:tr>
      <w:tr>
        <w:trPr>
          <w:cantSplit w:val="false"/>
        </w:trPr>
        <w:tc>
          <w:tcPr>
            <w:tcW w:type="dxa" w:w="3593"/>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Assets</w:t>
            </w:r>
          </w:p>
        </w:tc>
        <w:tc>
          <w:tcPr>
            <w:tcW w:type="dxa" w:w="115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331"/>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275"/>
            <w:tcBorders>
              <w:top w:val="nil"/>
              <w:left w:val="nil"/>
              <w:bottom w:val="nil"/>
              <w:right w:val="nil"/>
            </w:tcBorders>
            <w:shd w:fill="auto" w:val="clear"/>
            <w:tcMar>
              <w:left w:type="dxa" w:w="144"/>
            </w:tcMar>
            <w:vAlign w:val="bottom"/>
          </w:tcPr>
          <w:p>
            <w:pPr>
              <w:pStyle w:val="style65"/>
              <w:ind w:hanging="0" w:left="0" w:right="86"/>
              <w:rPr/>
            </w:pPr>
            <w:r>
              <w:rPr/>
              <w:t> </w:t>
            </w:r>
          </w:p>
        </w:tc>
      </w:tr>
      <w:tr>
        <w:trPr>
          <w:trHeight w:hRule="atLeast" w:val="75"/>
          <w:cantSplit w:val="false"/>
        </w:trPr>
        <w:tc>
          <w:tcPr>
            <w:tcW w:type="dxa" w:w="3593"/>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331"/>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275"/>
            <w:tcBorders>
              <w:top w:val="nil"/>
              <w:left w:val="nil"/>
              <w:bottom w:val="nil"/>
              <w:right w:val="nil"/>
            </w:tcBorders>
            <w:shd w:fill="auto" w:val="clear"/>
            <w:vAlign w:val="center"/>
          </w:tcPr>
          <w:p>
            <w:pPr>
              <w:pStyle w:val="style0"/>
              <w:ind w:hanging="0" w:left="0" w:right="86"/>
              <w:rPr>
                <w:sz w:val="8"/>
                <w:szCs w:val="24"/>
              </w:rPr>
            </w:pPr>
            <w:r>
              <w:rPr>
                <w:sz w:val="8"/>
                <w:szCs w:val="24"/>
              </w:rPr>
            </w:r>
          </w:p>
        </w:tc>
      </w:tr>
      <w:tr>
        <w:trPr>
          <w:cantSplit w:val="false"/>
        </w:trPr>
        <w:tc>
          <w:tcPr>
            <w:tcW w:type="dxa" w:w="3593"/>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Non-designated hedge derivatives:</w:t>
            </w:r>
          </w:p>
        </w:tc>
        <w:tc>
          <w:tcPr>
            <w:tcW w:type="dxa" w:w="115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331"/>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275"/>
            <w:tcBorders>
              <w:top w:val="nil"/>
              <w:left w:val="nil"/>
              <w:bottom w:val="nil"/>
              <w:right w:val="nil"/>
            </w:tcBorders>
            <w:shd w:fill="auto" w:val="clear"/>
            <w:tcMar>
              <w:left w:type="dxa" w:w="144"/>
            </w:tcMar>
            <w:vAlign w:val="bottom"/>
          </w:tcPr>
          <w:p>
            <w:pPr>
              <w:pStyle w:val="style65"/>
              <w:ind w:hanging="0" w:left="0" w:right="86"/>
              <w:rPr/>
            </w:pPr>
            <w:r>
              <w:rPr/>
              <w:t> </w:t>
            </w:r>
          </w:p>
        </w:tc>
      </w:tr>
      <w:tr>
        <w:trPr>
          <w:cantSplit w:val="false"/>
        </w:trPr>
        <w:tc>
          <w:tcPr>
            <w:tcW w:type="dxa" w:w="3593"/>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Short-term investments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w:t>
              <w:tab/>
              <w:t>      41</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86"/>
              <w:contextualSpacing w:val="false"/>
              <w:rPr>
                <w:rFonts w:ascii="Arial" w:cs="Arial" w:hAnsi="Arial"/>
                <w:b/>
                <w:bCs/>
                <w:sz w:val="20"/>
                <w:szCs w:val="20"/>
              </w:rPr>
            </w:pPr>
            <w:r>
              <w:rPr>
                <w:rFonts w:ascii="Arial" w:cs="Arial" w:hAnsi="Arial"/>
                <w:b/>
                <w:bCs/>
                <w:sz w:val="20"/>
                <w:szCs w:val="20"/>
              </w:rPr>
              <w:t>$</w:t>
              <w:tab/>
              <w:t>  157</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   18</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   19</w:t>
              <w:tab/>
            </w:r>
          </w:p>
        </w:tc>
        <w:tc>
          <w:tcPr>
            <w:tcW w:type="dxa" w:w="1331"/>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05" w:right="101"/>
              <w:contextualSpacing w:val="false"/>
              <w:rPr>
                <w:rFonts w:ascii="Arial" w:cs="Arial" w:hAnsi="Arial"/>
                <w:b/>
                <w:bCs/>
                <w:sz w:val="20"/>
                <w:szCs w:val="20"/>
              </w:rPr>
            </w:pPr>
            <w:r>
              <w:rPr>
                <w:rFonts w:ascii="Arial" w:cs="Arial" w:hAnsi="Arial"/>
                <w:b/>
                <w:bCs/>
                <w:sz w:val="20"/>
                <w:szCs w:val="20"/>
              </w:rPr>
              <w:t>$</w:t>
              <w:tab/>
              <w:t>   3</w:t>
              <w:tab/>
            </w:r>
          </w:p>
        </w:tc>
        <w:tc>
          <w:tcPr>
            <w:tcW w:type="dxa" w:w="1275"/>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w:t>
              <w:tab/>
              <w:t>   238</w:t>
              <w:tab/>
            </w:r>
          </w:p>
        </w:tc>
      </w:tr>
      <w:tr>
        <w:trPr>
          <w:cantSplit w:val="false"/>
        </w:trPr>
        <w:tc>
          <w:tcPr>
            <w:tcW w:type="dxa" w:w="3593"/>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Other current assets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87</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86"/>
              <w:contextualSpacing w:val="false"/>
              <w:rPr>
                <w:rFonts w:ascii="Arial" w:cs="Arial" w:hAnsi="Arial"/>
                <w:b/>
                <w:bCs/>
                <w:sz w:val="20"/>
                <w:szCs w:val="20"/>
              </w:rPr>
            </w:pPr>
            <w:r>
              <w:rPr>
                <w:rFonts w:ascii="Arial" w:cs="Arial" w:hAnsi="Arial"/>
                <w:b/>
                <w:bCs/>
                <w:sz w:val="20"/>
                <w:szCs w:val="20"/>
              </w:rPr>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ab/>
              <w:t>0</w:t>
              <w:tab/>
            </w:r>
          </w:p>
        </w:tc>
        <w:tc>
          <w:tcPr>
            <w:tcW w:type="dxa" w:w="1331"/>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05" w:right="101"/>
              <w:contextualSpacing w:val="false"/>
              <w:rPr>
                <w:rFonts w:ascii="Arial" w:cs="Arial" w:hAnsi="Arial"/>
                <w:b/>
                <w:bCs/>
                <w:sz w:val="20"/>
                <w:szCs w:val="20"/>
              </w:rPr>
            </w:pPr>
            <w:r>
              <w:rPr>
                <w:rFonts w:ascii="Arial" w:cs="Arial" w:hAnsi="Arial"/>
                <w:b/>
                <w:bCs/>
                <w:sz w:val="20"/>
                <w:szCs w:val="20"/>
              </w:rPr>
              <w:tab/>
              <w:t>0</w:t>
              <w:tab/>
            </w:r>
          </w:p>
        </w:tc>
        <w:tc>
          <w:tcPr>
            <w:tcW w:type="dxa" w:w="1275"/>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ab/>
              <w:t>87</w:t>
              <w:tab/>
            </w:r>
          </w:p>
        </w:tc>
      </w:tr>
      <w:tr>
        <w:trPr>
          <w:cantSplit w:val="false"/>
        </w:trPr>
        <w:tc>
          <w:tcPr>
            <w:tcW w:type="dxa" w:w="4744"/>
            <w:gridSpan w:val="2"/>
            <w:tcBorders>
              <w:top w:val="nil"/>
              <w:left w:val="nil"/>
              <w:bottom w:val="nil"/>
              <w:right w:val="nil"/>
            </w:tcBorders>
            <w:shd w:fill="auto" w:val="clear"/>
            <w:vAlign w:val="bottom"/>
          </w:tcPr>
          <w:p>
            <w:pPr>
              <w:pStyle w:val="style59"/>
              <w:spacing w:after="0" w:before="20"/>
              <w:ind w:hanging="0" w:left="-432"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288" w:right="86"/>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432" w:right="86"/>
              <w:contextualSpacing w:val="false"/>
              <w:rPr/>
            </w:pPr>
            <w:r>
              <w:rPr/>
              <w:t> </w:t>
            </w:r>
          </w:p>
        </w:tc>
        <w:tc>
          <w:tcPr>
            <w:tcW w:type="dxa" w:w="1151"/>
            <w:tcBorders>
              <w:top w:val="nil"/>
              <w:left w:val="nil"/>
              <w:bottom w:val="nil"/>
              <w:right w:val="nil"/>
            </w:tcBorders>
            <w:shd w:fill="auto" w:val="clear"/>
            <w:tcMar>
              <w:left w:type="dxa" w:w="144"/>
            </w:tcMar>
            <w:vAlign w:val="bottom"/>
          </w:tcPr>
          <w:p>
            <w:pPr>
              <w:pStyle w:val="style59"/>
              <w:spacing w:after="0" w:before="20"/>
              <w:ind w:hanging="0" w:left="432" w:right="86"/>
              <w:contextualSpacing w:val="false"/>
              <w:rPr/>
            </w:pPr>
            <w:r>
              <w:rPr/>
              <w:t> </w:t>
            </w:r>
          </w:p>
        </w:tc>
        <w:tc>
          <w:tcPr>
            <w:tcW w:type="dxa" w:w="1330"/>
            <w:tcBorders>
              <w:top w:val="nil"/>
              <w:left w:val="nil"/>
              <w:bottom w:val="nil"/>
              <w:right w:val="nil"/>
            </w:tcBorders>
            <w:shd w:fill="auto" w:val="clear"/>
            <w:tcMar>
              <w:left w:type="dxa" w:w="144"/>
            </w:tcMar>
            <w:vAlign w:val="bottom"/>
          </w:tcPr>
          <w:p>
            <w:pPr>
              <w:pStyle w:val="style59"/>
              <w:spacing w:after="0" w:before="20"/>
              <w:ind w:hanging="0" w:left="605" w:right="101"/>
              <w:contextualSpacing w:val="false"/>
              <w:rPr/>
            </w:pPr>
            <w:r>
              <w:rPr/>
              <w:t> </w:t>
            </w:r>
          </w:p>
        </w:tc>
        <w:tc>
          <w:tcPr>
            <w:tcW w:type="dxa" w:w="1274"/>
            <w:tcBorders>
              <w:top w:val="nil"/>
              <w:left w:val="nil"/>
              <w:bottom w:val="nil"/>
              <w:right w:val="nil"/>
            </w:tcBorders>
            <w:shd w:fill="auto" w:val="clear"/>
            <w:tcMar>
              <w:left w:type="dxa" w:w="144"/>
            </w:tcMar>
            <w:vAlign w:val="bottom"/>
          </w:tcPr>
          <w:p>
            <w:pPr>
              <w:pStyle w:val="style59"/>
              <w:spacing w:after="0" w:before="20"/>
              <w:ind w:hanging="0" w:left="360" w:right="101"/>
              <w:contextualSpacing w:val="false"/>
              <w:rPr/>
            </w:pPr>
            <w:r>
              <w:rPr/>
              <w:t> </w:t>
            </w:r>
          </w:p>
        </w:tc>
      </w:tr>
      <w:tr>
        <w:trPr>
          <w:cantSplit w:val="false"/>
        </w:trPr>
        <w:tc>
          <w:tcPr>
            <w:tcW w:type="dxa" w:w="3593"/>
            <w:tcBorders>
              <w:top w:val="nil"/>
              <w:left w:val="nil"/>
              <w:bottom w:val="nil"/>
              <w:right w:val="nil"/>
            </w:tcBorders>
            <w:shd w:fill="auto" w:val="clear"/>
          </w:tcPr>
          <w:p>
            <w:pPr>
              <w:pStyle w:val="style62"/>
              <w:spacing w:after="280" w:before="280"/>
              <w:ind w:hanging="240" w:left="1200" w:right="0"/>
              <w:contextualSpacing w:val="false"/>
              <w:rPr>
                <w:rFonts w:ascii="Arial" w:cs="Arial" w:hAnsi="Arial"/>
                <w:sz w:val="20"/>
                <w:szCs w:val="20"/>
              </w:rPr>
            </w:pPr>
            <w:r>
              <w:rPr>
                <w:rFonts w:ascii="Arial" w:cs="Arial" w:hAnsi="Arial"/>
                <w:sz w:val="20"/>
                <w:szCs w:val="20"/>
              </w:rPr>
              <w:t>Total</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w:t>
              <w:tab/>
              <w:t>128</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86"/>
              <w:contextualSpacing w:val="false"/>
              <w:rPr>
                <w:rFonts w:ascii="Arial" w:cs="Arial" w:hAnsi="Arial"/>
                <w:b/>
                <w:bCs/>
                <w:sz w:val="20"/>
                <w:szCs w:val="20"/>
              </w:rPr>
            </w:pPr>
            <w:r>
              <w:rPr>
                <w:rFonts w:ascii="Arial" w:cs="Arial" w:hAnsi="Arial"/>
                <w:b/>
                <w:bCs/>
                <w:sz w:val="20"/>
                <w:szCs w:val="20"/>
              </w:rPr>
              <w:t>$</w:t>
              <w:tab/>
              <w:t>157</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18</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19</w:t>
              <w:tab/>
            </w:r>
          </w:p>
        </w:tc>
        <w:tc>
          <w:tcPr>
            <w:tcW w:type="dxa" w:w="1331"/>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05" w:right="101"/>
              <w:contextualSpacing w:val="false"/>
              <w:rPr>
                <w:rFonts w:ascii="Arial" w:cs="Arial" w:hAnsi="Arial"/>
                <w:b/>
                <w:bCs/>
                <w:sz w:val="20"/>
                <w:szCs w:val="20"/>
              </w:rPr>
            </w:pPr>
            <w:r>
              <w:rPr>
                <w:rFonts w:ascii="Arial" w:cs="Arial" w:hAnsi="Arial"/>
                <w:b/>
                <w:bCs/>
                <w:sz w:val="20"/>
                <w:szCs w:val="20"/>
              </w:rPr>
              <w:t>$</w:t>
              <w:tab/>
              <w:t>3</w:t>
              <w:tab/>
            </w:r>
          </w:p>
        </w:tc>
        <w:tc>
          <w:tcPr>
            <w:tcW w:type="dxa" w:w="1275"/>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w:t>
              <w:tab/>
              <w:t>325</w:t>
              <w:tab/>
            </w:r>
          </w:p>
        </w:tc>
      </w:tr>
      <w:tr>
        <w:trPr>
          <w:cantSplit w:val="false"/>
        </w:trPr>
        <w:tc>
          <w:tcPr>
            <w:tcW w:type="dxa" w:w="3593"/>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Designated hedge derivatives:</w:t>
            </w:r>
          </w:p>
        </w:tc>
        <w:tc>
          <w:tcPr>
            <w:tcW w:type="dxa" w:w="1150"/>
            <w:tcBorders>
              <w:top w:val="nil"/>
              <w:left w:val="nil"/>
              <w:bottom w:val="nil"/>
              <w:right w:val="nil"/>
            </w:tcBorders>
            <w:shd w:fill="auto" w:val="clear"/>
            <w:tcMar>
              <w:left w:type="dxa" w:w="144"/>
            </w:tcMar>
            <w:vAlign w:val="bottom"/>
          </w:tcPr>
          <w:p>
            <w:pPr>
              <w:pStyle w:val="style65"/>
              <w:ind w:hanging="0" w:left="288"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288"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432"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432" w:right="86"/>
              <w:rPr/>
            </w:pPr>
            <w:r>
              <w:rPr/>
              <w:t> </w:t>
            </w:r>
          </w:p>
        </w:tc>
        <w:tc>
          <w:tcPr>
            <w:tcW w:type="dxa" w:w="1331"/>
            <w:tcBorders>
              <w:top w:val="nil"/>
              <w:left w:val="nil"/>
              <w:bottom w:val="nil"/>
              <w:right w:val="nil"/>
            </w:tcBorders>
            <w:shd w:fill="auto" w:val="clear"/>
            <w:tcMar>
              <w:left w:type="dxa" w:w="144"/>
            </w:tcMar>
            <w:vAlign w:val="bottom"/>
          </w:tcPr>
          <w:p>
            <w:pPr>
              <w:pStyle w:val="style65"/>
              <w:ind w:hanging="0" w:left="605" w:right="101"/>
              <w:rPr/>
            </w:pPr>
            <w:r>
              <w:rPr/>
              <w:t> </w:t>
            </w:r>
          </w:p>
        </w:tc>
        <w:tc>
          <w:tcPr>
            <w:tcW w:type="dxa" w:w="1275"/>
            <w:tcBorders>
              <w:top w:val="nil"/>
              <w:left w:val="nil"/>
              <w:bottom w:val="nil"/>
              <w:right w:val="nil"/>
            </w:tcBorders>
            <w:shd w:fill="auto" w:val="clear"/>
            <w:tcMar>
              <w:left w:type="dxa" w:w="144"/>
            </w:tcMar>
            <w:vAlign w:val="bottom"/>
          </w:tcPr>
          <w:p>
            <w:pPr>
              <w:pStyle w:val="style65"/>
              <w:ind w:hanging="0" w:left="360" w:right="101"/>
              <w:rPr/>
            </w:pPr>
            <w:r>
              <w:rPr/>
              <w:t> </w:t>
            </w:r>
          </w:p>
        </w:tc>
      </w:tr>
      <w:tr>
        <w:trPr>
          <w:cantSplit w:val="false"/>
        </w:trPr>
        <w:tc>
          <w:tcPr>
            <w:tcW w:type="dxa" w:w="3593"/>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Short-term investments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w:t>
              <w:tab/>
              <w:t>9</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86"/>
              <w:contextualSpacing w:val="false"/>
              <w:rPr>
                <w:rFonts w:ascii="Arial" w:cs="Arial" w:hAnsi="Arial"/>
                <w:b/>
                <w:bCs/>
                <w:sz w:val="20"/>
                <w:szCs w:val="20"/>
              </w:rPr>
            </w:pPr>
            <w:r>
              <w:rPr>
                <w:rFonts w:ascii="Arial" w:cs="Arial" w:hAnsi="Arial"/>
                <w:b/>
                <w:bCs/>
                <w:sz w:val="20"/>
                <w:szCs w:val="20"/>
              </w:rPr>
              <w:t>$</w:t>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0</w:t>
              <w:tab/>
            </w:r>
          </w:p>
        </w:tc>
        <w:tc>
          <w:tcPr>
            <w:tcW w:type="dxa" w:w="1331"/>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05" w:right="101"/>
              <w:contextualSpacing w:val="false"/>
              <w:rPr>
                <w:rFonts w:ascii="Arial" w:cs="Arial" w:hAnsi="Arial"/>
                <w:b/>
                <w:bCs/>
                <w:sz w:val="20"/>
                <w:szCs w:val="20"/>
              </w:rPr>
            </w:pPr>
            <w:r>
              <w:rPr>
                <w:rFonts w:ascii="Arial" w:cs="Arial" w:hAnsi="Arial"/>
                <w:b/>
                <w:bCs/>
                <w:sz w:val="20"/>
                <w:szCs w:val="20"/>
              </w:rPr>
              <w:t>$</w:t>
              <w:tab/>
              <w:t>0</w:t>
              <w:tab/>
            </w:r>
          </w:p>
        </w:tc>
        <w:tc>
          <w:tcPr>
            <w:tcW w:type="dxa" w:w="1275"/>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w:t>
              <w:tab/>
              <w:t>9</w:t>
              <w:tab/>
            </w:r>
          </w:p>
        </w:tc>
      </w:tr>
      <w:tr>
        <w:trPr>
          <w:cantSplit w:val="false"/>
        </w:trPr>
        <w:tc>
          <w:tcPr>
            <w:tcW w:type="dxa" w:w="3593"/>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Other current assets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ab/>
              <w:t>167</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86"/>
              <w:contextualSpacing w:val="false"/>
              <w:rPr>
                <w:rFonts w:ascii="Arial" w:cs="Arial" w:hAnsi="Arial"/>
                <w:b/>
                <w:bCs/>
                <w:sz w:val="20"/>
                <w:szCs w:val="20"/>
              </w:rPr>
            </w:pPr>
            <w:r>
              <w:rPr>
                <w:rFonts w:ascii="Arial" w:cs="Arial" w:hAnsi="Arial"/>
                <w:b/>
                <w:bCs/>
                <w:sz w:val="20"/>
                <w:szCs w:val="20"/>
              </w:rPr>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ab/>
              <w:t>0</w:t>
              <w:tab/>
            </w:r>
          </w:p>
        </w:tc>
        <w:tc>
          <w:tcPr>
            <w:tcW w:type="dxa" w:w="1331"/>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05" w:right="101"/>
              <w:contextualSpacing w:val="false"/>
              <w:rPr>
                <w:rFonts w:ascii="Arial" w:cs="Arial" w:hAnsi="Arial"/>
                <w:b/>
                <w:bCs/>
                <w:sz w:val="20"/>
                <w:szCs w:val="20"/>
              </w:rPr>
            </w:pPr>
            <w:r>
              <w:rPr>
                <w:rFonts w:ascii="Arial" w:cs="Arial" w:hAnsi="Arial"/>
                <w:b/>
                <w:bCs/>
                <w:sz w:val="20"/>
                <w:szCs w:val="20"/>
              </w:rPr>
              <w:tab/>
              <w:t>0</w:t>
              <w:tab/>
            </w:r>
          </w:p>
        </w:tc>
        <w:tc>
          <w:tcPr>
            <w:tcW w:type="dxa" w:w="1275"/>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ab/>
              <w:t>167</w:t>
              <w:tab/>
            </w:r>
          </w:p>
        </w:tc>
      </w:tr>
      <w:tr>
        <w:trPr>
          <w:cantSplit w:val="false"/>
        </w:trPr>
        <w:tc>
          <w:tcPr>
            <w:tcW w:type="dxa" w:w="4744"/>
            <w:gridSpan w:val="2"/>
            <w:tcBorders>
              <w:top w:val="nil"/>
              <w:left w:val="nil"/>
              <w:bottom w:val="nil"/>
              <w:right w:val="nil"/>
            </w:tcBorders>
            <w:shd w:fill="auto" w:val="clear"/>
            <w:vAlign w:val="bottom"/>
          </w:tcPr>
          <w:p>
            <w:pPr>
              <w:pStyle w:val="style59"/>
              <w:spacing w:after="0" w:before="20"/>
              <w:ind w:hanging="0" w:left="-432"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288" w:right="86"/>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432" w:right="86"/>
              <w:contextualSpacing w:val="false"/>
              <w:rPr/>
            </w:pPr>
            <w:r>
              <w:rPr/>
              <w:t> </w:t>
            </w:r>
          </w:p>
        </w:tc>
        <w:tc>
          <w:tcPr>
            <w:tcW w:type="dxa" w:w="1151"/>
            <w:tcBorders>
              <w:top w:val="nil"/>
              <w:left w:val="nil"/>
              <w:bottom w:val="nil"/>
              <w:right w:val="nil"/>
            </w:tcBorders>
            <w:shd w:fill="auto" w:val="clear"/>
            <w:tcMar>
              <w:left w:type="dxa" w:w="144"/>
            </w:tcMar>
            <w:vAlign w:val="bottom"/>
          </w:tcPr>
          <w:p>
            <w:pPr>
              <w:pStyle w:val="style59"/>
              <w:spacing w:after="0" w:before="20"/>
              <w:ind w:hanging="0" w:left="432" w:right="86"/>
              <w:contextualSpacing w:val="false"/>
              <w:rPr/>
            </w:pPr>
            <w:r>
              <w:rPr/>
              <w:t> </w:t>
            </w:r>
          </w:p>
        </w:tc>
        <w:tc>
          <w:tcPr>
            <w:tcW w:type="dxa" w:w="1330"/>
            <w:tcBorders>
              <w:top w:val="nil"/>
              <w:left w:val="nil"/>
              <w:bottom w:val="nil"/>
              <w:right w:val="nil"/>
            </w:tcBorders>
            <w:shd w:fill="auto" w:val="clear"/>
            <w:tcMar>
              <w:left w:type="dxa" w:w="144"/>
            </w:tcMar>
            <w:vAlign w:val="bottom"/>
          </w:tcPr>
          <w:p>
            <w:pPr>
              <w:pStyle w:val="style59"/>
              <w:spacing w:after="0" w:before="20"/>
              <w:ind w:hanging="0" w:left="605" w:right="101"/>
              <w:contextualSpacing w:val="false"/>
              <w:rPr/>
            </w:pPr>
            <w:r>
              <w:rPr/>
              <w:t> </w:t>
            </w:r>
          </w:p>
        </w:tc>
        <w:tc>
          <w:tcPr>
            <w:tcW w:type="dxa" w:w="1274"/>
            <w:tcBorders>
              <w:top w:val="nil"/>
              <w:left w:val="nil"/>
              <w:bottom w:val="nil"/>
              <w:right w:val="nil"/>
            </w:tcBorders>
            <w:shd w:fill="auto" w:val="clear"/>
            <w:tcMar>
              <w:left w:type="dxa" w:w="144"/>
            </w:tcMar>
            <w:vAlign w:val="bottom"/>
          </w:tcPr>
          <w:p>
            <w:pPr>
              <w:pStyle w:val="style59"/>
              <w:spacing w:after="0" w:before="20"/>
              <w:ind w:hanging="0" w:left="360" w:right="101"/>
              <w:contextualSpacing w:val="false"/>
              <w:rPr/>
            </w:pPr>
            <w:r>
              <w:rPr/>
              <w:t> </w:t>
            </w:r>
          </w:p>
        </w:tc>
      </w:tr>
      <w:tr>
        <w:trPr>
          <w:cantSplit w:val="false"/>
        </w:trPr>
        <w:tc>
          <w:tcPr>
            <w:tcW w:type="dxa" w:w="3593"/>
            <w:tcBorders>
              <w:top w:val="nil"/>
              <w:left w:val="nil"/>
              <w:bottom w:val="nil"/>
              <w:right w:val="nil"/>
            </w:tcBorders>
            <w:shd w:fill="auto" w:val="clear"/>
          </w:tcPr>
          <w:p>
            <w:pPr>
              <w:pStyle w:val="style62"/>
              <w:spacing w:after="280" w:before="280"/>
              <w:ind w:hanging="240" w:left="1200" w:right="0"/>
              <w:contextualSpacing w:val="false"/>
              <w:rPr>
                <w:rFonts w:ascii="Arial" w:cs="Arial" w:hAnsi="Arial"/>
                <w:sz w:val="20"/>
                <w:szCs w:val="20"/>
              </w:rPr>
            </w:pPr>
            <w:r>
              <w:rPr>
                <w:rFonts w:ascii="Arial" w:cs="Arial" w:hAnsi="Arial"/>
                <w:sz w:val="20"/>
                <w:szCs w:val="20"/>
              </w:rPr>
              <w:t>Total</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w:t>
              <w:tab/>
              <w:t>176</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86"/>
              <w:contextualSpacing w:val="false"/>
              <w:rPr>
                <w:rFonts w:ascii="Arial" w:cs="Arial" w:hAnsi="Arial"/>
                <w:b/>
                <w:bCs/>
                <w:sz w:val="20"/>
                <w:szCs w:val="20"/>
              </w:rPr>
            </w:pPr>
            <w:r>
              <w:rPr>
                <w:rFonts w:ascii="Arial" w:cs="Arial" w:hAnsi="Arial"/>
                <w:b/>
                <w:bCs/>
                <w:sz w:val="20"/>
                <w:szCs w:val="20"/>
              </w:rPr>
              <w:t>$</w:t>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0</w:t>
              <w:tab/>
            </w:r>
          </w:p>
        </w:tc>
        <w:tc>
          <w:tcPr>
            <w:tcW w:type="dxa" w:w="1331"/>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05" w:right="101"/>
              <w:contextualSpacing w:val="false"/>
              <w:rPr>
                <w:rFonts w:ascii="Arial" w:cs="Arial" w:hAnsi="Arial"/>
                <w:b/>
                <w:bCs/>
                <w:sz w:val="20"/>
                <w:szCs w:val="20"/>
              </w:rPr>
            </w:pPr>
            <w:r>
              <w:rPr>
                <w:rFonts w:ascii="Arial" w:cs="Arial" w:hAnsi="Arial"/>
                <w:b/>
                <w:bCs/>
                <w:sz w:val="20"/>
                <w:szCs w:val="20"/>
              </w:rPr>
              <w:t>$</w:t>
              <w:tab/>
              <w:t>0</w:t>
              <w:tab/>
            </w:r>
          </w:p>
        </w:tc>
        <w:tc>
          <w:tcPr>
            <w:tcW w:type="dxa" w:w="1275"/>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w:t>
              <w:tab/>
              <w:t>176</w:t>
              <w:tab/>
            </w:r>
          </w:p>
        </w:tc>
      </w:tr>
      <w:tr>
        <w:trPr>
          <w:cantSplit w:val="false"/>
        </w:trPr>
        <w:tc>
          <w:tcPr>
            <w:tcW w:type="dxa" w:w="3593"/>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288" w:right="86"/>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432" w:right="86"/>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432" w:right="86"/>
              <w:contextualSpacing w:val="false"/>
              <w:rPr/>
            </w:pPr>
            <w:r>
              <w:rPr/>
              <w:t> </w:t>
            </w:r>
          </w:p>
        </w:tc>
        <w:tc>
          <w:tcPr>
            <w:tcW w:type="dxa" w:w="1331"/>
            <w:tcBorders>
              <w:top w:val="nil"/>
              <w:left w:val="nil"/>
              <w:bottom w:val="nil"/>
              <w:right w:val="nil"/>
            </w:tcBorders>
            <w:shd w:fill="auto" w:val="clear"/>
            <w:tcMar>
              <w:left w:type="dxa" w:w="144"/>
            </w:tcMar>
            <w:vAlign w:val="bottom"/>
          </w:tcPr>
          <w:p>
            <w:pPr>
              <w:pStyle w:val="style63"/>
              <w:spacing w:after="0" w:before="20"/>
              <w:ind w:hanging="0" w:left="605" w:right="101"/>
              <w:contextualSpacing w:val="false"/>
              <w:rPr/>
            </w:pPr>
            <w:r>
              <w:rPr/>
              <w:t> </w:t>
            </w:r>
          </w:p>
        </w:tc>
        <w:tc>
          <w:tcPr>
            <w:tcW w:type="dxa" w:w="1275"/>
            <w:tcBorders>
              <w:top w:val="nil"/>
              <w:left w:val="nil"/>
              <w:bottom w:val="nil"/>
              <w:right w:val="nil"/>
            </w:tcBorders>
            <w:shd w:fill="auto" w:val="clear"/>
            <w:tcMar>
              <w:left w:type="dxa" w:w="144"/>
            </w:tcMar>
            <w:vAlign w:val="bottom"/>
          </w:tcPr>
          <w:p>
            <w:pPr>
              <w:pStyle w:val="style63"/>
              <w:spacing w:after="0" w:before="20"/>
              <w:ind w:hanging="0" w:left="360" w:right="101"/>
              <w:contextualSpacing w:val="false"/>
              <w:rPr/>
            </w:pPr>
            <w:r>
              <w:rPr/>
              <w:t> </w:t>
            </w:r>
          </w:p>
        </w:tc>
      </w:tr>
      <w:tr>
        <w:trPr>
          <w:cantSplit w:val="false"/>
        </w:trPr>
        <w:tc>
          <w:tcPr>
            <w:tcW w:type="dxa" w:w="3593"/>
            <w:tcBorders>
              <w:top w:val="nil"/>
              <w:left w:val="nil"/>
              <w:bottom w:val="nil"/>
              <w:right w:val="nil"/>
            </w:tcBorders>
            <w:shd w:fill="auto" w:val="clear"/>
          </w:tcPr>
          <w:p>
            <w:pPr>
              <w:pStyle w:val="style62"/>
              <w:spacing w:after="280" w:before="280"/>
              <w:ind w:hanging="240" w:left="1680" w:right="0"/>
              <w:contextualSpacing w:val="false"/>
              <w:rPr>
                <w:rFonts w:ascii="Arial" w:cs="Arial" w:hAnsi="Arial"/>
                <w:sz w:val="20"/>
                <w:szCs w:val="20"/>
              </w:rPr>
            </w:pPr>
            <w:r>
              <w:rPr>
                <w:rFonts w:ascii="Arial" w:cs="Arial" w:hAnsi="Arial"/>
                <w:sz w:val="20"/>
                <w:szCs w:val="20"/>
              </w:rPr>
              <w:t>Total assets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w:t>
              <w:tab/>
              <w:t>304</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86"/>
              <w:contextualSpacing w:val="false"/>
              <w:rPr>
                <w:rFonts w:ascii="Arial" w:cs="Arial" w:hAnsi="Arial"/>
                <w:b/>
                <w:bCs/>
                <w:sz w:val="20"/>
                <w:szCs w:val="20"/>
              </w:rPr>
            </w:pPr>
            <w:r>
              <w:rPr>
                <w:rFonts w:ascii="Arial" w:cs="Arial" w:hAnsi="Arial"/>
                <w:b/>
                <w:bCs/>
                <w:sz w:val="20"/>
                <w:szCs w:val="20"/>
              </w:rPr>
              <w:t>$</w:t>
              <w:tab/>
              <w:t>157</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18</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19</w:t>
              <w:tab/>
            </w:r>
          </w:p>
        </w:tc>
        <w:tc>
          <w:tcPr>
            <w:tcW w:type="dxa" w:w="1331"/>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05" w:right="101"/>
              <w:contextualSpacing w:val="false"/>
              <w:rPr>
                <w:rFonts w:ascii="Arial" w:cs="Arial" w:hAnsi="Arial"/>
                <w:b/>
                <w:bCs/>
                <w:sz w:val="20"/>
                <w:szCs w:val="20"/>
              </w:rPr>
            </w:pPr>
            <w:r>
              <w:rPr>
                <w:rFonts w:ascii="Arial" w:cs="Arial" w:hAnsi="Arial"/>
                <w:b/>
                <w:bCs/>
                <w:sz w:val="20"/>
                <w:szCs w:val="20"/>
              </w:rPr>
              <w:t>$</w:t>
              <w:tab/>
              <w:t>3</w:t>
              <w:tab/>
            </w:r>
          </w:p>
        </w:tc>
        <w:tc>
          <w:tcPr>
            <w:tcW w:type="dxa" w:w="1275"/>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w:t>
              <w:tab/>
              <w:t>501</w:t>
              <w:tab/>
            </w:r>
          </w:p>
        </w:tc>
      </w:tr>
      <w:tr>
        <w:trPr>
          <w:cantSplit w:val="false"/>
        </w:trPr>
        <w:tc>
          <w:tcPr>
            <w:tcW w:type="dxa" w:w="3593"/>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288" w:right="86"/>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432" w:right="86"/>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432" w:right="86"/>
              <w:contextualSpacing w:val="false"/>
              <w:rPr/>
            </w:pPr>
            <w:r>
              <w:rPr/>
              <w:t> </w:t>
            </w:r>
          </w:p>
        </w:tc>
        <w:tc>
          <w:tcPr>
            <w:tcW w:type="dxa" w:w="1331"/>
            <w:tcBorders>
              <w:top w:val="nil"/>
              <w:left w:val="nil"/>
              <w:bottom w:val="nil"/>
              <w:right w:val="nil"/>
            </w:tcBorders>
            <w:shd w:fill="auto" w:val="clear"/>
            <w:tcMar>
              <w:left w:type="dxa" w:w="144"/>
            </w:tcMar>
            <w:vAlign w:val="bottom"/>
          </w:tcPr>
          <w:p>
            <w:pPr>
              <w:pStyle w:val="style63"/>
              <w:spacing w:after="0" w:before="20"/>
              <w:ind w:hanging="0" w:left="605" w:right="101"/>
              <w:contextualSpacing w:val="false"/>
              <w:rPr/>
            </w:pPr>
            <w:r>
              <w:rPr/>
              <w:t> </w:t>
            </w:r>
          </w:p>
        </w:tc>
        <w:tc>
          <w:tcPr>
            <w:tcW w:type="dxa" w:w="1275"/>
            <w:tcBorders>
              <w:top w:val="nil"/>
              <w:left w:val="nil"/>
              <w:bottom w:val="nil"/>
              <w:right w:val="nil"/>
            </w:tcBorders>
            <w:shd w:fill="auto" w:val="clear"/>
            <w:tcMar>
              <w:left w:type="dxa" w:w="144"/>
            </w:tcMar>
            <w:vAlign w:val="bottom"/>
          </w:tcPr>
          <w:p>
            <w:pPr>
              <w:pStyle w:val="style63"/>
              <w:spacing w:after="0" w:before="20"/>
              <w:ind w:hanging="0" w:left="360" w:right="101"/>
              <w:contextualSpacing w:val="false"/>
              <w:rPr/>
            </w:pPr>
            <w:r>
              <w:rPr/>
              <w:t> </w:t>
            </w:r>
          </w:p>
        </w:tc>
      </w:tr>
      <w:tr>
        <w:trPr>
          <w:trHeight w:hRule="atLeast" w:val="75"/>
          <w:cantSplit w:val="false"/>
        </w:trPr>
        <w:tc>
          <w:tcPr>
            <w:tcW w:type="dxa" w:w="3593"/>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288" w:right="101"/>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288" w:right="86"/>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432" w:right="86"/>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432" w:right="86"/>
              <w:rPr>
                <w:sz w:val="8"/>
                <w:szCs w:val="24"/>
              </w:rPr>
            </w:pPr>
            <w:r>
              <w:rPr>
                <w:sz w:val="8"/>
                <w:szCs w:val="24"/>
              </w:rPr>
            </w:r>
          </w:p>
        </w:tc>
        <w:tc>
          <w:tcPr>
            <w:tcW w:type="dxa" w:w="1331"/>
            <w:tcBorders>
              <w:top w:val="nil"/>
              <w:left w:val="nil"/>
              <w:bottom w:val="nil"/>
              <w:right w:val="nil"/>
            </w:tcBorders>
            <w:shd w:fill="auto" w:val="clear"/>
            <w:vAlign w:val="center"/>
          </w:tcPr>
          <w:p>
            <w:pPr>
              <w:pStyle w:val="style0"/>
              <w:ind w:hanging="0" w:left="605" w:right="101"/>
              <w:rPr>
                <w:sz w:val="8"/>
                <w:szCs w:val="24"/>
              </w:rPr>
            </w:pPr>
            <w:r>
              <w:rPr>
                <w:sz w:val="8"/>
                <w:szCs w:val="24"/>
              </w:rPr>
            </w:r>
          </w:p>
        </w:tc>
        <w:tc>
          <w:tcPr>
            <w:tcW w:type="dxa" w:w="1275"/>
            <w:tcBorders>
              <w:top w:val="nil"/>
              <w:left w:val="nil"/>
              <w:bottom w:val="nil"/>
              <w:right w:val="nil"/>
            </w:tcBorders>
            <w:shd w:fill="auto" w:val="clear"/>
            <w:vAlign w:val="center"/>
          </w:tcPr>
          <w:p>
            <w:pPr>
              <w:pStyle w:val="style0"/>
              <w:ind w:hanging="0" w:left="360" w:right="101"/>
              <w:rPr>
                <w:sz w:val="8"/>
                <w:szCs w:val="24"/>
              </w:rPr>
            </w:pPr>
            <w:r>
              <w:rPr>
                <w:sz w:val="8"/>
                <w:szCs w:val="24"/>
              </w:rPr>
            </w:r>
          </w:p>
        </w:tc>
      </w:tr>
      <w:tr>
        <w:trPr>
          <w:cantSplit w:val="false"/>
        </w:trPr>
        <w:tc>
          <w:tcPr>
            <w:tcW w:type="dxa" w:w="3593"/>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Liabilities</w:t>
            </w:r>
          </w:p>
        </w:tc>
        <w:tc>
          <w:tcPr>
            <w:tcW w:type="dxa" w:w="1150"/>
            <w:tcBorders>
              <w:top w:val="nil"/>
              <w:left w:val="nil"/>
              <w:bottom w:val="nil"/>
              <w:right w:val="nil"/>
            </w:tcBorders>
            <w:shd w:fill="auto" w:val="clear"/>
            <w:tcMar>
              <w:left w:type="dxa" w:w="144"/>
            </w:tcMar>
            <w:vAlign w:val="bottom"/>
          </w:tcPr>
          <w:p>
            <w:pPr>
              <w:pStyle w:val="style65"/>
              <w:ind w:hanging="0" w:left="288"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288"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432"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432" w:right="86"/>
              <w:rPr/>
            </w:pPr>
            <w:r>
              <w:rPr/>
              <w:t> </w:t>
            </w:r>
          </w:p>
        </w:tc>
        <w:tc>
          <w:tcPr>
            <w:tcW w:type="dxa" w:w="1331"/>
            <w:tcBorders>
              <w:top w:val="nil"/>
              <w:left w:val="nil"/>
              <w:bottom w:val="nil"/>
              <w:right w:val="nil"/>
            </w:tcBorders>
            <w:shd w:fill="auto" w:val="clear"/>
            <w:tcMar>
              <w:left w:type="dxa" w:w="144"/>
            </w:tcMar>
            <w:vAlign w:val="bottom"/>
          </w:tcPr>
          <w:p>
            <w:pPr>
              <w:pStyle w:val="style65"/>
              <w:ind w:hanging="0" w:left="605" w:right="101"/>
              <w:rPr/>
            </w:pPr>
            <w:r>
              <w:rPr/>
              <w:t> </w:t>
            </w:r>
          </w:p>
        </w:tc>
        <w:tc>
          <w:tcPr>
            <w:tcW w:type="dxa" w:w="1275"/>
            <w:tcBorders>
              <w:top w:val="nil"/>
              <w:left w:val="nil"/>
              <w:bottom w:val="nil"/>
              <w:right w:val="nil"/>
            </w:tcBorders>
            <w:shd w:fill="auto" w:val="clear"/>
            <w:tcMar>
              <w:left w:type="dxa" w:w="144"/>
            </w:tcMar>
            <w:vAlign w:val="bottom"/>
          </w:tcPr>
          <w:p>
            <w:pPr>
              <w:pStyle w:val="style65"/>
              <w:ind w:hanging="0" w:left="360" w:right="101"/>
              <w:rPr/>
            </w:pPr>
            <w:r>
              <w:rPr/>
              <w:t> </w:t>
            </w:r>
          </w:p>
        </w:tc>
      </w:tr>
      <w:tr>
        <w:trPr>
          <w:trHeight w:hRule="atLeast" w:val="75"/>
          <w:cantSplit w:val="false"/>
        </w:trPr>
        <w:tc>
          <w:tcPr>
            <w:tcW w:type="dxa" w:w="3593"/>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288" w:right="101"/>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288" w:right="86"/>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432" w:right="86"/>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432" w:right="86"/>
              <w:rPr>
                <w:sz w:val="8"/>
                <w:szCs w:val="24"/>
              </w:rPr>
            </w:pPr>
            <w:r>
              <w:rPr>
                <w:sz w:val="8"/>
                <w:szCs w:val="24"/>
              </w:rPr>
            </w:r>
          </w:p>
        </w:tc>
        <w:tc>
          <w:tcPr>
            <w:tcW w:type="dxa" w:w="1331"/>
            <w:tcBorders>
              <w:top w:val="nil"/>
              <w:left w:val="nil"/>
              <w:bottom w:val="nil"/>
              <w:right w:val="nil"/>
            </w:tcBorders>
            <w:shd w:fill="auto" w:val="clear"/>
            <w:vAlign w:val="center"/>
          </w:tcPr>
          <w:p>
            <w:pPr>
              <w:pStyle w:val="style0"/>
              <w:ind w:hanging="0" w:left="605" w:right="101"/>
              <w:rPr>
                <w:sz w:val="8"/>
                <w:szCs w:val="24"/>
              </w:rPr>
            </w:pPr>
            <w:r>
              <w:rPr>
                <w:sz w:val="8"/>
                <w:szCs w:val="24"/>
              </w:rPr>
            </w:r>
          </w:p>
        </w:tc>
        <w:tc>
          <w:tcPr>
            <w:tcW w:type="dxa" w:w="1275"/>
            <w:tcBorders>
              <w:top w:val="nil"/>
              <w:left w:val="nil"/>
              <w:bottom w:val="nil"/>
              <w:right w:val="nil"/>
            </w:tcBorders>
            <w:shd w:fill="auto" w:val="clear"/>
            <w:vAlign w:val="center"/>
          </w:tcPr>
          <w:p>
            <w:pPr>
              <w:pStyle w:val="style0"/>
              <w:ind w:hanging="0" w:left="360" w:right="101"/>
              <w:rPr>
                <w:sz w:val="8"/>
                <w:szCs w:val="24"/>
              </w:rPr>
            </w:pPr>
            <w:r>
              <w:rPr>
                <w:sz w:val="8"/>
                <w:szCs w:val="24"/>
              </w:rPr>
            </w:r>
          </w:p>
        </w:tc>
      </w:tr>
      <w:tr>
        <w:trPr>
          <w:cantSplit w:val="false"/>
        </w:trPr>
        <w:tc>
          <w:tcPr>
            <w:tcW w:type="dxa" w:w="3593"/>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Non-designated hedge derivatives:</w:t>
            </w:r>
          </w:p>
        </w:tc>
        <w:tc>
          <w:tcPr>
            <w:tcW w:type="dxa" w:w="1150"/>
            <w:tcBorders>
              <w:top w:val="nil"/>
              <w:left w:val="nil"/>
              <w:bottom w:val="nil"/>
              <w:right w:val="nil"/>
            </w:tcBorders>
            <w:shd w:fill="auto" w:val="clear"/>
            <w:tcMar>
              <w:left w:type="dxa" w:w="144"/>
            </w:tcMar>
            <w:vAlign w:val="bottom"/>
          </w:tcPr>
          <w:p>
            <w:pPr>
              <w:pStyle w:val="style65"/>
              <w:ind w:hanging="0" w:left="288"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288"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432"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432" w:right="86"/>
              <w:rPr/>
            </w:pPr>
            <w:r>
              <w:rPr/>
              <w:t> </w:t>
            </w:r>
          </w:p>
        </w:tc>
        <w:tc>
          <w:tcPr>
            <w:tcW w:type="dxa" w:w="1331"/>
            <w:tcBorders>
              <w:top w:val="nil"/>
              <w:left w:val="nil"/>
              <w:bottom w:val="nil"/>
              <w:right w:val="nil"/>
            </w:tcBorders>
            <w:shd w:fill="auto" w:val="clear"/>
            <w:tcMar>
              <w:left w:type="dxa" w:w="144"/>
            </w:tcMar>
            <w:vAlign w:val="bottom"/>
          </w:tcPr>
          <w:p>
            <w:pPr>
              <w:pStyle w:val="style65"/>
              <w:ind w:hanging="0" w:left="605" w:right="101"/>
              <w:rPr/>
            </w:pPr>
            <w:r>
              <w:rPr/>
              <w:t> </w:t>
            </w:r>
          </w:p>
        </w:tc>
        <w:tc>
          <w:tcPr>
            <w:tcW w:type="dxa" w:w="1275"/>
            <w:tcBorders>
              <w:top w:val="nil"/>
              <w:left w:val="nil"/>
              <w:bottom w:val="nil"/>
              <w:right w:val="nil"/>
            </w:tcBorders>
            <w:shd w:fill="auto" w:val="clear"/>
            <w:tcMar>
              <w:left w:type="dxa" w:w="144"/>
            </w:tcMar>
            <w:vAlign w:val="bottom"/>
          </w:tcPr>
          <w:p>
            <w:pPr>
              <w:pStyle w:val="style65"/>
              <w:ind w:hanging="0" w:left="360" w:right="101"/>
              <w:rPr/>
            </w:pPr>
            <w:r>
              <w:rPr/>
              <w:t> </w:t>
            </w:r>
          </w:p>
        </w:tc>
      </w:tr>
      <w:tr>
        <w:trPr>
          <w:cantSplit w:val="false"/>
        </w:trPr>
        <w:tc>
          <w:tcPr>
            <w:tcW w:type="dxa" w:w="3593"/>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Other current liabilities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w:t>
              <w:tab/>
              <w:t>(63</w:t>
              <w:tab/>
              <w:t>)</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86"/>
              <w:contextualSpacing w:val="false"/>
              <w:rPr>
                <w:rFonts w:ascii="Arial" w:cs="Arial" w:hAnsi="Arial"/>
                <w:b/>
                <w:bCs/>
                <w:sz w:val="20"/>
                <w:szCs w:val="20"/>
              </w:rPr>
            </w:pPr>
            <w:r>
              <w:rPr>
                <w:rFonts w:ascii="Arial" w:cs="Arial" w:hAnsi="Arial"/>
                <w:b/>
                <w:bCs/>
                <w:sz w:val="20"/>
                <w:szCs w:val="20"/>
              </w:rPr>
              <w:t>$</w:t>
              <w:tab/>
              <w:t>(9</w:t>
              <w:tab/>
              <w:t>)</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(45</w:t>
              <w:tab/>
              <w:t>)</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(17</w:t>
              <w:tab/>
              <w:t>)</w:t>
            </w:r>
          </w:p>
        </w:tc>
        <w:tc>
          <w:tcPr>
            <w:tcW w:type="dxa" w:w="1331"/>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05" w:right="101"/>
              <w:contextualSpacing w:val="false"/>
              <w:rPr>
                <w:rFonts w:ascii="Arial" w:cs="Arial" w:hAnsi="Arial"/>
                <w:b/>
                <w:bCs/>
                <w:sz w:val="20"/>
                <w:szCs w:val="20"/>
              </w:rPr>
            </w:pPr>
            <w:r>
              <w:rPr>
                <w:rFonts w:ascii="Arial" w:cs="Arial" w:hAnsi="Arial"/>
                <w:b/>
                <w:bCs/>
                <w:sz w:val="20"/>
                <w:szCs w:val="20"/>
              </w:rPr>
              <w:t>$</w:t>
              <w:tab/>
              <w:t>(1</w:t>
              <w:tab/>
              <w:t>)</w:t>
            </w:r>
          </w:p>
        </w:tc>
        <w:tc>
          <w:tcPr>
            <w:tcW w:type="dxa" w:w="1275"/>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w:t>
              <w:tab/>
              <w:t>(135</w:t>
              <w:tab/>
              <w:t>)</w:t>
            </w:r>
          </w:p>
        </w:tc>
      </w:tr>
      <w:tr>
        <w:trPr>
          <w:cantSplit w:val="false"/>
        </w:trPr>
        <w:tc>
          <w:tcPr>
            <w:tcW w:type="dxa" w:w="3593"/>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Designated hedge derivatives:</w:t>
            </w:r>
          </w:p>
        </w:tc>
        <w:tc>
          <w:tcPr>
            <w:tcW w:type="dxa" w:w="1150"/>
            <w:tcBorders>
              <w:top w:val="nil"/>
              <w:left w:val="nil"/>
              <w:bottom w:val="nil"/>
              <w:right w:val="nil"/>
            </w:tcBorders>
            <w:shd w:fill="auto" w:val="clear"/>
            <w:tcMar>
              <w:left w:type="dxa" w:w="144"/>
            </w:tcMar>
            <w:vAlign w:val="bottom"/>
          </w:tcPr>
          <w:p>
            <w:pPr>
              <w:pStyle w:val="style65"/>
              <w:ind w:hanging="0" w:left="288"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288"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432" w:right="86"/>
              <w:rPr/>
            </w:pPr>
            <w:r>
              <w:rPr/>
              <w:t> </w:t>
            </w:r>
          </w:p>
        </w:tc>
        <w:tc>
          <w:tcPr>
            <w:tcW w:type="dxa" w:w="1150"/>
            <w:tcBorders>
              <w:top w:val="nil"/>
              <w:left w:val="nil"/>
              <w:bottom w:val="nil"/>
              <w:right w:val="nil"/>
            </w:tcBorders>
            <w:shd w:fill="auto" w:val="clear"/>
            <w:tcMar>
              <w:left w:type="dxa" w:w="144"/>
            </w:tcMar>
            <w:vAlign w:val="bottom"/>
          </w:tcPr>
          <w:p>
            <w:pPr>
              <w:pStyle w:val="style65"/>
              <w:ind w:hanging="0" w:left="432" w:right="86"/>
              <w:rPr/>
            </w:pPr>
            <w:r>
              <w:rPr/>
              <w:t> </w:t>
            </w:r>
          </w:p>
        </w:tc>
        <w:tc>
          <w:tcPr>
            <w:tcW w:type="dxa" w:w="1331"/>
            <w:tcBorders>
              <w:top w:val="nil"/>
              <w:left w:val="nil"/>
              <w:bottom w:val="nil"/>
              <w:right w:val="nil"/>
            </w:tcBorders>
            <w:shd w:fill="auto" w:val="clear"/>
            <w:tcMar>
              <w:left w:type="dxa" w:w="144"/>
            </w:tcMar>
            <w:vAlign w:val="bottom"/>
          </w:tcPr>
          <w:p>
            <w:pPr>
              <w:pStyle w:val="style65"/>
              <w:ind w:hanging="0" w:left="605" w:right="101"/>
              <w:rPr/>
            </w:pPr>
            <w:r>
              <w:rPr/>
              <w:t> </w:t>
            </w:r>
          </w:p>
        </w:tc>
        <w:tc>
          <w:tcPr>
            <w:tcW w:type="dxa" w:w="1275"/>
            <w:tcBorders>
              <w:top w:val="nil"/>
              <w:left w:val="nil"/>
              <w:bottom w:val="nil"/>
              <w:right w:val="nil"/>
            </w:tcBorders>
            <w:shd w:fill="auto" w:val="clear"/>
            <w:tcMar>
              <w:left w:type="dxa" w:w="144"/>
            </w:tcMar>
            <w:vAlign w:val="bottom"/>
          </w:tcPr>
          <w:p>
            <w:pPr>
              <w:pStyle w:val="style65"/>
              <w:ind w:hanging="0" w:left="360" w:right="101"/>
              <w:rPr/>
            </w:pPr>
            <w:r>
              <w:rPr/>
              <w:t> </w:t>
            </w:r>
          </w:p>
        </w:tc>
      </w:tr>
      <w:tr>
        <w:trPr>
          <w:cantSplit w:val="false"/>
        </w:trPr>
        <w:tc>
          <w:tcPr>
            <w:tcW w:type="dxa" w:w="3593"/>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Other current liabilities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w:t>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86"/>
              <w:contextualSpacing w:val="false"/>
              <w:rPr>
                <w:rFonts w:ascii="Arial" w:cs="Arial" w:hAnsi="Arial"/>
                <w:b/>
                <w:bCs/>
                <w:sz w:val="20"/>
                <w:szCs w:val="20"/>
              </w:rPr>
            </w:pPr>
            <w:r>
              <w:rPr>
                <w:rFonts w:ascii="Arial" w:cs="Arial" w:hAnsi="Arial"/>
                <w:b/>
                <w:bCs/>
                <w:sz w:val="20"/>
                <w:szCs w:val="20"/>
              </w:rPr>
              <w:t>$</w:t>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0</w:t>
              <w:tab/>
            </w:r>
          </w:p>
        </w:tc>
        <w:tc>
          <w:tcPr>
            <w:tcW w:type="dxa" w:w="1331"/>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05" w:right="101"/>
              <w:contextualSpacing w:val="false"/>
              <w:rPr>
                <w:rFonts w:ascii="Arial" w:cs="Arial" w:hAnsi="Arial"/>
                <w:b/>
                <w:bCs/>
                <w:sz w:val="20"/>
                <w:szCs w:val="20"/>
              </w:rPr>
            </w:pPr>
            <w:r>
              <w:rPr>
                <w:rFonts w:ascii="Arial" w:cs="Arial" w:hAnsi="Arial"/>
                <w:b/>
                <w:bCs/>
                <w:sz w:val="20"/>
                <w:szCs w:val="20"/>
              </w:rPr>
              <w:t>$</w:t>
              <w:tab/>
              <w:t>0</w:t>
              <w:tab/>
            </w:r>
          </w:p>
        </w:tc>
        <w:tc>
          <w:tcPr>
            <w:tcW w:type="dxa" w:w="1275"/>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w:t>
              <w:tab/>
              <w:t>0</w:t>
              <w:tab/>
            </w:r>
          </w:p>
        </w:tc>
      </w:tr>
      <w:tr>
        <w:trPr>
          <w:cantSplit w:val="false"/>
        </w:trPr>
        <w:tc>
          <w:tcPr>
            <w:tcW w:type="dxa" w:w="4744"/>
            <w:gridSpan w:val="2"/>
            <w:tcBorders>
              <w:top w:val="nil"/>
              <w:left w:val="nil"/>
              <w:bottom w:val="nil"/>
              <w:right w:val="nil"/>
            </w:tcBorders>
            <w:shd w:fill="auto" w:val="clear"/>
            <w:vAlign w:val="bottom"/>
          </w:tcPr>
          <w:p>
            <w:pPr>
              <w:pStyle w:val="style59"/>
              <w:spacing w:after="0" w:before="20"/>
              <w:ind w:hanging="0" w:left="-432"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288" w:right="86"/>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432" w:right="86"/>
              <w:contextualSpacing w:val="false"/>
              <w:rPr/>
            </w:pPr>
            <w:r>
              <w:rPr/>
              <w:t> </w:t>
            </w:r>
          </w:p>
        </w:tc>
        <w:tc>
          <w:tcPr>
            <w:tcW w:type="dxa" w:w="1151"/>
            <w:tcBorders>
              <w:top w:val="nil"/>
              <w:left w:val="nil"/>
              <w:bottom w:val="nil"/>
              <w:right w:val="nil"/>
            </w:tcBorders>
            <w:shd w:fill="auto" w:val="clear"/>
            <w:tcMar>
              <w:left w:type="dxa" w:w="144"/>
            </w:tcMar>
            <w:vAlign w:val="bottom"/>
          </w:tcPr>
          <w:p>
            <w:pPr>
              <w:pStyle w:val="style59"/>
              <w:spacing w:after="0" w:before="20"/>
              <w:ind w:hanging="0" w:left="432" w:right="86"/>
              <w:contextualSpacing w:val="false"/>
              <w:rPr/>
            </w:pPr>
            <w:r>
              <w:rPr/>
              <w:t> </w:t>
            </w:r>
          </w:p>
        </w:tc>
        <w:tc>
          <w:tcPr>
            <w:tcW w:type="dxa" w:w="1330"/>
            <w:tcBorders>
              <w:top w:val="nil"/>
              <w:left w:val="nil"/>
              <w:bottom w:val="nil"/>
              <w:right w:val="nil"/>
            </w:tcBorders>
            <w:shd w:fill="auto" w:val="clear"/>
            <w:tcMar>
              <w:left w:type="dxa" w:w="144"/>
            </w:tcMar>
            <w:vAlign w:val="bottom"/>
          </w:tcPr>
          <w:p>
            <w:pPr>
              <w:pStyle w:val="style59"/>
              <w:spacing w:after="0" w:before="20"/>
              <w:ind w:hanging="0" w:left="605" w:right="101"/>
              <w:contextualSpacing w:val="false"/>
              <w:rPr/>
            </w:pPr>
            <w:r>
              <w:rPr/>
              <w:t> </w:t>
            </w:r>
          </w:p>
        </w:tc>
        <w:tc>
          <w:tcPr>
            <w:tcW w:type="dxa" w:w="1274"/>
            <w:tcBorders>
              <w:top w:val="nil"/>
              <w:left w:val="nil"/>
              <w:bottom w:val="nil"/>
              <w:right w:val="nil"/>
            </w:tcBorders>
            <w:shd w:fill="auto" w:val="clear"/>
            <w:tcMar>
              <w:left w:type="dxa" w:w="144"/>
            </w:tcMar>
            <w:vAlign w:val="bottom"/>
          </w:tcPr>
          <w:p>
            <w:pPr>
              <w:pStyle w:val="style59"/>
              <w:spacing w:after="0" w:before="20"/>
              <w:ind w:hanging="0" w:left="360" w:right="101"/>
              <w:contextualSpacing w:val="false"/>
              <w:rPr/>
            </w:pPr>
            <w:r>
              <w:rPr/>
              <w:t> </w:t>
            </w:r>
          </w:p>
        </w:tc>
      </w:tr>
      <w:tr>
        <w:trPr>
          <w:cantSplit w:val="false"/>
        </w:trPr>
        <w:tc>
          <w:tcPr>
            <w:tcW w:type="dxa" w:w="3593"/>
            <w:tcBorders>
              <w:top w:val="nil"/>
              <w:left w:val="nil"/>
              <w:bottom w:val="nil"/>
              <w:right w:val="nil"/>
            </w:tcBorders>
            <w:shd w:fill="auto" w:val="clear"/>
          </w:tcPr>
          <w:p>
            <w:pPr>
              <w:pStyle w:val="style62"/>
              <w:spacing w:after="280" w:before="280"/>
              <w:ind w:hanging="240" w:left="1680" w:right="0"/>
              <w:contextualSpacing w:val="false"/>
              <w:rPr>
                <w:rFonts w:ascii="Arial" w:cs="Arial" w:hAnsi="Arial"/>
                <w:sz w:val="20"/>
                <w:szCs w:val="20"/>
              </w:rPr>
            </w:pPr>
            <w:r>
              <w:rPr>
                <w:rFonts w:ascii="Arial" w:cs="Arial" w:hAnsi="Arial"/>
                <w:sz w:val="20"/>
                <w:szCs w:val="20"/>
              </w:rPr>
              <w:t>Total liabilities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b/>
                <w:bCs/>
                <w:sz w:val="20"/>
                <w:szCs w:val="20"/>
              </w:rPr>
            </w:pPr>
            <w:r>
              <w:rPr>
                <w:rFonts w:ascii="Arial" w:cs="Arial" w:hAnsi="Arial"/>
                <w:b/>
                <w:bCs/>
                <w:sz w:val="20"/>
                <w:szCs w:val="20"/>
              </w:rPr>
              <w:t>$</w:t>
              <w:tab/>
              <w:t>(63</w:t>
              <w:tab/>
              <w:t>)</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86"/>
              <w:contextualSpacing w:val="false"/>
              <w:rPr>
                <w:rFonts w:ascii="Arial" w:cs="Arial" w:hAnsi="Arial"/>
                <w:b/>
                <w:bCs/>
                <w:sz w:val="20"/>
                <w:szCs w:val="20"/>
              </w:rPr>
            </w:pPr>
            <w:r>
              <w:rPr>
                <w:rFonts w:ascii="Arial" w:cs="Arial" w:hAnsi="Arial"/>
                <w:b/>
                <w:bCs/>
                <w:sz w:val="20"/>
                <w:szCs w:val="20"/>
              </w:rPr>
              <w:t>$</w:t>
              <w:tab/>
              <w:t>(9</w:t>
              <w:tab/>
              <w:t>)</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(45</w:t>
              <w:tab/>
              <w:t>)</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432" w:right="86"/>
              <w:contextualSpacing w:val="false"/>
              <w:rPr>
                <w:rFonts w:ascii="Arial" w:cs="Arial" w:hAnsi="Arial"/>
                <w:b/>
                <w:bCs/>
                <w:sz w:val="20"/>
                <w:szCs w:val="20"/>
              </w:rPr>
            </w:pPr>
            <w:r>
              <w:rPr>
                <w:rFonts w:ascii="Arial" w:cs="Arial" w:hAnsi="Arial"/>
                <w:b/>
                <w:bCs/>
                <w:sz w:val="20"/>
                <w:szCs w:val="20"/>
              </w:rPr>
              <w:t>$</w:t>
              <w:tab/>
              <w:t>(17</w:t>
              <w:tab/>
              <w:t>)</w:t>
            </w:r>
          </w:p>
        </w:tc>
        <w:tc>
          <w:tcPr>
            <w:tcW w:type="dxa" w:w="1331"/>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05" w:right="101"/>
              <w:contextualSpacing w:val="false"/>
              <w:rPr>
                <w:rFonts w:ascii="Arial" w:cs="Arial" w:hAnsi="Arial"/>
                <w:b/>
                <w:bCs/>
                <w:sz w:val="20"/>
                <w:szCs w:val="20"/>
              </w:rPr>
            </w:pPr>
            <w:r>
              <w:rPr>
                <w:rFonts w:ascii="Arial" w:cs="Arial" w:hAnsi="Arial"/>
                <w:b/>
                <w:bCs/>
                <w:sz w:val="20"/>
                <w:szCs w:val="20"/>
              </w:rPr>
              <w:t>$</w:t>
              <w:tab/>
              <w:t>(1</w:t>
              <w:tab/>
              <w:t>)</w:t>
            </w:r>
          </w:p>
        </w:tc>
        <w:tc>
          <w:tcPr>
            <w:tcW w:type="dxa" w:w="1275"/>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360" w:right="101"/>
              <w:contextualSpacing w:val="false"/>
              <w:rPr>
                <w:rFonts w:ascii="Arial" w:cs="Arial" w:hAnsi="Arial"/>
                <w:b/>
                <w:bCs/>
                <w:sz w:val="20"/>
                <w:szCs w:val="20"/>
              </w:rPr>
            </w:pPr>
            <w:r>
              <w:rPr>
                <w:rFonts w:ascii="Arial" w:cs="Arial" w:hAnsi="Arial"/>
                <w:b/>
                <w:bCs/>
                <w:sz w:val="20"/>
                <w:szCs w:val="20"/>
              </w:rPr>
              <w:t>$</w:t>
              <w:tab/>
              <w:t>(135</w:t>
              <w:tab/>
              <w:t>)</w:t>
            </w:r>
          </w:p>
        </w:tc>
      </w:tr>
      <w:tr>
        <w:trPr>
          <w:cantSplit w:val="false"/>
        </w:trPr>
        <w:tc>
          <w:tcPr>
            <w:tcW w:type="dxa" w:w="3593"/>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288" w:right="86"/>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432" w:right="86"/>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432" w:right="86"/>
              <w:contextualSpacing w:val="false"/>
              <w:rPr/>
            </w:pPr>
            <w:r>
              <w:rPr/>
              <w:t> </w:t>
            </w:r>
          </w:p>
        </w:tc>
        <w:tc>
          <w:tcPr>
            <w:tcW w:type="dxa" w:w="1331"/>
            <w:tcBorders>
              <w:top w:val="nil"/>
              <w:left w:val="nil"/>
              <w:bottom w:val="nil"/>
              <w:right w:val="nil"/>
            </w:tcBorders>
            <w:shd w:fill="auto" w:val="clear"/>
            <w:tcMar>
              <w:left w:type="dxa" w:w="144"/>
            </w:tcMar>
            <w:vAlign w:val="bottom"/>
          </w:tcPr>
          <w:p>
            <w:pPr>
              <w:pStyle w:val="style63"/>
              <w:spacing w:after="0" w:before="20"/>
              <w:ind w:hanging="0" w:left="605" w:right="101"/>
              <w:contextualSpacing w:val="false"/>
              <w:rPr/>
            </w:pPr>
            <w:r>
              <w:rPr/>
              <w:t> </w:t>
            </w:r>
          </w:p>
        </w:tc>
        <w:tc>
          <w:tcPr>
            <w:tcW w:type="dxa" w:w="1275"/>
            <w:tcBorders>
              <w:top w:val="nil"/>
              <w:left w:val="nil"/>
              <w:bottom w:val="nil"/>
              <w:right w:val="nil"/>
            </w:tcBorders>
            <w:shd w:fill="auto" w:val="clear"/>
            <w:tcMar>
              <w:left w:type="dxa" w:w="144"/>
            </w:tcMar>
            <w:vAlign w:val="bottom"/>
          </w:tcPr>
          <w:p>
            <w:pPr>
              <w:pStyle w:val="style63"/>
              <w:spacing w:after="0" w:before="20"/>
              <w:ind w:hanging="0" w:left="360" w:right="101"/>
              <w:contextualSpacing w:val="false"/>
              <w:rPr/>
            </w:pPr>
            <w:r>
              <w:rPr/>
              <w:t> </w:t>
            </w:r>
          </w:p>
        </w:tc>
      </w:tr>
    </w:tbl>
    <w:p>
      <w:pPr>
        <w:pStyle w:val="style62"/>
        <w:keepNext/>
        <w:spacing w:after="280" w:before="280"/>
        <w:contextualSpacing w:val="false"/>
        <w:rPr>
          <w:sz w:val="18"/>
          <w:szCs w:val="18"/>
        </w:rPr>
      </w:pPr>
      <w:r>
        <w:rPr>
          <w:sz w:val="18"/>
          <w:szCs w:val="18"/>
        </w:rPr>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3605"/>
        <w:gridCol w:w="1150"/>
        <w:gridCol w:w="1150"/>
        <w:gridCol w:w="1150"/>
        <w:gridCol w:w="1150"/>
        <w:gridCol w:w="1320"/>
        <w:gridCol w:w="1274"/>
      </w:tblGrid>
      <w:tr>
        <w:trPr>
          <w:tblHeader w:val="true"/>
          <w:cantSplit w:val="false"/>
        </w:trPr>
        <w:tc>
          <w:tcPr>
            <w:tcW w:type="dxa" w:w="3605"/>
            <w:tcBorders>
              <w:top w:val="nil"/>
              <w:left w:val="nil"/>
              <w:bottom w:val="nil"/>
              <w:right w:val="nil"/>
            </w:tcBorders>
            <w:shd w:fill="auto" w:val="clear"/>
            <w:vAlign w:val="center"/>
          </w:tcPr>
          <w:p>
            <w:pPr>
              <w:pStyle w:val="style0"/>
              <w:rPr>
                <w:sz w:val="1"/>
                <w:szCs w:val="24"/>
              </w:rPr>
            </w:pPr>
            <w:r>
              <w:rPr>
                <w:sz w:val="1"/>
                <w:szCs w:val="24"/>
              </w:rPr>
            </w:r>
          </w:p>
        </w:tc>
        <w:tc>
          <w:tcPr>
            <w:tcW w:type="dxa" w:w="1150"/>
            <w:tcBorders>
              <w:top w:val="nil"/>
              <w:left w:val="nil"/>
              <w:bottom w:val="nil"/>
              <w:right w:val="nil"/>
            </w:tcBorders>
            <w:shd w:fill="auto" w:val="clear"/>
            <w:vAlign w:val="center"/>
          </w:tcPr>
          <w:p>
            <w:pPr>
              <w:pStyle w:val="style0"/>
              <w:rPr>
                <w:sz w:val="1"/>
                <w:szCs w:val="24"/>
              </w:rPr>
            </w:pPr>
            <w:r>
              <w:rPr>
                <w:sz w:val="1"/>
                <w:szCs w:val="24"/>
              </w:rPr>
            </w:r>
          </w:p>
        </w:tc>
        <w:tc>
          <w:tcPr>
            <w:tcW w:type="dxa" w:w="1150"/>
            <w:tcBorders>
              <w:top w:val="nil"/>
              <w:left w:val="nil"/>
              <w:bottom w:val="nil"/>
              <w:right w:val="nil"/>
            </w:tcBorders>
            <w:shd w:fill="auto" w:val="clear"/>
            <w:vAlign w:val="center"/>
          </w:tcPr>
          <w:p>
            <w:pPr>
              <w:pStyle w:val="style0"/>
              <w:rPr>
                <w:sz w:val="1"/>
                <w:szCs w:val="24"/>
              </w:rPr>
            </w:pPr>
            <w:r>
              <w:rPr>
                <w:sz w:val="1"/>
                <w:szCs w:val="24"/>
              </w:rPr>
            </w:r>
          </w:p>
        </w:tc>
        <w:tc>
          <w:tcPr>
            <w:tcW w:type="dxa" w:w="1150"/>
            <w:tcBorders>
              <w:top w:val="nil"/>
              <w:left w:val="nil"/>
              <w:bottom w:val="nil"/>
              <w:right w:val="nil"/>
            </w:tcBorders>
            <w:shd w:fill="auto" w:val="clear"/>
            <w:vAlign w:val="center"/>
          </w:tcPr>
          <w:p>
            <w:pPr>
              <w:pStyle w:val="style0"/>
              <w:rPr>
                <w:sz w:val="1"/>
                <w:szCs w:val="24"/>
              </w:rPr>
            </w:pPr>
            <w:r>
              <w:rPr>
                <w:sz w:val="1"/>
                <w:szCs w:val="24"/>
              </w:rPr>
            </w:r>
          </w:p>
        </w:tc>
        <w:tc>
          <w:tcPr>
            <w:tcW w:type="dxa" w:w="1150"/>
            <w:tcBorders>
              <w:top w:val="nil"/>
              <w:left w:val="nil"/>
              <w:bottom w:val="nil"/>
              <w:right w:val="nil"/>
            </w:tcBorders>
            <w:shd w:fill="auto" w:val="clear"/>
            <w:vAlign w:val="center"/>
          </w:tcPr>
          <w:p>
            <w:pPr>
              <w:pStyle w:val="style0"/>
              <w:rPr>
                <w:sz w:val="1"/>
                <w:szCs w:val="24"/>
              </w:rPr>
            </w:pPr>
            <w:r>
              <w:rPr>
                <w:sz w:val="1"/>
                <w:szCs w:val="24"/>
              </w:rPr>
            </w:r>
          </w:p>
        </w:tc>
        <w:tc>
          <w:tcPr>
            <w:tcW w:type="dxa" w:w="1320"/>
            <w:tcBorders>
              <w:top w:val="nil"/>
              <w:left w:val="nil"/>
              <w:bottom w:val="nil"/>
              <w:right w:val="nil"/>
            </w:tcBorders>
            <w:shd w:fill="auto" w:val="clear"/>
            <w:vAlign w:val="center"/>
          </w:tcPr>
          <w:p>
            <w:pPr>
              <w:pStyle w:val="style0"/>
              <w:rPr>
                <w:sz w:val="1"/>
                <w:szCs w:val="24"/>
              </w:rPr>
            </w:pPr>
            <w:r>
              <w:rPr>
                <w:sz w:val="1"/>
                <w:szCs w:val="24"/>
              </w:rPr>
            </w:r>
          </w:p>
        </w:tc>
        <w:tc>
          <w:tcPr>
            <w:tcW w:type="dxa" w:w="1274"/>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360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150"/>
            <w:tcBorders>
              <w:top w:val="nil"/>
              <w:left w:val="nil"/>
              <w:bottom w:val="nil"/>
              <w:right w:val="nil"/>
            </w:tcBorders>
            <w:shd w:fill="auto" w:val="clear"/>
            <w:tcMar>
              <w:left w:type="dxa" w:w="144"/>
            </w:tcMar>
            <w:vAlign w:val="bottom"/>
          </w:tcPr>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Foreign</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Exchange</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Contracts</w:t>
            </w:r>
          </w:p>
        </w:tc>
        <w:tc>
          <w:tcPr>
            <w:tcW w:type="dxa" w:w="1150"/>
            <w:tcBorders>
              <w:top w:val="nil"/>
              <w:left w:val="nil"/>
              <w:bottom w:val="nil"/>
              <w:right w:val="nil"/>
            </w:tcBorders>
            <w:shd w:fill="auto" w:val="clear"/>
            <w:tcMar>
              <w:left w:type="dxa" w:w="144"/>
            </w:tcMar>
            <w:vAlign w:val="bottom"/>
          </w:tcPr>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Equity</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Contracts</w:t>
            </w:r>
          </w:p>
        </w:tc>
        <w:tc>
          <w:tcPr>
            <w:tcW w:type="dxa" w:w="1150"/>
            <w:tcBorders>
              <w:top w:val="nil"/>
              <w:left w:val="nil"/>
              <w:bottom w:val="nil"/>
              <w:right w:val="nil"/>
            </w:tcBorders>
            <w:shd w:fill="auto" w:val="clear"/>
            <w:tcMar>
              <w:left w:type="dxa" w:w="144"/>
            </w:tcMar>
            <w:vAlign w:val="bottom"/>
          </w:tcPr>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Interest</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Rate</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Contracts</w:t>
            </w:r>
          </w:p>
        </w:tc>
        <w:tc>
          <w:tcPr>
            <w:tcW w:type="dxa" w:w="1150"/>
            <w:tcBorders>
              <w:top w:val="nil"/>
              <w:left w:val="nil"/>
              <w:bottom w:val="nil"/>
              <w:right w:val="nil"/>
            </w:tcBorders>
            <w:shd w:fill="auto" w:val="clear"/>
            <w:tcMar>
              <w:left w:type="dxa" w:w="144"/>
            </w:tcMar>
            <w:vAlign w:val="bottom"/>
          </w:tcPr>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Credit</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Contracts</w:t>
            </w:r>
          </w:p>
        </w:tc>
        <w:tc>
          <w:tcPr>
            <w:tcW w:type="dxa" w:w="1320"/>
            <w:tcBorders>
              <w:top w:val="nil"/>
              <w:left w:val="nil"/>
              <w:bottom w:val="nil"/>
              <w:right w:val="nil"/>
            </w:tcBorders>
            <w:shd w:fill="auto" w:val="clear"/>
            <w:tcMar>
              <w:left w:type="dxa" w:w="144"/>
            </w:tcMar>
            <w:vAlign w:val="bottom"/>
          </w:tcPr>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Commodity</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Contracts</w:t>
            </w:r>
          </w:p>
        </w:tc>
        <w:tc>
          <w:tcPr>
            <w:tcW w:type="dxa" w:w="1274"/>
            <w:tcBorders>
              <w:top w:val="nil"/>
              <w:left w:val="nil"/>
              <w:bottom w:val="nil"/>
              <w:right w:val="nil"/>
            </w:tcBorders>
            <w:shd w:fill="auto" w:val="clear"/>
            <w:tcMar>
              <w:left w:type="dxa" w:w="144"/>
            </w:tcMar>
            <w:vAlign w:val="bottom"/>
          </w:tcPr>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Total</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Derivatives</w:t>
            </w:r>
          </w:p>
        </w:tc>
      </w:tr>
      <w:tr>
        <w:trPr>
          <w:cantSplit w:val="false"/>
        </w:trPr>
        <w:tc>
          <w:tcPr>
            <w:tcW w:type="dxa" w:w="10799"/>
            <w:gridSpan w:val="7"/>
            <w:tcBorders>
              <w:top w:val="nil"/>
              <w:left w:val="nil"/>
              <w:bottom w:val="nil"/>
              <w:right w:val="nil"/>
            </w:tcBorders>
            <w:shd w:fill="auto" w:val="clear"/>
            <w:tcMar>
              <w:left w:type="dxa" w:w="144"/>
            </w:tcMar>
            <w:vAlign w:val="bottom"/>
          </w:tcPr>
          <w:p>
            <w:pPr>
              <w:pStyle w:val="style59"/>
              <w:spacing w:after="0" w:before="20"/>
              <w:ind w:hanging="0" w:left="-418" w:right="86"/>
              <w:contextualSpacing w:val="false"/>
              <w:rPr/>
            </w:pPr>
            <w:r>
              <w:rPr/>
              <w:t> </w:t>
            </w:r>
          </w:p>
        </w:tc>
      </w:tr>
      <w:tr>
        <w:trPr>
          <w:trHeight w:hRule="atLeast" w:val="75"/>
          <w:cantSplit w:val="false"/>
        </w:trPr>
        <w:tc>
          <w:tcPr>
            <w:tcW w:type="dxa" w:w="3605"/>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rPr>
                <w:sz w:val="8"/>
                <w:szCs w:val="24"/>
              </w:rPr>
            </w:pPr>
            <w:r>
              <w:rPr>
                <w:sz w:val="8"/>
                <w:szCs w:val="24"/>
              </w:rPr>
            </w:r>
          </w:p>
        </w:tc>
        <w:tc>
          <w:tcPr>
            <w:tcW w:type="dxa" w:w="1320"/>
            <w:tcBorders>
              <w:top w:val="nil"/>
              <w:left w:val="nil"/>
              <w:bottom w:val="nil"/>
              <w:right w:val="nil"/>
            </w:tcBorders>
            <w:shd w:fill="auto" w:val="clear"/>
            <w:vAlign w:val="center"/>
          </w:tcPr>
          <w:p>
            <w:pPr>
              <w:pStyle w:val="style0"/>
              <w:rPr>
                <w:sz w:val="8"/>
                <w:szCs w:val="24"/>
              </w:rPr>
            </w:pPr>
            <w:r>
              <w:rPr>
                <w:sz w:val="8"/>
                <w:szCs w:val="24"/>
              </w:rPr>
            </w:r>
          </w:p>
        </w:tc>
        <w:tc>
          <w:tcPr>
            <w:tcW w:type="dxa" w:w="1274"/>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360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 2012</w:t>
            </w:r>
          </w:p>
        </w:tc>
        <w:tc>
          <w:tcPr>
            <w:tcW w:type="dxa" w:w="1150"/>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5"/>
              <w:rPr/>
            </w:pPr>
            <w:r>
              <w:rPr/>
              <w:t> </w:t>
            </w:r>
          </w:p>
        </w:tc>
        <w:tc>
          <w:tcPr>
            <w:tcW w:type="dxa" w:w="1320"/>
            <w:tcBorders>
              <w:top w:val="nil"/>
              <w:left w:val="nil"/>
              <w:bottom w:val="nil"/>
              <w:right w:val="nil"/>
            </w:tcBorders>
            <w:shd w:fill="auto" w:val="clear"/>
            <w:tcMar>
              <w:left w:type="dxa" w:w="144"/>
            </w:tcMar>
            <w:vAlign w:val="bottom"/>
          </w:tcPr>
          <w:p>
            <w:pPr>
              <w:pStyle w:val="style65"/>
              <w:rPr/>
            </w:pPr>
            <w:r>
              <w:rPr/>
              <w:t> </w:t>
            </w:r>
          </w:p>
        </w:tc>
        <w:tc>
          <w:tcPr>
            <w:tcW w:type="dxa" w:w="1274"/>
            <w:tcBorders>
              <w:top w:val="nil"/>
              <w:left w:val="nil"/>
              <w:bottom w:val="nil"/>
              <w:right w:val="nil"/>
            </w:tcBorders>
            <w:shd w:fill="auto" w:val="clear"/>
            <w:tcMar>
              <w:left w:type="dxa" w:w="144"/>
            </w:tcMar>
            <w:vAlign w:val="bottom"/>
          </w:tcPr>
          <w:p>
            <w:pPr>
              <w:pStyle w:val="style65"/>
              <w:rPr/>
            </w:pPr>
            <w:r>
              <w:rPr/>
              <w:t> </w:t>
            </w:r>
          </w:p>
        </w:tc>
      </w:tr>
      <w:tr>
        <w:trPr>
          <w:trHeight w:hRule="atLeast" w:val="75"/>
          <w:cantSplit w:val="false"/>
        </w:trPr>
        <w:tc>
          <w:tcPr>
            <w:tcW w:type="dxa" w:w="3605"/>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rPr>
                <w:sz w:val="8"/>
                <w:szCs w:val="24"/>
              </w:rPr>
            </w:pPr>
            <w:r>
              <w:rPr>
                <w:sz w:val="8"/>
                <w:szCs w:val="24"/>
              </w:rPr>
            </w:r>
          </w:p>
        </w:tc>
        <w:tc>
          <w:tcPr>
            <w:tcW w:type="dxa" w:w="1320"/>
            <w:tcBorders>
              <w:top w:val="nil"/>
              <w:left w:val="nil"/>
              <w:bottom w:val="nil"/>
              <w:right w:val="nil"/>
            </w:tcBorders>
            <w:shd w:fill="auto" w:val="clear"/>
            <w:vAlign w:val="center"/>
          </w:tcPr>
          <w:p>
            <w:pPr>
              <w:pStyle w:val="style0"/>
              <w:rPr>
                <w:sz w:val="8"/>
                <w:szCs w:val="24"/>
              </w:rPr>
            </w:pPr>
            <w:r>
              <w:rPr>
                <w:sz w:val="8"/>
                <w:szCs w:val="24"/>
              </w:rPr>
            </w:r>
          </w:p>
        </w:tc>
        <w:tc>
          <w:tcPr>
            <w:tcW w:type="dxa" w:w="1274"/>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360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Assets</w:t>
            </w:r>
          </w:p>
        </w:tc>
        <w:tc>
          <w:tcPr>
            <w:tcW w:type="dxa" w:w="1150"/>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5"/>
              <w:rPr/>
            </w:pPr>
            <w:r>
              <w:rPr/>
              <w:t> </w:t>
            </w:r>
          </w:p>
        </w:tc>
        <w:tc>
          <w:tcPr>
            <w:tcW w:type="dxa" w:w="1320"/>
            <w:tcBorders>
              <w:top w:val="nil"/>
              <w:left w:val="nil"/>
              <w:bottom w:val="nil"/>
              <w:right w:val="nil"/>
            </w:tcBorders>
            <w:shd w:fill="auto" w:val="clear"/>
            <w:tcMar>
              <w:left w:type="dxa" w:w="144"/>
            </w:tcMar>
            <w:vAlign w:val="bottom"/>
          </w:tcPr>
          <w:p>
            <w:pPr>
              <w:pStyle w:val="style65"/>
              <w:rPr/>
            </w:pPr>
            <w:r>
              <w:rPr/>
              <w:t> </w:t>
            </w:r>
          </w:p>
        </w:tc>
        <w:tc>
          <w:tcPr>
            <w:tcW w:type="dxa" w:w="1274"/>
            <w:tcBorders>
              <w:top w:val="nil"/>
              <w:left w:val="nil"/>
              <w:bottom w:val="nil"/>
              <w:right w:val="nil"/>
            </w:tcBorders>
            <w:shd w:fill="auto" w:val="clear"/>
            <w:tcMar>
              <w:left w:type="dxa" w:w="144"/>
            </w:tcMar>
            <w:vAlign w:val="bottom"/>
          </w:tcPr>
          <w:p>
            <w:pPr>
              <w:pStyle w:val="style65"/>
              <w:rPr/>
            </w:pPr>
            <w:r>
              <w:rPr/>
              <w:t> </w:t>
            </w:r>
          </w:p>
        </w:tc>
      </w:tr>
      <w:tr>
        <w:trPr>
          <w:trHeight w:hRule="atLeast" w:val="75"/>
          <w:cantSplit w:val="false"/>
        </w:trPr>
        <w:tc>
          <w:tcPr>
            <w:tcW w:type="dxa" w:w="3605"/>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rPr>
                <w:sz w:val="8"/>
                <w:szCs w:val="24"/>
              </w:rPr>
            </w:pPr>
            <w:r>
              <w:rPr>
                <w:sz w:val="8"/>
                <w:szCs w:val="24"/>
              </w:rPr>
            </w:r>
          </w:p>
        </w:tc>
        <w:tc>
          <w:tcPr>
            <w:tcW w:type="dxa" w:w="1320"/>
            <w:tcBorders>
              <w:top w:val="nil"/>
              <w:left w:val="nil"/>
              <w:bottom w:val="nil"/>
              <w:right w:val="nil"/>
            </w:tcBorders>
            <w:shd w:fill="auto" w:val="clear"/>
            <w:vAlign w:val="center"/>
          </w:tcPr>
          <w:p>
            <w:pPr>
              <w:pStyle w:val="style0"/>
              <w:rPr>
                <w:sz w:val="8"/>
                <w:szCs w:val="24"/>
              </w:rPr>
            </w:pPr>
            <w:r>
              <w:rPr>
                <w:sz w:val="8"/>
                <w:szCs w:val="24"/>
              </w:rPr>
            </w:r>
          </w:p>
        </w:tc>
        <w:tc>
          <w:tcPr>
            <w:tcW w:type="dxa" w:w="1274"/>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3605"/>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Non-designated hedge derivatives:</w:t>
            </w:r>
          </w:p>
        </w:tc>
        <w:tc>
          <w:tcPr>
            <w:tcW w:type="dxa" w:w="1150"/>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5"/>
              <w:rPr/>
            </w:pPr>
            <w:r>
              <w:rPr/>
              <w:t> </w:t>
            </w:r>
          </w:p>
        </w:tc>
        <w:tc>
          <w:tcPr>
            <w:tcW w:type="dxa" w:w="1320"/>
            <w:tcBorders>
              <w:top w:val="nil"/>
              <w:left w:val="nil"/>
              <w:bottom w:val="nil"/>
              <w:right w:val="nil"/>
            </w:tcBorders>
            <w:shd w:fill="auto" w:val="clear"/>
            <w:tcMar>
              <w:left w:type="dxa" w:w="144"/>
            </w:tcMar>
            <w:vAlign w:val="bottom"/>
          </w:tcPr>
          <w:p>
            <w:pPr>
              <w:pStyle w:val="style65"/>
              <w:rPr/>
            </w:pPr>
            <w:r>
              <w:rPr/>
              <w:t> </w:t>
            </w:r>
          </w:p>
        </w:tc>
        <w:tc>
          <w:tcPr>
            <w:tcW w:type="dxa" w:w="1274"/>
            <w:tcBorders>
              <w:top w:val="nil"/>
              <w:left w:val="nil"/>
              <w:bottom w:val="nil"/>
              <w:right w:val="nil"/>
            </w:tcBorders>
            <w:shd w:fill="auto" w:val="clear"/>
            <w:tcMar>
              <w:left w:type="dxa" w:w="144"/>
            </w:tcMar>
            <w:vAlign w:val="bottom"/>
          </w:tcPr>
          <w:p>
            <w:pPr>
              <w:pStyle w:val="style65"/>
              <w:rPr/>
            </w:pPr>
            <w:r>
              <w:rPr/>
              <w:t> </w:t>
            </w:r>
          </w:p>
        </w:tc>
      </w:tr>
      <w:tr>
        <w:trPr>
          <w:cantSplit w:val="false"/>
        </w:trPr>
        <w:tc>
          <w:tcPr>
            <w:tcW w:type="dxa" w:w="3605"/>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Short-term investments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     14</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  162</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   10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   26</w:t>
              <w:tab/>
            </w:r>
          </w:p>
        </w:tc>
        <w:tc>
          <w:tcPr>
            <w:tcW w:type="dxa" w:w="132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48" w:right="101"/>
              <w:contextualSpacing w:val="false"/>
              <w:rPr>
                <w:rFonts w:ascii="Arial" w:cs="Arial" w:hAnsi="Arial"/>
                <w:sz w:val="20"/>
                <w:szCs w:val="20"/>
              </w:rPr>
            </w:pPr>
            <w:r>
              <w:rPr>
                <w:rFonts w:ascii="Arial" w:cs="Arial" w:hAnsi="Arial"/>
                <w:sz w:val="20"/>
                <w:szCs w:val="20"/>
              </w:rPr>
              <w:t>$</w:t>
              <w:tab/>
              <w:t>   3</w:t>
              <w:tab/>
              <w:t> </w:t>
            </w:r>
          </w:p>
        </w:tc>
        <w:tc>
          <w:tcPr>
            <w:tcW w:type="dxa" w:w="1274"/>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   215</w:t>
              <w:tab/>
            </w:r>
          </w:p>
        </w:tc>
      </w:tr>
      <w:tr>
        <w:trPr>
          <w:cantSplit w:val="false"/>
        </w:trPr>
        <w:tc>
          <w:tcPr>
            <w:tcW w:type="dxa" w:w="3605"/>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Other current assets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ab/>
              <w:t>85</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ab/>
              <w:t>0</w:t>
              <w:tab/>
            </w:r>
          </w:p>
        </w:tc>
        <w:tc>
          <w:tcPr>
            <w:tcW w:type="dxa" w:w="132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48" w:right="101"/>
              <w:contextualSpacing w:val="false"/>
              <w:rPr>
                <w:rFonts w:ascii="Arial" w:cs="Arial" w:hAnsi="Arial"/>
                <w:sz w:val="20"/>
                <w:szCs w:val="20"/>
              </w:rPr>
            </w:pPr>
            <w:r>
              <w:rPr>
                <w:rFonts w:ascii="Arial" w:cs="Arial" w:hAnsi="Arial"/>
                <w:sz w:val="20"/>
                <w:szCs w:val="20"/>
              </w:rPr>
              <w:tab/>
              <w:t>0</w:t>
              <w:tab/>
            </w:r>
          </w:p>
        </w:tc>
        <w:tc>
          <w:tcPr>
            <w:tcW w:type="dxa" w:w="1274"/>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88" w:right="101"/>
              <w:contextualSpacing w:val="false"/>
              <w:rPr>
                <w:rFonts w:ascii="Arial" w:cs="Arial" w:hAnsi="Arial"/>
                <w:sz w:val="20"/>
                <w:szCs w:val="20"/>
              </w:rPr>
            </w:pPr>
            <w:r>
              <w:rPr>
                <w:rFonts w:ascii="Arial" w:cs="Arial" w:hAnsi="Arial"/>
                <w:sz w:val="20"/>
                <w:szCs w:val="20"/>
              </w:rPr>
              <w:tab/>
              <w:t>85</w:t>
              <w:tab/>
            </w:r>
          </w:p>
        </w:tc>
      </w:tr>
      <w:tr>
        <w:trPr>
          <w:cantSplit w:val="false"/>
        </w:trPr>
        <w:tc>
          <w:tcPr>
            <w:tcW w:type="dxa" w:w="4755"/>
            <w:gridSpan w:val="2"/>
            <w:tcBorders>
              <w:top w:val="nil"/>
              <w:left w:val="nil"/>
              <w:bottom w:val="nil"/>
              <w:right w:val="nil"/>
            </w:tcBorders>
            <w:shd w:fill="auto" w:val="clear"/>
            <w:vAlign w:val="bottom"/>
          </w:tcPr>
          <w:p>
            <w:pPr>
              <w:pStyle w:val="style59"/>
              <w:spacing w:after="0" w:before="20"/>
              <w:ind w:hanging="0" w:left="-414"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288"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360"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360" w:right="101"/>
              <w:contextualSpacing w:val="false"/>
              <w:rPr/>
            </w:pPr>
            <w:r>
              <w:rPr/>
              <w:t> </w:t>
            </w:r>
          </w:p>
        </w:tc>
        <w:tc>
          <w:tcPr>
            <w:tcW w:type="dxa" w:w="1320"/>
            <w:tcBorders>
              <w:top w:val="nil"/>
              <w:left w:val="nil"/>
              <w:bottom w:val="nil"/>
              <w:right w:val="nil"/>
            </w:tcBorders>
            <w:shd w:fill="auto" w:val="clear"/>
            <w:tcMar>
              <w:left w:type="dxa" w:w="144"/>
            </w:tcMar>
            <w:vAlign w:val="bottom"/>
          </w:tcPr>
          <w:p>
            <w:pPr>
              <w:pStyle w:val="style59"/>
              <w:spacing w:after="0" w:before="20"/>
              <w:ind w:hanging="0" w:left="648" w:right="101"/>
              <w:contextualSpacing w:val="false"/>
              <w:rPr/>
            </w:pPr>
            <w:r>
              <w:rPr/>
              <w:t> </w:t>
            </w:r>
          </w:p>
        </w:tc>
        <w:tc>
          <w:tcPr>
            <w:tcW w:type="dxa" w:w="1274"/>
            <w:tcBorders>
              <w:top w:val="nil"/>
              <w:left w:val="nil"/>
              <w:bottom w:val="nil"/>
              <w:right w:val="nil"/>
            </w:tcBorders>
            <w:shd w:fill="auto" w:val="clear"/>
            <w:tcMar>
              <w:left w:type="dxa" w:w="144"/>
            </w:tcMar>
            <w:vAlign w:val="bottom"/>
          </w:tcPr>
          <w:p>
            <w:pPr>
              <w:pStyle w:val="style59"/>
              <w:spacing w:after="0" w:before="20"/>
              <w:ind w:hanging="0" w:left="288" w:right="101"/>
              <w:contextualSpacing w:val="false"/>
              <w:rPr/>
            </w:pPr>
            <w:r>
              <w:rPr/>
              <w:t> </w:t>
            </w:r>
          </w:p>
        </w:tc>
      </w:tr>
      <w:tr>
        <w:trPr>
          <w:cantSplit w:val="false"/>
        </w:trPr>
        <w:tc>
          <w:tcPr>
            <w:tcW w:type="dxa" w:w="3605"/>
            <w:tcBorders>
              <w:top w:val="nil"/>
              <w:left w:val="nil"/>
              <w:bottom w:val="nil"/>
              <w:right w:val="nil"/>
            </w:tcBorders>
            <w:shd w:fill="auto" w:val="clear"/>
          </w:tcPr>
          <w:p>
            <w:pPr>
              <w:pStyle w:val="style62"/>
              <w:spacing w:after="280" w:before="280"/>
              <w:ind w:hanging="240" w:left="1200" w:right="0"/>
              <w:contextualSpacing w:val="false"/>
              <w:rPr>
                <w:rFonts w:ascii="Arial" w:cs="Arial" w:hAnsi="Arial"/>
                <w:sz w:val="20"/>
                <w:szCs w:val="20"/>
              </w:rPr>
            </w:pPr>
            <w:r>
              <w:rPr>
                <w:rFonts w:ascii="Arial" w:cs="Arial" w:hAnsi="Arial"/>
                <w:sz w:val="20"/>
                <w:szCs w:val="20"/>
              </w:rPr>
              <w:t>Total</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99</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162</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10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26</w:t>
              <w:tab/>
            </w:r>
          </w:p>
        </w:tc>
        <w:tc>
          <w:tcPr>
            <w:tcW w:type="dxa" w:w="132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48" w:right="101"/>
              <w:contextualSpacing w:val="false"/>
              <w:rPr>
                <w:rFonts w:ascii="Arial" w:cs="Arial" w:hAnsi="Arial"/>
                <w:sz w:val="20"/>
                <w:szCs w:val="20"/>
              </w:rPr>
            </w:pPr>
            <w:r>
              <w:rPr>
                <w:rFonts w:ascii="Arial" w:cs="Arial" w:hAnsi="Arial"/>
                <w:sz w:val="20"/>
                <w:szCs w:val="20"/>
              </w:rPr>
              <w:t>$</w:t>
              <w:tab/>
              <w:t>3</w:t>
              <w:tab/>
            </w:r>
          </w:p>
        </w:tc>
        <w:tc>
          <w:tcPr>
            <w:tcW w:type="dxa" w:w="1274"/>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300</w:t>
              <w:tab/>
            </w:r>
          </w:p>
        </w:tc>
      </w:tr>
      <w:tr>
        <w:trPr>
          <w:cantSplit w:val="false"/>
        </w:trPr>
        <w:tc>
          <w:tcPr>
            <w:tcW w:type="dxa" w:w="3605"/>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Designated hedge derivatives:</w:t>
            </w:r>
          </w:p>
        </w:tc>
        <w:tc>
          <w:tcPr>
            <w:tcW w:type="dxa" w:w="1150"/>
            <w:tcBorders>
              <w:top w:val="nil"/>
              <w:left w:val="nil"/>
              <w:bottom w:val="nil"/>
              <w:right w:val="nil"/>
            </w:tcBorders>
            <w:shd w:fill="auto" w:val="clear"/>
            <w:tcMar>
              <w:left w:type="dxa" w:w="144"/>
            </w:tcMar>
            <w:vAlign w:val="bottom"/>
          </w:tcPr>
          <w:p>
            <w:pPr>
              <w:pStyle w:val="style65"/>
              <w:ind w:hanging="0" w:left="288"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288"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360"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360" w:right="101"/>
              <w:rPr/>
            </w:pPr>
            <w:r>
              <w:rPr/>
              <w:t> </w:t>
            </w:r>
          </w:p>
        </w:tc>
        <w:tc>
          <w:tcPr>
            <w:tcW w:type="dxa" w:w="1320"/>
            <w:tcBorders>
              <w:top w:val="nil"/>
              <w:left w:val="nil"/>
              <w:bottom w:val="nil"/>
              <w:right w:val="nil"/>
            </w:tcBorders>
            <w:shd w:fill="auto" w:val="clear"/>
            <w:tcMar>
              <w:left w:type="dxa" w:w="144"/>
            </w:tcMar>
            <w:vAlign w:val="bottom"/>
          </w:tcPr>
          <w:p>
            <w:pPr>
              <w:pStyle w:val="style65"/>
              <w:ind w:hanging="0" w:left="648" w:right="101"/>
              <w:rPr/>
            </w:pPr>
            <w:r>
              <w:rPr/>
              <w:t> </w:t>
            </w:r>
          </w:p>
        </w:tc>
        <w:tc>
          <w:tcPr>
            <w:tcW w:type="dxa" w:w="1274"/>
            <w:tcBorders>
              <w:top w:val="nil"/>
              <w:left w:val="nil"/>
              <w:bottom w:val="nil"/>
              <w:right w:val="nil"/>
            </w:tcBorders>
            <w:shd w:fill="auto" w:val="clear"/>
            <w:tcMar>
              <w:left w:type="dxa" w:w="144"/>
            </w:tcMar>
            <w:vAlign w:val="bottom"/>
          </w:tcPr>
          <w:p>
            <w:pPr>
              <w:pStyle w:val="style65"/>
              <w:ind w:hanging="0" w:left="288" w:right="101"/>
              <w:rPr/>
            </w:pPr>
            <w:r>
              <w:rPr/>
              <w:t> </w:t>
            </w:r>
          </w:p>
        </w:tc>
      </w:tr>
      <w:tr>
        <w:trPr>
          <w:cantSplit w:val="false"/>
        </w:trPr>
        <w:tc>
          <w:tcPr>
            <w:tcW w:type="dxa" w:w="3605"/>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Short-term investments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6</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0</w:t>
              <w:tab/>
            </w:r>
          </w:p>
        </w:tc>
        <w:tc>
          <w:tcPr>
            <w:tcW w:type="dxa" w:w="132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48" w:right="101"/>
              <w:contextualSpacing w:val="false"/>
              <w:rPr>
                <w:rFonts w:ascii="Arial" w:cs="Arial" w:hAnsi="Arial"/>
                <w:sz w:val="20"/>
                <w:szCs w:val="20"/>
              </w:rPr>
            </w:pPr>
            <w:r>
              <w:rPr>
                <w:rFonts w:ascii="Arial" w:cs="Arial" w:hAnsi="Arial"/>
                <w:sz w:val="20"/>
                <w:szCs w:val="20"/>
              </w:rPr>
              <w:t>$</w:t>
              <w:tab/>
              <w:t>0</w:t>
              <w:tab/>
            </w:r>
          </w:p>
        </w:tc>
        <w:tc>
          <w:tcPr>
            <w:tcW w:type="dxa" w:w="1274"/>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6</w:t>
              <w:tab/>
            </w:r>
          </w:p>
        </w:tc>
      </w:tr>
      <w:tr>
        <w:trPr>
          <w:cantSplit w:val="false"/>
        </w:trPr>
        <w:tc>
          <w:tcPr>
            <w:tcW w:type="dxa" w:w="3605"/>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Other current assets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ab/>
              <w:t>177</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ab/>
              <w:t>0</w:t>
              <w:tab/>
            </w:r>
          </w:p>
        </w:tc>
        <w:tc>
          <w:tcPr>
            <w:tcW w:type="dxa" w:w="132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48" w:right="101"/>
              <w:contextualSpacing w:val="false"/>
              <w:rPr>
                <w:rFonts w:ascii="Arial" w:cs="Arial" w:hAnsi="Arial"/>
                <w:sz w:val="20"/>
                <w:szCs w:val="20"/>
              </w:rPr>
            </w:pPr>
            <w:r>
              <w:rPr>
                <w:rFonts w:ascii="Arial" w:cs="Arial" w:hAnsi="Arial"/>
                <w:sz w:val="20"/>
                <w:szCs w:val="20"/>
              </w:rPr>
              <w:tab/>
              <w:t>0</w:t>
              <w:tab/>
            </w:r>
          </w:p>
        </w:tc>
        <w:tc>
          <w:tcPr>
            <w:tcW w:type="dxa" w:w="1274"/>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88" w:right="101"/>
              <w:contextualSpacing w:val="false"/>
              <w:rPr>
                <w:rFonts w:ascii="Arial" w:cs="Arial" w:hAnsi="Arial"/>
                <w:sz w:val="20"/>
                <w:szCs w:val="20"/>
              </w:rPr>
            </w:pPr>
            <w:r>
              <w:rPr>
                <w:rFonts w:ascii="Arial" w:cs="Arial" w:hAnsi="Arial"/>
                <w:sz w:val="20"/>
                <w:szCs w:val="20"/>
              </w:rPr>
              <w:tab/>
              <w:t>177</w:t>
              <w:tab/>
            </w:r>
          </w:p>
        </w:tc>
      </w:tr>
      <w:tr>
        <w:trPr>
          <w:cantSplit w:val="false"/>
        </w:trPr>
        <w:tc>
          <w:tcPr>
            <w:tcW w:type="dxa" w:w="4755"/>
            <w:gridSpan w:val="2"/>
            <w:tcBorders>
              <w:top w:val="nil"/>
              <w:left w:val="nil"/>
              <w:bottom w:val="nil"/>
              <w:right w:val="nil"/>
            </w:tcBorders>
            <w:shd w:fill="auto" w:val="clear"/>
            <w:vAlign w:val="bottom"/>
          </w:tcPr>
          <w:p>
            <w:pPr>
              <w:pStyle w:val="style59"/>
              <w:spacing w:after="0" w:before="20"/>
              <w:ind w:hanging="0" w:left="-414"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288"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360"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360" w:right="101"/>
              <w:contextualSpacing w:val="false"/>
              <w:rPr/>
            </w:pPr>
            <w:r>
              <w:rPr/>
              <w:t> </w:t>
            </w:r>
          </w:p>
        </w:tc>
        <w:tc>
          <w:tcPr>
            <w:tcW w:type="dxa" w:w="1320"/>
            <w:tcBorders>
              <w:top w:val="nil"/>
              <w:left w:val="nil"/>
              <w:bottom w:val="nil"/>
              <w:right w:val="nil"/>
            </w:tcBorders>
            <w:shd w:fill="auto" w:val="clear"/>
            <w:tcMar>
              <w:left w:type="dxa" w:w="144"/>
            </w:tcMar>
            <w:vAlign w:val="bottom"/>
          </w:tcPr>
          <w:p>
            <w:pPr>
              <w:pStyle w:val="style59"/>
              <w:spacing w:after="0" w:before="20"/>
              <w:ind w:hanging="0" w:left="648" w:right="101"/>
              <w:contextualSpacing w:val="false"/>
              <w:rPr/>
            </w:pPr>
            <w:r>
              <w:rPr/>
              <w:t> </w:t>
            </w:r>
          </w:p>
        </w:tc>
        <w:tc>
          <w:tcPr>
            <w:tcW w:type="dxa" w:w="1274"/>
            <w:tcBorders>
              <w:top w:val="nil"/>
              <w:left w:val="nil"/>
              <w:bottom w:val="nil"/>
              <w:right w:val="nil"/>
            </w:tcBorders>
            <w:shd w:fill="auto" w:val="clear"/>
            <w:tcMar>
              <w:left w:type="dxa" w:w="144"/>
            </w:tcMar>
            <w:vAlign w:val="bottom"/>
          </w:tcPr>
          <w:p>
            <w:pPr>
              <w:pStyle w:val="style59"/>
              <w:spacing w:after="0" w:before="20"/>
              <w:ind w:hanging="0" w:left="288" w:right="101"/>
              <w:contextualSpacing w:val="false"/>
              <w:rPr/>
            </w:pPr>
            <w:r>
              <w:rPr/>
              <w:t> </w:t>
            </w:r>
          </w:p>
        </w:tc>
      </w:tr>
      <w:tr>
        <w:trPr>
          <w:cantSplit w:val="false"/>
        </w:trPr>
        <w:tc>
          <w:tcPr>
            <w:tcW w:type="dxa" w:w="3605"/>
            <w:tcBorders>
              <w:top w:val="nil"/>
              <w:left w:val="nil"/>
              <w:bottom w:val="nil"/>
              <w:right w:val="nil"/>
            </w:tcBorders>
            <w:shd w:fill="auto" w:val="clear"/>
          </w:tcPr>
          <w:p>
            <w:pPr>
              <w:pStyle w:val="style62"/>
              <w:spacing w:after="280" w:before="280"/>
              <w:ind w:hanging="240" w:left="1200" w:right="0"/>
              <w:contextualSpacing w:val="false"/>
              <w:rPr>
                <w:rFonts w:ascii="Arial" w:cs="Arial" w:hAnsi="Arial"/>
                <w:sz w:val="20"/>
                <w:szCs w:val="20"/>
              </w:rPr>
            </w:pPr>
            <w:r>
              <w:rPr>
                <w:rFonts w:ascii="Arial" w:cs="Arial" w:hAnsi="Arial"/>
                <w:sz w:val="20"/>
                <w:szCs w:val="20"/>
              </w:rPr>
              <w:t>Total</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183</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0</w:t>
              <w:tab/>
            </w:r>
          </w:p>
        </w:tc>
        <w:tc>
          <w:tcPr>
            <w:tcW w:type="dxa" w:w="132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48" w:right="101"/>
              <w:contextualSpacing w:val="false"/>
              <w:rPr>
                <w:rFonts w:ascii="Arial" w:cs="Arial" w:hAnsi="Arial"/>
                <w:sz w:val="20"/>
                <w:szCs w:val="20"/>
              </w:rPr>
            </w:pPr>
            <w:r>
              <w:rPr>
                <w:rFonts w:ascii="Arial" w:cs="Arial" w:hAnsi="Arial"/>
                <w:sz w:val="20"/>
                <w:szCs w:val="20"/>
              </w:rPr>
              <w:t>$</w:t>
              <w:tab/>
              <w:t>0</w:t>
              <w:tab/>
            </w:r>
          </w:p>
        </w:tc>
        <w:tc>
          <w:tcPr>
            <w:tcW w:type="dxa" w:w="1274"/>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183</w:t>
              <w:tab/>
            </w:r>
          </w:p>
        </w:tc>
      </w:tr>
      <w:tr>
        <w:trPr>
          <w:cantSplit w:val="false"/>
        </w:trPr>
        <w:tc>
          <w:tcPr>
            <w:tcW w:type="dxa" w:w="3605"/>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360"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360" w:right="101"/>
              <w:contextualSpacing w:val="false"/>
              <w:rPr/>
            </w:pPr>
            <w:r>
              <w:rPr/>
              <w:t> </w:t>
            </w:r>
          </w:p>
        </w:tc>
        <w:tc>
          <w:tcPr>
            <w:tcW w:type="dxa" w:w="1320"/>
            <w:tcBorders>
              <w:top w:val="nil"/>
              <w:left w:val="nil"/>
              <w:bottom w:val="nil"/>
              <w:right w:val="nil"/>
            </w:tcBorders>
            <w:shd w:fill="auto" w:val="clear"/>
            <w:tcMar>
              <w:left w:type="dxa" w:w="144"/>
            </w:tcMar>
            <w:vAlign w:val="bottom"/>
          </w:tcPr>
          <w:p>
            <w:pPr>
              <w:pStyle w:val="style63"/>
              <w:spacing w:after="0" w:before="20"/>
              <w:ind w:hanging="0" w:left="648" w:right="101"/>
              <w:contextualSpacing w:val="false"/>
              <w:rPr/>
            </w:pPr>
            <w:r>
              <w:rPr/>
              <w:t> </w:t>
            </w:r>
          </w:p>
        </w:tc>
        <w:tc>
          <w:tcPr>
            <w:tcW w:type="dxa" w:w="1274"/>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r>
      <w:tr>
        <w:trPr>
          <w:cantSplit w:val="false"/>
        </w:trPr>
        <w:tc>
          <w:tcPr>
            <w:tcW w:type="dxa" w:w="3605"/>
            <w:tcBorders>
              <w:top w:val="nil"/>
              <w:left w:val="nil"/>
              <w:bottom w:val="nil"/>
              <w:right w:val="nil"/>
            </w:tcBorders>
            <w:shd w:fill="auto" w:val="clear"/>
          </w:tcPr>
          <w:p>
            <w:pPr>
              <w:pStyle w:val="style62"/>
              <w:spacing w:after="280" w:before="280"/>
              <w:ind w:hanging="240" w:left="1680" w:right="0"/>
              <w:contextualSpacing w:val="false"/>
              <w:rPr>
                <w:rFonts w:ascii="Arial" w:cs="Arial" w:hAnsi="Arial"/>
                <w:sz w:val="20"/>
                <w:szCs w:val="20"/>
              </w:rPr>
            </w:pPr>
            <w:r>
              <w:rPr>
                <w:rFonts w:ascii="Arial" w:cs="Arial" w:hAnsi="Arial"/>
                <w:sz w:val="20"/>
                <w:szCs w:val="20"/>
              </w:rPr>
              <w:t>Total assets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282</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162</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10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26</w:t>
              <w:tab/>
            </w:r>
          </w:p>
        </w:tc>
        <w:tc>
          <w:tcPr>
            <w:tcW w:type="dxa" w:w="132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48" w:right="101"/>
              <w:contextualSpacing w:val="false"/>
              <w:rPr>
                <w:rFonts w:ascii="Arial" w:cs="Arial" w:hAnsi="Arial"/>
                <w:sz w:val="20"/>
                <w:szCs w:val="20"/>
              </w:rPr>
            </w:pPr>
            <w:r>
              <w:rPr>
                <w:rFonts w:ascii="Arial" w:cs="Arial" w:hAnsi="Arial"/>
                <w:sz w:val="20"/>
                <w:szCs w:val="20"/>
              </w:rPr>
              <w:t>$</w:t>
              <w:tab/>
              <w:t>3</w:t>
              <w:tab/>
            </w:r>
          </w:p>
        </w:tc>
        <w:tc>
          <w:tcPr>
            <w:tcW w:type="dxa" w:w="1274"/>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483</w:t>
              <w:tab/>
            </w:r>
          </w:p>
        </w:tc>
      </w:tr>
      <w:tr>
        <w:trPr>
          <w:cantSplit w:val="false"/>
        </w:trPr>
        <w:tc>
          <w:tcPr>
            <w:tcW w:type="dxa" w:w="3605"/>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360"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360" w:right="101"/>
              <w:contextualSpacing w:val="false"/>
              <w:rPr/>
            </w:pPr>
            <w:r>
              <w:rPr/>
              <w:t> </w:t>
            </w:r>
          </w:p>
        </w:tc>
        <w:tc>
          <w:tcPr>
            <w:tcW w:type="dxa" w:w="1320"/>
            <w:tcBorders>
              <w:top w:val="nil"/>
              <w:left w:val="nil"/>
              <w:bottom w:val="nil"/>
              <w:right w:val="nil"/>
            </w:tcBorders>
            <w:shd w:fill="auto" w:val="clear"/>
            <w:tcMar>
              <w:left w:type="dxa" w:w="144"/>
            </w:tcMar>
            <w:vAlign w:val="bottom"/>
          </w:tcPr>
          <w:p>
            <w:pPr>
              <w:pStyle w:val="style63"/>
              <w:spacing w:after="0" w:before="20"/>
              <w:ind w:hanging="0" w:left="648" w:right="101"/>
              <w:contextualSpacing w:val="false"/>
              <w:rPr/>
            </w:pPr>
            <w:r>
              <w:rPr/>
              <w:t> </w:t>
            </w:r>
          </w:p>
        </w:tc>
        <w:tc>
          <w:tcPr>
            <w:tcW w:type="dxa" w:w="1274"/>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r>
      <w:tr>
        <w:trPr>
          <w:trHeight w:hRule="atLeast" w:val="75"/>
          <w:cantSplit w:val="false"/>
        </w:trPr>
        <w:tc>
          <w:tcPr>
            <w:tcW w:type="dxa" w:w="3605"/>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288" w:right="101"/>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288" w:right="101"/>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360" w:right="101"/>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360" w:right="101"/>
              <w:rPr>
                <w:sz w:val="8"/>
                <w:szCs w:val="24"/>
              </w:rPr>
            </w:pPr>
            <w:r>
              <w:rPr>
                <w:sz w:val="8"/>
                <w:szCs w:val="24"/>
              </w:rPr>
            </w:r>
          </w:p>
        </w:tc>
        <w:tc>
          <w:tcPr>
            <w:tcW w:type="dxa" w:w="1320"/>
            <w:tcBorders>
              <w:top w:val="nil"/>
              <w:left w:val="nil"/>
              <w:bottom w:val="nil"/>
              <w:right w:val="nil"/>
            </w:tcBorders>
            <w:shd w:fill="auto" w:val="clear"/>
            <w:vAlign w:val="center"/>
          </w:tcPr>
          <w:p>
            <w:pPr>
              <w:pStyle w:val="style0"/>
              <w:ind w:hanging="0" w:left="648" w:right="101"/>
              <w:rPr>
                <w:sz w:val="8"/>
                <w:szCs w:val="24"/>
              </w:rPr>
            </w:pPr>
            <w:r>
              <w:rPr>
                <w:sz w:val="8"/>
                <w:szCs w:val="24"/>
              </w:rPr>
            </w:r>
          </w:p>
        </w:tc>
        <w:tc>
          <w:tcPr>
            <w:tcW w:type="dxa" w:w="1274"/>
            <w:tcBorders>
              <w:top w:val="nil"/>
              <w:left w:val="nil"/>
              <w:bottom w:val="nil"/>
              <w:right w:val="nil"/>
            </w:tcBorders>
            <w:shd w:fill="auto" w:val="clear"/>
            <w:vAlign w:val="center"/>
          </w:tcPr>
          <w:p>
            <w:pPr>
              <w:pStyle w:val="style0"/>
              <w:ind w:hanging="0" w:left="288" w:right="101"/>
              <w:rPr>
                <w:sz w:val="8"/>
                <w:szCs w:val="24"/>
              </w:rPr>
            </w:pPr>
            <w:r>
              <w:rPr>
                <w:sz w:val="8"/>
                <w:szCs w:val="24"/>
              </w:rPr>
            </w:r>
          </w:p>
        </w:tc>
      </w:tr>
      <w:tr>
        <w:trPr>
          <w:cantSplit w:val="false"/>
        </w:trPr>
        <w:tc>
          <w:tcPr>
            <w:tcW w:type="dxa" w:w="360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Liabilities</w:t>
            </w:r>
          </w:p>
        </w:tc>
        <w:tc>
          <w:tcPr>
            <w:tcW w:type="dxa" w:w="1150"/>
            <w:tcBorders>
              <w:top w:val="nil"/>
              <w:left w:val="nil"/>
              <w:bottom w:val="nil"/>
              <w:right w:val="nil"/>
            </w:tcBorders>
            <w:shd w:fill="auto" w:val="clear"/>
            <w:tcMar>
              <w:left w:type="dxa" w:w="144"/>
            </w:tcMar>
            <w:vAlign w:val="bottom"/>
          </w:tcPr>
          <w:p>
            <w:pPr>
              <w:pStyle w:val="style65"/>
              <w:ind w:hanging="0" w:left="288"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288"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360"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360" w:right="101"/>
              <w:rPr/>
            </w:pPr>
            <w:r>
              <w:rPr/>
              <w:t> </w:t>
            </w:r>
          </w:p>
        </w:tc>
        <w:tc>
          <w:tcPr>
            <w:tcW w:type="dxa" w:w="1320"/>
            <w:tcBorders>
              <w:top w:val="nil"/>
              <w:left w:val="nil"/>
              <w:bottom w:val="nil"/>
              <w:right w:val="nil"/>
            </w:tcBorders>
            <w:shd w:fill="auto" w:val="clear"/>
            <w:tcMar>
              <w:left w:type="dxa" w:w="144"/>
            </w:tcMar>
            <w:vAlign w:val="bottom"/>
          </w:tcPr>
          <w:p>
            <w:pPr>
              <w:pStyle w:val="style65"/>
              <w:ind w:hanging="0" w:left="648" w:right="101"/>
              <w:rPr/>
            </w:pPr>
            <w:r>
              <w:rPr/>
              <w:t> </w:t>
            </w:r>
          </w:p>
        </w:tc>
        <w:tc>
          <w:tcPr>
            <w:tcW w:type="dxa" w:w="1274"/>
            <w:tcBorders>
              <w:top w:val="nil"/>
              <w:left w:val="nil"/>
              <w:bottom w:val="nil"/>
              <w:right w:val="nil"/>
            </w:tcBorders>
            <w:shd w:fill="auto" w:val="clear"/>
            <w:tcMar>
              <w:left w:type="dxa" w:w="144"/>
            </w:tcMar>
            <w:vAlign w:val="bottom"/>
          </w:tcPr>
          <w:p>
            <w:pPr>
              <w:pStyle w:val="style65"/>
              <w:ind w:hanging="0" w:left="288" w:right="101"/>
              <w:rPr/>
            </w:pPr>
            <w:r>
              <w:rPr/>
              <w:t> </w:t>
            </w:r>
          </w:p>
        </w:tc>
      </w:tr>
      <w:tr>
        <w:trPr>
          <w:trHeight w:hRule="atLeast" w:val="75"/>
          <w:cantSplit w:val="false"/>
        </w:trPr>
        <w:tc>
          <w:tcPr>
            <w:tcW w:type="dxa" w:w="3605"/>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288" w:right="101"/>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288" w:right="101"/>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360" w:right="101"/>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360" w:right="101"/>
              <w:rPr>
                <w:sz w:val="8"/>
                <w:szCs w:val="24"/>
              </w:rPr>
            </w:pPr>
            <w:r>
              <w:rPr>
                <w:sz w:val="8"/>
                <w:szCs w:val="24"/>
              </w:rPr>
            </w:r>
          </w:p>
        </w:tc>
        <w:tc>
          <w:tcPr>
            <w:tcW w:type="dxa" w:w="1320"/>
            <w:tcBorders>
              <w:top w:val="nil"/>
              <w:left w:val="nil"/>
              <w:bottom w:val="nil"/>
              <w:right w:val="nil"/>
            </w:tcBorders>
            <w:shd w:fill="auto" w:val="clear"/>
            <w:vAlign w:val="center"/>
          </w:tcPr>
          <w:p>
            <w:pPr>
              <w:pStyle w:val="style0"/>
              <w:ind w:hanging="0" w:left="648" w:right="101"/>
              <w:rPr>
                <w:sz w:val="8"/>
                <w:szCs w:val="24"/>
              </w:rPr>
            </w:pPr>
            <w:r>
              <w:rPr>
                <w:sz w:val="8"/>
                <w:szCs w:val="24"/>
              </w:rPr>
            </w:r>
          </w:p>
        </w:tc>
        <w:tc>
          <w:tcPr>
            <w:tcW w:type="dxa" w:w="1274"/>
            <w:tcBorders>
              <w:top w:val="nil"/>
              <w:left w:val="nil"/>
              <w:bottom w:val="nil"/>
              <w:right w:val="nil"/>
            </w:tcBorders>
            <w:shd w:fill="auto" w:val="clear"/>
            <w:vAlign w:val="center"/>
          </w:tcPr>
          <w:p>
            <w:pPr>
              <w:pStyle w:val="style0"/>
              <w:ind w:hanging="0" w:left="288" w:right="101"/>
              <w:rPr>
                <w:sz w:val="8"/>
                <w:szCs w:val="24"/>
              </w:rPr>
            </w:pPr>
            <w:r>
              <w:rPr>
                <w:sz w:val="8"/>
                <w:szCs w:val="24"/>
              </w:rPr>
            </w:r>
          </w:p>
        </w:tc>
      </w:tr>
      <w:tr>
        <w:trPr>
          <w:cantSplit w:val="false"/>
        </w:trPr>
        <w:tc>
          <w:tcPr>
            <w:tcW w:type="dxa" w:w="3605"/>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Non-designated hedge derivatives:</w:t>
            </w:r>
          </w:p>
        </w:tc>
        <w:tc>
          <w:tcPr>
            <w:tcW w:type="dxa" w:w="1150"/>
            <w:tcBorders>
              <w:top w:val="nil"/>
              <w:left w:val="nil"/>
              <w:bottom w:val="nil"/>
              <w:right w:val="nil"/>
            </w:tcBorders>
            <w:shd w:fill="auto" w:val="clear"/>
            <w:tcMar>
              <w:left w:type="dxa" w:w="144"/>
            </w:tcMar>
            <w:vAlign w:val="bottom"/>
          </w:tcPr>
          <w:p>
            <w:pPr>
              <w:pStyle w:val="style65"/>
              <w:ind w:hanging="0" w:left="288"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288"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360"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360" w:right="101"/>
              <w:rPr/>
            </w:pPr>
            <w:r>
              <w:rPr/>
              <w:t> </w:t>
            </w:r>
          </w:p>
        </w:tc>
        <w:tc>
          <w:tcPr>
            <w:tcW w:type="dxa" w:w="1320"/>
            <w:tcBorders>
              <w:top w:val="nil"/>
              <w:left w:val="nil"/>
              <w:bottom w:val="nil"/>
              <w:right w:val="nil"/>
            </w:tcBorders>
            <w:shd w:fill="auto" w:val="clear"/>
            <w:tcMar>
              <w:left w:type="dxa" w:w="144"/>
            </w:tcMar>
            <w:vAlign w:val="bottom"/>
          </w:tcPr>
          <w:p>
            <w:pPr>
              <w:pStyle w:val="style65"/>
              <w:ind w:hanging="0" w:left="648" w:right="101"/>
              <w:rPr/>
            </w:pPr>
            <w:r>
              <w:rPr/>
              <w:t> </w:t>
            </w:r>
          </w:p>
        </w:tc>
        <w:tc>
          <w:tcPr>
            <w:tcW w:type="dxa" w:w="1274"/>
            <w:tcBorders>
              <w:top w:val="nil"/>
              <w:left w:val="nil"/>
              <w:bottom w:val="nil"/>
              <w:right w:val="nil"/>
            </w:tcBorders>
            <w:shd w:fill="auto" w:val="clear"/>
            <w:tcMar>
              <w:left w:type="dxa" w:w="144"/>
            </w:tcMar>
            <w:vAlign w:val="bottom"/>
          </w:tcPr>
          <w:p>
            <w:pPr>
              <w:pStyle w:val="style65"/>
              <w:ind w:hanging="0" w:left="288" w:right="101"/>
              <w:rPr/>
            </w:pPr>
            <w:r>
              <w:rPr/>
              <w:t> </w:t>
            </w:r>
          </w:p>
        </w:tc>
      </w:tr>
      <w:tr>
        <w:trPr>
          <w:cantSplit w:val="false"/>
        </w:trPr>
        <w:tc>
          <w:tcPr>
            <w:tcW w:type="dxa" w:w="3605"/>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Other current liabilities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(84</w:t>
              <w:tab/>
              <w:t>)</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(19</w:t>
              <w:tab/>
              <w:t>)</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(17</w:t>
              <w:tab/>
              <w:t>)</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(21</w:t>
              <w:tab/>
              <w:t>)</w:t>
            </w:r>
          </w:p>
        </w:tc>
        <w:tc>
          <w:tcPr>
            <w:tcW w:type="dxa" w:w="132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48" w:right="101"/>
              <w:contextualSpacing w:val="false"/>
              <w:rPr>
                <w:rFonts w:ascii="Arial" w:cs="Arial" w:hAnsi="Arial"/>
                <w:sz w:val="20"/>
                <w:szCs w:val="20"/>
              </w:rPr>
            </w:pPr>
            <w:r>
              <w:rPr>
                <w:rFonts w:ascii="Arial" w:cs="Arial" w:hAnsi="Arial"/>
                <w:sz w:val="20"/>
                <w:szCs w:val="20"/>
              </w:rPr>
              <w:t>$</w:t>
              <w:tab/>
              <w:t>0</w:t>
              <w:tab/>
            </w:r>
          </w:p>
        </w:tc>
        <w:tc>
          <w:tcPr>
            <w:tcW w:type="dxa" w:w="1274"/>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(141</w:t>
              <w:tab/>
              <w:t>)</w:t>
            </w:r>
          </w:p>
        </w:tc>
      </w:tr>
      <w:tr>
        <w:trPr>
          <w:cantSplit w:val="false"/>
        </w:trPr>
        <w:tc>
          <w:tcPr>
            <w:tcW w:type="dxa" w:w="3605"/>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Designated hedge derivatives:</w:t>
            </w:r>
          </w:p>
        </w:tc>
        <w:tc>
          <w:tcPr>
            <w:tcW w:type="dxa" w:w="1150"/>
            <w:tcBorders>
              <w:top w:val="nil"/>
              <w:left w:val="nil"/>
              <w:bottom w:val="nil"/>
              <w:right w:val="nil"/>
            </w:tcBorders>
            <w:shd w:fill="auto" w:val="clear"/>
            <w:tcMar>
              <w:left w:type="dxa" w:w="144"/>
            </w:tcMar>
            <w:vAlign w:val="bottom"/>
          </w:tcPr>
          <w:p>
            <w:pPr>
              <w:pStyle w:val="style65"/>
              <w:ind w:hanging="0" w:left="288"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288"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360" w:right="101"/>
              <w:rPr/>
            </w:pPr>
            <w:r>
              <w:rPr/>
              <w:t> </w:t>
            </w:r>
          </w:p>
        </w:tc>
        <w:tc>
          <w:tcPr>
            <w:tcW w:type="dxa" w:w="1150"/>
            <w:tcBorders>
              <w:top w:val="nil"/>
              <w:left w:val="nil"/>
              <w:bottom w:val="nil"/>
              <w:right w:val="nil"/>
            </w:tcBorders>
            <w:shd w:fill="auto" w:val="clear"/>
            <w:tcMar>
              <w:left w:type="dxa" w:w="144"/>
            </w:tcMar>
            <w:vAlign w:val="bottom"/>
          </w:tcPr>
          <w:p>
            <w:pPr>
              <w:pStyle w:val="style65"/>
              <w:ind w:hanging="0" w:left="360" w:right="101"/>
              <w:rPr/>
            </w:pPr>
            <w:r>
              <w:rPr/>
              <w:t> </w:t>
            </w:r>
          </w:p>
        </w:tc>
        <w:tc>
          <w:tcPr>
            <w:tcW w:type="dxa" w:w="1320"/>
            <w:tcBorders>
              <w:top w:val="nil"/>
              <w:left w:val="nil"/>
              <w:bottom w:val="nil"/>
              <w:right w:val="nil"/>
            </w:tcBorders>
            <w:shd w:fill="auto" w:val="clear"/>
            <w:tcMar>
              <w:left w:type="dxa" w:w="144"/>
            </w:tcMar>
            <w:vAlign w:val="bottom"/>
          </w:tcPr>
          <w:p>
            <w:pPr>
              <w:pStyle w:val="style65"/>
              <w:ind w:hanging="0" w:left="648" w:right="101"/>
              <w:rPr/>
            </w:pPr>
            <w:r>
              <w:rPr/>
              <w:t> </w:t>
            </w:r>
          </w:p>
        </w:tc>
        <w:tc>
          <w:tcPr>
            <w:tcW w:type="dxa" w:w="1274"/>
            <w:tcBorders>
              <w:top w:val="nil"/>
              <w:left w:val="nil"/>
              <w:bottom w:val="nil"/>
              <w:right w:val="nil"/>
            </w:tcBorders>
            <w:shd w:fill="auto" w:val="clear"/>
            <w:tcMar>
              <w:left w:type="dxa" w:w="144"/>
            </w:tcMar>
            <w:vAlign w:val="bottom"/>
          </w:tcPr>
          <w:p>
            <w:pPr>
              <w:pStyle w:val="style65"/>
              <w:ind w:hanging="0" w:left="288" w:right="101"/>
              <w:rPr/>
            </w:pPr>
            <w:r>
              <w:rPr/>
              <w:t> </w:t>
            </w:r>
          </w:p>
        </w:tc>
      </w:tr>
      <w:tr>
        <w:trPr>
          <w:cantSplit w:val="false"/>
        </w:trPr>
        <w:tc>
          <w:tcPr>
            <w:tcW w:type="dxa" w:w="3605"/>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Other current liabilities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(14</w:t>
              <w:tab/>
              <w:t>)</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0</w:t>
              <w:tab/>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0</w:t>
              <w:tab/>
            </w:r>
          </w:p>
        </w:tc>
        <w:tc>
          <w:tcPr>
            <w:tcW w:type="dxa" w:w="132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48" w:right="101"/>
              <w:contextualSpacing w:val="false"/>
              <w:rPr>
                <w:rFonts w:ascii="Arial" w:cs="Arial" w:hAnsi="Arial"/>
                <w:sz w:val="20"/>
                <w:szCs w:val="20"/>
              </w:rPr>
            </w:pPr>
            <w:r>
              <w:rPr>
                <w:rFonts w:ascii="Arial" w:cs="Arial" w:hAnsi="Arial"/>
                <w:sz w:val="20"/>
                <w:szCs w:val="20"/>
              </w:rPr>
              <w:t>$</w:t>
              <w:tab/>
              <w:t>0</w:t>
              <w:tab/>
            </w:r>
          </w:p>
        </w:tc>
        <w:tc>
          <w:tcPr>
            <w:tcW w:type="dxa" w:w="1274"/>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(14</w:t>
              <w:tab/>
              <w:t>)</w:t>
            </w:r>
          </w:p>
        </w:tc>
      </w:tr>
      <w:tr>
        <w:trPr>
          <w:cantSplit w:val="false"/>
        </w:trPr>
        <w:tc>
          <w:tcPr>
            <w:tcW w:type="dxa" w:w="4755"/>
            <w:gridSpan w:val="2"/>
            <w:tcBorders>
              <w:top w:val="nil"/>
              <w:left w:val="nil"/>
              <w:bottom w:val="nil"/>
              <w:right w:val="nil"/>
            </w:tcBorders>
            <w:shd w:fill="auto" w:val="clear"/>
            <w:vAlign w:val="bottom"/>
          </w:tcPr>
          <w:p>
            <w:pPr>
              <w:pStyle w:val="style59"/>
              <w:spacing w:after="0" w:before="20"/>
              <w:ind w:hanging="0" w:left="-414"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288"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360"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59"/>
              <w:spacing w:after="0" w:before="20"/>
              <w:ind w:hanging="0" w:left="360" w:right="101"/>
              <w:contextualSpacing w:val="false"/>
              <w:rPr/>
            </w:pPr>
            <w:r>
              <w:rPr/>
              <w:t> </w:t>
            </w:r>
          </w:p>
        </w:tc>
        <w:tc>
          <w:tcPr>
            <w:tcW w:type="dxa" w:w="1320"/>
            <w:tcBorders>
              <w:top w:val="nil"/>
              <w:left w:val="nil"/>
              <w:bottom w:val="nil"/>
              <w:right w:val="nil"/>
            </w:tcBorders>
            <w:shd w:fill="auto" w:val="clear"/>
            <w:tcMar>
              <w:left w:type="dxa" w:w="144"/>
            </w:tcMar>
            <w:vAlign w:val="bottom"/>
          </w:tcPr>
          <w:p>
            <w:pPr>
              <w:pStyle w:val="style59"/>
              <w:spacing w:after="0" w:before="20"/>
              <w:ind w:hanging="0" w:left="648" w:right="101"/>
              <w:contextualSpacing w:val="false"/>
              <w:rPr/>
            </w:pPr>
            <w:r>
              <w:rPr/>
              <w:t> </w:t>
            </w:r>
          </w:p>
        </w:tc>
        <w:tc>
          <w:tcPr>
            <w:tcW w:type="dxa" w:w="1274"/>
            <w:tcBorders>
              <w:top w:val="nil"/>
              <w:left w:val="nil"/>
              <w:bottom w:val="nil"/>
              <w:right w:val="nil"/>
            </w:tcBorders>
            <w:shd w:fill="auto" w:val="clear"/>
            <w:tcMar>
              <w:left w:type="dxa" w:w="144"/>
            </w:tcMar>
            <w:vAlign w:val="bottom"/>
          </w:tcPr>
          <w:p>
            <w:pPr>
              <w:pStyle w:val="style59"/>
              <w:spacing w:after="0" w:before="20"/>
              <w:ind w:hanging="0" w:left="288" w:right="101"/>
              <w:contextualSpacing w:val="false"/>
              <w:rPr/>
            </w:pPr>
            <w:r>
              <w:rPr/>
              <w:t> </w:t>
            </w:r>
          </w:p>
        </w:tc>
      </w:tr>
      <w:tr>
        <w:trPr>
          <w:cantSplit w:val="false"/>
        </w:trPr>
        <w:tc>
          <w:tcPr>
            <w:tcW w:type="dxa" w:w="3605"/>
            <w:tcBorders>
              <w:top w:val="nil"/>
              <w:left w:val="nil"/>
              <w:bottom w:val="nil"/>
              <w:right w:val="nil"/>
            </w:tcBorders>
            <w:shd w:fill="auto" w:val="clear"/>
          </w:tcPr>
          <w:p>
            <w:pPr>
              <w:pStyle w:val="style62"/>
              <w:spacing w:after="280" w:before="280"/>
              <w:ind w:hanging="240" w:left="1680" w:right="0"/>
              <w:contextualSpacing w:val="false"/>
              <w:rPr>
                <w:rFonts w:ascii="Arial" w:cs="Arial" w:hAnsi="Arial"/>
                <w:sz w:val="20"/>
                <w:szCs w:val="20"/>
              </w:rPr>
            </w:pPr>
            <w:r>
              <w:rPr>
                <w:rFonts w:ascii="Arial" w:cs="Arial" w:hAnsi="Arial"/>
                <w:sz w:val="20"/>
                <w:szCs w:val="20"/>
              </w:rPr>
              <w:t>Total liabilities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(98</w:t>
              <w:tab/>
              <w:t>)</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(19</w:t>
              <w:tab/>
              <w:t>)</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(17</w:t>
              <w:tab/>
              <w:t>)</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(21</w:t>
              <w:tab/>
              <w:t>)</w:t>
            </w:r>
          </w:p>
        </w:tc>
        <w:tc>
          <w:tcPr>
            <w:tcW w:type="dxa" w:w="1320"/>
            <w:tcBorders>
              <w:top w:val="nil"/>
              <w:left w:val="nil"/>
              <w:bottom w:val="nil"/>
              <w:right w:val="nil"/>
            </w:tcBorders>
            <w:shd w:fill="auto" w:val="clear"/>
            <w:tcMar>
              <w:left w:type="dxa" w:w="144"/>
            </w:tcMar>
            <w:vAlign w:val="bottom"/>
          </w:tcPr>
          <w:p>
            <w:pPr>
              <w:pStyle w:val="style62"/>
              <w:tabs>
                <w:tab w:leader="none" w:pos="1120" w:val="right"/>
                <w:tab w:leader="none" w:pos="1160" w:val="decimal"/>
              </w:tabs>
              <w:spacing w:after="280" w:before="280"/>
              <w:ind w:hanging="0" w:left="648" w:right="101"/>
              <w:contextualSpacing w:val="false"/>
              <w:rPr>
                <w:rFonts w:ascii="Arial" w:cs="Arial" w:hAnsi="Arial"/>
                <w:sz w:val="20"/>
                <w:szCs w:val="20"/>
              </w:rPr>
            </w:pPr>
            <w:r>
              <w:rPr>
                <w:rFonts w:ascii="Arial" w:cs="Arial" w:hAnsi="Arial"/>
                <w:sz w:val="20"/>
                <w:szCs w:val="20"/>
              </w:rPr>
              <w:t>$</w:t>
              <w:tab/>
              <w:t>0</w:t>
              <w:tab/>
            </w:r>
          </w:p>
        </w:tc>
        <w:tc>
          <w:tcPr>
            <w:tcW w:type="dxa" w:w="1274"/>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88" w:right="101"/>
              <w:contextualSpacing w:val="false"/>
              <w:rPr>
                <w:rFonts w:ascii="Arial" w:cs="Arial" w:hAnsi="Arial"/>
                <w:sz w:val="20"/>
                <w:szCs w:val="20"/>
              </w:rPr>
            </w:pPr>
            <w:r>
              <w:rPr>
                <w:rFonts w:ascii="Arial" w:cs="Arial" w:hAnsi="Arial"/>
                <w:sz w:val="20"/>
                <w:szCs w:val="20"/>
              </w:rPr>
              <w:t>$</w:t>
              <w:tab/>
              <w:t>(155</w:t>
              <w:tab/>
              <w:t>)</w:t>
            </w:r>
          </w:p>
        </w:tc>
      </w:tr>
      <w:tr>
        <w:trPr>
          <w:cantSplit w:val="false"/>
        </w:trPr>
        <w:tc>
          <w:tcPr>
            <w:tcW w:type="dxa" w:w="3605"/>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360" w:right="101"/>
              <w:contextualSpacing w:val="false"/>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360" w:right="101"/>
              <w:contextualSpacing w:val="false"/>
              <w:rPr/>
            </w:pPr>
            <w:r>
              <w:rPr/>
              <w:t> </w:t>
            </w:r>
          </w:p>
        </w:tc>
        <w:tc>
          <w:tcPr>
            <w:tcW w:type="dxa" w:w="1320"/>
            <w:tcBorders>
              <w:top w:val="nil"/>
              <w:left w:val="nil"/>
              <w:bottom w:val="nil"/>
              <w:right w:val="nil"/>
            </w:tcBorders>
            <w:shd w:fill="auto" w:val="clear"/>
            <w:tcMar>
              <w:left w:type="dxa" w:w="144"/>
            </w:tcMar>
            <w:vAlign w:val="bottom"/>
          </w:tcPr>
          <w:p>
            <w:pPr>
              <w:pStyle w:val="style63"/>
              <w:spacing w:after="0" w:before="20"/>
              <w:ind w:hanging="0" w:left="648" w:right="101"/>
              <w:contextualSpacing w:val="false"/>
              <w:rPr/>
            </w:pPr>
            <w:r>
              <w:rPr/>
              <w:t> </w:t>
            </w:r>
          </w:p>
        </w:tc>
        <w:tc>
          <w:tcPr>
            <w:tcW w:type="dxa" w:w="1274"/>
            <w:tcBorders>
              <w:top w:val="nil"/>
              <w:left w:val="nil"/>
              <w:bottom w:val="nil"/>
              <w:right w:val="nil"/>
            </w:tcBorders>
            <w:shd w:fill="auto" w:val="clear"/>
            <w:tcMar>
              <w:left w:type="dxa" w:w="144"/>
            </w:tcMar>
            <w:vAlign w:val="bottom"/>
          </w:tcPr>
          <w:p>
            <w:pPr>
              <w:pStyle w:val="style63"/>
              <w:spacing w:after="0" w:before="20"/>
              <w:ind w:hanging="0" w:left="288" w:right="101"/>
              <w:contextualSpacing w:val="false"/>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See also Note 4 – Investments and Note 6 – Fair Value Measurements.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Fair Value Hedge Gains (Losses)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We recognized in other income (expense) the following gains (losses) on contracts designated as fair value hedges and their related hedged items: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687"/>
        <w:gridCol w:w="1051"/>
        <w:gridCol w:w="1030"/>
        <w:gridCol w:w="1032"/>
      </w:tblGrid>
      <w:tr>
        <w:trPr>
          <w:tblHeader w:val="true"/>
          <w:cantSplit w:val="false"/>
        </w:trPr>
        <w:tc>
          <w:tcPr>
            <w:tcW w:type="dxa" w:w="7687"/>
            <w:tcBorders>
              <w:top w:val="nil"/>
              <w:left w:val="nil"/>
              <w:bottom w:val="nil"/>
              <w:right w:val="nil"/>
            </w:tcBorders>
            <w:shd w:fill="auto" w:val="clear"/>
            <w:vAlign w:val="center"/>
          </w:tcPr>
          <w:p>
            <w:pPr>
              <w:pStyle w:val="style0"/>
              <w:rPr>
                <w:sz w:val="1"/>
                <w:szCs w:val="24"/>
              </w:rPr>
            </w:pPr>
            <w:r>
              <w:rPr>
                <w:sz w:val="1"/>
                <w:szCs w:val="24"/>
              </w:rPr>
            </w:r>
          </w:p>
        </w:tc>
        <w:tc>
          <w:tcPr>
            <w:tcW w:type="dxa" w:w="1051"/>
            <w:tcBorders>
              <w:top w:val="nil"/>
              <w:left w:val="nil"/>
              <w:bottom w:val="nil"/>
              <w:right w:val="nil"/>
            </w:tcBorders>
            <w:shd w:fill="auto" w:val="clear"/>
            <w:vAlign w:val="center"/>
          </w:tcPr>
          <w:p>
            <w:pPr>
              <w:pStyle w:val="style0"/>
              <w:rPr>
                <w:sz w:val="1"/>
                <w:szCs w:val="24"/>
              </w:rPr>
            </w:pPr>
            <w:r>
              <w:rPr>
                <w:sz w:val="1"/>
                <w:szCs w:val="24"/>
              </w:rPr>
            </w:r>
          </w:p>
        </w:tc>
        <w:tc>
          <w:tcPr>
            <w:tcW w:type="dxa" w:w="1030"/>
            <w:tcBorders>
              <w:top w:val="nil"/>
              <w:left w:val="nil"/>
              <w:bottom w:val="nil"/>
              <w:right w:val="nil"/>
            </w:tcBorders>
            <w:shd w:fill="auto" w:val="clear"/>
            <w:vAlign w:val="center"/>
          </w:tcPr>
          <w:p>
            <w:pPr>
              <w:pStyle w:val="style0"/>
              <w:rPr>
                <w:sz w:val="1"/>
                <w:szCs w:val="24"/>
              </w:rPr>
            </w:pPr>
            <w:r>
              <w:rPr>
                <w:sz w:val="1"/>
                <w:szCs w:val="24"/>
              </w:rPr>
            </w:r>
          </w:p>
        </w:tc>
        <w:tc>
          <w:tcPr>
            <w:tcW w:type="dxa" w:w="103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68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051"/>
            <w:tcBorders>
              <w:top w:val="nil"/>
              <w:left w:val="nil"/>
              <w:bottom w:val="nil"/>
              <w:right w:val="nil"/>
            </w:tcBorders>
            <w:shd w:fill="auto" w:val="clear"/>
            <w:tcMar>
              <w:left w:type="dxa" w:w="144"/>
            </w:tcMar>
            <w:vAlign w:val="bottom"/>
          </w:tcPr>
          <w:p>
            <w:pPr>
              <w:pStyle w:val="style65"/>
              <w:ind w:hanging="0" w:left="259" w:right="101"/>
              <w:rPr/>
            </w:pPr>
            <w:r>
              <w:rPr/>
              <w:t> </w:t>
            </w:r>
          </w:p>
        </w:tc>
        <w:tc>
          <w:tcPr>
            <w:tcW w:type="dxa" w:w="1030"/>
            <w:tcBorders>
              <w:top w:val="nil"/>
              <w:left w:val="nil"/>
              <w:bottom w:val="nil"/>
              <w:right w:val="nil"/>
            </w:tcBorders>
            <w:shd w:fill="auto" w:val="clear"/>
            <w:tcMar>
              <w:left w:type="dxa" w:w="144"/>
            </w:tcMar>
            <w:vAlign w:val="bottom"/>
          </w:tcPr>
          <w:p>
            <w:pPr>
              <w:pStyle w:val="style65"/>
              <w:ind w:hanging="0" w:left="259" w:right="101"/>
              <w:rPr/>
            </w:pPr>
            <w:r>
              <w:rPr/>
              <w:t> </w:t>
            </w:r>
          </w:p>
        </w:tc>
        <w:tc>
          <w:tcPr>
            <w:tcW w:type="dxa" w:w="1032"/>
            <w:tcBorders>
              <w:top w:val="nil"/>
              <w:left w:val="nil"/>
              <w:bottom w:val="nil"/>
              <w:right w:val="nil"/>
            </w:tcBorders>
            <w:shd w:fill="auto" w:val="clear"/>
            <w:tcMar>
              <w:left w:type="dxa" w:w="144"/>
            </w:tcMar>
            <w:vAlign w:val="bottom"/>
          </w:tcPr>
          <w:p>
            <w:pPr>
              <w:pStyle w:val="style65"/>
              <w:ind w:hanging="0" w:left="259" w:right="101"/>
              <w:rPr/>
            </w:pPr>
            <w:r>
              <w:rPr/>
              <w:t> </w:t>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279" w:right="101"/>
              <w:contextualSpacing w:val="false"/>
              <w:rPr/>
            </w:pPr>
            <w:r>
              <w:rPr/>
              <w:t> </w:t>
            </w:r>
          </w:p>
        </w:tc>
      </w:tr>
      <w:tr>
        <w:trPr>
          <w:trHeight w:hRule="atLeast" w:val="75"/>
          <w:cantSplit w:val="false"/>
        </w:trPr>
        <w:tc>
          <w:tcPr>
            <w:tcW w:type="dxa" w:w="7687"/>
            <w:tcBorders>
              <w:top w:val="nil"/>
              <w:left w:val="nil"/>
              <w:bottom w:val="nil"/>
              <w:right w:val="nil"/>
            </w:tcBorders>
            <w:shd w:fill="auto" w:val="clear"/>
            <w:vAlign w:val="center"/>
          </w:tcPr>
          <w:p>
            <w:pPr>
              <w:pStyle w:val="style0"/>
              <w:rPr>
                <w:sz w:val="8"/>
                <w:szCs w:val="24"/>
              </w:rPr>
            </w:pPr>
            <w:r>
              <w:rPr>
                <w:sz w:val="8"/>
                <w:szCs w:val="24"/>
              </w:rPr>
            </w:r>
          </w:p>
        </w:tc>
        <w:tc>
          <w:tcPr>
            <w:tcW w:type="dxa" w:w="1051"/>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0"/>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2"/>
            <w:tcBorders>
              <w:top w:val="nil"/>
              <w:left w:val="nil"/>
              <w:bottom w:val="nil"/>
              <w:right w:val="nil"/>
            </w:tcBorders>
            <w:shd w:fill="auto" w:val="clear"/>
            <w:vAlign w:val="center"/>
          </w:tcPr>
          <w:p>
            <w:pPr>
              <w:pStyle w:val="style0"/>
              <w:ind w:hanging="0" w:left="259" w:right="101"/>
              <w:rPr>
                <w:sz w:val="8"/>
                <w:szCs w:val="24"/>
              </w:rPr>
            </w:pPr>
            <w:r>
              <w:rPr>
                <w:sz w:val="8"/>
                <w:szCs w:val="24"/>
              </w:rPr>
            </w:r>
          </w:p>
        </w:tc>
      </w:tr>
      <w:tr>
        <w:trPr>
          <w:cantSplit w:val="false"/>
        </w:trPr>
        <w:tc>
          <w:tcPr>
            <w:tcW w:type="dxa" w:w="768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051"/>
            <w:tcBorders>
              <w:top w:val="nil"/>
              <w:left w:val="nil"/>
              <w:bottom w:val="nil"/>
              <w:right w:val="nil"/>
            </w:tcBorders>
            <w:shd w:fill="auto" w:val="clear"/>
            <w:tcMar>
              <w:left w:type="dxa" w:w="144"/>
            </w:tcMar>
            <w:vAlign w:val="bottom"/>
          </w:tcPr>
          <w:p>
            <w:pPr>
              <w:pStyle w:val="style0"/>
              <w:ind w:hanging="0" w:left="259" w:right="58"/>
              <w:jc w:val="right"/>
              <w:rPr>
                <w:rFonts w:ascii="Arial" w:cs="Arial" w:hAnsi="Arial"/>
                <w:b/>
                <w:bCs/>
                <w:sz w:val="15"/>
                <w:szCs w:val="15"/>
              </w:rPr>
            </w:pPr>
            <w:r>
              <w:rPr>
                <w:rFonts w:ascii="Arial" w:cs="Arial" w:hAnsi="Arial"/>
                <w:b/>
                <w:bCs/>
                <w:sz w:val="15"/>
                <w:szCs w:val="15"/>
              </w:rPr>
              <w:t>2013</w:t>
            </w:r>
          </w:p>
        </w:tc>
        <w:tc>
          <w:tcPr>
            <w:tcW w:type="dxa" w:w="1030"/>
            <w:tcBorders>
              <w:top w:val="nil"/>
              <w:left w:val="nil"/>
              <w:bottom w:val="nil"/>
              <w:right w:val="nil"/>
            </w:tcBorders>
            <w:shd w:fill="auto" w:val="clear"/>
            <w:tcMar>
              <w:left w:type="dxa" w:w="144"/>
            </w:tcMar>
            <w:vAlign w:val="bottom"/>
          </w:tcPr>
          <w:p>
            <w:pPr>
              <w:pStyle w:val="style0"/>
              <w:ind w:hanging="0" w:left="259" w:right="58"/>
              <w:jc w:val="right"/>
              <w:rPr>
                <w:rFonts w:ascii="Arial" w:cs="Arial" w:hAnsi="Arial"/>
                <w:b/>
                <w:bCs/>
                <w:sz w:val="15"/>
                <w:szCs w:val="15"/>
              </w:rPr>
            </w:pPr>
            <w:r>
              <w:rPr>
                <w:rFonts w:ascii="Arial" w:cs="Arial" w:hAnsi="Arial"/>
                <w:b/>
                <w:bCs/>
                <w:sz w:val="15"/>
                <w:szCs w:val="15"/>
              </w:rPr>
              <w:t>2012</w:t>
            </w:r>
          </w:p>
        </w:tc>
        <w:tc>
          <w:tcPr>
            <w:tcW w:type="dxa" w:w="1032"/>
            <w:tcBorders>
              <w:top w:val="nil"/>
              <w:left w:val="nil"/>
              <w:bottom w:val="nil"/>
              <w:right w:val="nil"/>
            </w:tcBorders>
            <w:shd w:fill="auto" w:val="clear"/>
            <w:tcMar>
              <w:left w:type="dxa" w:w="144"/>
            </w:tcMar>
            <w:vAlign w:val="bottom"/>
          </w:tcPr>
          <w:p>
            <w:pPr>
              <w:pStyle w:val="style0"/>
              <w:ind w:hanging="0" w:left="259" w:right="72"/>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687"/>
            <w:tcBorders>
              <w:top w:val="nil"/>
              <w:left w:val="nil"/>
              <w:bottom w:val="nil"/>
              <w:right w:val="nil"/>
            </w:tcBorders>
            <w:shd w:fill="auto" w:val="clear"/>
            <w:vAlign w:val="center"/>
          </w:tcPr>
          <w:p>
            <w:pPr>
              <w:pStyle w:val="style0"/>
              <w:rPr>
                <w:sz w:val="8"/>
                <w:szCs w:val="24"/>
              </w:rPr>
            </w:pPr>
            <w:r>
              <w:rPr>
                <w:sz w:val="8"/>
                <w:szCs w:val="24"/>
              </w:rPr>
            </w:r>
          </w:p>
        </w:tc>
        <w:tc>
          <w:tcPr>
            <w:tcW w:type="dxa" w:w="1051"/>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0"/>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2"/>
            <w:tcBorders>
              <w:top w:val="nil"/>
              <w:left w:val="nil"/>
              <w:bottom w:val="nil"/>
              <w:right w:val="nil"/>
            </w:tcBorders>
            <w:shd w:fill="auto" w:val="clear"/>
            <w:vAlign w:val="center"/>
          </w:tcPr>
          <w:p>
            <w:pPr>
              <w:pStyle w:val="style0"/>
              <w:ind w:hanging="0" w:left="259" w:right="101"/>
              <w:rPr>
                <w:sz w:val="8"/>
                <w:szCs w:val="24"/>
              </w:rPr>
            </w:pPr>
            <w:r>
              <w:rPr>
                <w:sz w:val="8"/>
                <w:szCs w:val="24"/>
              </w:rPr>
            </w:r>
          </w:p>
        </w:tc>
      </w:tr>
      <w:tr>
        <w:trPr>
          <w:cantSplit w:val="false"/>
        </w:trPr>
        <w:tc>
          <w:tcPr>
            <w:tcW w:type="dxa" w:w="768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Foreign Exchange Contracts</w:t>
            </w:r>
          </w:p>
        </w:tc>
        <w:tc>
          <w:tcPr>
            <w:tcW w:type="dxa" w:w="1051"/>
            <w:tcBorders>
              <w:top w:val="nil"/>
              <w:left w:val="nil"/>
              <w:bottom w:val="nil"/>
              <w:right w:val="nil"/>
            </w:tcBorders>
            <w:shd w:fill="auto" w:val="clear"/>
            <w:tcMar>
              <w:left w:type="dxa" w:w="144"/>
            </w:tcMar>
            <w:vAlign w:val="bottom"/>
          </w:tcPr>
          <w:p>
            <w:pPr>
              <w:pStyle w:val="style65"/>
              <w:ind w:hanging="0" w:left="259" w:right="101"/>
              <w:rPr/>
            </w:pPr>
            <w:r>
              <w:rPr/>
              <w:t> </w:t>
            </w:r>
          </w:p>
        </w:tc>
        <w:tc>
          <w:tcPr>
            <w:tcW w:type="dxa" w:w="1030"/>
            <w:tcBorders>
              <w:top w:val="nil"/>
              <w:left w:val="nil"/>
              <w:bottom w:val="nil"/>
              <w:right w:val="nil"/>
            </w:tcBorders>
            <w:shd w:fill="auto" w:val="clear"/>
            <w:tcMar>
              <w:left w:type="dxa" w:w="144"/>
            </w:tcMar>
            <w:vAlign w:val="bottom"/>
          </w:tcPr>
          <w:p>
            <w:pPr>
              <w:pStyle w:val="style65"/>
              <w:ind w:hanging="0" w:left="259" w:right="101"/>
              <w:rPr/>
            </w:pPr>
            <w:r>
              <w:rPr/>
              <w:t> </w:t>
            </w:r>
          </w:p>
        </w:tc>
        <w:tc>
          <w:tcPr>
            <w:tcW w:type="dxa" w:w="1032"/>
            <w:tcBorders>
              <w:top w:val="nil"/>
              <w:left w:val="nil"/>
              <w:bottom w:val="nil"/>
              <w:right w:val="nil"/>
            </w:tcBorders>
            <w:shd w:fill="auto" w:val="clear"/>
            <w:tcMar>
              <w:left w:type="dxa" w:w="144"/>
            </w:tcMar>
            <w:vAlign w:val="bottom"/>
          </w:tcPr>
          <w:p>
            <w:pPr>
              <w:pStyle w:val="style65"/>
              <w:ind w:hanging="0" w:left="259" w:right="101"/>
              <w:rPr/>
            </w:pPr>
            <w:r>
              <w:rPr/>
              <w:t> </w:t>
            </w:r>
          </w:p>
        </w:tc>
      </w:tr>
      <w:tr>
        <w:trPr>
          <w:trHeight w:hRule="atLeast" w:val="75"/>
          <w:cantSplit w:val="false"/>
        </w:trPr>
        <w:tc>
          <w:tcPr>
            <w:tcW w:type="dxa" w:w="7687"/>
            <w:tcBorders>
              <w:top w:val="nil"/>
              <w:left w:val="nil"/>
              <w:bottom w:val="nil"/>
              <w:right w:val="nil"/>
            </w:tcBorders>
            <w:shd w:fill="auto" w:val="clear"/>
            <w:vAlign w:val="center"/>
          </w:tcPr>
          <w:p>
            <w:pPr>
              <w:pStyle w:val="style0"/>
              <w:rPr>
                <w:sz w:val="8"/>
                <w:szCs w:val="24"/>
              </w:rPr>
            </w:pPr>
            <w:r>
              <w:rPr>
                <w:sz w:val="8"/>
                <w:szCs w:val="24"/>
              </w:rPr>
            </w:r>
          </w:p>
        </w:tc>
        <w:tc>
          <w:tcPr>
            <w:tcW w:type="dxa" w:w="1051"/>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0"/>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2"/>
            <w:tcBorders>
              <w:top w:val="nil"/>
              <w:left w:val="nil"/>
              <w:bottom w:val="nil"/>
              <w:right w:val="nil"/>
            </w:tcBorders>
            <w:shd w:fill="auto" w:val="clear"/>
            <w:vAlign w:val="center"/>
          </w:tcPr>
          <w:p>
            <w:pPr>
              <w:pStyle w:val="style0"/>
              <w:ind w:hanging="0" w:left="259" w:right="101"/>
              <w:rPr>
                <w:sz w:val="8"/>
                <w:szCs w:val="24"/>
              </w:rPr>
            </w:pPr>
            <w:r>
              <w:rPr>
                <w:sz w:val="8"/>
                <w:szCs w:val="24"/>
              </w:rPr>
            </w:r>
          </w:p>
        </w:tc>
      </w:tr>
      <w:tr>
        <w:trPr>
          <w:cantSplit w:val="false"/>
        </w:trPr>
        <w:tc>
          <w:tcPr>
            <w:tcW w:type="dxa" w:w="768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Derivatives</w:t>
            </w:r>
          </w:p>
        </w:tc>
        <w:tc>
          <w:tcPr>
            <w:tcW w:type="dxa" w:w="1051"/>
            <w:tcBorders>
              <w:top w:val="nil"/>
              <w:left w:val="nil"/>
              <w:bottom w:val="nil"/>
              <w:right w:val="nil"/>
            </w:tcBorders>
            <w:shd w:fill="auto" w:val="clear"/>
            <w:tcMar>
              <w:left w:type="dxa" w:w="144"/>
            </w:tcMar>
            <w:vAlign w:val="bottom"/>
          </w:tcPr>
          <w:p>
            <w:pPr>
              <w:pStyle w:val="style62"/>
              <w:tabs>
                <w:tab w:leader="none" w:pos="840" w:val="right"/>
                <w:tab w:leader="none" w:pos="880" w:val="decimal"/>
              </w:tabs>
              <w:spacing w:after="280" w:before="280"/>
              <w:ind w:hanging="0" w:left="259" w:right="101"/>
              <w:contextualSpacing w:val="false"/>
              <w:rPr>
                <w:rFonts w:ascii="Arial" w:cs="Arial" w:hAnsi="Arial"/>
                <w:b/>
                <w:bCs/>
                <w:sz w:val="20"/>
                <w:szCs w:val="20"/>
              </w:rPr>
            </w:pPr>
            <w:r>
              <w:rPr>
                <w:rFonts w:ascii="Arial" w:cs="Arial" w:hAnsi="Arial"/>
                <w:b/>
                <w:bCs/>
                <w:sz w:val="20"/>
                <w:szCs w:val="20"/>
              </w:rPr>
              <w:t>$</w:t>
              <w:tab/>
              <w:t>    70</w:t>
              <w:tab/>
            </w:r>
          </w:p>
        </w:tc>
        <w:tc>
          <w:tcPr>
            <w:tcW w:type="dxa" w:w="1030"/>
            <w:tcBorders>
              <w:top w:val="nil"/>
              <w:left w:val="nil"/>
              <w:bottom w:val="nil"/>
              <w:right w:val="nil"/>
            </w:tcBorders>
            <w:shd w:fill="auto" w:val="clear"/>
            <w:tcMar>
              <w:left w:type="dxa" w:w="144"/>
            </w:tcMar>
            <w:vAlign w:val="bottom"/>
          </w:tcPr>
          <w:p>
            <w:pPr>
              <w:pStyle w:val="style62"/>
              <w:tabs>
                <w:tab w:leader="none" w:pos="703" w:val="right"/>
              </w:tabs>
              <w:spacing w:after="280" w:before="280"/>
              <w:ind w:hanging="207" w:left="-170" w:right="76"/>
              <w:contextualSpacing w:val="false"/>
              <w:jc w:val="right"/>
              <w:rPr>
                <w:rFonts w:ascii="Arial" w:cs="Arial" w:hAnsi="Arial"/>
                <w:sz w:val="20"/>
                <w:szCs w:val="20"/>
              </w:rPr>
            </w:pPr>
            <w:r>
              <w:rPr>
                <w:rFonts w:ascii="Arial" w:cs="Arial" w:hAnsi="Arial"/>
                <w:sz w:val="20"/>
                <w:szCs w:val="20"/>
              </w:rPr>
              <w:t xml:space="preserve">$   </w:t>
            </w:r>
            <w:r>
              <w:rPr>
                <w:rFonts w:ascii="Arial" w:cs="Arial" w:hAnsi="Arial"/>
                <w:sz w:val="4"/>
                <w:szCs w:val="4"/>
              </w:rPr>
              <w:t xml:space="preserve"> </w:t>
            </w:r>
            <w:r>
              <w:rPr>
                <w:rFonts w:ascii="Arial" w:cs="Arial" w:hAnsi="Arial"/>
                <w:sz w:val="20"/>
                <w:szCs w:val="20"/>
              </w:rPr>
              <w:t> 52</w:t>
            </w:r>
          </w:p>
        </w:tc>
        <w:tc>
          <w:tcPr>
            <w:tcW w:type="dxa" w:w="1032"/>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59" w:right="101"/>
              <w:contextualSpacing w:val="false"/>
              <w:rPr>
                <w:rFonts w:ascii="Arial" w:cs="Arial" w:hAnsi="Arial"/>
                <w:sz w:val="20"/>
                <w:szCs w:val="20"/>
              </w:rPr>
            </w:pPr>
            <w:r>
              <w:rPr>
                <w:rFonts w:ascii="Arial" w:cs="Arial" w:hAnsi="Arial"/>
                <w:sz w:val="20"/>
                <w:szCs w:val="20"/>
              </w:rPr>
              <w:t>$</w:t>
              <w:tab/>
              <w:t>(92</w:t>
              <w:tab/>
              <w:t>)</w:t>
            </w:r>
          </w:p>
        </w:tc>
      </w:tr>
      <w:tr>
        <w:trPr>
          <w:cantSplit w:val="false"/>
        </w:trPr>
        <w:tc>
          <w:tcPr>
            <w:tcW w:type="dxa" w:w="768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Hedged items</w:t>
            </w:r>
          </w:p>
        </w:tc>
        <w:tc>
          <w:tcPr>
            <w:tcW w:type="dxa" w:w="1051"/>
            <w:tcBorders>
              <w:top w:val="nil"/>
              <w:left w:val="nil"/>
              <w:bottom w:val="nil"/>
              <w:right w:val="nil"/>
            </w:tcBorders>
            <w:shd w:fill="auto" w:val="clear"/>
            <w:tcMar>
              <w:left w:type="dxa" w:w="144"/>
            </w:tcMar>
            <w:vAlign w:val="bottom"/>
          </w:tcPr>
          <w:p>
            <w:pPr>
              <w:pStyle w:val="style62"/>
              <w:tabs>
                <w:tab w:leader="none" w:pos="840" w:val="right"/>
                <w:tab w:leader="none" w:pos="880" w:val="decimal"/>
              </w:tabs>
              <w:spacing w:after="280" w:before="280"/>
              <w:ind w:hanging="0" w:left="259" w:right="101"/>
              <w:contextualSpacing w:val="false"/>
              <w:rPr>
                <w:rFonts w:ascii="Arial" w:cs="Arial" w:hAnsi="Arial"/>
                <w:b/>
                <w:bCs/>
                <w:sz w:val="20"/>
                <w:szCs w:val="20"/>
              </w:rPr>
            </w:pPr>
            <w:r>
              <w:rPr>
                <w:rFonts w:ascii="Arial" w:cs="Arial" w:hAnsi="Arial"/>
                <w:b/>
                <w:bCs/>
                <w:sz w:val="20"/>
                <w:szCs w:val="20"/>
              </w:rPr>
              <w:tab/>
              <w:t>(69</w:t>
              <w:tab/>
              <w:t>)</w:t>
            </w:r>
          </w:p>
        </w:tc>
        <w:tc>
          <w:tcPr>
            <w:tcW w:type="dxa" w:w="1030"/>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59" w:right="101"/>
              <w:contextualSpacing w:val="false"/>
              <w:rPr>
                <w:rFonts w:ascii="Arial" w:cs="Arial" w:hAnsi="Arial"/>
                <w:sz w:val="20"/>
                <w:szCs w:val="20"/>
              </w:rPr>
            </w:pPr>
            <w:r>
              <w:rPr>
                <w:rFonts w:ascii="Arial" w:cs="Arial" w:hAnsi="Arial"/>
                <w:sz w:val="20"/>
                <w:szCs w:val="20"/>
              </w:rPr>
              <w:tab/>
              <w:t>(50</w:t>
              <w:tab/>
              <w:t>)</w:t>
            </w:r>
          </w:p>
        </w:tc>
        <w:tc>
          <w:tcPr>
            <w:tcW w:type="dxa" w:w="1032"/>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59" w:right="101"/>
              <w:contextualSpacing w:val="false"/>
              <w:rPr>
                <w:rFonts w:ascii="Arial" w:cs="Arial" w:hAnsi="Arial"/>
                <w:sz w:val="20"/>
                <w:szCs w:val="20"/>
              </w:rPr>
            </w:pPr>
            <w:r>
              <w:rPr>
                <w:rFonts w:ascii="Arial" w:cs="Arial" w:hAnsi="Arial"/>
                <w:sz w:val="20"/>
                <w:szCs w:val="20"/>
              </w:rPr>
              <w:tab/>
              <w:t>     85</w:t>
              <w:tab/>
            </w:r>
          </w:p>
        </w:tc>
      </w:tr>
      <w:tr>
        <w:trPr>
          <w:cantSplit w:val="false"/>
        </w:trPr>
        <w:tc>
          <w:tcPr>
            <w:tcW w:type="dxa" w:w="8738"/>
            <w:gridSpan w:val="2"/>
            <w:tcBorders>
              <w:top w:val="nil"/>
              <w:left w:val="nil"/>
              <w:bottom w:val="nil"/>
              <w:right w:val="nil"/>
            </w:tcBorders>
            <w:shd w:fill="auto" w:val="clear"/>
            <w:vAlign w:val="bottom"/>
          </w:tcPr>
          <w:p>
            <w:pPr>
              <w:pStyle w:val="style59"/>
              <w:spacing w:after="0" w:before="20"/>
              <w:ind w:hanging="0" w:left="-279" w:right="101"/>
              <w:contextualSpacing w:val="false"/>
              <w:rPr/>
            </w:pPr>
            <w:r>
              <w:rPr/>
              <w:t> </w:t>
            </w:r>
          </w:p>
        </w:tc>
        <w:tc>
          <w:tcPr>
            <w:tcW w:type="dxa" w:w="1030"/>
            <w:tcBorders>
              <w:top w:val="nil"/>
              <w:left w:val="nil"/>
              <w:bottom w:val="nil"/>
              <w:right w:val="nil"/>
            </w:tcBorders>
            <w:shd w:fill="auto" w:val="clear"/>
            <w:tcMar>
              <w:left w:type="dxa" w:w="144"/>
            </w:tcMar>
            <w:vAlign w:val="bottom"/>
          </w:tcPr>
          <w:p>
            <w:pPr>
              <w:pStyle w:val="style59"/>
              <w:spacing w:after="0" w:before="20"/>
              <w:ind w:hanging="0" w:left="259" w:right="101"/>
              <w:contextualSpacing w:val="false"/>
              <w:rPr/>
            </w:pPr>
            <w:r>
              <w:rPr/>
              <w:t> </w:t>
            </w:r>
          </w:p>
        </w:tc>
        <w:tc>
          <w:tcPr>
            <w:tcW w:type="dxa" w:w="1032"/>
            <w:tcBorders>
              <w:top w:val="nil"/>
              <w:left w:val="nil"/>
              <w:bottom w:val="nil"/>
              <w:right w:val="nil"/>
            </w:tcBorders>
            <w:shd w:fill="auto" w:val="clear"/>
            <w:tcMar>
              <w:left w:type="dxa" w:w="144"/>
            </w:tcMar>
            <w:vAlign w:val="bottom"/>
          </w:tcPr>
          <w:p>
            <w:pPr>
              <w:pStyle w:val="style59"/>
              <w:spacing w:after="0" w:before="20"/>
              <w:ind w:hanging="0" w:left="259" w:right="101"/>
              <w:contextualSpacing w:val="false"/>
              <w:rPr/>
            </w:pPr>
            <w:r>
              <w:rPr/>
              <w:t> </w:t>
            </w:r>
          </w:p>
        </w:tc>
      </w:tr>
      <w:tr>
        <w:trPr>
          <w:cantSplit w:val="false"/>
        </w:trPr>
        <w:tc>
          <w:tcPr>
            <w:tcW w:type="dxa" w:w="768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051"/>
            <w:tcBorders>
              <w:top w:val="nil"/>
              <w:left w:val="nil"/>
              <w:bottom w:val="nil"/>
              <w:right w:val="nil"/>
            </w:tcBorders>
            <w:shd w:fill="auto" w:val="clear"/>
            <w:tcMar>
              <w:left w:type="dxa" w:w="144"/>
            </w:tcMar>
            <w:vAlign w:val="bottom"/>
          </w:tcPr>
          <w:p>
            <w:pPr>
              <w:pStyle w:val="style62"/>
              <w:tabs>
                <w:tab w:leader="none" w:pos="840" w:val="right"/>
                <w:tab w:leader="none" w:pos="880" w:val="decimal"/>
              </w:tabs>
              <w:spacing w:after="280" w:before="280"/>
              <w:ind w:hanging="0" w:left="259" w:right="101"/>
              <w:contextualSpacing w:val="false"/>
              <w:rPr>
                <w:rFonts w:ascii="Arial" w:cs="Arial" w:hAnsi="Arial"/>
                <w:b/>
                <w:bCs/>
                <w:sz w:val="20"/>
                <w:szCs w:val="20"/>
              </w:rPr>
            </w:pPr>
            <w:r>
              <w:rPr>
                <w:rFonts w:ascii="Arial" w:cs="Arial" w:hAnsi="Arial"/>
                <w:b/>
                <w:bCs/>
                <w:sz w:val="20"/>
                <w:szCs w:val="20"/>
              </w:rPr>
              <w:t>$</w:t>
              <w:tab/>
              <w:t>1</w:t>
              <w:tab/>
            </w:r>
          </w:p>
        </w:tc>
        <w:tc>
          <w:tcPr>
            <w:tcW w:type="dxa" w:w="1030"/>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59" w:right="101"/>
              <w:contextualSpacing w:val="false"/>
              <w:rPr>
                <w:rFonts w:ascii="Arial" w:cs="Arial" w:hAnsi="Arial"/>
                <w:sz w:val="20"/>
                <w:szCs w:val="20"/>
              </w:rPr>
            </w:pPr>
            <w:r>
              <w:rPr>
                <w:rFonts w:ascii="Arial" w:cs="Arial" w:hAnsi="Arial"/>
                <w:sz w:val="20"/>
                <w:szCs w:val="20"/>
              </w:rPr>
              <w:t>$</w:t>
              <w:tab/>
              <w:t>2</w:t>
              <w:tab/>
            </w:r>
          </w:p>
        </w:tc>
        <w:tc>
          <w:tcPr>
            <w:tcW w:type="dxa" w:w="1032"/>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59" w:right="101"/>
              <w:contextualSpacing w:val="false"/>
              <w:rPr>
                <w:rFonts w:ascii="Arial" w:cs="Arial" w:hAnsi="Arial"/>
                <w:sz w:val="20"/>
                <w:szCs w:val="20"/>
              </w:rPr>
            </w:pPr>
            <w:r>
              <w:rPr>
                <w:rFonts w:ascii="Arial" w:cs="Arial" w:hAnsi="Arial"/>
                <w:sz w:val="20"/>
                <w:szCs w:val="20"/>
              </w:rPr>
              <w:t>$</w:t>
              <w:tab/>
              <w:t>(7</w:t>
              <w:tab/>
              <w:t>)</w:t>
            </w:r>
          </w:p>
        </w:tc>
      </w:tr>
      <w:tr>
        <w:trPr>
          <w:cantSplit w:val="false"/>
        </w:trPr>
        <w:tc>
          <w:tcPr>
            <w:tcW w:type="dxa" w:w="7687"/>
            <w:tcBorders>
              <w:top w:val="nil"/>
              <w:left w:val="nil"/>
              <w:bottom w:val="nil"/>
              <w:right w:val="nil"/>
            </w:tcBorders>
            <w:shd w:fill="auto" w:val="clear"/>
            <w:tcMar>
              <w:left w:type="dxa" w:w="144"/>
            </w:tcMar>
            <w:vAlign w:val="bottom"/>
          </w:tcPr>
          <w:p>
            <w:pPr>
              <w:pStyle w:val="style65"/>
              <w:rPr/>
            </w:pPr>
            <w:r>
              <w:rPr/>
              <w:t> </w:t>
            </w:r>
          </w:p>
        </w:tc>
        <w:tc>
          <w:tcPr>
            <w:tcW w:type="dxa" w:w="1051"/>
            <w:tcBorders>
              <w:top w:val="nil"/>
              <w:left w:val="nil"/>
              <w:bottom w:val="nil"/>
              <w:right w:val="nil"/>
            </w:tcBorders>
            <w:shd w:fill="auto" w:val="clear"/>
            <w:tcMar>
              <w:left w:type="dxa" w:w="144"/>
            </w:tcMar>
            <w:vAlign w:val="bottom"/>
          </w:tcPr>
          <w:p>
            <w:pPr>
              <w:pStyle w:val="style63"/>
              <w:spacing w:after="0" w:before="20"/>
              <w:ind w:hanging="0" w:left="259" w:right="101"/>
              <w:contextualSpacing w:val="false"/>
              <w:rPr/>
            </w:pPr>
            <w:r>
              <w:rPr/>
              <w:t> </w:t>
            </w:r>
          </w:p>
        </w:tc>
        <w:tc>
          <w:tcPr>
            <w:tcW w:type="dxa" w:w="1030"/>
            <w:tcBorders>
              <w:top w:val="nil"/>
              <w:left w:val="nil"/>
              <w:bottom w:val="nil"/>
              <w:right w:val="nil"/>
            </w:tcBorders>
            <w:shd w:fill="auto" w:val="clear"/>
            <w:tcMar>
              <w:left w:type="dxa" w:w="144"/>
            </w:tcMar>
            <w:vAlign w:val="bottom"/>
          </w:tcPr>
          <w:p>
            <w:pPr>
              <w:pStyle w:val="style63"/>
              <w:spacing w:after="0" w:before="20"/>
              <w:ind w:hanging="0" w:left="259" w:right="101"/>
              <w:contextualSpacing w:val="false"/>
              <w:rPr/>
            </w:pPr>
            <w:r>
              <w:rPr/>
              <w:t> </w:t>
            </w:r>
          </w:p>
        </w:tc>
        <w:tc>
          <w:tcPr>
            <w:tcW w:type="dxa" w:w="1032"/>
            <w:tcBorders>
              <w:top w:val="nil"/>
              <w:left w:val="nil"/>
              <w:bottom w:val="nil"/>
              <w:right w:val="nil"/>
            </w:tcBorders>
            <w:shd w:fill="auto" w:val="clear"/>
            <w:tcMar>
              <w:left w:type="dxa" w:w="144"/>
            </w:tcMar>
            <w:vAlign w:val="bottom"/>
          </w:tcPr>
          <w:p>
            <w:pPr>
              <w:pStyle w:val="style63"/>
              <w:spacing w:after="0" w:before="20"/>
              <w:ind w:hanging="0" w:left="259" w:right="101"/>
              <w:contextualSpacing w:val="false"/>
              <w:rPr/>
            </w:pPr>
            <w:r>
              <w:rPr/>
              <w:t> </w:t>
            </w:r>
          </w:p>
        </w:tc>
      </w:tr>
    </w:tbl>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Cash Flow Hedge Gains (Losses)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We recognized the following gains (losses) on foreign exchange contracts designated as cash flow hedges (our only cash flow hedges during the periods presented):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666"/>
        <w:gridCol w:w="1070"/>
        <w:gridCol w:w="1031"/>
        <w:gridCol w:w="1033"/>
      </w:tblGrid>
      <w:tr>
        <w:trPr>
          <w:tblHeader w:val="true"/>
          <w:cantSplit w:val="false"/>
        </w:trPr>
        <w:tc>
          <w:tcPr>
            <w:tcW w:type="dxa" w:w="7666"/>
            <w:tcBorders>
              <w:top w:val="nil"/>
              <w:left w:val="nil"/>
              <w:bottom w:val="nil"/>
              <w:right w:val="nil"/>
            </w:tcBorders>
            <w:shd w:fill="auto" w:val="clear"/>
            <w:vAlign w:val="center"/>
          </w:tcPr>
          <w:p>
            <w:pPr>
              <w:pStyle w:val="style0"/>
              <w:rPr>
                <w:sz w:val="1"/>
                <w:szCs w:val="24"/>
              </w:rPr>
            </w:pPr>
            <w:r>
              <w:rPr>
                <w:sz w:val="1"/>
                <w:szCs w:val="24"/>
              </w:rPr>
            </w:r>
          </w:p>
        </w:tc>
        <w:tc>
          <w:tcPr>
            <w:tcW w:type="dxa" w:w="1070"/>
            <w:tcBorders>
              <w:top w:val="nil"/>
              <w:left w:val="nil"/>
              <w:bottom w:val="nil"/>
              <w:right w:val="nil"/>
            </w:tcBorders>
            <w:shd w:fill="auto" w:val="clear"/>
            <w:vAlign w:val="center"/>
          </w:tcPr>
          <w:p>
            <w:pPr>
              <w:pStyle w:val="style0"/>
              <w:rPr>
                <w:sz w:val="1"/>
                <w:szCs w:val="24"/>
              </w:rPr>
            </w:pPr>
            <w:r>
              <w:rPr>
                <w:sz w:val="1"/>
                <w:szCs w:val="24"/>
              </w:rPr>
            </w:r>
          </w:p>
        </w:tc>
        <w:tc>
          <w:tcPr>
            <w:tcW w:type="dxa" w:w="1031"/>
            <w:tcBorders>
              <w:top w:val="nil"/>
              <w:left w:val="nil"/>
              <w:bottom w:val="nil"/>
              <w:right w:val="nil"/>
            </w:tcBorders>
            <w:shd w:fill="auto" w:val="clear"/>
            <w:vAlign w:val="center"/>
          </w:tcPr>
          <w:p>
            <w:pPr>
              <w:pStyle w:val="style0"/>
              <w:rPr>
                <w:sz w:val="1"/>
                <w:szCs w:val="24"/>
              </w:rPr>
            </w:pPr>
            <w:r>
              <w:rPr>
                <w:sz w:val="1"/>
                <w:szCs w:val="24"/>
              </w:rPr>
            </w:r>
          </w:p>
        </w:tc>
        <w:tc>
          <w:tcPr>
            <w:tcW w:type="dxa" w:w="1033"/>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6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070"/>
            <w:tcBorders>
              <w:top w:val="nil"/>
              <w:left w:val="nil"/>
              <w:bottom w:val="nil"/>
              <w:right w:val="nil"/>
            </w:tcBorders>
            <w:shd w:fill="auto" w:val="clear"/>
            <w:tcMar>
              <w:left w:type="dxa" w:w="144"/>
            </w:tcMar>
            <w:vAlign w:val="bottom"/>
          </w:tcPr>
          <w:p>
            <w:pPr>
              <w:pStyle w:val="style65"/>
              <w:ind w:hanging="0" w:left="259" w:right="101"/>
              <w:rPr/>
            </w:pPr>
            <w:r>
              <w:rPr/>
              <w:t> </w:t>
            </w:r>
          </w:p>
        </w:tc>
        <w:tc>
          <w:tcPr>
            <w:tcW w:type="dxa" w:w="1031"/>
            <w:tcBorders>
              <w:top w:val="nil"/>
              <w:left w:val="nil"/>
              <w:bottom w:val="nil"/>
              <w:right w:val="nil"/>
            </w:tcBorders>
            <w:shd w:fill="auto" w:val="clear"/>
            <w:tcMar>
              <w:left w:type="dxa" w:w="144"/>
            </w:tcMar>
            <w:vAlign w:val="bottom"/>
          </w:tcPr>
          <w:p>
            <w:pPr>
              <w:pStyle w:val="style65"/>
              <w:ind w:hanging="0" w:left="259" w:right="101"/>
              <w:rPr/>
            </w:pPr>
            <w:r>
              <w:rPr/>
              <w:t> </w:t>
            </w:r>
          </w:p>
        </w:tc>
        <w:tc>
          <w:tcPr>
            <w:tcW w:type="dxa" w:w="1033"/>
            <w:tcBorders>
              <w:top w:val="nil"/>
              <w:left w:val="nil"/>
              <w:bottom w:val="nil"/>
              <w:right w:val="nil"/>
            </w:tcBorders>
            <w:shd w:fill="auto" w:val="clear"/>
            <w:tcMar>
              <w:left w:type="dxa" w:w="144"/>
            </w:tcMar>
            <w:vAlign w:val="bottom"/>
          </w:tcPr>
          <w:p>
            <w:pPr>
              <w:pStyle w:val="style65"/>
              <w:ind w:hanging="0" w:left="259" w:right="101"/>
              <w:rPr/>
            </w:pPr>
            <w:r>
              <w:rPr/>
              <w:t> </w:t>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171" w:right="101"/>
              <w:contextualSpacing w:val="false"/>
              <w:rPr/>
            </w:pPr>
            <w:r>
              <w:rPr/>
              <w:t> </w:t>
            </w:r>
          </w:p>
        </w:tc>
      </w:tr>
      <w:tr>
        <w:trPr>
          <w:trHeight w:hRule="atLeast" w:val="75"/>
          <w:cantSplit w:val="false"/>
        </w:trPr>
        <w:tc>
          <w:tcPr>
            <w:tcW w:type="dxa" w:w="766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1"/>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3"/>
            <w:tcBorders>
              <w:top w:val="nil"/>
              <w:left w:val="nil"/>
              <w:bottom w:val="nil"/>
              <w:right w:val="nil"/>
            </w:tcBorders>
            <w:shd w:fill="auto" w:val="clear"/>
            <w:vAlign w:val="center"/>
          </w:tcPr>
          <w:p>
            <w:pPr>
              <w:pStyle w:val="style0"/>
              <w:ind w:hanging="0" w:left="259" w:right="101"/>
              <w:rPr>
                <w:sz w:val="8"/>
                <w:szCs w:val="24"/>
              </w:rPr>
            </w:pPr>
            <w:r>
              <w:rPr>
                <w:sz w:val="8"/>
                <w:szCs w:val="24"/>
              </w:rPr>
            </w:r>
          </w:p>
        </w:tc>
      </w:tr>
      <w:tr>
        <w:trPr>
          <w:cantSplit w:val="false"/>
        </w:trPr>
        <w:tc>
          <w:tcPr>
            <w:tcW w:type="dxa" w:w="76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070"/>
            <w:tcBorders>
              <w:top w:val="nil"/>
              <w:left w:val="nil"/>
              <w:bottom w:val="nil"/>
              <w:right w:val="nil"/>
            </w:tcBorders>
            <w:shd w:fill="auto" w:val="clear"/>
            <w:tcMar>
              <w:left w:type="dxa" w:w="144"/>
            </w:tcMar>
            <w:vAlign w:val="bottom"/>
          </w:tcPr>
          <w:p>
            <w:pPr>
              <w:pStyle w:val="style0"/>
              <w:ind w:hanging="0" w:left="259" w:right="101"/>
              <w:jc w:val="right"/>
              <w:rPr>
                <w:rFonts w:ascii="Arial" w:cs="Arial" w:hAnsi="Arial"/>
                <w:b/>
                <w:bCs/>
                <w:sz w:val="15"/>
                <w:szCs w:val="15"/>
              </w:rPr>
            </w:pPr>
            <w:r>
              <w:rPr>
                <w:rFonts w:ascii="Arial" w:cs="Arial" w:hAnsi="Arial"/>
                <w:b/>
                <w:bCs/>
                <w:sz w:val="15"/>
                <w:szCs w:val="15"/>
              </w:rPr>
              <w:t>2013</w:t>
            </w:r>
          </w:p>
        </w:tc>
        <w:tc>
          <w:tcPr>
            <w:tcW w:type="dxa" w:w="1031"/>
            <w:tcBorders>
              <w:top w:val="nil"/>
              <w:left w:val="nil"/>
              <w:bottom w:val="nil"/>
              <w:right w:val="nil"/>
            </w:tcBorders>
            <w:shd w:fill="auto" w:val="clear"/>
            <w:tcMar>
              <w:left w:type="dxa" w:w="144"/>
            </w:tcMar>
            <w:vAlign w:val="bottom"/>
          </w:tcPr>
          <w:p>
            <w:pPr>
              <w:pStyle w:val="style0"/>
              <w:tabs>
                <w:tab w:leader="none" w:pos="946" w:val="left"/>
              </w:tabs>
              <w:ind w:hanging="0" w:left="259" w:right="49"/>
              <w:jc w:val="right"/>
              <w:rPr>
                <w:rFonts w:ascii="Arial" w:cs="Arial" w:hAnsi="Arial"/>
                <w:b/>
                <w:bCs/>
                <w:sz w:val="15"/>
                <w:szCs w:val="15"/>
              </w:rPr>
            </w:pPr>
            <w:r>
              <w:rPr>
                <w:rFonts w:ascii="Arial" w:cs="Arial" w:hAnsi="Arial"/>
                <w:b/>
                <w:bCs/>
                <w:sz w:val="15"/>
                <w:szCs w:val="15"/>
              </w:rPr>
              <w:t>2012</w:t>
            </w:r>
          </w:p>
        </w:tc>
        <w:tc>
          <w:tcPr>
            <w:tcW w:type="dxa" w:w="1033"/>
            <w:tcBorders>
              <w:top w:val="nil"/>
              <w:left w:val="nil"/>
              <w:bottom w:val="nil"/>
              <w:right w:val="nil"/>
            </w:tcBorders>
            <w:shd w:fill="auto" w:val="clear"/>
            <w:tcMar>
              <w:left w:type="dxa" w:w="144"/>
            </w:tcMar>
            <w:vAlign w:val="bottom"/>
          </w:tcPr>
          <w:p>
            <w:pPr>
              <w:pStyle w:val="style0"/>
              <w:ind w:hanging="0" w:left="259" w:right="63"/>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66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1"/>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3"/>
            <w:tcBorders>
              <w:top w:val="nil"/>
              <w:left w:val="nil"/>
              <w:bottom w:val="nil"/>
              <w:right w:val="nil"/>
            </w:tcBorders>
            <w:shd w:fill="auto" w:val="clear"/>
            <w:vAlign w:val="center"/>
          </w:tcPr>
          <w:p>
            <w:pPr>
              <w:pStyle w:val="style0"/>
              <w:ind w:hanging="0" w:left="259" w:right="101"/>
              <w:rPr>
                <w:sz w:val="8"/>
                <w:szCs w:val="24"/>
              </w:rPr>
            </w:pPr>
            <w:r>
              <w:rPr>
                <w:sz w:val="8"/>
                <w:szCs w:val="24"/>
              </w:rPr>
            </w:r>
          </w:p>
        </w:tc>
      </w:tr>
      <w:tr>
        <w:trPr>
          <w:cantSplit w:val="false"/>
        </w:trPr>
        <w:tc>
          <w:tcPr>
            <w:tcW w:type="dxa" w:w="76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Effective Portion</w:t>
            </w:r>
          </w:p>
        </w:tc>
        <w:tc>
          <w:tcPr>
            <w:tcW w:type="dxa" w:w="1070"/>
            <w:tcBorders>
              <w:top w:val="nil"/>
              <w:left w:val="nil"/>
              <w:bottom w:val="nil"/>
              <w:right w:val="nil"/>
            </w:tcBorders>
            <w:shd w:fill="auto" w:val="clear"/>
            <w:tcMar>
              <w:left w:type="dxa" w:w="144"/>
            </w:tcMar>
            <w:vAlign w:val="bottom"/>
          </w:tcPr>
          <w:p>
            <w:pPr>
              <w:pStyle w:val="style65"/>
              <w:ind w:hanging="0" w:left="259" w:right="101"/>
              <w:rPr/>
            </w:pPr>
            <w:r>
              <w:rPr/>
              <w:t> </w:t>
            </w:r>
          </w:p>
        </w:tc>
        <w:tc>
          <w:tcPr>
            <w:tcW w:type="dxa" w:w="1031"/>
            <w:tcBorders>
              <w:top w:val="nil"/>
              <w:left w:val="nil"/>
              <w:bottom w:val="nil"/>
              <w:right w:val="nil"/>
            </w:tcBorders>
            <w:shd w:fill="auto" w:val="clear"/>
            <w:tcMar>
              <w:left w:type="dxa" w:w="144"/>
            </w:tcMar>
            <w:vAlign w:val="bottom"/>
          </w:tcPr>
          <w:p>
            <w:pPr>
              <w:pStyle w:val="style65"/>
              <w:ind w:hanging="0" w:left="259" w:right="101"/>
              <w:rPr/>
            </w:pPr>
            <w:r>
              <w:rPr/>
              <w:t> </w:t>
            </w:r>
          </w:p>
        </w:tc>
        <w:tc>
          <w:tcPr>
            <w:tcW w:type="dxa" w:w="1033"/>
            <w:tcBorders>
              <w:top w:val="nil"/>
              <w:left w:val="nil"/>
              <w:bottom w:val="nil"/>
              <w:right w:val="nil"/>
            </w:tcBorders>
            <w:shd w:fill="auto" w:val="clear"/>
            <w:tcMar>
              <w:left w:type="dxa" w:w="144"/>
            </w:tcMar>
            <w:vAlign w:val="bottom"/>
          </w:tcPr>
          <w:p>
            <w:pPr>
              <w:pStyle w:val="style65"/>
              <w:ind w:hanging="0" w:left="259" w:right="101"/>
              <w:rPr/>
            </w:pPr>
            <w:r>
              <w:rPr/>
              <w:t> </w:t>
            </w:r>
          </w:p>
        </w:tc>
      </w:tr>
      <w:tr>
        <w:trPr>
          <w:trHeight w:hRule="atLeast" w:val="75"/>
          <w:cantSplit w:val="false"/>
        </w:trPr>
        <w:tc>
          <w:tcPr>
            <w:tcW w:type="dxa" w:w="766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1"/>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3"/>
            <w:tcBorders>
              <w:top w:val="nil"/>
              <w:left w:val="nil"/>
              <w:bottom w:val="nil"/>
              <w:right w:val="nil"/>
            </w:tcBorders>
            <w:shd w:fill="auto" w:val="clear"/>
            <w:vAlign w:val="center"/>
          </w:tcPr>
          <w:p>
            <w:pPr>
              <w:pStyle w:val="style0"/>
              <w:ind w:hanging="0" w:left="259" w:right="101"/>
              <w:rPr>
                <w:sz w:val="8"/>
                <w:szCs w:val="24"/>
              </w:rPr>
            </w:pPr>
            <w:r>
              <w:rPr>
                <w:sz w:val="8"/>
                <w:szCs w:val="24"/>
              </w:rPr>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 xml:space="preserve">Gains (losses) recognized in OCI, net of tax effects of </w:t>
            </w:r>
            <w:r>
              <w:rPr>
                <w:rFonts w:ascii="Arial" w:cs="Arial" w:hAnsi="Arial"/>
                <w:b/>
                <w:bCs/>
                <w:sz w:val="20"/>
                <w:szCs w:val="20"/>
              </w:rPr>
              <w:t>$54</w:t>
            </w:r>
            <w:r>
              <w:rPr>
                <w:rFonts w:ascii="Arial" w:cs="Arial" w:hAnsi="Arial"/>
                <w:sz w:val="20"/>
                <w:szCs w:val="20"/>
              </w:rPr>
              <w:t>, $127 and $(340)</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59" w:right="101"/>
              <w:contextualSpacing w:val="false"/>
              <w:rPr>
                <w:rFonts w:ascii="Arial" w:cs="Arial" w:hAnsi="Arial"/>
                <w:b/>
                <w:bCs/>
                <w:sz w:val="20"/>
                <w:szCs w:val="20"/>
              </w:rPr>
            </w:pPr>
            <w:r>
              <w:rPr>
                <w:rFonts w:ascii="Arial" w:cs="Arial" w:hAnsi="Arial"/>
                <w:b/>
                <w:bCs/>
                <w:sz w:val="20"/>
                <w:szCs w:val="20"/>
              </w:rPr>
              <w:t>$</w:t>
              <w:tab/>
              <w:t>   101</w:t>
              <w:tab/>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59" w:right="101"/>
              <w:contextualSpacing w:val="false"/>
              <w:rPr>
                <w:rFonts w:ascii="Arial" w:cs="Arial" w:hAnsi="Arial"/>
                <w:sz w:val="20"/>
                <w:szCs w:val="20"/>
              </w:rPr>
            </w:pPr>
            <w:r>
              <w:rPr>
                <w:rFonts w:ascii="Arial" w:cs="Arial" w:hAnsi="Arial"/>
                <w:sz w:val="20"/>
                <w:szCs w:val="20"/>
              </w:rPr>
              <w:t>$</w:t>
              <w:tab/>
              <w:t>   236</w:t>
              <w:tab/>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194" w:right="101"/>
              <w:contextualSpacing w:val="false"/>
              <w:rPr>
                <w:rFonts w:ascii="Arial" w:cs="Arial" w:hAnsi="Arial"/>
                <w:sz w:val="20"/>
                <w:szCs w:val="20"/>
              </w:rPr>
            </w:pPr>
            <w:r>
              <w:rPr>
                <w:rFonts w:ascii="Arial" w:cs="Arial" w:hAnsi="Arial"/>
                <w:sz w:val="20"/>
                <w:szCs w:val="20"/>
              </w:rPr>
              <w:t>$</w:t>
              <w:tab/>
              <w:t>  (632</w:t>
              <w:tab/>
              <w:t>)</w:t>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Gains (losses) reclassified from AOCI into revenue</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59" w:right="101"/>
              <w:contextualSpacing w:val="false"/>
              <w:rPr>
                <w:rFonts w:ascii="Arial" w:cs="Arial" w:hAnsi="Arial"/>
                <w:b/>
                <w:bCs/>
                <w:sz w:val="20"/>
                <w:szCs w:val="20"/>
              </w:rPr>
            </w:pPr>
            <w:r>
              <w:rPr>
                <w:rFonts w:ascii="Arial" w:cs="Arial" w:hAnsi="Arial"/>
                <w:b/>
                <w:bCs/>
                <w:sz w:val="20"/>
                <w:szCs w:val="20"/>
              </w:rPr>
              <w:t>$</w:t>
              <w:tab/>
              <w:t>195</w:t>
              <w:tab/>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59" w:right="101"/>
              <w:contextualSpacing w:val="false"/>
              <w:rPr>
                <w:rFonts w:ascii="Arial" w:cs="Arial" w:hAnsi="Arial"/>
                <w:sz w:val="20"/>
                <w:szCs w:val="20"/>
              </w:rPr>
            </w:pPr>
            <w:r>
              <w:rPr>
                <w:rFonts w:ascii="Arial" w:cs="Arial" w:hAnsi="Arial"/>
                <w:sz w:val="20"/>
                <w:szCs w:val="20"/>
              </w:rPr>
              <w:t>$</w:t>
              <w:tab/>
              <w:t>(27</w:t>
              <w:tab/>
              <w:t>)</w:t>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194" w:right="101"/>
              <w:contextualSpacing w:val="false"/>
              <w:rPr>
                <w:rFonts w:ascii="Arial" w:cs="Arial" w:hAnsi="Arial"/>
                <w:sz w:val="20"/>
                <w:szCs w:val="20"/>
              </w:rPr>
            </w:pPr>
            <w:r>
              <w:rPr>
                <w:rFonts w:ascii="Arial" w:cs="Arial" w:hAnsi="Arial"/>
                <w:sz w:val="20"/>
                <w:szCs w:val="20"/>
              </w:rPr>
              <w:t>$</w:t>
              <w:tab/>
              <w:t>(7</w:t>
              <w:tab/>
              <w:t>)</w:t>
            </w:r>
          </w:p>
        </w:tc>
      </w:tr>
      <w:tr>
        <w:trPr>
          <w:trHeight w:hRule="atLeast" w:val="75"/>
          <w:cantSplit w:val="false"/>
        </w:trPr>
        <w:tc>
          <w:tcPr>
            <w:tcW w:type="dxa" w:w="766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1"/>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3"/>
            <w:tcBorders>
              <w:top w:val="nil"/>
              <w:left w:val="nil"/>
              <w:bottom w:val="nil"/>
              <w:right w:val="nil"/>
            </w:tcBorders>
            <w:shd w:fill="auto" w:val="clear"/>
            <w:vAlign w:val="center"/>
          </w:tcPr>
          <w:p>
            <w:pPr>
              <w:pStyle w:val="style0"/>
              <w:ind w:hanging="0" w:left="194" w:right="101"/>
              <w:rPr>
                <w:sz w:val="8"/>
                <w:szCs w:val="24"/>
              </w:rPr>
            </w:pPr>
            <w:r>
              <w:rPr>
                <w:sz w:val="8"/>
                <w:szCs w:val="24"/>
              </w:rPr>
            </w:r>
          </w:p>
        </w:tc>
      </w:tr>
      <w:tr>
        <w:trPr>
          <w:cantSplit w:val="false"/>
        </w:trPr>
        <w:tc>
          <w:tcPr>
            <w:tcW w:type="dxa" w:w="76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Amount Excluded from Effectiveness Assessment and Ineffective Portion</w:t>
            </w:r>
          </w:p>
        </w:tc>
        <w:tc>
          <w:tcPr>
            <w:tcW w:type="dxa" w:w="1070"/>
            <w:tcBorders>
              <w:top w:val="nil"/>
              <w:left w:val="nil"/>
              <w:bottom w:val="nil"/>
              <w:right w:val="nil"/>
            </w:tcBorders>
            <w:shd w:fill="auto" w:val="clear"/>
            <w:tcMar>
              <w:left w:type="dxa" w:w="144"/>
            </w:tcMar>
            <w:vAlign w:val="bottom"/>
          </w:tcPr>
          <w:p>
            <w:pPr>
              <w:pStyle w:val="style65"/>
              <w:ind w:hanging="0" w:left="259" w:right="101"/>
              <w:rPr/>
            </w:pPr>
            <w:r>
              <w:rPr/>
              <w:t> </w:t>
            </w:r>
          </w:p>
        </w:tc>
        <w:tc>
          <w:tcPr>
            <w:tcW w:type="dxa" w:w="1031"/>
            <w:tcBorders>
              <w:top w:val="nil"/>
              <w:left w:val="nil"/>
              <w:bottom w:val="nil"/>
              <w:right w:val="nil"/>
            </w:tcBorders>
            <w:shd w:fill="auto" w:val="clear"/>
            <w:tcMar>
              <w:left w:type="dxa" w:w="144"/>
            </w:tcMar>
            <w:vAlign w:val="bottom"/>
          </w:tcPr>
          <w:p>
            <w:pPr>
              <w:pStyle w:val="style65"/>
              <w:ind w:hanging="0" w:left="259" w:right="101"/>
              <w:rPr/>
            </w:pPr>
            <w:r>
              <w:rPr/>
              <w:t> </w:t>
            </w:r>
          </w:p>
        </w:tc>
        <w:tc>
          <w:tcPr>
            <w:tcW w:type="dxa" w:w="1033"/>
            <w:tcBorders>
              <w:top w:val="nil"/>
              <w:left w:val="nil"/>
              <w:bottom w:val="nil"/>
              <w:right w:val="nil"/>
            </w:tcBorders>
            <w:shd w:fill="auto" w:val="clear"/>
            <w:tcMar>
              <w:left w:type="dxa" w:w="144"/>
            </w:tcMar>
            <w:vAlign w:val="bottom"/>
          </w:tcPr>
          <w:p>
            <w:pPr>
              <w:pStyle w:val="style65"/>
              <w:ind w:hanging="0" w:left="194" w:right="101"/>
              <w:rPr/>
            </w:pPr>
            <w:r>
              <w:rPr/>
              <w:t> </w:t>
            </w:r>
          </w:p>
        </w:tc>
      </w:tr>
      <w:tr>
        <w:trPr>
          <w:trHeight w:hRule="atLeast" w:val="75"/>
          <w:cantSplit w:val="false"/>
        </w:trPr>
        <w:tc>
          <w:tcPr>
            <w:tcW w:type="dxa" w:w="766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1"/>
            <w:tcBorders>
              <w:top w:val="nil"/>
              <w:left w:val="nil"/>
              <w:bottom w:val="nil"/>
              <w:right w:val="nil"/>
            </w:tcBorders>
            <w:shd w:fill="auto" w:val="clear"/>
            <w:vAlign w:val="center"/>
          </w:tcPr>
          <w:p>
            <w:pPr>
              <w:pStyle w:val="style0"/>
              <w:ind w:hanging="0" w:left="259" w:right="101"/>
              <w:rPr>
                <w:sz w:val="8"/>
                <w:szCs w:val="24"/>
              </w:rPr>
            </w:pPr>
            <w:r>
              <w:rPr>
                <w:sz w:val="8"/>
                <w:szCs w:val="24"/>
              </w:rPr>
            </w:r>
          </w:p>
        </w:tc>
        <w:tc>
          <w:tcPr>
            <w:tcW w:type="dxa" w:w="1033"/>
            <w:tcBorders>
              <w:top w:val="nil"/>
              <w:left w:val="nil"/>
              <w:bottom w:val="nil"/>
              <w:right w:val="nil"/>
            </w:tcBorders>
            <w:shd w:fill="auto" w:val="clear"/>
            <w:vAlign w:val="center"/>
          </w:tcPr>
          <w:p>
            <w:pPr>
              <w:pStyle w:val="style0"/>
              <w:ind w:hanging="0" w:left="194" w:right="101"/>
              <w:rPr>
                <w:sz w:val="8"/>
                <w:szCs w:val="24"/>
              </w:rPr>
            </w:pPr>
            <w:r>
              <w:rPr>
                <w:sz w:val="8"/>
                <w:szCs w:val="24"/>
              </w:rPr>
            </w:r>
          </w:p>
        </w:tc>
      </w:tr>
      <w:tr>
        <w:trPr>
          <w:cantSplit w:val="false"/>
        </w:trPr>
        <w:tc>
          <w:tcPr>
            <w:tcW w:type="dxa" w:w="76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Losses recognized in other income (expense)</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59" w:right="101"/>
              <w:contextualSpacing w:val="false"/>
              <w:rPr>
                <w:rFonts w:ascii="Arial" w:cs="Arial" w:hAnsi="Arial"/>
                <w:b/>
                <w:bCs/>
                <w:sz w:val="20"/>
                <w:szCs w:val="20"/>
              </w:rPr>
            </w:pPr>
            <w:r>
              <w:rPr>
                <w:rFonts w:ascii="Arial" w:cs="Arial" w:hAnsi="Arial"/>
                <w:b/>
                <w:bCs/>
                <w:sz w:val="20"/>
                <w:szCs w:val="20"/>
              </w:rPr>
              <w:t>$</w:t>
              <w:tab/>
              <w:t>(168</w:t>
              <w:tab/>
              <w:t>)</w:t>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59" w:right="101"/>
              <w:contextualSpacing w:val="false"/>
              <w:rPr>
                <w:rFonts w:ascii="Arial" w:cs="Arial" w:hAnsi="Arial"/>
                <w:sz w:val="20"/>
                <w:szCs w:val="20"/>
              </w:rPr>
            </w:pPr>
            <w:r>
              <w:rPr>
                <w:rFonts w:ascii="Arial" w:cs="Arial" w:hAnsi="Arial"/>
                <w:sz w:val="20"/>
                <w:szCs w:val="20"/>
              </w:rPr>
              <w:t>$</w:t>
              <w:tab/>
              <w:t>(231</w:t>
              <w:tab/>
              <w:t>)</w:t>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194" w:right="101"/>
              <w:contextualSpacing w:val="false"/>
              <w:rPr>
                <w:rFonts w:ascii="Arial" w:cs="Arial" w:hAnsi="Arial"/>
                <w:sz w:val="20"/>
                <w:szCs w:val="20"/>
              </w:rPr>
            </w:pPr>
            <w:r>
              <w:rPr>
                <w:rFonts w:ascii="Arial" w:cs="Arial" w:hAnsi="Arial"/>
                <w:sz w:val="20"/>
                <w:szCs w:val="20"/>
              </w:rPr>
              <w:t>$</w:t>
              <w:tab/>
              <w:t>(276</w:t>
              <w:tab/>
              <w:t>)</w:t>
            </w:r>
          </w:p>
        </w:tc>
      </w:tr>
    </w:tbl>
    <w:p>
      <w:pPr>
        <w:pStyle w:val="style59"/>
        <w:pBdr>
          <w:top w:color="000001" w:space="0" w:sz="4" w:val="single"/>
          <w:left w:val="nil"/>
          <w:bottom w:val="nil"/>
          <w:insideH w:val="nil"/>
          <w:right w:val="nil"/>
          <w:insideV w:val="nil"/>
        </w:pBdr>
        <w:ind w:hanging="0" w:left="0" w:right="72"/>
        <w:rPr/>
      </w:pPr>
      <w:r>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estimate that $95 million of net derivative gains included in AOCI at June 30, 2013 will be reclassified into earnings within the following 12 months. No significant amounts of gains (losses) were reclassified from AOCI into earnings as a result of forecasted transactions that failed to occur during fiscal year 2013.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Non-Designated Derivative Gains (Losses)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Gains (losses) from changes in fair values of derivatives that are not designated as hedges are primarily recognized in other income (expense). These amounts are shown in the table below, with the exception of gains (losses) on derivatives presented in income statement line items other than other income (expense), which were immaterial for the periods presented. Other than those derivatives entered into for investment purposes, such as commodity contracts, the gains (losses) below are generally economically offset by unrealized gains (losses) in the underlying available-for-sale securities.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526"/>
        <w:gridCol w:w="1150"/>
        <w:gridCol w:w="1090"/>
        <w:gridCol w:w="1033"/>
      </w:tblGrid>
      <w:tr>
        <w:trPr>
          <w:tblHeader w:val="true"/>
          <w:cantSplit w:val="false"/>
        </w:trPr>
        <w:tc>
          <w:tcPr>
            <w:tcW w:type="dxa" w:w="7526"/>
            <w:tcBorders>
              <w:top w:val="nil"/>
              <w:left w:val="nil"/>
              <w:bottom w:val="nil"/>
              <w:right w:val="nil"/>
            </w:tcBorders>
            <w:shd w:fill="auto" w:val="clear"/>
            <w:vAlign w:val="center"/>
          </w:tcPr>
          <w:p>
            <w:pPr>
              <w:pStyle w:val="style0"/>
              <w:rPr>
                <w:sz w:val="1"/>
                <w:szCs w:val="24"/>
              </w:rPr>
            </w:pPr>
            <w:r>
              <w:rPr>
                <w:sz w:val="1"/>
                <w:szCs w:val="24"/>
              </w:rPr>
            </w:r>
          </w:p>
        </w:tc>
        <w:tc>
          <w:tcPr>
            <w:tcW w:type="dxa" w:w="1150"/>
            <w:tcBorders>
              <w:top w:val="nil"/>
              <w:left w:val="nil"/>
              <w:bottom w:val="nil"/>
              <w:right w:val="nil"/>
            </w:tcBorders>
            <w:shd w:fill="auto" w:val="clear"/>
            <w:vAlign w:val="center"/>
          </w:tcPr>
          <w:p>
            <w:pPr>
              <w:pStyle w:val="style0"/>
              <w:rPr>
                <w:sz w:val="1"/>
                <w:szCs w:val="24"/>
              </w:rPr>
            </w:pPr>
            <w:r>
              <w:rPr>
                <w:sz w:val="1"/>
                <w:szCs w:val="24"/>
              </w:rPr>
            </w:r>
          </w:p>
        </w:tc>
        <w:tc>
          <w:tcPr>
            <w:tcW w:type="dxa" w:w="1090"/>
            <w:tcBorders>
              <w:top w:val="nil"/>
              <w:left w:val="nil"/>
              <w:bottom w:val="nil"/>
              <w:right w:val="nil"/>
            </w:tcBorders>
            <w:shd w:fill="auto" w:val="clear"/>
            <w:vAlign w:val="center"/>
          </w:tcPr>
          <w:p>
            <w:pPr>
              <w:pStyle w:val="style0"/>
              <w:rPr>
                <w:sz w:val="1"/>
                <w:szCs w:val="24"/>
              </w:rPr>
            </w:pPr>
            <w:r>
              <w:rPr>
                <w:sz w:val="1"/>
                <w:szCs w:val="24"/>
              </w:rPr>
            </w:r>
          </w:p>
        </w:tc>
        <w:tc>
          <w:tcPr>
            <w:tcW w:type="dxa" w:w="1033"/>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52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150"/>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090"/>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033"/>
            <w:tcBorders>
              <w:top w:val="nil"/>
              <w:left w:val="nil"/>
              <w:bottom w:val="nil"/>
              <w:right w:val="nil"/>
            </w:tcBorders>
            <w:shd w:fill="auto" w:val="clear"/>
            <w:tcMar>
              <w:left w:type="dxa" w:w="144"/>
            </w:tcMar>
            <w:vAlign w:val="bottom"/>
          </w:tcPr>
          <w:p>
            <w:pPr>
              <w:pStyle w:val="style65"/>
              <w:ind w:hanging="0" w:left="216" w:right="86"/>
              <w:rPr/>
            </w:pPr>
            <w:r>
              <w:rPr/>
              <w:t> </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firstLine="360" w:left="-144" w:right="86"/>
              <w:contextualSpacing w:val="false"/>
              <w:rPr/>
            </w:pPr>
            <w:r>
              <w:rPr/>
              <w:t> </w:t>
            </w:r>
          </w:p>
        </w:tc>
      </w:tr>
      <w:tr>
        <w:trPr>
          <w:trHeight w:hRule="atLeast" w:val="75"/>
          <w:cantSplit w:val="false"/>
        </w:trPr>
        <w:tc>
          <w:tcPr>
            <w:tcW w:type="dxa" w:w="7526"/>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09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033"/>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752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150"/>
            <w:tcBorders>
              <w:top w:val="nil"/>
              <w:left w:val="nil"/>
              <w:bottom w:val="nil"/>
              <w:right w:val="nil"/>
            </w:tcBorders>
            <w:shd w:fill="auto" w:val="clear"/>
            <w:tcMar>
              <w:left w:type="dxa" w:w="144"/>
            </w:tcMar>
            <w:vAlign w:val="bottom"/>
          </w:tcPr>
          <w:p>
            <w:pPr>
              <w:pStyle w:val="style0"/>
              <w:ind w:hanging="0" w:left="216" w:right="86"/>
              <w:jc w:val="right"/>
              <w:rPr>
                <w:rFonts w:ascii="Arial" w:cs="Arial" w:hAnsi="Arial"/>
                <w:b/>
                <w:bCs/>
                <w:sz w:val="15"/>
                <w:szCs w:val="15"/>
              </w:rPr>
            </w:pPr>
            <w:r>
              <w:rPr>
                <w:rFonts w:ascii="Arial" w:cs="Arial" w:hAnsi="Arial"/>
                <w:b/>
                <w:bCs/>
                <w:sz w:val="15"/>
                <w:szCs w:val="15"/>
              </w:rPr>
              <w:t>2013</w:t>
            </w:r>
          </w:p>
        </w:tc>
        <w:tc>
          <w:tcPr>
            <w:tcW w:type="dxa" w:w="1090"/>
            <w:tcBorders>
              <w:top w:val="nil"/>
              <w:left w:val="nil"/>
              <w:bottom w:val="nil"/>
              <w:right w:val="nil"/>
            </w:tcBorders>
            <w:shd w:fill="auto" w:val="clear"/>
            <w:tcMar>
              <w:left w:type="dxa" w:w="144"/>
            </w:tcMar>
            <w:vAlign w:val="bottom"/>
          </w:tcPr>
          <w:p>
            <w:pPr>
              <w:pStyle w:val="style0"/>
              <w:ind w:hanging="0" w:left="216" w:right="86"/>
              <w:jc w:val="right"/>
              <w:rPr>
                <w:rFonts w:ascii="Arial" w:cs="Arial" w:hAnsi="Arial"/>
                <w:b/>
                <w:bCs/>
                <w:sz w:val="15"/>
                <w:szCs w:val="15"/>
              </w:rPr>
            </w:pPr>
            <w:r>
              <w:rPr>
                <w:rFonts w:ascii="Arial" w:cs="Arial" w:hAnsi="Arial"/>
                <w:b/>
                <w:bCs/>
                <w:sz w:val="15"/>
                <w:szCs w:val="15"/>
              </w:rPr>
              <w:t>2012</w:t>
            </w:r>
          </w:p>
        </w:tc>
        <w:tc>
          <w:tcPr>
            <w:tcW w:type="dxa" w:w="1033"/>
            <w:tcBorders>
              <w:top w:val="nil"/>
              <w:left w:val="nil"/>
              <w:bottom w:val="nil"/>
              <w:right w:val="nil"/>
            </w:tcBorders>
            <w:shd w:fill="auto" w:val="clear"/>
            <w:tcMar>
              <w:left w:type="dxa" w:w="144"/>
            </w:tcMar>
            <w:vAlign w:val="bottom"/>
          </w:tcPr>
          <w:p>
            <w:pPr>
              <w:pStyle w:val="style0"/>
              <w:ind w:hanging="0" w:left="216" w:right="86"/>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526"/>
            <w:tcBorders>
              <w:top w:val="nil"/>
              <w:left w:val="nil"/>
              <w:bottom w:val="nil"/>
              <w:right w:val="nil"/>
            </w:tcBorders>
            <w:shd w:fill="auto" w:val="clear"/>
            <w:vAlign w:val="center"/>
          </w:tcPr>
          <w:p>
            <w:pPr>
              <w:pStyle w:val="style0"/>
              <w:rPr>
                <w:sz w:val="8"/>
                <w:szCs w:val="24"/>
              </w:rPr>
            </w:pPr>
            <w:r>
              <w:rPr>
                <w:sz w:val="8"/>
                <w:szCs w:val="24"/>
              </w:rPr>
            </w:r>
          </w:p>
        </w:tc>
        <w:tc>
          <w:tcPr>
            <w:tcW w:type="dxa" w:w="115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09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033"/>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75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Foreign exchange contracts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18</w:t>
              <w:tab/>
            </w:r>
          </w:p>
        </w:tc>
        <w:tc>
          <w:tcPr>
            <w:tcW w:type="dxa" w:w="1090"/>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(119</w:t>
              <w:tab/>
              <w:t>)</w:t>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(27</w:t>
              <w:tab/>
              <w:t>)</w:t>
            </w:r>
          </w:p>
        </w:tc>
      </w:tr>
      <w:tr>
        <w:trPr>
          <w:cantSplit w:val="false"/>
        </w:trPr>
        <w:tc>
          <w:tcPr>
            <w:tcW w:type="dxa" w:w="75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Equity contracts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16</w:t>
              <w:tab/>
            </w:r>
          </w:p>
        </w:tc>
        <w:tc>
          <w:tcPr>
            <w:tcW w:type="dxa" w:w="1090"/>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(85</w:t>
              <w:tab/>
              <w:t>)</w:t>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35</w:t>
              <w:tab/>
            </w:r>
          </w:p>
        </w:tc>
      </w:tr>
      <w:tr>
        <w:trPr>
          <w:cantSplit w:val="false"/>
        </w:trPr>
        <w:tc>
          <w:tcPr>
            <w:tcW w:type="dxa" w:w="75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Interest-rate contracts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(11</w:t>
              <w:tab/>
              <w:t>)</w:t>
            </w:r>
          </w:p>
        </w:tc>
        <w:tc>
          <w:tcPr>
            <w:tcW w:type="dxa" w:w="1090"/>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93</w:t>
              <w:tab/>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19</w:t>
              <w:tab/>
            </w:r>
          </w:p>
        </w:tc>
      </w:tr>
      <w:tr>
        <w:trPr>
          <w:cantSplit w:val="false"/>
        </w:trPr>
        <w:tc>
          <w:tcPr>
            <w:tcW w:type="dxa" w:w="75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Credit contracts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(3</w:t>
              <w:tab/>
              <w:t>)</w:t>
            </w:r>
          </w:p>
        </w:tc>
        <w:tc>
          <w:tcPr>
            <w:tcW w:type="dxa" w:w="1090"/>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(7</w:t>
              <w:tab/>
              <w:t>)</w:t>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24</w:t>
              <w:tab/>
            </w:r>
          </w:p>
        </w:tc>
      </w:tr>
      <w:tr>
        <w:trPr>
          <w:cantSplit w:val="false"/>
        </w:trPr>
        <w:tc>
          <w:tcPr>
            <w:tcW w:type="dxa" w:w="75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Commodity contracts</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(42</w:t>
              <w:tab/>
              <w:t>)</w:t>
            </w:r>
          </w:p>
        </w:tc>
        <w:tc>
          <w:tcPr>
            <w:tcW w:type="dxa" w:w="1090"/>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(121</w:t>
              <w:tab/>
              <w:t>)</w:t>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ab/>
              <w:t>148</w:t>
              <w:tab/>
            </w:r>
          </w:p>
        </w:tc>
      </w:tr>
      <w:tr>
        <w:trPr>
          <w:cantSplit w:val="false"/>
        </w:trPr>
        <w:tc>
          <w:tcPr>
            <w:tcW w:type="dxa" w:w="8677"/>
            <w:gridSpan w:val="2"/>
            <w:tcBorders>
              <w:top w:val="nil"/>
              <w:left w:val="nil"/>
              <w:bottom w:val="nil"/>
              <w:right w:val="nil"/>
            </w:tcBorders>
            <w:shd w:fill="auto" w:val="clear"/>
            <w:vAlign w:val="bottom"/>
          </w:tcPr>
          <w:p>
            <w:pPr>
              <w:pStyle w:val="style59"/>
              <w:spacing w:after="0" w:before="20"/>
              <w:ind w:firstLine="360" w:left="-144" w:right="86"/>
              <w:contextualSpacing w:val="false"/>
              <w:rPr/>
            </w:pPr>
            <w:r>
              <w:rPr/>
              <w:t> </w:t>
            </w:r>
          </w:p>
        </w:tc>
        <w:tc>
          <w:tcPr>
            <w:tcW w:type="dxa" w:w="1090"/>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c>
          <w:tcPr>
            <w:tcW w:type="dxa" w:w="1032"/>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r>
      <w:tr>
        <w:trPr>
          <w:cantSplit w:val="false"/>
        </w:trPr>
        <w:tc>
          <w:tcPr>
            <w:tcW w:type="dxa" w:w="752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150"/>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      (22</w:t>
              <w:tab/>
              <w:t>)</w:t>
            </w:r>
          </w:p>
        </w:tc>
        <w:tc>
          <w:tcPr>
            <w:tcW w:type="dxa" w:w="1090"/>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   (239</w:t>
              <w:tab/>
              <w:t>)</w:t>
            </w:r>
          </w:p>
        </w:tc>
        <w:tc>
          <w:tcPr>
            <w:tcW w:type="dxa" w:w="1033"/>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   199</w:t>
              <w:tab/>
            </w:r>
          </w:p>
        </w:tc>
      </w:tr>
      <w:tr>
        <w:trPr>
          <w:cantSplit w:val="false"/>
        </w:trPr>
        <w:tc>
          <w:tcPr>
            <w:tcW w:type="dxa" w:w="7526"/>
            <w:tcBorders>
              <w:top w:val="nil"/>
              <w:left w:val="nil"/>
              <w:bottom w:val="nil"/>
              <w:right w:val="nil"/>
            </w:tcBorders>
            <w:shd w:fill="auto" w:val="clear"/>
            <w:tcMar>
              <w:left w:type="dxa" w:w="144"/>
            </w:tcMar>
            <w:vAlign w:val="bottom"/>
          </w:tcPr>
          <w:p>
            <w:pPr>
              <w:pStyle w:val="style65"/>
              <w:rPr/>
            </w:pPr>
            <w:r>
              <w:rPr/>
              <w:t> </w:t>
            </w:r>
          </w:p>
        </w:tc>
        <w:tc>
          <w:tcPr>
            <w:tcW w:type="dxa" w:w="1150"/>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090"/>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033"/>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r>
    </w:tbl>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6 — FAIR VALUE MEASUREMENTS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Assets and Liabilities Measured at Fair Value on a Recurring Basis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following tables present the fair value of our financial instruments that are measured at fair value on a recurring basis: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2833"/>
        <w:gridCol w:w="1391"/>
        <w:gridCol w:w="1391"/>
        <w:gridCol w:w="1171"/>
        <w:gridCol w:w="1391"/>
        <w:gridCol w:w="1230"/>
        <w:gridCol w:w="1393"/>
      </w:tblGrid>
      <w:tr>
        <w:trPr>
          <w:cantSplit w:val="false"/>
        </w:trPr>
        <w:tc>
          <w:tcPr>
            <w:tcW w:type="dxa" w:w="2833"/>
            <w:tcBorders>
              <w:top w:val="nil"/>
              <w:left w:val="nil"/>
              <w:bottom w:val="nil"/>
              <w:right w:val="nil"/>
            </w:tcBorders>
            <w:shd w:fill="auto" w:val="clear"/>
            <w:vAlign w:val="center"/>
          </w:tcPr>
          <w:p>
            <w:pPr>
              <w:pStyle w:val="style0"/>
              <w:rPr>
                <w:sz w:val="1"/>
                <w:szCs w:val="24"/>
              </w:rPr>
            </w:pPr>
            <w:r>
              <w:rPr>
                <w:sz w:val="1"/>
                <w:szCs w:val="24"/>
              </w:rPr>
            </w:r>
          </w:p>
        </w:tc>
        <w:tc>
          <w:tcPr>
            <w:tcW w:type="dxa" w:w="1391"/>
            <w:tcBorders>
              <w:top w:val="nil"/>
              <w:left w:val="nil"/>
              <w:bottom w:val="nil"/>
              <w:right w:val="nil"/>
            </w:tcBorders>
            <w:shd w:fill="auto" w:val="clear"/>
            <w:vAlign w:val="center"/>
          </w:tcPr>
          <w:p>
            <w:pPr>
              <w:pStyle w:val="style0"/>
              <w:rPr>
                <w:sz w:val="1"/>
                <w:szCs w:val="24"/>
              </w:rPr>
            </w:pPr>
            <w:r>
              <w:rPr>
                <w:sz w:val="1"/>
                <w:szCs w:val="24"/>
              </w:rPr>
            </w:r>
          </w:p>
        </w:tc>
        <w:tc>
          <w:tcPr>
            <w:tcW w:type="dxa" w:w="1391"/>
            <w:tcBorders>
              <w:top w:val="nil"/>
              <w:left w:val="nil"/>
              <w:bottom w:val="nil"/>
              <w:right w:val="nil"/>
            </w:tcBorders>
            <w:shd w:fill="auto" w:val="clear"/>
            <w:vAlign w:val="center"/>
          </w:tcPr>
          <w:p>
            <w:pPr>
              <w:pStyle w:val="style0"/>
              <w:rPr>
                <w:sz w:val="1"/>
                <w:szCs w:val="24"/>
              </w:rPr>
            </w:pPr>
            <w:r>
              <w:rPr>
                <w:sz w:val="1"/>
                <w:szCs w:val="24"/>
              </w:rPr>
            </w:r>
          </w:p>
        </w:tc>
        <w:tc>
          <w:tcPr>
            <w:tcW w:type="dxa" w:w="1171"/>
            <w:tcBorders>
              <w:top w:val="nil"/>
              <w:left w:val="nil"/>
              <w:bottom w:val="nil"/>
              <w:right w:val="nil"/>
            </w:tcBorders>
            <w:shd w:fill="auto" w:val="clear"/>
            <w:vAlign w:val="center"/>
          </w:tcPr>
          <w:p>
            <w:pPr>
              <w:pStyle w:val="style0"/>
              <w:rPr>
                <w:sz w:val="1"/>
                <w:szCs w:val="24"/>
              </w:rPr>
            </w:pPr>
            <w:r>
              <w:rPr>
                <w:sz w:val="1"/>
                <w:szCs w:val="24"/>
              </w:rPr>
            </w:r>
          </w:p>
        </w:tc>
        <w:tc>
          <w:tcPr>
            <w:tcW w:type="dxa" w:w="1391"/>
            <w:tcBorders>
              <w:top w:val="nil"/>
              <w:left w:val="nil"/>
              <w:bottom w:val="nil"/>
              <w:right w:val="nil"/>
            </w:tcBorders>
            <w:shd w:fill="auto" w:val="clear"/>
            <w:vAlign w:val="center"/>
          </w:tcPr>
          <w:p>
            <w:pPr>
              <w:pStyle w:val="style0"/>
              <w:rPr>
                <w:sz w:val="1"/>
                <w:szCs w:val="24"/>
              </w:rPr>
            </w:pPr>
            <w:r>
              <w:rPr>
                <w:sz w:val="1"/>
                <w:szCs w:val="24"/>
              </w:rPr>
            </w:r>
          </w:p>
        </w:tc>
        <w:tc>
          <w:tcPr>
            <w:tcW w:type="dxa" w:w="1230"/>
            <w:tcBorders>
              <w:top w:val="nil"/>
              <w:left w:val="nil"/>
              <w:bottom w:val="nil"/>
              <w:right w:val="nil"/>
            </w:tcBorders>
            <w:shd w:fill="auto" w:val="clear"/>
            <w:vAlign w:val="center"/>
          </w:tcPr>
          <w:p>
            <w:pPr>
              <w:pStyle w:val="style0"/>
              <w:rPr>
                <w:sz w:val="1"/>
                <w:szCs w:val="24"/>
              </w:rPr>
            </w:pPr>
            <w:r>
              <w:rPr>
                <w:sz w:val="1"/>
                <w:szCs w:val="24"/>
              </w:rPr>
            </w:r>
          </w:p>
        </w:tc>
        <w:tc>
          <w:tcPr>
            <w:tcW w:type="dxa" w:w="1393"/>
            <w:tcBorders>
              <w:top w:val="nil"/>
              <w:left w:val="nil"/>
              <w:bottom w:val="nil"/>
              <w:right w:val="nil"/>
            </w:tcBorders>
            <w:shd w:fill="auto" w:val="clear"/>
            <w:vAlign w:val="center"/>
          </w:tcPr>
          <w:p>
            <w:pPr>
              <w:pStyle w:val="style0"/>
              <w:rPr>
                <w:sz w:val="1"/>
                <w:szCs w:val="24"/>
              </w:rPr>
            </w:pPr>
            <w:r>
              <w:rPr>
                <w:sz w:val="1"/>
                <w:szCs w:val="24"/>
              </w:rPr>
            </w:r>
          </w:p>
        </w:tc>
      </w:tr>
      <w:tr>
        <w:trPr>
          <w:cantSplit w:val="false"/>
        </w:trPr>
        <w:tc>
          <w:tcPr>
            <w:tcW w:type="dxa" w:w="2833"/>
            <w:tcBorders>
              <w:top w:val="nil"/>
              <w:left w:val="nil"/>
              <w:bottom w:val="nil"/>
              <w:right w:val="nil"/>
            </w:tcBorders>
            <w:shd w:fill="auto" w:val="clear"/>
            <w:vAlign w:val="bottom"/>
          </w:tcPr>
          <w:p>
            <w:pPr>
              <w:pStyle w:val="style0"/>
              <w:rPr>
                <w:rFonts w:ascii="Arial" w:cs="Arial" w:hAnsi="Arial"/>
                <w:b/>
                <w:bCs/>
                <w:sz w:val="15"/>
                <w:szCs w:val="15"/>
              </w:rPr>
            </w:pPr>
            <w:r>
              <w:rPr>
                <w:rFonts w:ascii="Arial" w:cs="Arial" w:hAnsi="Arial"/>
                <w:b/>
                <w:bCs/>
                <w:sz w:val="15"/>
                <w:szCs w:val="15"/>
              </w:rPr>
              <w:t>(In millions)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15"/>
                <w:szCs w:val="15"/>
              </w:rPr>
            </w:pPr>
            <w:r>
              <w:rPr>
                <w:rFonts w:ascii="Arial" w:cs="Arial" w:hAnsi="Arial"/>
                <w:b/>
                <w:bCs/>
                <w:sz w:val="15"/>
                <w:szCs w:val="15"/>
              </w:rPr>
              <w:tab/>
              <w:t>Level 1</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15"/>
                <w:szCs w:val="15"/>
              </w:rPr>
            </w:pPr>
            <w:r>
              <w:rPr>
                <w:rFonts w:ascii="Arial" w:cs="Arial" w:hAnsi="Arial"/>
                <w:b/>
                <w:bCs/>
                <w:sz w:val="15"/>
                <w:szCs w:val="15"/>
              </w:rPr>
              <w:tab/>
              <w:t>Level 2</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b/>
                <w:bCs/>
                <w:sz w:val="15"/>
                <w:szCs w:val="15"/>
              </w:rPr>
            </w:pPr>
            <w:r>
              <w:rPr>
                <w:rFonts w:ascii="Arial" w:cs="Arial" w:hAnsi="Arial"/>
                <w:b/>
                <w:bCs/>
                <w:sz w:val="15"/>
                <w:szCs w:val="15"/>
              </w:rPr>
              <w:tab/>
              <w:t>Level 3</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jc w:val="both"/>
              <w:rPr>
                <w:rFonts w:ascii="Arial" w:cs="Arial" w:hAnsi="Arial"/>
                <w:b/>
                <w:bCs/>
                <w:sz w:val="15"/>
                <w:szCs w:val="15"/>
              </w:rPr>
            </w:pPr>
            <w:r>
              <w:rPr>
                <w:rFonts w:ascii="Arial" w:cs="Arial" w:hAnsi="Arial"/>
                <w:b/>
                <w:bCs/>
                <w:sz w:val="15"/>
                <w:szCs w:val="15"/>
              </w:rPr>
              <w:tab/>
              <w:t>Gross</w:t>
              <w:tab/>
            </w:r>
          </w:p>
          <w:p>
            <w:pPr>
              <w:pStyle w:val="style62"/>
              <w:tabs>
                <w:tab w:leader="none" w:pos="1080" w:val="right"/>
                <w:tab w:leader="none" w:pos="1120" w:val="decimal"/>
              </w:tabs>
              <w:spacing w:after="280" w:before="280"/>
              <w:ind w:hanging="0" w:left="216" w:right="216"/>
              <w:contextualSpacing w:val="false"/>
              <w:jc w:val="both"/>
              <w:rPr>
                <w:rFonts w:ascii="Arial" w:cs="Arial" w:hAnsi="Arial"/>
                <w:b/>
                <w:bCs/>
                <w:sz w:val="15"/>
                <w:szCs w:val="15"/>
              </w:rPr>
            </w:pPr>
            <w:r>
              <w:rPr>
                <w:rFonts w:ascii="Arial" w:cs="Arial" w:hAnsi="Arial"/>
                <w:b/>
                <w:bCs/>
                <w:sz w:val="15"/>
                <w:szCs w:val="15"/>
              </w:rPr>
              <w:tab/>
              <w:t>Fair</w:t>
              <w:tab/>
            </w:r>
          </w:p>
          <w:p>
            <w:pPr>
              <w:pStyle w:val="style62"/>
              <w:tabs>
                <w:tab w:leader="none" w:pos="1080" w:val="right"/>
                <w:tab w:leader="none" w:pos="1120" w:val="decimal"/>
              </w:tabs>
              <w:spacing w:after="280" w:before="280"/>
              <w:ind w:hanging="0" w:left="216" w:right="216"/>
              <w:contextualSpacing w:val="false"/>
              <w:rPr>
                <w:rFonts w:ascii="Arial" w:cs="Arial" w:hAnsi="Arial"/>
                <w:b/>
                <w:bCs/>
                <w:sz w:val="15"/>
                <w:szCs w:val="15"/>
              </w:rPr>
            </w:pPr>
            <w:r>
              <w:rPr>
                <w:rFonts w:ascii="Arial" w:cs="Arial" w:hAnsi="Arial"/>
                <w:b/>
                <w:bCs/>
                <w:sz w:val="15"/>
                <w:szCs w:val="15"/>
              </w:rPr>
              <w:tab/>
              <w:t>Value</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b/>
                <w:bCs/>
                <w:sz w:val="15"/>
                <w:szCs w:val="15"/>
                <w:vertAlign w:val="superscript"/>
              </w:rPr>
            </w:pPr>
            <w:r>
              <w:rPr>
                <w:rFonts w:ascii="Arial" w:cs="Arial" w:hAnsi="Arial"/>
                <w:b/>
                <w:bCs/>
                <w:sz w:val="15"/>
                <w:szCs w:val="15"/>
              </w:rPr>
              <w:tab/>
              <w:t>Netting</w:t>
              <w:tab/>
              <w:t> </w:t>
            </w:r>
            <w:r>
              <w:rPr>
                <w:rFonts w:ascii="Arial" w:cs="Arial" w:hAnsi="Arial"/>
                <w:b/>
                <w:bCs/>
                <w:sz w:val="15"/>
                <w:szCs w:val="15"/>
                <w:vertAlign w:val="superscript"/>
              </w:rPr>
              <w:t>(a)</w:t>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15"/>
                <w:szCs w:val="15"/>
              </w:rPr>
            </w:pPr>
            <w:r>
              <w:rPr>
                <w:rFonts w:ascii="Arial" w:cs="Arial" w:hAnsi="Arial"/>
                <w:b/>
                <w:bCs/>
                <w:sz w:val="15"/>
                <w:szCs w:val="15"/>
              </w:rPr>
              <w:tab/>
              <w:t>Net Fair</w:t>
              <w:tab/>
              <w:br/>
              <w:tab/>
              <w:t>Value</w:t>
              <w:tab/>
            </w:r>
          </w:p>
        </w:tc>
      </w:tr>
      <w:tr>
        <w:trPr>
          <w:cantSplit w:val="false"/>
        </w:trPr>
        <w:tc>
          <w:tcPr>
            <w:tcW w:type="dxa" w:w="10800"/>
            <w:gridSpan w:val="7"/>
            <w:tcBorders>
              <w:top w:val="nil"/>
              <w:left w:val="nil"/>
              <w:bottom w:val="nil"/>
              <w:right w:val="nil"/>
            </w:tcBorders>
            <w:shd w:fill="auto" w:val="clear"/>
            <w:tcMar>
              <w:left w:type="dxa" w:w="144"/>
            </w:tcMar>
            <w:vAlign w:val="bottom"/>
          </w:tcPr>
          <w:p>
            <w:pPr>
              <w:pStyle w:val="style59"/>
              <w:spacing w:after="0" w:before="20"/>
              <w:ind w:firstLine="612" w:left="-396" w:right="187"/>
              <w:contextualSpacing w:val="false"/>
              <w:rPr/>
            </w:pPr>
            <w:r>
              <w:rPr/>
              <w:t> </w:t>
            </w:r>
          </w:p>
        </w:tc>
      </w:tr>
      <w:tr>
        <w:trPr>
          <w:trHeight w:hRule="atLeast" w:val="75"/>
          <w:cantSplit w:val="false"/>
        </w:trPr>
        <w:tc>
          <w:tcPr>
            <w:tcW w:type="dxa" w:w="2833"/>
            <w:tcBorders>
              <w:top w:val="nil"/>
              <w:left w:val="nil"/>
              <w:bottom w:val="nil"/>
              <w:right w:val="nil"/>
            </w:tcBorders>
            <w:shd w:fill="auto" w:val="clear"/>
            <w:vAlign w:val="center"/>
          </w:tcPr>
          <w:p>
            <w:pPr>
              <w:pStyle w:val="style0"/>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16" w:right="187"/>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393"/>
            <w:tcBorders>
              <w:top w:val="nil"/>
              <w:left w:val="nil"/>
              <w:bottom w:val="nil"/>
              <w:right w:val="nil"/>
            </w:tcBorders>
            <w:shd w:fill="auto" w:val="clear"/>
            <w:vAlign w:val="center"/>
          </w:tcPr>
          <w:p>
            <w:pPr>
              <w:pStyle w:val="style0"/>
              <w:ind w:hanging="0" w:left="216" w:right="216"/>
              <w:rPr>
                <w:sz w:val="8"/>
                <w:szCs w:val="24"/>
              </w:rPr>
            </w:pPr>
            <w:r>
              <w:rPr>
                <w:sz w:val="8"/>
                <w:szCs w:val="24"/>
              </w:rPr>
            </w:r>
          </w:p>
        </w:tc>
      </w:tr>
      <w:tr>
        <w:trPr>
          <w:cantSplit w:val="false"/>
        </w:trPr>
        <w:tc>
          <w:tcPr>
            <w:tcW w:type="dxa" w:w="2833"/>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 2013</w:t>
            </w:r>
          </w:p>
        </w:tc>
        <w:tc>
          <w:tcPr>
            <w:tcW w:type="dxa" w:w="1391"/>
            <w:tcBorders>
              <w:top w:val="nil"/>
              <w:left w:val="nil"/>
              <w:bottom w:val="nil"/>
              <w:right w:val="nil"/>
            </w:tcBorders>
            <w:shd w:fill="auto" w:val="clear"/>
            <w:tcMar>
              <w:left w:type="dxa" w:w="144"/>
            </w:tcMar>
            <w:vAlign w:val="bottom"/>
          </w:tcPr>
          <w:p>
            <w:pPr>
              <w:pStyle w:val="style65"/>
              <w:ind w:hanging="0" w:left="216" w:right="202"/>
              <w:rPr/>
            </w:pPr>
            <w:r>
              <w:rPr/>
              <w:t> </w:t>
            </w:r>
          </w:p>
        </w:tc>
        <w:tc>
          <w:tcPr>
            <w:tcW w:type="dxa" w:w="1391"/>
            <w:tcBorders>
              <w:top w:val="nil"/>
              <w:left w:val="nil"/>
              <w:bottom w:val="nil"/>
              <w:right w:val="nil"/>
            </w:tcBorders>
            <w:shd w:fill="auto" w:val="clear"/>
            <w:tcMar>
              <w:left w:type="dxa" w:w="144"/>
            </w:tcMar>
            <w:vAlign w:val="bottom"/>
          </w:tcPr>
          <w:p>
            <w:pPr>
              <w:pStyle w:val="style65"/>
              <w:ind w:hanging="0" w:left="216" w:right="202"/>
              <w:rPr/>
            </w:pPr>
            <w:r>
              <w:rPr/>
              <w:t> </w:t>
            </w:r>
          </w:p>
        </w:tc>
        <w:tc>
          <w:tcPr>
            <w:tcW w:type="dxa" w:w="1171"/>
            <w:tcBorders>
              <w:top w:val="nil"/>
              <w:left w:val="nil"/>
              <w:bottom w:val="nil"/>
              <w:right w:val="nil"/>
            </w:tcBorders>
            <w:shd w:fill="auto" w:val="clear"/>
            <w:tcMar>
              <w:left w:type="dxa" w:w="144"/>
            </w:tcMar>
            <w:vAlign w:val="bottom"/>
          </w:tcPr>
          <w:p>
            <w:pPr>
              <w:pStyle w:val="style65"/>
              <w:ind w:hanging="0" w:left="216" w:right="187"/>
              <w:rPr/>
            </w:pPr>
            <w:r>
              <w:rPr/>
              <w:t> </w:t>
            </w:r>
          </w:p>
        </w:tc>
        <w:tc>
          <w:tcPr>
            <w:tcW w:type="dxa" w:w="1391"/>
            <w:tcBorders>
              <w:top w:val="nil"/>
              <w:left w:val="nil"/>
              <w:bottom w:val="nil"/>
              <w:right w:val="nil"/>
            </w:tcBorders>
            <w:shd w:fill="auto" w:val="clear"/>
            <w:tcMar>
              <w:left w:type="dxa" w:w="144"/>
            </w:tcMar>
            <w:vAlign w:val="bottom"/>
          </w:tcPr>
          <w:p>
            <w:pPr>
              <w:pStyle w:val="style65"/>
              <w:ind w:hanging="0" w:left="216" w:right="216"/>
              <w:rPr/>
            </w:pPr>
            <w:r>
              <w:rPr/>
              <w:t> </w:t>
            </w:r>
          </w:p>
        </w:tc>
        <w:tc>
          <w:tcPr>
            <w:tcW w:type="dxa" w:w="1230"/>
            <w:tcBorders>
              <w:top w:val="nil"/>
              <w:left w:val="nil"/>
              <w:bottom w:val="nil"/>
              <w:right w:val="nil"/>
            </w:tcBorders>
            <w:shd w:fill="auto" w:val="clear"/>
            <w:tcMar>
              <w:left w:type="dxa" w:w="144"/>
            </w:tcMar>
            <w:vAlign w:val="bottom"/>
          </w:tcPr>
          <w:p>
            <w:pPr>
              <w:pStyle w:val="style65"/>
              <w:ind w:hanging="0" w:left="216" w:right="216"/>
              <w:rPr/>
            </w:pPr>
            <w:r>
              <w:rPr/>
              <w:t> </w:t>
            </w:r>
          </w:p>
        </w:tc>
        <w:tc>
          <w:tcPr>
            <w:tcW w:type="dxa" w:w="1393"/>
            <w:tcBorders>
              <w:top w:val="nil"/>
              <w:left w:val="nil"/>
              <w:bottom w:val="nil"/>
              <w:right w:val="nil"/>
            </w:tcBorders>
            <w:shd w:fill="auto" w:val="clear"/>
            <w:tcMar>
              <w:left w:type="dxa" w:w="144"/>
            </w:tcMar>
            <w:vAlign w:val="bottom"/>
          </w:tcPr>
          <w:p>
            <w:pPr>
              <w:pStyle w:val="style65"/>
              <w:ind w:hanging="0" w:left="216" w:right="216"/>
              <w:rPr/>
            </w:pPr>
            <w:r>
              <w:rPr/>
              <w:t> </w:t>
            </w:r>
          </w:p>
        </w:tc>
      </w:tr>
      <w:tr>
        <w:trPr>
          <w:trHeight w:hRule="atLeast" w:val="75"/>
          <w:cantSplit w:val="false"/>
        </w:trPr>
        <w:tc>
          <w:tcPr>
            <w:tcW w:type="dxa" w:w="2833"/>
            <w:tcBorders>
              <w:top w:val="nil"/>
              <w:left w:val="nil"/>
              <w:bottom w:val="nil"/>
              <w:right w:val="nil"/>
            </w:tcBorders>
            <w:shd w:fill="auto" w:val="clear"/>
            <w:vAlign w:val="center"/>
          </w:tcPr>
          <w:p>
            <w:pPr>
              <w:pStyle w:val="style0"/>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16" w:right="187"/>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393"/>
            <w:tcBorders>
              <w:top w:val="nil"/>
              <w:left w:val="nil"/>
              <w:bottom w:val="nil"/>
              <w:right w:val="nil"/>
            </w:tcBorders>
            <w:shd w:fill="auto" w:val="clear"/>
            <w:vAlign w:val="center"/>
          </w:tcPr>
          <w:p>
            <w:pPr>
              <w:pStyle w:val="style0"/>
              <w:ind w:hanging="0" w:left="216" w:right="216"/>
              <w:rPr>
                <w:sz w:val="8"/>
                <w:szCs w:val="24"/>
              </w:rPr>
            </w:pPr>
            <w:r>
              <w:rPr>
                <w:sz w:val="8"/>
                <w:szCs w:val="24"/>
              </w:rPr>
            </w:r>
          </w:p>
        </w:tc>
      </w:tr>
      <w:tr>
        <w:trPr>
          <w:cantSplit w:val="false"/>
        </w:trPr>
        <w:tc>
          <w:tcPr>
            <w:tcW w:type="dxa" w:w="2833"/>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Assets</w:t>
            </w:r>
          </w:p>
        </w:tc>
        <w:tc>
          <w:tcPr>
            <w:tcW w:type="dxa" w:w="1391"/>
            <w:tcBorders>
              <w:top w:val="nil"/>
              <w:left w:val="nil"/>
              <w:bottom w:val="nil"/>
              <w:right w:val="nil"/>
            </w:tcBorders>
            <w:shd w:fill="auto" w:val="clear"/>
            <w:tcMar>
              <w:left w:type="dxa" w:w="144"/>
            </w:tcMar>
            <w:vAlign w:val="bottom"/>
          </w:tcPr>
          <w:p>
            <w:pPr>
              <w:pStyle w:val="style65"/>
              <w:ind w:hanging="0" w:left="216" w:right="202"/>
              <w:rPr/>
            </w:pPr>
            <w:r>
              <w:rPr/>
              <w:t> </w:t>
            </w:r>
          </w:p>
        </w:tc>
        <w:tc>
          <w:tcPr>
            <w:tcW w:type="dxa" w:w="1391"/>
            <w:tcBorders>
              <w:top w:val="nil"/>
              <w:left w:val="nil"/>
              <w:bottom w:val="nil"/>
              <w:right w:val="nil"/>
            </w:tcBorders>
            <w:shd w:fill="auto" w:val="clear"/>
            <w:tcMar>
              <w:left w:type="dxa" w:w="144"/>
            </w:tcMar>
            <w:vAlign w:val="bottom"/>
          </w:tcPr>
          <w:p>
            <w:pPr>
              <w:pStyle w:val="style65"/>
              <w:ind w:hanging="0" w:left="216" w:right="202"/>
              <w:rPr/>
            </w:pPr>
            <w:r>
              <w:rPr/>
              <w:t> </w:t>
            </w:r>
          </w:p>
        </w:tc>
        <w:tc>
          <w:tcPr>
            <w:tcW w:type="dxa" w:w="1171"/>
            <w:tcBorders>
              <w:top w:val="nil"/>
              <w:left w:val="nil"/>
              <w:bottom w:val="nil"/>
              <w:right w:val="nil"/>
            </w:tcBorders>
            <w:shd w:fill="auto" w:val="clear"/>
            <w:tcMar>
              <w:left w:type="dxa" w:w="144"/>
            </w:tcMar>
            <w:vAlign w:val="bottom"/>
          </w:tcPr>
          <w:p>
            <w:pPr>
              <w:pStyle w:val="style65"/>
              <w:ind w:hanging="0" w:left="216" w:right="187"/>
              <w:rPr/>
            </w:pPr>
            <w:r>
              <w:rPr/>
              <w:t> </w:t>
            </w:r>
          </w:p>
        </w:tc>
        <w:tc>
          <w:tcPr>
            <w:tcW w:type="dxa" w:w="1391"/>
            <w:tcBorders>
              <w:top w:val="nil"/>
              <w:left w:val="nil"/>
              <w:bottom w:val="nil"/>
              <w:right w:val="nil"/>
            </w:tcBorders>
            <w:shd w:fill="auto" w:val="clear"/>
            <w:tcMar>
              <w:left w:type="dxa" w:w="144"/>
            </w:tcMar>
            <w:vAlign w:val="bottom"/>
          </w:tcPr>
          <w:p>
            <w:pPr>
              <w:pStyle w:val="style65"/>
              <w:ind w:hanging="0" w:left="216" w:right="216"/>
              <w:rPr/>
            </w:pPr>
            <w:r>
              <w:rPr/>
              <w:t> </w:t>
            </w:r>
          </w:p>
        </w:tc>
        <w:tc>
          <w:tcPr>
            <w:tcW w:type="dxa" w:w="1230"/>
            <w:tcBorders>
              <w:top w:val="nil"/>
              <w:left w:val="nil"/>
              <w:bottom w:val="nil"/>
              <w:right w:val="nil"/>
            </w:tcBorders>
            <w:shd w:fill="auto" w:val="clear"/>
            <w:tcMar>
              <w:left w:type="dxa" w:w="144"/>
            </w:tcMar>
            <w:vAlign w:val="bottom"/>
          </w:tcPr>
          <w:p>
            <w:pPr>
              <w:pStyle w:val="style65"/>
              <w:ind w:hanging="0" w:left="216" w:right="216"/>
              <w:rPr/>
            </w:pPr>
            <w:r>
              <w:rPr/>
              <w:t> </w:t>
            </w:r>
          </w:p>
        </w:tc>
        <w:tc>
          <w:tcPr>
            <w:tcW w:type="dxa" w:w="1393"/>
            <w:tcBorders>
              <w:top w:val="nil"/>
              <w:left w:val="nil"/>
              <w:bottom w:val="nil"/>
              <w:right w:val="nil"/>
            </w:tcBorders>
            <w:shd w:fill="auto" w:val="clear"/>
            <w:tcMar>
              <w:left w:type="dxa" w:w="144"/>
            </w:tcMar>
            <w:vAlign w:val="bottom"/>
          </w:tcPr>
          <w:p>
            <w:pPr>
              <w:pStyle w:val="style65"/>
              <w:ind w:hanging="0" w:left="216" w:right="216"/>
              <w:rPr/>
            </w:pPr>
            <w:r>
              <w:rPr/>
              <w:t> </w:t>
            </w:r>
          </w:p>
        </w:tc>
      </w:tr>
      <w:tr>
        <w:trPr>
          <w:trHeight w:hRule="atLeast" w:val="75"/>
          <w:cantSplit w:val="false"/>
        </w:trPr>
        <w:tc>
          <w:tcPr>
            <w:tcW w:type="dxa" w:w="2833"/>
            <w:tcBorders>
              <w:top w:val="nil"/>
              <w:left w:val="nil"/>
              <w:bottom w:val="nil"/>
              <w:right w:val="nil"/>
            </w:tcBorders>
            <w:shd w:fill="auto" w:val="clear"/>
            <w:vAlign w:val="center"/>
          </w:tcPr>
          <w:p>
            <w:pPr>
              <w:pStyle w:val="style0"/>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16" w:right="187"/>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393"/>
            <w:tcBorders>
              <w:top w:val="nil"/>
              <w:left w:val="nil"/>
              <w:bottom w:val="nil"/>
              <w:right w:val="nil"/>
            </w:tcBorders>
            <w:shd w:fill="auto" w:val="clear"/>
            <w:vAlign w:val="center"/>
          </w:tcPr>
          <w:p>
            <w:pPr>
              <w:pStyle w:val="style0"/>
              <w:ind w:hanging="0" w:left="216" w:right="216"/>
              <w:rPr>
                <w:sz w:val="8"/>
                <w:szCs w:val="24"/>
              </w:rPr>
            </w:pPr>
            <w:r>
              <w:rPr>
                <w:sz w:val="8"/>
                <w:szCs w:val="24"/>
              </w:rPr>
            </w:r>
          </w:p>
        </w:tc>
      </w:tr>
      <w:tr>
        <w:trPr>
          <w:cantSplit w:val="false"/>
        </w:trPr>
        <w:tc>
          <w:tcPr>
            <w:tcW w:type="dxa" w:w="2833"/>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Mutual funds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w:t>
              <w:tab/>
              <w:t>868</w:t>
              <w:tab/>
              <w:t>   </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w:t>
              <w:tab/>
              <w:t>0</w:t>
              <w:tab/>
              <w:t>   </w:t>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b/>
                <w:bCs/>
                <w:sz w:val="20"/>
                <w:szCs w:val="20"/>
              </w:rPr>
            </w:pPr>
            <w:r>
              <w:rPr>
                <w:rFonts w:ascii="Arial" w:cs="Arial" w:hAnsi="Arial"/>
                <w:b/>
                <w:bCs/>
                <w:sz w:val="20"/>
                <w:szCs w:val="20"/>
              </w:rPr>
              <w:t>$</w:t>
              <w:tab/>
              <w:t>0</w:t>
              <w:tab/>
              <w:t>   </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w:t>
              <w:tab/>
              <w:t>868</w:t>
              <w:tab/>
              <w:t>   </w:t>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w:t>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w:t>
              <w:tab/>
              <w:t>868</w:t>
              <w:tab/>
              <w:t>   </w:t>
            </w:r>
          </w:p>
        </w:tc>
      </w:tr>
      <w:tr>
        <w:trPr>
          <w:cantSplit w:val="false"/>
        </w:trPr>
        <w:tc>
          <w:tcPr>
            <w:tcW w:type="dxa" w:w="2833"/>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Commercial paper</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603</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b/>
                <w:bCs/>
                <w:sz w:val="20"/>
                <w:szCs w:val="20"/>
              </w:rPr>
            </w:pPr>
            <w:r>
              <w:rPr>
                <w:rFonts w:ascii="Arial" w:cs="Arial" w:hAnsi="Arial"/>
                <w:b/>
                <w:bCs/>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603</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603</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Certificates of deposit</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994</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b/>
                <w:bCs/>
                <w:sz w:val="20"/>
                <w:szCs w:val="20"/>
              </w:rPr>
            </w:pPr>
            <w:r>
              <w:rPr>
                <w:rFonts w:ascii="Arial" w:cs="Arial" w:hAnsi="Arial"/>
                <w:b/>
                <w:bCs/>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994</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994</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U.S. government and agency securities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62,237</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2,664</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b/>
                <w:bCs/>
                <w:sz w:val="20"/>
                <w:szCs w:val="20"/>
              </w:rPr>
            </w:pPr>
            <w:r>
              <w:rPr>
                <w:rFonts w:ascii="Arial" w:cs="Arial" w:hAnsi="Arial"/>
                <w:b/>
                <w:bCs/>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64,901</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64,901</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Foreign government bonds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9</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851</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b/>
                <w:bCs/>
                <w:sz w:val="20"/>
                <w:szCs w:val="20"/>
              </w:rPr>
            </w:pPr>
            <w:r>
              <w:rPr>
                <w:rFonts w:ascii="Arial" w:cs="Arial" w:hAnsi="Arial"/>
                <w:b/>
                <w:bCs/>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860</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860</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Mortgage-backed securities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1,311</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b/>
                <w:bCs/>
                <w:sz w:val="20"/>
                <w:szCs w:val="20"/>
              </w:rPr>
            </w:pPr>
            <w:r>
              <w:rPr>
                <w:rFonts w:ascii="Arial" w:cs="Arial" w:hAnsi="Arial"/>
                <w:b/>
                <w:bCs/>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1,311</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1,311</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Corporate notes and bonds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4,915</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b/>
                <w:bCs/>
                <w:sz w:val="20"/>
                <w:szCs w:val="20"/>
              </w:rPr>
            </w:pPr>
            <w:r>
              <w:rPr>
                <w:rFonts w:ascii="Arial" w:cs="Arial" w:hAnsi="Arial"/>
                <w:b/>
                <w:bCs/>
                <w:sz w:val="20"/>
                <w:szCs w:val="20"/>
              </w:rPr>
              <w:tab/>
              <w:t>19</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4,934</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4,934</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Municipal securities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385</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b/>
                <w:bCs/>
                <w:sz w:val="20"/>
                <w:szCs w:val="20"/>
              </w:rPr>
            </w:pPr>
            <w:r>
              <w:rPr>
                <w:rFonts w:ascii="Arial" w:cs="Arial" w:hAnsi="Arial"/>
                <w:b/>
                <w:bCs/>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385</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385</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and preferred stock</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8,470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717</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b/>
                <w:bCs/>
                <w:sz w:val="20"/>
                <w:szCs w:val="20"/>
              </w:rPr>
            </w:pPr>
            <w:r>
              <w:rPr>
                <w:rFonts w:ascii="Arial" w:cs="Arial" w:hAnsi="Arial"/>
                <w:b/>
                <w:bCs/>
                <w:sz w:val="20"/>
                <w:szCs w:val="20"/>
              </w:rPr>
              <w:tab/>
              <w:t>5</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9,192</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9,192</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Derivatives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12</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ab/>
              <w:t>489</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b/>
                <w:bCs/>
                <w:sz w:val="20"/>
                <w:szCs w:val="20"/>
              </w:rPr>
            </w:pPr>
            <w:r>
              <w:rPr>
                <w:rFonts w:ascii="Arial" w:cs="Arial" w:hAnsi="Arial"/>
                <w:b/>
                <w:bCs/>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501</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(81</w:t>
              <w:tab/>
              <w:t>)</w:t>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420</w:t>
              <w:tab/>
            </w:r>
          </w:p>
        </w:tc>
      </w:tr>
      <w:tr>
        <w:trPr>
          <w:cantSplit w:val="false"/>
        </w:trPr>
        <w:tc>
          <w:tcPr>
            <w:tcW w:type="dxa" w:w="4224"/>
            <w:gridSpan w:val="2"/>
            <w:tcBorders>
              <w:top w:val="nil"/>
              <w:left w:val="nil"/>
              <w:bottom w:val="nil"/>
              <w:right w:val="nil"/>
            </w:tcBorders>
            <w:shd w:fill="auto" w:val="clear"/>
            <w:vAlign w:val="bottom"/>
          </w:tcPr>
          <w:p>
            <w:pPr>
              <w:pStyle w:val="style59"/>
              <w:spacing w:after="0" w:before="20"/>
              <w:ind w:firstLine="612" w:left="-396" w:right="202"/>
              <w:contextualSpacing w:val="false"/>
              <w:rPr/>
            </w:pPr>
            <w:r>
              <w:rPr/>
              <w:t> </w:t>
            </w:r>
          </w:p>
        </w:tc>
        <w:tc>
          <w:tcPr>
            <w:tcW w:type="dxa" w:w="1391"/>
            <w:tcBorders>
              <w:top w:val="nil"/>
              <w:left w:val="nil"/>
              <w:bottom w:val="nil"/>
              <w:right w:val="nil"/>
            </w:tcBorders>
            <w:shd w:fill="auto" w:val="clear"/>
            <w:tcMar>
              <w:left w:type="dxa" w:w="144"/>
            </w:tcMar>
            <w:vAlign w:val="bottom"/>
          </w:tcPr>
          <w:p>
            <w:pPr>
              <w:pStyle w:val="style59"/>
              <w:spacing w:after="0" w:before="20"/>
              <w:ind w:hanging="0" w:left="216" w:right="202"/>
              <w:contextualSpacing w:val="false"/>
              <w:rPr/>
            </w:pPr>
            <w:r>
              <w:rPr/>
              <w:t> </w:t>
            </w:r>
          </w:p>
        </w:tc>
        <w:tc>
          <w:tcPr>
            <w:tcW w:type="dxa" w:w="1171"/>
            <w:tcBorders>
              <w:top w:val="nil"/>
              <w:left w:val="nil"/>
              <w:bottom w:val="nil"/>
              <w:right w:val="nil"/>
            </w:tcBorders>
            <w:shd w:fill="auto" w:val="clear"/>
            <w:tcMar>
              <w:left w:type="dxa" w:w="144"/>
            </w:tcMar>
            <w:vAlign w:val="bottom"/>
          </w:tcPr>
          <w:p>
            <w:pPr>
              <w:pStyle w:val="style59"/>
              <w:spacing w:after="0" w:before="20"/>
              <w:ind w:hanging="0" w:left="216" w:right="187"/>
              <w:contextualSpacing w:val="false"/>
              <w:rPr/>
            </w:pPr>
            <w:r>
              <w:rPr/>
              <w:t> </w:t>
            </w:r>
          </w:p>
        </w:tc>
        <w:tc>
          <w:tcPr>
            <w:tcW w:type="dxa" w:w="1391"/>
            <w:tcBorders>
              <w:top w:val="nil"/>
              <w:left w:val="nil"/>
              <w:bottom w:val="nil"/>
              <w:right w:val="nil"/>
            </w:tcBorders>
            <w:shd w:fill="auto" w:val="clear"/>
            <w:tcMar>
              <w:left w:type="dxa" w:w="144"/>
            </w:tcMar>
            <w:vAlign w:val="bottom"/>
          </w:tcPr>
          <w:p>
            <w:pPr>
              <w:pStyle w:val="style59"/>
              <w:spacing w:after="0" w:before="20"/>
              <w:ind w:hanging="0" w:left="216" w:right="216"/>
              <w:contextualSpacing w:val="false"/>
              <w:rPr/>
            </w:pPr>
            <w:r>
              <w:rPr/>
              <w:t> </w:t>
            </w:r>
          </w:p>
        </w:tc>
        <w:tc>
          <w:tcPr>
            <w:tcW w:type="dxa" w:w="1230"/>
            <w:tcBorders>
              <w:top w:val="nil"/>
              <w:left w:val="nil"/>
              <w:bottom w:val="nil"/>
              <w:right w:val="nil"/>
            </w:tcBorders>
            <w:shd w:fill="auto" w:val="clear"/>
            <w:tcMar>
              <w:left w:type="dxa" w:w="144"/>
            </w:tcMar>
            <w:vAlign w:val="bottom"/>
          </w:tcPr>
          <w:p>
            <w:pPr>
              <w:pStyle w:val="style59"/>
              <w:spacing w:after="0" w:before="20"/>
              <w:ind w:hanging="0" w:left="216" w:right="216"/>
              <w:contextualSpacing w:val="false"/>
              <w:rPr/>
            </w:pPr>
            <w:r>
              <w:rPr/>
              <w:t> </w:t>
            </w:r>
          </w:p>
        </w:tc>
        <w:tc>
          <w:tcPr>
            <w:tcW w:type="dxa" w:w="1393"/>
            <w:tcBorders>
              <w:top w:val="nil"/>
              <w:left w:val="nil"/>
              <w:bottom w:val="nil"/>
              <w:right w:val="nil"/>
            </w:tcBorders>
            <w:shd w:fill="auto" w:val="clear"/>
            <w:tcMar>
              <w:left w:type="dxa" w:w="144"/>
            </w:tcMar>
            <w:vAlign w:val="bottom"/>
          </w:tcPr>
          <w:p>
            <w:pPr>
              <w:pStyle w:val="style59"/>
              <w:spacing w:after="0" w:before="20"/>
              <w:ind w:hanging="0" w:left="216" w:right="216"/>
              <w:contextualSpacing w:val="false"/>
              <w:rPr/>
            </w:pPr>
            <w:r>
              <w:rPr/>
              <w:t> </w:t>
            </w:r>
          </w:p>
        </w:tc>
      </w:tr>
      <w:tr>
        <w:trPr>
          <w:cantSplit w:val="false"/>
        </w:trPr>
        <w:tc>
          <w:tcPr>
            <w:tcW w:type="dxa" w:w="2833"/>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w:t>
              <w:tab/>
              <w:t>  71,596</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w:t>
              <w:tab/>
              <w:t>  12,929</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b/>
                <w:bCs/>
                <w:sz w:val="20"/>
                <w:szCs w:val="20"/>
              </w:rPr>
            </w:pPr>
            <w:r>
              <w:rPr>
                <w:rFonts w:ascii="Arial" w:cs="Arial" w:hAnsi="Arial"/>
                <w:b/>
                <w:bCs/>
                <w:sz w:val="20"/>
                <w:szCs w:val="20"/>
              </w:rPr>
              <w:t>$</w:t>
              <w:tab/>
              <w:t>  24</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w:t>
              <w:tab/>
              <w:t>  84,549</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w:t>
              <w:tab/>
              <w:t>  (81</w:t>
              <w:tab/>
              <w:t>)</w:t>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w:t>
              <w:tab/>
              <w:t>  84,468</w:t>
              <w:tab/>
            </w:r>
          </w:p>
        </w:tc>
      </w:tr>
      <w:tr>
        <w:trPr>
          <w:cantSplit w:val="false"/>
        </w:trPr>
        <w:tc>
          <w:tcPr>
            <w:tcW w:type="dxa" w:w="2833"/>
            <w:tcBorders>
              <w:top w:val="nil"/>
              <w:left w:val="nil"/>
              <w:bottom w:val="nil"/>
              <w:right w:val="nil"/>
            </w:tcBorders>
            <w:shd w:fill="auto" w:val="clear"/>
            <w:tcMar>
              <w:left w:type="dxa" w:w="144"/>
            </w:tcMar>
            <w:vAlign w:val="bottom"/>
          </w:tcPr>
          <w:p>
            <w:pPr>
              <w:pStyle w:val="style65"/>
              <w:rPr/>
            </w:pPr>
            <w:r>
              <w:rPr/>
              <w:t> </w:t>
            </w:r>
          </w:p>
        </w:tc>
        <w:tc>
          <w:tcPr>
            <w:tcW w:type="dxa" w:w="1391"/>
            <w:tcBorders>
              <w:top w:val="nil"/>
              <w:left w:val="nil"/>
              <w:bottom w:val="nil"/>
              <w:right w:val="nil"/>
            </w:tcBorders>
            <w:shd w:fill="auto" w:val="clear"/>
            <w:tcMar>
              <w:left w:type="dxa" w:w="144"/>
            </w:tcMar>
            <w:vAlign w:val="bottom"/>
          </w:tcPr>
          <w:p>
            <w:pPr>
              <w:pStyle w:val="style63"/>
              <w:spacing w:after="0" w:before="20"/>
              <w:ind w:hanging="0" w:left="216" w:right="202"/>
              <w:contextualSpacing w:val="false"/>
              <w:rPr/>
            </w:pPr>
            <w:r>
              <w:rPr/>
              <w:t> </w:t>
            </w:r>
          </w:p>
        </w:tc>
        <w:tc>
          <w:tcPr>
            <w:tcW w:type="dxa" w:w="1391"/>
            <w:tcBorders>
              <w:top w:val="nil"/>
              <w:left w:val="nil"/>
              <w:bottom w:val="nil"/>
              <w:right w:val="nil"/>
            </w:tcBorders>
            <w:shd w:fill="auto" w:val="clear"/>
            <w:tcMar>
              <w:left w:type="dxa" w:w="144"/>
            </w:tcMar>
            <w:vAlign w:val="bottom"/>
          </w:tcPr>
          <w:p>
            <w:pPr>
              <w:pStyle w:val="style63"/>
              <w:spacing w:after="0" w:before="20"/>
              <w:ind w:hanging="0" w:left="216" w:right="202"/>
              <w:contextualSpacing w:val="false"/>
              <w:rPr/>
            </w:pPr>
            <w:r>
              <w:rPr/>
              <w:t> </w:t>
            </w:r>
          </w:p>
        </w:tc>
        <w:tc>
          <w:tcPr>
            <w:tcW w:type="dxa" w:w="1171"/>
            <w:tcBorders>
              <w:top w:val="nil"/>
              <w:left w:val="nil"/>
              <w:bottom w:val="nil"/>
              <w:right w:val="nil"/>
            </w:tcBorders>
            <w:shd w:fill="auto" w:val="clear"/>
            <w:tcMar>
              <w:left w:type="dxa" w:w="144"/>
            </w:tcMar>
            <w:vAlign w:val="bottom"/>
          </w:tcPr>
          <w:p>
            <w:pPr>
              <w:pStyle w:val="style63"/>
              <w:spacing w:after="0" w:before="20"/>
              <w:ind w:hanging="0" w:left="216" w:right="187"/>
              <w:contextualSpacing w:val="false"/>
              <w:rPr/>
            </w:pPr>
            <w:r>
              <w:rPr/>
              <w:t> </w:t>
            </w:r>
          </w:p>
        </w:tc>
        <w:tc>
          <w:tcPr>
            <w:tcW w:type="dxa" w:w="1391"/>
            <w:tcBorders>
              <w:top w:val="nil"/>
              <w:left w:val="nil"/>
              <w:bottom w:val="nil"/>
              <w:right w:val="nil"/>
            </w:tcBorders>
            <w:shd w:fill="auto" w:val="clear"/>
            <w:tcMar>
              <w:left w:type="dxa" w:w="144"/>
            </w:tcMar>
            <w:vAlign w:val="bottom"/>
          </w:tcPr>
          <w:p>
            <w:pPr>
              <w:pStyle w:val="style63"/>
              <w:spacing w:after="0" w:before="20"/>
              <w:ind w:hanging="0" w:left="216" w:right="216"/>
              <w:contextualSpacing w:val="false"/>
              <w:rPr/>
            </w:pPr>
            <w:r>
              <w:rPr/>
              <w:t> </w:t>
            </w:r>
          </w:p>
        </w:tc>
        <w:tc>
          <w:tcPr>
            <w:tcW w:type="dxa" w:w="1230"/>
            <w:tcBorders>
              <w:top w:val="nil"/>
              <w:left w:val="nil"/>
              <w:bottom w:val="nil"/>
              <w:right w:val="nil"/>
            </w:tcBorders>
            <w:shd w:fill="auto" w:val="clear"/>
            <w:tcMar>
              <w:left w:type="dxa" w:w="144"/>
            </w:tcMar>
            <w:vAlign w:val="bottom"/>
          </w:tcPr>
          <w:p>
            <w:pPr>
              <w:pStyle w:val="style63"/>
              <w:spacing w:after="0" w:before="20"/>
              <w:ind w:hanging="0" w:left="216" w:right="216"/>
              <w:contextualSpacing w:val="false"/>
              <w:rPr/>
            </w:pPr>
            <w:r>
              <w:rPr/>
              <w:t> </w:t>
            </w:r>
          </w:p>
        </w:tc>
        <w:tc>
          <w:tcPr>
            <w:tcW w:type="dxa" w:w="1393"/>
            <w:tcBorders>
              <w:top w:val="nil"/>
              <w:left w:val="nil"/>
              <w:bottom w:val="nil"/>
              <w:right w:val="nil"/>
            </w:tcBorders>
            <w:shd w:fill="auto" w:val="clear"/>
            <w:tcMar>
              <w:left w:type="dxa" w:w="144"/>
            </w:tcMar>
            <w:vAlign w:val="bottom"/>
          </w:tcPr>
          <w:p>
            <w:pPr>
              <w:pStyle w:val="style63"/>
              <w:spacing w:after="0" w:before="20"/>
              <w:ind w:hanging="0" w:left="216" w:right="216"/>
              <w:contextualSpacing w:val="false"/>
              <w:rPr/>
            </w:pPr>
            <w:r>
              <w:rPr/>
              <w:t> </w:t>
            </w:r>
          </w:p>
        </w:tc>
      </w:tr>
      <w:tr>
        <w:trPr>
          <w:trHeight w:hRule="atLeast" w:val="75"/>
          <w:cantSplit w:val="false"/>
        </w:trPr>
        <w:tc>
          <w:tcPr>
            <w:tcW w:type="dxa" w:w="2833"/>
            <w:tcBorders>
              <w:top w:val="nil"/>
              <w:left w:val="nil"/>
              <w:bottom w:val="nil"/>
              <w:right w:val="nil"/>
            </w:tcBorders>
            <w:shd w:fill="auto" w:val="clear"/>
            <w:vAlign w:val="center"/>
          </w:tcPr>
          <w:p>
            <w:pPr>
              <w:pStyle w:val="style0"/>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16" w:right="187"/>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393"/>
            <w:tcBorders>
              <w:top w:val="nil"/>
              <w:left w:val="nil"/>
              <w:bottom w:val="nil"/>
              <w:right w:val="nil"/>
            </w:tcBorders>
            <w:shd w:fill="auto" w:val="clear"/>
            <w:vAlign w:val="center"/>
          </w:tcPr>
          <w:p>
            <w:pPr>
              <w:pStyle w:val="style0"/>
              <w:ind w:hanging="0" w:left="216" w:right="216"/>
              <w:rPr>
                <w:sz w:val="8"/>
                <w:szCs w:val="24"/>
              </w:rPr>
            </w:pPr>
            <w:r>
              <w:rPr>
                <w:sz w:val="8"/>
                <w:szCs w:val="24"/>
              </w:rPr>
            </w:r>
          </w:p>
        </w:tc>
      </w:tr>
      <w:tr>
        <w:trPr>
          <w:cantSplit w:val="false"/>
        </w:trPr>
        <w:tc>
          <w:tcPr>
            <w:tcW w:type="dxa" w:w="2833"/>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Liabilities</w:t>
            </w:r>
          </w:p>
        </w:tc>
        <w:tc>
          <w:tcPr>
            <w:tcW w:type="dxa" w:w="1391"/>
            <w:tcBorders>
              <w:top w:val="nil"/>
              <w:left w:val="nil"/>
              <w:bottom w:val="nil"/>
              <w:right w:val="nil"/>
            </w:tcBorders>
            <w:shd w:fill="auto" w:val="clear"/>
            <w:tcMar>
              <w:left w:type="dxa" w:w="144"/>
            </w:tcMar>
            <w:vAlign w:val="bottom"/>
          </w:tcPr>
          <w:p>
            <w:pPr>
              <w:pStyle w:val="style65"/>
              <w:ind w:hanging="0" w:left="216" w:right="202"/>
              <w:rPr/>
            </w:pPr>
            <w:r>
              <w:rPr/>
              <w:t> </w:t>
            </w:r>
          </w:p>
        </w:tc>
        <w:tc>
          <w:tcPr>
            <w:tcW w:type="dxa" w:w="1391"/>
            <w:tcBorders>
              <w:top w:val="nil"/>
              <w:left w:val="nil"/>
              <w:bottom w:val="nil"/>
              <w:right w:val="nil"/>
            </w:tcBorders>
            <w:shd w:fill="auto" w:val="clear"/>
            <w:tcMar>
              <w:left w:type="dxa" w:w="144"/>
            </w:tcMar>
            <w:vAlign w:val="bottom"/>
          </w:tcPr>
          <w:p>
            <w:pPr>
              <w:pStyle w:val="style65"/>
              <w:ind w:hanging="0" w:left="216" w:right="202"/>
              <w:rPr/>
            </w:pPr>
            <w:r>
              <w:rPr/>
              <w:t> </w:t>
            </w:r>
          </w:p>
        </w:tc>
        <w:tc>
          <w:tcPr>
            <w:tcW w:type="dxa" w:w="1171"/>
            <w:tcBorders>
              <w:top w:val="nil"/>
              <w:left w:val="nil"/>
              <w:bottom w:val="nil"/>
              <w:right w:val="nil"/>
            </w:tcBorders>
            <w:shd w:fill="auto" w:val="clear"/>
            <w:tcMar>
              <w:left w:type="dxa" w:w="144"/>
            </w:tcMar>
            <w:vAlign w:val="bottom"/>
          </w:tcPr>
          <w:p>
            <w:pPr>
              <w:pStyle w:val="style65"/>
              <w:ind w:hanging="0" w:left="216" w:right="187"/>
              <w:rPr/>
            </w:pPr>
            <w:r>
              <w:rPr/>
              <w:t> </w:t>
            </w:r>
          </w:p>
        </w:tc>
        <w:tc>
          <w:tcPr>
            <w:tcW w:type="dxa" w:w="1391"/>
            <w:tcBorders>
              <w:top w:val="nil"/>
              <w:left w:val="nil"/>
              <w:bottom w:val="nil"/>
              <w:right w:val="nil"/>
            </w:tcBorders>
            <w:shd w:fill="auto" w:val="clear"/>
            <w:tcMar>
              <w:left w:type="dxa" w:w="144"/>
            </w:tcMar>
            <w:vAlign w:val="bottom"/>
          </w:tcPr>
          <w:p>
            <w:pPr>
              <w:pStyle w:val="style65"/>
              <w:ind w:hanging="0" w:left="216" w:right="216"/>
              <w:rPr/>
            </w:pPr>
            <w:r>
              <w:rPr/>
              <w:t> </w:t>
            </w:r>
          </w:p>
        </w:tc>
        <w:tc>
          <w:tcPr>
            <w:tcW w:type="dxa" w:w="1230"/>
            <w:tcBorders>
              <w:top w:val="nil"/>
              <w:left w:val="nil"/>
              <w:bottom w:val="nil"/>
              <w:right w:val="nil"/>
            </w:tcBorders>
            <w:shd w:fill="auto" w:val="clear"/>
            <w:tcMar>
              <w:left w:type="dxa" w:w="144"/>
            </w:tcMar>
            <w:vAlign w:val="bottom"/>
          </w:tcPr>
          <w:p>
            <w:pPr>
              <w:pStyle w:val="style65"/>
              <w:ind w:hanging="0" w:left="216" w:right="216"/>
              <w:rPr/>
            </w:pPr>
            <w:r>
              <w:rPr/>
              <w:t> </w:t>
            </w:r>
          </w:p>
        </w:tc>
        <w:tc>
          <w:tcPr>
            <w:tcW w:type="dxa" w:w="1393"/>
            <w:tcBorders>
              <w:top w:val="nil"/>
              <w:left w:val="nil"/>
              <w:bottom w:val="nil"/>
              <w:right w:val="nil"/>
            </w:tcBorders>
            <w:shd w:fill="auto" w:val="clear"/>
            <w:tcMar>
              <w:left w:type="dxa" w:w="144"/>
            </w:tcMar>
            <w:vAlign w:val="bottom"/>
          </w:tcPr>
          <w:p>
            <w:pPr>
              <w:pStyle w:val="style65"/>
              <w:ind w:hanging="0" w:left="216" w:right="216"/>
              <w:rPr/>
            </w:pPr>
            <w:r>
              <w:rPr/>
              <w:t> </w:t>
            </w:r>
          </w:p>
        </w:tc>
      </w:tr>
      <w:tr>
        <w:trPr>
          <w:trHeight w:hRule="atLeast" w:val="75"/>
          <w:cantSplit w:val="false"/>
        </w:trPr>
        <w:tc>
          <w:tcPr>
            <w:tcW w:type="dxa" w:w="2833"/>
            <w:tcBorders>
              <w:top w:val="nil"/>
              <w:left w:val="nil"/>
              <w:bottom w:val="nil"/>
              <w:right w:val="nil"/>
            </w:tcBorders>
            <w:shd w:fill="auto" w:val="clear"/>
            <w:vAlign w:val="center"/>
          </w:tcPr>
          <w:p>
            <w:pPr>
              <w:pStyle w:val="style0"/>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16" w:right="187"/>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393"/>
            <w:tcBorders>
              <w:top w:val="nil"/>
              <w:left w:val="nil"/>
              <w:bottom w:val="nil"/>
              <w:right w:val="nil"/>
            </w:tcBorders>
            <w:shd w:fill="auto" w:val="clear"/>
            <w:vAlign w:val="center"/>
          </w:tcPr>
          <w:p>
            <w:pPr>
              <w:pStyle w:val="style0"/>
              <w:ind w:hanging="0" w:left="216" w:right="216"/>
              <w:rPr>
                <w:sz w:val="8"/>
                <w:szCs w:val="24"/>
              </w:rPr>
            </w:pPr>
            <w:r>
              <w:rPr>
                <w:sz w:val="8"/>
                <w:szCs w:val="24"/>
              </w:rPr>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Derivatives and other</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w:t>
              <w:tab/>
              <w:t>14</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20"/>
                <w:szCs w:val="20"/>
              </w:rPr>
            </w:pPr>
            <w:r>
              <w:rPr>
                <w:rFonts w:ascii="Arial" w:cs="Arial" w:hAnsi="Arial"/>
                <w:b/>
                <w:bCs/>
                <w:sz w:val="20"/>
                <w:szCs w:val="20"/>
              </w:rPr>
              <w:t>$</w:t>
              <w:tab/>
              <w:t>121</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b/>
                <w:bCs/>
                <w:sz w:val="20"/>
                <w:szCs w:val="20"/>
              </w:rPr>
            </w:pPr>
            <w:r>
              <w:rPr>
                <w:rFonts w:ascii="Arial" w:cs="Arial" w:hAnsi="Arial"/>
                <w:b/>
                <w:bCs/>
                <w:sz w:val="20"/>
                <w:szCs w:val="20"/>
              </w:rPr>
              <w:t>$</w:t>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w:t>
              <w:tab/>
              <w:t>135</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w:t>
              <w:tab/>
              <w:t>(80</w:t>
              <w:tab/>
              <w:t>)</w:t>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w:t>
              <w:tab/>
              <w:t>55</w:t>
              <w:tab/>
            </w:r>
          </w:p>
        </w:tc>
      </w:tr>
      <w:tr>
        <w:trPr>
          <w:cantSplit w:val="false"/>
        </w:trPr>
        <w:tc>
          <w:tcPr>
            <w:tcW w:type="dxa" w:w="10800"/>
            <w:gridSpan w:val="7"/>
            <w:tcBorders>
              <w:top w:val="nil"/>
              <w:left w:val="nil"/>
              <w:bottom w:val="nil"/>
              <w:right w:val="nil"/>
            </w:tcBorders>
            <w:shd w:fill="auto" w:val="clear"/>
            <w:tcMar>
              <w:left w:type="dxa" w:w="144"/>
            </w:tcMar>
            <w:vAlign w:val="bottom"/>
          </w:tcPr>
          <w:p>
            <w:pPr>
              <w:pStyle w:val="style59"/>
              <w:spacing w:after="0" w:before="20"/>
              <w:ind w:firstLine="612" w:left="-396" w:right="187"/>
              <w:contextualSpacing w:val="false"/>
              <w:rPr/>
            </w:pPr>
            <w:r>
              <w:rPr/>
              <w:t> </w:t>
            </w:r>
          </w:p>
        </w:tc>
      </w:tr>
      <w:tr>
        <w:trPr>
          <w:trHeight w:hRule="atLeast" w:val="240"/>
          <w:cantSplit w:val="false"/>
        </w:trPr>
        <w:tc>
          <w:tcPr>
            <w:tcW w:type="dxa" w:w="2833"/>
            <w:tcBorders>
              <w:top w:val="nil"/>
              <w:left w:val="nil"/>
              <w:bottom w:val="nil"/>
              <w:right w:val="nil"/>
            </w:tcBorders>
            <w:shd w:fill="auto" w:val="clear"/>
            <w:vAlign w:val="center"/>
          </w:tcPr>
          <w:p>
            <w:pPr>
              <w:pStyle w:val="style0"/>
              <w:rPr>
                <w:szCs w:val="24"/>
              </w:rPr>
            </w:pPr>
            <w:r>
              <w:rPr>
                <w:szCs w:val="24"/>
              </w:rPr>
            </w:r>
          </w:p>
        </w:tc>
        <w:tc>
          <w:tcPr>
            <w:tcW w:type="dxa" w:w="1391"/>
            <w:tcBorders>
              <w:top w:val="nil"/>
              <w:left w:val="nil"/>
              <w:bottom w:val="nil"/>
              <w:right w:val="nil"/>
            </w:tcBorders>
            <w:shd w:fill="auto" w:val="clear"/>
            <w:vAlign w:val="center"/>
          </w:tcPr>
          <w:p>
            <w:pPr>
              <w:pStyle w:val="style0"/>
              <w:ind w:hanging="0" w:left="216" w:right="202"/>
              <w:rPr>
                <w:szCs w:val="24"/>
              </w:rPr>
            </w:pPr>
            <w:r>
              <w:rPr>
                <w:szCs w:val="24"/>
              </w:rPr>
            </w:r>
          </w:p>
        </w:tc>
        <w:tc>
          <w:tcPr>
            <w:tcW w:type="dxa" w:w="1391"/>
            <w:tcBorders>
              <w:top w:val="nil"/>
              <w:left w:val="nil"/>
              <w:bottom w:val="nil"/>
              <w:right w:val="nil"/>
            </w:tcBorders>
            <w:shd w:fill="auto" w:val="clear"/>
            <w:vAlign w:val="center"/>
          </w:tcPr>
          <w:p>
            <w:pPr>
              <w:pStyle w:val="style0"/>
              <w:ind w:hanging="0" w:left="216" w:right="202"/>
              <w:rPr>
                <w:szCs w:val="24"/>
              </w:rPr>
            </w:pPr>
            <w:r>
              <w:rPr>
                <w:szCs w:val="24"/>
              </w:rPr>
            </w:r>
          </w:p>
        </w:tc>
        <w:tc>
          <w:tcPr>
            <w:tcW w:type="dxa" w:w="1171"/>
            <w:tcBorders>
              <w:top w:val="nil"/>
              <w:left w:val="nil"/>
              <w:bottom w:val="nil"/>
              <w:right w:val="nil"/>
            </w:tcBorders>
            <w:shd w:fill="auto" w:val="clear"/>
            <w:vAlign w:val="center"/>
          </w:tcPr>
          <w:p>
            <w:pPr>
              <w:pStyle w:val="style0"/>
              <w:ind w:hanging="0" w:left="216" w:right="187"/>
              <w:rPr>
                <w:szCs w:val="24"/>
              </w:rPr>
            </w:pPr>
            <w:r>
              <w:rPr>
                <w:szCs w:val="24"/>
              </w:rPr>
            </w:r>
          </w:p>
        </w:tc>
        <w:tc>
          <w:tcPr>
            <w:tcW w:type="dxa" w:w="1391"/>
            <w:tcBorders>
              <w:top w:val="nil"/>
              <w:left w:val="nil"/>
              <w:bottom w:val="nil"/>
              <w:right w:val="nil"/>
            </w:tcBorders>
            <w:shd w:fill="auto" w:val="clear"/>
            <w:vAlign w:val="center"/>
          </w:tcPr>
          <w:p>
            <w:pPr>
              <w:pStyle w:val="style0"/>
              <w:ind w:hanging="0" w:left="216" w:right="216"/>
              <w:rPr>
                <w:szCs w:val="24"/>
              </w:rPr>
            </w:pPr>
            <w:r>
              <w:rPr>
                <w:szCs w:val="24"/>
              </w:rPr>
            </w:r>
          </w:p>
        </w:tc>
        <w:tc>
          <w:tcPr>
            <w:tcW w:type="dxa" w:w="1230"/>
            <w:tcBorders>
              <w:top w:val="nil"/>
              <w:left w:val="nil"/>
              <w:bottom w:val="nil"/>
              <w:right w:val="nil"/>
            </w:tcBorders>
            <w:shd w:fill="auto" w:val="clear"/>
            <w:vAlign w:val="center"/>
          </w:tcPr>
          <w:p>
            <w:pPr>
              <w:pStyle w:val="style0"/>
              <w:ind w:hanging="0" w:left="216" w:right="216"/>
              <w:rPr>
                <w:szCs w:val="24"/>
              </w:rPr>
            </w:pPr>
            <w:r>
              <w:rPr>
                <w:szCs w:val="24"/>
              </w:rPr>
            </w:r>
          </w:p>
        </w:tc>
        <w:tc>
          <w:tcPr>
            <w:tcW w:type="dxa" w:w="1393"/>
            <w:tcBorders>
              <w:top w:val="nil"/>
              <w:left w:val="nil"/>
              <w:bottom w:val="nil"/>
              <w:right w:val="nil"/>
            </w:tcBorders>
            <w:shd w:fill="auto" w:val="clear"/>
            <w:vAlign w:val="center"/>
          </w:tcPr>
          <w:p>
            <w:pPr>
              <w:pStyle w:val="style0"/>
              <w:ind w:hanging="0" w:left="216" w:right="216"/>
              <w:rPr>
                <w:szCs w:val="24"/>
              </w:rPr>
            </w:pPr>
            <w:r>
              <w:rPr>
                <w:szCs w:val="24"/>
              </w:rPr>
            </w:r>
          </w:p>
        </w:tc>
      </w:tr>
      <w:tr>
        <w:trPr>
          <w:cantSplit w:val="false"/>
        </w:trPr>
        <w:tc>
          <w:tcPr>
            <w:tcW w:type="dxa" w:w="2833"/>
            <w:tcBorders>
              <w:top w:val="nil"/>
              <w:left w:val="nil"/>
              <w:bottom w:val="nil"/>
              <w:right w:val="nil"/>
            </w:tcBorders>
            <w:shd w:fill="auto" w:val="clear"/>
            <w:vAlign w:val="bottom"/>
          </w:tcPr>
          <w:p>
            <w:pPr>
              <w:pStyle w:val="style0"/>
              <w:rPr>
                <w:rFonts w:ascii="Arial" w:cs="Arial" w:hAnsi="Arial"/>
                <w:b/>
                <w:bCs/>
                <w:sz w:val="15"/>
                <w:szCs w:val="15"/>
              </w:rPr>
            </w:pPr>
            <w:r>
              <w:rPr>
                <w:rFonts w:ascii="Arial" w:cs="Arial" w:hAnsi="Arial"/>
                <w:b/>
                <w:bCs/>
                <w:sz w:val="15"/>
                <w:szCs w:val="15"/>
              </w:rPr>
              <w:t>(In millions)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15"/>
                <w:szCs w:val="15"/>
              </w:rPr>
            </w:pPr>
            <w:r>
              <w:rPr>
                <w:rFonts w:ascii="Arial" w:cs="Arial" w:hAnsi="Arial"/>
                <w:b/>
                <w:bCs/>
                <w:sz w:val="15"/>
                <w:szCs w:val="15"/>
              </w:rPr>
              <w:tab/>
              <w:t>Level 1</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b/>
                <w:bCs/>
                <w:sz w:val="15"/>
                <w:szCs w:val="15"/>
              </w:rPr>
            </w:pPr>
            <w:r>
              <w:rPr>
                <w:rFonts w:ascii="Arial" w:cs="Arial" w:hAnsi="Arial"/>
                <w:b/>
                <w:bCs/>
                <w:sz w:val="15"/>
                <w:szCs w:val="15"/>
              </w:rPr>
              <w:tab/>
              <w:t>Level 2</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b/>
                <w:bCs/>
                <w:sz w:val="15"/>
                <w:szCs w:val="15"/>
              </w:rPr>
            </w:pPr>
            <w:r>
              <w:rPr>
                <w:rFonts w:ascii="Arial" w:cs="Arial" w:hAnsi="Arial"/>
                <w:b/>
                <w:bCs/>
                <w:sz w:val="15"/>
                <w:szCs w:val="15"/>
              </w:rPr>
              <w:tab/>
              <w:t>Level 3</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jc w:val="both"/>
              <w:rPr>
                <w:rFonts w:ascii="Arial" w:cs="Arial" w:hAnsi="Arial"/>
                <w:b/>
                <w:bCs/>
                <w:sz w:val="15"/>
                <w:szCs w:val="15"/>
              </w:rPr>
            </w:pPr>
            <w:r>
              <w:rPr>
                <w:rFonts w:ascii="Arial" w:cs="Arial" w:hAnsi="Arial"/>
                <w:b/>
                <w:bCs/>
                <w:sz w:val="15"/>
                <w:szCs w:val="15"/>
              </w:rPr>
              <w:tab/>
              <w:t>Gross</w:t>
              <w:tab/>
            </w:r>
          </w:p>
          <w:p>
            <w:pPr>
              <w:pStyle w:val="style62"/>
              <w:tabs>
                <w:tab w:leader="none" w:pos="1080" w:val="right"/>
                <w:tab w:leader="none" w:pos="1120" w:val="decimal"/>
              </w:tabs>
              <w:spacing w:after="280" w:before="280"/>
              <w:ind w:hanging="0" w:left="216" w:right="216"/>
              <w:contextualSpacing w:val="false"/>
              <w:jc w:val="both"/>
              <w:rPr>
                <w:rFonts w:ascii="Arial" w:cs="Arial" w:hAnsi="Arial"/>
                <w:b/>
                <w:bCs/>
                <w:sz w:val="15"/>
                <w:szCs w:val="15"/>
              </w:rPr>
            </w:pPr>
            <w:r>
              <w:rPr>
                <w:rFonts w:ascii="Arial" w:cs="Arial" w:hAnsi="Arial"/>
                <w:b/>
                <w:bCs/>
                <w:sz w:val="15"/>
                <w:szCs w:val="15"/>
              </w:rPr>
              <w:tab/>
              <w:t>Fair</w:t>
              <w:tab/>
            </w:r>
          </w:p>
          <w:p>
            <w:pPr>
              <w:pStyle w:val="style62"/>
              <w:tabs>
                <w:tab w:leader="none" w:pos="1080" w:val="right"/>
                <w:tab w:leader="none" w:pos="1120" w:val="decimal"/>
              </w:tabs>
              <w:spacing w:after="280" w:before="280"/>
              <w:ind w:hanging="0" w:left="216" w:right="216"/>
              <w:contextualSpacing w:val="false"/>
              <w:rPr>
                <w:rFonts w:ascii="Arial" w:cs="Arial" w:hAnsi="Arial"/>
                <w:b/>
                <w:bCs/>
                <w:sz w:val="15"/>
                <w:szCs w:val="15"/>
              </w:rPr>
            </w:pPr>
            <w:r>
              <w:rPr>
                <w:rFonts w:ascii="Arial" w:cs="Arial" w:hAnsi="Arial"/>
                <w:b/>
                <w:bCs/>
                <w:sz w:val="15"/>
                <w:szCs w:val="15"/>
              </w:rPr>
              <w:tab/>
              <w:t>Value</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b/>
                <w:bCs/>
                <w:sz w:val="15"/>
                <w:szCs w:val="15"/>
                <w:vertAlign w:val="superscript"/>
              </w:rPr>
            </w:pPr>
            <w:r>
              <w:rPr>
                <w:rFonts w:ascii="Arial" w:cs="Arial" w:hAnsi="Arial"/>
                <w:b/>
                <w:bCs/>
                <w:sz w:val="15"/>
                <w:szCs w:val="15"/>
              </w:rPr>
              <w:tab/>
              <w:t>Netting</w:t>
              <w:tab/>
              <w:t> </w:t>
            </w:r>
            <w:r>
              <w:rPr>
                <w:rFonts w:ascii="Arial" w:cs="Arial" w:hAnsi="Arial"/>
                <w:b/>
                <w:bCs/>
                <w:sz w:val="15"/>
                <w:szCs w:val="15"/>
                <w:vertAlign w:val="superscript"/>
              </w:rPr>
              <w:t>(a)</w:t>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15"/>
                <w:szCs w:val="15"/>
              </w:rPr>
            </w:pPr>
            <w:r>
              <w:rPr>
                <w:rFonts w:ascii="Arial" w:cs="Arial" w:hAnsi="Arial"/>
                <w:b/>
                <w:bCs/>
                <w:sz w:val="15"/>
                <w:szCs w:val="15"/>
              </w:rPr>
              <w:tab/>
              <w:t>Net Fair</w:t>
              <w:tab/>
              <w:br/>
              <w:tab/>
              <w:t>Value</w:t>
              <w:tab/>
            </w:r>
          </w:p>
        </w:tc>
      </w:tr>
      <w:tr>
        <w:trPr>
          <w:cantSplit w:val="false"/>
        </w:trPr>
        <w:tc>
          <w:tcPr>
            <w:tcW w:type="dxa" w:w="10800"/>
            <w:gridSpan w:val="7"/>
            <w:tcBorders>
              <w:top w:val="nil"/>
              <w:left w:val="nil"/>
              <w:bottom w:val="nil"/>
              <w:right w:val="nil"/>
            </w:tcBorders>
            <w:shd w:fill="auto" w:val="clear"/>
            <w:tcMar>
              <w:left w:type="dxa" w:w="144"/>
            </w:tcMar>
            <w:vAlign w:val="bottom"/>
          </w:tcPr>
          <w:p>
            <w:pPr>
              <w:pStyle w:val="style59"/>
              <w:spacing w:after="0" w:before="20"/>
              <w:ind w:firstLine="612" w:left="-396" w:right="187"/>
              <w:contextualSpacing w:val="false"/>
              <w:rPr/>
            </w:pPr>
            <w:r>
              <w:rPr/>
              <w:t> </w:t>
            </w:r>
          </w:p>
        </w:tc>
      </w:tr>
      <w:tr>
        <w:trPr>
          <w:trHeight w:hRule="atLeast" w:val="75"/>
          <w:cantSplit w:val="false"/>
        </w:trPr>
        <w:tc>
          <w:tcPr>
            <w:tcW w:type="dxa" w:w="2833"/>
            <w:tcBorders>
              <w:top w:val="nil"/>
              <w:left w:val="nil"/>
              <w:bottom w:val="nil"/>
              <w:right w:val="nil"/>
            </w:tcBorders>
            <w:shd w:fill="auto" w:val="clear"/>
            <w:vAlign w:val="center"/>
          </w:tcPr>
          <w:p>
            <w:pPr>
              <w:pStyle w:val="style0"/>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16" w:right="187"/>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393"/>
            <w:tcBorders>
              <w:top w:val="nil"/>
              <w:left w:val="nil"/>
              <w:bottom w:val="nil"/>
              <w:right w:val="nil"/>
            </w:tcBorders>
            <w:shd w:fill="auto" w:val="clear"/>
            <w:vAlign w:val="center"/>
          </w:tcPr>
          <w:p>
            <w:pPr>
              <w:pStyle w:val="style0"/>
              <w:ind w:hanging="0" w:left="216" w:right="216"/>
              <w:rPr>
                <w:sz w:val="8"/>
                <w:szCs w:val="24"/>
              </w:rPr>
            </w:pPr>
            <w:r>
              <w:rPr>
                <w:sz w:val="8"/>
                <w:szCs w:val="24"/>
              </w:rPr>
            </w:r>
          </w:p>
        </w:tc>
      </w:tr>
      <w:tr>
        <w:trPr>
          <w:cantSplit w:val="false"/>
        </w:trPr>
        <w:tc>
          <w:tcPr>
            <w:tcW w:type="dxa" w:w="2833"/>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 2012</w:t>
            </w:r>
          </w:p>
        </w:tc>
        <w:tc>
          <w:tcPr>
            <w:tcW w:type="dxa" w:w="1391"/>
            <w:tcBorders>
              <w:top w:val="nil"/>
              <w:left w:val="nil"/>
              <w:bottom w:val="nil"/>
              <w:right w:val="nil"/>
            </w:tcBorders>
            <w:shd w:fill="auto" w:val="clear"/>
            <w:tcMar>
              <w:left w:type="dxa" w:w="144"/>
            </w:tcMar>
            <w:vAlign w:val="bottom"/>
          </w:tcPr>
          <w:p>
            <w:pPr>
              <w:pStyle w:val="style65"/>
              <w:ind w:hanging="0" w:left="216" w:right="202"/>
              <w:rPr/>
            </w:pPr>
            <w:r>
              <w:rPr/>
              <w:t> </w:t>
            </w:r>
          </w:p>
        </w:tc>
        <w:tc>
          <w:tcPr>
            <w:tcW w:type="dxa" w:w="1391"/>
            <w:tcBorders>
              <w:top w:val="nil"/>
              <w:left w:val="nil"/>
              <w:bottom w:val="nil"/>
              <w:right w:val="nil"/>
            </w:tcBorders>
            <w:shd w:fill="auto" w:val="clear"/>
            <w:tcMar>
              <w:left w:type="dxa" w:w="144"/>
            </w:tcMar>
            <w:vAlign w:val="bottom"/>
          </w:tcPr>
          <w:p>
            <w:pPr>
              <w:pStyle w:val="style65"/>
              <w:ind w:hanging="0" w:left="216" w:right="202"/>
              <w:rPr/>
            </w:pPr>
            <w:r>
              <w:rPr/>
              <w:t> </w:t>
            </w:r>
          </w:p>
        </w:tc>
        <w:tc>
          <w:tcPr>
            <w:tcW w:type="dxa" w:w="1171"/>
            <w:tcBorders>
              <w:top w:val="nil"/>
              <w:left w:val="nil"/>
              <w:bottom w:val="nil"/>
              <w:right w:val="nil"/>
            </w:tcBorders>
            <w:shd w:fill="auto" w:val="clear"/>
            <w:tcMar>
              <w:left w:type="dxa" w:w="144"/>
            </w:tcMar>
            <w:vAlign w:val="bottom"/>
          </w:tcPr>
          <w:p>
            <w:pPr>
              <w:pStyle w:val="style65"/>
              <w:ind w:hanging="0" w:left="216" w:right="187"/>
              <w:rPr/>
            </w:pPr>
            <w:r>
              <w:rPr/>
              <w:t> </w:t>
            </w:r>
          </w:p>
        </w:tc>
        <w:tc>
          <w:tcPr>
            <w:tcW w:type="dxa" w:w="1391"/>
            <w:tcBorders>
              <w:top w:val="nil"/>
              <w:left w:val="nil"/>
              <w:bottom w:val="nil"/>
              <w:right w:val="nil"/>
            </w:tcBorders>
            <w:shd w:fill="auto" w:val="clear"/>
            <w:tcMar>
              <w:left w:type="dxa" w:w="144"/>
            </w:tcMar>
            <w:vAlign w:val="bottom"/>
          </w:tcPr>
          <w:p>
            <w:pPr>
              <w:pStyle w:val="style65"/>
              <w:ind w:hanging="0" w:left="216" w:right="216"/>
              <w:rPr/>
            </w:pPr>
            <w:r>
              <w:rPr/>
              <w:t> </w:t>
            </w:r>
          </w:p>
        </w:tc>
        <w:tc>
          <w:tcPr>
            <w:tcW w:type="dxa" w:w="1230"/>
            <w:tcBorders>
              <w:top w:val="nil"/>
              <w:left w:val="nil"/>
              <w:bottom w:val="nil"/>
              <w:right w:val="nil"/>
            </w:tcBorders>
            <w:shd w:fill="auto" w:val="clear"/>
            <w:tcMar>
              <w:left w:type="dxa" w:w="144"/>
            </w:tcMar>
            <w:vAlign w:val="bottom"/>
          </w:tcPr>
          <w:p>
            <w:pPr>
              <w:pStyle w:val="style65"/>
              <w:ind w:hanging="0" w:left="216" w:right="216"/>
              <w:rPr/>
            </w:pPr>
            <w:r>
              <w:rPr/>
              <w:t> </w:t>
            </w:r>
          </w:p>
        </w:tc>
        <w:tc>
          <w:tcPr>
            <w:tcW w:type="dxa" w:w="1393"/>
            <w:tcBorders>
              <w:top w:val="nil"/>
              <w:left w:val="nil"/>
              <w:bottom w:val="nil"/>
              <w:right w:val="nil"/>
            </w:tcBorders>
            <w:shd w:fill="auto" w:val="clear"/>
            <w:tcMar>
              <w:left w:type="dxa" w:w="144"/>
            </w:tcMar>
            <w:vAlign w:val="bottom"/>
          </w:tcPr>
          <w:p>
            <w:pPr>
              <w:pStyle w:val="style65"/>
              <w:ind w:hanging="0" w:left="216" w:right="216"/>
              <w:rPr/>
            </w:pPr>
            <w:r>
              <w:rPr/>
              <w:t> </w:t>
            </w:r>
          </w:p>
        </w:tc>
      </w:tr>
      <w:tr>
        <w:trPr>
          <w:trHeight w:hRule="atLeast" w:val="75"/>
          <w:cantSplit w:val="false"/>
        </w:trPr>
        <w:tc>
          <w:tcPr>
            <w:tcW w:type="dxa" w:w="2833"/>
            <w:tcBorders>
              <w:top w:val="nil"/>
              <w:left w:val="nil"/>
              <w:bottom w:val="nil"/>
              <w:right w:val="nil"/>
            </w:tcBorders>
            <w:shd w:fill="auto" w:val="clear"/>
            <w:vAlign w:val="center"/>
          </w:tcPr>
          <w:p>
            <w:pPr>
              <w:pStyle w:val="style0"/>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16" w:right="187"/>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393"/>
            <w:tcBorders>
              <w:top w:val="nil"/>
              <w:left w:val="nil"/>
              <w:bottom w:val="nil"/>
              <w:right w:val="nil"/>
            </w:tcBorders>
            <w:shd w:fill="auto" w:val="clear"/>
            <w:vAlign w:val="center"/>
          </w:tcPr>
          <w:p>
            <w:pPr>
              <w:pStyle w:val="style0"/>
              <w:ind w:hanging="0" w:left="216" w:right="216"/>
              <w:rPr>
                <w:sz w:val="8"/>
                <w:szCs w:val="24"/>
              </w:rPr>
            </w:pPr>
            <w:r>
              <w:rPr>
                <w:sz w:val="8"/>
                <w:szCs w:val="24"/>
              </w:rPr>
            </w:r>
          </w:p>
        </w:tc>
      </w:tr>
      <w:tr>
        <w:trPr>
          <w:cantSplit w:val="false"/>
        </w:trPr>
        <w:tc>
          <w:tcPr>
            <w:tcW w:type="dxa" w:w="2833"/>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Assets</w:t>
            </w:r>
          </w:p>
        </w:tc>
        <w:tc>
          <w:tcPr>
            <w:tcW w:type="dxa" w:w="1391"/>
            <w:tcBorders>
              <w:top w:val="nil"/>
              <w:left w:val="nil"/>
              <w:bottom w:val="nil"/>
              <w:right w:val="nil"/>
            </w:tcBorders>
            <w:shd w:fill="auto" w:val="clear"/>
            <w:tcMar>
              <w:left w:type="dxa" w:w="144"/>
            </w:tcMar>
            <w:vAlign w:val="bottom"/>
          </w:tcPr>
          <w:p>
            <w:pPr>
              <w:pStyle w:val="style65"/>
              <w:ind w:hanging="0" w:left="216" w:right="202"/>
              <w:rPr/>
            </w:pPr>
            <w:r>
              <w:rPr/>
              <w:t> </w:t>
            </w:r>
          </w:p>
        </w:tc>
        <w:tc>
          <w:tcPr>
            <w:tcW w:type="dxa" w:w="1391"/>
            <w:tcBorders>
              <w:top w:val="nil"/>
              <w:left w:val="nil"/>
              <w:bottom w:val="nil"/>
              <w:right w:val="nil"/>
            </w:tcBorders>
            <w:shd w:fill="auto" w:val="clear"/>
            <w:tcMar>
              <w:left w:type="dxa" w:w="144"/>
            </w:tcMar>
            <w:vAlign w:val="bottom"/>
          </w:tcPr>
          <w:p>
            <w:pPr>
              <w:pStyle w:val="style65"/>
              <w:ind w:hanging="0" w:left="216" w:right="202"/>
              <w:rPr/>
            </w:pPr>
            <w:r>
              <w:rPr/>
              <w:t> </w:t>
            </w:r>
          </w:p>
        </w:tc>
        <w:tc>
          <w:tcPr>
            <w:tcW w:type="dxa" w:w="1171"/>
            <w:tcBorders>
              <w:top w:val="nil"/>
              <w:left w:val="nil"/>
              <w:bottom w:val="nil"/>
              <w:right w:val="nil"/>
            </w:tcBorders>
            <w:shd w:fill="auto" w:val="clear"/>
            <w:tcMar>
              <w:left w:type="dxa" w:w="144"/>
            </w:tcMar>
            <w:vAlign w:val="bottom"/>
          </w:tcPr>
          <w:p>
            <w:pPr>
              <w:pStyle w:val="style65"/>
              <w:ind w:hanging="0" w:left="216" w:right="187"/>
              <w:rPr/>
            </w:pPr>
            <w:r>
              <w:rPr/>
              <w:t> </w:t>
            </w:r>
          </w:p>
        </w:tc>
        <w:tc>
          <w:tcPr>
            <w:tcW w:type="dxa" w:w="1391"/>
            <w:tcBorders>
              <w:top w:val="nil"/>
              <w:left w:val="nil"/>
              <w:bottom w:val="nil"/>
              <w:right w:val="nil"/>
            </w:tcBorders>
            <w:shd w:fill="auto" w:val="clear"/>
            <w:tcMar>
              <w:left w:type="dxa" w:w="144"/>
            </w:tcMar>
            <w:vAlign w:val="bottom"/>
          </w:tcPr>
          <w:p>
            <w:pPr>
              <w:pStyle w:val="style65"/>
              <w:ind w:hanging="0" w:left="216" w:right="216"/>
              <w:rPr/>
            </w:pPr>
            <w:r>
              <w:rPr/>
              <w:t> </w:t>
            </w:r>
          </w:p>
        </w:tc>
        <w:tc>
          <w:tcPr>
            <w:tcW w:type="dxa" w:w="1230"/>
            <w:tcBorders>
              <w:top w:val="nil"/>
              <w:left w:val="nil"/>
              <w:bottom w:val="nil"/>
              <w:right w:val="nil"/>
            </w:tcBorders>
            <w:shd w:fill="auto" w:val="clear"/>
            <w:tcMar>
              <w:left w:type="dxa" w:w="144"/>
            </w:tcMar>
            <w:vAlign w:val="bottom"/>
          </w:tcPr>
          <w:p>
            <w:pPr>
              <w:pStyle w:val="style65"/>
              <w:ind w:hanging="0" w:left="216" w:right="216"/>
              <w:rPr/>
            </w:pPr>
            <w:r>
              <w:rPr/>
              <w:t> </w:t>
            </w:r>
          </w:p>
        </w:tc>
        <w:tc>
          <w:tcPr>
            <w:tcW w:type="dxa" w:w="1393"/>
            <w:tcBorders>
              <w:top w:val="nil"/>
              <w:left w:val="nil"/>
              <w:bottom w:val="nil"/>
              <w:right w:val="nil"/>
            </w:tcBorders>
            <w:shd w:fill="auto" w:val="clear"/>
            <w:tcMar>
              <w:left w:type="dxa" w:w="144"/>
            </w:tcMar>
            <w:vAlign w:val="bottom"/>
          </w:tcPr>
          <w:p>
            <w:pPr>
              <w:pStyle w:val="style65"/>
              <w:ind w:hanging="0" w:left="216" w:right="216"/>
              <w:rPr/>
            </w:pPr>
            <w:r>
              <w:rPr/>
              <w:t> </w:t>
            </w:r>
          </w:p>
        </w:tc>
      </w:tr>
      <w:tr>
        <w:trPr>
          <w:trHeight w:hRule="atLeast" w:val="75"/>
          <w:cantSplit w:val="false"/>
        </w:trPr>
        <w:tc>
          <w:tcPr>
            <w:tcW w:type="dxa" w:w="2833"/>
            <w:tcBorders>
              <w:top w:val="nil"/>
              <w:left w:val="nil"/>
              <w:bottom w:val="nil"/>
              <w:right w:val="nil"/>
            </w:tcBorders>
            <w:shd w:fill="auto" w:val="clear"/>
            <w:vAlign w:val="center"/>
          </w:tcPr>
          <w:p>
            <w:pPr>
              <w:pStyle w:val="style0"/>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16" w:right="187"/>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393"/>
            <w:tcBorders>
              <w:top w:val="nil"/>
              <w:left w:val="nil"/>
              <w:bottom w:val="nil"/>
              <w:right w:val="nil"/>
            </w:tcBorders>
            <w:shd w:fill="auto" w:val="clear"/>
            <w:vAlign w:val="center"/>
          </w:tcPr>
          <w:p>
            <w:pPr>
              <w:pStyle w:val="style0"/>
              <w:ind w:hanging="0" w:left="216" w:right="216"/>
              <w:rPr>
                <w:sz w:val="8"/>
                <w:szCs w:val="24"/>
              </w:rPr>
            </w:pPr>
            <w:r>
              <w:rPr>
                <w:sz w:val="8"/>
                <w:szCs w:val="24"/>
              </w:rPr>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Mutual funds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w:t>
              <w:tab/>
              <w:t>820</w:t>
              <w:tab/>
              <w:t>   </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w:t>
              <w:tab/>
              <w:t>0</w:t>
              <w:tab/>
              <w:t>   </w:t>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sz w:val="20"/>
                <w:szCs w:val="20"/>
              </w:rPr>
            </w:pPr>
            <w:r>
              <w:rPr>
                <w:rFonts w:ascii="Arial" w:cs="Arial" w:hAnsi="Arial"/>
                <w:sz w:val="20"/>
                <w:szCs w:val="20"/>
              </w:rPr>
              <w:t>$</w:t>
              <w:tab/>
              <w:t>0</w:t>
              <w:tab/>
              <w:t>   </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w:t>
              <w:tab/>
              <w:t>820</w:t>
              <w:tab/>
              <w:t>   </w:t>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sz w:val="20"/>
                <w:szCs w:val="20"/>
              </w:rPr>
            </w:pPr>
            <w:r>
              <w:rPr>
                <w:rFonts w:ascii="Arial" w:cs="Arial" w:hAnsi="Arial"/>
                <w:sz w:val="20"/>
                <w:szCs w:val="20"/>
              </w:rPr>
              <w:t>$</w:t>
              <w:tab/>
              <w:t>0</w:t>
              <w:tab/>
              <w:t>   </w:t>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w:t>
              <w:tab/>
              <w:t>820</w:t>
              <w:tab/>
              <w:t>   </w:t>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Commercial paper</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96</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sz w:val="20"/>
                <w:szCs w:val="20"/>
              </w:rPr>
            </w:pPr>
            <w:r>
              <w:rPr>
                <w:rFonts w:ascii="Arial" w:cs="Arial" w:hAnsi="Arial"/>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96</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sz w:val="20"/>
                <w:szCs w:val="20"/>
              </w:rPr>
            </w:pPr>
            <w:r>
              <w:rPr>
                <w:rFonts w:ascii="Arial" w:cs="Arial" w:hAnsi="Arial"/>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96</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Certificates of deposit</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744</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sz w:val="20"/>
                <w:szCs w:val="20"/>
              </w:rPr>
            </w:pPr>
            <w:r>
              <w:rPr>
                <w:rFonts w:ascii="Arial" w:cs="Arial" w:hAnsi="Arial"/>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744</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sz w:val="20"/>
                <w:szCs w:val="20"/>
              </w:rPr>
            </w:pPr>
            <w:r>
              <w:rPr>
                <w:rFonts w:ascii="Arial" w:cs="Arial" w:hAnsi="Arial"/>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744</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U.S. government and agency securities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42,291</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5,019</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sz w:val="20"/>
                <w:szCs w:val="20"/>
              </w:rPr>
            </w:pPr>
            <w:r>
              <w:rPr>
                <w:rFonts w:ascii="Arial" w:cs="Arial" w:hAnsi="Arial"/>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47,310</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sz w:val="20"/>
                <w:szCs w:val="20"/>
              </w:rPr>
            </w:pPr>
            <w:r>
              <w:rPr>
                <w:rFonts w:ascii="Arial" w:cs="Arial" w:hAnsi="Arial"/>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47,310</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Foreign government bonds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31</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1,703</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sz w:val="20"/>
                <w:szCs w:val="20"/>
              </w:rPr>
            </w:pPr>
            <w:r>
              <w:rPr>
                <w:rFonts w:ascii="Arial" w:cs="Arial" w:hAnsi="Arial"/>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1,734</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sz w:val="20"/>
                <w:szCs w:val="20"/>
              </w:rPr>
            </w:pPr>
            <w:r>
              <w:rPr>
                <w:rFonts w:ascii="Arial" w:cs="Arial" w:hAnsi="Arial"/>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1,734</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Mortgage-backed securities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1,892</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sz w:val="20"/>
                <w:szCs w:val="20"/>
              </w:rPr>
            </w:pPr>
            <w:r>
              <w:rPr>
                <w:rFonts w:ascii="Arial" w:cs="Arial" w:hAnsi="Arial"/>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1,892</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sz w:val="20"/>
                <w:szCs w:val="20"/>
              </w:rPr>
            </w:pPr>
            <w:r>
              <w:rPr>
                <w:rFonts w:ascii="Arial" w:cs="Arial" w:hAnsi="Arial"/>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1,892</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Corporate notes and bonds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7,839</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sz w:val="20"/>
                <w:szCs w:val="20"/>
              </w:rPr>
            </w:pPr>
            <w:r>
              <w:rPr>
                <w:rFonts w:ascii="Arial" w:cs="Arial" w:hAnsi="Arial"/>
                <w:sz w:val="20"/>
                <w:szCs w:val="20"/>
              </w:rPr>
              <w:tab/>
              <w:t>9</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7,848</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sz w:val="20"/>
                <w:szCs w:val="20"/>
              </w:rPr>
            </w:pPr>
            <w:r>
              <w:rPr>
                <w:rFonts w:ascii="Arial" w:cs="Arial" w:hAnsi="Arial"/>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7,848</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Municipal securities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416</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sz w:val="20"/>
                <w:szCs w:val="20"/>
              </w:rPr>
            </w:pPr>
            <w:r>
              <w:rPr>
                <w:rFonts w:ascii="Arial" w:cs="Arial" w:hAnsi="Arial"/>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416</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sz w:val="20"/>
                <w:szCs w:val="20"/>
              </w:rPr>
            </w:pPr>
            <w:r>
              <w:rPr>
                <w:rFonts w:ascii="Arial" w:cs="Arial" w:hAnsi="Arial"/>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416</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and preferred stock</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7,539</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877</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sz w:val="20"/>
                <w:szCs w:val="20"/>
              </w:rPr>
            </w:pPr>
            <w:r>
              <w:rPr>
                <w:rFonts w:ascii="Arial" w:cs="Arial" w:hAnsi="Arial"/>
                <w:sz w:val="20"/>
                <w:szCs w:val="20"/>
              </w:rPr>
              <w:tab/>
              <w:t>5</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8,421</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sz w:val="20"/>
                <w:szCs w:val="20"/>
              </w:rPr>
            </w:pPr>
            <w:r>
              <w:rPr>
                <w:rFonts w:ascii="Arial" w:cs="Arial" w:hAnsi="Arial"/>
                <w:sz w:val="20"/>
                <w:szCs w:val="20"/>
              </w:rPr>
              <w:tab/>
              <w:t>0</w:t>
              <w:tab/>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8,421</w:t>
              <w:tab/>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Derivatives</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16</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ab/>
              <w:t>467</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sz w:val="20"/>
                <w:szCs w:val="20"/>
              </w:rPr>
            </w:pPr>
            <w:r>
              <w:rPr>
                <w:rFonts w:ascii="Arial" w:cs="Arial" w:hAnsi="Arial"/>
                <w:sz w:val="20"/>
                <w:szCs w:val="20"/>
              </w:rPr>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483</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sz w:val="20"/>
                <w:szCs w:val="20"/>
              </w:rPr>
            </w:pPr>
            <w:r>
              <w:rPr>
                <w:rFonts w:ascii="Arial" w:cs="Arial" w:hAnsi="Arial"/>
                <w:sz w:val="20"/>
                <w:szCs w:val="20"/>
              </w:rPr>
              <w:tab/>
              <w:t>(141</w:t>
              <w:tab/>
              <w:t>)</w:t>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342</w:t>
              <w:tab/>
            </w:r>
          </w:p>
        </w:tc>
      </w:tr>
      <w:tr>
        <w:trPr>
          <w:cantSplit w:val="false"/>
        </w:trPr>
        <w:tc>
          <w:tcPr>
            <w:tcW w:type="dxa" w:w="4224"/>
            <w:gridSpan w:val="2"/>
            <w:tcBorders>
              <w:top w:val="nil"/>
              <w:left w:val="nil"/>
              <w:bottom w:val="nil"/>
              <w:right w:val="nil"/>
            </w:tcBorders>
            <w:shd w:fill="auto" w:val="clear"/>
            <w:vAlign w:val="bottom"/>
          </w:tcPr>
          <w:p>
            <w:pPr>
              <w:pStyle w:val="style59"/>
              <w:spacing w:after="0" w:before="20"/>
              <w:ind w:firstLine="612" w:left="-396" w:right="202"/>
              <w:contextualSpacing w:val="false"/>
              <w:rPr/>
            </w:pPr>
            <w:r>
              <w:rPr/>
              <w:t> </w:t>
            </w:r>
          </w:p>
        </w:tc>
        <w:tc>
          <w:tcPr>
            <w:tcW w:type="dxa" w:w="1391"/>
            <w:tcBorders>
              <w:top w:val="nil"/>
              <w:left w:val="nil"/>
              <w:bottom w:val="nil"/>
              <w:right w:val="nil"/>
            </w:tcBorders>
            <w:shd w:fill="auto" w:val="clear"/>
            <w:tcMar>
              <w:left w:type="dxa" w:w="144"/>
            </w:tcMar>
            <w:vAlign w:val="bottom"/>
          </w:tcPr>
          <w:p>
            <w:pPr>
              <w:pStyle w:val="style59"/>
              <w:spacing w:after="0" w:before="20"/>
              <w:ind w:hanging="0" w:left="216" w:right="202"/>
              <w:contextualSpacing w:val="false"/>
              <w:rPr/>
            </w:pPr>
            <w:r>
              <w:rPr/>
              <w:t> </w:t>
            </w:r>
          </w:p>
        </w:tc>
        <w:tc>
          <w:tcPr>
            <w:tcW w:type="dxa" w:w="1171"/>
            <w:tcBorders>
              <w:top w:val="nil"/>
              <w:left w:val="nil"/>
              <w:bottom w:val="nil"/>
              <w:right w:val="nil"/>
            </w:tcBorders>
            <w:shd w:fill="auto" w:val="clear"/>
            <w:tcMar>
              <w:left w:type="dxa" w:w="144"/>
            </w:tcMar>
            <w:vAlign w:val="bottom"/>
          </w:tcPr>
          <w:p>
            <w:pPr>
              <w:pStyle w:val="style59"/>
              <w:spacing w:after="0" w:before="20"/>
              <w:ind w:hanging="0" w:left="216" w:right="187"/>
              <w:contextualSpacing w:val="false"/>
              <w:rPr/>
            </w:pPr>
            <w:r>
              <w:rPr/>
              <w:t> </w:t>
            </w:r>
          </w:p>
        </w:tc>
        <w:tc>
          <w:tcPr>
            <w:tcW w:type="dxa" w:w="1391"/>
            <w:tcBorders>
              <w:top w:val="nil"/>
              <w:left w:val="nil"/>
              <w:bottom w:val="nil"/>
              <w:right w:val="nil"/>
            </w:tcBorders>
            <w:shd w:fill="auto" w:val="clear"/>
            <w:tcMar>
              <w:left w:type="dxa" w:w="144"/>
            </w:tcMar>
            <w:vAlign w:val="bottom"/>
          </w:tcPr>
          <w:p>
            <w:pPr>
              <w:pStyle w:val="style59"/>
              <w:spacing w:after="0" w:before="20"/>
              <w:ind w:hanging="0" w:left="216" w:right="216"/>
              <w:contextualSpacing w:val="false"/>
              <w:rPr/>
            </w:pPr>
            <w:r>
              <w:rPr/>
              <w:t> </w:t>
            </w:r>
          </w:p>
        </w:tc>
        <w:tc>
          <w:tcPr>
            <w:tcW w:type="dxa" w:w="1230"/>
            <w:tcBorders>
              <w:top w:val="nil"/>
              <w:left w:val="nil"/>
              <w:bottom w:val="nil"/>
              <w:right w:val="nil"/>
            </w:tcBorders>
            <w:shd w:fill="auto" w:val="clear"/>
            <w:tcMar>
              <w:left w:type="dxa" w:w="144"/>
            </w:tcMar>
            <w:vAlign w:val="bottom"/>
          </w:tcPr>
          <w:p>
            <w:pPr>
              <w:pStyle w:val="style59"/>
              <w:spacing w:after="0" w:before="20"/>
              <w:ind w:hanging="0" w:left="216" w:right="216"/>
              <w:contextualSpacing w:val="false"/>
              <w:rPr/>
            </w:pPr>
            <w:r>
              <w:rPr/>
              <w:t> </w:t>
            </w:r>
          </w:p>
        </w:tc>
        <w:tc>
          <w:tcPr>
            <w:tcW w:type="dxa" w:w="1393"/>
            <w:tcBorders>
              <w:top w:val="nil"/>
              <w:left w:val="nil"/>
              <w:bottom w:val="nil"/>
              <w:right w:val="nil"/>
            </w:tcBorders>
            <w:shd w:fill="auto" w:val="clear"/>
            <w:tcMar>
              <w:left w:type="dxa" w:w="144"/>
            </w:tcMar>
            <w:vAlign w:val="bottom"/>
          </w:tcPr>
          <w:p>
            <w:pPr>
              <w:pStyle w:val="style59"/>
              <w:spacing w:after="0" w:before="20"/>
              <w:ind w:hanging="0" w:left="216" w:right="216"/>
              <w:contextualSpacing w:val="false"/>
              <w:rPr/>
            </w:pPr>
            <w:r>
              <w:rPr/>
              <w:t> </w:t>
            </w:r>
          </w:p>
        </w:tc>
      </w:tr>
      <w:tr>
        <w:trPr>
          <w:cantSplit w:val="false"/>
        </w:trPr>
        <w:tc>
          <w:tcPr>
            <w:tcW w:type="dxa" w:w="2833"/>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w:t>
              <w:tab/>
              <w:t>  50,697</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w:t>
              <w:tab/>
              <w:t>  19,053</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sz w:val="20"/>
                <w:szCs w:val="20"/>
              </w:rPr>
            </w:pPr>
            <w:r>
              <w:rPr>
                <w:rFonts w:ascii="Arial" w:cs="Arial" w:hAnsi="Arial"/>
                <w:sz w:val="20"/>
                <w:szCs w:val="20"/>
              </w:rPr>
              <w:t>$</w:t>
              <w:tab/>
              <w:t>  14</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w:t>
              <w:tab/>
              <w:t>  69,764</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sz w:val="20"/>
                <w:szCs w:val="20"/>
              </w:rPr>
            </w:pPr>
            <w:r>
              <w:rPr>
                <w:rFonts w:ascii="Arial" w:cs="Arial" w:hAnsi="Arial"/>
                <w:sz w:val="20"/>
                <w:szCs w:val="20"/>
              </w:rPr>
              <w:t>$</w:t>
              <w:tab/>
              <w:t>  (141</w:t>
              <w:tab/>
              <w:t>)</w:t>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w:t>
              <w:tab/>
              <w:t>  69,623</w:t>
              <w:tab/>
            </w:r>
          </w:p>
        </w:tc>
      </w:tr>
      <w:tr>
        <w:trPr>
          <w:cantSplit w:val="false"/>
        </w:trPr>
        <w:tc>
          <w:tcPr>
            <w:tcW w:type="dxa" w:w="2833"/>
            <w:tcBorders>
              <w:top w:val="nil"/>
              <w:left w:val="nil"/>
              <w:bottom w:val="nil"/>
              <w:right w:val="nil"/>
            </w:tcBorders>
            <w:shd w:fill="auto" w:val="clear"/>
            <w:tcMar>
              <w:left w:type="dxa" w:w="144"/>
            </w:tcMar>
            <w:vAlign w:val="bottom"/>
          </w:tcPr>
          <w:p>
            <w:pPr>
              <w:pStyle w:val="style65"/>
              <w:rPr/>
            </w:pPr>
            <w:r>
              <w:rPr/>
              <w:t> </w:t>
            </w:r>
          </w:p>
        </w:tc>
        <w:tc>
          <w:tcPr>
            <w:tcW w:type="dxa" w:w="1391"/>
            <w:tcBorders>
              <w:top w:val="nil"/>
              <w:left w:val="nil"/>
              <w:bottom w:val="nil"/>
              <w:right w:val="nil"/>
            </w:tcBorders>
            <w:shd w:fill="auto" w:val="clear"/>
            <w:tcMar>
              <w:left w:type="dxa" w:w="144"/>
            </w:tcMar>
            <w:vAlign w:val="bottom"/>
          </w:tcPr>
          <w:p>
            <w:pPr>
              <w:pStyle w:val="style63"/>
              <w:spacing w:after="0" w:before="20"/>
              <w:ind w:hanging="0" w:left="216" w:right="202"/>
              <w:contextualSpacing w:val="false"/>
              <w:rPr/>
            </w:pPr>
            <w:r>
              <w:rPr/>
              <w:t> </w:t>
            </w:r>
          </w:p>
        </w:tc>
        <w:tc>
          <w:tcPr>
            <w:tcW w:type="dxa" w:w="1391"/>
            <w:tcBorders>
              <w:top w:val="nil"/>
              <w:left w:val="nil"/>
              <w:bottom w:val="nil"/>
              <w:right w:val="nil"/>
            </w:tcBorders>
            <w:shd w:fill="auto" w:val="clear"/>
            <w:tcMar>
              <w:left w:type="dxa" w:w="144"/>
            </w:tcMar>
            <w:vAlign w:val="bottom"/>
          </w:tcPr>
          <w:p>
            <w:pPr>
              <w:pStyle w:val="style63"/>
              <w:spacing w:after="0" w:before="20"/>
              <w:ind w:hanging="0" w:left="216" w:right="202"/>
              <w:contextualSpacing w:val="false"/>
              <w:rPr/>
            </w:pPr>
            <w:r>
              <w:rPr/>
              <w:t> </w:t>
            </w:r>
          </w:p>
        </w:tc>
        <w:tc>
          <w:tcPr>
            <w:tcW w:type="dxa" w:w="1171"/>
            <w:tcBorders>
              <w:top w:val="nil"/>
              <w:left w:val="nil"/>
              <w:bottom w:val="nil"/>
              <w:right w:val="nil"/>
            </w:tcBorders>
            <w:shd w:fill="auto" w:val="clear"/>
            <w:tcMar>
              <w:left w:type="dxa" w:w="144"/>
            </w:tcMar>
            <w:vAlign w:val="bottom"/>
          </w:tcPr>
          <w:p>
            <w:pPr>
              <w:pStyle w:val="style63"/>
              <w:spacing w:after="0" w:before="20"/>
              <w:ind w:hanging="0" w:left="216" w:right="187"/>
              <w:contextualSpacing w:val="false"/>
              <w:rPr/>
            </w:pPr>
            <w:r>
              <w:rPr/>
              <w:t> </w:t>
            </w:r>
          </w:p>
        </w:tc>
        <w:tc>
          <w:tcPr>
            <w:tcW w:type="dxa" w:w="1391"/>
            <w:tcBorders>
              <w:top w:val="nil"/>
              <w:left w:val="nil"/>
              <w:bottom w:val="nil"/>
              <w:right w:val="nil"/>
            </w:tcBorders>
            <w:shd w:fill="auto" w:val="clear"/>
            <w:tcMar>
              <w:left w:type="dxa" w:w="144"/>
            </w:tcMar>
            <w:vAlign w:val="bottom"/>
          </w:tcPr>
          <w:p>
            <w:pPr>
              <w:pStyle w:val="style63"/>
              <w:spacing w:after="0" w:before="20"/>
              <w:ind w:hanging="0" w:left="216" w:right="216"/>
              <w:contextualSpacing w:val="false"/>
              <w:rPr/>
            </w:pPr>
            <w:r>
              <w:rPr/>
              <w:t> </w:t>
            </w:r>
          </w:p>
        </w:tc>
        <w:tc>
          <w:tcPr>
            <w:tcW w:type="dxa" w:w="1230"/>
            <w:tcBorders>
              <w:top w:val="nil"/>
              <w:left w:val="nil"/>
              <w:bottom w:val="nil"/>
              <w:right w:val="nil"/>
            </w:tcBorders>
            <w:shd w:fill="auto" w:val="clear"/>
            <w:tcMar>
              <w:left w:type="dxa" w:w="144"/>
            </w:tcMar>
            <w:vAlign w:val="bottom"/>
          </w:tcPr>
          <w:p>
            <w:pPr>
              <w:pStyle w:val="style63"/>
              <w:spacing w:after="0" w:before="20"/>
              <w:ind w:hanging="0" w:left="216" w:right="216"/>
              <w:contextualSpacing w:val="false"/>
              <w:rPr/>
            </w:pPr>
            <w:r>
              <w:rPr/>
              <w:t> </w:t>
            </w:r>
          </w:p>
        </w:tc>
        <w:tc>
          <w:tcPr>
            <w:tcW w:type="dxa" w:w="1393"/>
            <w:tcBorders>
              <w:top w:val="nil"/>
              <w:left w:val="nil"/>
              <w:bottom w:val="nil"/>
              <w:right w:val="nil"/>
            </w:tcBorders>
            <w:shd w:fill="auto" w:val="clear"/>
            <w:tcMar>
              <w:left w:type="dxa" w:w="144"/>
            </w:tcMar>
            <w:vAlign w:val="bottom"/>
          </w:tcPr>
          <w:p>
            <w:pPr>
              <w:pStyle w:val="style63"/>
              <w:spacing w:after="0" w:before="20"/>
              <w:ind w:hanging="0" w:left="216" w:right="216"/>
              <w:contextualSpacing w:val="false"/>
              <w:rPr/>
            </w:pPr>
            <w:r>
              <w:rPr/>
              <w:t> </w:t>
            </w:r>
          </w:p>
        </w:tc>
      </w:tr>
      <w:tr>
        <w:trPr>
          <w:trHeight w:hRule="atLeast" w:val="75"/>
          <w:cantSplit w:val="false"/>
        </w:trPr>
        <w:tc>
          <w:tcPr>
            <w:tcW w:type="dxa" w:w="2833"/>
            <w:tcBorders>
              <w:top w:val="nil"/>
              <w:left w:val="nil"/>
              <w:bottom w:val="nil"/>
              <w:right w:val="nil"/>
            </w:tcBorders>
            <w:shd w:fill="auto" w:val="clear"/>
            <w:vAlign w:val="center"/>
          </w:tcPr>
          <w:p>
            <w:pPr>
              <w:pStyle w:val="style0"/>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16" w:right="187"/>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393"/>
            <w:tcBorders>
              <w:top w:val="nil"/>
              <w:left w:val="nil"/>
              <w:bottom w:val="nil"/>
              <w:right w:val="nil"/>
            </w:tcBorders>
            <w:shd w:fill="auto" w:val="clear"/>
            <w:vAlign w:val="center"/>
          </w:tcPr>
          <w:p>
            <w:pPr>
              <w:pStyle w:val="style0"/>
              <w:ind w:hanging="0" w:left="216" w:right="216"/>
              <w:rPr>
                <w:sz w:val="8"/>
                <w:szCs w:val="24"/>
              </w:rPr>
            </w:pPr>
            <w:r>
              <w:rPr>
                <w:sz w:val="8"/>
                <w:szCs w:val="24"/>
              </w:rPr>
            </w:r>
          </w:p>
        </w:tc>
      </w:tr>
      <w:tr>
        <w:trPr>
          <w:cantSplit w:val="false"/>
        </w:trPr>
        <w:tc>
          <w:tcPr>
            <w:tcW w:type="dxa" w:w="2833"/>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Liabilities</w:t>
            </w:r>
          </w:p>
        </w:tc>
        <w:tc>
          <w:tcPr>
            <w:tcW w:type="dxa" w:w="1391"/>
            <w:tcBorders>
              <w:top w:val="nil"/>
              <w:left w:val="nil"/>
              <w:bottom w:val="nil"/>
              <w:right w:val="nil"/>
            </w:tcBorders>
            <w:shd w:fill="auto" w:val="clear"/>
            <w:tcMar>
              <w:left w:type="dxa" w:w="144"/>
            </w:tcMar>
            <w:vAlign w:val="bottom"/>
          </w:tcPr>
          <w:p>
            <w:pPr>
              <w:pStyle w:val="style65"/>
              <w:ind w:hanging="0" w:left="216" w:right="202"/>
              <w:rPr/>
            </w:pPr>
            <w:r>
              <w:rPr/>
              <w:t> </w:t>
            </w:r>
          </w:p>
        </w:tc>
        <w:tc>
          <w:tcPr>
            <w:tcW w:type="dxa" w:w="1391"/>
            <w:tcBorders>
              <w:top w:val="nil"/>
              <w:left w:val="nil"/>
              <w:bottom w:val="nil"/>
              <w:right w:val="nil"/>
            </w:tcBorders>
            <w:shd w:fill="auto" w:val="clear"/>
            <w:tcMar>
              <w:left w:type="dxa" w:w="144"/>
            </w:tcMar>
            <w:vAlign w:val="bottom"/>
          </w:tcPr>
          <w:p>
            <w:pPr>
              <w:pStyle w:val="style65"/>
              <w:ind w:hanging="0" w:left="216" w:right="202"/>
              <w:rPr/>
            </w:pPr>
            <w:r>
              <w:rPr/>
              <w:t> </w:t>
            </w:r>
          </w:p>
        </w:tc>
        <w:tc>
          <w:tcPr>
            <w:tcW w:type="dxa" w:w="1171"/>
            <w:tcBorders>
              <w:top w:val="nil"/>
              <w:left w:val="nil"/>
              <w:bottom w:val="nil"/>
              <w:right w:val="nil"/>
            </w:tcBorders>
            <w:shd w:fill="auto" w:val="clear"/>
            <w:tcMar>
              <w:left w:type="dxa" w:w="144"/>
            </w:tcMar>
            <w:vAlign w:val="bottom"/>
          </w:tcPr>
          <w:p>
            <w:pPr>
              <w:pStyle w:val="style65"/>
              <w:ind w:hanging="0" w:left="216" w:right="187"/>
              <w:rPr/>
            </w:pPr>
            <w:r>
              <w:rPr/>
              <w:t> </w:t>
            </w:r>
          </w:p>
        </w:tc>
        <w:tc>
          <w:tcPr>
            <w:tcW w:type="dxa" w:w="1391"/>
            <w:tcBorders>
              <w:top w:val="nil"/>
              <w:left w:val="nil"/>
              <w:bottom w:val="nil"/>
              <w:right w:val="nil"/>
            </w:tcBorders>
            <w:shd w:fill="auto" w:val="clear"/>
            <w:tcMar>
              <w:left w:type="dxa" w:w="144"/>
            </w:tcMar>
            <w:vAlign w:val="bottom"/>
          </w:tcPr>
          <w:p>
            <w:pPr>
              <w:pStyle w:val="style65"/>
              <w:ind w:hanging="0" w:left="216" w:right="216"/>
              <w:rPr/>
            </w:pPr>
            <w:r>
              <w:rPr/>
              <w:t> </w:t>
            </w:r>
          </w:p>
        </w:tc>
        <w:tc>
          <w:tcPr>
            <w:tcW w:type="dxa" w:w="1230"/>
            <w:tcBorders>
              <w:top w:val="nil"/>
              <w:left w:val="nil"/>
              <w:bottom w:val="nil"/>
              <w:right w:val="nil"/>
            </w:tcBorders>
            <w:shd w:fill="auto" w:val="clear"/>
            <w:tcMar>
              <w:left w:type="dxa" w:w="144"/>
            </w:tcMar>
            <w:vAlign w:val="bottom"/>
          </w:tcPr>
          <w:p>
            <w:pPr>
              <w:pStyle w:val="style65"/>
              <w:ind w:hanging="0" w:left="216" w:right="216"/>
              <w:rPr/>
            </w:pPr>
            <w:r>
              <w:rPr/>
              <w:t> </w:t>
            </w:r>
          </w:p>
        </w:tc>
        <w:tc>
          <w:tcPr>
            <w:tcW w:type="dxa" w:w="1393"/>
            <w:tcBorders>
              <w:top w:val="nil"/>
              <w:left w:val="nil"/>
              <w:bottom w:val="nil"/>
              <w:right w:val="nil"/>
            </w:tcBorders>
            <w:shd w:fill="auto" w:val="clear"/>
            <w:tcMar>
              <w:left w:type="dxa" w:w="144"/>
            </w:tcMar>
            <w:vAlign w:val="bottom"/>
          </w:tcPr>
          <w:p>
            <w:pPr>
              <w:pStyle w:val="style65"/>
              <w:ind w:hanging="0" w:left="216" w:right="216"/>
              <w:rPr/>
            </w:pPr>
            <w:r>
              <w:rPr/>
              <w:t> </w:t>
            </w:r>
          </w:p>
        </w:tc>
      </w:tr>
      <w:tr>
        <w:trPr>
          <w:trHeight w:hRule="atLeast" w:val="75"/>
          <w:cantSplit w:val="false"/>
        </w:trPr>
        <w:tc>
          <w:tcPr>
            <w:tcW w:type="dxa" w:w="2833"/>
            <w:tcBorders>
              <w:top w:val="nil"/>
              <w:left w:val="nil"/>
              <w:bottom w:val="nil"/>
              <w:right w:val="nil"/>
            </w:tcBorders>
            <w:shd w:fill="auto" w:val="clear"/>
            <w:vAlign w:val="center"/>
          </w:tcPr>
          <w:p>
            <w:pPr>
              <w:pStyle w:val="style0"/>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02"/>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16" w:right="187"/>
              <w:rPr>
                <w:sz w:val="8"/>
                <w:szCs w:val="24"/>
              </w:rPr>
            </w:pPr>
            <w:r>
              <w:rPr>
                <w:sz w:val="8"/>
                <w:szCs w:val="24"/>
              </w:rPr>
            </w:r>
          </w:p>
        </w:tc>
        <w:tc>
          <w:tcPr>
            <w:tcW w:type="dxa" w:w="1391"/>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393"/>
            <w:tcBorders>
              <w:top w:val="nil"/>
              <w:left w:val="nil"/>
              <w:bottom w:val="nil"/>
              <w:right w:val="nil"/>
            </w:tcBorders>
            <w:shd w:fill="auto" w:val="clear"/>
            <w:vAlign w:val="center"/>
          </w:tcPr>
          <w:p>
            <w:pPr>
              <w:pStyle w:val="style0"/>
              <w:ind w:hanging="0" w:left="216" w:right="216"/>
              <w:rPr>
                <w:sz w:val="8"/>
                <w:szCs w:val="24"/>
              </w:rPr>
            </w:pPr>
            <w:r>
              <w:rPr>
                <w:sz w:val="8"/>
                <w:szCs w:val="24"/>
              </w:rPr>
            </w:r>
          </w:p>
        </w:tc>
      </w:tr>
      <w:tr>
        <w:trPr>
          <w:cantSplit w:val="false"/>
        </w:trPr>
        <w:tc>
          <w:tcPr>
            <w:tcW w:type="dxa" w:w="2833"/>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Derivatives and other</w:t>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w:t>
              <w:tab/>
              <w:t>10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02"/>
              <w:contextualSpacing w:val="false"/>
              <w:rPr>
                <w:rFonts w:ascii="Arial" w:cs="Arial" w:hAnsi="Arial"/>
                <w:sz w:val="20"/>
                <w:szCs w:val="20"/>
              </w:rPr>
            </w:pPr>
            <w:r>
              <w:rPr>
                <w:rFonts w:ascii="Arial" w:cs="Arial" w:hAnsi="Arial"/>
                <w:sz w:val="20"/>
                <w:szCs w:val="20"/>
              </w:rPr>
              <w:t>$</w:t>
              <w:tab/>
              <w:t>145</w:t>
              <w:tab/>
            </w:r>
          </w:p>
        </w:tc>
        <w:tc>
          <w:tcPr>
            <w:tcW w:type="dxa" w:w="1171"/>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16" w:right="187"/>
              <w:contextualSpacing w:val="false"/>
              <w:rPr>
                <w:rFonts w:ascii="Arial" w:cs="Arial" w:hAnsi="Arial"/>
                <w:sz w:val="20"/>
                <w:szCs w:val="20"/>
              </w:rPr>
            </w:pPr>
            <w:r>
              <w:rPr>
                <w:rFonts w:ascii="Arial" w:cs="Arial" w:hAnsi="Arial"/>
                <w:sz w:val="20"/>
                <w:szCs w:val="20"/>
              </w:rPr>
              <w:t>$</w:t>
              <w:tab/>
              <w:t>0</w:t>
              <w:tab/>
            </w:r>
          </w:p>
        </w:tc>
        <w:tc>
          <w:tcPr>
            <w:tcW w:type="dxa" w:w="1391"/>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w:t>
              <w:tab/>
              <w:t>155</w:t>
              <w:tab/>
            </w:r>
          </w:p>
        </w:tc>
        <w:tc>
          <w:tcPr>
            <w:tcW w:type="dxa" w:w="123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216"/>
              <w:contextualSpacing w:val="false"/>
              <w:rPr>
                <w:rFonts w:ascii="Arial" w:cs="Arial" w:hAnsi="Arial"/>
                <w:sz w:val="20"/>
                <w:szCs w:val="20"/>
              </w:rPr>
            </w:pPr>
            <w:r>
              <w:rPr>
                <w:rFonts w:ascii="Arial" w:cs="Arial" w:hAnsi="Arial"/>
                <w:sz w:val="20"/>
                <w:szCs w:val="20"/>
              </w:rPr>
              <w:t>$</w:t>
              <w:tab/>
              <w:t>(139</w:t>
              <w:tab/>
              <w:t>)</w:t>
            </w:r>
          </w:p>
        </w:tc>
        <w:tc>
          <w:tcPr>
            <w:tcW w:type="dxa" w:w="13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w:t>
              <w:tab/>
              <w:t>16</w:t>
              <w:tab/>
            </w:r>
          </w:p>
        </w:tc>
      </w:tr>
    </w:tbl>
    <w:p>
      <w:pPr>
        <w:pStyle w:val="style59"/>
        <w:pBdr>
          <w:top w:color="000001" w:space="0" w:sz="4" w:val="single"/>
          <w:left w:val="nil"/>
          <w:bottom w:val="nil"/>
          <w:insideH w:val="nil"/>
          <w:right w:val="nil"/>
          <w:insideV w:val="nil"/>
        </w:pBdr>
        <w:ind w:hanging="0" w:left="0" w:right="216"/>
        <w:rPr/>
      </w:pPr>
      <w:r>
        <w:rPr/>
        <w:t>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(a)</w:t>
        <w:tab/>
      </w:r>
      <w:r>
        <w:rPr>
          <w:rFonts w:ascii="Arial" w:cs="Arial" w:hAnsi="Arial"/>
          <w:i/>
          <w:iCs/>
          <w:sz w:val="20"/>
          <w:szCs w:val="20"/>
        </w:rPr>
        <w:t>These amounts represent the impact of netting derivative assets and derivative liabilities when a legally enforceable master netting agreement exists and fair value adjustments related to our own credit risk and counterparty credit risk.</w:t>
      </w:r>
      <w:r>
        <w:rPr>
          <w:rFonts w:ascii="Arial" w:cs="Arial" w:hAnsi="Arial"/>
          <w:sz w:val="20"/>
          <w:szCs w:val="20"/>
        </w:rPr>
        <w:t xml:space="preserv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changes in our Level 3 financial instruments that are measured at fair value on a recurring basis were immaterial during the periods presented.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following table reconciles the total Net Fair Value of assets above to the balance sheet presentation of these same assets in Note 4 – Investments. </w:t>
      </w:r>
    </w:p>
    <w:p>
      <w:pPr>
        <w:pStyle w:val="style62"/>
        <w:keepNext/>
        <w:spacing w:after="280" w:before="280"/>
        <w:contextualSpacing w:val="false"/>
        <w:rPr>
          <w:sz w:val="18"/>
          <w:szCs w:val="18"/>
        </w:rPr>
      </w:pPr>
      <w:r>
        <w:rPr>
          <w:sz w:val="18"/>
          <w:szCs w:val="18"/>
        </w:rPr>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8277"/>
        <w:gridCol w:w="1290"/>
        <w:gridCol w:w="1233"/>
      </w:tblGrid>
      <w:tr>
        <w:trPr>
          <w:tblHeader w:val="true"/>
          <w:cantSplit w:val="false"/>
        </w:trPr>
        <w:tc>
          <w:tcPr>
            <w:tcW w:type="dxa" w:w="8277"/>
            <w:tcBorders>
              <w:top w:val="nil"/>
              <w:left w:val="nil"/>
              <w:bottom w:val="nil"/>
              <w:right w:val="nil"/>
            </w:tcBorders>
            <w:shd w:fill="auto" w:val="clear"/>
            <w:vAlign w:val="center"/>
          </w:tcPr>
          <w:p>
            <w:pPr>
              <w:pStyle w:val="style0"/>
              <w:rPr>
                <w:sz w:val="1"/>
                <w:szCs w:val="24"/>
              </w:rPr>
            </w:pPr>
            <w:r>
              <w:rPr>
                <w:sz w:val="1"/>
                <w:szCs w:val="24"/>
              </w:rPr>
            </w:r>
          </w:p>
        </w:tc>
        <w:tc>
          <w:tcPr>
            <w:tcW w:type="dxa" w:w="1290"/>
            <w:tcBorders>
              <w:top w:val="nil"/>
              <w:left w:val="nil"/>
              <w:bottom w:val="nil"/>
              <w:right w:val="nil"/>
            </w:tcBorders>
            <w:shd w:fill="auto" w:val="clear"/>
            <w:vAlign w:val="center"/>
          </w:tcPr>
          <w:p>
            <w:pPr>
              <w:pStyle w:val="style0"/>
              <w:rPr>
                <w:sz w:val="1"/>
                <w:szCs w:val="24"/>
              </w:rPr>
            </w:pPr>
            <w:r>
              <w:rPr>
                <w:sz w:val="1"/>
                <w:szCs w:val="24"/>
              </w:rPr>
            </w:r>
          </w:p>
        </w:tc>
        <w:tc>
          <w:tcPr>
            <w:tcW w:type="dxa" w:w="1233"/>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10800"/>
            <w:gridSpan w:val="3"/>
            <w:tcBorders>
              <w:top w:val="nil"/>
              <w:left w:val="nil"/>
              <w:bottom w:val="nil"/>
              <w:right w:val="nil"/>
            </w:tcBorders>
            <w:shd w:fill="auto" w:val="clear"/>
            <w:vAlign w:val="bottom"/>
          </w:tcPr>
          <w:p>
            <w:pPr>
              <w:pStyle w:val="style62"/>
              <w:keepNext/>
              <w:spacing w:after="280" w:before="280"/>
              <w:ind w:hanging="0" w:left="0" w:right="101"/>
              <w:contextualSpacing w:val="false"/>
              <w:rPr>
                <w:rFonts w:ascii="Arial" w:cs="Arial" w:hAnsi="Arial"/>
                <w:b/>
                <w:bCs/>
                <w:sz w:val="15"/>
                <w:szCs w:val="15"/>
              </w:rPr>
            </w:pPr>
            <w:r>
              <w:rPr>
                <w:rFonts w:ascii="Arial" w:cs="Arial" w:hAnsi="Arial"/>
                <w:b/>
                <w:bCs/>
                <w:sz w:val="15"/>
                <w:szCs w:val="15"/>
              </w:rPr>
              <w:t>(In millions)</w:t>
            </w:r>
          </w:p>
        </w:tc>
      </w:tr>
      <w:tr>
        <w:trPr>
          <w:cantSplit w:val="false"/>
        </w:trPr>
        <w:tc>
          <w:tcPr>
            <w:tcW w:type="dxa" w:w="10800"/>
            <w:gridSpan w:val="3"/>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r>
      <w:tr>
        <w:trPr>
          <w:trHeight w:hRule="atLeast" w:val="75"/>
          <w:cantSplit w:val="false"/>
        </w:trPr>
        <w:tc>
          <w:tcPr>
            <w:tcW w:type="dxa" w:w="8277"/>
            <w:tcBorders>
              <w:top w:val="nil"/>
              <w:left w:val="nil"/>
              <w:bottom w:val="nil"/>
              <w:right w:val="nil"/>
            </w:tcBorders>
            <w:shd w:fill="auto" w:val="clear"/>
            <w:vAlign w:val="center"/>
          </w:tcPr>
          <w:p>
            <w:pPr>
              <w:pStyle w:val="style0"/>
              <w:rPr>
                <w:sz w:val="8"/>
                <w:szCs w:val="24"/>
              </w:rPr>
            </w:pPr>
            <w:r>
              <w:rPr>
                <w:sz w:val="8"/>
                <w:szCs w:val="24"/>
              </w:rPr>
            </w:r>
          </w:p>
        </w:tc>
        <w:tc>
          <w:tcPr>
            <w:tcW w:type="dxa" w:w="129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233"/>
            <w:tcBorders>
              <w:top w:val="nil"/>
              <w:left w:val="nil"/>
              <w:bottom w:val="nil"/>
              <w:right w:val="nil"/>
            </w:tcBorders>
            <w:shd w:fill="auto" w:val="clear"/>
            <w:vAlign w:val="center"/>
          </w:tcPr>
          <w:p>
            <w:pPr>
              <w:pStyle w:val="style0"/>
              <w:ind w:hanging="0" w:left="0" w:right="101"/>
              <w:rPr>
                <w:sz w:val="8"/>
                <w:szCs w:val="24"/>
              </w:rPr>
            </w:pPr>
            <w:r>
              <w:rPr>
                <w:sz w:val="8"/>
                <w:szCs w:val="24"/>
              </w:rPr>
            </w:r>
          </w:p>
        </w:tc>
      </w:tr>
      <w:tr>
        <w:trPr>
          <w:cantSplit w:val="false"/>
        </w:trPr>
        <w:tc>
          <w:tcPr>
            <w:tcW w:type="dxa" w:w="827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w:t>
            </w:r>
          </w:p>
        </w:tc>
        <w:tc>
          <w:tcPr>
            <w:tcW w:type="dxa" w:w="1290"/>
            <w:tcBorders>
              <w:top w:val="nil"/>
              <w:left w:val="nil"/>
              <w:bottom w:val="nil"/>
              <w:right w:val="nil"/>
            </w:tcBorders>
            <w:shd w:fill="auto" w:val="clear"/>
            <w:tcMar>
              <w:left w:type="dxa" w:w="144"/>
            </w:tcMar>
            <w:vAlign w:val="bottom"/>
          </w:tcPr>
          <w:p>
            <w:pPr>
              <w:pStyle w:val="style0"/>
              <w:ind w:hanging="0" w:left="0" w:right="86"/>
              <w:jc w:val="right"/>
              <w:rPr>
                <w:rFonts w:ascii="Arial" w:cs="Arial" w:hAnsi="Arial"/>
                <w:b/>
                <w:bCs/>
                <w:sz w:val="15"/>
                <w:szCs w:val="15"/>
              </w:rPr>
            </w:pPr>
            <w:r>
              <w:rPr>
                <w:rFonts w:ascii="Arial" w:cs="Arial" w:hAnsi="Arial"/>
                <w:b/>
                <w:bCs/>
                <w:sz w:val="15"/>
                <w:szCs w:val="15"/>
              </w:rPr>
              <w:t>2013</w:t>
            </w:r>
          </w:p>
        </w:tc>
        <w:tc>
          <w:tcPr>
            <w:tcW w:type="dxa" w:w="1233"/>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2012</w:t>
            </w:r>
          </w:p>
        </w:tc>
      </w:tr>
      <w:tr>
        <w:trPr>
          <w:trHeight w:hRule="atLeast" w:val="75"/>
          <w:cantSplit w:val="false"/>
        </w:trPr>
        <w:tc>
          <w:tcPr>
            <w:tcW w:type="dxa" w:w="8277"/>
            <w:tcBorders>
              <w:top w:val="nil"/>
              <w:left w:val="nil"/>
              <w:bottom w:val="nil"/>
              <w:right w:val="nil"/>
            </w:tcBorders>
            <w:shd w:fill="auto" w:val="clear"/>
            <w:vAlign w:val="center"/>
          </w:tcPr>
          <w:p>
            <w:pPr>
              <w:pStyle w:val="style0"/>
              <w:rPr>
                <w:sz w:val="8"/>
                <w:szCs w:val="24"/>
              </w:rPr>
            </w:pPr>
            <w:r>
              <w:rPr>
                <w:sz w:val="8"/>
                <w:szCs w:val="24"/>
              </w:rPr>
            </w:r>
          </w:p>
        </w:tc>
        <w:tc>
          <w:tcPr>
            <w:tcW w:type="dxa" w:w="1290"/>
            <w:tcBorders>
              <w:top w:val="nil"/>
              <w:left w:val="nil"/>
              <w:bottom w:val="nil"/>
              <w:right w:val="nil"/>
            </w:tcBorders>
            <w:shd w:fill="auto" w:val="clear"/>
            <w:vAlign w:val="center"/>
          </w:tcPr>
          <w:p>
            <w:pPr>
              <w:pStyle w:val="style0"/>
              <w:ind w:hanging="0" w:left="0" w:right="115"/>
              <w:rPr>
                <w:sz w:val="8"/>
                <w:szCs w:val="24"/>
              </w:rPr>
            </w:pPr>
            <w:r>
              <w:rPr>
                <w:sz w:val="8"/>
                <w:szCs w:val="24"/>
              </w:rPr>
            </w:r>
          </w:p>
        </w:tc>
        <w:tc>
          <w:tcPr>
            <w:tcW w:type="dxa" w:w="1233"/>
            <w:tcBorders>
              <w:top w:val="nil"/>
              <w:left w:val="nil"/>
              <w:bottom w:val="nil"/>
              <w:right w:val="nil"/>
            </w:tcBorders>
            <w:shd w:fill="auto" w:val="clear"/>
            <w:vAlign w:val="center"/>
          </w:tcPr>
          <w:p>
            <w:pPr>
              <w:pStyle w:val="style0"/>
              <w:ind w:hanging="0" w:left="0" w:right="101"/>
              <w:rPr>
                <w:sz w:val="8"/>
                <w:szCs w:val="24"/>
              </w:rPr>
            </w:pPr>
            <w:r>
              <w:rPr>
                <w:sz w:val="8"/>
                <w:szCs w:val="24"/>
              </w:rPr>
            </w:r>
          </w:p>
        </w:tc>
      </w:tr>
      <w:tr>
        <w:trPr>
          <w:cantSplit w:val="false"/>
        </w:trPr>
        <w:tc>
          <w:tcPr>
            <w:tcW w:type="dxa" w:w="82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fair value of assets measured at fair value on a recurring basis</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115"/>
              <w:contextualSpacing w:val="false"/>
              <w:rPr>
                <w:rFonts w:ascii="Arial" w:cs="Arial" w:hAnsi="Arial"/>
                <w:b/>
                <w:bCs/>
                <w:sz w:val="20"/>
                <w:szCs w:val="20"/>
              </w:rPr>
            </w:pPr>
            <w:r>
              <w:rPr>
                <w:rFonts w:ascii="Arial" w:cs="Arial" w:hAnsi="Arial"/>
                <w:b/>
                <w:bCs/>
                <w:sz w:val="20"/>
                <w:szCs w:val="20"/>
              </w:rPr>
              <w:t>$</w:t>
              <w:tab/>
              <w:t>84,468</w:t>
              <w:tab/>
            </w:r>
          </w:p>
        </w:tc>
        <w:tc>
          <w:tcPr>
            <w:tcW w:type="dxa" w:w="123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69,623</w:t>
              <w:tab/>
            </w:r>
          </w:p>
        </w:tc>
      </w:tr>
      <w:tr>
        <w:trPr>
          <w:cantSplit w:val="false"/>
        </w:trPr>
        <w:tc>
          <w:tcPr>
            <w:tcW w:type="dxa" w:w="82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Cash</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115"/>
              <w:contextualSpacing w:val="false"/>
              <w:rPr>
                <w:rFonts w:ascii="Arial" w:cs="Arial" w:hAnsi="Arial"/>
                <w:b/>
                <w:bCs/>
                <w:sz w:val="20"/>
                <w:szCs w:val="20"/>
              </w:rPr>
            </w:pPr>
            <w:r>
              <w:rPr>
                <w:rFonts w:ascii="Arial" w:cs="Arial" w:hAnsi="Arial"/>
                <w:b/>
                <w:bCs/>
                <w:sz w:val="20"/>
                <w:szCs w:val="20"/>
              </w:rPr>
              <w:tab/>
              <w:t>1,967</w:t>
              <w:tab/>
            </w:r>
          </w:p>
        </w:tc>
        <w:tc>
          <w:tcPr>
            <w:tcW w:type="dxa" w:w="123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101"/>
              <w:contextualSpacing w:val="false"/>
              <w:rPr>
                <w:rFonts w:ascii="Arial" w:cs="Arial" w:hAnsi="Arial"/>
                <w:sz w:val="20"/>
                <w:szCs w:val="20"/>
              </w:rPr>
            </w:pPr>
            <w:r>
              <w:rPr>
                <w:rFonts w:ascii="Arial" w:cs="Arial" w:hAnsi="Arial"/>
                <w:sz w:val="20"/>
                <w:szCs w:val="20"/>
              </w:rPr>
              <w:tab/>
              <w:t>2,019</w:t>
              <w:tab/>
            </w:r>
          </w:p>
        </w:tc>
      </w:tr>
      <w:tr>
        <w:trPr>
          <w:cantSplit w:val="false"/>
        </w:trPr>
        <w:tc>
          <w:tcPr>
            <w:tcW w:type="dxa" w:w="82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Common and preferred stock measured at fair value on a nonrecurring basis</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115"/>
              <w:contextualSpacing w:val="false"/>
              <w:rPr>
                <w:rFonts w:ascii="Arial" w:cs="Arial" w:hAnsi="Arial"/>
                <w:b/>
                <w:bCs/>
                <w:sz w:val="20"/>
                <w:szCs w:val="20"/>
              </w:rPr>
            </w:pPr>
            <w:r>
              <w:rPr>
                <w:rFonts w:ascii="Arial" w:cs="Arial" w:hAnsi="Arial"/>
                <w:b/>
                <w:bCs/>
                <w:sz w:val="20"/>
                <w:szCs w:val="20"/>
              </w:rPr>
              <w:tab/>
              <w:t>395</w:t>
              <w:tab/>
            </w:r>
          </w:p>
        </w:tc>
        <w:tc>
          <w:tcPr>
            <w:tcW w:type="dxa" w:w="123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101"/>
              <w:contextualSpacing w:val="false"/>
              <w:rPr>
                <w:rFonts w:ascii="Arial" w:cs="Arial" w:hAnsi="Arial"/>
                <w:sz w:val="20"/>
                <w:szCs w:val="20"/>
              </w:rPr>
            </w:pPr>
            <w:r>
              <w:rPr>
                <w:rFonts w:ascii="Arial" w:cs="Arial" w:hAnsi="Arial"/>
                <w:sz w:val="20"/>
                <w:szCs w:val="20"/>
              </w:rPr>
              <w:tab/>
              <w:t>313</w:t>
              <w:tab/>
            </w:r>
          </w:p>
        </w:tc>
      </w:tr>
      <w:tr>
        <w:trPr>
          <w:cantSplit w:val="false"/>
        </w:trPr>
        <w:tc>
          <w:tcPr>
            <w:tcW w:type="dxa" w:w="82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 investments measured at fair value on a nonrecurring basis</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115"/>
              <w:contextualSpacing w:val="false"/>
              <w:rPr>
                <w:rFonts w:ascii="Arial" w:cs="Arial" w:hAnsi="Arial"/>
                <w:b/>
                <w:bCs/>
                <w:sz w:val="20"/>
                <w:szCs w:val="20"/>
              </w:rPr>
            </w:pPr>
            <w:r>
              <w:rPr>
                <w:rFonts w:ascii="Arial" w:cs="Arial" w:hAnsi="Arial"/>
                <w:b/>
                <w:bCs/>
                <w:sz w:val="20"/>
                <w:szCs w:val="20"/>
              </w:rPr>
              <w:tab/>
              <w:t>1,256</w:t>
              <w:tab/>
            </w:r>
          </w:p>
        </w:tc>
        <w:tc>
          <w:tcPr>
            <w:tcW w:type="dxa" w:w="123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101"/>
              <w:contextualSpacing w:val="false"/>
              <w:rPr>
                <w:rFonts w:ascii="Arial" w:cs="Arial" w:hAnsi="Arial"/>
                <w:sz w:val="20"/>
                <w:szCs w:val="20"/>
              </w:rPr>
            </w:pPr>
            <w:r>
              <w:rPr>
                <w:rFonts w:ascii="Arial" w:cs="Arial" w:hAnsi="Arial"/>
                <w:sz w:val="20"/>
                <w:szCs w:val="20"/>
              </w:rPr>
              <w:tab/>
              <w:t>1,043</w:t>
              <w:tab/>
            </w:r>
          </w:p>
        </w:tc>
      </w:tr>
      <w:tr>
        <w:trPr>
          <w:cantSplit w:val="false"/>
        </w:trPr>
        <w:tc>
          <w:tcPr>
            <w:tcW w:type="dxa" w:w="82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Less derivative net assets classified as other current assets</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115"/>
              <w:contextualSpacing w:val="false"/>
              <w:rPr>
                <w:rFonts w:ascii="Arial" w:cs="Arial" w:hAnsi="Arial"/>
                <w:b/>
                <w:bCs/>
                <w:sz w:val="20"/>
                <w:szCs w:val="20"/>
              </w:rPr>
            </w:pPr>
            <w:r>
              <w:rPr>
                <w:rFonts w:ascii="Arial" w:cs="Arial" w:hAnsi="Arial"/>
                <w:b/>
                <w:bCs/>
                <w:sz w:val="20"/>
                <w:szCs w:val="20"/>
              </w:rPr>
              <w:tab/>
              <w:t>(213</w:t>
              <w:tab/>
              <w:t>)</w:t>
            </w:r>
          </w:p>
        </w:tc>
        <w:tc>
          <w:tcPr>
            <w:tcW w:type="dxa" w:w="123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101"/>
              <w:contextualSpacing w:val="false"/>
              <w:rPr>
                <w:rFonts w:ascii="Arial" w:cs="Arial" w:hAnsi="Arial"/>
                <w:sz w:val="20"/>
                <w:szCs w:val="20"/>
              </w:rPr>
            </w:pPr>
            <w:r>
              <w:rPr>
                <w:rFonts w:ascii="Arial" w:cs="Arial" w:hAnsi="Arial"/>
                <w:sz w:val="20"/>
                <w:szCs w:val="20"/>
              </w:rPr>
              <w:tab/>
              <w:t>(185</w:t>
              <w:tab/>
              <w:t>)</w:t>
            </w:r>
          </w:p>
        </w:tc>
      </w:tr>
      <w:tr>
        <w:trPr>
          <w:cantSplit w:val="false"/>
        </w:trPr>
        <w:tc>
          <w:tcPr>
            <w:tcW w:type="dxa" w:w="82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115"/>
              <w:contextualSpacing w:val="false"/>
              <w:rPr>
                <w:rFonts w:ascii="Arial" w:cs="Arial" w:hAnsi="Arial"/>
                <w:b/>
                <w:bCs/>
                <w:sz w:val="20"/>
                <w:szCs w:val="20"/>
              </w:rPr>
            </w:pPr>
            <w:r>
              <w:rPr>
                <w:rFonts w:ascii="Arial" w:cs="Arial" w:hAnsi="Arial"/>
                <w:b/>
                <w:bCs/>
                <w:sz w:val="20"/>
                <w:szCs w:val="20"/>
              </w:rPr>
              <w:tab/>
              <w:t>(7</w:t>
              <w:tab/>
              <w:t>)</w:t>
            </w:r>
          </w:p>
        </w:tc>
        <w:tc>
          <w:tcPr>
            <w:tcW w:type="dxa" w:w="123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101"/>
              <w:contextualSpacing w:val="false"/>
              <w:rPr>
                <w:rFonts w:ascii="Arial" w:cs="Arial" w:hAnsi="Arial"/>
                <w:sz w:val="20"/>
                <w:szCs w:val="20"/>
              </w:rPr>
            </w:pPr>
            <w:r>
              <w:rPr>
                <w:rFonts w:ascii="Arial" w:cs="Arial" w:hAnsi="Arial"/>
                <w:sz w:val="20"/>
                <w:szCs w:val="20"/>
              </w:rPr>
              <w:tab/>
              <w:t>3</w:t>
              <w:tab/>
            </w:r>
          </w:p>
        </w:tc>
      </w:tr>
      <w:tr>
        <w:trPr>
          <w:cantSplit w:val="false"/>
        </w:trPr>
        <w:tc>
          <w:tcPr>
            <w:tcW w:type="dxa" w:w="9568"/>
            <w:gridSpan w:val="2"/>
            <w:tcBorders>
              <w:top w:val="nil"/>
              <w:left w:val="nil"/>
              <w:bottom w:val="nil"/>
              <w:right w:val="nil"/>
            </w:tcBorders>
            <w:shd w:fill="auto" w:val="clear"/>
            <w:tcMar>
              <w:left w:type="dxa" w:w="144"/>
            </w:tcMar>
            <w:vAlign w:val="bottom"/>
          </w:tcPr>
          <w:p>
            <w:pPr>
              <w:pStyle w:val="style59"/>
              <w:spacing w:after="0" w:before="20"/>
              <w:ind w:hanging="0" w:left="-216" w:right="115"/>
              <w:contextualSpacing w:val="false"/>
              <w:rPr/>
            </w:pPr>
            <w:r>
              <w:rPr/>
              <w:t> </w:t>
            </w:r>
          </w:p>
        </w:tc>
        <w:tc>
          <w:tcPr>
            <w:tcW w:type="dxa" w:w="1232"/>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r>
      <w:tr>
        <w:trPr>
          <w:cantSplit w:val="false"/>
        </w:trPr>
        <w:tc>
          <w:tcPr>
            <w:tcW w:type="dxa" w:w="827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Recorded basis of investment components</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115"/>
              <w:contextualSpacing w:val="false"/>
              <w:rPr>
                <w:rFonts w:ascii="Arial" w:cs="Arial" w:hAnsi="Arial"/>
                <w:b/>
                <w:bCs/>
                <w:sz w:val="20"/>
                <w:szCs w:val="20"/>
              </w:rPr>
            </w:pPr>
            <w:r>
              <w:rPr>
                <w:rFonts w:ascii="Arial" w:cs="Arial" w:hAnsi="Arial"/>
                <w:b/>
                <w:bCs/>
                <w:sz w:val="20"/>
                <w:szCs w:val="20"/>
              </w:rPr>
              <w:t>$</w:t>
              <w:tab/>
              <w:t>  87,866</w:t>
              <w:tab/>
            </w:r>
          </w:p>
        </w:tc>
        <w:tc>
          <w:tcPr>
            <w:tcW w:type="dxa" w:w="1233"/>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72,816</w:t>
              <w:tab/>
            </w:r>
          </w:p>
        </w:tc>
      </w:tr>
      <w:tr>
        <w:trPr>
          <w:cantSplit w:val="false"/>
        </w:trPr>
        <w:tc>
          <w:tcPr>
            <w:tcW w:type="dxa" w:w="8277"/>
            <w:tcBorders>
              <w:top w:val="nil"/>
              <w:left w:val="nil"/>
              <w:bottom w:val="nil"/>
              <w:right w:val="nil"/>
            </w:tcBorders>
            <w:shd w:fill="auto" w:val="clear"/>
            <w:tcMar>
              <w:left w:type="dxa" w:w="144"/>
            </w:tcMar>
            <w:vAlign w:val="bottom"/>
          </w:tcPr>
          <w:p>
            <w:pPr>
              <w:pStyle w:val="style65"/>
              <w:rPr/>
            </w:pPr>
            <w:r>
              <w:rPr/>
              <w:t> </w:t>
            </w:r>
          </w:p>
        </w:tc>
        <w:tc>
          <w:tcPr>
            <w:tcW w:type="dxa" w:w="1290"/>
            <w:tcBorders>
              <w:top w:val="nil"/>
              <w:left w:val="nil"/>
              <w:bottom w:val="nil"/>
              <w:right w:val="nil"/>
            </w:tcBorders>
            <w:shd w:fill="auto" w:val="clear"/>
            <w:tcMar>
              <w:left w:type="dxa" w:w="144"/>
            </w:tcMar>
            <w:vAlign w:val="bottom"/>
          </w:tcPr>
          <w:p>
            <w:pPr>
              <w:pStyle w:val="style63"/>
              <w:spacing w:after="0" w:before="20"/>
              <w:ind w:hanging="0" w:left="202" w:right="115"/>
              <w:contextualSpacing w:val="false"/>
              <w:rPr/>
            </w:pPr>
            <w:r>
              <w:rPr/>
              <w:t> </w:t>
            </w:r>
          </w:p>
        </w:tc>
        <w:tc>
          <w:tcPr>
            <w:tcW w:type="dxa" w:w="1233"/>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r>
    </w:tbl>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Financial Assets and Liabilities Measured at Fair Value on a Nonrecurring Basis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During fiscal year 2013 and 2012, we did not record any material other-than-temporary impairments on financial assets required to be measured at fair value on a nonrecurring basis.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7 — INVENTORIES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components of inventories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8519"/>
        <w:gridCol w:w="1159"/>
        <w:gridCol w:w="1122"/>
      </w:tblGrid>
      <w:tr>
        <w:trPr>
          <w:tblHeader w:val="true"/>
          <w:cantSplit w:val="false"/>
        </w:trPr>
        <w:tc>
          <w:tcPr>
            <w:tcW w:type="dxa" w:w="8519"/>
            <w:tcBorders>
              <w:top w:val="nil"/>
              <w:left w:val="nil"/>
              <w:bottom w:val="nil"/>
              <w:right w:val="nil"/>
            </w:tcBorders>
            <w:shd w:fill="auto" w:val="clear"/>
            <w:vAlign w:val="center"/>
          </w:tcPr>
          <w:p>
            <w:pPr>
              <w:pStyle w:val="style0"/>
              <w:rPr>
                <w:sz w:val="1"/>
                <w:szCs w:val="24"/>
              </w:rPr>
            </w:pPr>
            <w:r>
              <w:rPr>
                <w:sz w:val="1"/>
                <w:szCs w:val="24"/>
              </w:rPr>
            </w:r>
          </w:p>
        </w:tc>
        <w:tc>
          <w:tcPr>
            <w:tcW w:type="dxa" w:w="1159"/>
            <w:tcBorders>
              <w:top w:val="nil"/>
              <w:left w:val="nil"/>
              <w:bottom w:val="nil"/>
              <w:right w:val="nil"/>
            </w:tcBorders>
            <w:shd w:fill="auto" w:val="clear"/>
            <w:vAlign w:val="center"/>
          </w:tcPr>
          <w:p>
            <w:pPr>
              <w:pStyle w:val="style0"/>
              <w:rPr>
                <w:sz w:val="1"/>
                <w:szCs w:val="24"/>
              </w:rPr>
            </w:pPr>
            <w:r>
              <w:rPr>
                <w:sz w:val="1"/>
                <w:szCs w:val="24"/>
              </w:rPr>
            </w:r>
          </w:p>
        </w:tc>
        <w:tc>
          <w:tcPr>
            <w:tcW w:type="dxa" w:w="112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10800"/>
            <w:gridSpan w:val="3"/>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r>
      <w:tr>
        <w:trPr>
          <w:cantSplit w:val="false"/>
        </w:trPr>
        <w:tc>
          <w:tcPr>
            <w:tcW w:type="dxa" w:w="10800"/>
            <w:gridSpan w:val="3"/>
            <w:tcBorders>
              <w:top w:val="nil"/>
              <w:left w:val="nil"/>
              <w:bottom w:val="nil"/>
              <w:right w:val="nil"/>
            </w:tcBorders>
            <w:shd w:fill="auto" w:val="clear"/>
            <w:tcMar>
              <w:left w:type="dxa" w:w="144"/>
            </w:tcMar>
            <w:vAlign w:val="bottom"/>
          </w:tcPr>
          <w:p>
            <w:pPr>
              <w:pStyle w:val="style59"/>
              <w:spacing w:after="0" w:before="20"/>
              <w:ind w:hanging="0" w:left="-475" w:right="115"/>
              <w:contextualSpacing w:val="false"/>
              <w:rPr/>
            </w:pPr>
            <w:r>
              <w:rPr/>
              <w:t> </w:t>
            </w:r>
          </w:p>
        </w:tc>
      </w:tr>
      <w:tr>
        <w:trPr>
          <w:trHeight w:hRule="atLeast" w:val="75"/>
          <w:cantSplit w:val="false"/>
        </w:trPr>
        <w:tc>
          <w:tcPr>
            <w:tcW w:type="dxa" w:w="8519"/>
            <w:tcBorders>
              <w:top w:val="nil"/>
              <w:left w:val="nil"/>
              <w:bottom w:val="nil"/>
              <w:right w:val="nil"/>
            </w:tcBorders>
            <w:shd w:fill="auto" w:val="clear"/>
            <w:vAlign w:val="center"/>
          </w:tcPr>
          <w:p>
            <w:pPr>
              <w:pStyle w:val="style0"/>
              <w:rPr>
                <w:sz w:val="8"/>
                <w:szCs w:val="24"/>
              </w:rPr>
            </w:pPr>
            <w:r>
              <w:rPr>
                <w:sz w:val="8"/>
                <w:szCs w:val="24"/>
              </w:rPr>
            </w:r>
          </w:p>
        </w:tc>
        <w:tc>
          <w:tcPr>
            <w:tcW w:type="dxa" w:w="1159"/>
            <w:tcBorders>
              <w:top w:val="nil"/>
              <w:left w:val="nil"/>
              <w:bottom w:val="nil"/>
              <w:right w:val="nil"/>
            </w:tcBorders>
            <w:shd w:fill="auto" w:val="clear"/>
            <w:vAlign w:val="center"/>
          </w:tcPr>
          <w:p>
            <w:pPr>
              <w:pStyle w:val="style0"/>
              <w:rPr>
                <w:sz w:val="8"/>
                <w:szCs w:val="24"/>
              </w:rPr>
            </w:pPr>
            <w:r>
              <w:rPr>
                <w:sz w:val="8"/>
                <w:szCs w:val="24"/>
              </w:rPr>
            </w:r>
          </w:p>
        </w:tc>
        <w:tc>
          <w:tcPr>
            <w:tcW w:type="dxa" w:w="1122"/>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851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w:t>
            </w:r>
          </w:p>
        </w:tc>
        <w:tc>
          <w:tcPr>
            <w:tcW w:type="dxa" w:w="1159"/>
            <w:tcBorders>
              <w:top w:val="nil"/>
              <w:left w:val="nil"/>
              <w:bottom w:val="nil"/>
              <w:right w:val="nil"/>
            </w:tcBorders>
            <w:shd w:fill="auto" w:val="clear"/>
            <w:tcMar>
              <w:left w:type="dxa" w:w="144"/>
            </w:tcMar>
            <w:vAlign w:val="bottom"/>
          </w:tcPr>
          <w:p>
            <w:pPr>
              <w:pStyle w:val="style0"/>
              <w:ind w:hanging="0" w:left="202" w:right="77"/>
              <w:jc w:val="right"/>
              <w:rPr>
                <w:rFonts w:ascii="Arial" w:cs="Arial" w:hAnsi="Arial"/>
                <w:b/>
                <w:bCs/>
                <w:sz w:val="15"/>
                <w:szCs w:val="15"/>
              </w:rPr>
            </w:pPr>
            <w:r>
              <w:rPr>
                <w:rFonts w:ascii="Arial" w:cs="Arial" w:hAnsi="Arial"/>
                <w:b/>
                <w:bCs/>
                <w:sz w:val="15"/>
                <w:szCs w:val="15"/>
              </w:rPr>
              <w:t>2013</w:t>
            </w:r>
          </w:p>
        </w:tc>
        <w:tc>
          <w:tcPr>
            <w:tcW w:type="dxa" w:w="1122"/>
            <w:tcBorders>
              <w:top w:val="nil"/>
              <w:left w:val="nil"/>
              <w:bottom w:val="nil"/>
              <w:right w:val="nil"/>
            </w:tcBorders>
            <w:shd w:fill="auto" w:val="clear"/>
            <w:tcMar>
              <w:left w:type="dxa" w:w="144"/>
            </w:tcMar>
            <w:vAlign w:val="bottom"/>
          </w:tcPr>
          <w:p>
            <w:pPr>
              <w:pStyle w:val="style0"/>
              <w:ind w:hanging="0" w:left="202" w:right="72"/>
              <w:jc w:val="right"/>
              <w:rPr>
                <w:rFonts w:ascii="Arial" w:cs="Arial" w:hAnsi="Arial"/>
                <w:b/>
                <w:bCs/>
                <w:sz w:val="15"/>
                <w:szCs w:val="15"/>
              </w:rPr>
            </w:pPr>
            <w:r>
              <w:rPr>
                <w:rFonts w:ascii="Arial" w:cs="Arial" w:hAnsi="Arial"/>
                <w:b/>
                <w:bCs/>
                <w:sz w:val="15"/>
                <w:szCs w:val="15"/>
              </w:rPr>
              <w:t>2012</w:t>
            </w:r>
          </w:p>
        </w:tc>
      </w:tr>
      <w:tr>
        <w:trPr>
          <w:trHeight w:hRule="atLeast" w:val="75"/>
          <w:cantSplit w:val="false"/>
        </w:trPr>
        <w:tc>
          <w:tcPr>
            <w:tcW w:type="dxa" w:w="8519"/>
            <w:tcBorders>
              <w:top w:val="nil"/>
              <w:left w:val="nil"/>
              <w:bottom w:val="nil"/>
              <w:right w:val="nil"/>
            </w:tcBorders>
            <w:shd w:fill="auto" w:val="clear"/>
            <w:vAlign w:val="center"/>
          </w:tcPr>
          <w:p>
            <w:pPr>
              <w:pStyle w:val="style0"/>
              <w:rPr>
                <w:sz w:val="8"/>
                <w:szCs w:val="24"/>
              </w:rPr>
            </w:pPr>
            <w:r>
              <w:rPr>
                <w:sz w:val="8"/>
                <w:szCs w:val="24"/>
              </w:rPr>
            </w:r>
          </w:p>
        </w:tc>
        <w:tc>
          <w:tcPr>
            <w:tcW w:type="dxa" w:w="1159"/>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122"/>
            <w:tcBorders>
              <w:top w:val="nil"/>
              <w:left w:val="nil"/>
              <w:bottom w:val="nil"/>
              <w:right w:val="nil"/>
            </w:tcBorders>
            <w:shd w:fill="auto" w:val="clear"/>
            <w:vAlign w:val="center"/>
          </w:tcPr>
          <w:p>
            <w:pPr>
              <w:pStyle w:val="style0"/>
              <w:ind w:hanging="0" w:left="202" w:right="86"/>
              <w:rPr>
                <w:sz w:val="8"/>
                <w:szCs w:val="24"/>
              </w:rPr>
            </w:pPr>
            <w:r>
              <w:rPr>
                <w:sz w:val="8"/>
                <w:szCs w:val="24"/>
              </w:rPr>
            </w:r>
          </w:p>
        </w:tc>
      </w:tr>
      <w:tr>
        <w:trPr>
          <w:cantSplit w:val="false"/>
        </w:trPr>
        <w:tc>
          <w:tcPr>
            <w:tcW w:type="dxa" w:w="851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Raw materials</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w:t>
              <w:tab/>
              <w:t>328</w:t>
              <w:tab/>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210</w:t>
              <w:tab/>
            </w:r>
          </w:p>
        </w:tc>
      </w:tr>
      <w:tr>
        <w:trPr>
          <w:cantSplit w:val="false"/>
        </w:trPr>
        <w:tc>
          <w:tcPr>
            <w:tcW w:type="dxa" w:w="851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Work in process</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ab/>
              <w:t>201</w:t>
              <w:tab/>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86"/>
              <w:contextualSpacing w:val="false"/>
              <w:rPr>
                <w:rFonts w:ascii="Arial" w:cs="Arial" w:hAnsi="Arial"/>
                <w:sz w:val="20"/>
                <w:szCs w:val="20"/>
              </w:rPr>
            </w:pPr>
            <w:r>
              <w:rPr>
                <w:rFonts w:ascii="Arial" w:cs="Arial" w:hAnsi="Arial"/>
                <w:sz w:val="20"/>
                <w:szCs w:val="20"/>
              </w:rPr>
              <w:tab/>
              <w:t>96</w:t>
              <w:tab/>
            </w:r>
          </w:p>
        </w:tc>
      </w:tr>
      <w:tr>
        <w:trPr>
          <w:cantSplit w:val="false"/>
        </w:trPr>
        <w:tc>
          <w:tcPr>
            <w:tcW w:type="dxa" w:w="851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Finished goods</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ab/>
              <w:t>1,409</w:t>
              <w:tab/>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86"/>
              <w:contextualSpacing w:val="false"/>
              <w:rPr>
                <w:rFonts w:ascii="Arial" w:cs="Arial" w:hAnsi="Arial"/>
                <w:sz w:val="20"/>
                <w:szCs w:val="20"/>
              </w:rPr>
            </w:pPr>
            <w:r>
              <w:rPr>
                <w:rFonts w:ascii="Arial" w:cs="Arial" w:hAnsi="Arial"/>
                <w:sz w:val="20"/>
                <w:szCs w:val="20"/>
              </w:rPr>
              <w:tab/>
              <w:t>831</w:t>
              <w:tab/>
            </w:r>
          </w:p>
        </w:tc>
      </w:tr>
      <w:tr>
        <w:trPr>
          <w:cantSplit w:val="false"/>
        </w:trPr>
        <w:tc>
          <w:tcPr>
            <w:tcW w:type="dxa" w:w="9678"/>
            <w:gridSpan w:val="2"/>
            <w:tcBorders>
              <w:top w:val="nil"/>
              <w:left w:val="nil"/>
              <w:bottom w:val="nil"/>
              <w:right w:val="nil"/>
            </w:tcBorders>
            <w:shd w:fill="auto" w:val="clear"/>
            <w:tcMar>
              <w:left w:type="dxa" w:w="144"/>
            </w:tcMar>
            <w:vAlign w:val="bottom"/>
          </w:tcPr>
          <w:p>
            <w:pPr>
              <w:pStyle w:val="style59"/>
              <w:spacing w:after="0" w:before="20"/>
              <w:ind w:hanging="0" w:left="-475" w:right="86"/>
              <w:contextualSpacing w:val="false"/>
              <w:rPr/>
            </w:pPr>
            <w:r>
              <w:rPr/>
              <w:t> </w:t>
            </w:r>
          </w:p>
        </w:tc>
        <w:tc>
          <w:tcPr>
            <w:tcW w:type="dxa" w:w="1122"/>
            <w:tcBorders>
              <w:top w:val="nil"/>
              <w:left w:val="nil"/>
              <w:bottom w:val="nil"/>
              <w:right w:val="nil"/>
            </w:tcBorders>
            <w:shd w:fill="auto" w:val="clear"/>
            <w:tcMar>
              <w:left w:type="dxa" w:w="144"/>
            </w:tcMar>
            <w:vAlign w:val="bottom"/>
          </w:tcPr>
          <w:p>
            <w:pPr>
              <w:pStyle w:val="style59"/>
              <w:spacing w:after="0" w:before="20"/>
              <w:ind w:hanging="0" w:left="202" w:right="86"/>
              <w:contextualSpacing w:val="false"/>
              <w:rPr/>
            </w:pPr>
            <w:r>
              <w:rPr/>
              <w:t> </w:t>
            </w:r>
          </w:p>
        </w:tc>
      </w:tr>
      <w:tr>
        <w:trPr>
          <w:cantSplit w:val="false"/>
        </w:trPr>
        <w:tc>
          <w:tcPr>
            <w:tcW w:type="dxa" w:w="851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w:t>
              <w:tab/>
              <w:t>  1,938</w:t>
              <w:tab/>
              <w:t> </w:t>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  1,137</w:t>
              <w:tab/>
              <w:t> </w:t>
            </w:r>
          </w:p>
        </w:tc>
      </w:tr>
      <w:tr>
        <w:trPr>
          <w:cantSplit w:val="false"/>
        </w:trPr>
        <w:tc>
          <w:tcPr>
            <w:tcW w:type="dxa" w:w="8519"/>
            <w:tcBorders>
              <w:top w:val="nil"/>
              <w:left w:val="nil"/>
              <w:bottom w:val="nil"/>
              <w:right w:val="nil"/>
            </w:tcBorders>
            <w:shd w:fill="auto" w:val="clear"/>
            <w:tcMar>
              <w:left w:type="dxa" w:w="144"/>
            </w:tcMar>
            <w:vAlign w:val="bottom"/>
          </w:tcPr>
          <w:p>
            <w:pPr>
              <w:pStyle w:val="style65"/>
              <w:rPr/>
            </w:pPr>
            <w:r>
              <w:rPr/>
              <w:t> </w:t>
            </w:r>
          </w:p>
        </w:tc>
        <w:tc>
          <w:tcPr>
            <w:tcW w:type="dxa" w:w="1159"/>
            <w:tcBorders>
              <w:top w:val="nil"/>
              <w:left w:val="nil"/>
              <w:bottom w:val="nil"/>
              <w:right w:val="nil"/>
            </w:tcBorders>
            <w:shd w:fill="auto" w:val="clear"/>
            <w:tcMar>
              <w:left w:type="dxa" w:w="144"/>
            </w:tcMar>
            <w:vAlign w:val="bottom"/>
          </w:tcPr>
          <w:p>
            <w:pPr>
              <w:pStyle w:val="style63"/>
              <w:spacing w:after="0" w:before="20"/>
              <w:ind w:hanging="0" w:left="202" w:right="86"/>
              <w:contextualSpacing w:val="false"/>
              <w:rPr/>
            </w:pPr>
            <w:r>
              <w:rPr/>
              <w:t> </w:t>
            </w:r>
          </w:p>
        </w:tc>
        <w:tc>
          <w:tcPr>
            <w:tcW w:type="dxa" w:w="1122"/>
            <w:tcBorders>
              <w:top w:val="nil"/>
              <w:left w:val="nil"/>
              <w:bottom w:val="nil"/>
              <w:right w:val="nil"/>
            </w:tcBorders>
            <w:shd w:fill="auto" w:val="clear"/>
            <w:tcMar>
              <w:left w:type="dxa" w:w="144"/>
            </w:tcMar>
            <w:vAlign w:val="bottom"/>
          </w:tcPr>
          <w:p>
            <w:pPr>
              <w:pStyle w:val="style63"/>
              <w:spacing w:after="0" w:before="20"/>
              <w:ind w:hanging="0" w:left="202" w:right="86"/>
              <w:contextualSpacing w:val="false"/>
              <w:rPr/>
            </w:pPr>
            <w:r>
              <w:rPr/>
              <w:t> </w:t>
            </w:r>
          </w:p>
        </w:tc>
      </w:tr>
    </w:tbl>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8 — PROPERTY AND EQUIPMENT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components of property and equipment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8157"/>
        <w:gridCol w:w="1350"/>
        <w:gridCol w:w="1293"/>
      </w:tblGrid>
      <w:tr>
        <w:trPr>
          <w:tblHeader w:val="true"/>
          <w:cantSplit w:val="false"/>
        </w:trPr>
        <w:tc>
          <w:tcPr>
            <w:tcW w:type="dxa" w:w="8157"/>
            <w:tcBorders>
              <w:top w:val="nil"/>
              <w:left w:val="nil"/>
              <w:bottom w:val="nil"/>
              <w:right w:val="nil"/>
            </w:tcBorders>
            <w:shd w:fill="auto" w:val="clear"/>
            <w:vAlign w:val="center"/>
          </w:tcPr>
          <w:p>
            <w:pPr>
              <w:pStyle w:val="style0"/>
              <w:rPr>
                <w:sz w:val="1"/>
                <w:szCs w:val="24"/>
              </w:rPr>
            </w:pPr>
            <w:r>
              <w:rPr>
                <w:sz w:val="1"/>
                <w:szCs w:val="24"/>
              </w:rPr>
            </w:r>
          </w:p>
        </w:tc>
        <w:tc>
          <w:tcPr>
            <w:tcW w:type="dxa" w:w="1350"/>
            <w:tcBorders>
              <w:top w:val="nil"/>
              <w:left w:val="nil"/>
              <w:bottom w:val="nil"/>
              <w:right w:val="nil"/>
            </w:tcBorders>
            <w:shd w:fill="auto" w:val="clear"/>
            <w:vAlign w:val="center"/>
          </w:tcPr>
          <w:p>
            <w:pPr>
              <w:pStyle w:val="style0"/>
              <w:rPr>
                <w:sz w:val="1"/>
                <w:szCs w:val="24"/>
              </w:rPr>
            </w:pPr>
            <w:r>
              <w:rPr>
                <w:sz w:val="1"/>
                <w:szCs w:val="24"/>
              </w:rPr>
            </w:r>
          </w:p>
        </w:tc>
        <w:tc>
          <w:tcPr>
            <w:tcW w:type="dxa" w:w="1293"/>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10800"/>
            <w:gridSpan w:val="3"/>
            <w:tcBorders>
              <w:top w:val="nil"/>
              <w:left w:val="nil"/>
              <w:bottom w:val="nil"/>
              <w:right w:val="nil"/>
            </w:tcBorders>
            <w:shd w:fill="auto" w:val="clear"/>
            <w:vAlign w:val="bottom"/>
          </w:tcPr>
          <w:p>
            <w:pPr>
              <w:pStyle w:val="style62"/>
              <w:keepNext/>
              <w:spacing w:after="280" w:before="280"/>
              <w:ind w:hanging="0" w:left="0" w:right="115"/>
              <w:contextualSpacing w:val="false"/>
              <w:rPr>
                <w:rFonts w:ascii="Arial" w:cs="Arial" w:hAnsi="Arial"/>
                <w:b/>
                <w:bCs/>
                <w:sz w:val="15"/>
                <w:szCs w:val="15"/>
              </w:rPr>
            </w:pPr>
            <w:r>
              <w:rPr>
                <w:rFonts w:ascii="Arial" w:cs="Arial" w:hAnsi="Arial"/>
                <w:b/>
                <w:bCs/>
                <w:sz w:val="15"/>
                <w:szCs w:val="15"/>
              </w:rPr>
              <w:t>(In millions)</w:t>
            </w:r>
          </w:p>
        </w:tc>
      </w:tr>
      <w:tr>
        <w:trPr>
          <w:cantSplit w:val="false"/>
        </w:trPr>
        <w:tc>
          <w:tcPr>
            <w:tcW w:type="dxa" w:w="10800"/>
            <w:gridSpan w:val="3"/>
            <w:tcBorders>
              <w:top w:val="nil"/>
              <w:left w:val="nil"/>
              <w:bottom w:val="nil"/>
              <w:right w:val="nil"/>
            </w:tcBorders>
            <w:shd w:fill="auto" w:val="clear"/>
            <w:tcMar>
              <w:left w:type="dxa" w:w="144"/>
            </w:tcMar>
            <w:vAlign w:val="bottom"/>
          </w:tcPr>
          <w:p>
            <w:pPr>
              <w:pStyle w:val="style59"/>
              <w:spacing w:after="0" w:before="20"/>
              <w:ind w:hanging="0" w:left="-189" w:right="115"/>
              <w:contextualSpacing w:val="false"/>
              <w:rPr/>
            </w:pPr>
            <w:r>
              <w:rPr/>
              <w:t> </w:t>
            </w:r>
          </w:p>
        </w:tc>
      </w:tr>
      <w:tr>
        <w:trPr>
          <w:trHeight w:hRule="atLeast" w:val="75"/>
          <w:cantSplit w:val="false"/>
        </w:trPr>
        <w:tc>
          <w:tcPr>
            <w:tcW w:type="dxa" w:w="8157"/>
            <w:tcBorders>
              <w:top w:val="nil"/>
              <w:left w:val="nil"/>
              <w:bottom w:val="nil"/>
              <w:right w:val="nil"/>
            </w:tcBorders>
            <w:shd w:fill="auto" w:val="clear"/>
            <w:vAlign w:val="center"/>
          </w:tcPr>
          <w:p>
            <w:pPr>
              <w:pStyle w:val="style0"/>
              <w:rPr>
                <w:sz w:val="8"/>
                <w:szCs w:val="24"/>
              </w:rPr>
            </w:pPr>
            <w:r>
              <w:rPr>
                <w:sz w:val="8"/>
                <w:szCs w:val="24"/>
              </w:rPr>
            </w:r>
          </w:p>
        </w:tc>
        <w:tc>
          <w:tcPr>
            <w:tcW w:type="dxa" w:w="1350"/>
            <w:tcBorders>
              <w:top w:val="nil"/>
              <w:left w:val="nil"/>
              <w:bottom w:val="nil"/>
              <w:right w:val="nil"/>
            </w:tcBorders>
            <w:shd w:fill="auto" w:val="clear"/>
            <w:vAlign w:val="center"/>
          </w:tcPr>
          <w:p>
            <w:pPr>
              <w:pStyle w:val="style0"/>
              <w:ind w:hanging="0" w:left="216" w:right="115"/>
              <w:rPr>
                <w:sz w:val="8"/>
                <w:szCs w:val="24"/>
              </w:rPr>
            </w:pPr>
            <w:r>
              <w:rPr>
                <w:sz w:val="8"/>
                <w:szCs w:val="24"/>
              </w:rPr>
            </w:r>
          </w:p>
        </w:tc>
        <w:tc>
          <w:tcPr>
            <w:tcW w:type="dxa" w:w="1293"/>
            <w:tcBorders>
              <w:top w:val="nil"/>
              <w:left w:val="nil"/>
              <w:bottom w:val="nil"/>
              <w:right w:val="nil"/>
            </w:tcBorders>
            <w:shd w:fill="auto" w:val="clear"/>
            <w:vAlign w:val="center"/>
          </w:tcPr>
          <w:p>
            <w:pPr>
              <w:pStyle w:val="style0"/>
              <w:ind w:hanging="0" w:left="216" w:right="115"/>
              <w:rPr>
                <w:sz w:val="8"/>
                <w:szCs w:val="24"/>
              </w:rPr>
            </w:pPr>
            <w:r>
              <w:rPr>
                <w:sz w:val="8"/>
                <w:szCs w:val="24"/>
              </w:rPr>
            </w:r>
          </w:p>
        </w:tc>
      </w:tr>
      <w:tr>
        <w:trPr>
          <w:cantSplit w:val="false"/>
        </w:trPr>
        <w:tc>
          <w:tcPr>
            <w:tcW w:type="dxa" w:w="815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w:t>
            </w:r>
          </w:p>
        </w:tc>
        <w:tc>
          <w:tcPr>
            <w:tcW w:type="dxa" w:w="1350"/>
            <w:tcBorders>
              <w:top w:val="nil"/>
              <w:left w:val="nil"/>
              <w:bottom w:val="nil"/>
              <w:right w:val="nil"/>
            </w:tcBorders>
            <w:shd w:fill="auto" w:val="clear"/>
            <w:tcMar>
              <w:left w:type="dxa" w:w="144"/>
            </w:tcMar>
            <w:vAlign w:val="bottom"/>
          </w:tcPr>
          <w:p>
            <w:pPr>
              <w:pStyle w:val="style0"/>
              <w:ind w:hanging="0" w:left="216" w:right="72"/>
              <w:jc w:val="right"/>
              <w:rPr>
                <w:rFonts w:ascii="Arial" w:cs="Arial" w:hAnsi="Arial"/>
                <w:b/>
                <w:bCs/>
                <w:sz w:val="15"/>
                <w:szCs w:val="15"/>
              </w:rPr>
            </w:pPr>
            <w:r>
              <w:rPr>
                <w:rFonts w:ascii="Arial" w:cs="Arial" w:hAnsi="Arial"/>
                <w:b/>
                <w:bCs/>
                <w:sz w:val="15"/>
                <w:szCs w:val="15"/>
              </w:rPr>
              <w:t>2013</w:t>
            </w:r>
          </w:p>
        </w:tc>
        <w:tc>
          <w:tcPr>
            <w:tcW w:type="dxa" w:w="1293"/>
            <w:tcBorders>
              <w:top w:val="nil"/>
              <w:left w:val="nil"/>
              <w:bottom w:val="nil"/>
              <w:right w:val="nil"/>
            </w:tcBorders>
            <w:shd w:fill="auto" w:val="clear"/>
            <w:tcMar>
              <w:left w:type="dxa" w:w="144"/>
            </w:tcMar>
            <w:vAlign w:val="bottom"/>
          </w:tcPr>
          <w:p>
            <w:pPr>
              <w:pStyle w:val="style0"/>
              <w:ind w:hanging="0" w:left="216" w:right="72"/>
              <w:jc w:val="right"/>
              <w:rPr>
                <w:rFonts w:ascii="Arial" w:cs="Arial" w:hAnsi="Arial"/>
                <w:b/>
                <w:bCs/>
                <w:sz w:val="15"/>
                <w:szCs w:val="15"/>
              </w:rPr>
            </w:pPr>
            <w:r>
              <w:rPr>
                <w:rFonts w:ascii="Arial" w:cs="Arial" w:hAnsi="Arial"/>
                <w:b/>
                <w:bCs/>
                <w:sz w:val="15"/>
                <w:szCs w:val="15"/>
              </w:rPr>
              <w:t>2012</w:t>
            </w:r>
          </w:p>
        </w:tc>
      </w:tr>
      <w:tr>
        <w:trPr>
          <w:trHeight w:hRule="atLeast" w:val="75"/>
          <w:cantSplit w:val="false"/>
        </w:trPr>
        <w:tc>
          <w:tcPr>
            <w:tcW w:type="dxa" w:w="8157"/>
            <w:tcBorders>
              <w:top w:val="nil"/>
              <w:left w:val="nil"/>
              <w:bottom w:val="nil"/>
              <w:right w:val="nil"/>
            </w:tcBorders>
            <w:shd w:fill="auto" w:val="clear"/>
            <w:vAlign w:val="center"/>
          </w:tcPr>
          <w:p>
            <w:pPr>
              <w:pStyle w:val="style0"/>
              <w:rPr>
                <w:sz w:val="8"/>
                <w:szCs w:val="24"/>
              </w:rPr>
            </w:pPr>
            <w:r>
              <w:rPr>
                <w:sz w:val="8"/>
                <w:szCs w:val="24"/>
              </w:rPr>
            </w:r>
          </w:p>
        </w:tc>
        <w:tc>
          <w:tcPr>
            <w:tcW w:type="dxa" w:w="1350"/>
            <w:tcBorders>
              <w:top w:val="nil"/>
              <w:left w:val="nil"/>
              <w:bottom w:val="nil"/>
              <w:right w:val="nil"/>
            </w:tcBorders>
            <w:shd w:fill="auto" w:val="clear"/>
            <w:vAlign w:val="center"/>
          </w:tcPr>
          <w:p>
            <w:pPr>
              <w:pStyle w:val="style0"/>
              <w:ind w:hanging="0" w:left="216" w:right="115"/>
              <w:rPr>
                <w:sz w:val="8"/>
                <w:szCs w:val="24"/>
              </w:rPr>
            </w:pPr>
            <w:r>
              <w:rPr>
                <w:sz w:val="8"/>
                <w:szCs w:val="24"/>
              </w:rPr>
            </w:r>
          </w:p>
        </w:tc>
        <w:tc>
          <w:tcPr>
            <w:tcW w:type="dxa" w:w="1293"/>
            <w:tcBorders>
              <w:top w:val="nil"/>
              <w:left w:val="nil"/>
              <w:bottom w:val="nil"/>
              <w:right w:val="nil"/>
            </w:tcBorders>
            <w:shd w:fill="auto" w:val="clear"/>
            <w:vAlign w:val="center"/>
          </w:tcPr>
          <w:p>
            <w:pPr>
              <w:pStyle w:val="style0"/>
              <w:ind w:hanging="0" w:left="216" w:right="115"/>
              <w:rPr>
                <w:sz w:val="8"/>
                <w:szCs w:val="24"/>
              </w:rPr>
            </w:pPr>
            <w:r>
              <w:rPr>
                <w:sz w:val="8"/>
                <w:szCs w:val="24"/>
              </w:rPr>
            </w:r>
          </w:p>
        </w:tc>
      </w:tr>
      <w:tr>
        <w:trPr>
          <w:cantSplit w:val="false"/>
        </w:trPr>
        <w:tc>
          <w:tcPr>
            <w:tcW w:type="dxa" w:w="815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Land</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16" w:right="115"/>
              <w:contextualSpacing w:val="false"/>
              <w:rPr>
                <w:rFonts w:ascii="Arial" w:cs="Arial" w:hAnsi="Arial"/>
                <w:b/>
                <w:bCs/>
                <w:sz w:val="20"/>
                <w:szCs w:val="20"/>
              </w:rPr>
            </w:pPr>
            <w:r>
              <w:rPr>
                <w:rFonts w:ascii="Arial" w:cs="Arial" w:hAnsi="Arial"/>
                <w:b/>
                <w:bCs/>
                <w:sz w:val="20"/>
                <w:szCs w:val="20"/>
              </w:rPr>
              <w:t>$</w:t>
              <w:tab/>
              <w:t>525</w:t>
              <w:tab/>
            </w:r>
          </w:p>
        </w:tc>
        <w:tc>
          <w:tcPr>
            <w:tcW w:type="dxa" w:w="12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15"/>
              <w:contextualSpacing w:val="false"/>
              <w:rPr>
                <w:rFonts w:ascii="Arial" w:cs="Arial" w:hAnsi="Arial"/>
                <w:sz w:val="20"/>
                <w:szCs w:val="20"/>
              </w:rPr>
            </w:pPr>
            <w:r>
              <w:rPr>
                <w:rFonts w:ascii="Arial" w:cs="Arial" w:hAnsi="Arial"/>
                <w:sz w:val="20"/>
                <w:szCs w:val="20"/>
              </w:rPr>
              <w:t>$</w:t>
              <w:tab/>
              <w:t>528</w:t>
              <w:tab/>
            </w:r>
          </w:p>
        </w:tc>
      </w:tr>
      <w:tr>
        <w:trPr>
          <w:cantSplit w:val="false"/>
        </w:trPr>
        <w:tc>
          <w:tcPr>
            <w:tcW w:type="dxa" w:w="815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Buildings and improvements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16" w:right="115"/>
              <w:contextualSpacing w:val="false"/>
              <w:rPr>
                <w:rFonts w:ascii="Arial" w:cs="Arial" w:hAnsi="Arial"/>
                <w:b/>
                <w:bCs/>
                <w:sz w:val="20"/>
                <w:szCs w:val="20"/>
              </w:rPr>
            </w:pPr>
            <w:r>
              <w:rPr>
                <w:rFonts w:ascii="Arial" w:cs="Arial" w:hAnsi="Arial"/>
                <w:b/>
                <w:bCs/>
                <w:sz w:val="20"/>
                <w:szCs w:val="20"/>
              </w:rPr>
              <w:tab/>
              <w:t>7,326</w:t>
              <w:tab/>
            </w:r>
          </w:p>
        </w:tc>
        <w:tc>
          <w:tcPr>
            <w:tcW w:type="dxa" w:w="12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15"/>
              <w:contextualSpacing w:val="false"/>
              <w:rPr>
                <w:rFonts w:ascii="Arial" w:cs="Arial" w:hAnsi="Arial"/>
                <w:sz w:val="20"/>
                <w:szCs w:val="20"/>
              </w:rPr>
            </w:pPr>
            <w:r>
              <w:rPr>
                <w:rFonts w:ascii="Arial" w:cs="Arial" w:hAnsi="Arial"/>
                <w:sz w:val="20"/>
                <w:szCs w:val="20"/>
              </w:rPr>
              <w:tab/>
              <w:t>6,768</w:t>
              <w:tab/>
            </w:r>
          </w:p>
        </w:tc>
      </w:tr>
      <w:tr>
        <w:trPr>
          <w:cantSplit w:val="false"/>
        </w:trPr>
        <w:tc>
          <w:tcPr>
            <w:tcW w:type="dxa" w:w="815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Leasehold improvements</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16" w:right="115"/>
              <w:contextualSpacing w:val="false"/>
              <w:rPr>
                <w:rFonts w:ascii="Arial" w:cs="Arial" w:hAnsi="Arial"/>
                <w:b/>
                <w:bCs/>
                <w:sz w:val="20"/>
                <w:szCs w:val="20"/>
              </w:rPr>
            </w:pPr>
            <w:r>
              <w:rPr>
                <w:rFonts w:ascii="Arial" w:cs="Arial" w:hAnsi="Arial"/>
                <w:b/>
                <w:bCs/>
                <w:sz w:val="20"/>
                <w:szCs w:val="20"/>
              </w:rPr>
              <w:tab/>
              <w:t>2,946</w:t>
              <w:tab/>
            </w:r>
          </w:p>
        </w:tc>
        <w:tc>
          <w:tcPr>
            <w:tcW w:type="dxa" w:w="12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15"/>
              <w:contextualSpacing w:val="false"/>
              <w:rPr>
                <w:rFonts w:ascii="Arial" w:cs="Arial" w:hAnsi="Arial"/>
                <w:sz w:val="20"/>
                <w:szCs w:val="20"/>
              </w:rPr>
            </w:pPr>
            <w:r>
              <w:rPr>
                <w:rFonts w:ascii="Arial" w:cs="Arial" w:hAnsi="Arial"/>
                <w:sz w:val="20"/>
                <w:szCs w:val="20"/>
              </w:rPr>
              <w:tab/>
              <w:t>2,550</w:t>
              <w:tab/>
            </w:r>
          </w:p>
        </w:tc>
      </w:tr>
      <w:tr>
        <w:trPr>
          <w:cantSplit w:val="false"/>
        </w:trPr>
        <w:tc>
          <w:tcPr>
            <w:tcW w:type="dxa" w:w="815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Computer equipment and software</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16" w:right="115"/>
              <w:contextualSpacing w:val="false"/>
              <w:rPr>
                <w:rFonts w:ascii="Arial" w:cs="Arial" w:hAnsi="Arial"/>
                <w:b/>
                <w:bCs/>
                <w:sz w:val="20"/>
                <w:szCs w:val="20"/>
              </w:rPr>
            </w:pPr>
            <w:r>
              <w:rPr>
                <w:rFonts w:ascii="Arial" w:cs="Arial" w:hAnsi="Arial"/>
                <w:b/>
                <w:bCs/>
                <w:sz w:val="20"/>
                <w:szCs w:val="20"/>
              </w:rPr>
              <w:tab/>
              <w:t>9,242</w:t>
              <w:tab/>
            </w:r>
          </w:p>
        </w:tc>
        <w:tc>
          <w:tcPr>
            <w:tcW w:type="dxa" w:w="12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15"/>
              <w:contextualSpacing w:val="false"/>
              <w:rPr>
                <w:rFonts w:ascii="Arial" w:cs="Arial" w:hAnsi="Arial"/>
                <w:sz w:val="20"/>
                <w:szCs w:val="20"/>
              </w:rPr>
            </w:pPr>
            <w:r>
              <w:rPr>
                <w:rFonts w:ascii="Arial" w:cs="Arial" w:hAnsi="Arial"/>
                <w:sz w:val="20"/>
                <w:szCs w:val="20"/>
              </w:rPr>
              <w:tab/>
              <w:t>7,298</w:t>
              <w:tab/>
            </w:r>
          </w:p>
        </w:tc>
      </w:tr>
      <w:tr>
        <w:trPr>
          <w:cantSplit w:val="false"/>
        </w:trPr>
        <w:tc>
          <w:tcPr>
            <w:tcW w:type="dxa" w:w="815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Furniture and equipment</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16" w:right="115"/>
              <w:contextualSpacing w:val="false"/>
              <w:rPr>
                <w:rFonts w:ascii="Arial" w:cs="Arial" w:hAnsi="Arial"/>
                <w:b/>
                <w:bCs/>
                <w:sz w:val="20"/>
                <w:szCs w:val="20"/>
              </w:rPr>
            </w:pPr>
            <w:r>
              <w:rPr>
                <w:rFonts w:ascii="Arial" w:cs="Arial" w:hAnsi="Arial"/>
                <w:b/>
                <w:bCs/>
                <w:sz w:val="20"/>
                <w:szCs w:val="20"/>
              </w:rPr>
              <w:tab/>
              <w:t>2,465</w:t>
              <w:tab/>
            </w:r>
          </w:p>
        </w:tc>
        <w:tc>
          <w:tcPr>
            <w:tcW w:type="dxa" w:w="12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15"/>
              <w:contextualSpacing w:val="false"/>
              <w:rPr>
                <w:rFonts w:ascii="Arial" w:cs="Arial" w:hAnsi="Arial"/>
                <w:sz w:val="20"/>
                <w:szCs w:val="20"/>
              </w:rPr>
            </w:pPr>
            <w:r>
              <w:rPr>
                <w:rFonts w:ascii="Arial" w:cs="Arial" w:hAnsi="Arial"/>
                <w:sz w:val="20"/>
                <w:szCs w:val="20"/>
              </w:rPr>
              <w:tab/>
              <w:t>2,087</w:t>
              <w:tab/>
            </w:r>
          </w:p>
        </w:tc>
      </w:tr>
      <w:tr>
        <w:trPr>
          <w:cantSplit w:val="false"/>
        </w:trPr>
        <w:tc>
          <w:tcPr>
            <w:tcW w:type="dxa" w:w="9508"/>
            <w:gridSpan w:val="2"/>
            <w:tcBorders>
              <w:top w:val="nil"/>
              <w:left w:val="nil"/>
              <w:bottom w:val="nil"/>
              <w:right w:val="nil"/>
            </w:tcBorders>
            <w:shd w:fill="auto" w:val="clear"/>
            <w:tcMar>
              <w:left w:type="dxa" w:w="144"/>
            </w:tcMar>
            <w:vAlign w:val="bottom"/>
          </w:tcPr>
          <w:p>
            <w:pPr>
              <w:pStyle w:val="style59"/>
              <w:spacing w:after="0" w:before="20"/>
              <w:ind w:hanging="0" w:left="-189" w:right="115"/>
              <w:contextualSpacing w:val="false"/>
              <w:rPr/>
            </w:pPr>
            <w:r>
              <w:rPr/>
              <w:t> </w:t>
            </w:r>
          </w:p>
        </w:tc>
        <w:tc>
          <w:tcPr>
            <w:tcW w:type="dxa" w:w="1292"/>
            <w:tcBorders>
              <w:top w:val="nil"/>
              <w:left w:val="nil"/>
              <w:bottom w:val="nil"/>
              <w:right w:val="nil"/>
            </w:tcBorders>
            <w:shd w:fill="auto" w:val="clear"/>
            <w:tcMar>
              <w:left w:type="dxa" w:w="144"/>
            </w:tcMar>
            <w:vAlign w:val="bottom"/>
          </w:tcPr>
          <w:p>
            <w:pPr>
              <w:pStyle w:val="style59"/>
              <w:spacing w:after="0" w:before="20"/>
              <w:ind w:hanging="0" w:left="216" w:right="115"/>
              <w:contextualSpacing w:val="false"/>
              <w:rPr/>
            </w:pPr>
            <w:r>
              <w:rPr/>
              <w:t> </w:t>
            </w:r>
          </w:p>
        </w:tc>
      </w:tr>
      <w:tr>
        <w:trPr>
          <w:cantSplit w:val="false"/>
        </w:trPr>
        <w:tc>
          <w:tcPr>
            <w:tcW w:type="dxa" w:w="815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 at cost</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16" w:right="115"/>
              <w:contextualSpacing w:val="false"/>
              <w:rPr>
                <w:rFonts w:ascii="Arial" w:cs="Arial" w:hAnsi="Arial"/>
                <w:b/>
                <w:bCs/>
                <w:sz w:val="20"/>
                <w:szCs w:val="20"/>
              </w:rPr>
            </w:pPr>
            <w:r>
              <w:rPr>
                <w:rFonts w:ascii="Arial" w:cs="Arial" w:hAnsi="Arial"/>
                <w:b/>
                <w:bCs/>
                <w:sz w:val="20"/>
                <w:szCs w:val="20"/>
              </w:rPr>
              <w:tab/>
              <w:t>   22,504</w:t>
              <w:tab/>
            </w:r>
          </w:p>
        </w:tc>
        <w:tc>
          <w:tcPr>
            <w:tcW w:type="dxa" w:w="12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15"/>
              <w:contextualSpacing w:val="false"/>
              <w:rPr>
                <w:rFonts w:ascii="Arial" w:cs="Arial" w:hAnsi="Arial"/>
                <w:sz w:val="20"/>
                <w:szCs w:val="20"/>
              </w:rPr>
            </w:pPr>
            <w:r>
              <w:rPr>
                <w:rFonts w:ascii="Arial" w:cs="Arial" w:hAnsi="Arial"/>
                <w:sz w:val="20"/>
                <w:szCs w:val="20"/>
              </w:rPr>
              <w:tab/>
              <w:t>   19,231</w:t>
              <w:tab/>
            </w:r>
          </w:p>
        </w:tc>
      </w:tr>
      <w:tr>
        <w:trPr>
          <w:cantSplit w:val="false"/>
        </w:trPr>
        <w:tc>
          <w:tcPr>
            <w:tcW w:type="dxa" w:w="815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Accumulated depreciation</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16" w:right="115"/>
              <w:contextualSpacing w:val="false"/>
              <w:rPr>
                <w:rFonts w:ascii="Arial" w:cs="Arial" w:hAnsi="Arial"/>
                <w:b/>
                <w:bCs/>
                <w:sz w:val="20"/>
                <w:szCs w:val="20"/>
              </w:rPr>
            </w:pPr>
            <w:r>
              <w:rPr>
                <w:rFonts w:ascii="Arial" w:cs="Arial" w:hAnsi="Arial"/>
                <w:b/>
                <w:bCs/>
                <w:sz w:val="20"/>
                <w:szCs w:val="20"/>
              </w:rPr>
              <w:tab/>
              <w:t>(12,513</w:t>
              <w:tab/>
              <w:t>)</w:t>
            </w:r>
          </w:p>
        </w:tc>
        <w:tc>
          <w:tcPr>
            <w:tcW w:type="dxa" w:w="12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15"/>
              <w:contextualSpacing w:val="false"/>
              <w:rPr>
                <w:rFonts w:ascii="Arial" w:cs="Arial" w:hAnsi="Arial"/>
                <w:sz w:val="20"/>
                <w:szCs w:val="20"/>
              </w:rPr>
            </w:pPr>
            <w:r>
              <w:rPr>
                <w:rFonts w:ascii="Arial" w:cs="Arial" w:hAnsi="Arial"/>
                <w:sz w:val="20"/>
                <w:szCs w:val="20"/>
              </w:rPr>
              <w:tab/>
              <w:t>(10,962</w:t>
              <w:tab/>
              <w:t>)</w:t>
            </w:r>
          </w:p>
        </w:tc>
      </w:tr>
      <w:tr>
        <w:trPr>
          <w:cantSplit w:val="false"/>
        </w:trPr>
        <w:tc>
          <w:tcPr>
            <w:tcW w:type="dxa" w:w="9508"/>
            <w:gridSpan w:val="2"/>
            <w:tcBorders>
              <w:top w:val="nil"/>
              <w:left w:val="nil"/>
              <w:bottom w:val="nil"/>
              <w:right w:val="nil"/>
            </w:tcBorders>
            <w:shd w:fill="auto" w:val="clear"/>
            <w:tcMar>
              <w:left w:type="dxa" w:w="144"/>
            </w:tcMar>
            <w:vAlign w:val="bottom"/>
          </w:tcPr>
          <w:p>
            <w:pPr>
              <w:pStyle w:val="style59"/>
              <w:spacing w:after="0" w:before="20"/>
              <w:ind w:hanging="0" w:left="-171" w:right="115"/>
              <w:contextualSpacing w:val="false"/>
              <w:rPr/>
            </w:pPr>
            <w:r>
              <w:rPr/>
              <w:t> </w:t>
            </w:r>
          </w:p>
        </w:tc>
        <w:tc>
          <w:tcPr>
            <w:tcW w:type="dxa" w:w="1292"/>
            <w:tcBorders>
              <w:top w:val="nil"/>
              <w:left w:val="nil"/>
              <w:bottom w:val="nil"/>
              <w:right w:val="nil"/>
            </w:tcBorders>
            <w:shd w:fill="auto" w:val="clear"/>
            <w:tcMar>
              <w:left w:type="dxa" w:w="144"/>
            </w:tcMar>
            <w:vAlign w:val="bottom"/>
          </w:tcPr>
          <w:p>
            <w:pPr>
              <w:pStyle w:val="style59"/>
              <w:spacing w:after="0" w:before="20"/>
              <w:ind w:hanging="0" w:left="216" w:right="115"/>
              <w:contextualSpacing w:val="false"/>
              <w:rPr/>
            </w:pPr>
            <w:r>
              <w:rPr/>
              <w:t> </w:t>
            </w:r>
          </w:p>
        </w:tc>
      </w:tr>
      <w:tr>
        <w:trPr>
          <w:cantSplit w:val="false"/>
        </w:trPr>
        <w:tc>
          <w:tcPr>
            <w:tcW w:type="dxa" w:w="815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 net</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16" w:right="115"/>
              <w:contextualSpacing w:val="false"/>
              <w:rPr>
                <w:rFonts w:ascii="Arial" w:cs="Arial" w:hAnsi="Arial"/>
                <w:b/>
                <w:bCs/>
                <w:sz w:val="20"/>
                <w:szCs w:val="20"/>
              </w:rPr>
            </w:pPr>
            <w:r>
              <w:rPr>
                <w:rFonts w:ascii="Arial" w:cs="Arial" w:hAnsi="Arial"/>
                <w:b/>
                <w:bCs/>
                <w:sz w:val="20"/>
                <w:szCs w:val="20"/>
              </w:rPr>
              <w:t>$</w:t>
              <w:tab/>
              <w:t>9,991</w:t>
              <w:tab/>
            </w:r>
          </w:p>
        </w:tc>
        <w:tc>
          <w:tcPr>
            <w:tcW w:type="dxa" w:w="1293"/>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15"/>
              <w:contextualSpacing w:val="false"/>
              <w:rPr>
                <w:rFonts w:ascii="Arial" w:cs="Arial" w:hAnsi="Arial"/>
                <w:sz w:val="20"/>
                <w:szCs w:val="20"/>
              </w:rPr>
            </w:pPr>
            <w:r>
              <w:rPr>
                <w:rFonts w:ascii="Arial" w:cs="Arial" w:hAnsi="Arial"/>
                <w:sz w:val="20"/>
                <w:szCs w:val="20"/>
              </w:rPr>
              <w:t>$</w:t>
              <w:tab/>
              <w:t>8,269</w:t>
              <w:tab/>
            </w:r>
          </w:p>
        </w:tc>
      </w:tr>
      <w:tr>
        <w:trPr>
          <w:cantSplit w:val="false"/>
        </w:trPr>
        <w:tc>
          <w:tcPr>
            <w:tcW w:type="dxa" w:w="8157"/>
            <w:tcBorders>
              <w:top w:val="nil"/>
              <w:left w:val="nil"/>
              <w:bottom w:val="nil"/>
              <w:right w:val="nil"/>
            </w:tcBorders>
            <w:shd w:fill="auto" w:val="clear"/>
            <w:tcMar>
              <w:left w:type="dxa" w:w="144"/>
            </w:tcMar>
            <w:vAlign w:val="bottom"/>
          </w:tcPr>
          <w:p>
            <w:pPr>
              <w:pStyle w:val="style65"/>
              <w:rPr/>
            </w:pPr>
            <w:r>
              <w:rPr/>
              <w:t> </w:t>
            </w:r>
          </w:p>
        </w:tc>
        <w:tc>
          <w:tcPr>
            <w:tcW w:type="dxa" w:w="1350"/>
            <w:tcBorders>
              <w:top w:val="nil"/>
              <w:left w:val="nil"/>
              <w:bottom w:val="nil"/>
              <w:right w:val="nil"/>
            </w:tcBorders>
            <w:shd w:fill="auto" w:val="clear"/>
            <w:tcMar>
              <w:left w:type="dxa" w:w="144"/>
            </w:tcMar>
            <w:vAlign w:val="bottom"/>
          </w:tcPr>
          <w:p>
            <w:pPr>
              <w:pStyle w:val="style63"/>
              <w:spacing w:after="0" w:before="20"/>
              <w:ind w:hanging="0" w:left="216" w:right="115"/>
              <w:contextualSpacing w:val="false"/>
              <w:rPr/>
            </w:pPr>
            <w:r>
              <w:rPr/>
              <w:t> </w:t>
            </w:r>
          </w:p>
        </w:tc>
        <w:tc>
          <w:tcPr>
            <w:tcW w:type="dxa" w:w="1293"/>
            <w:tcBorders>
              <w:top w:val="nil"/>
              <w:left w:val="nil"/>
              <w:bottom w:val="nil"/>
              <w:right w:val="nil"/>
            </w:tcBorders>
            <w:shd w:fill="auto" w:val="clear"/>
            <w:tcMar>
              <w:left w:type="dxa" w:w="144"/>
            </w:tcMar>
            <w:vAlign w:val="bottom"/>
          </w:tcPr>
          <w:p>
            <w:pPr>
              <w:pStyle w:val="style63"/>
              <w:spacing w:after="0" w:before="20"/>
              <w:ind w:hanging="0" w:left="216" w:right="115"/>
              <w:contextualSpacing w:val="false"/>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During fiscal years 2013, 2012, and 2011, depreciation expense was $2.6 billion, $2.2 billion, and $2.0 billion, respectively.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9 — BUSINESS COMBINATIONS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Yammer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On July 18, 2012, we acquired Yammer, Inc. (“Yammer”), a leading provider of enterprise social networks, for $1.1 billion in cash. Yammer will continue to develop its standalone service and will add an enterprise social networking service to Microsoft’s portfolio of complementary cloud-based services. The major classes of assets to which we allocated the purchase price were goodwill of $937 million and identifiable intangible assets of $178 million. We assigned the goodwill to the Microsoft Business Division. Yammer was consolidated into our results of operations starting on the acquisition date.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Skype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On October 13, 2011, we acquired all of the issued and outstanding shares of Skype Global S.á r.l. (“Skype”), a leading global provider of software applications and related Internet communications products based in Luxembourg, for $8.6 billion, primarily in cash. The major classes of assets and liabilities to which we allocated the purchase price were goodwill of $7.1 billion, identifiable intangible assets of $1.6 billion, and unearned revenue of $222 million. The goodwill recognized in connection with the acquisition is primarily attributable to our expectation of extending Skype’s brand and the reach of its networked platform, while enhancing Microsoft’s existing portfolio of real-time communications products and services. We assigned the goodwill to the following segments: $4.2 billion to Entertainment and Devices Division, $2.8 billion to Microsoft Business Division, and $54 million to Online Services Division. Skype was consolidated into our results of operations starting on the acquisition date.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Following are the details of the purchase price allocated to the intangible assets acquired: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8315"/>
        <w:gridCol w:w="1120"/>
        <w:gridCol w:w="1366"/>
      </w:tblGrid>
      <w:tr>
        <w:trPr>
          <w:tblHeader w:val="true"/>
          <w:cantSplit w:val="false"/>
        </w:trPr>
        <w:tc>
          <w:tcPr>
            <w:tcW w:type="dxa" w:w="8315"/>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366"/>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831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120"/>
            <w:tcBorders>
              <w:top w:val="nil"/>
              <w:left w:val="nil"/>
              <w:bottom w:val="nil"/>
              <w:right w:val="nil"/>
            </w:tcBorders>
            <w:shd w:fill="auto" w:val="clear"/>
            <w:tcMar>
              <w:left w:type="dxa" w:w="144"/>
            </w:tcMar>
            <w:vAlign w:val="bottom"/>
          </w:tcPr>
          <w:p>
            <w:pPr>
              <w:pStyle w:val="style65"/>
              <w:rPr/>
            </w:pPr>
            <w:r>
              <w:rPr/>
              <w:t> </w:t>
            </w:r>
          </w:p>
        </w:tc>
        <w:tc>
          <w:tcPr>
            <w:tcW w:type="dxa" w:w="1366"/>
            <w:tcBorders>
              <w:top w:val="nil"/>
              <w:left w:val="nil"/>
              <w:bottom w:val="nil"/>
              <w:right w:val="nil"/>
            </w:tcBorders>
            <w:shd w:fill="auto" w:val="clear"/>
            <w:tcMar>
              <w:left w:type="dxa" w:w="144"/>
            </w:tcMar>
            <w:vAlign w:val="bottom"/>
          </w:tcPr>
          <w:p>
            <w:pPr>
              <w:pStyle w:val="style0"/>
              <w:jc w:val="right"/>
              <w:rPr>
                <w:rFonts w:ascii="Arial" w:cs="Arial" w:hAnsi="Arial"/>
                <w:b/>
                <w:bCs/>
                <w:sz w:val="15"/>
                <w:szCs w:val="15"/>
              </w:rPr>
            </w:pPr>
            <w:r>
              <w:rPr>
                <w:rFonts w:ascii="Arial" w:cs="Arial" w:hAnsi="Arial"/>
                <w:b/>
                <w:bCs/>
                <w:sz w:val="15"/>
                <w:szCs w:val="15"/>
              </w:rPr>
              <w:t>Weighted</w:t>
              <w:br/>
              <w:t>Average Life</w:t>
            </w:r>
          </w:p>
        </w:tc>
      </w:tr>
      <w:tr>
        <w:trPr>
          <w:cantSplit w:val="false"/>
        </w:trPr>
        <w:tc>
          <w:tcPr>
            <w:tcW w:type="dxa" w:w="10801"/>
            <w:gridSpan w:val="3"/>
            <w:tcBorders>
              <w:top w:val="nil"/>
              <w:left w:val="nil"/>
              <w:bottom w:val="nil"/>
              <w:right w:val="nil"/>
            </w:tcBorders>
            <w:shd w:fill="auto" w:val="clear"/>
            <w:tcMar>
              <w:left w:type="dxa" w:w="144"/>
            </w:tcMar>
            <w:vAlign w:val="bottom"/>
          </w:tcPr>
          <w:p>
            <w:pPr>
              <w:pStyle w:val="style59"/>
              <w:spacing w:after="0" w:before="20"/>
              <w:ind w:hanging="0" w:left="-522" w:right="0"/>
              <w:contextualSpacing w:val="false"/>
              <w:rPr/>
            </w:pPr>
            <w:r>
              <w:rPr/>
              <w:t> </w:t>
            </w:r>
          </w:p>
        </w:tc>
      </w:tr>
      <w:tr>
        <w:trPr>
          <w:trHeight w:hRule="atLeast" w:val="75"/>
          <w:cantSplit w:val="false"/>
        </w:trPr>
        <w:tc>
          <w:tcPr>
            <w:tcW w:type="dxa" w:w="8315"/>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366"/>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8315"/>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Marketing-related (trade names)</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  1,249</w:t>
              <w:tab/>
              <w:t> </w:t>
            </w:r>
          </w:p>
        </w:tc>
        <w:tc>
          <w:tcPr>
            <w:tcW w:type="dxa" w:w="1366"/>
            <w:tcBorders>
              <w:top w:val="nil"/>
              <w:left w:val="nil"/>
              <w:bottom w:val="nil"/>
              <w:right w:val="nil"/>
            </w:tcBorders>
            <w:shd w:fill="auto" w:val="clear"/>
            <w:tcMar>
              <w:left w:type="dxa" w:w="144"/>
            </w:tcMar>
            <w:vAlign w:val="bottom"/>
          </w:tcPr>
          <w:p>
            <w:pPr>
              <w:pStyle w:val="style62"/>
              <w:tabs>
                <w:tab w:leader="none" w:pos="1202" w:val="right"/>
                <w:tab w:leader="none" w:pos="1355" w:val="decimal"/>
              </w:tabs>
              <w:spacing w:after="280" w:before="280"/>
              <w:contextualSpacing w:val="false"/>
              <w:rPr>
                <w:rFonts w:ascii="Arial" w:cs="Arial" w:hAnsi="Arial"/>
                <w:sz w:val="20"/>
                <w:szCs w:val="20"/>
              </w:rPr>
            </w:pPr>
            <w:r>
              <w:rPr>
                <w:rFonts w:ascii="Arial" w:cs="Arial" w:hAnsi="Arial"/>
                <w:sz w:val="20"/>
                <w:szCs w:val="20"/>
              </w:rPr>
              <w:tab/>
              <w:t>15 years</w:t>
              <w:tab/>
            </w:r>
          </w:p>
        </w:tc>
      </w:tr>
      <w:tr>
        <w:trPr>
          <w:cantSplit w:val="false"/>
        </w:trPr>
        <w:tc>
          <w:tcPr>
            <w:tcW w:type="dxa" w:w="83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Technology-based</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ab/>
              <w:t>275</w:t>
              <w:tab/>
            </w:r>
          </w:p>
        </w:tc>
        <w:tc>
          <w:tcPr>
            <w:tcW w:type="dxa" w:w="1366"/>
            <w:tcBorders>
              <w:top w:val="nil"/>
              <w:left w:val="nil"/>
              <w:bottom w:val="nil"/>
              <w:right w:val="nil"/>
            </w:tcBorders>
            <w:shd w:fill="auto" w:val="clear"/>
            <w:tcMar>
              <w:left w:type="dxa" w:w="144"/>
            </w:tcMar>
            <w:vAlign w:val="bottom"/>
          </w:tcPr>
          <w:p>
            <w:pPr>
              <w:pStyle w:val="style62"/>
              <w:tabs>
                <w:tab w:leader="none" w:pos="1202" w:val="right"/>
                <w:tab w:leader="none" w:pos="1355" w:val="decimal"/>
              </w:tabs>
              <w:spacing w:after="280" w:before="280"/>
              <w:contextualSpacing w:val="false"/>
              <w:rPr>
                <w:rFonts w:ascii="Arial" w:cs="Arial" w:hAnsi="Arial"/>
                <w:sz w:val="20"/>
                <w:szCs w:val="20"/>
              </w:rPr>
            </w:pPr>
            <w:r>
              <w:rPr>
                <w:rFonts w:ascii="Arial" w:cs="Arial" w:hAnsi="Arial"/>
                <w:sz w:val="20"/>
                <w:szCs w:val="20"/>
              </w:rPr>
              <w:tab/>
              <w:t>5 years</w:t>
              <w:tab/>
            </w:r>
          </w:p>
        </w:tc>
      </w:tr>
      <w:tr>
        <w:trPr>
          <w:cantSplit w:val="false"/>
        </w:trPr>
        <w:tc>
          <w:tcPr>
            <w:tcW w:type="dxa" w:w="83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Customer-related</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ab/>
              <w:t>114</w:t>
              <w:tab/>
            </w:r>
          </w:p>
        </w:tc>
        <w:tc>
          <w:tcPr>
            <w:tcW w:type="dxa" w:w="1366"/>
            <w:tcBorders>
              <w:top w:val="nil"/>
              <w:left w:val="nil"/>
              <w:bottom w:val="nil"/>
              <w:right w:val="nil"/>
            </w:tcBorders>
            <w:shd w:fill="auto" w:val="clear"/>
            <w:tcMar>
              <w:left w:type="dxa" w:w="144"/>
            </w:tcMar>
            <w:vAlign w:val="bottom"/>
          </w:tcPr>
          <w:p>
            <w:pPr>
              <w:pStyle w:val="style62"/>
              <w:tabs>
                <w:tab w:leader="none" w:pos="1202" w:val="right"/>
                <w:tab w:leader="none" w:pos="1355" w:val="decimal"/>
              </w:tabs>
              <w:spacing w:after="280" w:before="280"/>
              <w:contextualSpacing w:val="false"/>
              <w:rPr>
                <w:rFonts w:ascii="Arial" w:cs="Arial" w:hAnsi="Arial"/>
                <w:sz w:val="20"/>
                <w:szCs w:val="20"/>
              </w:rPr>
            </w:pPr>
            <w:r>
              <w:rPr>
                <w:rFonts w:ascii="Arial" w:cs="Arial" w:hAnsi="Arial"/>
                <w:sz w:val="20"/>
                <w:szCs w:val="20"/>
              </w:rPr>
              <w:tab/>
              <w:t>5 years</w:t>
              <w:tab/>
            </w:r>
          </w:p>
        </w:tc>
      </w:tr>
      <w:tr>
        <w:trPr>
          <w:cantSplit w:val="false"/>
        </w:trPr>
        <w:tc>
          <w:tcPr>
            <w:tcW w:type="dxa" w:w="83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Contract-based</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ab/>
              <w:t>10</w:t>
              <w:tab/>
            </w:r>
          </w:p>
        </w:tc>
        <w:tc>
          <w:tcPr>
            <w:tcW w:type="dxa" w:w="1366"/>
            <w:tcBorders>
              <w:top w:val="nil"/>
              <w:left w:val="nil"/>
              <w:bottom w:val="nil"/>
              <w:right w:val="nil"/>
            </w:tcBorders>
            <w:shd w:fill="auto" w:val="clear"/>
            <w:tcMar>
              <w:left w:type="dxa" w:w="144"/>
            </w:tcMar>
            <w:vAlign w:val="bottom"/>
          </w:tcPr>
          <w:p>
            <w:pPr>
              <w:pStyle w:val="style62"/>
              <w:tabs>
                <w:tab w:leader="none" w:pos="1202" w:val="right"/>
                <w:tab w:leader="none" w:pos="1355" w:val="decimal"/>
              </w:tabs>
              <w:spacing w:after="280" w:before="280"/>
              <w:contextualSpacing w:val="false"/>
              <w:rPr>
                <w:rFonts w:ascii="Arial" w:cs="Arial" w:hAnsi="Arial"/>
                <w:sz w:val="20"/>
                <w:szCs w:val="20"/>
              </w:rPr>
            </w:pPr>
            <w:r>
              <w:rPr>
                <w:rFonts w:ascii="Arial" w:cs="Arial" w:hAnsi="Arial"/>
                <w:sz w:val="20"/>
                <w:szCs w:val="20"/>
              </w:rPr>
              <w:tab/>
              <w:t>4 years</w:t>
              <w:tab/>
            </w:r>
          </w:p>
        </w:tc>
      </w:tr>
      <w:tr>
        <w:trPr>
          <w:cantSplit w:val="false"/>
        </w:trPr>
        <w:tc>
          <w:tcPr>
            <w:tcW w:type="dxa" w:w="9436"/>
            <w:gridSpan w:val="2"/>
            <w:tcBorders>
              <w:top w:val="nil"/>
              <w:left w:val="nil"/>
              <w:bottom w:val="nil"/>
              <w:right w:val="nil"/>
            </w:tcBorders>
            <w:shd w:fill="auto" w:val="clear"/>
            <w:tcMar>
              <w:left w:type="dxa" w:w="144"/>
            </w:tcMar>
            <w:vAlign w:val="bottom"/>
          </w:tcPr>
          <w:p>
            <w:pPr>
              <w:pStyle w:val="style59"/>
              <w:spacing w:after="0" w:before="20"/>
              <w:ind w:hanging="0" w:left="-522" w:right="101"/>
              <w:contextualSpacing w:val="false"/>
              <w:rPr/>
            </w:pPr>
            <w:r>
              <w:rPr/>
              <w:t> </w:t>
            </w:r>
          </w:p>
        </w:tc>
        <w:tc>
          <w:tcPr>
            <w:tcW w:type="dxa" w:w="1365"/>
            <w:tcBorders>
              <w:top w:val="nil"/>
              <w:left w:val="nil"/>
              <w:bottom w:val="nil"/>
              <w:right w:val="nil"/>
            </w:tcBorders>
            <w:shd w:fill="auto" w:val="clear"/>
            <w:tcMar>
              <w:left w:type="dxa" w:w="144"/>
            </w:tcMar>
            <w:vAlign w:val="bottom"/>
          </w:tcPr>
          <w:p>
            <w:pPr>
              <w:pStyle w:val="style65"/>
              <w:tabs>
                <w:tab w:leader="none" w:pos="1202" w:val="right"/>
                <w:tab w:leader="none" w:pos="1355" w:val="decimal"/>
              </w:tabs>
              <w:rPr/>
            </w:pPr>
            <w:r>
              <w:rPr/>
              <w:t> </w:t>
            </w:r>
          </w:p>
        </w:tc>
      </w:tr>
      <w:tr>
        <w:trPr>
          <w:cantSplit w:val="false"/>
        </w:trPr>
        <w:tc>
          <w:tcPr>
            <w:tcW w:type="dxa" w:w="8315"/>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1,648</w:t>
              <w:tab/>
            </w:r>
          </w:p>
        </w:tc>
        <w:tc>
          <w:tcPr>
            <w:tcW w:type="dxa" w:w="1366"/>
            <w:tcBorders>
              <w:top w:val="nil"/>
              <w:left w:val="nil"/>
              <w:bottom w:val="nil"/>
              <w:right w:val="nil"/>
            </w:tcBorders>
            <w:shd w:fill="auto" w:val="clear"/>
            <w:tcMar>
              <w:left w:type="dxa" w:w="144"/>
            </w:tcMar>
            <w:vAlign w:val="bottom"/>
          </w:tcPr>
          <w:p>
            <w:pPr>
              <w:pStyle w:val="style62"/>
              <w:tabs>
                <w:tab w:leader="none" w:pos="1202" w:val="right"/>
                <w:tab w:leader="none" w:pos="1355" w:val="decimal"/>
              </w:tabs>
              <w:spacing w:after="280" w:before="280"/>
              <w:contextualSpacing w:val="false"/>
              <w:rPr>
                <w:rFonts w:ascii="Arial" w:cs="Arial" w:hAnsi="Arial"/>
                <w:sz w:val="20"/>
                <w:szCs w:val="20"/>
              </w:rPr>
            </w:pPr>
            <w:r>
              <w:rPr>
                <w:rFonts w:ascii="Arial" w:cs="Arial" w:hAnsi="Arial"/>
                <w:sz w:val="20"/>
                <w:szCs w:val="20"/>
              </w:rPr>
              <w:tab/>
              <w:t>13 years</w:t>
              <w:tab/>
            </w:r>
          </w:p>
        </w:tc>
      </w:tr>
      <w:tr>
        <w:trPr>
          <w:cantSplit w:val="false"/>
        </w:trPr>
        <w:tc>
          <w:tcPr>
            <w:tcW w:type="dxa" w:w="8315"/>
            <w:tcBorders>
              <w:top w:val="nil"/>
              <w:left w:val="nil"/>
              <w:bottom w:val="nil"/>
              <w:right w:val="nil"/>
            </w:tcBorders>
            <w:shd w:fill="auto" w:val="clear"/>
            <w:tcMar>
              <w:left w:type="dxa" w:w="144"/>
            </w:tcMar>
            <w:vAlign w:val="bottom"/>
          </w:tcPr>
          <w:p>
            <w:pPr>
              <w:pStyle w:val="style65"/>
              <w:rPr/>
            </w:pPr>
            <w:r>
              <w:rPr/>
              <w:t> </w:t>
            </w:r>
          </w:p>
        </w:tc>
        <w:tc>
          <w:tcPr>
            <w:tcW w:type="dxa" w:w="1120"/>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c>
          <w:tcPr>
            <w:tcW w:type="dxa" w:w="1366"/>
            <w:tcBorders>
              <w:top w:val="nil"/>
              <w:left w:val="nil"/>
              <w:bottom w:val="nil"/>
              <w:right w:val="nil"/>
            </w:tcBorders>
            <w:shd w:fill="auto" w:val="clear"/>
            <w:tcMar>
              <w:left w:type="dxa" w:w="144"/>
            </w:tcMar>
            <w:vAlign w:val="bottom"/>
          </w:tcPr>
          <w:p>
            <w:pPr>
              <w:pStyle w:val="style65"/>
              <w:rPr/>
            </w:pPr>
            <w:r>
              <w:rPr/>
              <w:t> </w:t>
            </w:r>
          </w:p>
        </w:tc>
      </w:tr>
    </w:tbl>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Other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During fiscal year 2013, we completed 11 additional acquisitions for total consideration of $437 million, all of which was paid in cash. These entities have been included in our consolidated results of operations since their respective acquisition dates.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Pro forma results of operations have not been presented because the effects of the business combinations described in this Note, individually and in aggregate, were not material to our consolidated results of operations.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10 — GOODWILL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Changes in the carrying amount of goodwill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2177"/>
        <w:gridCol w:w="1259"/>
        <w:gridCol w:w="1340"/>
        <w:gridCol w:w="1190"/>
        <w:gridCol w:w="1259"/>
        <w:gridCol w:w="1340"/>
        <w:gridCol w:w="950"/>
        <w:gridCol w:w="1284"/>
      </w:tblGrid>
      <w:tr>
        <w:trPr>
          <w:tblHeader w:val="true"/>
          <w:cantSplit w:val="false"/>
        </w:trPr>
        <w:tc>
          <w:tcPr>
            <w:tcW w:type="dxa" w:w="2177"/>
            <w:tcBorders>
              <w:top w:val="nil"/>
              <w:left w:val="nil"/>
              <w:bottom w:val="nil"/>
              <w:right w:val="nil"/>
            </w:tcBorders>
            <w:shd w:fill="auto" w:val="clear"/>
            <w:vAlign w:val="center"/>
          </w:tcPr>
          <w:p>
            <w:pPr>
              <w:pStyle w:val="style0"/>
              <w:rPr>
                <w:sz w:val="1"/>
                <w:szCs w:val="24"/>
              </w:rPr>
            </w:pPr>
            <w:r>
              <w:rPr>
                <w:sz w:val="1"/>
                <w:szCs w:val="24"/>
              </w:rPr>
            </w:r>
          </w:p>
        </w:tc>
        <w:tc>
          <w:tcPr>
            <w:tcW w:type="dxa" w:w="1259"/>
            <w:tcBorders>
              <w:top w:val="nil"/>
              <w:left w:val="nil"/>
              <w:bottom w:val="nil"/>
              <w:right w:val="nil"/>
            </w:tcBorders>
            <w:shd w:fill="auto" w:val="clear"/>
            <w:vAlign w:val="center"/>
          </w:tcPr>
          <w:p>
            <w:pPr>
              <w:pStyle w:val="style0"/>
              <w:rPr>
                <w:sz w:val="1"/>
                <w:szCs w:val="24"/>
              </w:rPr>
            </w:pPr>
            <w:r>
              <w:rPr>
                <w:sz w:val="1"/>
                <w:szCs w:val="24"/>
              </w:rPr>
            </w:r>
          </w:p>
        </w:tc>
        <w:tc>
          <w:tcPr>
            <w:tcW w:type="dxa" w:w="1340"/>
            <w:tcBorders>
              <w:top w:val="nil"/>
              <w:left w:val="nil"/>
              <w:bottom w:val="nil"/>
              <w:right w:val="nil"/>
            </w:tcBorders>
            <w:shd w:fill="auto" w:val="clear"/>
            <w:vAlign w:val="center"/>
          </w:tcPr>
          <w:p>
            <w:pPr>
              <w:pStyle w:val="style0"/>
              <w:rPr>
                <w:sz w:val="1"/>
                <w:szCs w:val="24"/>
              </w:rPr>
            </w:pPr>
            <w:r>
              <w:rPr>
                <w:sz w:val="1"/>
                <w:szCs w:val="24"/>
              </w:rPr>
            </w:r>
          </w:p>
        </w:tc>
        <w:tc>
          <w:tcPr>
            <w:tcW w:type="dxa" w:w="1190"/>
            <w:tcBorders>
              <w:top w:val="nil"/>
              <w:left w:val="nil"/>
              <w:bottom w:val="nil"/>
              <w:right w:val="nil"/>
            </w:tcBorders>
            <w:shd w:fill="auto" w:val="clear"/>
            <w:vAlign w:val="center"/>
          </w:tcPr>
          <w:p>
            <w:pPr>
              <w:pStyle w:val="style0"/>
              <w:rPr>
                <w:sz w:val="1"/>
                <w:szCs w:val="24"/>
              </w:rPr>
            </w:pPr>
            <w:r>
              <w:rPr>
                <w:sz w:val="1"/>
                <w:szCs w:val="24"/>
              </w:rPr>
            </w:r>
          </w:p>
        </w:tc>
        <w:tc>
          <w:tcPr>
            <w:tcW w:type="dxa" w:w="1259"/>
            <w:tcBorders>
              <w:top w:val="nil"/>
              <w:left w:val="nil"/>
              <w:bottom w:val="nil"/>
              <w:right w:val="nil"/>
            </w:tcBorders>
            <w:shd w:fill="auto" w:val="clear"/>
            <w:vAlign w:val="center"/>
          </w:tcPr>
          <w:p>
            <w:pPr>
              <w:pStyle w:val="style0"/>
              <w:rPr>
                <w:sz w:val="1"/>
                <w:szCs w:val="24"/>
              </w:rPr>
            </w:pPr>
            <w:r>
              <w:rPr>
                <w:sz w:val="1"/>
                <w:szCs w:val="24"/>
              </w:rPr>
            </w:r>
          </w:p>
        </w:tc>
        <w:tc>
          <w:tcPr>
            <w:tcW w:type="dxa" w:w="1340"/>
            <w:tcBorders>
              <w:top w:val="nil"/>
              <w:left w:val="nil"/>
              <w:bottom w:val="nil"/>
              <w:right w:val="nil"/>
            </w:tcBorders>
            <w:shd w:fill="auto" w:val="clear"/>
            <w:vAlign w:val="center"/>
          </w:tcPr>
          <w:p>
            <w:pPr>
              <w:pStyle w:val="style0"/>
              <w:rPr>
                <w:sz w:val="1"/>
                <w:szCs w:val="24"/>
              </w:rPr>
            </w:pPr>
            <w:r>
              <w:rPr>
                <w:sz w:val="1"/>
                <w:szCs w:val="24"/>
              </w:rPr>
            </w:r>
          </w:p>
        </w:tc>
        <w:tc>
          <w:tcPr>
            <w:tcW w:type="dxa" w:w="950"/>
            <w:tcBorders>
              <w:top w:val="nil"/>
              <w:left w:val="nil"/>
              <w:bottom w:val="nil"/>
              <w:right w:val="nil"/>
            </w:tcBorders>
            <w:shd w:fill="auto" w:val="clear"/>
            <w:vAlign w:val="center"/>
          </w:tcPr>
          <w:p>
            <w:pPr>
              <w:pStyle w:val="style0"/>
              <w:rPr>
                <w:sz w:val="1"/>
                <w:szCs w:val="24"/>
              </w:rPr>
            </w:pPr>
            <w:r>
              <w:rPr>
                <w:sz w:val="1"/>
                <w:szCs w:val="24"/>
              </w:rPr>
            </w:r>
          </w:p>
        </w:tc>
        <w:tc>
          <w:tcPr>
            <w:tcW w:type="dxa" w:w="1284"/>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217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59"/>
            <w:tcBorders>
              <w:top w:val="nil"/>
              <w:left w:val="nil"/>
              <w:bottom w:val="nil"/>
              <w:right w:val="nil"/>
            </w:tcBorders>
            <w:shd w:fill="auto" w:val="clear"/>
            <w:tcMar>
              <w:left w:type="dxa" w:w="144"/>
            </w:tcMar>
            <w:vAlign w:val="bottom"/>
          </w:tcPr>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Balance as</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of June 30,</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2011</w:t>
            </w:r>
          </w:p>
        </w:tc>
        <w:tc>
          <w:tcPr>
            <w:tcW w:type="dxa" w:w="134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Acquisitions</w:t>
            </w:r>
          </w:p>
        </w:tc>
        <w:tc>
          <w:tcPr>
            <w:tcW w:type="dxa" w:w="119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Other</w:t>
            </w:r>
          </w:p>
        </w:tc>
        <w:tc>
          <w:tcPr>
            <w:tcW w:type="dxa" w:w="1259"/>
            <w:tcBorders>
              <w:top w:val="nil"/>
              <w:left w:val="nil"/>
              <w:bottom w:val="nil"/>
              <w:right w:val="nil"/>
            </w:tcBorders>
            <w:shd w:fill="auto" w:val="clear"/>
            <w:tcMar>
              <w:left w:type="dxa" w:w="144"/>
            </w:tcMar>
            <w:vAlign w:val="bottom"/>
          </w:tcPr>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Balance as</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of June 30,</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2012</w:t>
            </w:r>
          </w:p>
        </w:tc>
        <w:tc>
          <w:tcPr>
            <w:tcW w:type="dxa" w:w="134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Acquisitions</w:t>
            </w:r>
          </w:p>
        </w:tc>
        <w:tc>
          <w:tcPr>
            <w:tcW w:type="dxa" w:w="95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Other</w:t>
            </w:r>
          </w:p>
        </w:tc>
        <w:tc>
          <w:tcPr>
            <w:tcW w:type="dxa" w:w="1284"/>
            <w:tcBorders>
              <w:top w:val="nil"/>
              <w:left w:val="nil"/>
              <w:bottom w:val="nil"/>
              <w:right w:val="nil"/>
            </w:tcBorders>
            <w:shd w:fill="auto" w:val="clear"/>
            <w:tcMar>
              <w:left w:type="dxa" w:w="144"/>
            </w:tcMar>
            <w:vAlign w:val="bottom"/>
          </w:tcPr>
          <w:p>
            <w:pPr>
              <w:pStyle w:val="style62"/>
              <w:spacing w:after="280" w:before="280"/>
              <w:ind w:hanging="0" w:left="0" w:right="79"/>
              <w:contextualSpacing w:val="false"/>
              <w:jc w:val="right"/>
              <w:rPr>
                <w:rFonts w:ascii="Arial" w:cs="Arial" w:hAnsi="Arial"/>
                <w:b/>
                <w:bCs/>
                <w:sz w:val="15"/>
                <w:szCs w:val="15"/>
              </w:rPr>
            </w:pPr>
            <w:r>
              <w:rPr>
                <w:rFonts w:ascii="Arial" w:cs="Arial" w:hAnsi="Arial"/>
                <w:b/>
                <w:bCs/>
                <w:sz w:val="15"/>
                <w:szCs w:val="15"/>
              </w:rPr>
              <w:t>Balance as</w:t>
            </w:r>
          </w:p>
          <w:p>
            <w:pPr>
              <w:pStyle w:val="style62"/>
              <w:spacing w:after="280" w:before="280"/>
              <w:ind w:hanging="0" w:left="0" w:right="79"/>
              <w:contextualSpacing w:val="false"/>
              <w:jc w:val="right"/>
              <w:rPr>
                <w:rFonts w:ascii="Arial" w:cs="Arial" w:hAnsi="Arial"/>
                <w:b/>
                <w:bCs/>
                <w:sz w:val="15"/>
                <w:szCs w:val="15"/>
              </w:rPr>
            </w:pPr>
            <w:r>
              <w:rPr>
                <w:rFonts w:ascii="Arial" w:cs="Arial" w:hAnsi="Arial"/>
                <w:b/>
                <w:bCs/>
                <w:sz w:val="15"/>
                <w:szCs w:val="15"/>
              </w:rPr>
              <w:t>of June 30,</w:t>
            </w:r>
          </w:p>
          <w:p>
            <w:pPr>
              <w:pStyle w:val="style62"/>
              <w:spacing w:after="280" w:before="280"/>
              <w:ind w:hanging="0" w:left="0" w:right="79"/>
              <w:contextualSpacing w:val="false"/>
              <w:jc w:val="right"/>
              <w:rPr>
                <w:rFonts w:ascii="Arial" w:cs="Arial" w:hAnsi="Arial"/>
                <w:b/>
                <w:bCs/>
                <w:sz w:val="15"/>
                <w:szCs w:val="15"/>
              </w:rPr>
            </w:pPr>
            <w:r>
              <w:rPr>
                <w:rFonts w:ascii="Arial" w:cs="Arial" w:hAnsi="Arial"/>
                <w:b/>
                <w:bCs/>
                <w:sz w:val="15"/>
                <w:szCs w:val="15"/>
              </w:rPr>
              <w:t>2013</w:t>
            </w:r>
          </w:p>
        </w:tc>
      </w:tr>
      <w:tr>
        <w:trPr>
          <w:cantSplit w:val="false"/>
        </w:trPr>
        <w:tc>
          <w:tcPr>
            <w:tcW w:type="dxa" w:w="10799"/>
            <w:gridSpan w:val="8"/>
            <w:tcBorders>
              <w:top w:val="nil"/>
              <w:left w:val="nil"/>
              <w:bottom w:val="nil"/>
              <w:right w:val="nil"/>
            </w:tcBorders>
            <w:shd w:fill="auto" w:val="clear"/>
            <w:tcMar>
              <w:left w:type="dxa" w:w="144"/>
            </w:tcMar>
            <w:vAlign w:val="bottom"/>
          </w:tcPr>
          <w:p>
            <w:pPr>
              <w:pStyle w:val="style59"/>
              <w:spacing w:after="0" w:before="20"/>
              <w:ind w:hanging="0" w:left="-486" w:right="101"/>
              <w:contextualSpacing w:val="false"/>
              <w:rPr/>
            </w:pPr>
            <w:r>
              <w:rPr/>
              <w:t> </w:t>
            </w:r>
          </w:p>
        </w:tc>
      </w:tr>
      <w:tr>
        <w:trPr>
          <w:trHeight w:hRule="atLeast" w:val="75"/>
          <w:cantSplit w:val="false"/>
        </w:trPr>
        <w:tc>
          <w:tcPr>
            <w:tcW w:type="dxa" w:w="2177"/>
            <w:tcBorders>
              <w:top w:val="nil"/>
              <w:left w:val="nil"/>
              <w:bottom w:val="nil"/>
              <w:right w:val="nil"/>
            </w:tcBorders>
            <w:shd w:fill="auto" w:val="clear"/>
            <w:vAlign w:val="center"/>
          </w:tcPr>
          <w:p>
            <w:pPr>
              <w:pStyle w:val="style0"/>
              <w:rPr>
                <w:sz w:val="8"/>
                <w:szCs w:val="24"/>
              </w:rPr>
            </w:pPr>
            <w:r>
              <w:rPr>
                <w:sz w:val="8"/>
                <w:szCs w:val="24"/>
              </w:rPr>
            </w:r>
          </w:p>
        </w:tc>
        <w:tc>
          <w:tcPr>
            <w:tcW w:type="dxa" w:w="1259"/>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34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19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259"/>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34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95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284"/>
            <w:tcBorders>
              <w:top w:val="nil"/>
              <w:left w:val="nil"/>
              <w:bottom w:val="nil"/>
              <w:right w:val="nil"/>
            </w:tcBorders>
            <w:shd w:fill="auto" w:val="clear"/>
            <w:vAlign w:val="center"/>
          </w:tcPr>
          <w:p>
            <w:pPr>
              <w:pStyle w:val="style0"/>
              <w:ind w:hanging="0" w:left="0" w:right="101"/>
              <w:rPr>
                <w:sz w:val="8"/>
                <w:szCs w:val="24"/>
              </w:rPr>
            </w:pPr>
            <w:r>
              <w:rPr>
                <w:sz w:val="8"/>
                <w:szCs w:val="24"/>
              </w:rPr>
            </w:r>
          </w:p>
        </w:tc>
      </w:tr>
      <w:tr>
        <w:trPr>
          <w:cantSplit w:val="false"/>
        </w:trPr>
        <w:tc>
          <w:tcPr>
            <w:tcW w:type="dxa" w:w="2177"/>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Windows Division</w:t>
            </w:r>
          </w:p>
        </w:tc>
        <w:tc>
          <w:tcPr>
            <w:tcW w:type="dxa" w:w="1259"/>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45" w:right="101"/>
              <w:contextualSpacing w:val="false"/>
              <w:rPr>
                <w:rFonts w:ascii="Arial" w:cs="Arial" w:hAnsi="Arial"/>
                <w:sz w:val="20"/>
                <w:szCs w:val="20"/>
              </w:rPr>
            </w:pPr>
            <w:r>
              <w:rPr>
                <w:rFonts w:ascii="Arial" w:cs="Arial" w:hAnsi="Arial"/>
                <w:sz w:val="20"/>
                <w:szCs w:val="20"/>
              </w:rPr>
              <w:t>$</w:t>
              <w:tab/>
              <w:t>89</w:t>
              <w:tab/>
              <w:t> </w:t>
            </w:r>
          </w:p>
        </w:tc>
        <w:tc>
          <w:tcPr>
            <w:tcW w:type="dxa" w:w="134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0</w:t>
              <w:tab/>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45" w:right="101"/>
              <w:contextualSpacing w:val="false"/>
              <w:rPr>
                <w:rFonts w:ascii="Arial" w:cs="Arial" w:hAnsi="Arial"/>
                <w:sz w:val="20"/>
                <w:szCs w:val="20"/>
              </w:rPr>
            </w:pPr>
            <w:r>
              <w:rPr>
                <w:rFonts w:ascii="Arial" w:cs="Arial" w:hAnsi="Arial"/>
                <w:sz w:val="20"/>
                <w:szCs w:val="20"/>
              </w:rPr>
              <w:t>$</w:t>
              <w:tab/>
              <w:t>0</w:t>
              <w:tab/>
            </w:r>
          </w:p>
        </w:tc>
        <w:tc>
          <w:tcPr>
            <w:tcW w:type="dxa" w:w="1259"/>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45" w:right="101"/>
              <w:contextualSpacing w:val="false"/>
              <w:rPr>
                <w:rFonts w:ascii="Arial" w:cs="Arial" w:hAnsi="Arial"/>
                <w:sz w:val="20"/>
                <w:szCs w:val="20"/>
              </w:rPr>
            </w:pPr>
            <w:r>
              <w:rPr>
                <w:rFonts w:ascii="Arial" w:cs="Arial" w:hAnsi="Arial"/>
                <w:sz w:val="20"/>
                <w:szCs w:val="20"/>
              </w:rPr>
              <w:t>$</w:t>
              <w:tab/>
              <w:t>89</w:t>
              <w:tab/>
              <w:t> </w:t>
            </w:r>
          </w:p>
        </w:tc>
        <w:tc>
          <w:tcPr>
            <w:tcW w:type="dxa" w:w="134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360" w:right="86"/>
              <w:contextualSpacing w:val="false"/>
              <w:rPr>
                <w:rFonts w:ascii="Arial" w:cs="Arial" w:hAnsi="Arial"/>
                <w:b/>
                <w:bCs/>
                <w:sz w:val="20"/>
                <w:szCs w:val="20"/>
              </w:rPr>
            </w:pPr>
            <w:r>
              <w:rPr>
                <w:rFonts w:ascii="Arial" w:cs="Arial" w:hAnsi="Arial"/>
                <w:b/>
                <w:bCs/>
                <w:sz w:val="20"/>
                <w:szCs w:val="20"/>
              </w:rPr>
              <w:t>$</w:t>
              <w:tab/>
              <w:t>12</w:t>
              <w:tab/>
              <w:t> </w:t>
            </w:r>
          </w:p>
        </w:tc>
        <w:tc>
          <w:tcPr>
            <w:tcW w:type="dxa" w:w="950"/>
            <w:tcBorders>
              <w:top w:val="nil"/>
              <w:left w:val="nil"/>
              <w:bottom w:val="nil"/>
              <w:right w:val="nil"/>
            </w:tcBorders>
            <w:shd w:fill="auto" w:val="clear"/>
            <w:tcMar>
              <w:left w:type="dxa" w:w="144"/>
            </w:tcMar>
            <w:vAlign w:val="bottom"/>
          </w:tcPr>
          <w:p>
            <w:pPr>
              <w:pStyle w:val="style62"/>
              <w:tabs>
                <w:tab w:leader="none" w:pos="740" w:val="right"/>
                <w:tab w:leader="none" w:pos="78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w:t>
              <w:tab/>
              <w:t>0</w:t>
              <w:tab/>
            </w:r>
          </w:p>
        </w:tc>
        <w:tc>
          <w:tcPr>
            <w:tcW w:type="dxa" w:w="1284"/>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101"/>
              <w:contextualSpacing w:val="false"/>
              <w:rPr>
                <w:rFonts w:ascii="Arial" w:cs="Arial" w:hAnsi="Arial"/>
                <w:b/>
                <w:bCs/>
                <w:sz w:val="20"/>
                <w:szCs w:val="20"/>
              </w:rPr>
            </w:pPr>
            <w:r>
              <w:rPr>
                <w:rFonts w:ascii="Arial" w:cs="Arial" w:hAnsi="Arial"/>
                <w:b/>
                <w:bCs/>
                <w:sz w:val="20"/>
                <w:szCs w:val="20"/>
              </w:rPr>
              <w:t>$</w:t>
              <w:tab/>
              <w:t>101</w:t>
              <w:tab/>
              <w:t> </w:t>
            </w:r>
          </w:p>
        </w:tc>
      </w:tr>
      <w:tr>
        <w:trPr>
          <w:cantSplit w:val="false"/>
        </w:trPr>
        <w:tc>
          <w:tcPr>
            <w:tcW w:type="dxa" w:w="21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Server and Tools</w:t>
            </w:r>
          </w:p>
        </w:tc>
        <w:tc>
          <w:tcPr>
            <w:tcW w:type="dxa" w:w="1259"/>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45" w:right="101"/>
              <w:contextualSpacing w:val="false"/>
              <w:rPr>
                <w:rFonts w:ascii="Arial" w:cs="Arial" w:hAnsi="Arial"/>
                <w:sz w:val="20"/>
                <w:szCs w:val="20"/>
              </w:rPr>
            </w:pPr>
            <w:r>
              <w:rPr>
                <w:rFonts w:ascii="Arial" w:cs="Arial" w:hAnsi="Arial"/>
                <w:sz w:val="20"/>
                <w:szCs w:val="20"/>
              </w:rPr>
              <w:tab/>
              <w:t>1,139</w:t>
              <w:tab/>
            </w:r>
          </w:p>
        </w:tc>
        <w:tc>
          <w:tcPr>
            <w:tcW w:type="dxa" w:w="134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360" w:right="101"/>
              <w:contextualSpacing w:val="false"/>
              <w:rPr>
                <w:rFonts w:ascii="Arial" w:cs="Arial" w:hAnsi="Arial"/>
                <w:sz w:val="20"/>
                <w:szCs w:val="20"/>
              </w:rPr>
            </w:pPr>
            <w:r>
              <w:rPr>
                <w:rFonts w:ascii="Arial" w:cs="Arial" w:hAnsi="Arial"/>
                <w:sz w:val="20"/>
                <w:szCs w:val="20"/>
              </w:rPr>
              <w:tab/>
              <w:t>7</w:t>
              <w:tab/>
              <w:t> </w:t>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45" w:right="101"/>
              <w:contextualSpacing w:val="false"/>
              <w:rPr>
                <w:rFonts w:ascii="Arial" w:cs="Arial" w:hAnsi="Arial"/>
                <w:sz w:val="20"/>
                <w:szCs w:val="20"/>
              </w:rPr>
            </w:pPr>
            <w:r>
              <w:rPr>
                <w:rFonts w:ascii="Arial" w:cs="Arial" w:hAnsi="Arial"/>
                <w:sz w:val="20"/>
                <w:szCs w:val="20"/>
              </w:rPr>
              <w:tab/>
              <w:t>(2</w:t>
              <w:tab/>
              <w:t>)</w:t>
            </w:r>
          </w:p>
        </w:tc>
        <w:tc>
          <w:tcPr>
            <w:tcW w:type="dxa" w:w="1259"/>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45" w:right="101"/>
              <w:contextualSpacing w:val="false"/>
              <w:rPr>
                <w:rFonts w:ascii="Arial" w:cs="Arial" w:hAnsi="Arial"/>
                <w:sz w:val="20"/>
                <w:szCs w:val="20"/>
              </w:rPr>
            </w:pPr>
            <w:r>
              <w:rPr>
                <w:rFonts w:ascii="Arial" w:cs="Arial" w:hAnsi="Arial"/>
                <w:sz w:val="20"/>
                <w:szCs w:val="20"/>
              </w:rPr>
              <w:tab/>
              <w:t>1,144</w:t>
              <w:tab/>
            </w:r>
          </w:p>
        </w:tc>
        <w:tc>
          <w:tcPr>
            <w:tcW w:type="dxa" w:w="134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360" w:right="86"/>
              <w:contextualSpacing w:val="false"/>
              <w:rPr>
                <w:rFonts w:ascii="Arial" w:cs="Arial" w:hAnsi="Arial"/>
                <w:b/>
                <w:bCs/>
                <w:sz w:val="20"/>
                <w:szCs w:val="20"/>
              </w:rPr>
            </w:pPr>
            <w:r>
              <w:rPr>
                <w:rFonts w:ascii="Arial" w:cs="Arial" w:hAnsi="Arial"/>
                <w:b/>
                <w:bCs/>
                <w:sz w:val="20"/>
                <w:szCs w:val="20"/>
              </w:rPr>
              <w:tab/>
              <w:t>217</w:t>
              <w:tab/>
            </w:r>
          </w:p>
        </w:tc>
        <w:tc>
          <w:tcPr>
            <w:tcW w:type="dxa" w:w="950"/>
            <w:tcBorders>
              <w:top w:val="nil"/>
              <w:left w:val="nil"/>
              <w:bottom w:val="nil"/>
              <w:right w:val="nil"/>
            </w:tcBorders>
            <w:shd w:fill="auto" w:val="clear"/>
            <w:tcMar>
              <w:left w:type="dxa" w:w="144"/>
            </w:tcMar>
            <w:vAlign w:val="bottom"/>
          </w:tcPr>
          <w:p>
            <w:pPr>
              <w:pStyle w:val="style62"/>
              <w:tabs>
                <w:tab w:leader="none" w:pos="740" w:val="right"/>
                <w:tab w:leader="none" w:pos="78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(3</w:t>
              <w:tab/>
              <w:t>)</w:t>
            </w:r>
          </w:p>
        </w:tc>
        <w:tc>
          <w:tcPr>
            <w:tcW w:type="dxa" w:w="1284"/>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101"/>
              <w:contextualSpacing w:val="false"/>
              <w:rPr>
                <w:rFonts w:ascii="Arial" w:cs="Arial" w:hAnsi="Arial"/>
                <w:b/>
                <w:bCs/>
                <w:sz w:val="20"/>
                <w:szCs w:val="20"/>
              </w:rPr>
            </w:pPr>
            <w:r>
              <w:rPr>
                <w:rFonts w:ascii="Arial" w:cs="Arial" w:hAnsi="Arial"/>
                <w:b/>
                <w:bCs/>
                <w:sz w:val="20"/>
                <w:szCs w:val="20"/>
              </w:rPr>
              <w:tab/>
              <w:t>1,358</w:t>
              <w:tab/>
            </w:r>
          </w:p>
        </w:tc>
      </w:tr>
      <w:tr>
        <w:trPr>
          <w:cantSplit w:val="false"/>
        </w:trPr>
        <w:tc>
          <w:tcPr>
            <w:tcW w:type="dxa" w:w="21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Online Services Division</w:t>
            </w:r>
          </w:p>
        </w:tc>
        <w:tc>
          <w:tcPr>
            <w:tcW w:type="dxa" w:w="1259"/>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45" w:right="101"/>
              <w:contextualSpacing w:val="false"/>
              <w:rPr>
                <w:rFonts w:ascii="Arial" w:cs="Arial" w:hAnsi="Arial"/>
                <w:sz w:val="20"/>
                <w:szCs w:val="20"/>
              </w:rPr>
            </w:pPr>
            <w:r>
              <w:rPr>
                <w:rFonts w:ascii="Arial" w:cs="Arial" w:hAnsi="Arial"/>
                <w:sz w:val="20"/>
                <w:szCs w:val="20"/>
              </w:rPr>
              <w:tab/>
              <w:t>6,373</w:t>
              <w:tab/>
            </w:r>
          </w:p>
        </w:tc>
        <w:tc>
          <w:tcPr>
            <w:tcW w:type="dxa" w:w="134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360" w:right="101"/>
              <w:contextualSpacing w:val="false"/>
              <w:rPr>
                <w:rFonts w:ascii="Arial" w:cs="Arial" w:hAnsi="Arial"/>
                <w:sz w:val="20"/>
                <w:szCs w:val="20"/>
              </w:rPr>
            </w:pPr>
            <w:r>
              <w:rPr>
                <w:rFonts w:ascii="Arial" w:cs="Arial" w:hAnsi="Arial"/>
                <w:sz w:val="20"/>
                <w:szCs w:val="20"/>
              </w:rPr>
              <w:tab/>
              <w:t>54</w:t>
              <w:tab/>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45" w:right="101"/>
              <w:contextualSpacing w:val="false"/>
              <w:rPr>
                <w:rFonts w:ascii="Arial" w:cs="Arial" w:hAnsi="Arial"/>
                <w:sz w:val="20"/>
                <w:szCs w:val="20"/>
              </w:rPr>
            </w:pPr>
            <w:r>
              <w:rPr>
                <w:rFonts w:ascii="Arial" w:cs="Arial" w:hAnsi="Arial"/>
                <w:sz w:val="20"/>
                <w:szCs w:val="20"/>
              </w:rPr>
              <w:tab/>
              <w:t>(6,204</w:t>
              <w:tab/>
              <w:t>)</w:t>
            </w:r>
          </w:p>
        </w:tc>
        <w:tc>
          <w:tcPr>
            <w:tcW w:type="dxa" w:w="1259"/>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45" w:right="101"/>
              <w:contextualSpacing w:val="false"/>
              <w:rPr>
                <w:rFonts w:ascii="Arial" w:cs="Arial" w:hAnsi="Arial"/>
                <w:sz w:val="20"/>
                <w:szCs w:val="20"/>
              </w:rPr>
            </w:pPr>
            <w:r>
              <w:rPr>
                <w:rFonts w:ascii="Arial" w:cs="Arial" w:hAnsi="Arial"/>
                <w:sz w:val="20"/>
                <w:szCs w:val="20"/>
              </w:rPr>
              <w:tab/>
              <w:t>223</w:t>
              <w:tab/>
            </w:r>
          </w:p>
        </w:tc>
        <w:tc>
          <w:tcPr>
            <w:tcW w:type="dxa" w:w="134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360" w:right="86"/>
              <w:contextualSpacing w:val="false"/>
              <w:rPr>
                <w:rFonts w:ascii="Arial" w:cs="Arial" w:hAnsi="Arial"/>
                <w:b/>
                <w:bCs/>
                <w:sz w:val="20"/>
                <w:szCs w:val="20"/>
              </w:rPr>
            </w:pPr>
            <w:r>
              <w:rPr>
                <w:rFonts w:ascii="Arial" w:cs="Arial" w:hAnsi="Arial"/>
                <w:b/>
                <w:bCs/>
                <w:sz w:val="20"/>
                <w:szCs w:val="20"/>
              </w:rPr>
              <w:tab/>
              <w:t>0</w:t>
              <w:tab/>
            </w:r>
          </w:p>
        </w:tc>
        <w:tc>
          <w:tcPr>
            <w:tcW w:type="dxa" w:w="950"/>
            <w:tcBorders>
              <w:top w:val="nil"/>
              <w:left w:val="nil"/>
              <w:bottom w:val="nil"/>
              <w:right w:val="nil"/>
            </w:tcBorders>
            <w:shd w:fill="auto" w:val="clear"/>
            <w:tcMar>
              <w:left w:type="dxa" w:w="144"/>
            </w:tcMar>
            <w:vAlign w:val="bottom"/>
          </w:tcPr>
          <w:p>
            <w:pPr>
              <w:pStyle w:val="style62"/>
              <w:tabs>
                <w:tab w:leader="none" w:pos="740" w:val="right"/>
                <w:tab w:leader="none" w:pos="78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(5</w:t>
              <w:tab/>
              <w:t>)</w:t>
            </w:r>
          </w:p>
        </w:tc>
        <w:tc>
          <w:tcPr>
            <w:tcW w:type="dxa" w:w="1284"/>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101"/>
              <w:contextualSpacing w:val="false"/>
              <w:rPr>
                <w:rFonts w:ascii="Arial" w:cs="Arial" w:hAnsi="Arial"/>
                <w:b/>
                <w:bCs/>
                <w:sz w:val="20"/>
                <w:szCs w:val="20"/>
              </w:rPr>
            </w:pPr>
            <w:r>
              <w:rPr>
                <w:rFonts w:ascii="Arial" w:cs="Arial" w:hAnsi="Arial"/>
                <w:b/>
                <w:bCs/>
                <w:sz w:val="20"/>
                <w:szCs w:val="20"/>
              </w:rPr>
              <w:tab/>
              <w:t>218</w:t>
              <w:tab/>
            </w:r>
          </w:p>
        </w:tc>
      </w:tr>
      <w:tr>
        <w:trPr>
          <w:cantSplit w:val="false"/>
        </w:trPr>
        <w:tc>
          <w:tcPr>
            <w:tcW w:type="dxa" w:w="21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Microsoft Business Division</w:t>
            </w:r>
          </w:p>
        </w:tc>
        <w:tc>
          <w:tcPr>
            <w:tcW w:type="dxa" w:w="1259"/>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45" w:right="101"/>
              <w:contextualSpacing w:val="false"/>
              <w:rPr>
                <w:rFonts w:ascii="Arial" w:cs="Arial" w:hAnsi="Arial"/>
                <w:sz w:val="20"/>
                <w:szCs w:val="20"/>
              </w:rPr>
            </w:pPr>
            <w:r>
              <w:rPr>
                <w:rFonts w:ascii="Arial" w:cs="Arial" w:hAnsi="Arial"/>
                <w:sz w:val="20"/>
                <w:szCs w:val="20"/>
              </w:rPr>
              <w:tab/>
              <w:t>4,167</w:t>
              <w:tab/>
            </w:r>
          </w:p>
        </w:tc>
        <w:tc>
          <w:tcPr>
            <w:tcW w:type="dxa" w:w="134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360" w:right="101"/>
              <w:contextualSpacing w:val="false"/>
              <w:rPr>
                <w:rFonts w:ascii="Arial" w:cs="Arial" w:hAnsi="Arial"/>
                <w:sz w:val="20"/>
                <w:szCs w:val="20"/>
              </w:rPr>
            </w:pPr>
            <w:r>
              <w:rPr>
                <w:rFonts w:ascii="Arial" w:cs="Arial" w:hAnsi="Arial"/>
                <w:sz w:val="20"/>
                <w:szCs w:val="20"/>
              </w:rPr>
              <w:tab/>
              <w:t>2,843</w:t>
              <w:tab/>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45" w:right="101"/>
              <w:contextualSpacing w:val="false"/>
              <w:rPr>
                <w:rFonts w:ascii="Arial" w:cs="Arial" w:hAnsi="Arial"/>
                <w:sz w:val="20"/>
                <w:szCs w:val="20"/>
              </w:rPr>
            </w:pPr>
            <w:r>
              <w:rPr>
                <w:rFonts w:ascii="Arial" w:cs="Arial" w:hAnsi="Arial"/>
                <w:sz w:val="20"/>
                <w:szCs w:val="20"/>
              </w:rPr>
              <w:tab/>
              <w:t>(117</w:t>
              <w:tab/>
              <w:t>)</w:t>
            </w:r>
          </w:p>
        </w:tc>
        <w:tc>
          <w:tcPr>
            <w:tcW w:type="dxa" w:w="1259"/>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45" w:right="101"/>
              <w:contextualSpacing w:val="false"/>
              <w:rPr>
                <w:rFonts w:ascii="Arial" w:cs="Arial" w:hAnsi="Arial"/>
                <w:sz w:val="20"/>
                <w:szCs w:val="20"/>
              </w:rPr>
            </w:pPr>
            <w:r>
              <w:rPr>
                <w:rFonts w:ascii="Arial" w:cs="Arial" w:hAnsi="Arial"/>
                <w:sz w:val="20"/>
                <w:szCs w:val="20"/>
              </w:rPr>
              <w:tab/>
              <w:t>6,893</w:t>
              <w:tab/>
            </w:r>
          </w:p>
        </w:tc>
        <w:tc>
          <w:tcPr>
            <w:tcW w:type="dxa" w:w="134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360" w:right="86"/>
              <w:contextualSpacing w:val="false"/>
              <w:rPr>
                <w:rFonts w:ascii="Arial" w:cs="Arial" w:hAnsi="Arial"/>
                <w:b/>
                <w:bCs/>
                <w:sz w:val="20"/>
                <w:szCs w:val="20"/>
              </w:rPr>
            </w:pPr>
            <w:r>
              <w:rPr>
                <w:rFonts w:ascii="Arial" w:cs="Arial" w:hAnsi="Arial"/>
                <w:b/>
                <w:bCs/>
                <w:sz w:val="20"/>
                <w:szCs w:val="20"/>
              </w:rPr>
              <w:tab/>
              <w:t>987</w:t>
              <w:tab/>
            </w:r>
          </w:p>
        </w:tc>
        <w:tc>
          <w:tcPr>
            <w:tcW w:type="dxa" w:w="950"/>
            <w:tcBorders>
              <w:top w:val="nil"/>
              <w:left w:val="nil"/>
              <w:bottom w:val="nil"/>
              <w:right w:val="nil"/>
            </w:tcBorders>
            <w:shd w:fill="auto" w:val="clear"/>
            <w:tcMar>
              <w:left w:type="dxa" w:w="144"/>
            </w:tcMar>
            <w:vAlign w:val="bottom"/>
          </w:tcPr>
          <w:p>
            <w:pPr>
              <w:pStyle w:val="style62"/>
              <w:tabs>
                <w:tab w:leader="none" w:pos="740" w:val="right"/>
                <w:tab w:leader="none" w:pos="78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(11</w:t>
              <w:tab/>
              <w:t>)</w:t>
            </w:r>
          </w:p>
        </w:tc>
        <w:tc>
          <w:tcPr>
            <w:tcW w:type="dxa" w:w="1284"/>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101"/>
              <w:contextualSpacing w:val="false"/>
              <w:rPr>
                <w:rFonts w:ascii="Arial" w:cs="Arial" w:hAnsi="Arial"/>
                <w:b/>
                <w:bCs/>
                <w:sz w:val="20"/>
                <w:szCs w:val="20"/>
              </w:rPr>
            </w:pPr>
            <w:r>
              <w:rPr>
                <w:rFonts w:ascii="Arial" w:cs="Arial" w:hAnsi="Arial"/>
                <w:b/>
                <w:bCs/>
                <w:sz w:val="20"/>
                <w:szCs w:val="20"/>
              </w:rPr>
              <w:tab/>
              <w:t>7,869</w:t>
              <w:tab/>
            </w:r>
          </w:p>
        </w:tc>
      </w:tr>
      <w:tr>
        <w:trPr>
          <w:cantSplit w:val="false"/>
        </w:trPr>
        <w:tc>
          <w:tcPr>
            <w:tcW w:type="dxa" w:w="217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Entertainment and Devices Division</w:t>
            </w:r>
          </w:p>
        </w:tc>
        <w:tc>
          <w:tcPr>
            <w:tcW w:type="dxa" w:w="1259"/>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45" w:right="101"/>
              <w:contextualSpacing w:val="false"/>
              <w:rPr>
                <w:rFonts w:ascii="Arial" w:cs="Arial" w:hAnsi="Arial"/>
                <w:sz w:val="20"/>
                <w:szCs w:val="20"/>
              </w:rPr>
            </w:pPr>
            <w:r>
              <w:rPr>
                <w:rFonts w:ascii="Arial" w:cs="Arial" w:hAnsi="Arial"/>
                <w:sz w:val="20"/>
                <w:szCs w:val="20"/>
              </w:rPr>
              <w:tab/>
              <w:t>813</w:t>
              <w:tab/>
            </w:r>
          </w:p>
        </w:tc>
        <w:tc>
          <w:tcPr>
            <w:tcW w:type="dxa" w:w="134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360" w:right="101"/>
              <w:contextualSpacing w:val="false"/>
              <w:rPr>
                <w:rFonts w:ascii="Arial" w:cs="Arial" w:hAnsi="Arial"/>
                <w:sz w:val="20"/>
                <w:szCs w:val="20"/>
              </w:rPr>
            </w:pPr>
            <w:r>
              <w:rPr>
                <w:rFonts w:ascii="Arial" w:cs="Arial" w:hAnsi="Arial"/>
                <w:sz w:val="20"/>
                <w:szCs w:val="20"/>
              </w:rPr>
              <w:tab/>
              <w:t>4,294</w:t>
              <w:tab/>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45" w:right="101"/>
              <w:contextualSpacing w:val="false"/>
              <w:rPr>
                <w:rFonts w:ascii="Arial" w:cs="Arial" w:hAnsi="Arial"/>
                <w:sz w:val="20"/>
                <w:szCs w:val="20"/>
              </w:rPr>
            </w:pPr>
            <w:r>
              <w:rPr>
                <w:rFonts w:ascii="Arial" w:cs="Arial" w:hAnsi="Arial"/>
                <w:sz w:val="20"/>
                <w:szCs w:val="20"/>
              </w:rPr>
              <w:tab/>
              <w:t>(4</w:t>
              <w:tab/>
              <w:t>)</w:t>
            </w:r>
          </w:p>
        </w:tc>
        <w:tc>
          <w:tcPr>
            <w:tcW w:type="dxa" w:w="1259"/>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45" w:right="101"/>
              <w:contextualSpacing w:val="false"/>
              <w:rPr>
                <w:rFonts w:ascii="Arial" w:cs="Arial" w:hAnsi="Arial"/>
                <w:sz w:val="20"/>
                <w:szCs w:val="20"/>
              </w:rPr>
            </w:pPr>
            <w:r>
              <w:rPr>
                <w:rFonts w:ascii="Arial" w:cs="Arial" w:hAnsi="Arial"/>
                <w:sz w:val="20"/>
                <w:szCs w:val="20"/>
              </w:rPr>
              <w:tab/>
              <w:t>5,103</w:t>
              <w:tab/>
            </w:r>
          </w:p>
        </w:tc>
        <w:tc>
          <w:tcPr>
            <w:tcW w:type="dxa" w:w="134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360" w:right="86"/>
              <w:contextualSpacing w:val="false"/>
              <w:rPr>
                <w:rFonts w:ascii="Arial" w:cs="Arial" w:hAnsi="Arial"/>
                <w:b/>
                <w:bCs/>
                <w:sz w:val="20"/>
                <w:szCs w:val="20"/>
              </w:rPr>
            </w:pPr>
            <w:r>
              <w:rPr>
                <w:rFonts w:ascii="Arial" w:cs="Arial" w:hAnsi="Arial"/>
                <w:b/>
                <w:bCs/>
                <w:sz w:val="20"/>
                <w:szCs w:val="20"/>
              </w:rPr>
              <w:tab/>
              <w:t>27</w:t>
              <w:tab/>
            </w:r>
          </w:p>
        </w:tc>
        <w:tc>
          <w:tcPr>
            <w:tcW w:type="dxa" w:w="950"/>
            <w:tcBorders>
              <w:top w:val="nil"/>
              <w:left w:val="nil"/>
              <w:bottom w:val="nil"/>
              <w:right w:val="nil"/>
            </w:tcBorders>
            <w:shd w:fill="auto" w:val="clear"/>
            <w:tcMar>
              <w:left w:type="dxa" w:w="144"/>
            </w:tcMar>
            <w:vAlign w:val="bottom"/>
          </w:tcPr>
          <w:p>
            <w:pPr>
              <w:pStyle w:val="style62"/>
              <w:tabs>
                <w:tab w:leader="none" w:pos="740" w:val="right"/>
                <w:tab w:leader="none" w:pos="78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(21</w:t>
              <w:tab/>
              <w:t>)</w:t>
            </w:r>
          </w:p>
        </w:tc>
        <w:tc>
          <w:tcPr>
            <w:tcW w:type="dxa" w:w="1284"/>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101"/>
              <w:contextualSpacing w:val="false"/>
              <w:rPr>
                <w:rFonts w:ascii="Arial" w:cs="Arial" w:hAnsi="Arial"/>
                <w:b/>
                <w:bCs/>
                <w:sz w:val="20"/>
                <w:szCs w:val="20"/>
              </w:rPr>
            </w:pPr>
            <w:r>
              <w:rPr>
                <w:rFonts w:ascii="Arial" w:cs="Arial" w:hAnsi="Arial"/>
                <w:b/>
                <w:bCs/>
                <w:sz w:val="20"/>
                <w:szCs w:val="20"/>
              </w:rPr>
              <w:tab/>
              <w:t>5,109</w:t>
              <w:tab/>
            </w:r>
          </w:p>
        </w:tc>
      </w:tr>
      <w:tr>
        <w:trPr>
          <w:cantSplit w:val="false"/>
        </w:trPr>
        <w:tc>
          <w:tcPr>
            <w:tcW w:type="dxa" w:w="3437"/>
            <w:gridSpan w:val="2"/>
            <w:tcBorders>
              <w:top w:val="nil"/>
              <w:left w:val="nil"/>
              <w:bottom w:val="nil"/>
              <w:right w:val="nil"/>
            </w:tcBorders>
            <w:shd w:fill="auto" w:val="clear"/>
            <w:vAlign w:val="bottom"/>
          </w:tcPr>
          <w:p>
            <w:pPr>
              <w:pStyle w:val="style59"/>
              <w:spacing w:after="0" w:before="20"/>
              <w:ind w:hanging="0" w:left="-486" w:right="101"/>
              <w:contextualSpacing w:val="false"/>
              <w:rPr/>
            </w:pPr>
            <w:r>
              <w:rPr/>
              <w:t> </w:t>
            </w:r>
          </w:p>
        </w:tc>
        <w:tc>
          <w:tcPr>
            <w:tcW w:type="dxa" w:w="1340"/>
            <w:tcBorders>
              <w:top w:val="nil"/>
              <w:left w:val="nil"/>
              <w:bottom w:val="nil"/>
              <w:right w:val="nil"/>
            </w:tcBorders>
            <w:shd w:fill="auto" w:val="clear"/>
            <w:tcMar>
              <w:left w:type="dxa" w:w="144"/>
            </w:tcMar>
            <w:vAlign w:val="bottom"/>
          </w:tcPr>
          <w:p>
            <w:pPr>
              <w:pStyle w:val="style59"/>
              <w:spacing w:after="0" w:before="20"/>
              <w:ind w:hanging="0" w:left="360" w:right="101"/>
              <w:contextualSpacing w:val="false"/>
              <w:rPr/>
            </w:pPr>
            <w:r>
              <w:rPr/>
              <w:t> </w:t>
            </w:r>
          </w:p>
        </w:tc>
        <w:tc>
          <w:tcPr>
            <w:tcW w:type="dxa" w:w="1190"/>
            <w:tcBorders>
              <w:top w:val="nil"/>
              <w:left w:val="nil"/>
              <w:bottom w:val="nil"/>
              <w:right w:val="nil"/>
            </w:tcBorders>
            <w:shd w:fill="auto" w:val="clear"/>
            <w:tcMar>
              <w:left w:type="dxa" w:w="144"/>
            </w:tcMar>
            <w:vAlign w:val="bottom"/>
          </w:tcPr>
          <w:p>
            <w:pPr>
              <w:pStyle w:val="style59"/>
              <w:spacing w:after="0" w:before="20"/>
              <w:ind w:hanging="0" w:left="245" w:right="101"/>
              <w:contextualSpacing w:val="false"/>
              <w:rPr/>
            </w:pPr>
            <w:r>
              <w:rPr/>
              <w:t> </w:t>
            </w:r>
          </w:p>
        </w:tc>
        <w:tc>
          <w:tcPr>
            <w:tcW w:type="dxa" w:w="1259"/>
            <w:tcBorders>
              <w:top w:val="nil"/>
              <w:left w:val="nil"/>
              <w:bottom w:val="nil"/>
              <w:right w:val="nil"/>
            </w:tcBorders>
            <w:shd w:fill="auto" w:val="clear"/>
            <w:tcMar>
              <w:left w:type="dxa" w:w="144"/>
            </w:tcMar>
            <w:vAlign w:val="bottom"/>
          </w:tcPr>
          <w:p>
            <w:pPr>
              <w:pStyle w:val="style59"/>
              <w:spacing w:after="0" w:before="20"/>
              <w:ind w:hanging="0" w:left="245" w:right="86"/>
              <w:contextualSpacing w:val="false"/>
              <w:rPr/>
            </w:pPr>
            <w:r>
              <w:rPr/>
              <w:t> </w:t>
            </w:r>
          </w:p>
        </w:tc>
        <w:tc>
          <w:tcPr>
            <w:tcW w:type="dxa" w:w="1340"/>
            <w:tcBorders>
              <w:top w:val="nil"/>
              <w:left w:val="nil"/>
              <w:bottom w:val="nil"/>
              <w:right w:val="nil"/>
            </w:tcBorders>
            <w:shd w:fill="auto" w:val="clear"/>
            <w:tcMar>
              <w:left w:type="dxa" w:w="144"/>
            </w:tcMar>
            <w:vAlign w:val="bottom"/>
          </w:tcPr>
          <w:p>
            <w:pPr>
              <w:pStyle w:val="style59"/>
              <w:spacing w:after="0" w:before="20"/>
              <w:ind w:hanging="0" w:left="360" w:right="86"/>
              <w:contextualSpacing w:val="false"/>
              <w:rPr/>
            </w:pPr>
            <w:r>
              <w:rPr/>
              <w:t> </w:t>
            </w:r>
          </w:p>
        </w:tc>
        <w:tc>
          <w:tcPr>
            <w:tcW w:type="dxa" w:w="950"/>
            <w:tcBorders>
              <w:top w:val="nil"/>
              <w:left w:val="nil"/>
              <w:bottom w:val="nil"/>
              <w:right w:val="nil"/>
            </w:tcBorders>
            <w:shd w:fill="auto" w:val="clear"/>
            <w:tcMar>
              <w:left w:type="dxa" w:w="144"/>
            </w:tcMar>
            <w:vAlign w:val="bottom"/>
          </w:tcPr>
          <w:p>
            <w:pPr>
              <w:pStyle w:val="style59"/>
              <w:spacing w:after="0" w:before="20"/>
              <w:ind w:hanging="0" w:left="245" w:right="86"/>
              <w:contextualSpacing w:val="false"/>
              <w:rPr/>
            </w:pPr>
            <w:r>
              <w:rPr/>
              <w:t> </w:t>
            </w:r>
          </w:p>
        </w:tc>
        <w:tc>
          <w:tcPr>
            <w:tcW w:type="dxa" w:w="1283"/>
            <w:tcBorders>
              <w:top w:val="nil"/>
              <w:left w:val="nil"/>
              <w:bottom w:val="nil"/>
              <w:right w:val="nil"/>
            </w:tcBorders>
            <w:shd w:fill="auto" w:val="clear"/>
            <w:tcMar>
              <w:left w:type="dxa" w:w="144"/>
            </w:tcMar>
            <w:vAlign w:val="bottom"/>
          </w:tcPr>
          <w:p>
            <w:pPr>
              <w:pStyle w:val="style59"/>
              <w:spacing w:after="0" w:before="20"/>
              <w:ind w:hanging="0" w:left="245" w:right="101"/>
              <w:contextualSpacing w:val="false"/>
              <w:rPr/>
            </w:pPr>
            <w:r>
              <w:rPr/>
              <w:t> </w:t>
            </w:r>
          </w:p>
        </w:tc>
      </w:tr>
      <w:tr>
        <w:trPr>
          <w:cantSplit w:val="false"/>
        </w:trPr>
        <w:tc>
          <w:tcPr>
            <w:tcW w:type="dxa" w:w="217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259"/>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45" w:right="101"/>
              <w:contextualSpacing w:val="false"/>
              <w:rPr>
                <w:rFonts w:ascii="Arial" w:cs="Arial" w:hAnsi="Arial"/>
                <w:sz w:val="20"/>
                <w:szCs w:val="20"/>
              </w:rPr>
            </w:pPr>
            <w:r>
              <w:rPr>
                <w:rFonts w:ascii="Arial" w:cs="Arial" w:hAnsi="Arial"/>
                <w:sz w:val="20"/>
                <w:szCs w:val="20"/>
              </w:rPr>
              <w:t>$</w:t>
              <w:tab/>
              <w:t>  12,581</w:t>
              <w:tab/>
            </w:r>
          </w:p>
        </w:tc>
        <w:tc>
          <w:tcPr>
            <w:tcW w:type="dxa" w:w="134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360" w:right="101"/>
              <w:contextualSpacing w:val="false"/>
              <w:rPr>
                <w:rFonts w:ascii="Arial" w:cs="Arial" w:hAnsi="Arial"/>
                <w:sz w:val="20"/>
                <w:szCs w:val="20"/>
              </w:rPr>
            </w:pPr>
            <w:r>
              <w:rPr>
                <w:rFonts w:ascii="Arial" w:cs="Arial" w:hAnsi="Arial"/>
                <w:sz w:val="20"/>
                <w:szCs w:val="20"/>
              </w:rPr>
              <w:t>$</w:t>
              <w:tab/>
              <w:t>  7,198</w:t>
              <w:tab/>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245" w:right="101"/>
              <w:contextualSpacing w:val="false"/>
              <w:rPr>
                <w:rFonts w:ascii="Arial" w:cs="Arial" w:hAnsi="Arial"/>
                <w:sz w:val="20"/>
                <w:szCs w:val="20"/>
              </w:rPr>
            </w:pPr>
            <w:r>
              <w:rPr>
                <w:rFonts w:ascii="Arial" w:cs="Arial" w:hAnsi="Arial"/>
                <w:sz w:val="20"/>
                <w:szCs w:val="20"/>
              </w:rPr>
              <w:t>$</w:t>
              <w:tab/>
              <w:t> (6,327</w:t>
              <w:tab/>
              <w:t>)</w:t>
            </w:r>
          </w:p>
        </w:tc>
        <w:tc>
          <w:tcPr>
            <w:tcW w:type="dxa" w:w="1259"/>
            <w:tcBorders>
              <w:top w:val="nil"/>
              <w:left w:val="nil"/>
              <w:bottom w:val="nil"/>
              <w:right w:val="nil"/>
            </w:tcBorders>
            <w:shd w:fill="auto" w:val="clear"/>
            <w:tcMar>
              <w:left w:type="dxa" w:w="144"/>
            </w:tcMar>
            <w:vAlign w:val="bottom"/>
          </w:tcPr>
          <w:p>
            <w:pPr>
              <w:pStyle w:val="style62"/>
              <w:tabs>
                <w:tab w:leader="none" w:pos="1060" w:val="right"/>
                <w:tab w:leader="none" w:pos="1100" w:val="decimal"/>
              </w:tabs>
              <w:spacing w:after="280" w:before="280"/>
              <w:ind w:hanging="0" w:left="245" w:right="101"/>
              <w:contextualSpacing w:val="false"/>
              <w:rPr>
                <w:rFonts w:ascii="Arial" w:cs="Arial" w:hAnsi="Arial"/>
                <w:sz w:val="20"/>
                <w:szCs w:val="20"/>
              </w:rPr>
            </w:pPr>
            <w:r>
              <w:rPr>
                <w:rFonts w:ascii="Arial" w:cs="Arial" w:hAnsi="Arial"/>
                <w:sz w:val="20"/>
                <w:szCs w:val="20"/>
              </w:rPr>
              <w:t>$</w:t>
              <w:tab/>
              <w:t>13,452</w:t>
              <w:tab/>
            </w:r>
          </w:p>
        </w:tc>
        <w:tc>
          <w:tcPr>
            <w:tcW w:type="dxa" w:w="134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360" w:right="86"/>
              <w:contextualSpacing w:val="false"/>
              <w:rPr>
                <w:rFonts w:ascii="Arial" w:cs="Arial" w:hAnsi="Arial"/>
                <w:b/>
                <w:bCs/>
                <w:sz w:val="20"/>
                <w:szCs w:val="20"/>
              </w:rPr>
            </w:pPr>
            <w:r>
              <w:rPr>
                <w:rFonts w:ascii="Arial" w:cs="Arial" w:hAnsi="Arial"/>
                <w:b/>
                <w:bCs/>
                <w:sz w:val="20"/>
                <w:szCs w:val="20"/>
              </w:rPr>
              <w:t>$</w:t>
              <w:tab/>
              <w:t>  1,243</w:t>
              <w:tab/>
            </w:r>
          </w:p>
        </w:tc>
        <w:tc>
          <w:tcPr>
            <w:tcW w:type="dxa" w:w="950"/>
            <w:tcBorders>
              <w:top w:val="nil"/>
              <w:left w:val="nil"/>
              <w:bottom w:val="nil"/>
              <w:right w:val="nil"/>
            </w:tcBorders>
            <w:shd w:fill="auto" w:val="clear"/>
            <w:tcMar>
              <w:left w:type="dxa" w:w="144"/>
            </w:tcMar>
            <w:vAlign w:val="bottom"/>
          </w:tcPr>
          <w:p>
            <w:pPr>
              <w:pStyle w:val="style62"/>
              <w:tabs>
                <w:tab w:leader="none" w:pos="740" w:val="right"/>
                <w:tab w:leader="none" w:pos="78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w:t>
              <w:tab/>
              <w:t>  (40</w:t>
              <w:tab/>
              <w:t>)</w:t>
            </w:r>
          </w:p>
        </w:tc>
        <w:tc>
          <w:tcPr>
            <w:tcW w:type="dxa" w:w="1284"/>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101"/>
              <w:contextualSpacing w:val="false"/>
              <w:rPr>
                <w:rFonts w:ascii="Arial" w:cs="Arial" w:hAnsi="Arial"/>
                <w:b/>
                <w:bCs/>
                <w:sz w:val="20"/>
                <w:szCs w:val="20"/>
              </w:rPr>
            </w:pPr>
            <w:r>
              <w:rPr>
                <w:rFonts w:ascii="Arial" w:cs="Arial" w:hAnsi="Arial"/>
                <w:b/>
                <w:bCs/>
                <w:sz w:val="20"/>
                <w:szCs w:val="20"/>
              </w:rPr>
              <w:t>$</w:t>
              <w:tab/>
              <w:t>  14,655</w:t>
              <w:tab/>
            </w:r>
          </w:p>
        </w:tc>
      </w:tr>
      <w:tr>
        <w:trPr>
          <w:cantSplit w:val="false"/>
        </w:trPr>
        <w:tc>
          <w:tcPr>
            <w:tcW w:type="dxa" w:w="2177"/>
            <w:tcBorders>
              <w:top w:val="nil"/>
              <w:left w:val="nil"/>
              <w:bottom w:val="nil"/>
              <w:right w:val="nil"/>
            </w:tcBorders>
            <w:shd w:fill="auto" w:val="clear"/>
            <w:tcMar>
              <w:left w:type="dxa" w:w="144"/>
            </w:tcMar>
            <w:vAlign w:val="bottom"/>
          </w:tcPr>
          <w:p>
            <w:pPr>
              <w:pStyle w:val="style65"/>
              <w:rPr/>
            </w:pPr>
            <w:r>
              <w:rPr/>
              <w:t> </w:t>
            </w:r>
          </w:p>
        </w:tc>
        <w:tc>
          <w:tcPr>
            <w:tcW w:type="dxa" w:w="1259"/>
            <w:tcBorders>
              <w:top w:val="nil"/>
              <w:left w:val="nil"/>
              <w:bottom w:val="nil"/>
              <w:right w:val="nil"/>
            </w:tcBorders>
            <w:shd w:fill="auto" w:val="clear"/>
            <w:tcMar>
              <w:left w:type="dxa" w:w="144"/>
            </w:tcMar>
            <w:vAlign w:val="bottom"/>
          </w:tcPr>
          <w:p>
            <w:pPr>
              <w:pStyle w:val="style63"/>
              <w:spacing w:after="0" w:before="20"/>
              <w:ind w:hanging="0" w:left="245" w:right="101"/>
              <w:contextualSpacing w:val="false"/>
              <w:rPr/>
            </w:pPr>
            <w:r>
              <w:rPr/>
              <w:t> </w:t>
            </w:r>
          </w:p>
        </w:tc>
        <w:tc>
          <w:tcPr>
            <w:tcW w:type="dxa" w:w="1340"/>
            <w:tcBorders>
              <w:top w:val="nil"/>
              <w:left w:val="nil"/>
              <w:bottom w:val="nil"/>
              <w:right w:val="nil"/>
            </w:tcBorders>
            <w:shd w:fill="auto" w:val="clear"/>
            <w:tcMar>
              <w:left w:type="dxa" w:w="144"/>
            </w:tcMar>
            <w:vAlign w:val="bottom"/>
          </w:tcPr>
          <w:p>
            <w:pPr>
              <w:pStyle w:val="style63"/>
              <w:spacing w:after="0" w:before="20"/>
              <w:ind w:hanging="0" w:left="360" w:right="101"/>
              <w:contextualSpacing w:val="false"/>
              <w:rPr/>
            </w:pPr>
            <w:r>
              <w:rPr/>
              <w:t> </w:t>
            </w:r>
          </w:p>
        </w:tc>
        <w:tc>
          <w:tcPr>
            <w:tcW w:type="dxa" w:w="1190"/>
            <w:tcBorders>
              <w:top w:val="nil"/>
              <w:left w:val="nil"/>
              <w:bottom w:val="nil"/>
              <w:right w:val="nil"/>
            </w:tcBorders>
            <w:shd w:fill="auto" w:val="clear"/>
            <w:tcMar>
              <w:left w:type="dxa" w:w="144"/>
            </w:tcMar>
            <w:vAlign w:val="bottom"/>
          </w:tcPr>
          <w:p>
            <w:pPr>
              <w:pStyle w:val="style63"/>
              <w:spacing w:after="0" w:before="20"/>
              <w:ind w:hanging="0" w:left="245" w:right="101"/>
              <w:contextualSpacing w:val="false"/>
              <w:rPr/>
            </w:pPr>
            <w:r>
              <w:rPr/>
              <w:t> </w:t>
            </w:r>
          </w:p>
        </w:tc>
        <w:tc>
          <w:tcPr>
            <w:tcW w:type="dxa" w:w="1259"/>
            <w:tcBorders>
              <w:top w:val="nil"/>
              <w:left w:val="nil"/>
              <w:bottom w:val="nil"/>
              <w:right w:val="nil"/>
            </w:tcBorders>
            <w:shd w:fill="auto" w:val="clear"/>
            <w:tcMar>
              <w:left w:type="dxa" w:w="144"/>
            </w:tcMar>
            <w:vAlign w:val="bottom"/>
          </w:tcPr>
          <w:p>
            <w:pPr>
              <w:pStyle w:val="style63"/>
              <w:spacing w:after="0" w:before="20"/>
              <w:ind w:hanging="0" w:left="245" w:right="86"/>
              <w:contextualSpacing w:val="false"/>
              <w:rPr/>
            </w:pPr>
            <w:r>
              <w:rPr/>
              <w:t> </w:t>
            </w:r>
          </w:p>
        </w:tc>
        <w:tc>
          <w:tcPr>
            <w:tcW w:type="dxa" w:w="1340"/>
            <w:tcBorders>
              <w:top w:val="nil"/>
              <w:left w:val="nil"/>
              <w:bottom w:val="nil"/>
              <w:right w:val="nil"/>
            </w:tcBorders>
            <w:shd w:fill="auto" w:val="clear"/>
            <w:tcMar>
              <w:left w:type="dxa" w:w="144"/>
            </w:tcMar>
            <w:vAlign w:val="bottom"/>
          </w:tcPr>
          <w:p>
            <w:pPr>
              <w:pStyle w:val="style63"/>
              <w:spacing w:after="0" w:before="20"/>
              <w:ind w:hanging="0" w:left="360" w:right="86"/>
              <w:contextualSpacing w:val="false"/>
              <w:rPr/>
            </w:pPr>
            <w:r>
              <w:rPr/>
              <w:t> </w:t>
            </w:r>
          </w:p>
        </w:tc>
        <w:tc>
          <w:tcPr>
            <w:tcW w:type="dxa" w:w="950"/>
            <w:tcBorders>
              <w:top w:val="nil"/>
              <w:left w:val="nil"/>
              <w:bottom w:val="nil"/>
              <w:right w:val="nil"/>
            </w:tcBorders>
            <w:shd w:fill="auto" w:val="clear"/>
            <w:tcMar>
              <w:left w:type="dxa" w:w="144"/>
            </w:tcMar>
            <w:vAlign w:val="bottom"/>
          </w:tcPr>
          <w:p>
            <w:pPr>
              <w:pStyle w:val="style63"/>
              <w:spacing w:after="0" w:before="20"/>
              <w:ind w:hanging="0" w:left="245" w:right="86"/>
              <w:contextualSpacing w:val="false"/>
              <w:rPr/>
            </w:pPr>
            <w:r>
              <w:rPr/>
              <w:t> </w:t>
            </w:r>
          </w:p>
        </w:tc>
        <w:tc>
          <w:tcPr>
            <w:tcW w:type="dxa" w:w="1284"/>
            <w:tcBorders>
              <w:top w:val="nil"/>
              <w:left w:val="nil"/>
              <w:bottom w:val="nil"/>
              <w:right w:val="nil"/>
            </w:tcBorders>
            <w:shd w:fill="auto" w:val="clear"/>
            <w:tcMar>
              <w:left w:type="dxa" w:w="144"/>
            </w:tcMar>
            <w:vAlign w:val="bottom"/>
          </w:tcPr>
          <w:p>
            <w:pPr>
              <w:pStyle w:val="style63"/>
              <w:spacing w:after="0" w:before="20"/>
              <w:ind w:hanging="0" w:left="245" w:right="101"/>
              <w:contextualSpacing w:val="false"/>
              <w:rPr/>
            </w:pPr>
            <w:r>
              <w:rPr/>
              <w:t> </w:t>
            </w:r>
          </w:p>
        </w:tc>
      </w:tr>
    </w:tbl>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measurement periods for purchase price allocations end as soon as information on the facts and circumstances becomes available, but do not exceed 12 months. Adjustments in purchase price allocations may require a recasting of the amounts allocated to goodwill retroactive to the periods in which the acquisitions occurred.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Any change in the goodwill amounts resulting from foreign currency translations are presented as “other” in the above table. Also included within “other” are business dispositions and transfers between business segments due to reorganizations, as applicable. For fiscal year 2012, a $6.2 billion goodwill impairment charge was included in “other,” as discussed further below. This goodwill impairment charge also represented our accumulated goodwill impairment as of June 30, 2013 and 2012.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Goodwill Impairment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test goodwill for impairment annually on May 1 at the reporting unit level using a discounted cash flow methodology with a peer-based, risk-adjusted weighted average cost of capital. We believe use of a discounted cash flow approach is the most reliable indicator of the fair values of the businesses.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No impairment of goodwill was identified as of May 1, 2013. Upon completion of the fiscal year 2012 test, OSD goodwill was determined to be impaired. The impairment was the result of the OSD unit experiencing slower than projected growth in search queries and search advertising revenue per query, slower growth in display revenue, and changes in the timing and implementation of certain initiatives designed to drive search and display revenue growth in the future.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Because our fiscal year 2012 annual test indicated that OSD’s carrying value exceeded its estimated fair value, a second phase of the goodwill impairment test (“Step 2”) was performed specific to OSD. Under Step 2, the fair value of all OSD assets and liabilities were estimated, including tangible assets, existing technology, trade names, and partner relationships for the purpose of deriving an estimate of the implied fair value of goodwill. The implied fair value of the goodwill was then compared to the recorded goodwill to determine the amount of the impairment. Assumptions used in measuring the value of these assets and liabilities included the discount rates, royalty rates, and obsolescence rates used in valuing the intangible assets, and pricing of comparable transactions in the market in valuing the tangible assets.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No other instances of impairment were identified in our May 1, 2012 test.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11 — INTANGIBLE ASSETS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components of intangible assets, all of which are finite-lived,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2857"/>
        <w:gridCol w:w="1160"/>
        <w:gridCol w:w="1431"/>
        <w:gridCol w:w="1400"/>
        <w:gridCol w:w="1120"/>
        <w:gridCol w:w="1431"/>
        <w:gridCol w:w="1400"/>
      </w:tblGrid>
      <w:tr>
        <w:trPr>
          <w:tblHeader w:val="true"/>
          <w:cantSplit w:val="false"/>
        </w:trPr>
        <w:tc>
          <w:tcPr>
            <w:tcW w:type="dxa" w:w="2857"/>
            <w:tcBorders>
              <w:top w:val="nil"/>
              <w:left w:val="nil"/>
              <w:bottom w:val="nil"/>
              <w:right w:val="nil"/>
            </w:tcBorders>
            <w:shd w:fill="auto" w:val="clear"/>
            <w:vAlign w:val="center"/>
          </w:tcPr>
          <w:p>
            <w:pPr>
              <w:pStyle w:val="style0"/>
              <w:rPr>
                <w:sz w:val="1"/>
                <w:szCs w:val="24"/>
              </w:rPr>
            </w:pPr>
            <w:r>
              <w:rPr>
                <w:sz w:val="1"/>
                <w:szCs w:val="24"/>
              </w:rPr>
            </w:r>
          </w:p>
        </w:tc>
        <w:tc>
          <w:tcPr>
            <w:tcW w:type="dxa" w:w="1160"/>
            <w:tcBorders>
              <w:top w:val="nil"/>
              <w:left w:val="nil"/>
              <w:bottom w:val="nil"/>
              <w:right w:val="nil"/>
            </w:tcBorders>
            <w:shd w:fill="auto" w:val="clear"/>
            <w:vAlign w:val="center"/>
          </w:tcPr>
          <w:p>
            <w:pPr>
              <w:pStyle w:val="style0"/>
              <w:rPr>
                <w:sz w:val="1"/>
                <w:szCs w:val="24"/>
              </w:rPr>
            </w:pPr>
            <w:r>
              <w:rPr>
                <w:sz w:val="1"/>
                <w:szCs w:val="24"/>
              </w:rPr>
            </w:r>
          </w:p>
        </w:tc>
        <w:tc>
          <w:tcPr>
            <w:tcW w:type="dxa" w:w="1431"/>
            <w:tcBorders>
              <w:top w:val="nil"/>
              <w:left w:val="nil"/>
              <w:bottom w:val="nil"/>
              <w:right w:val="nil"/>
            </w:tcBorders>
            <w:shd w:fill="auto" w:val="clear"/>
            <w:vAlign w:val="center"/>
          </w:tcPr>
          <w:p>
            <w:pPr>
              <w:pStyle w:val="style0"/>
              <w:rPr>
                <w:sz w:val="1"/>
                <w:szCs w:val="24"/>
              </w:rPr>
            </w:pPr>
            <w:r>
              <w:rPr>
                <w:sz w:val="1"/>
                <w:szCs w:val="24"/>
              </w:rPr>
            </w:r>
          </w:p>
        </w:tc>
        <w:tc>
          <w:tcPr>
            <w:tcW w:type="dxa" w:w="1400"/>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431"/>
            <w:tcBorders>
              <w:top w:val="nil"/>
              <w:left w:val="nil"/>
              <w:bottom w:val="nil"/>
              <w:right w:val="nil"/>
            </w:tcBorders>
            <w:shd w:fill="auto" w:val="clear"/>
            <w:vAlign w:val="center"/>
          </w:tcPr>
          <w:p>
            <w:pPr>
              <w:pStyle w:val="style0"/>
              <w:rPr>
                <w:sz w:val="1"/>
                <w:szCs w:val="24"/>
              </w:rPr>
            </w:pPr>
            <w:r>
              <w:rPr>
                <w:sz w:val="1"/>
                <w:szCs w:val="24"/>
              </w:rPr>
            </w:r>
          </w:p>
        </w:tc>
        <w:tc>
          <w:tcPr>
            <w:tcW w:type="dxa" w:w="1400"/>
            <w:tcBorders>
              <w:top w:val="nil"/>
              <w:left w:val="nil"/>
              <w:bottom w:val="nil"/>
              <w:right w:val="nil"/>
            </w:tcBorders>
            <w:shd w:fill="auto" w:val="clear"/>
            <w:vAlign w:val="center"/>
          </w:tcPr>
          <w:p>
            <w:pPr>
              <w:pStyle w:val="style0"/>
              <w:rPr>
                <w:sz w:val="1"/>
                <w:szCs w:val="24"/>
              </w:rPr>
            </w:pPr>
            <w:r>
              <w:rPr>
                <w:sz w:val="1"/>
                <w:szCs w:val="24"/>
              </w:rPr>
            </w:r>
          </w:p>
        </w:tc>
      </w:tr>
      <w:tr>
        <w:trPr>
          <w:tblHeader w:val="true"/>
          <w:trHeight w:hRule="atLeast" w:val="75"/>
          <w:cantSplit w:val="false"/>
        </w:trPr>
        <w:tc>
          <w:tcPr>
            <w:tcW w:type="dxa" w:w="2857"/>
            <w:tcBorders>
              <w:top w:val="nil"/>
              <w:left w:val="nil"/>
              <w:bottom w:val="nil"/>
              <w:right w:val="nil"/>
            </w:tcBorders>
            <w:shd w:fill="auto" w:val="clear"/>
            <w:vAlign w:val="center"/>
          </w:tcPr>
          <w:p>
            <w:pPr>
              <w:pStyle w:val="style0"/>
              <w:rPr>
                <w:sz w:val="8"/>
                <w:szCs w:val="24"/>
              </w:rPr>
            </w:pPr>
            <w:r>
              <w:rPr>
                <w:sz w:val="8"/>
                <w:szCs w:val="24"/>
              </w:rPr>
            </w:r>
          </w:p>
        </w:tc>
        <w:tc>
          <w:tcPr>
            <w:tcW w:type="dxa" w:w="1160"/>
            <w:tcBorders>
              <w:top w:val="nil"/>
              <w:left w:val="nil"/>
              <w:bottom w:val="nil"/>
              <w:right w:val="nil"/>
            </w:tcBorders>
            <w:shd w:fill="auto" w:val="clear"/>
            <w:vAlign w:val="center"/>
          </w:tcPr>
          <w:p>
            <w:pPr>
              <w:pStyle w:val="style0"/>
              <w:rPr>
                <w:sz w:val="8"/>
                <w:szCs w:val="24"/>
              </w:rPr>
            </w:pPr>
            <w:r>
              <w:rPr>
                <w:sz w:val="8"/>
                <w:szCs w:val="24"/>
              </w:rPr>
            </w:r>
          </w:p>
        </w:tc>
        <w:tc>
          <w:tcPr>
            <w:tcW w:type="dxa" w:w="1431"/>
            <w:tcBorders>
              <w:top w:val="nil"/>
              <w:left w:val="nil"/>
              <w:bottom w:val="nil"/>
              <w:right w:val="nil"/>
            </w:tcBorders>
            <w:shd w:fill="auto" w:val="clear"/>
            <w:vAlign w:val="center"/>
          </w:tcPr>
          <w:p>
            <w:pPr>
              <w:pStyle w:val="style0"/>
              <w:rPr>
                <w:sz w:val="8"/>
                <w:szCs w:val="24"/>
              </w:rPr>
            </w:pPr>
            <w:r>
              <w:rPr>
                <w:sz w:val="8"/>
                <w:szCs w:val="24"/>
              </w:rPr>
            </w:r>
          </w:p>
        </w:tc>
        <w:tc>
          <w:tcPr>
            <w:tcW w:type="dxa" w:w="1400"/>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431"/>
            <w:tcBorders>
              <w:top w:val="nil"/>
              <w:left w:val="nil"/>
              <w:bottom w:val="nil"/>
              <w:right w:val="nil"/>
            </w:tcBorders>
            <w:shd w:fill="auto" w:val="clear"/>
            <w:vAlign w:val="center"/>
          </w:tcPr>
          <w:p>
            <w:pPr>
              <w:pStyle w:val="style0"/>
              <w:rPr>
                <w:sz w:val="8"/>
                <w:szCs w:val="24"/>
              </w:rPr>
            </w:pPr>
            <w:r>
              <w:rPr>
                <w:sz w:val="8"/>
                <w:szCs w:val="24"/>
              </w:rPr>
            </w:r>
          </w:p>
        </w:tc>
        <w:tc>
          <w:tcPr>
            <w:tcW w:type="dxa" w:w="1400"/>
            <w:tcBorders>
              <w:top w:val="nil"/>
              <w:left w:val="nil"/>
              <w:bottom w:val="nil"/>
              <w:right w:val="nil"/>
            </w:tcBorders>
            <w:shd w:fill="auto" w:val="clear"/>
            <w:vAlign w:val="center"/>
          </w:tcPr>
          <w:p>
            <w:pPr>
              <w:pStyle w:val="style0"/>
              <w:rPr>
                <w:sz w:val="8"/>
                <w:szCs w:val="24"/>
              </w:rPr>
            </w:pPr>
            <w:r>
              <w:rPr>
                <w:sz w:val="8"/>
                <w:szCs w:val="24"/>
              </w:rPr>
            </w:r>
          </w:p>
        </w:tc>
      </w:tr>
      <w:tr>
        <w:trPr>
          <w:tblHeader w:val="true"/>
          <w:cantSplit w:val="false"/>
        </w:trPr>
        <w:tc>
          <w:tcPr>
            <w:tcW w:type="dxa" w:w="285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16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Gross</w:t>
              <w:br/>
              <w:t>Carrying</w:t>
              <w:br/>
              <w:t>Amount</w:t>
            </w:r>
          </w:p>
        </w:tc>
        <w:tc>
          <w:tcPr>
            <w:tcW w:type="dxa" w:w="1431"/>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Accumulated</w:t>
              <w:br/>
              <w:t>Amortization</w:t>
            </w:r>
          </w:p>
        </w:tc>
        <w:tc>
          <w:tcPr>
            <w:tcW w:type="dxa" w:w="140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Net Carrying</w:t>
              <w:br/>
              <w:t>Amount</w:t>
            </w:r>
          </w:p>
        </w:tc>
        <w:tc>
          <w:tcPr>
            <w:tcW w:type="dxa" w:w="112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Gross</w:t>
              <w:br/>
              <w:t>Carrying</w:t>
              <w:br/>
              <w:t>Amount</w:t>
            </w:r>
          </w:p>
        </w:tc>
        <w:tc>
          <w:tcPr>
            <w:tcW w:type="dxa" w:w="1431"/>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Accumulated</w:t>
              <w:br/>
              <w:t>Amortization</w:t>
            </w:r>
          </w:p>
        </w:tc>
        <w:tc>
          <w:tcPr>
            <w:tcW w:type="dxa" w:w="1400"/>
            <w:tcBorders>
              <w:top w:val="nil"/>
              <w:left w:val="nil"/>
              <w:bottom w:val="nil"/>
              <w:right w:val="nil"/>
            </w:tcBorders>
            <w:shd w:fill="auto" w:val="clear"/>
            <w:tcMar>
              <w:left w:type="dxa" w:w="144"/>
            </w:tcMar>
            <w:vAlign w:val="bottom"/>
          </w:tcPr>
          <w:p>
            <w:pPr>
              <w:pStyle w:val="style0"/>
              <w:ind w:hanging="0" w:left="0" w:right="86"/>
              <w:jc w:val="right"/>
              <w:rPr>
                <w:rFonts w:ascii="Arial" w:cs="Arial" w:hAnsi="Arial"/>
                <w:b/>
                <w:bCs/>
                <w:sz w:val="15"/>
                <w:szCs w:val="15"/>
              </w:rPr>
            </w:pPr>
            <w:r>
              <w:rPr>
                <w:rFonts w:ascii="Arial" w:cs="Arial" w:hAnsi="Arial"/>
                <w:b/>
                <w:bCs/>
                <w:sz w:val="15"/>
                <w:szCs w:val="15"/>
              </w:rPr>
              <w:t>Net Carrying</w:t>
              <w:br/>
              <w:t>Amount</w:t>
            </w:r>
          </w:p>
        </w:tc>
      </w:tr>
      <w:tr>
        <w:trPr>
          <w:cantSplit w:val="false"/>
        </w:trPr>
        <w:tc>
          <w:tcPr>
            <w:tcW w:type="dxa" w:w="10799"/>
            <w:gridSpan w:val="7"/>
            <w:tcBorders>
              <w:top w:val="nil"/>
              <w:left w:val="nil"/>
              <w:bottom w:val="nil"/>
              <w:right w:val="nil"/>
            </w:tcBorders>
            <w:shd w:fill="auto" w:val="clear"/>
            <w:tcMar>
              <w:left w:type="dxa" w:w="144"/>
            </w:tcMar>
            <w:vAlign w:val="bottom"/>
          </w:tcPr>
          <w:p>
            <w:pPr>
              <w:pStyle w:val="style59"/>
              <w:spacing w:after="0" w:before="20"/>
              <w:ind w:hanging="0" w:left="-279" w:right="101"/>
              <w:contextualSpacing w:val="false"/>
              <w:rPr/>
            </w:pPr>
            <w:r>
              <w:rPr/>
              <w:t> </w:t>
            </w:r>
          </w:p>
        </w:tc>
      </w:tr>
      <w:tr>
        <w:trPr>
          <w:trHeight w:hRule="atLeast" w:val="75"/>
          <w:cantSplit w:val="false"/>
        </w:trPr>
        <w:tc>
          <w:tcPr>
            <w:tcW w:type="dxa" w:w="2857"/>
            <w:tcBorders>
              <w:top w:val="nil"/>
              <w:left w:val="nil"/>
              <w:bottom w:val="nil"/>
              <w:right w:val="nil"/>
            </w:tcBorders>
            <w:shd w:fill="auto" w:val="clear"/>
            <w:vAlign w:val="center"/>
          </w:tcPr>
          <w:p>
            <w:pPr>
              <w:pStyle w:val="style0"/>
              <w:rPr>
                <w:sz w:val="8"/>
                <w:szCs w:val="24"/>
              </w:rPr>
            </w:pPr>
            <w:r>
              <w:rPr>
                <w:sz w:val="8"/>
                <w:szCs w:val="24"/>
              </w:rPr>
            </w:r>
          </w:p>
        </w:tc>
        <w:tc>
          <w:tcPr>
            <w:tcW w:type="dxa" w:w="116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431"/>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40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431"/>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400"/>
            <w:tcBorders>
              <w:top w:val="nil"/>
              <w:left w:val="nil"/>
              <w:bottom w:val="nil"/>
              <w:right w:val="nil"/>
            </w:tcBorders>
            <w:shd w:fill="auto" w:val="clear"/>
            <w:vAlign w:val="center"/>
          </w:tcPr>
          <w:p>
            <w:pPr>
              <w:pStyle w:val="style0"/>
              <w:ind w:hanging="0" w:left="0" w:right="86"/>
              <w:rPr>
                <w:sz w:val="8"/>
                <w:szCs w:val="24"/>
              </w:rPr>
            </w:pPr>
            <w:r>
              <w:rPr>
                <w:sz w:val="8"/>
                <w:szCs w:val="24"/>
              </w:rPr>
            </w:r>
          </w:p>
        </w:tc>
      </w:tr>
      <w:tr>
        <w:trPr>
          <w:cantSplit w:val="false"/>
        </w:trPr>
        <w:tc>
          <w:tcPr>
            <w:tcW w:type="dxa" w:w="285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16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431"/>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400"/>
            <w:tcBorders>
              <w:top w:val="nil"/>
              <w:left w:val="nil"/>
              <w:bottom w:val="nil"/>
              <w:right w:val="nil"/>
            </w:tcBorders>
            <w:shd w:fill="auto" w:val="clear"/>
            <w:tcMar>
              <w:left w:type="dxa" w:w="144"/>
            </w:tcMar>
            <w:vAlign w:val="bottom"/>
          </w:tcPr>
          <w:p>
            <w:pPr>
              <w:pStyle w:val="style0"/>
              <w:ind w:hanging="0" w:left="0" w:right="101"/>
              <w:jc w:val="right"/>
              <w:rPr>
                <w:rFonts w:ascii="Arial" w:cs="Arial" w:hAnsi="Arial"/>
                <w:b/>
                <w:bCs/>
                <w:sz w:val="15"/>
                <w:szCs w:val="15"/>
              </w:rPr>
            </w:pPr>
            <w:r>
              <w:rPr>
                <w:rFonts w:ascii="Arial" w:cs="Arial" w:hAnsi="Arial"/>
                <w:b/>
                <w:bCs/>
                <w:sz w:val="15"/>
                <w:szCs w:val="15"/>
              </w:rPr>
              <w:t>2013</w:t>
            </w:r>
          </w:p>
        </w:tc>
        <w:tc>
          <w:tcPr>
            <w:tcW w:type="dxa" w:w="1120"/>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431"/>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400"/>
            <w:tcBorders>
              <w:top w:val="nil"/>
              <w:left w:val="nil"/>
              <w:bottom w:val="nil"/>
              <w:right w:val="nil"/>
            </w:tcBorders>
            <w:shd w:fill="auto" w:val="clear"/>
            <w:tcMar>
              <w:left w:type="dxa" w:w="144"/>
            </w:tcMar>
            <w:vAlign w:val="bottom"/>
          </w:tcPr>
          <w:p>
            <w:pPr>
              <w:pStyle w:val="style0"/>
              <w:ind w:hanging="0" w:left="0" w:right="86"/>
              <w:jc w:val="right"/>
              <w:rPr>
                <w:rFonts w:ascii="Arial" w:cs="Arial" w:hAnsi="Arial"/>
                <w:b/>
                <w:bCs/>
                <w:sz w:val="15"/>
                <w:szCs w:val="15"/>
              </w:rPr>
            </w:pPr>
            <w:r>
              <w:rPr>
                <w:rFonts w:ascii="Arial" w:cs="Arial" w:hAnsi="Arial"/>
                <w:b/>
                <w:bCs/>
                <w:sz w:val="15"/>
                <w:szCs w:val="15"/>
              </w:rPr>
              <w:t>2012</w:t>
            </w:r>
          </w:p>
        </w:tc>
      </w:tr>
      <w:tr>
        <w:trPr>
          <w:trHeight w:hRule="atLeast" w:val="75"/>
          <w:cantSplit w:val="false"/>
        </w:trPr>
        <w:tc>
          <w:tcPr>
            <w:tcW w:type="dxa" w:w="2857"/>
            <w:tcBorders>
              <w:top w:val="nil"/>
              <w:left w:val="nil"/>
              <w:bottom w:val="nil"/>
              <w:right w:val="nil"/>
            </w:tcBorders>
            <w:shd w:fill="auto" w:val="clear"/>
            <w:vAlign w:val="center"/>
          </w:tcPr>
          <w:p>
            <w:pPr>
              <w:pStyle w:val="style0"/>
              <w:rPr>
                <w:sz w:val="8"/>
                <w:szCs w:val="24"/>
              </w:rPr>
            </w:pPr>
            <w:r>
              <w:rPr>
                <w:sz w:val="8"/>
                <w:szCs w:val="24"/>
              </w:rPr>
            </w:r>
          </w:p>
        </w:tc>
        <w:tc>
          <w:tcPr>
            <w:tcW w:type="dxa" w:w="116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431"/>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400"/>
            <w:tcBorders>
              <w:top w:val="nil"/>
              <w:left w:val="nil"/>
              <w:bottom w:val="nil"/>
              <w:right w:val="nil"/>
            </w:tcBorders>
            <w:shd w:fill="auto" w:val="clear"/>
            <w:vAlign w:val="center"/>
          </w:tcPr>
          <w:p>
            <w:pPr>
              <w:pStyle w:val="style0"/>
              <w:ind w:hanging="0" w:left="0" w:right="101"/>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431"/>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400"/>
            <w:tcBorders>
              <w:top w:val="nil"/>
              <w:left w:val="nil"/>
              <w:bottom w:val="nil"/>
              <w:right w:val="nil"/>
            </w:tcBorders>
            <w:shd w:fill="auto" w:val="clear"/>
            <w:vAlign w:val="center"/>
          </w:tcPr>
          <w:p>
            <w:pPr>
              <w:pStyle w:val="style0"/>
              <w:ind w:hanging="0" w:left="0" w:right="86"/>
              <w:rPr>
                <w:sz w:val="8"/>
                <w:szCs w:val="24"/>
              </w:rPr>
            </w:pPr>
            <w:r>
              <w:rPr>
                <w:sz w:val="8"/>
                <w:szCs w:val="24"/>
              </w:rPr>
            </w:r>
          </w:p>
        </w:tc>
      </w:tr>
      <w:tr>
        <w:trPr>
          <w:cantSplit w:val="false"/>
        </w:trPr>
        <w:tc>
          <w:tcPr>
            <w:tcW w:type="dxa" w:w="285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Technology-based </w:t>
            </w:r>
            <w:r>
              <w:rPr>
                <w:rFonts w:ascii="Arial" w:cs="Arial" w:hAnsi="Arial"/>
                <w:sz w:val="15"/>
                <w:szCs w:val="15"/>
                <w:vertAlign w:val="superscript"/>
              </w:rPr>
              <w:t>(a)</w:t>
            </w:r>
          </w:p>
        </w:tc>
        <w:tc>
          <w:tcPr>
            <w:tcW w:type="dxa" w:w="1160"/>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3,760</w:t>
              <w:tab/>
              <w:t> </w:t>
            </w:r>
          </w:p>
        </w:tc>
        <w:tc>
          <w:tcPr>
            <w:tcW w:type="dxa" w:w="14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389" w:right="86"/>
              <w:contextualSpacing w:val="false"/>
              <w:rPr>
                <w:rFonts w:ascii="Arial" w:cs="Arial" w:hAnsi="Arial"/>
                <w:b/>
                <w:bCs/>
                <w:sz w:val="20"/>
                <w:szCs w:val="20"/>
              </w:rPr>
            </w:pPr>
            <w:r>
              <w:rPr>
                <w:rFonts w:ascii="Arial" w:cs="Arial" w:hAnsi="Arial"/>
                <w:b/>
                <w:bCs/>
                <w:sz w:val="20"/>
                <w:szCs w:val="20"/>
              </w:rPr>
              <w:t>$</w:t>
              <w:tab/>
              <w:t>(2,110</w:t>
              <w:tab/>
              <w:t>)</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ind w:hanging="0" w:left="389" w:right="101"/>
              <w:contextualSpacing w:val="false"/>
              <w:rPr>
                <w:rFonts w:ascii="Arial" w:cs="Arial" w:hAnsi="Arial"/>
                <w:b/>
                <w:bCs/>
                <w:sz w:val="20"/>
                <w:szCs w:val="20"/>
              </w:rPr>
            </w:pPr>
            <w:r>
              <w:rPr>
                <w:rFonts w:ascii="Arial" w:cs="Arial" w:hAnsi="Arial"/>
                <w:b/>
                <w:bCs/>
                <w:sz w:val="20"/>
                <w:szCs w:val="20"/>
              </w:rPr>
              <w:t>$</w:t>
              <w:tab/>
              <w:t>1,650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3,550</w:t>
              <w:tab/>
              <w:t> </w:t>
            </w:r>
          </w:p>
        </w:tc>
        <w:tc>
          <w:tcPr>
            <w:tcW w:type="dxa" w:w="14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389" w:right="86"/>
              <w:contextualSpacing w:val="false"/>
              <w:rPr>
                <w:rFonts w:ascii="Arial" w:cs="Arial" w:hAnsi="Arial"/>
                <w:sz w:val="20"/>
                <w:szCs w:val="20"/>
              </w:rPr>
            </w:pPr>
            <w:r>
              <w:rPr>
                <w:rFonts w:ascii="Arial" w:cs="Arial" w:hAnsi="Arial"/>
                <w:sz w:val="20"/>
                <w:szCs w:val="20"/>
              </w:rPr>
              <w:t>$</w:t>
              <w:tab/>
              <w:t>(1,899</w:t>
              <w:tab/>
              <w:t>)</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ind w:hanging="0" w:left="389" w:right="86"/>
              <w:contextualSpacing w:val="false"/>
              <w:rPr>
                <w:rFonts w:ascii="Arial" w:cs="Arial" w:hAnsi="Arial"/>
                <w:sz w:val="20"/>
                <w:szCs w:val="20"/>
              </w:rPr>
            </w:pPr>
            <w:r>
              <w:rPr>
                <w:rFonts w:ascii="Arial" w:cs="Arial" w:hAnsi="Arial"/>
                <w:sz w:val="20"/>
                <w:szCs w:val="20"/>
              </w:rPr>
              <w:t>$</w:t>
              <w:tab/>
              <w:t>1,651</w:t>
              <w:tab/>
              <w:t> </w:t>
            </w:r>
          </w:p>
        </w:tc>
      </w:tr>
      <w:tr>
        <w:trPr>
          <w:cantSplit w:val="false"/>
        </w:trPr>
        <w:tc>
          <w:tcPr>
            <w:tcW w:type="dxa" w:w="285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Marketing-related</w:t>
            </w:r>
          </w:p>
        </w:tc>
        <w:tc>
          <w:tcPr>
            <w:tcW w:type="dxa" w:w="1160"/>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1,348</w:t>
              <w:tab/>
            </w:r>
          </w:p>
        </w:tc>
        <w:tc>
          <w:tcPr>
            <w:tcW w:type="dxa" w:w="14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389" w:right="86"/>
              <w:contextualSpacing w:val="false"/>
              <w:rPr>
                <w:rFonts w:ascii="Arial" w:cs="Arial" w:hAnsi="Arial"/>
                <w:b/>
                <w:bCs/>
                <w:sz w:val="20"/>
                <w:szCs w:val="20"/>
              </w:rPr>
            </w:pPr>
            <w:r>
              <w:rPr>
                <w:rFonts w:ascii="Arial" w:cs="Arial" w:hAnsi="Arial"/>
                <w:b/>
                <w:bCs/>
                <w:sz w:val="20"/>
                <w:szCs w:val="20"/>
              </w:rPr>
              <w:tab/>
              <w:t>(211</w:t>
              <w:tab/>
              <w:t>)</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ind w:hanging="0" w:left="389" w:right="101"/>
              <w:contextualSpacing w:val="false"/>
              <w:rPr>
                <w:rFonts w:ascii="Arial" w:cs="Arial" w:hAnsi="Arial"/>
                <w:b/>
                <w:bCs/>
                <w:sz w:val="20"/>
                <w:szCs w:val="20"/>
              </w:rPr>
            </w:pPr>
            <w:r>
              <w:rPr>
                <w:rFonts w:ascii="Arial" w:cs="Arial" w:hAnsi="Arial"/>
                <w:b/>
                <w:bCs/>
                <w:sz w:val="20"/>
                <w:szCs w:val="20"/>
              </w:rPr>
              <w:tab/>
              <w:t>1,137</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86"/>
              <w:contextualSpacing w:val="false"/>
              <w:rPr>
                <w:rFonts w:ascii="Arial" w:cs="Arial" w:hAnsi="Arial"/>
                <w:sz w:val="20"/>
                <w:szCs w:val="20"/>
              </w:rPr>
            </w:pPr>
            <w:r>
              <w:rPr>
                <w:rFonts w:ascii="Arial" w:cs="Arial" w:hAnsi="Arial"/>
                <w:sz w:val="20"/>
                <w:szCs w:val="20"/>
              </w:rPr>
              <w:tab/>
              <w:t>1,325</w:t>
              <w:tab/>
            </w:r>
          </w:p>
        </w:tc>
        <w:tc>
          <w:tcPr>
            <w:tcW w:type="dxa" w:w="14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389" w:right="86"/>
              <w:contextualSpacing w:val="false"/>
              <w:rPr>
                <w:rFonts w:ascii="Arial" w:cs="Arial" w:hAnsi="Arial"/>
                <w:sz w:val="20"/>
                <w:szCs w:val="20"/>
              </w:rPr>
            </w:pPr>
            <w:r>
              <w:rPr>
                <w:rFonts w:ascii="Arial" w:cs="Arial" w:hAnsi="Arial"/>
                <w:sz w:val="20"/>
                <w:szCs w:val="20"/>
              </w:rPr>
              <w:tab/>
              <w:t>(136</w:t>
              <w:tab/>
              <w:t>)</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ind w:hanging="0" w:left="389" w:right="86"/>
              <w:contextualSpacing w:val="false"/>
              <w:rPr>
                <w:rFonts w:ascii="Arial" w:cs="Arial" w:hAnsi="Arial"/>
                <w:sz w:val="20"/>
                <w:szCs w:val="20"/>
              </w:rPr>
            </w:pPr>
            <w:r>
              <w:rPr>
                <w:rFonts w:ascii="Arial" w:cs="Arial" w:hAnsi="Arial"/>
                <w:sz w:val="20"/>
                <w:szCs w:val="20"/>
              </w:rPr>
              <w:tab/>
              <w:t>1,189</w:t>
              <w:tab/>
            </w:r>
          </w:p>
        </w:tc>
      </w:tr>
      <w:tr>
        <w:trPr>
          <w:cantSplit w:val="false"/>
        </w:trPr>
        <w:tc>
          <w:tcPr>
            <w:tcW w:type="dxa" w:w="285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Contract-based</w:t>
            </w:r>
          </w:p>
        </w:tc>
        <w:tc>
          <w:tcPr>
            <w:tcW w:type="dxa" w:w="1160"/>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823</w:t>
              <w:tab/>
            </w:r>
          </w:p>
        </w:tc>
        <w:tc>
          <w:tcPr>
            <w:tcW w:type="dxa" w:w="14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389" w:right="86"/>
              <w:contextualSpacing w:val="false"/>
              <w:rPr>
                <w:rFonts w:ascii="Arial" w:cs="Arial" w:hAnsi="Arial"/>
                <w:b/>
                <w:bCs/>
                <w:sz w:val="20"/>
                <w:szCs w:val="20"/>
              </w:rPr>
            </w:pPr>
            <w:r>
              <w:rPr>
                <w:rFonts w:ascii="Arial" w:cs="Arial" w:hAnsi="Arial"/>
                <w:b/>
                <w:bCs/>
                <w:sz w:val="20"/>
                <w:szCs w:val="20"/>
              </w:rPr>
              <w:tab/>
              <w:t>(688</w:t>
              <w:tab/>
              <w:t>)</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ind w:hanging="0" w:left="389" w:right="101"/>
              <w:contextualSpacing w:val="false"/>
              <w:rPr>
                <w:rFonts w:ascii="Arial" w:cs="Arial" w:hAnsi="Arial"/>
                <w:b/>
                <w:bCs/>
                <w:sz w:val="20"/>
                <w:szCs w:val="20"/>
              </w:rPr>
            </w:pPr>
            <w:r>
              <w:rPr>
                <w:rFonts w:ascii="Arial" w:cs="Arial" w:hAnsi="Arial"/>
                <w:b/>
                <w:bCs/>
                <w:sz w:val="20"/>
                <w:szCs w:val="20"/>
              </w:rPr>
              <w:tab/>
              <w:t>135</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86"/>
              <w:contextualSpacing w:val="false"/>
              <w:rPr>
                <w:rFonts w:ascii="Arial" w:cs="Arial" w:hAnsi="Arial"/>
                <w:sz w:val="20"/>
                <w:szCs w:val="20"/>
              </w:rPr>
            </w:pPr>
            <w:r>
              <w:rPr>
                <w:rFonts w:ascii="Arial" w:cs="Arial" w:hAnsi="Arial"/>
                <w:sz w:val="20"/>
                <w:szCs w:val="20"/>
              </w:rPr>
              <w:tab/>
              <w:t>824</w:t>
              <w:tab/>
            </w:r>
          </w:p>
        </w:tc>
        <w:tc>
          <w:tcPr>
            <w:tcW w:type="dxa" w:w="14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389" w:right="86"/>
              <w:contextualSpacing w:val="false"/>
              <w:rPr>
                <w:rFonts w:ascii="Arial" w:cs="Arial" w:hAnsi="Arial"/>
                <w:sz w:val="20"/>
                <w:szCs w:val="20"/>
              </w:rPr>
            </w:pPr>
            <w:r>
              <w:rPr>
                <w:rFonts w:ascii="Arial" w:cs="Arial" w:hAnsi="Arial"/>
                <w:sz w:val="20"/>
                <w:szCs w:val="20"/>
              </w:rPr>
              <w:tab/>
              <w:t>(644</w:t>
              <w:tab/>
              <w:t>)</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ind w:hanging="0" w:left="389" w:right="86"/>
              <w:contextualSpacing w:val="false"/>
              <w:rPr>
                <w:rFonts w:ascii="Arial" w:cs="Arial" w:hAnsi="Arial"/>
                <w:sz w:val="20"/>
                <w:szCs w:val="20"/>
              </w:rPr>
            </w:pPr>
            <w:r>
              <w:rPr>
                <w:rFonts w:ascii="Arial" w:cs="Arial" w:hAnsi="Arial"/>
                <w:sz w:val="20"/>
                <w:szCs w:val="20"/>
              </w:rPr>
              <w:tab/>
              <w:t>180</w:t>
              <w:tab/>
            </w:r>
          </w:p>
        </w:tc>
      </w:tr>
      <w:tr>
        <w:trPr>
          <w:cantSplit w:val="false"/>
        </w:trPr>
        <w:tc>
          <w:tcPr>
            <w:tcW w:type="dxa" w:w="285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Customer-related</w:t>
            </w:r>
          </w:p>
        </w:tc>
        <w:tc>
          <w:tcPr>
            <w:tcW w:type="dxa" w:w="1160"/>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380</w:t>
              <w:tab/>
            </w:r>
          </w:p>
        </w:tc>
        <w:tc>
          <w:tcPr>
            <w:tcW w:type="dxa" w:w="14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389" w:right="86"/>
              <w:contextualSpacing w:val="false"/>
              <w:rPr>
                <w:rFonts w:ascii="Arial" w:cs="Arial" w:hAnsi="Arial"/>
                <w:b/>
                <w:bCs/>
                <w:sz w:val="20"/>
                <w:szCs w:val="20"/>
              </w:rPr>
            </w:pPr>
            <w:r>
              <w:rPr>
                <w:rFonts w:ascii="Arial" w:cs="Arial" w:hAnsi="Arial"/>
                <w:b/>
                <w:bCs/>
                <w:sz w:val="20"/>
                <w:szCs w:val="20"/>
              </w:rPr>
              <w:tab/>
              <w:t>(219</w:t>
              <w:tab/>
              <w:t>)</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ind w:hanging="0" w:left="389" w:right="101"/>
              <w:contextualSpacing w:val="false"/>
              <w:rPr>
                <w:rFonts w:ascii="Arial" w:cs="Arial" w:hAnsi="Arial"/>
                <w:b/>
                <w:bCs/>
                <w:sz w:val="20"/>
                <w:szCs w:val="20"/>
              </w:rPr>
            </w:pPr>
            <w:r>
              <w:rPr>
                <w:rFonts w:ascii="Arial" w:cs="Arial" w:hAnsi="Arial"/>
                <w:b/>
                <w:bCs/>
                <w:sz w:val="20"/>
                <w:szCs w:val="20"/>
              </w:rPr>
              <w:tab/>
              <w:t>161</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86"/>
              <w:contextualSpacing w:val="false"/>
              <w:rPr>
                <w:rFonts w:ascii="Arial" w:cs="Arial" w:hAnsi="Arial"/>
                <w:sz w:val="20"/>
                <w:szCs w:val="20"/>
              </w:rPr>
            </w:pPr>
            <w:r>
              <w:rPr>
                <w:rFonts w:ascii="Arial" w:cs="Arial" w:hAnsi="Arial"/>
                <w:sz w:val="20"/>
                <w:szCs w:val="20"/>
              </w:rPr>
              <w:tab/>
              <w:t>408</w:t>
              <w:tab/>
            </w:r>
          </w:p>
        </w:tc>
        <w:tc>
          <w:tcPr>
            <w:tcW w:type="dxa" w:w="14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389" w:right="86"/>
              <w:contextualSpacing w:val="false"/>
              <w:rPr>
                <w:rFonts w:ascii="Arial" w:cs="Arial" w:hAnsi="Arial"/>
                <w:sz w:val="20"/>
                <w:szCs w:val="20"/>
              </w:rPr>
            </w:pPr>
            <w:r>
              <w:rPr>
                <w:rFonts w:ascii="Arial" w:cs="Arial" w:hAnsi="Arial"/>
                <w:sz w:val="20"/>
                <w:szCs w:val="20"/>
              </w:rPr>
              <w:tab/>
              <w:t>(258</w:t>
              <w:tab/>
              <w:t>)</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ind w:hanging="0" w:left="389" w:right="86"/>
              <w:contextualSpacing w:val="false"/>
              <w:rPr>
                <w:rFonts w:ascii="Arial" w:cs="Arial" w:hAnsi="Arial"/>
                <w:sz w:val="20"/>
                <w:szCs w:val="20"/>
              </w:rPr>
            </w:pPr>
            <w:r>
              <w:rPr>
                <w:rFonts w:ascii="Arial" w:cs="Arial" w:hAnsi="Arial"/>
                <w:sz w:val="20"/>
                <w:szCs w:val="20"/>
              </w:rPr>
              <w:tab/>
              <w:t>150</w:t>
              <w:tab/>
            </w:r>
          </w:p>
        </w:tc>
      </w:tr>
      <w:tr>
        <w:trPr>
          <w:cantSplit w:val="false"/>
        </w:trPr>
        <w:tc>
          <w:tcPr>
            <w:tcW w:type="dxa" w:w="4017"/>
            <w:gridSpan w:val="2"/>
            <w:tcBorders>
              <w:top w:val="nil"/>
              <w:left w:val="nil"/>
              <w:bottom w:val="nil"/>
              <w:right w:val="nil"/>
            </w:tcBorders>
            <w:shd w:fill="auto" w:val="clear"/>
            <w:vAlign w:val="bottom"/>
          </w:tcPr>
          <w:p>
            <w:pPr>
              <w:pStyle w:val="style59"/>
              <w:spacing w:after="0" w:before="20"/>
              <w:ind w:hanging="0" w:left="-279" w:right="86"/>
              <w:contextualSpacing w:val="false"/>
              <w:rPr/>
            </w:pPr>
            <w:r>
              <w:rPr/>
              <w:t> </w:t>
            </w:r>
          </w:p>
        </w:tc>
        <w:tc>
          <w:tcPr>
            <w:tcW w:type="dxa" w:w="1431"/>
            <w:tcBorders>
              <w:top w:val="nil"/>
              <w:left w:val="nil"/>
              <w:bottom w:val="nil"/>
              <w:right w:val="nil"/>
            </w:tcBorders>
            <w:shd w:fill="auto" w:val="clear"/>
            <w:tcMar>
              <w:left w:type="dxa" w:w="144"/>
            </w:tcMar>
            <w:vAlign w:val="bottom"/>
          </w:tcPr>
          <w:p>
            <w:pPr>
              <w:pStyle w:val="style59"/>
              <w:spacing w:after="0" w:before="20"/>
              <w:ind w:hanging="0" w:left="389" w:right="86"/>
              <w:contextualSpacing w:val="false"/>
              <w:rPr/>
            </w:pPr>
            <w:r>
              <w:rPr/>
              <w:t> </w:t>
            </w:r>
          </w:p>
        </w:tc>
        <w:tc>
          <w:tcPr>
            <w:tcW w:type="dxa" w:w="1400"/>
            <w:tcBorders>
              <w:top w:val="nil"/>
              <w:left w:val="nil"/>
              <w:bottom w:val="nil"/>
              <w:right w:val="nil"/>
            </w:tcBorders>
            <w:shd w:fill="auto" w:val="clear"/>
            <w:tcMar>
              <w:left w:type="dxa" w:w="144"/>
            </w:tcMar>
            <w:vAlign w:val="bottom"/>
          </w:tcPr>
          <w:p>
            <w:pPr>
              <w:pStyle w:val="style59"/>
              <w:spacing w:after="0" w:before="20"/>
              <w:ind w:hanging="0" w:left="389" w:right="101"/>
              <w:contextualSpacing w:val="false"/>
              <w:rPr/>
            </w:pPr>
            <w:r>
              <w:rPr/>
              <w:t> </w:t>
            </w:r>
          </w:p>
        </w:tc>
        <w:tc>
          <w:tcPr>
            <w:tcW w:type="dxa" w:w="1120"/>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c>
          <w:tcPr>
            <w:tcW w:type="dxa" w:w="1431"/>
            <w:tcBorders>
              <w:top w:val="nil"/>
              <w:left w:val="nil"/>
              <w:bottom w:val="nil"/>
              <w:right w:val="nil"/>
            </w:tcBorders>
            <w:shd w:fill="auto" w:val="clear"/>
            <w:tcMar>
              <w:left w:type="dxa" w:w="144"/>
            </w:tcMar>
            <w:vAlign w:val="bottom"/>
          </w:tcPr>
          <w:p>
            <w:pPr>
              <w:pStyle w:val="style59"/>
              <w:spacing w:after="0" w:before="20"/>
              <w:ind w:hanging="0" w:left="389" w:right="86"/>
              <w:contextualSpacing w:val="false"/>
              <w:rPr/>
            </w:pPr>
            <w:r>
              <w:rPr/>
              <w:t> </w:t>
            </w:r>
          </w:p>
        </w:tc>
        <w:tc>
          <w:tcPr>
            <w:tcW w:type="dxa" w:w="1400"/>
            <w:tcBorders>
              <w:top w:val="nil"/>
              <w:left w:val="nil"/>
              <w:bottom w:val="nil"/>
              <w:right w:val="nil"/>
            </w:tcBorders>
            <w:shd w:fill="auto" w:val="clear"/>
            <w:tcMar>
              <w:left w:type="dxa" w:w="144"/>
            </w:tcMar>
            <w:vAlign w:val="bottom"/>
          </w:tcPr>
          <w:p>
            <w:pPr>
              <w:pStyle w:val="style59"/>
              <w:spacing w:after="0" w:before="20"/>
              <w:ind w:hanging="0" w:left="389" w:right="86"/>
              <w:contextualSpacing w:val="false"/>
              <w:rPr/>
            </w:pPr>
            <w:r>
              <w:rPr/>
              <w:t> </w:t>
            </w:r>
          </w:p>
        </w:tc>
      </w:tr>
      <w:tr>
        <w:trPr>
          <w:cantSplit w:val="false"/>
        </w:trPr>
        <w:tc>
          <w:tcPr>
            <w:tcW w:type="dxa" w:w="285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160"/>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  6,311</w:t>
              <w:tab/>
            </w:r>
          </w:p>
        </w:tc>
        <w:tc>
          <w:tcPr>
            <w:tcW w:type="dxa" w:w="14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389" w:right="86"/>
              <w:contextualSpacing w:val="false"/>
              <w:rPr>
                <w:rFonts w:ascii="Arial" w:cs="Arial" w:hAnsi="Arial"/>
                <w:b/>
                <w:bCs/>
                <w:sz w:val="20"/>
                <w:szCs w:val="20"/>
              </w:rPr>
            </w:pPr>
            <w:r>
              <w:rPr>
                <w:rFonts w:ascii="Arial" w:cs="Arial" w:hAnsi="Arial"/>
                <w:b/>
                <w:bCs/>
                <w:sz w:val="20"/>
                <w:szCs w:val="20"/>
              </w:rPr>
              <w:t>$</w:t>
              <w:tab/>
              <w:t>  (3,228</w:t>
              <w:tab/>
              <w:t>)</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ind w:hanging="0" w:left="389" w:right="101"/>
              <w:contextualSpacing w:val="false"/>
              <w:rPr>
                <w:rFonts w:ascii="Arial" w:cs="Arial" w:hAnsi="Arial"/>
                <w:b/>
                <w:bCs/>
                <w:sz w:val="20"/>
                <w:szCs w:val="20"/>
              </w:rPr>
            </w:pPr>
            <w:r>
              <w:rPr>
                <w:rFonts w:ascii="Arial" w:cs="Arial" w:hAnsi="Arial"/>
                <w:b/>
                <w:bCs/>
                <w:sz w:val="20"/>
                <w:szCs w:val="20"/>
              </w:rPr>
              <w:t>$</w:t>
              <w:tab/>
              <w:t>  3,083</w:t>
              <w:tab/>
              <w:t> </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6,107</w:t>
              <w:tab/>
            </w:r>
          </w:p>
        </w:tc>
        <w:tc>
          <w:tcPr>
            <w:tcW w:type="dxa" w:w="14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389" w:right="86"/>
              <w:contextualSpacing w:val="false"/>
              <w:rPr>
                <w:rFonts w:ascii="Arial" w:cs="Arial" w:hAnsi="Arial"/>
                <w:sz w:val="20"/>
                <w:szCs w:val="20"/>
              </w:rPr>
            </w:pPr>
            <w:r>
              <w:rPr>
                <w:rFonts w:ascii="Arial" w:cs="Arial" w:hAnsi="Arial"/>
                <w:sz w:val="20"/>
                <w:szCs w:val="20"/>
              </w:rPr>
              <w:t>$</w:t>
              <w:tab/>
              <w:t>  (2,937</w:t>
              <w:tab/>
              <w:t>)</w:t>
            </w:r>
          </w:p>
        </w:tc>
        <w:tc>
          <w:tcPr>
            <w:tcW w:type="dxa" w:w="1400"/>
            <w:tcBorders>
              <w:top w:val="nil"/>
              <w:left w:val="nil"/>
              <w:bottom w:val="nil"/>
              <w:right w:val="nil"/>
            </w:tcBorders>
            <w:shd w:fill="auto" w:val="clear"/>
            <w:tcMar>
              <w:left w:type="dxa" w:w="144"/>
            </w:tcMar>
            <w:vAlign w:val="bottom"/>
          </w:tcPr>
          <w:p>
            <w:pPr>
              <w:pStyle w:val="style62"/>
              <w:tabs>
                <w:tab w:leader="none" w:pos="1200" w:val="right"/>
                <w:tab w:leader="none" w:pos="1240" w:val="decimal"/>
              </w:tabs>
              <w:spacing w:after="280" w:before="280"/>
              <w:ind w:hanging="0" w:left="389" w:right="86"/>
              <w:contextualSpacing w:val="false"/>
              <w:rPr>
                <w:rFonts w:ascii="Arial" w:cs="Arial" w:hAnsi="Arial"/>
                <w:sz w:val="20"/>
                <w:szCs w:val="20"/>
              </w:rPr>
            </w:pPr>
            <w:r>
              <w:rPr>
                <w:rFonts w:ascii="Arial" w:cs="Arial" w:hAnsi="Arial"/>
                <w:sz w:val="20"/>
                <w:szCs w:val="20"/>
              </w:rPr>
              <w:t>$</w:t>
              <w:tab/>
              <w:t>  3,170</w:t>
              <w:tab/>
            </w:r>
          </w:p>
        </w:tc>
      </w:tr>
      <w:tr>
        <w:trPr>
          <w:cantSplit w:val="false"/>
        </w:trPr>
        <w:tc>
          <w:tcPr>
            <w:tcW w:type="dxa" w:w="2857"/>
            <w:tcBorders>
              <w:top w:val="nil"/>
              <w:left w:val="nil"/>
              <w:bottom w:val="nil"/>
              <w:right w:val="nil"/>
            </w:tcBorders>
            <w:shd w:fill="auto" w:val="clear"/>
            <w:tcMar>
              <w:left w:type="dxa" w:w="144"/>
            </w:tcMar>
            <w:vAlign w:val="bottom"/>
          </w:tcPr>
          <w:p>
            <w:pPr>
              <w:pStyle w:val="style65"/>
              <w:rPr/>
            </w:pPr>
            <w:r>
              <w:rPr/>
              <w:t> </w:t>
            </w:r>
          </w:p>
        </w:tc>
        <w:tc>
          <w:tcPr>
            <w:tcW w:type="dxa" w:w="1160"/>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431"/>
            <w:tcBorders>
              <w:top w:val="nil"/>
              <w:left w:val="nil"/>
              <w:bottom w:val="nil"/>
              <w:right w:val="nil"/>
            </w:tcBorders>
            <w:shd w:fill="auto" w:val="clear"/>
            <w:tcMar>
              <w:left w:type="dxa" w:w="144"/>
            </w:tcMar>
            <w:vAlign w:val="bottom"/>
          </w:tcPr>
          <w:p>
            <w:pPr>
              <w:pStyle w:val="style63"/>
              <w:spacing w:after="0" w:before="20"/>
              <w:ind w:hanging="0" w:left="389" w:right="86"/>
              <w:contextualSpacing w:val="false"/>
              <w:rPr/>
            </w:pPr>
            <w:r>
              <w:rPr/>
              <w:t> </w:t>
            </w:r>
          </w:p>
        </w:tc>
        <w:tc>
          <w:tcPr>
            <w:tcW w:type="dxa" w:w="1400"/>
            <w:tcBorders>
              <w:top w:val="nil"/>
              <w:left w:val="nil"/>
              <w:bottom w:val="nil"/>
              <w:right w:val="nil"/>
            </w:tcBorders>
            <w:shd w:fill="auto" w:val="clear"/>
            <w:tcMar>
              <w:left w:type="dxa" w:w="144"/>
            </w:tcMar>
            <w:vAlign w:val="bottom"/>
          </w:tcPr>
          <w:p>
            <w:pPr>
              <w:pStyle w:val="style63"/>
              <w:spacing w:after="0" w:before="20"/>
              <w:ind w:hanging="0" w:left="389" w:right="101"/>
              <w:contextualSpacing w:val="false"/>
              <w:rPr/>
            </w:pPr>
            <w:r>
              <w:rPr/>
              <w:t> </w:t>
            </w:r>
          </w:p>
        </w:tc>
        <w:tc>
          <w:tcPr>
            <w:tcW w:type="dxa" w:w="1120"/>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431"/>
            <w:tcBorders>
              <w:top w:val="nil"/>
              <w:left w:val="nil"/>
              <w:bottom w:val="nil"/>
              <w:right w:val="nil"/>
            </w:tcBorders>
            <w:shd w:fill="auto" w:val="clear"/>
            <w:tcMar>
              <w:left w:type="dxa" w:w="144"/>
            </w:tcMar>
            <w:vAlign w:val="bottom"/>
          </w:tcPr>
          <w:p>
            <w:pPr>
              <w:pStyle w:val="style63"/>
              <w:spacing w:after="0" w:before="20"/>
              <w:ind w:hanging="0" w:left="389" w:right="86"/>
              <w:contextualSpacing w:val="false"/>
              <w:rPr/>
            </w:pPr>
            <w:r>
              <w:rPr/>
              <w:t> </w:t>
            </w:r>
          </w:p>
        </w:tc>
        <w:tc>
          <w:tcPr>
            <w:tcW w:type="dxa" w:w="1400"/>
            <w:tcBorders>
              <w:top w:val="nil"/>
              <w:left w:val="nil"/>
              <w:bottom w:val="nil"/>
              <w:right w:val="nil"/>
            </w:tcBorders>
            <w:shd w:fill="auto" w:val="clear"/>
            <w:tcMar>
              <w:left w:type="dxa" w:w="144"/>
            </w:tcMar>
            <w:vAlign w:val="bottom"/>
          </w:tcPr>
          <w:p>
            <w:pPr>
              <w:pStyle w:val="style63"/>
              <w:spacing w:after="0" w:before="20"/>
              <w:ind w:hanging="0" w:left="389" w:right="86"/>
              <w:contextualSpacing w:val="false"/>
              <w:rPr/>
            </w:pPr>
            <w:r>
              <w:rPr/>
              <w:t> </w:t>
            </w:r>
          </w:p>
        </w:tc>
      </w:tr>
    </w:tbl>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(a)</w:t>
        <w:tab/>
      </w:r>
      <w:r>
        <w:rPr>
          <w:rFonts w:ascii="Arial" w:cs="Arial" w:hAnsi="Arial"/>
          <w:i/>
          <w:iCs/>
          <w:sz w:val="20"/>
          <w:szCs w:val="20"/>
        </w:rPr>
        <w:t>Technology-based intangible assets included $218 million and $177 million as of June 30, 2013 and 2012, respectively, of net carrying amount of software to be sold, leased, or otherwise marketed.</w:t>
      </w:r>
      <w:r>
        <w:rPr>
          <w:rFonts w:ascii="Arial" w:cs="Arial" w:hAnsi="Arial"/>
          <w:sz w:val="20"/>
          <w:szCs w:val="20"/>
        </w:rPr>
        <w:t xml:space="preserv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estimate that we have no significant residual value related to our intangible assets. No material impairments of intangible assets were identified during any of the periods presented.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components of intangible assets acquired during the periods presented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5879"/>
        <w:gridCol w:w="1039"/>
        <w:gridCol w:w="1379"/>
        <w:gridCol w:w="1120"/>
        <w:gridCol w:w="1383"/>
      </w:tblGrid>
      <w:tr>
        <w:trPr>
          <w:tblHeader w:val="true"/>
          <w:cantSplit w:val="false"/>
        </w:trPr>
        <w:tc>
          <w:tcPr>
            <w:tcW w:type="dxa" w:w="5879"/>
            <w:tcBorders>
              <w:top w:val="nil"/>
              <w:left w:val="nil"/>
              <w:bottom w:val="nil"/>
              <w:right w:val="nil"/>
            </w:tcBorders>
            <w:shd w:fill="auto" w:val="clear"/>
            <w:vAlign w:val="center"/>
          </w:tcPr>
          <w:p>
            <w:pPr>
              <w:pStyle w:val="style0"/>
              <w:rPr>
                <w:sz w:val="1"/>
                <w:szCs w:val="24"/>
              </w:rPr>
            </w:pPr>
            <w:r>
              <w:rPr>
                <w:sz w:val="1"/>
                <w:szCs w:val="24"/>
              </w:rPr>
            </w:r>
          </w:p>
        </w:tc>
        <w:tc>
          <w:tcPr>
            <w:tcW w:type="dxa" w:w="1039"/>
            <w:tcBorders>
              <w:top w:val="nil"/>
              <w:left w:val="nil"/>
              <w:bottom w:val="nil"/>
              <w:right w:val="nil"/>
            </w:tcBorders>
            <w:shd w:fill="auto" w:val="clear"/>
            <w:vAlign w:val="center"/>
          </w:tcPr>
          <w:p>
            <w:pPr>
              <w:pStyle w:val="style0"/>
              <w:rPr>
                <w:sz w:val="1"/>
                <w:szCs w:val="24"/>
              </w:rPr>
            </w:pPr>
            <w:r>
              <w:rPr>
                <w:sz w:val="1"/>
                <w:szCs w:val="24"/>
              </w:rPr>
            </w:r>
          </w:p>
        </w:tc>
        <w:tc>
          <w:tcPr>
            <w:tcW w:type="dxa" w:w="1379"/>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383"/>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58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039"/>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Amount</w:t>
            </w:r>
          </w:p>
        </w:tc>
        <w:tc>
          <w:tcPr>
            <w:tcW w:type="dxa" w:w="1379"/>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Weighted</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Average Life</w:t>
            </w:r>
          </w:p>
        </w:tc>
        <w:tc>
          <w:tcPr>
            <w:tcW w:type="dxa" w:w="1120"/>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Amount</w:t>
            </w:r>
          </w:p>
        </w:tc>
        <w:tc>
          <w:tcPr>
            <w:tcW w:type="dxa" w:w="1383"/>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Weighted</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Average Life</w:t>
            </w:r>
          </w:p>
        </w:tc>
      </w:tr>
      <w:tr>
        <w:trPr>
          <w:cantSplit w:val="false"/>
        </w:trPr>
        <w:tc>
          <w:tcPr>
            <w:tcW w:type="dxa" w:w="10800"/>
            <w:gridSpan w:val="5"/>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r>
      <w:tr>
        <w:trPr>
          <w:trHeight w:hRule="atLeast" w:val="75"/>
          <w:cantSplit w:val="false"/>
        </w:trPr>
        <w:tc>
          <w:tcPr>
            <w:tcW w:type="dxa" w:w="5879"/>
            <w:tcBorders>
              <w:top w:val="nil"/>
              <w:left w:val="nil"/>
              <w:bottom w:val="nil"/>
              <w:right w:val="nil"/>
            </w:tcBorders>
            <w:shd w:fill="auto" w:val="clear"/>
            <w:vAlign w:val="center"/>
          </w:tcPr>
          <w:p>
            <w:pPr>
              <w:pStyle w:val="style0"/>
              <w:rPr>
                <w:sz w:val="8"/>
                <w:szCs w:val="24"/>
              </w:rPr>
            </w:pPr>
            <w:r>
              <w:rPr>
                <w:sz w:val="8"/>
                <w:szCs w:val="24"/>
              </w:rPr>
            </w:r>
          </w:p>
        </w:tc>
        <w:tc>
          <w:tcPr>
            <w:tcW w:type="dxa" w:w="1039"/>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379"/>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383"/>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58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039"/>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2013</w:t>
            </w:r>
          </w:p>
        </w:tc>
        <w:tc>
          <w:tcPr>
            <w:tcW w:type="dxa" w:w="1379"/>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120"/>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2012</w:t>
            </w:r>
          </w:p>
        </w:tc>
        <w:tc>
          <w:tcPr>
            <w:tcW w:type="dxa" w:w="1383"/>
            <w:tcBorders>
              <w:top w:val="nil"/>
              <w:left w:val="nil"/>
              <w:bottom w:val="nil"/>
              <w:right w:val="nil"/>
            </w:tcBorders>
            <w:shd w:fill="auto" w:val="clear"/>
            <w:tcMar>
              <w:left w:type="dxa" w:w="144"/>
            </w:tcMar>
            <w:vAlign w:val="bottom"/>
          </w:tcPr>
          <w:p>
            <w:pPr>
              <w:pStyle w:val="style65"/>
              <w:rPr/>
            </w:pPr>
            <w:r>
              <w:rPr/>
              <w:t> </w:t>
            </w:r>
          </w:p>
        </w:tc>
      </w:tr>
      <w:tr>
        <w:trPr>
          <w:trHeight w:hRule="atLeast" w:val="75"/>
          <w:cantSplit w:val="false"/>
        </w:trPr>
        <w:tc>
          <w:tcPr>
            <w:tcW w:type="dxa" w:w="5879"/>
            <w:tcBorders>
              <w:top w:val="nil"/>
              <w:left w:val="nil"/>
              <w:bottom w:val="nil"/>
              <w:right w:val="nil"/>
            </w:tcBorders>
            <w:shd w:fill="auto" w:val="clear"/>
            <w:vAlign w:val="center"/>
          </w:tcPr>
          <w:p>
            <w:pPr>
              <w:pStyle w:val="style0"/>
              <w:rPr>
                <w:sz w:val="8"/>
                <w:szCs w:val="24"/>
              </w:rPr>
            </w:pPr>
            <w:r>
              <w:rPr>
                <w:sz w:val="8"/>
                <w:szCs w:val="24"/>
              </w:rPr>
            </w:r>
          </w:p>
        </w:tc>
        <w:tc>
          <w:tcPr>
            <w:tcW w:type="dxa" w:w="1039"/>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379"/>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383"/>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58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Technology-based</w:t>
            </w:r>
          </w:p>
        </w:tc>
        <w:tc>
          <w:tcPr>
            <w:tcW w:type="dxa" w:w="1039"/>
            <w:tcBorders>
              <w:top w:val="nil"/>
              <w:left w:val="nil"/>
              <w:bottom w:val="nil"/>
              <w:right w:val="nil"/>
            </w:tcBorders>
            <w:shd w:fill="auto" w:val="clear"/>
            <w:tcMar>
              <w:left w:type="dxa" w:w="144"/>
            </w:tcMar>
            <w:vAlign w:val="bottom"/>
          </w:tcPr>
          <w:p>
            <w:pPr>
              <w:pStyle w:val="style62"/>
              <w:tabs>
                <w:tab w:leader="none" w:pos="840" w:val="right"/>
                <w:tab w:leader="none" w:pos="8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539</w:t>
              <w:tab/>
              <w:t> </w:t>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0" w:right="86"/>
              <w:contextualSpacing w:val="false"/>
              <w:rPr>
                <w:rFonts w:ascii="Arial" w:cs="Arial" w:hAnsi="Arial"/>
                <w:b/>
                <w:bCs/>
                <w:sz w:val="20"/>
                <w:szCs w:val="20"/>
              </w:rPr>
            </w:pPr>
            <w:r>
              <w:rPr>
                <w:rFonts w:ascii="Arial" w:cs="Arial" w:hAnsi="Arial"/>
                <w:b/>
                <w:bCs/>
                <w:sz w:val="20"/>
                <w:szCs w:val="20"/>
              </w:rPr>
              <w:tab/>
              <w:t>4 years</w:t>
              <w:tab/>
              <w:t> </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87" w:right="86"/>
              <w:contextualSpacing w:val="false"/>
              <w:rPr>
                <w:rFonts w:ascii="Arial" w:cs="Arial" w:hAnsi="Arial"/>
                <w:sz w:val="20"/>
                <w:szCs w:val="20"/>
              </w:rPr>
            </w:pPr>
            <w:r>
              <w:rPr>
                <w:rFonts w:ascii="Arial" w:cs="Arial" w:hAnsi="Arial"/>
                <w:sz w:val="20"/>
                <w:szCs w:val="20"/>
              </w:rPr>
              <w:t>$</w:t>
              <w:tab/>
              <w:t>1,548</w:t>
              <w:tab/>
              <w:t> </w:t>
            </w:r>
          </w:p>
        </w:tc>
        <w:tc>
          <w:tcPr>
            <w:tcW w:type="dxa" w:w="1383"/>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contextualSpacing w:val="false"/>
              <w:rPr>
                <w:rFonts w:ascii="Arial" w:cs="Arial" w:hAnsi="Arial"/>
                <w:sz w:val="20"/>
                <w:szCs w:val="20"/>
              </w:rPr>
            </w:pPr>
            <w:r>
              <w:rPr>
                <w:rFonts w:ascii="Arial" w:cs="Arial" w:hAnsi="Arial"/>
                <w:sz w:val="20"/>
                <w:szCs w:val="20"/>
              </w:rPr>
              <w:tab/>
              <w:t>7 years</w:t>
              <w:tab/>
              <w:t> </w:t>
            </w:r>
          </w:p>
        </w:tc>
      </w:tr>
      <w:tr>
        <w:trPr>
          <w:cantSplit w:val="false"/>
        </w:trPr>
        <w:tc>
          <w:tcPr>
            <w:tcW w:type="dxa" w:w="58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Marketing-related</w:t>
            </w:r>
          </w:p>
        </w:tc>
        <w:tc>
          <w:tcPr>
            <w:tcW w:type="dxa" w:w="1039"/>
            <w:tcBorders>
              <w:top w:val="nil"/>
              <w:left w:val="nil"/>
              <w:bottom w:val="nil"/>
              <w:right w:val="nil"/>
            </w:tcBorders>
            <w:shd w:fill="auto" w:val="clear"/>
            <w:tcMar>
              <w:left w:type="dxa" w:w="144"/>
            </w:tcMar>
            <w:vAlign w:val="bottom"/>
          </w:tcPr>
          <w:p>
            <w:pPr>
              <w:pStyle w:val="style62"/>
              <w:tabs>
                <w:tab w:leader="none" w:pos="840" w:val="right"/>
                <w:tab w:leader="none" w:pos="8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39</w:t>
              <w:tab/>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0" w:right="86"/>
              <w:contextualSpacing w:val="false"/>
              <w:rPr>
                <w:rFonts w:ascii="Arial" w:cs="Arial" w:hAnsi="Arial"/>
                <w:b/>
                <w:bCs/>
                <w:sz w:val="20"/>
                <w:szCs w:val="20"/>
              </w:rPr>
            </w:pPr>
            <w:r>
              <w:rPr>
                <w:rFonts w:ascii="Arial" w:cs="Arial" w:hAnsi="Arial"/>
                <w:b/>
                <w:bCs/>
                <w:sz w:val="20"/>
                <w:szCs w:val="20"/>
              </w:rPr>
              <w:tab/>
              <w:t>7 years</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87" w:right="86"/>
              <w:contextualSpacing w:val="false"/>
              <w:rPr>
                <w:rFonts w:ascii="Arial" w:cs="Arial" w:hAnsi="Arial"/>
                <w:sz w:val="20"/>
                <w:szCs w:val="20"/>
              </w:rPr>
            </w:pPr>
            <w:r>
              <w:rPr>
                <w:rFonts w:ascii="Arial" w:cs="Arial" w:hAnsi="Arial"/>
                <w:sz w:val="20"/>
                <w:szCs w:val="20"/>
              </w:rPr>
              <w:tab/>
              <w:t>1,249</w:t>
              <w:tab/>
            </w:r>
          </w:p>
        </w:tc>
        <w:tc>
          <w:tcPr>
            <w:tcW w:type="dxa" w:w="1383"/>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contextualSpacing w:val="false"/>
              <w:rPr>
                <w:rFonts w:ascii="Arial" w:cs="Arial" w:hAnsi="Arial"/>
                <w:sz w:val="20"/>
                <w:szCs w:val="20"/>
              </w:rPr>
            </w:pPr>
            <w:r>
              <w:rPr>
                <w:rFonts w:ascii="Arial" w:cs="Arial" w:hAnsi="Arial"/>
                <w:sz w:val="20"/>
                <w:szCs w:val="20"/>
              </w:rPr>
              <w:tab/>
              <w:t>15 years</w:t>
              <w:tab/>
            </w:r>
          </w:p>
        </w:tc>
      </w:tr>
      <w:tr>
        <w:trPr>
          <w:cantSplit w:val="false"/>
        </w:trPr>
        <w:tc>
          <w:tcPr>
            <w:tcW w:type="dxa" w:w="58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Contract-based</w:t>
            </w:r>
          </w:p>
        </w:tc>
        <w:tc>
          <w:tcPr>
            <w:tcW w:type="dxa" w:w="1039"/>
            <w:tcBorders>
              <w:top w:val="nil"/>
              <w:left w:val="nil"/>
              <w:bottom w:val="nil"/>
              <w:right w:val="nil"/>
            </w:tcBorders>
            <w:shd w:fill="auto" w:val="clear"/>
            <w:tcMar>
              <w:left w:type="dxa" w:w="144"/>
            </w:tcMar>
            <w:vAlign w:val="bottom"/>
          </w:tcPr>
          <w:p>
            <w:pPr>
              <w:pStyle w:val="style62"/>
              <w:tabs>
                <w:tab w:leader="none" w:pos="840" w:val="right"/>
                <w:tab w:leader="none" w:pos="8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0</w:t>
              <w:tab/>
            </w:r>
          </w:p>
        </w:tc>
        <w:tc>
          <w:tcPr>
            <w:tcW w:type="dxa" w:w="1379"/>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87" w:right="86"/>
              <w:contextualSpacing w:val="false"/>
              <w:rPr>
                <w:rFonts w:ascii="Arial" w:cs="Arial" w:hAnsi="Arial"/>
                <w:sz w:val="20"/>
                <w:szCs w:val="20"/>
              </w:rPr>
            </w:pPr>
            <w:r>
              <w:rPr>
                <w:rFonts w:ascii="Arial" w:cs="Arial" w:hAnsi="Arial"/>
                <w:sz w:val="20"/>
                <w:szCs w:val="20"/>
              </w:rPr>
              <w:tab/>
              <w:t>115</w:t>
              <w:tab/>
            </w:r>
          </w:p>
        </w:tc>
        <w:tc>
          <w:tcPr>
            <w:tcW w:type="dxa" w:w="1383"/>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contextualSpacing w:val="false"/>
              <w:rPr>
                <w:rFonts w:ascii="Arial" w:cs="Arial" w:hAnsi="Arial"/>
                <w:sz w:val="20"/>
                <w:szCs w:val="20"/>
              </w:rPr>
            </w:pPr>
            <w:r>
              <w:rPr>
                <w:rFonts w:ascii="Arial" w:cs="Arial" w:hAnsi="Arial"/>
                <w:sz w:val="20"/>
                <w:szCs w:val="20"/>
              </w:rPr>
              <w:tab/>
              <w:t>7 years</w:t>
              <w:tab/>
            </w:r>
          </w:p>
        </w:tc>
      </w:tr>
      <w:tr>
        <w:trPr>
          <w:cantSplit w:val="false"/>
        </w:trPr>
        <w:tc>
          <w:tcPr>
            <w:tcW w:type="dxa" w:w="58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Customer-related</w:t>
            </w:r>
          </w:p>
        </w:tc>
        <w:tc>
          <w:tcPr>
            <w:tcW w:type="dxa" w:w="1039"/>
            <w:tcBorders>
              <w:top w:val="nil"/>
              <w:left w:val="nil"/>
              <w:bottom w:val="nil"/>
              <w:right w:val="nil"/>
            </w:tcBorders>
            <w:shd w:fill="auto" w:val="clear"/>
            <w:tcMar>
              <w:left w:type="dxa" w:w="144"/>
            </w:tcMar>
            <w:vAlign w:val="bottom"/>
          </w:tcPr>
          <w:p>
            <w:pPr>
              <w:pStyle w:val="style62"/>
              <w:tabs>
                <w:tab w:leader="none" w:pos="840" w:val="right"/>
                <w:tab w:leader="none" w:pos="8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89</w:t>
              <w:tab/>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0" w:right="86"/>
              <w:contextualSpacing w:val="false"/>
              <w:rPr>
                <w:rFonts w:ascii="Arial" w:cs="Arial" w:hAnsi="Arial"/>
                <w:b/>
                <w:bCs/>
                <w:sz w:val="20"/>
                <w:szCs w:val="20"/>
              </w:rPr>
            </w:pPr>
            <w:r>
              <w:rPr>
                <w:rFonts w:ascii="Arial" w:cs="Arial" w:hAnsi="Arial"/>
                <w:b/>
                <w:bCs/>
                <w:sz w:val="20"/>
                <w:szCs w:val="20"/>
              </w:rPr>
              <w:tab/>
              <w:t>6 years</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87" w:right="86"/>
              <w:contextualSpacing w:val="false"/>
              <w:rPr>
                <w:rFonts w:ascii="Arial" w:cs="Arial" w:hAnsi="Arial"/>
                <w:sz w:val="20"/>
                <w:szCs w:val="20"/>
              </w:rPr>
            </w:pPr>
            <w:r>
              <w:rPr>
                <w:rFonts w:ascii="Arial" w:cs="Arial" w:hAnsi="Arial"/>
                <w:sz w:val="20"/>
                <w:szCs w:val="20"/>
              </w:rPr>
              <w:tab/>
              <w:t>114</w:t>
              <w:tab/>
            </w:r>
          </w:p>
        </w:tc>
        <w:tc>
          <w:tcPr>
            <w:tcW w:type="dxa" w:w="1383"/>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contextualSpacing w:val="false"/>
              <w:rPr>
                <w:rFonts w:ascii="Arial" w:cs="Arial" w:hAnsi="Arial"/>
                <w:sz w:val="20"/>
                <w:szCs w:val="20"/>
              </w:rPr>
            </w:pPr>
            <w:r>
              <w:rPr>
                <w:rFonts w:ascii="Arial" w:cs="Arial" w:hAnsi="Arial"/>
                <w:sz w:val="20"/>
                <w:szCs w:val="20"/>
              </w:rPr>
              <w:tab/>
              <w:t>5 years</w:t>
              <w:tab/>
            </w:r>
          </w:p>
        </w:tc>
      </w:tr>
      <w:tr>
        <w:trPr>
          <w:cantSplit w:val="false"/>
        </w:trPr>
        <w:tc>
          <w:tcPr>
            <w:tcW w:type="dxa" w:w="6919"/>
            <w:gridSpan w:val="2"/>
            <w:tcBorders>
              <w:top w:val="nil"/>
              <w:left w:val="nil"/>
              <w:bottom w:val="nil"/>
              <w:right w:val="nil"/>
            </w:tcBorders>
            <w:shd w:fill="auto" w:val="clear"/>
            <w:vAlign w:val="bottom"/>
          </w:tcPr>
          <w:p>
            <w:pPr>
              <w:pStyle w:val="style59"/>
              <w:spacing w:after="0" w:before="20"/>
              <w:ind w:hanging="0" w:left="-216" w:right="86"/>
              <w:contextualSpacing w:val="false"/>
              <w:rPr/>
            </w:pPr>
            <w:r>
              <w:rPr/>
              <w:t> </w:t>
            </w:r>
          </w:p>
        </w:tc>
        <w:tc>
          <w:tcPr>
            <w:tcW w:type="dxa" w:w="1379"/>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120"/>
            <w:tcBorders>
              <w:top w:val="nil"/>
              <w:left w:val="nil"/>
              <w:bottom w:val="nil"/>
              <w:right w:val="nil"/>
            </w:tcBorders>
            <w:shd w:fill="auto" w:val="clear"/>
            <w:tcMar>
              <w:left w:type="dxa" w:w="144"/>
            </w:tcMar>
            <w:vAlign w:val="bottom"/>
          </w:tcPr>
          <w:p>
            <w:pPr>
              <w:pStyle w:val="style59"/>
              <w:spacing w:after="0" w:before="20"/>
              <w:ind w:hanging="0" w:left="187" w:right="86"/>
              <w:contextualSpacing w:val="false"/>
              <w:rPr/>
            </w:pPr>
            <w:r>
              <w:rPr/>
              <w:t> </w:t>
            </w:r>
          </w:p>
        </w:tc>
        <w:tc>
          <w:tcPr>
            <w:tcW w:type="dxa" w:w="1382"/>
            <w:tcBorders>
              <w:top w:val="nil"/>
              <w:left w:val="nil"/>
              <w:bottom w:val="nil"/>
              <w:right w:val="nil"/>
            </w:tcBorders>
            <w:shd w:fill="auto" w:val="clear"/>
            <w:tcMar>
              <w:left w:type="dxa" w:w="144"/>
            </w:tcMar>
            <w:vAlign w:val="bottom"/>
          </w:tcPr>
          <w:p>
            <w:pPr>
              <w:pStyle w:val="style65"/>
              <w:rPr/>
            </w:pPr>
            <w:r>
              <w:rPr/>
              <w:t> </w:t>
            </w:r>
          </w:p>
        </w:tc>
      </w:tr>
      <w:tr>
        <w:trPr>
          <w:cantSplit w:val="false"/>
        </w:trPr>
        <w:tc>
          <w:tcPr>
            <w:tcW w:type="dxa" w:w="58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039"/>
            <w:tcBorders>
              <w:top w:val="nil"/>
              <w:left w:val="nil"/>
              <w:bottom w:val="nil"/>
              <w:right w:val="nil"/>
            </w:tcBorders>
            <w:shd w:fill="auto" w:val="clear"/>
            <w:tcMar>
              <w:left w:type="dxa" w:w="144"/>
            </w:tcMar>
            <w:vAlign w:val="bottom"/>
          </w:tcPr>
          <w:p>
            <w:pPr>
              <w:pStyle w:val="style62"/>
              <w:tabs>
                <w:tab w:leader="none" w:pos="840" w:val="right"/>
                <w:tab w:leader="none" w:pos="8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  667</w:t>
              <w:tab/>
            </w:r>
          </w:p>
        </w:tc>
        <w:tc>
          <w:tcPr>
            <w:tcW w:type="dxa" w:w="1379"/>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ind w:hanging="0" w:left="0" w:right="86"/>
              <w:contextualSpacing w:val="false"/>
              <w:rPr>
                <w:rFonts w:ascii="Arial" w:cs="Arial" w:hAnsi="Arial"/>
                <w:b/>
                <w:bCs/>
                <w:sz w:val="20"/>
                <w:szCs w:val="20"/>
              </w:rPr>
            </w:pPr>
            <w:r>
              <w:rPr>
                <w:rFonts w:ascii="Arial" w:cs="Arial" w:hAnsi="Arial"/>
                <w:b/>
                <w:bCs/>
                <w:sz w:val="20"/>
                <w:szCs w:val="20"/>
              </w:rPr>
              <w:tab/>
              <w:t>5 years</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87" w:right="86"/>
              <w:contextualSpacing w:val="false"/>
              <w:rPr>
                <w:rFonts w:ascii="Arial" w:cs="Arial" w:hAnsi="Arial"/>
                <w:sz w:val="20"/>
                <w:szCs w:val="20"/>
              </w:rPr>
            </w:pPr>
            <w:r>
              <w:rPr>
                <w:rFonts w:ascii="Arial" w:cs="Arial" w:hAnsi="Arial"/>
                <w:sz w:val="20"/>
                <w:szCs w:val="20"/>
              </w:rPr>
              <w:t>$</w:t>
              <w:tab/>
              <w:t>  3,026</w:t>
              <w:tab/>
            </w:r>
          </w:p>
        </w:tc>
        <w:tc>
          <w:tcPr>
            <w:tcW w:type="dxa" w:w="1383"/>
            <w:tcBorders>
              <w:top w:val="nil"/>
              <w:left w:val="nil"/>
              <w:bottom w:val="nil"/>
              <w:right w:val="nil"/>
            </w:tcBorders>
            <w:shd w:fill="auto" w:val="clear"/>
            <w:tcMar>
              <w:left w:type="dxa" w:w="144"/>
            </w:tcMar>
            <w:vAlign w:val="bottom"/>
          </w:tcPr>
          <w:p>
            <w:pPr>
              <w:pStyle w:val="style62"/>
              <w:tabs>
                <w:tab w:leader="none" w:pos="1180" w:val="right"/>
                <w:tab w:leader="none" w:pos="1220" w:val="decimal"/>
              </w:tabs>
              <w:spacing w:after="280" w:before="280"/>
              <w:contextualSpacing w:val="false"/>
              <w:rPr>
                <w:rFonts w:ascii="Arial" w:cs="Arial" w:hAnsi="Arial"/>
                <w:sz w:val="20"/>
                <w:szCs w:val="20"/>
              </w:rPr>
            </w:pPr>
            <w:r>
              <w:rPr>
                <w:rFonts w:ascii="Arial" w:cs="Arial" w:hAnsi="Arial"/>
                <w:sz w:val="20"/>
                <w:szCs w:val="20"/>
              </w:rPr>
              <w:tab/>
              <w:t>10 years</w:t>
              <w:tab/>
            </w:r>
          </w:p>
        </w:tc>
      </w:tr>
      <w:tr>
        <w:trPr>
          <w:cantSplit w:val="false"/>
        </w:trPr>
        <w:tc>
          <w:tcPr>
            <w:tcW w:type="dxa" w:w="5879"/>
            <w:tcBorders>
              <w:top w:val="nil"/>
              <w:left w:val="nil"/>
              <w:bottom w:val="nil"/>
              <w:right w:val="nil"/>
            </w:tcBorders>
            <w:shd w:fill="auto" w:val="clear"/>
            <w:tcMar>
              <w:left w:type="dxa" w:w="144"/>
            </w:tcMar>
            <w:vAlign w:val="bottom"/>
          </w:tcPr>
          <w:p>
            <w:pPr>
              <w:pStyle w:val="style65"/>
              <w:rPr/>
            </w:pPr>
            <w:r>
              <w:rPr/>
              <w:t> </w:t>
            </w:r>
          </w:p>
        </w:tc>
        <w:tc>
          <w:tcPr>
            <w:tcW w:type="dxa" w:w="1039"/>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379"/>
            <w:tcBorders>
              <w:top w:val="nil"/>
              <w:left w:val="nil"/>
              <w:bottom w:val="nil"/>
              <w:right w:val="nil"/>
            </w:tcBorders>
            <w:shd w:fill="auto" w:val="clear"/>
            <w:tcMar>
              <w:left w:type="dxa" w:w="144"/>
            </w:tcMar>
            <w:vAlign w:val="bottom"/>
          </w:tcPr>
          <w:p>
            <w:pPr>
              <w:pStyle w:val="style65"/>
              <w:ind w:hanging="0" w:left="0" w:right="86"/>
              <w:rPr/>
            </w:pPr>
            <w:r>
              <w:rPr/>
              <w:t> </w:t>
            </w:r>
          </w:p>
        </w:tc>
        <w:tc>
          <w:tcPr>
            <w:tcW w:type="dxa" w:w="1120"/>
            <w:tcBorders>
              <w:top w:val="nil"/>
              <w:left w:val="nil"/>
              <w:bottom w:val="nil"/>
              <w:right w:val="nil"/>
            </w:tcBorders>
            <w:shd w:fill="auto" w:val="clear"/>
            <w:tcMar>
              <w:left w:type="dxa" w:w="144"/>
            </w:tcMar>
            <w:vAlign w:val="bottom"/>
          </w:tcPr>
          <w:p>
            <w:pPr>
              <w:pStyle w:val="style63"/>
              <w:spacing w:after="0" w:before="20"/>
              <w:ind w:hanging="0" w:left="187" w:right="86"/>
              <w:contextualSpacing w:val="false"/>
              <w:rPr/>
            </w:pPr>
            <w:r>
              <w:rPr/>
              <w:t> </w:t>
            </w:r>
          </w:p>
        </w:tc>
        <w:tc>
          <w:tcPr>
            <w:tcW w:type="dxa" w:w="1383"/>
            <w:tcBorders>
              <w:top w:val="nil"/>
              <w:left w:val="nil"/>
              <w:bottom w:val="nil"/>
              <w:right w:val="nil"/>
            </w:tcBorders>
            <w:shd w:fill="auto" w:val="clear"/>
            <w:tcMar>
              <w:left w:type="dxa" w:w="144"/>
            </w:tcMar>
            <w:vAlign w:val="bottom"/>
          </w:tcPr>
          <w:p>
            <w:pPr>
              <w:pStyle w:val="style65"/>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Intangible assets amortization expense was $739 million, $558 million, and $537 million for fiscal years 2013, 2012, and 2011, respectively. Amortization of capitalized software was $210 million, $117 million, and $114 million for fiscal years 2013, 2012, and 2011, respectively.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following table outlines the estimated future amortization expense related to intangible assets held at June 30, 2013: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9678"/>
        <w:gridCol w:w="1121"/>
      </w:tblGrid>
      <w:tr>
        <w:trPr>
          <w:tblHeader w:val="true"/>
          <w:cantSplit w:val="false"/>
        </w:trPr>
        <w:tc>
          <w:tcPr>
            <w:tcW w:type="dxa" w:w="9678"/>
            <w:tcBorders>
              <w:top w:val="nil"/>
              <w:left w:val="nil"/>
              <w:bottom w:val="nil"/>
              <w:right w:val="nil"/>
            </w:tcBorders>
            <w:shd w:fill="auto" w:val="clear"/>
            <w:vAlign w:val="center"/>
          </w:tcPr>
          <w:p>
            <w:pPr>
              <w:pStyle w:val="style0"/>
              <w:rPr>
                <w:sz w:val="1"/>
                <w:szCs w:val="24"/>
              </w:rPr>
            </w:pPr>
            <w:r>
              <w:rPr>
                <w:sz w:val="1"/>
                <w:szCs w:val="24"/>
              </w:rPr>
            </w:r>
          </w:p>
        </w:tc>
        <w:tc>
          <w:tcPr>
            <w:tcW w:type="dxa" w:w="112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9678"/>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121"/>
            <w:tcBorders>
              <w:top w:val="nil"/>
              <w:left w:val="nil"/>
              <w:bottom w:val="nil"/>
              <w:right w:val="nil"/>
            </w:tcBorders>
            <w:shd w:fill="auto" w:val="clear"/>
            <w:tcMar>
              <w:left w:type="dxa" w:w="144"/>
            </w:tcMar>
            <w:vAlign w:val="bottom"/>
          </w:tcPr>
          <w:p>
            <w:pPr>
              <w:pStyle w:val="style65"/>
              <w:ind w:hanging="0" w:left="144" w:right="101"/>
              <w:rPr/>
            </w:pPr>
            <w:r>
              <w:rPr/>
              <w:t> </w:t>
            </w:r>
          </w:p>
        </w:tc>
      </w:tr>
      <w:tr>
        <w:trPr>
          <w:cantSplit w:val="false"/>
        </w:trPr>
        <w:tc>
          <w:tcPr>
            <w:tcW w:type="dxa" w:w="10799"/>
            <w:gridSpan w:val="2"/>
            <w:tcBorders>
              <w:top w:val="nil"/>
              <w:left w:val="nil"/>
              <w:bottom w:val="nil"/>
              <w:right w:val="nil"/>
            </w:tcBorders>
            <w:shd w:fill="auto" w:val="clear"/>
            <w:tcMar>
              <w:left w:type="dxa" w:w="144"/>
            </w:tcMar>
            <w:vAlign w:val="bottom"/>
          </w:tcPr>
          <w:p>
            <w:pPr>
              <w:pStyle w:val="style59"/>
              <w:spacing w:after="0" w:before="20"/>
              <w:ind w:hanging="0" w:left="-261" w:right="101"/>
              <w:contextualSpacing w:val="false"/>
              <w:rPr/>
            </w:pPr>
            <w:r>
              <w:rPr/>
              <w:t> </w:t>
            </w:r>
          </w:p>
        </w:tc>
      </w:tr>
      <w:tr>
        <w:trPr>
          <w:trHeight w:hRule="atLeast" w:val="75"/>
          <w:cantSplit w:val="false"/>
        </w:trPr>
        <w:tc>
          <w:tcPr>
            <w:tcW w:type="dxa" w:w="9678"/>
            <w:tcBorders>
              <w:top w:val="nil"/>
              <w:left w:val="nil"/>
              <w:bottom w:val="nil"/>
              <w:right w:val="nil"/>
            </w:tcBorders>
            <w:shd w:fill="auto" w:val="clear"/>
            <w:vAlign w:val="center"/>
          </w:tcPr>
          <w:p>
            <w:pPr>
              <w:pStyle w:val="style0"/>
              <w:rPr>
                <w:sz w:val="8"/>
                <w:szCs w:val="24"/>
              </w:rPr>
            </w:pPr>
            <w:r>
              <w:rPr>
                <w:sz w:val="8"/>
                <w:szCs w:val="24"/>
              </w:rPr>
            </w:r>
          </w:p>
        </w:tc>
        <w:tc>
          <w:tcPr>
            <w:tcW w:type="dxa" w:w="1121"/>
            <w:tcBorders>
              <w:top w:val="nil"/>
              <w:left w:val="nil"/>
              <w:bottom w:val="nil"/>
              <w:right w:val="nil"/>
            </w:tcBorders>
            <w:shd w:fill="auto" w:val="clear"/>
            <w:vAlign w:val="center"/>
          </w:tcPr>
          <w:p>
            <w:pPr>
              <w:pStyle w:val="style0"/>
              <w:ind w:hanging="0" w:left="144" w:right="101"/>
              <w:rPr>
                <w:sz w:val="8"/>
                <w:szCs w:val="24"/>
              </w:rPr>
            </w:pPr>
            <w:r>
              <w:rPr>
                <w:sz w:val="8"/>
                <w:szCs w:val="24"/>
              </w:rPr>
            </w:r>
          </w:p>
        </w:tc>
      </w:tr>
      <w:tr>
        <w:trPr>
          <w:cantSplit w:val="false"/>
        </w:trPr>
        <w:tc>
          <w:tcPr>
            <w:tcW w:type="dxa" w:w="9678"/>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Ending June 30,</w:t>
            </w:r>
          </w:p>
        </w:tc>
        <w:tc>
          <w:tcPr>
            <w:tcW w:type="dxa" w:w="1121"/>
            <w:tcBorders>
              <w:top w:val="nil"/>
              <w:left w:val="nil"/>
              <w:bottom w:val="nil"/>
              <w:right w:val="nil"/>
            </w:tcBorders>
            <w:shd w:fill="auto" w:val="clear"/>
            <w:tcMar>
              <w:left w:type="dxa" w:w="144"/>
            </w:tcMar>
            <w:vAlign w:val="bottom"/>
          </w:tcPr>
          <w:p>
            <w:pPr>
              <w:pStyle w:val="style65"/>
              <w:ind w:hanging="0" w:left="144" w:right="101"/>
              <w:rPr/>
            </w:pPr>
            <w:r>
              <w:rPr/>
              <w:t> </w:t>
            </w:r>
          </w:p>
        </w:tc>
      </w:tr>
      <w:tr>
        <w:trPr>
          <w:trHeight w:hRule="atLeast" w:val="75"/>
          <w:cantSplit w:val="false"/>
        </w:trPr>
        <w:tc>
          <w:tcPr>
            <w:tcW w:type="dxa" w:w="9678"/>
            <w:tcBorders>
              <w:top w:val="nil"/>
              <w:left w:val="nil"/>
              <w:bottom w:val="nil"/>
              <w:right w:val="nil"/>
            </w:tcBorders>
            <w:shd w:fill="auto" w:val="clear"/>
            <w:vAlign w:val="center"/>
          </w:tcPr>
          <w:p>
            <w:pPr>
              <w:pStyle w:val="style0"/>
              <w:rPr>
                <w:sz w:val="8"/>
                <w:szCs w:val="24"/>
              </w:rPr>
            </w:pPr>
            <w:r>
              <w:rPr>
                <w:sz w:val="8"/>
                <w:szCs w:val="24"/>
              </w:rPr>
            </w:r>
          </w:p>
        </w:tc>
        <w:tc>
          <w:tcPr>
            <w:tcW w:type="dxa" w:w="1121"/>
            <w:tcBorders>
              <w:top w:val="nil"/>
              <w:left w:val="nil"/>
              <w:bottom w:val="nil"/>
              <w:right w:val="nil"/>
            </w:tcBorders>
            <w:shd w:fill="auto" w:val="clear"/>
            <w:vAlign w:val="center"/>
          </w:tcPr>
          <w:p>
            <w:pPr>
              <w:pStyle w:val="style0"/>
              <w:ind w:hanging="0" w:left="144" w:right="101"/>
              <w:rPr>
                <w:sz w:val="8"/>
                <w:szCs w:val="24"/>
              </w:rPr>
            </w:pPr>
            <w:r>
              <w:rPr>
                <w:sz w:val="8"/>
                <w:szCs w:val="24"/>
              </w:rPr>
            </w:r>
          </w:p>
        </w:tc>
      </w:tr>
      <w:tr>
        <w:trPr>
          <w:cantSplit w:val="false"/>
        </w:trPr>
        <w:tc>
          <w:tcPr>
            <w:tcW w:type="dxa" w:w="967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2014</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44" w:right="101"/>
              <w:contextualSpacing w:val="false"/>
              <w:rPr>
                <w:rFonts w:ascii="Arial" w:cs="Arial" w:hAnsi="Arial"/>
                <w:sz w:val="20"/>
                <w:szCs w:val="20"/>
              </w:rPr>
            </w:pPr>
            <w:r>
              <w:rPr>
                <w:rFonts w:ascii="Arial" w:cs="Arial" w:hAnsi="Arial"/>
                <w:sz w:val="20"/>
                <w:szCs w:val="20"/>
              </w:rPr>
              <w:t>$</w:t>
              <w:tab/>
              <w:t>645</w:t>
              <w:tab/>
              <w:t> </w:t>
            </w:r>
          </w:p>
        </w:tc>
      </w:tr>
      <w:tr>
        <w:trPr>
          <w:cantSplit w:val="false"/>
        </w:trPr>
        <w:tc>
          <w:tcPr>
            <w:tcW w:type="dxa" w:w="967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2015</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44" w:right="101"/>
              <w:contextualSpacing w:val="false"/>
              <w:rPr>
                <w:rFonts w:ascii="Arial" w:cs="Arial" w:hAnsi="Arial"/>
                <w:sz w:val="20"/>
                <w:szCs w:val="20"/>
              </w:rPr>
            </w:pPr>
            <w:r>
              <w:rPr>
                <w:rFonts w:ascii="Arial" w:cs="Arial" w:hAnsi="Arial"/>
                <w:sz w:val="20"/>
                <w:szCs w:val="20"/>
              </w:rPr>
              <w:tab/>
              <w:t>454</w:t>
              <w:tab/>
            </w:r>
          </w:p>
        </w:tc>
      </w:tr>
      <w:tr>
        <w:trPr>
          <w:cantSplit w:val="false"/>
        </w:trPr>
        <w:tc>
          <w:tcPr>
            <w:tcW w:type="dxa" w:w="967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2016</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44" w:right="101"/>
              <w:contextualSpacing w:val="false"/>
              <w:rPr>
                <w:rFonts w:ascii="Arial" w:cs="Arial" w:hAnsi="Arial"/>
                <w:sz w:val="20"/>
                <w:szCs w:val="20"/>
              </w:rPr>
            </w:pPr>
            <w:r>
              <w:rPr>
                <w:rFonts w:ascii="Arial" w:cs="Arial" w:hAnsi="Arial"/>
                <w:sz w:val="20"/>
                <w:szCs w:val="20"/>
              </w:rPr>
              <w:tab/>
              <w:t>382</w:t>
              <w:tab/>
            </w:r>
          </w:p>
        </w:tc>
      </w:tr>
      <w:tr>
        <w:trPr>
          <w:cantSplit w:val="false"/>
        </w:trPr>
        <w:tc>
          <w:tcPr>
            <w:tcW w:type="dxa" w:w="967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2017</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44" w:right="101"/>
              <w:contextualSpacing w:val="false"/>
              <w:rPr>
                <w:rFonts w:ascii="Arial" w:cs="Arial" w:hAnsi="Arial"/>
                <w:sz w:val="20"/>
                <w:szCs w:val="20"/>
              </w:rPr>
            </w:pPr>
            <w:r>
              <w:rPr>
                <w:rFonts w:ascii="Arial" w:cs="Arial" w:hAnsi="Arial"/>
                <w:sz w:val="20"/>
                <w:szCs w:val="20"/>
              </w:rPr>
              <w:tab/>
              <w:t>281</w:t>
              <w:tab/>
            </w:r>
          </w:p>
        </w:tc>
      </w:tr>
      <w:tr>
        <w:trPr>
          <w:cantSplit w:val="false"/>
        </w:trPr>
        <w:tc>
          <w:tcPr>
            <w:tcW w:type="dxa" w:w="967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2018</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44" w:right="101"/>
              <w:contextualSpacing w:val="false"/>
              <w:rPr>
                <w:rFonts w:ascii="Arial" w:cs="Arial" w:hAnsi="Arial"/>
                <w:sz w:val="20"/>
                <w:szCs w:val="20"/>
              </w:rPr>
            </w:pPr>
            <w:r>
              <w:rPr>
                <w:rFonts w:ascii="Arial" w:cs="Arial" w:hAnsi="Arial"/>
                <w:sz w:val="20"/>
                <w:szCs w:val="20"/>
              </w:rPr>
              <w:tab/>
              <w:t>242</w:t>
              <w:tab/>
            </w:r>
          </w:p>
        </w:tc>
      </w:tr>
      <w:tr>
        <w:trPr>
          <w:cantSplit w:val="false"/>
        </w:trPr>
        <w:tc>
          <w:tcPr>
            <w:tcW w:type="dxa" w:w="967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Thereafter</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44" w:right="101"/>
              <w:contextualSpacing w:val="false"/>
              <w:rPr>
                <w:rFonts w:ascii="Arial" w:cs="Arial" w:hAnsi="Arial"/>
                <w:sz w:val="20"/>
                <w:szCs w:val="20"/>
              </w:rPr>
            </w:pPr>
            <w:r>
              <w:rPr>
                <w:rFonts w:ascii="Arial" w:cs="Arial" w:hAnsi="Arial"/>
                <w:sz w:val="20"/>
                <w:szCs w:val="20"/>
              </w:rPr>
              <w:tab/>
              <w:t>1,079</w:t>
              <w:tab/>
            </w:r>
          </w:p>
        </w:tc>
      </w:tr>
      <w:tr>
        <w:trPr>
          <w:cantSplit w:val="false"/>
        </w:trPr>
        <w:tc>
          <w:tcPr>
            <w:tcW w:type="dxa" w:w="10799"/>
            <w:gridSpan w:val="2"/>
            <w:tcBorders>
              <w:top w:val="nil"/>
              <w:left w:val="nil"/>
              <w:bottom w:val="nil"/>
              <w:right w:val="nil"/>
            </w:tcBorders>
            <w:shd w:fill="auto" w:val="clear"/>
            <w:tcMar>
              <w:left w:type="dxa" w:w="144"/>
            </w:tcMar>
            <w:vAlign w:val="bottom"/>
          </w:tcPr>
          <w:p>
            <w:pPr>
              <w:pStyle w:val="style59"/>
              <w:spacing w:after="0" w:before="20"/>
              <w:ind w:hanging="0" w:left="-261" w:right="101"/>
              <w:contextualSpacing w:val="false"/>
              <w:rPr/>
            </w:pPr>
            <w:r>
              <w:rPr/>
              <w:t> </w:t>
            </w:r>
          </w:p>
        </w:tc>
      </w:tr>
      <w:tr>
        <w:trPr>
          <w:cantSplit w:val="false"/>
        </w:trPr>
        <w:tc>
          <w:tcPr>
            <w:tcW w:type="dxa" w:w="967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44" w:right="101"/>
              <w:contextualSpacing w:val="false"/>
              <w:rPr>
                <w:rFonts w:ascii="Arial" w:cs="Arial" w:hAnsi="Arial"/>
                <w:sz w:val="20"/>
                <w:szCs w:val="20"/>
              </w:rPr>
            </w:pPr>
            <w:r>
              <w:rPr>
                <w:rFonts w:ascii="Arial" w:cs="Arial" w:hAnsi="Arial"/>
                <w:sz w:val="20"/>
                <w:szCs w:val="20"/>
              </w:rPr>
              <w:t>$</w:t>
              <w:tab/>
              <w:t>  3,083</w:t>
              <w:tab/>
            </w:r>
          </w:p>
        </w:tc>
      </w:tr>
      <w:tr>
        <w:trPr>
          <w:cantSplit w:val="false"/>
        </w:trPr>
        <w:tc>
          <w:tcPr>
            <w:tcW w:type="dxa" w:w="9678"/>
            <w:tcBorders>
              <w:top w:val="nil"/>
              <w:left w:val="nil"/>
              <w:bottom w:val="nil"/>
              <w:right w:val="nil"/>
            </w:tcBorders>
            <w:shd w:fill="auto" w:val="clear"/>
            <w:tcMar>
              <w:left w:type="dxa" w:w="144"/>
            </w:tcMar>
            <w:vAlign w:val="bottom"/>
          </w:tcPr>
          <w:p>
            <w:pPr>
              <w:pStyle w:val="style65"/>
              <w:rPr/>
            </w:pPr>
            <w:r>
              <w:rPr/>
              <w:t> </w:t>
            </w:r>
          </w:p>
        </w:tc>
        <w:tc>
          <w:tcPr>
            <w:tcW w:type="dxa" w:w="1121"/>
            <w:tcBorders>
              <w:top w:val="nil"/>
              <w:left w:val="nil"/>
              <w:bottom w:val="nil"/>
              <w:right w:val="nil"/>
            </w:tcBorders>
            <w:shd w:fill="auto" w:val="clear"/>
            <w:tcMar>
              <w:left w:type="dxa" w:w="144"/>
            </w:tcMar>
            <w:vAlign w:val="bottom"/>
          </w:tcPr>
          <w:p>
            <w:pPr>
              <w:pStyle w:val="style63"/>
              <w:spacing w:after="0" w:before="20"/>
              <w:ind w:hanging="0" w:left="144" w:right="101"/>
              <w:contextualSpacing w:val="false"/>
              <w:rPr/>
            </w:pPr>
            <w:r>
              <w:rPr/>
              <w:t> </w:t>
            </w:r>
          </w:p>
        </w:tc>
      </w:tr>
    </w:tbl>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12 — DEBT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As of June 30, 2013, the total carrying value and estimated fair value of our long-term debt, including the current portion, were $15.6 billion and $15.8 billion, respectively. This is compared to a carrying value and estimated fair value of $11.9 billion and $13.2 billion, respectively, as of June 30, 2012. These estimated fair values are based on Level 2 inputs.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components of our long-term debt, including the current portion, and the associated interest rates were as follows as of June 30, 2013 and 2012: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5955"/>
        <w:gridCol w:w="1280"/>
        <w:gridCol w:w="1339"/>
        <w:gridCol w:w="1120"/>
        <w:gridCol w:w="1107"/>
      </w:tblGrid>
      <w:tr>
        <w:trPr>
          <w:tblHeader w:val="true"/>
          <w:cantSplit w:val="false"/>
        </w:trPr>
        <w:tc>
          <w:tcPr>
            <w:tcW w:type="dxa" w:w="5955"/>
            <w:tcBorders>
              <w:top w:val="nil"/>
              <w:left w:val="nil"/>
              <w:bottom w:val="nil"/>
              <w:right w:val="nil"/>
            </w:tcBorders>
            <w:shd w:fill="auto" w:val="clear"/>
            <w:vAlign w:val="center"/>
          </w:tcPr>
          <w:p>
            <w:pPr>
              <w:pStyle w:val="style0"/>
              <w:rPr>
                <w:sz w:val="1"/>
                <w:szCs w:val="24"/>
              </w:rPr>
            </w:pPr>
            <w:r>
              <w:rPr>
                <w:sz w:val="1"/>
                <w:szCs w:val="24"/>
              </w:rPr>
            </w:r>
          </w:p>
        </w:tc>
        <w:tc>
          <w:tcPr>
            <w:tcW w:type="dxa" w:w="1280"/>
            <w:tcBorders>
              <w:top w:val="nil"/>
              <w:left w:val="nil"/>
              <w:bottom w:val="nil"/>
              <w:right w:val="nil"/>
            </w:tcBorders>
            <w:shd w:fill="auto" w:val="clear"/>
            <w:vAlign w:val="center"/>
          </w:tcPr>
          <w:p>
            <w:pPr>
              <w:pStyle w:val="style0"/>
              <w:rPr>
                <w:sz w:val="1"/>
                <w:szCs w:val="24"/>
              </w:rPr>
            </w:pPr>
            <w:r>
              <w:rPr>
                <w:sz w:val="1"/>
                <w:szCs w:val="24"/>
              </w:rPr>
            </w:r>
          </w:p>
        </w:tc>
        <w:tc>
          <w:tcPr>
            <w:tcW w:type="dxa" w:w="1339"/>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107"/>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595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Due Date</w:t>
            </w:r>
          </w:p>
        </w:tc>
        <w:tc>
          <w:tcPr>
            <w:tcW w:type="dxa" w:w="1280"/>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Face Value</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June 30,</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2013</w:t>
            </w:r>
          </w:p>
        </w:tc>
        <w:tc>
          <w:tcPr>
            <w:tcW w:type="dxa" w:w="1339"/>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Face Value</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June 30,</w:t>
              <w:br/>
              <w:t>2012</w:t>
            </w:r>
          </w:p>
        </w:tc>
        <w:tc>
          <w:tcPr>
            <w:tcW w:type="dxa" w:w="1120"/>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Stated</w:t>
              <w:br/>
              <w:t>Interest</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Rate</w:t>
            </w:r>
          </w:p>
        </w:tc>
        <w:tc>
          <w:tcPr>
            <w:tcW w:type="dxa" w:w="1107"/>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Effective</w:t>
              <w:br/>
              <w:t>Interest</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Rate</w:t>
            </w:r>
          </w:p>
        </w:tc>
      </w:tr>
      <w:tr>
        <w:trPr>
          <w:cantSplit w:val="false"/>
        </w:trPr>
        <w:tc>
          <w:tcPr>
            <w:tcW w:type="dxa" w:w="10801"/>
            <w:gridSpan w:val="5"/>
            <w:tcBorders>
              <w:top w:val="nil"/>
              <w:left w:val="nil"/>
              <w:bottom w:val="nil"/>
              <w:right w:val="nil"/>
            </w:tcBorders>
            <w:shd w:fill="auto" w:val="clear"/>
            <w:tcMar>
              <w:left w:type="dxa" w:w="144"/>
            </w:tcMar>
            <w:vAlign w:val="bottom"/>
          </w:tcPr>
          <w:p>
            <w:pPr>
              <w:pStyle w:val="style59"/>
              <w:spacing w:after="0" w:before="20"/>
              <w:ind w:firstLine="117" w:left="-117" w:right="86"/>
              <w:contextualSpacing w:val="false"/>
              <w:rPr/>
            </w:pPr>
            <w:r>
              <w:rPr/>
              <w:t> </w:t>
            </w:r>
          </w:p>
        </w:tc>
      </w:tr>
      <w:tr>
        <w:trPr>
          <w:trHeight w:hRule="atLeast" w:val="75"/>
          <w:cantSplit w:val="false"/>
        </w:trPr>
        <w:tc>
          <w:tcPr>
            <w:tcW w:type="dxa" w:w="5955"/>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rPr>
                <w:sz w:val="8"/>
                <w:szCs w:val="24"/>
              </w:rPr>
            </w:pPr>
            <w:r>
              <w:rPr>
                <w:sz w:val="8"/>
                <w:szCs w:val="24"/>
              </w:rPr>
            </w:r>
          </w:p>
        </w:tc>
        <w:tc>
          <w:tcPr>
            <w:tcW w:type="dxa" w:w="1339"/>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107"/>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5955"/>
            <w:tcBorders>
              <w:top w:val="nil"/>
              <w:left w:val="nil"/>
              <w:bottom w:val="nil"/>
              <w:right w:val="nil"/>
            </w:tcBorders>
            <w:shd w:fill="auto" w:val="clear"/>
            <w:tcMar>
              <w:left w:type="dxa" w:w="144"/>
            </w:tcMar>
            <w:vAlign w:val="bottom"/>
          </w:tcPr>
          <w:p>
            <w:pPr>
              <w:pStyle w:val="style65"/>
              <w:keepNext/>
              <w:rPr/>
            </w:pPr>
            <w:r>
              <w:rPr/>
              <w:t> </w:t>
            </w:r>
          </w:p>
        </w:tc>
        <w:tc>
          <w:tcPr>
            <w:tcW w:type="dxa" w:w="1280"/>
            <w:tcBorders>
              <w:top w:val="nil"/>
              <w:left w:val="nil"/>
              <w:bottom w:val="nil"/>
              <w:right w:val="nil"/>
            </w:tcBorders>
            <w:shd w:fill="auto" w:val="clear"/>
            <w:tcMar>
              <w:left w:type="dxa" w:w="144"/>
            </w:tcMar>
            <w:vAlign w:val="bottom"/>
          </w:tcPr>
          <w:p>
            <w:pPr>
              <w:pStyle w:val="style65"/>
              <w:rPr/>
            </w:pPr>
            <w:r>
              <w:rPr/>
              <w:t> </w:t>
            </w:r>
          </w:p>
        </w:tc>
        <w:tc>
          <w:tcPr>
            <w:tcW w:type="dxa" w:w="1339"/>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(In millions)</w:t>
            </w:r>
          </w:p>
        </w:tc>
        <w:tc>
          <w:tcPr>
            <w:tcW w:type="dxa" w:w="1120"/>
            <w:tcBorders>
              <w:top w:val="nil"/>
              <w:left w:val="nil"/>
              <w:bottom w:val="nil"/>
              <w:right w:val="nil"/>
            </w:tcBorders>
            <w:shd w:fill="auto" w:val="clear"/>
            <w:tcMar>
              <w:left w:type="dxa" w:w="144"/>
            </w:tcMar>
            <w:vAlign w:val="bottom"/>
          </w:tcPr>
          <w:p>
            <w:pPr>
              <w:pStyle w:val="style65"/>
              <w:rPr/>
            </w:pPr>
            <w:r>
              <w:rPr/>
              <w:t> </w:t>
            </w:r>
          </w:p>
        </w:tc>
        <w:tc>
          <w:tcPr>
            <w:tcW w:type="dxa" w:w="1107"/>
            <w:tcBorders>
              <w:top w:val="nil"/>
              <w:left w:val="nil"/>
              <w:bottom w:val="nil"/>
              <w:right w:val="nil"/>
            </w:tcBorders>
            <w:shd w:fill="auto" w:val="clear"/>
            <w:tcMar>
              <w:left w:type="dxa" w:w="144"/>
            </w:tcMar>
            <w:vAlign w:val="bottom"/>
          </w:tcPr>
          <w:p>
            <w:pPr>
              <w:pStyle w:val="style65"/>
              <w:rPr/>
            </w:pPr>
            <w:r>
              <w:rPr/>
              <w:t> </w:t>
            </w:r>
          </w:p>
        </w:tc>
      </w:tr>
      <w:tr>
        <w:trPr>
          <w:trHeight w:hRule="atLeast" w:val="75"/>
          <w:cantSplit w:val="false"/>
        </w:trPr>
        <w:tc>
          <w:tcPr>
            <w:tcW w:type="dxa" w:w="5955"/>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rPr>
                <w:sz w:val="8"/>
                <w:szCs w:val="24"/>
              </w:rPr>
            </w:pPr>
            <w:r>
              <w:rPr>
                <w:sz w:val="8"/>
                <w:szCs w:val="24"/>
              </w:rPr>
            </w:r>
          </w:p>
        </w:tc>
        <w:tc>
          <w:tcPr>
            <w:tcW w:type="dxa" w:w="1339"/>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107"/>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595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Notes</w:t>
            </w:r>
          </w:p>
        </w:tc>
        <w:tc>
          <w:tcPr>
            <w:tcW w:type="dxa" w:w="1280"/>
            <w:tcBorders>
              <w:top w:val="nil"/>
              <w:left w:val="nil"/>
              <w:bottom w:val="nil"/>
              <w:right w:val="nil"/>
            </w:tcBorders>
            <w:shd w:fill="auto" w:val="clear"/>
            <w:tcMar>
              <w:left w:type="dxa" w:w="144"/>
            </w:tcMar>
            <w:vAlign w:val="bottom"/>
          </w:tcPr>
          <w:p>
            <w:pPr>
              <w:pStyle w:val="style65"/>
              <w:rPr/>
            </w:pPr>
            <w:r>
              <w:rPr/>
              <w:t> </w:t>
            </w:r>
          </w:p>
        </w:tc>
        <w:tc>
          <w:tcPr>
            <w:tcW w:type="dxa" w:w="1339"/>
            <w:tcBorders>
              <w:top w:val="nil"/>
              <w:left w:val="nil"/>
              <w:bottom w:val="nil"/>
              <w:right w:val="nil"/>
            </w:tcBorders>
            <w:shd w:fill="auto" w:val="clear"/>
            <w:tcMar>
              <w:left w:type="dxa" w:w="144"/>
            </w:tcMar>
            <w:vAlign w:val="bottom"/>
          </w:tcPr>
          <w:p>
            <w:pPr>
              <w:pStyle w:val="style65"/>
              <w:rPr/>
            </w:pPr>
            <w:r>
              <w:rPr/>
              <w:t> </w:t>
            </w:r>
          </w:p>
        </w:tc>
        <w:tc>
          <w:tcPr>
            <w:tcW w:type="dxa" w:w="1120"/>
            <w:tcBorders>
              <w:top w:val="nil"/>
              <w:left w:val="nil"/>
              <w:bottom w:val="nil"/>
              <w:right w:val="nil"/>
            </w:tcBorders>
            <w:shd w:fill="auto" w:val="clear"/>
            <w:tcMar>
              <w:left w:type="dxa" w:w="144"/>
            </w:tcMar>
            <w:vAlign w:val="bottom"/>
          </w:tcPr>
          <w:p>
            <w:pPr>
              <w:pStyle w:val="style65"/>
              <w:rPr/>
            </w:pPr>
            <w:r>
              <w:rPr/>
              <w:t> </w:t>
            </w:r>
          </w:p>
        </w:tc>
        <w:tc>
          <w:tcPr>
            <w:tcW w:type="dxa" w:w="1107"/>
            <w:tcBorders>
              <w:top w:val="nil"/>
              <w:left w:val="nil"/>
              <w:bottom w:val="nil"/>
              <w:right w:val="nil"/>
            </w:tcBorders>
            <w:shd w:fill="auto" w:val="clear"/>
            <w:tcMar>
              <w:left w:type="dxa" w:w="144"/>
            </w:tcMar>
            <w:vAlign w:val="bottom"/>
          </w:tcPr>
          <w:p>
            <w:pPr>
              <w:pStyle w:val="style65"/>
              <w:rPr/>
            </w:pPr>
            <w:r>
              <w:rPr/>
              <w:t> </w:t>
            </w:r>
          </w:p>
        </w:tc>
      </w:tr>
      <w:tr>
        <w:trPr>
          <w:trHeight w:hRule="atLeast" w:val="75"/>
          <w:cantSplit w:val="false"/>
        </w:trPr>
        <w:tc>
          <w:tcPr>
            <w:tcW w:type="dxa" w:w="5955"/>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rPr>
                <w:sz w:val="8"/>
                <w:szCs w:val="24"/>
              </w:rPr>
            </w:pPr>
            <w:r>
              <w:rPr>
                <w:sz w:val="8"/>
                <w:szCs w:val="24"/>
              </w:rPr>
            </w:r>
          </w:p>
        </w:tc>
        <w:tc>
          <w:tcPr>
            <w:tcW w:type="dxa" w:w="1339"/>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107"/>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September 27, 2013</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w:t>
              <w:tab/>
              <w:t>1,000</w:t>
              <w:tab/>
              <w:t> </w:t>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w:t>
              <w:tab/>
              <w:t>1,000</w:t>
              <w:tab/>
              <w:t> </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0.875%</w:t>
              <w:tab/>
              <w:t> </w:t>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1.000%</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June 1, 2014</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2,000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2,000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2.950%</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3.049%</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September 25, 2015</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1,750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1,750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1.625%</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1.795%</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February 8, 2016</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750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750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2.500%</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2.642%</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November 15, 2017 </w:t>
            </w:r>
            <w:r>
              <w:rPr>
                <w:rFonts w:ascii="Arial" w:cs="Arial" w:hAnsi="Arial"/>
                <w:sz w:val="15"/>
                <w:szCs w:val="15"/>
                <w:vertAlign w:val="superscript"/>
              </w:rPr>
              <w:t>(a)</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600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0.875%</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1.084%</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May 1, 2018 </w:t>
            </w:r>
            <w:r>
              <w:rPr>
                <w:rFonts w:ascii="Arial" w:cs="Arial" w:hAnsi="Arial"/>
                <w:sz w:val="15"/>
                <w:szCs w:val="15"/>
                <w:vertAlign w:val="superscript"/>
              </w:rPr>
              <w:t>(b)</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450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1.000%</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1.106%</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June 1, 2019</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1,000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1,000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4.200%</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4.379%</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October 1, 2020</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1,000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1,000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3.000%</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3.137%</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February 8, 2021</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500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500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4.000%</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4.082%</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November 15, 2022 </w:t>
            </w:r>
            <w:r>
              <w:rPr>
                <w:rFonts w:ascii="Arial" w:cs="Arial" w:hAnsi="Arial"/>
                <w:sz w:val="15"/>
                <w:szCs w:val="15"/>
                <w:vertAlign w:val="superscript"/>
              </w:rPr>
              <w:t>(a)</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750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2.125%</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2.239%</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May 1, 2023 </w:t>
            </w:r>
            <w:r>
              <w:rPr>
                <w:rFonts w:ascii="Arial" w:cs="Arial" w:hAnsi="Arial"/>
                <w:sz w:val="15"/>
                <w:szCs w:val="15"/>
                <w:vertAlign w:val="superscript"/>
              </w:rPr>
              <w:t>(b)</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1,000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2.375%</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2.465%</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May 2, 2033 </w:t>
            </w:r>
            <w:r>
              <w:rPr>
                <w:rFonts w:ascii="Arial" w:cs="Arial" w:hAnsi="Arial"/>
                <w:sz w:val="15"/>
                <w:szCs w:val="15"/>
                <w:vertAlign w:val="superscript"/>
              </w:rPr>
              <w:t>(c)</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715</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2.625%</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2.690%</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June 1, 2039</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750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750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5.200%</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5.240%</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October 1, 2040</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1,000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1,000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4.500%</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4.567%</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February 8, 2041</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1,000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1,000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5.300%</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5.361%</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November 15, 2042 </w:t>
            </w:r>
            <w:r>
              <w:rPr>
                <w:rFonts w:ascii="Arial" w:cs="Arial" w:hAnsi="Arial"/>
                <w:sz w:val="15"/>
                <w:szCs w:val="15"/>
                <w:vertAlign w:val="superscript"/>
              </w:rPr>
              <w:t>(a)</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900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3.500%</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3.571%</w:t>
              <w:tab/>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May 1, 2043 </w:t>
            </w:r>
            <w:r>
              <w:rPr>
                <w:rFonts w:ascii="Arial" w:cs="Arial" w:hAnsi="Arial"/>
                <w:sz w:val="15"/>
                <w:szCs w:val="15"/>
                <w:vertAlign w:val="superscript"/>
              </w:rPr>
              <w:t>(b)</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500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3.750%</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3.829%</w:t>
              <w:tab/>
            </w:r>
          </w:p>
        </w:tc>
      </w:tr>
      <w:tr>
        <w:trPr>
          <w:cantSplit w:val="false"/>
        </w:trPr>
        <w:tc>
          <w:tcPr>
            <w:tcW w:type="dxa" w:w="7235"/>
            <w:gridSpan w:val="2"/>
            <w:tcBorders>
              <w:top w:val="nil"/>
              <w:left w:val="nil"/>
              <w:bottom w:val="nil"/>
              <w:right w:val="nil"/>
            </w:tcBorders>
            <w:shd w:fill="auto" w:val="clear"/>
            <w:vAlign w:val="bottom"/>
          </w:tcPr>
          <w:p>
            <w:pPr>
              <w:pStyle w:val="style59"/>
              <w:spacing w:after="0" w:before="20"/>
              <w:ind w:firstLine="117" w:left="-117" w:right="86"/>
              <w:contextualSpacing w:val="false"/>
              <w:rPr/>
            </w:pPr>
            <w:r>
              <w:rPr/>
              <w:t> </w:t>
            </w:r>
          </w:p>
        </w:tc>
        <w:tc>
          <w:tcPr>
            <w:tcW w:type="dxa" w:w="1339"/>
            <w:tcBorders>
              <w:top w:val="nil"/>
              <w:left w:val="nil"/>
              <w:bottom w:val="nil"/>
              <w:right w:val="nil"/>
            </w:tcBorders>
            <w:shd w:fill="auto" w:val="clear"/>
            <w:tcMar>
              <w:left w:type="dxa" w:w="144"/>
            </w:tcMar>
            <w:vAlign w:val="bottom"/>
          </w:tcPr>
          <w:p>
            <w:pPr>
              <w:pStyle w:val="style59"/>
              <w:spacing w:after="0" w:before="20"/>
              <w:ind w:hanging="0" w:left="245" w:right="86"/>
              <w:contextualSpacing w:val="false"/>
              <w:rPr/>
            </w:pPr>
            <w:r>
              <w:rPr/>
              <w:t> </w:t>
            </w:r>
          </w:p>
        </w:tc>
        <w:tc>
          <w:tcPr>
            <w:tcW w:type="dxa" w:w="1120"/>
            <w:tcBorders>
              <w:top w:val="nil"/>
              <w:left w:val="nil"/>
              <w:bottom w:val="nil"/>
              <w:right w:val="nil"/>
            </w:tcBorders>
            <w:shd w:fill="auto" w:val="clear"/>
            <w:tcMar>
              <w:left w:type="dxa" w:w="144"/>
            </w:tcMar>
            <w:vAlign w:val="bottom"/>
          </w:tcPr>
          <w:p>
            <w:pPr>
              <w:pStyle w:val="style65"/>
              <w:rPr/>
            </w:pPr>
            <w:r>
              <w:rPr/>
              <w:t> </w:t>
            </w:r>
          </w:p>
        </w:tc>
        <w:tc>
          <w:tcPr>
            <w:tcW w:type="dxa" w:w="1107"/>
            <w:tcBorders>
              <w:top w:val="nil"/>
              <w:left w:val="nil"/>
              <w:bottom w:val="nil"/>
              <w:right w:val="nil"/>
            </w:tcBorders>
            <w:shd w:fill="auto" w:val="clear"/>
            <w:tcMar>
              <w:left w:type="dxa" w:w="144"/>
            </w:tcMar>
            <w:vAlign w:val="bottom"/>
          </w:tcPr>
          <w:p>
            <w:pPr>
              <w:pStyle w:val="style65"/>
              <w:tabs>
                <w:tab w:leader="none" w:pos="942" w:val="right"/>
                <w:tab w:leader="none" w:pos="1068" w:val="decimal"/>
              </w:tabs>
              <w:rPr/>
            </w:pPr>
            <w:r>
              <w:rPr/>
              <w:t> </w:t>
            </w:r>
          </w:p>
        </w:tc>
      </w:tr>
      <w:tr>
        <w:trPr>
          <w:cantSplit w:val="false"/>
        </w:trPr>
        <w:tc>
          <w:tcPr>
            <w:tcW w:type="dxa" w:w="5955"/>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15,665</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10,750</w:t>
              <w:tab/>
            </w:r>
          </w:p>
        </w:tc>
        <w:tc>
          <w:tcPr>
            <w:tcW w:type="dxa" w:w="1120"/>
            <w:tcBorders>
              <w:top w:val="nil"/>
              <w:left w:val="nil"/>
              <w:bottom w:val="nil"/>
              <w:right w:val="nil"/>
            </w:tcBorders>
            <w:shd w:fill="auto" w:val="clear"/>
            <w:tcMar>
              <w:left w:type="dxa" w:w="144"/>
            </w:tcMar>
            <w:vAlign w:val="bottom"/>
          </w:tcPr>
          <w:p>
            <w:pPr>
              <w:pStyle w:val="style65"/>
              <w:rPr/>
            </w:pPr>
            <w:r>
              <w:rPr/>
              <w:t> </w:t>
            </w:r>
          </w:p>
        </w:tc>
        <w:tc>
          <w:tcPr>
            <w:tcW w:type="dxa" w:w="1107"/>
            <w:tcBorders>
              <w:top w:val="nil"/>
              <w:left w:val="nil"/>
              <w:bottom w:val="nil"/>
              <w:right w:val="nil"/>
            </w:tcBorders>
            <w:shd w:fill="auto" w:val="clear"/>
            <w:tcMar>
              <w:left w:type="dxa" w:w="144"/>
            </w:tcMar>
            <w:vAlign w:val="bottom"/>
          </w:tcPr>
          <w:p>
            <w:pPr>
              <w:pStyle w:val="style65"/>
              <w:tabs>
                <w:tab w:leader="none" w:pos="942" w:val="right"/>
                <w:tab w:leader="none" w:pos="1068" w:val="decimal"/>
              </w:tabs>
              <w:rPr/>
            </w:pPr>
            <w:r>
              <w:rPr/>
              <w:t> </w:t>
            </w:r>
          </w:p>
        </w:tc>
      </w:tr>
      <w:tr>
        <w:trPr>
          <w:trHeight w:hRule="atLeast" w:val="75"/>
          <w:cantSplit w:val="false"/>
        </w:trPr>
        <w:tc>
          <w:tcPr>
            <w:tcW w:type="dxa" w:w="5955"/>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45" w:right="86"/>
              <w:rPr>
                <w:sz w:val="8"/>
                <w:szCs w:val="24"/>
              </w:rPr>
            </w:pPr>
            <w:r>
              <w:rPr>
                <w:sz w:val="8"/>
                <w:szCs w:val="24"/>
              </w:rPr>
            </w:r>
          </w:p>
        </w:tc>
        <w:tc>
          <w:tcPr>
            <w:tcW w:type="dxa" w:w="1339"/>
            <w:tcBorders>
              <w:top w:val="nil"/>
              <w:left w:val="nil"/>
              <w:bottom w:val="nil"/>
              <w:right w:val="nil"/>
            </w:tcBorders>
            <w:shd w:fill="auto" w:val="clear"/>
            <w:vAlign w:val="center"/>
          </w:tcPr>
          <w:p>
            <w:pPr>
              <w:pStyle w:val="style0"/>
              <w:ind w:hanging="0" w:left="245" w:right="86"/>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107"/>
            <w:tcBorders>
              <w:top w:val="nil"/>
              <w:left w:val="nil"/>
              <w:bottom w:val="nil"/>
              <w:right w:val="nil"/>
            </w:tcBorders>
            <w:shd w:fill="auto" w:val="clear"/>
            <w:vAlign w:val="center"/>
          </w:tcPr>
          <w:p>
            <w:pPr>
              <w:pStyle w:val="style0"/>
              <w:tabs>
                <w:tab w:leader="none" w:pos="942" w:val="right"/>
                <w:tab w:leader="none" w:pos="1068" w:val="decimal"/>
              </w:tabs>
              <w:rPr>
                <w:sz w:val="8"/>
                <w:szCs w:val="24"/>
              </w:rPr>
            </w:pPr>
            <w:r>
              <w:rPr>
                <w:sz w:val="8"/>
                <w:szCs w:val="24"/>
              </w:rPr>
            </w:r>
          </w:p>
        </w:tc>
      </w:tr>
      <w:tr>
        <w:trPr>
          <w:cantSplit w:val="false"/>
        </w:trPr>
        <w:tc>
          <w:tcPr>
            <w:tcW w:type="dxa" w:w="595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Convertible Debt</w:t>
            </w:r>
          </w:p>
        </w:tc>
        <w:tc>
          <w:tcPr>
            <w:tcW w:type="dxa" w:w="1280"/>
            <w:tcBorders>
              <w:top w:val="nil"/>
              <w:left w:val="nil"/>
              <w:bottom w:val="nil"/>
              <w:right w:val="nil"/>
            </w:tcBorders>
            <w:shd w:fill="auto" w:val="clear"/>
            <w:tcMar>
              <w:left w:type="dxa" w:w="144"/>
            </w:tcMar>
            <w:vAlign w:val="bottom"/>
          </w:tcPr>
          <w:p>
            <w:pPr>
              <w:pStyle w:val="style65"/>
              <w:ind w:hanging="0" w:left="245" w:right="86"/>
              <w:rPr/>
            </w:pPr>
            <w:r>
              <w:rPr/>
              <w:t> </w:t>
            </w:r>
          </w:p>
        </w:tc>
        <w:tc>
          <w:tcPr>
            <w:tcW w:type="dxa" w:w="1339"/>
            <w:tcBorders>
              <w:top w:val="nil"/>
              <w:left w:val="nil"/>
              <w:bottom w:val="nil"/>
              <w:right w:val="nil"/>
            </w:tcBorders>
            <w:shd w:fill="auto" w:val="clear"/>
            <w:tcMar>
              <w:left w:type="dxa" w:w="144"/>
            </w:tcMar>
            <w:vAlign w:val="bottom"/>
          </w:tcPr>
          <w:p>
            <w:pPr>
              <w:pStyle w:val="style65"/>
              <w:ind w:hanging="0" w:left="245" w:right="86"/>
              <w:rPr/>
            </w:pPr>
            <w:r>
              <w:rPr/>
              <w:t> </w:t>
            </w:r>
          </w:p>
        </w:tc>
        <w:tc>
          <w:tcPr>
            <w:tcW w:type="dxa" w:w="1120"/>
            <w:tcBorders>
              <w:top w:val="nil"/>
              <w:left w:val="nil"/>
              <w:bottom w:val="nil"/>
              <w:right w:val="nil"/>
            </w:tcBorders>
            <w:shd w:fill="auto" w:val="clear"/>
            <w:tcMar>
              <w:left w:type="dxa" w:w="144"/>
            </w:tcMar>
            <w:vAlign w:val="bottom"/>
          </w:tcPr>
          <w:p>
            <w:pPr>
              <w:pStyle w:val="style65"/>
              <w:rPr/>
            </w:pPr>
            <w:r>
              <w:rPr/>
              <w:t> </w:t>
            </w:r>
          </w:p>
        </w:tc>
        <w:tc>
          <w:tcPr>
            <w:tcW w:type="dxa" w:w="1107"/>
            <w:tcBorders>
              <w:top w:val="nil"/>
              <w:left w:val="nil"/>
              <w:bottom w:val="nil"/>
              <w:right w:val="nil"/>
            </w:tcBorders>
            <w:shd w:fill="auto" w:val="clear"/>
            <w:tcMar>
              <w:left w:type="dxa" w:w="144"/>
            </w:tcMar>
            <w:vAlign w:val="bottom"/>
          </w:tcPr>
          <w:p>
            <w:pPr>
              <w:pStyle w:val="style65"/>
              <w:tabs>
                <w:tab w:leader="none" w:pos="942" w:val="right"/>
                <w:tab w:leader="none" w:pos="1068" w:val="decimal"/>
              </w:tabs>
              <w:rPr/>
            </w:pPr>
            <w:r>
              <w:rPr/>
              <w:t> </w:t>
            </w:r>
          </w:p>
        </w:tc>
      </w:tr>
      <w:tr>
        <w:trPr>
          <w:trHeight w:hRule="atLeast" w:val="75"/>
          <w:cantSplit w:val="false"/>
        </w:trPr>
        <w:tc>
          <w:tcPr>
            <w:tcW w:type="dxa" w:w="5955"/>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45" w:right="86"/>
              <w:rPr>
                <w:sz w:val="8"/>
                <w:szCs w:val="24"/>
              </w:rPr>
            </w:pPr>
            <w:r>
              <w:rPr>
                <w:sz w:val="8"/>
                <w:szCs w:val="24"/>
              </w:rPr>
            </w:r>
          </w:p>
        </w:tc>
        <w:tc>
          <w:tcPr>
            <w:tcW w:type="dxa" w:w="1339"/>
            <w:tcBorders>
              <w:top w:val="nil"/>
              <w:left w:val="nil"/>
              <w:bottom w:val="nil"/>
              <w:right w:val="nil"/>
            </w:tcBorders>
            <w:shd w:fill="auto" w:val="clear"/>
            <w:vAlign w:val="center"/>
          </w:tcPr>
          <w:p>
            <w:pPr>
              <w:pStyle w:val="style0"/>
              <w:ind w:hanging="0" w:left="245" w:right="86"/>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107"/>
            <w:tcBorders>
              <w:top w:val="nil"/>
              <w:left w:val="nil"/>
              <w:bottom w:val="nil"/>
              <w:right w:val="nil"/>
            </w:tcBorders>
            <w:shd w:fill="auto" w:val="clear"/>
            <w:vAlign w:val="center"/>
          </w:tcPr>
          <w:p>
            <w:pPr>
              <w:pStyle w:val="style0"/>
              <w:tabs>
                <w:tab w:leader="none" w:pos="942" w:val="right"/>
                <w:tab w:leader="none" w:pos="1068" w:val="decimal"/>
              </w:tabs>
              <w:rPr>
                <w:sz w:val="8"/>
                <w:szCs w:val="24"/>
              </w:rPr>
            </w:pPr>
            <w:r>
              <w:rPr>
                <w:sz w:val="8"/>
                <w:szCs w:val="24"/>
              </w:rPr>
            </w:r>
          </w:p>
        </w:tc>
      </w:tr>
      <w:tr>
        <w:trPr>
          <w:cantSplit w:val="false"/>
        </w:trPr>
        <w:tc>
          <w:tcPr>
            <w:tcW w:type="dxa" w:w="595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June 15, 2013</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ab/>
              <w:t>0</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ab/>
              <w:t>1,250</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b/>
                <w:bCs/>
                <w:sz w:val="20"/>
                <w:szCs w:val="20"/>
              </w:rPr>
            </w:pPr>
            <w:r>
              <w:rPr>
                <w:rFonts w:ascii="Arial" w:cs="Arial" w:hAnsi="Arial"/>
                <w:b/>
                <w:bCs/>
                <w:sz w:val="20"/>
                <w:szCs w:val="20"/>
              </w:rPr>
              <w:tab/>
              <w:t>0.000%</w:t>
              <w:tab/>
            </w:r>
          </w:p>
        </w:tc>
        <w:tc>
          <w:tcPr>
            <w:tcW w:type="dxa" w:w="1107"/>
            <w:tcBorders>
              <w:top w:val="nil"/>
              <w:left w:val="nil"/>
              <w:bottom w:val="nil"/>
              <w:right w:val="nil"/>
            </w:tcBorders>
            <w:shd w:fill="auto" w:val="clear"/>
            <w:tcMar>
              <w:left w:type="dxa" w:w="144"/>
            </w:tcMar>
            <w:vAlign w:val="bottom"/>
          </w:tcPr>
          <w:p>
            <w:pPr>
              <w:pStyle w:val="style62"/>
              <w:tabs>
                <w:tab w:leader="none" w:pos="942" w:val="right"/>
                <w:tab w:leader="none" w:pos="1068" w:val="decimal"/>
              </w:tabs>
              <w:spacing w:after="280" w:before="280"/>
              <w:contextualSpacing w:val="false"/>
              <w:rPr>
                <w:rFonts w:ascii="Arial" w:cs="Arial" w:hAnsi="Arial"/>
                <w:b/>
                <w:bCs/>
                <w:sz w:val="20"/>
                <w:szCs w:val="20"/>
              </w:rPr>
            </w:pPr>
            <w:r>
              <w:rPr>
                <w:rFonts w:ascii="Arial" w:cs="Arial" w:hAnsi="Arial"/>
                <w:b/>
                <w:bCs/>
                <w:sz w:val="20"/>
                <w:szCs w:val="20"/>
              </w:rPr>
              <w:tab/>
              <w:t>1.849%</w:t>
              <w:tab/>
            </w:r>
          </w:p>
        </w:tc>
      </w:tr>
      <w:tr>
        <w:trPr>
          <w:cantSplit w:val="false"/>
        </w:trPr>
        <w:tc>
          <w:tcPr>
            <w:tcW w:type="dxa" w:w="7235"/>
            <w:gridSpan w:val="2"/>
            <w:tcBorders>
              <w:top w:val="nil"/>
              <w:left w:val="nil"/>
              <w:bottom w:val="nil"/>
              <w:right w:val="nil"/>
            </w:tcBorders>
            <w:shd w:fill="auto" w:val="clear"/>
            <w:vAlign w:val="bottom"/>
          </w:tcPr>
          <w:p>
            <w:pPr>
              <w:pStyle w:val="style59"/>
              <w:spacing w:after="0" w:before="20"/>
              <w:ind w:firstLine="117" w:left="-117" w:right="86"/>
              <w:contextualSpacing w:val="false"/>
              <w:rPr/>
            </w:pPr>
            <w:r>
              <w:rPr/>
              <w:t> </w:t>
            </w:r>
          </w:p>
        </w:tc>
        <w:tc>
          <w:tcPr>
            <w:tcW w:type="dxa" w:w="1339"/>
            <w:tcBorders>
              <w:top w:val="nil"/>
              <w:left w:val="nil"/>
              <w:bottom w:val="nil"/>
              <w:right w:val="nil"/>
            </w:tcBorders>
            <w:shd w:fill="auto" w:val="clear"/>
            <w:tcMar>
              <w:left w:type="dxa" w:w="144"/>
            </w:tcMar>
            <w:vAlign w:val="bottom"/>
          </w:tcPr>
          <w:p>
            <w:pPr>
              <w:pStyle w:val="style59"/>
              <w:spacing w:after="0" w:before="20"/>
              <w:ind w:hanging="0" w:left="245" w:right="86"/>
              <w:contextualSpacing w:val="false"/>
              <w:rPr/>
            </w:pPr>
            <w:r>
              <w:rPr/>
              <w:t> </w:t>
            </w:r>
          </w:p>
        </w:tc>
        <w:tc>
          <w:tcPr>
            <w:tcW w:type="dxa" w:w="1120"/>
            <w:tcBorders>
              <w:top w:val="nil"/>
              <w:left w:val="nil"/>
              <w:bottom w:val="nil"/>
              <w:right w:val="nil"/>
            </w:tcBorders>
            <w:shd w:fill="auto" w:val="clear"/>
            <w:tcMar>
              <w:left w:type="dxa" w:w="144"/>
            </w:tcMar>
            <w:vAlign w:val="bottom"/>
          </w:tcPr>
          <w:p>
            <w:pPr>
              <w:pStyle w:val="style65"/>
              <w:rPr/>
            </w:pPr>
            <w:r>
              <w:rPr/>
              <w:t> </w:t>
            </w:r>
          </w:p>
        </w:tc>
        <w:tc>
          <w:tcPr>
            <w:tcW w:type="dxa" w:w="1107"/>
            <w:tcBorders>
              <w:top w:val="nil"/>
              <w:left w:val="nil"/>
              <w:bottom w:val="nil"/>
              <w:right w:val="nil"/>
            </w:tcBorders>
            <w:shd w:fill="auto" w:val="clear"/>
            <w:tcMar>
              <w:left w:type="dxa" w:w="144"/>
            </w:tcMar>
            <w:vAlign w:val="bottom"/>
          </w:tcPr>
          <w:p>
            <w:pPr>
              <w:pStyle w:val="style65"/>
              <w:rPr/>
            </w:pPr>
            <w:r>
              <w:rPr/>
              <w:t> </w:t>
            </w:r>
          </w:p>
        </w:tc>
      </w:tr>
      <w:tr>
        <w:trPr>
          <w:cantSplit w:val="false"/>
        </w:trPr>
        <w:tc>
          <w:tcPr>
            <w:tcW w:type="dxa" w:w="5955"/>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45" w:right="86"/>
              <w:contextualSpacing w:val="false"/>
              <w:rPr>
                <w:rFonts w:ascii="Arial" w:cs="Arial" w:hAnsi="Arial"/>
                <w:b/>
                <w:bCs/>
                <w:sz w:val="20"/>
                <w:szCs w:val="20"/>
              </w:rPr>
            </w:pPr>
            <w:r>
              <w:rPr>
                <w:rFonts w:ascii="Arial" w:cs="Arial" w:hAnsi="Arial"/>
                <w:b/>
                <w:bCs/>
                <w:sz w:val="20"/>
                <w:szCs w:val="20"/>
              </w:rPr>
              <w:t>$</w:t>
              <w:tab/>
              <w:t>  15,665</w:t>
              <w:tab/>
            </w:r>
          </w:p>
        </w:tc>
        <w:tc>
          <w:tcPr>
            <w:tcW w:type="dxa" w:w="1339"/>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245" w:right="86"/>
              <w:contextualSpacing w:val="false"/>
              <w:rPr>
                <w:rFonts w:ascii="Arial" w:cs="Arial" w:hAnsi="Arial"/>
                <w:sz w:val="20"/>
                <w:szCs w:val="20"/>
              </w:rPr>
            </w:pPr>
            <w:r>
              <w:rPr>
                <w:rFonts w:ascii="Arial" w:cs="Arial" w:hAnsi="Arial"/>
                <w:sz w:val="20"/>
                <w:szCs w:val="20"/>
              </w:rPr>
              <w:t>$</w:t>
              <w:tab/>
              <w:t>  12,000</w:t>
              <w:tab/>
            </w:r>
          </w:p>
        </w:tc>
        <w:tc>
          <w:tcPr>
            <w:tcW w:type="dxa" w:w="1120"/>
            <w:tcBorders>
              <w:top w:val="nil"/>
              <w:left w:val="nil"/>
              <w:bottom w:val="nil"/>
              <w:right w:val="nil"/>
            </w:tcBorders>
            <w:shd w:fill="auto" w:val="clear"/>
            <w:tcMar>
              <w:left w:type="dxa" w:w="144"/>
            </w:tcMar>
            <w:vAlign w:val="bottom"/>
          </w:tcPr>
          <w:p>
            <w:pPr>
              <w:pStyle w:val="style65"/>
              <w:rPr/>
            </w:pPr>
            <w:r>
              <w:rPr/>
              <w:t> </w:t>
            </w:r>
          </w:p>
        </w:tc>
        <w:tc>
          <w:tcPr>
            <w:tcW w:type="dxa" w:w="1107"/>
            <w:tcBorders>
              <w:top w:val="nil"/>
              <w:left w:val="nil"/>
              <w:bottom w:val="nil"/>
              <w:right w:val="nil"/>
            </w:tcBorders>
            <w:shd w:fill="auto" w:val="clear"/>
            <w:tcMar>
              <w:left w:type="dxa" w:w="144"/>
            </w:tcMar>
            <w:vAlign w:val="bottom"/>
          </w:tcPr>
          <w:p>
            <w:pPr>
              <w:pStyle w:val="style65"/>
              <w:rPr/>
            </w:pPr>
            <w:r>
              <w:rPr/>
              <w:t> </w:t>
            </w:r>
          </w:p>
        </w:tc>
      </w:tr>
      <w:tr>
        <w:trPr>
          <w:cantSplit w:val="false"/>
        </w:trPr>
        <w:tc>
          <w:tcPr>
            <w:tcW w:type="dxa" w:w="5955"/>
            <w:tcBorders>
              <w:top w:val="nil"/>
              <w:left w:val="nil"/>
              <w:bottom w:val="nil"/>
              <w:right w:val="nil"/>
            </w:tcBorders>
            <w:shd w:fill="auto" w:val="clear"/>
            <w:tcMar>
              <w:left w:type="dxa" w:w="144"/>
            </w:tcMar>
            <w:vAlign w:val="bottom"/>
          </w:tcPr>
          <w:p>
            <w:pPr>
              <w:pStyle w:val="style65"/>
              <w:rPr/>
            </w:pPr>
            <w:r>
              <w:rPr/>
              <w:t> </w:t>
            </w:r>
          </w:p>
        </w:tc>
        <w:tc>
          <w:tcPr>
            <w:tcW w:type="dxa" w:w="1280"/>
            <w:tcBorders>
              <w:top w:val="nil"/>
              <w:left w:val="nil"/>
              <w:bottom w:val="nil"/>
              <w:right w:val="nil"/>
            </w:tcBorders>
            <w:shd w:fill="auto" w:val="clear"/>
            <w:tcMar>
              <w:left w:type="dxa" w:w="144"/>
            </w:tcMar>
            <w:vAlign w:val="bottom"/>
          </w:tcPr>
          <w:p>
            <w:pPr>
              <w:pStyle w:val="style63"/>
              <w:spacing w:after="0" w:before="20"/>
              <w:ind w:hanging="0" w:left="245" w:right="86"/>
              <w:contextualSpacing w:val="false"/>
              <w:rPr/>
            </w:pPr>
            <w:r>
              <w:rPr/>
              <w:t> </w:t>
            </w:r>
          </w:p>
        </w:tc>
        <w:tc>
          <w:tcPr>
            <w:tcW w:type="dxa" w:w="1339"/>
            <w:tcBorders>
              <w:top w:val="nil"/>
              <w:left w:val="nil"/>
              <w:bottom w:val="nil"/>
              <w:right w:val="nil"/>
            </w:tcBorders>
            <w:shd w:fill="auto" w:val="clear"/>
            <w:tcMar>
              <w:left w:type="dxa" w:w="144"/>
            </w:tcMar>
            <w:vAlign w:val="bottom"/>
          </w:tcPr>
          <w:p>
            <w:pPr>
              <w:pStyle w:val="style63"/>
              <w:spacing w:after="0" w:before="20"/>
              <w:ind w:hanging="0" w:left="245" w:right="86"/>
              <w:contextualSpacing w:val="false"/>
              <w:rPr/>
            </w:pPr>
            <w:r>
              <w:rPr/>
              <w:t> </w:t>
            </w:r>
          </w:p>
        </w:tc>
        <w:tc>
          <w:tcPr>
            <w:tcW w:type="dxa" w:w="1120"/>
            <w:tcBorders>
              <w:top w:val="nil"/>
              <w:left w:val="nil"/>
              <w:bottom w:val="nil"/>
              <w:right w:val="nil"/>
            </w:tcBorders>
            <w:shd w:fill="auto" w:val="clear"/>
            <w:tcMar>
              <w:left w:type="dxa" w:w="144"/>
            </w:tcMar>
            <w:vAlign w:val="bottom"/>
          </w:tcPr>
          <w:p>
            <w:pPr>
              <w:pStyle w:val="style65"/>
              <w:rPr/>
            </w:pPr>
            <w:r>
              <w:rPr/>
              <w:t> </w:t>
            </w:r>
          </w:p>
        </w:tc>
        <w:tc>
          <w:tcPr>
            <w:tcW w:type="dxa" w:w="1107"/>
            <w:tcBorders>
              <w:top w:val="nil"/>
              <w:left w:val="nil"/>
              <w:bottom w:val="nil"/>
              <w:right w:val="nil"/>
            </w:tcBorders>
            <w:shd w:fill="auto" w:val="clear"/>
            <w:tcMar>
              <w:left w:type="dxa" w:w="144"/>
            </w:tcMar>
            <w:vAlign w:val="bottom"/>
          </w:tcPr>
          <w:p>
            <w:pPr>
              <w:pStyle w:val="style65"/>
              <w:rPr/>
            </w:pPr>
            <w:r>
              <w:rPr/>
              <w:t> </w:t>
            </w:r>
          </w:p>
        </w:tc>
      </w:tr>
    </w:tbl>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(a)</w:t>
        <w:tab/>
      </w:r>
      <w:r>
        <w:rPr>
          <w:rFonts w:ascii="Arial" w:cs="Arial" w:hAnsi="Arial"/>
          <w:i/>
          <w:iCs/>
          <w:sz w:val="20"/>
          <w:szCs w:val="20"/>
        </w:rPr>
        <w:t>In November 2012, we issued $2.25 billion of debt securities.</w:t>
      </w:r>
      <w:r>
        <w:rPr>
          <w:rFonts w:ascii="Arial" w:cs="Arial" w:hAnsi="Arial"/>
          <w:sz w:val="20"/>
          <w:szCs w:val="20"/>
        </w:rPr>
        <w:t xml:space="preserv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(b)</w:t>
        <w:tab/>
      </w:r>
      <w:r>
        <w:rPr>
          <w:rFonts w:ascii="Arial" w:cs="Arial" w:hAnsi="Arial"/>
          <w:i/>
          <w:iCs/>
          <w:sz w:val="20"/>
          <w:szCs w:val="20"/>
        </w:rPr>
        <w:t>In April 2013, we issued $1.95 billion of debt securities.</w:t>
      </w:r>
      <w:r>
        <w:rPr>
          <w:rFonts w:ascii="Arial" w:cs="Arial" w:hAnsi="Arial"/>
          <w:sz w:val="20"/>
          <w:szCs w:val="20"/>
        </w:rPr>
        <w:t xml:space="preserv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(c)</w:t>
        <w:tab/>
      </w:r>
      <w:r>
        <w:rPr>
          <w:rFonts w:ascii="Arial" w:cs="Arial" w:hAnsi="Arial"/>
          <w:i/>
          <w:iCs/>
          <w:sz w:val="20"/>
          <w:szCs w:val="20"/>
        </w:rPr>
        <w:t>In April 2013, we issued €550 million of debt securities.</w:t>
      </w:r>
      <w:r>
        <w:rPr>
          <w:rFonts w:ascii="Arial" w:cs="Arial" w:hAnsi="Arial"/>
          <w:sz w:val="20"/>
          <w:szCs w:val="20"/>
        </w:rPr>
        <w:t xml:space="preserv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w:t>
        <w:tab/>
      </w:r>
      <w:r>
        <w:rPr>
          <w:rFonts w:ascii="Arial" w:cs="Arial" w:hAnsi="Arial"/>
          <w:i/>
          <w:iCs/>
          <w:sz w:val="20"/>
          <w:szCs w:val="20"/>
        </w:rPr>
        <w:t>Not applicable.</w:t>
      </w:r>
      <w:r>
        <w:rPr>
          <w:rFonts w:ascii="Arial" w:cs="Arial" w:hAnsi="Arial"/>
          <w:sz w:val="20"/>
          <w:szCs w:val="20"/>
        </w:rPr>
        <w:t xml:space="preserv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As of June 30, 2013 and 2012, the aggregate unamortized discount for our long-term debt, including the current portion, was $65 million and $56 million, respectively.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Notes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Notes are senior unsecured obligations and rank equally with our other unsecured and unsubordinated debt outstanding.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Convertible Debt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June 2013, we paid cash of $1.25 billion for the principal amount of our zero coupon convertible unsecured debt and elected to deliver cash for the $96 million excess obligation resulting from the conversion of the notes. Each $1,000 principal amount of notes was convertible into 30.68 shares of Microsoft common stock at a conversion price of $32.59 per share. As of June 30, 2012, the net carrying amount of the convertible debt and the unamortized discount were $1.2 billion and $19 million, respectively.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connection with the issuance of the notes in 2010, we entered into capped call transactions with certain option counterparties with a strike price equal to the conversion price of the notes. Upon conversion of the notes in June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2013, we exercised the capped calls. The bulk of the capped calls were physically settled by acquiring 29 million shares of our own common stock for $938 million. The remaining capped calls were net cash settled for $24 million.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Debt Service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Maturities of our long-term debt for each of the next five years and thereafter are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9579"/>
        <w:gridCol w:w="1220"/>
      </w:tblGrid>
      <w:tr>
        <w:trPr>
          <w:tblHeader w:val="true"/>
          <w:cantSplit w:val="false"/>
        </w:trPr>
        <w:tc>
          <w:tcPr>
            <w:tcW w:type="dxa" w:w="9579"/>
            <w:tcBorders>
              <w:top w:val="nil"/>
              <w:left w:val="nil"/>
              <w:bottom w:val="nil"/>
              <w:right w:val="nil"/>
            </w:tcBorders>
            <w:shd w:fill="auto" w:val="clear"/>
            <w:vAlign w:val="center"/>
          </w:tcPr>
          <w:p>
            <w:pPr>
              <w:pStyle w:val="style0"/>
              <w:rPr>
                <w:sz w:val="1"/>
                <w:szCs w:val="24"/>
              </w:rPr>
            </w:pPr>
            <w:r>
              <w:rPr>
                <w:sz w:val="1"/>
                <w:szCs w:val="24"/>
              </w:rPr>
            </w:r>
          </w:p>
        </w:tc>
        <w:tc>
          <w:tcPr>
            <w:tcW w:type="dxa" w:w="1220"/>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95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20"/>
            <w:tcBorders>
              <w:top w:val="nil"/>
              <w:left w:val="nil"/>
              <w:bottom w:val="nil"/>
              <w:right w:val="nil"/>
            </w:tcBorders>
            <w:shd w:fill="auto" w:val="clear"/>
            <w:tcMar>
              <w:left w:type="dxa" w:w="144"/>
            </w:tcMar>
            <w:vAlign w:val="bottom"/>
          </w:tcPr>
          <w:p>
            <w:pPr>
              <w:pStyle w:val="style65"/>
              <w:ind w:hanging="0" w:left="216" w:right="101"/>
              <w:rPr/>
            </w:pPr>
            <w:r>
              <w:rPr/>
              <w:t> </w:t>
            </w:r>
          </w:p>
        </w:tc>
      </w:tr>
      <w:tr>
        <w:trPr>
          <w:cantSplit w:val="false"/>
        </w:trPr>
        <w:tc>
          <w:tcPr>
            <w:tcW w:type="dxa" w:w="10799"/>
            <w:gridSpan w:val="2"/>
            <w:tcBorders>
              <w:top w:val="nil"/>
              <w:left w:val="nil"/>
              <w:bottom w:val="nil"/>
              <w:right w:val="nil"/>
            </w:tcBorders>
            <w:shd w:fill="auto" w:val="clear"/>
            <w:tcMar>
              <w:left w:type="dxa" w:w="144"/>
            </w:tcMar>
            <w:vAlign w:val="bottom"/>
          </w:tcPr>
          <w:p>
            <w:pPr>
              <w:pStyle w:val="style59"/>
              <w:spacing w:after="0" w:before="20"/>
              <w:ind w:hanging="0" w:left="-234" w:right="101"/>
              <w:contextualSpacing w:val="false"/>
              <w:rPr/>
            </w:pPr>
            <w:r>
              <w:rPr/>
              <w:t> </w:t>
            </w:r>
          </w:p>
        </w:tc>
      </w:tr>
      <w:tr>
        <w:trPr>
          <w:trHeight w:hRule="atLeast" w:val="75"/>
          <w:cantSplit w:val="false"/>
        </w:trPr>
        <w:tc>
          <w:tcPr>
            <w:tcW w:type="dxa" w:w="9579"/>
            <w:tcBorders>
              <w:top w:val="nil"/>
              <w:left w:val="nil"/>
              <w:bottom w:val="nil"/>
              <w:right w:val="nil"/>
            </w:tcBorders>
            <w:shd w:fill="auto" w:val="clear"/>
            <w:vAlign w:val="center"/>
          </w:tcPr>
          <w:p>
            <w:pPr>
              <w:pStyle w:val="style0"/>
              <w:rPr>
                <w:sz w:val="8"/>
                <w:szCs w:val="24"/>
              </w:rPr>
            </w:pPr>
            <w:r>
              <w:rPr>
                <w:sz w:val="8"/>
                <w:szCs w:val="24"/>
              </w:rPr>
            </w:r>
          </w:p>
        </w:tc>
        <w:tc>
          <w:tcPr>
            <w:tcW w:type="dxa" w:w="1220"/>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95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Ending June 30,</w:t>
            </w:r>
          </w:p>
        </w:tc>
        <w:tc>
          <w:tcPr>
            <w:tcW w:type="dxa" w:w="1220"/>
            <w:tcBorders>
              <w:top w:val="nil"/>
              <w:left w:val="nil"/>
              <w:bottom w:val="nil"/>
              <w:right w:val="nil"/>
            </w:tcBorders>
            <w:shd w:fill="auto" w:val="clear"/>
            <w:tcMar>
              <w:left w:type="dxa" w:w="144"/>
            </w:tcMar>
            <w:vAlign w:val="bottom"/>
          </w:tcPr>
          <w:p>
            <w:pPr>
              <w:pStyle w:val="style65"/>
              <w:ind w:hanging="0" w:left="216" w:right="101"/>
              <w:rPr/>
            </w:pPr>
            <w:r>
              <w:rPr/>
              <w:t> </w:t>
            </w:r>
          </w:p>
        </w:tc>
      </w:tr>
      <w:tr>
        <w:trPr>
          <w:trHeight w:hRule="atLeast" w:val="75"/>
          <w:cantSplit w:val="false"/>
        </w:trPr>
        <w:tc>
          <w:tcPr>
            <w:tcW w:type="dxa" w:w="9579"/>
            <w:tcBorders>
              <w:top w:val="nil"/>
              <w:left w:val="nil"/>
              <w:bottom w:val="nil"/>
              <w:right w:val="nil"/>
            </w:tcBorders>
            <w:shd w:fill="auto" w:val="clear"/>
            <w:vAlign w:val="center"/>
          </w:tcPr>
          <w:p>
            <w:pPr>
              <w:pStyle w:val="style0"/>
              <w:rPr>
                <w:sz w:val="8"/>
                <w:szCs w:val="24"/>
              </w:rPr>
            </w:pPr>
            <w:r>
              <w:rPr>
                <w:sz w:val="8"/>
                <w:szCs w:val="24"/>
              </w:rPr>
            </w:r>
          </w:p>
        </w:tc>
        <w:tc>
          <w:tcPr>
            <w:tcW w:type="dxa" w:w="1220"/>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95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2014</w:t>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3,000</w:t>
              <w:tab/>
              <w:t> </w:t>
            </w:r>
          </w:p>
        </w:tc>
      </w:tr>
      <w:tr>
        <w:trPr>
          <w:cantSplit w:val="false"/>
        </w:trPr>
        <w:tc>
          <w:tcPr>
            <w:tcW w:type="dxa" w:w="95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2015</w:t>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ab/>
              <w:t>0</w:t>
              <w:tab/>
            </w:r>
          </w:p>
        </w:tc>
      </w:tr>
      <w:tr>
        <w:trPr>
          <w:cantSplit w:val="false"/>
        </w:trPr>
        <w:tc>
          <w:tcPr>
            <w:tcW w:type="dxa" w:w="95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2016</w:t>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ab/>
              <w:t>2,500</w:t>
              <w:tab/>
            </w:r>
          </w:p>
        </w:tc>
      </w:tr>
      <w:tr>
        <w:trPr>
          <w:cantSplit w:val="false"/>
        </w:trPr>
        <w:tc>
          <w:tcPr>
            <w:tcW w:type="dxa" w:w="95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2017</w:t>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ab/>
              <w:t>0</w:t>
              <w:tab/>
            </w:r>
          </w:p>
        </w:tc>
      </w:tr>
      <w:tr>
        <w:trPr>
          <w:cantSplit w:val="false"/>
        </w:trPr>
        <w:tc>
          <w:tcPr>
            <w:tcW w:type="dxa" w:w="95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2018</w:t>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ab/>
              <w:t>1,050</w:t>
              <w:tab/>
            </w:r>
          </w:p>
        </w:tc>
      </w:tr>
      <w:tr>
        <w:trPr>
          <w:cantSplit w:val="false"/>
        </w:trPr>
        <w:tc>
          <w:tcPr>
            <w:tcW w:type="dxa" w:w="95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Thereafter</w:t>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ab/>
              <w:t>9,115</w:t>
              <w:tab/>
            </w:r>
          </w:p>
        </w:tc>
      </w:tr>
      <w:tr>
        <w:trPr>
          <w:cantSplit w:val="false"/>
        </w:trPr>
        <w:tc>
          <w:tcPr>
            <w:tcW w:type="dxa" w:w="10799"/>
            <w:gridSpan w:val="2"/>
            <w:tcBorders>
              <w:top w:val="nil"/>
              <w:left w:val="nil"/>
              <w:bottom w:val="nil"/>
              <w:right w:val="nil"/>
            </w:tcBorders>
            <w:shd w:fill="auto" w:val="clear"/>
            <w:tcMar>
              <w:left w:type="dxa" w:w="144"/>
            </w:tcMar>
            <w:vAlign w:val="bottom"/>
          </w:tcPr>
          <w:p>
            <w:pPr>
              <w:pStyle w:val="style59"/>
              <w:spacing w:after="0" w:before="20"/>
              <w:ind w:hanging="0" w:left="-234" w:right="101"/>
              <w:contextualSpacing w:val="false"/>
              <w:rPr/>
            </w:pPr>
            <w:r>
              <w:rPr/>
              <w:t> </w:t>
            </w:r>
          </w:p>
        </w:tc>
      </w:tr>
      <w:tr>
        <w:trPr>
          <w:cantSplit w:val="false"/>
        </w:trPr>
        <w:tc>
          <w:tcPr>
            <w:tcW w:type="dxa" w:w="95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22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 15,665</w:t>
              <w:tab/>
            </w:r>
          </w:p>
        </w:tc>
      </w:tr>
      <w:tr>
        <w:trPr>
          <w:cantSplit w:val="false"/>
        </w:trPr>
        <w:tc>
          <w:tcPr>
            <w:tcW w:type="dxa" w:w="9579"/>
            <w:tcBorders>
              <w:top w:val="nil"/>
              <w:left w:val="nil"/>
              <w:bottom w:val="nil"/>
              <w:right w:val="nil"/>
            </w:tcBorders>
            <w:shd w:fill="auto" w:val="clear"/>
            <w:tcMar>
              <w:left w:type="dxa" w:w="144"/>
            </w:tcMar>
            <w:vAlign w:val="bottom"/>
          </w:tcPr>
          <w:p>
            <w:pPr>
              <w:pStyle w:val="style65"/>
              <w:rPr/>
            </w:pPr>
            <w:r>
              <w:rPr/>
              <w:t> </w:t>
            </w:r>
          </w:p>
        </w:tc>
        <w:tc>
          <w:tcPr>
            <w:tcW w:type="dxa" w:w="1220"/>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Interest on the notes is paid semi-annually, except for the euro-denominated debt securities on which interest is paid annually. Cash paid for interest on our debt for fiscal years 2013, 2012, and 2011 was $371 million, $344 million, and $197 million, respectively.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Credit Facility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June 2013, we established a commercial paper program for the issuance and sale of up to $1.3 billion in commercial paper. As of June 30, 2013, we have not issued any commercial paper under this program.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June 2013, we entered into a $1.3 billion credit facility, which will serve as a back-up for our commercial paper program. As of June 30, 2013, we were in compliance with the only financial covenant in the credit agreement, which requires us to maintain a coverage ratio of at least three times earnings before interest, taxes, depreciation, and amortization to interest expense, as defined in the credit agreement. The credit facility expires on June 24, 2018. No amounts were drawn against the credit facility since its inception.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13 — INCOME TAXES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components of the provision for income taxes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388"/>
        <w:gridCol w:w="1171"/>
        <w:gridCol w:w="1120"/>
        <w:gridCol w:w="1121"/>
      </w:tblGrid>
      <w:tr>
        <w:trPr>
          <w:tblHeader w:val="true"/>
          <w:cantSplit w:val="false"/>
        </w:trPr>
        <w:tc>
          <w:tcPr>
            <w:tcW w:type="dxa" w:w="7388"/>
            <w:tcBorders>
              <w:top w:val="nil"/>
              <w:left w:val="nil"/>
              <w:bottom w:val="nil"/>
              <w:right w:val="nil"/>
            </w:tcBorders>
            <w:shd w:fill="auto" w:val="clear"/>
            <w:vAlign w:val="center"/>
          </w:tcPr>
          <w:p>
            <w:pPr>
              <w:pStyle w:val="style0"/>
              <w:rPr>
                <w:sz w:val="1"/>
                <w:szCs w:val="24"/>
              </w:rPr>
            </w:pPr>
            <w:r>
              <w:rPr>
                <w:sz w:val="1"/>
                <w:szCs w:val="24"/>
              </w:rPr>
            </w:r>
          </w:p>
        </w:tc>
        <w:tc>
          <w:tcPr>
            <w:tcW w:type="dxa" w:w="1171"/>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12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10800"/>
            <w:gridSpan w:val="4"/>
            <w:tcBorders>
              <w:top w:val="nil"/>
              <w:left w:val="nil"/>
              <w:bottom w:val="nil"/>
              <w:right w:val="nil"/>
            </w:tcBorders>
            <w:shd w:fill="auto" w:val="clear"/>
            <w:vAlign w:val="bottom"/>
          </w:tcPr>
          <w:p>
            <w:pPr>
              <w:pStyle w:val="style62"/>
              <w:keepNext/>
              <w:spacing w:after="280" w:before="280"/>
              <w:ind w:hanging="0" w:left="0" w:right="101"/>
              <w:contextualSpacing w:val="false"/>
              <w:rPr>
                <w:rFonts w:ascii="Arial" w:cs="Arial" w:hAnsi="Arial"/>
                <w:b/>
                <w:bCs/>
                <w:sz w:val="15"/>
                <w:szCs w:val="15"/>
              </w:rPr>
            </w:pPr>
            <w:r>
              <w:rPr>
                <w:rFonts w:ascii="Arial" w:cs="Arial" w:hAnsi="Arial"/>
                <w:b/>
                <w:bCs/>
                <w:sz w:val="15"/>
                <w:szCs w:val="15"/>
              </w:rPr>
              <w:t>(In millions)</w:t>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158" w:right="101"/>
              <w:contextualSpacing w:val="false"/>
              <w:rPr/>
            </w:pPr>
            <w:r>
              <w:rPr/>
              <w:t> </w:t>
            </w:r>
          </w:p>
        </w:tc>
      </w:tr>
      <w:tr>
        <w:trPr>
          <w:trHeight w:hRule="atLeast" w:val="75"/>
          <w:cantSplit w:val="false"/>
        </w:trPr>
        <w:tc>
          <w:tcPr>
            <w:tcW w:type="dxa" w:w="7388"/>
            <w:tcBorders>
              <w:top w:val="nil"/>
              <w:left w:val="nil"/>
              <w:bottom w:val="nil"/>
              <w:right w:val="nil"/>
            </w:tcBorders>
            <w:shd w:fill="auto" w:val="clear"/>
            <w:vAlign w:val="center"/>
          </w:tcPr>
          <w:p>
            <w:pPr>
              <w:pStyle w:val="style0"/>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121"/>
            <w:tcBorders>
              <w:top w:val="nil"/>
              <w:left w:val="nil"/>
              <w:bottom w:val="nil"/>
              <w:right w:val="nil"/>
            </w:tcBorders>
            <w:shd w:fill="auto" w:val="clear"/>
            <w:vAlign w:val="center"/>
          </w:tcPr>
          <w:p>
            <w:pPr>
              <w:pStyle w:val="style0"/>
              <w:ind w:hanging="0" w:left="202" w:right="86"/>
              <w:rPr>
                <w:sz w:val="8"/>
                <w:szCs w:val="24"/>
              </w:rPr>
            </w:pPr>
            <w:r>
              <w:rPr>
                <w:sz w:val="8"/>
                <w:szCs w:val="24"/>
              </w:rPr>
            </w:r>
          </w:p>
        </w:tc>
      </w:tr>
      <w:tr>
        <w:trPr>
          <w:cantSplit w:val="false"/>
        </w:trPr>
        <w:tc>
          <w:tcPr>
            <w:tcW w:type="dxa" w:w="7388"/>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171"/>
            <w:tcBorders>
              <w:top w:val="nil"/>
              <w:left w:val="nil"/>
              <w:bottom w:val="nil"/>
              <w:right w:val="nil"/>
            </w:tcBorders>
            <w:shd w:fill="auto" w:val="clear"/>
            <w:tcMar>
              <w:left w:type="dxa" w:w="144"/>
            </w:tcMar>
            <w:vAlign w:val="bottom"/>
          </w:tcPr>
          <w:p>
            <w:pPr>
              <w:pStyle w:val="style0"/>
              <w:ind w:hanging="0" w:left="202" w:right="72"/>
              <w:jc w:val="right"/>
              <w:rPr>
                <w:rFonts w:ascii="Arial" w:cs="Arial" w:hAnsi="Arial"/>
                <w:b/>
                <w:bCs/>
                <w:sz w:val="15"/>
                <w:szCs w:val="15"/>
              </w:rPr>
            </w:pPr>
            <w:r>
              <w:rPr>
                <w:rFonts w:ascii="Arial" w:cs="Arial" w:hAnsi="Arial"/>
                <w:b/>
                <w:bCs/>
                <w:sz w:val="15"/>
                <w:szCs w:val="15"/>
              </w:rPr>
              <w:t>2013</w:t>
            </w:r>
          </w:p>
        </w:tc>
        <w:tc>
          <w:tcPr>
            <w:tcW w:type="dxa" w:w="1120"/>
            <w:tcBorders>
              <w:top w:val="nil"/>
              <w:left w:val="nil"/>
              <w:bottom w:val="nil"/>
              <w:right w:val="nil"/>
            </w:tcBorders>
            <w:shd w:fill="auto" w:val="clear"/>
            <w:tcMar>
              <w:left w:type="dxa" w:w="144"/>
            </w:tcMar>
            <w:vAlign w:val="bottom"/>
          </w:tcPr>
          <w:p>
            <w:pPr>
              <w:pStyle w:val="style0"/>
              <w:ind w:hanging="0" w:left="202" w:right="58"/>
              <w:jc w:val="right"/>
              <w:rPr>
                <w:rFonts w:ascii="Arial" w:cs="Arial" w:hAnsi="Arial"/>
                <w:b/>
                <w:bCs/>
                <w:sz w:val="15"/>
                <w:szCs w:val="15"/>
              </w:rPr>
            </w:pPr>
            <w:r>
              <w:rPr>
                <w:rFonts w:ascii="Arial" w:cs="Arial" w:hAnsi="Arial"/>
                <w:b/>
                <w:bCs/>
                <w:sz w:val="15"/>
                <w:szCs w:val="15"/>
              </w:rPr>
              <w:t>2012</w:t>
            </w:r>
          </w:p>
        </w:tc>
        <w:tc>
          <w:tcPr>
            <w:tcW w:type="dxa" w:w="1121"/>
            <w:tcBorders>
              <w:top w:val="nil"/>
              <w:left w:val="nil"/>
              <w:bottom w:val="nil"/>
              <w:right w:val="nil"/>
            </w:tcBorders>
            <w:shd w:fill="auto" w:val="clear"/>
            <w:tcMar>
              <w:left w:type="dxa" w:w="144"/>
            </w:tcMar>
            <w:vAlign w:val="bottom"/>
          </w:tcPr>
          <w:p>
            <w:pPr>
              <w:pStyle w:val="style0"/>
              <w:ind w:hanging="0" w:left="202" w:right="72"/>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388"/>
            <w:tcBorders>
              <w:top w:val="nil"/>
              <w:left w:val="nil"/>
              <w:bottom w:val="nil"/>
              <w:right w:val="nil"/>
            </w:tcBorders>
            <w:shd w:fill="auto" w:val="clear"/>
            <w:vAlign w:val="center"/>
          </w:tcPr>
          <w:p>
            <w:pPr>
              <w:pStyle w:val="style0"/>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121"/>
            <w:tcBorders>
              <w:top w:val="nil"/>
              <w:left w:val="nil"/>
              <w:bottom w:val="nil"/>
              <w:right w:val="nil"/>
            </w:tcBorders>
            <w:shd w:fill="auto" w:val="clear"/>
            <w:vAlign w:val="center"/>
          </w:tcPr>
          <w:p>
            <w:pPr>
              <w:pStyle w:val="style0"/>
              <w:ind w:hanging="0" w:left="202" w:right="86"/>
              <w:rPr>
                <w:sz w:val="8"/>
                <w:szCs w:val="24"/>
              </w:rPr>
            </w:pPr>
            <w:r>
              <w:rPr>
                <w:sz w:val="8"/>
                <w:szCs w:val="24"/>
              </w:rPr>
            </w:r>
          </w:p>
        </w:tc>
      </w:tr>
      <w:tr>
        <w:trPr>
          <w:cantSplit w:val="false"/>
        </w:trPr>
        <w:tc>
          <w:tcPr>
            <w:tcW w:type="dxa" w:w="7388"/>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Current Taxes</w:t>
            </w:r>
          </w:p>
        </w:tc>
        <w:tc>
          <w:tcPr>
            <w:tcW w:type="dxa" w:w="1171"/>
            <w:tcBorders>
              <w:top w:val="nil"/>
              <w:left w:val="nil"/>
              <w:bottom w:val="nil"/>
              <w:right w:val="nil"/>
            </w:tcBorders>
            <w:shd w:fill="auto" w:val="clear"/>
            <w:tcMar>
              <w:left w:type="dxa" w:w="144"/>
            </w:tcMar>
            <w:vAlign w:val="bottom"/>
          </w:tcPr>
          <w:p>
            <w:pPr>
              <w:pStyle w:val="style65"/>
              <w:ind w:hanging="0" w:left="202" w:right="86"/>
              <w:rPr/>
            </w:pPr>
            <w:r>
              <w:rPr/>
              <w:t> </w:t>
            </w:r>
          </w:p>
        </w:tc>
        <w:tc>
          <w:tcPr>
            <w:tcW w:type="dxa" w:w="1120"/>
            <w:tcBorders>
              <w:top w:val="nil"/>
              <w:left w:val="nil"/>
              <w:bottom w:val="nil"/>
              <w:right w:val="nil"/>
            </w:tcBorders>
            <w:shd w:fill="auto" w:val="clear"/>
            <w:tcMar>
              <w:left w:type="dxa" w:w="144"/>
            </w:tcMar>
            <w:vAlign w:val="bottom"/>
          </w:tcPr>
          <w:p>
            <w:pPr>
              <w:pStyle w:val="style65"/>
              <w:ind w:hanging="0" w:left="202" w:right="86"/>
              <w:rPr/>
            </w:pPr>
            <w:r>
              <w:rPr/>
              <w:t> </w:t>
            </w:r>
          </w:p>
        </w:tc>
        <w:tc>
          <w:tcPr>
            <w:tcW w:type="dxa" w:w="1121"/>
            <w:tcBorders>
              <w:top w:val="nil"/>
              <w:left w:val="nil"/>
              <w:bottom w:val="nil"/>
              <w:right w:val="nil"/>
            </w:tcBorders>
            <w:shd w:fill="auto" w:val="clear"/>
            <w:tcMar>
              <w:left w:type="dxa" w:w="144"/>
            </w:tcMar>
            <w:vAlign w:val="bottom"/>
          </w:tcPr>
          <w:p>
            <w:pPr>
              <w:pStyle w:val="style65"/>
              <w:ind w:hanging="0" w:left="202" w:right="86"/>
              <w:rPr/>
            </w:pPr>
            <w:r>
              <w:rPr/>
              <w:t> </w:t>
            </w:r>
          </w:p>
        </w:tc>
      </w:tr>
      <w:tr>
        <w:trPr>
          <w:trHeight w:hRule="atLeast" w:val="75"/>
          <w:cantSplit w:val="false"/>
        </w:trPr>
        <w:tc>
          <w:tcPr>
            <w:tcW w:type="dxa" w:w="7388"/>
            <w:tcBorders>
              <w:top w:val="nil"/>
              <w:left w:val="nil"/>
              <w:bottom w:val="nil"/>
              <w:right w:val="nil"/>
            </w:tcBorders>
            <w:shd w:fill="auto" w:val="clear"/>
            <w:vAlign w:val="center"/>
          </w:tcPr>
          <w:p>
            <w:pPr>
              <w:pStyle w:val="style0"/>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121"/>
            <w:tcBorders>
              <w:top w:val="nil"/>
              <w:left w:val="nil"/>
              <w:bottom w:val="nil"/>
              <w:right w:val="nil"/>
            </w:tcBorders>
            <w:shd w:fill="auto" w:val="clear"/>
            <w:vAlign w:val="center"/>
          </w:tcPr>
          <w:p>
            <w:pPr>
              <w:pStyle w:val="style0"/>
              <w:ind w:hanging="0" w:left="202" w:right="86"/>
              <w:rPr>
                <w:sz w:val="8"/>
                <w:szCs w:val="24"/>
              </w:rPr>
            </w:pPr>
            <w:r>
              <w:rPr>
                <w:sz w:val="8"/>
                <w:szCs w:val="24"/>
              </w:rPr>
            </w:r>
          </w:p>
        </w:tc>
      </w:tr>
      <w:tr>
        <w:trPr>
          <w:cantSplit w:val="false"/>
        </w:trPr>
        <w:tc>
          <w:tcPr>
            <w:tcW w:type="dxa" w:w="73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U.S. federal</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w:t>
              <w:tab/>
              <w:t>  3,131</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  2,235</w:t>
              <w:tab/>
              <w:t> </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  3,108</w:t>
              <w:tab/>
              <w:t> </w:t>
            </w:r>
          </w:p>
        </w:tc>
      </w:tr>
      <w:tr>
        <w:trPr>
          <w:cantSplit w:val="false"/>
        </w:trPr>
        <w:tc>
          <w:tcPr>
            <w:tcW w:type="dxa" w:w="73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U.S. state and local</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ab/>
              <w:t>332</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86"/>
              <w:contextualSpacing w:val="false"/>
              <w:rPr>
                <w:rFonts w:ascii="Arial" w:cs="Arial" w:hAnsi="Arial"/>
                <w:sz w:val="20"/>
                <w:szCs w:val="20"/>
              </w:rPr>
            </w:pPr>
            <w:r>
              <w:rPr>
                <w:rFonts w:ascii="Arial" w:cs="Arial" w:hAnsi="Arial"/>
                <w:sz w:val="20"/>
                <w:szCs w:val="20"/>
              </w:rPr>
              <w:tab/>
              <w:t>153</w:t>
              <w:tab/>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ab/>
              <w:t>209</w:t>
              <w:tab/>
            </w:r>
          </w:p>
        </w:tc>
      </w:tr>
      <w:tr>
        <w:trPr>
          <w:cantSplit w:val="false"/>
        </w:trPr>
        <w:tc>
          <w:tcPr>
            <w:tcW w:type="dxa" w:w="73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International</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ab/>
              <w:t>1,745</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86"/>
              <w:contextualSpacing w:val="false"/>
              <w:rPr>
                <w:rFonts w:ascii="Arial" w:cs="Arial" w:hAnsi="Arial"/>
                <w:sz w:val="20"/>
                <w:szCs w:val="20"/>
              </w:rPr>
            </w:pPr>
            <w:r>
              <w:rPr>
                <w:rFonts w:ascii="Arial" w:cs="Arial" w:hAnsi="Arial"/>
                <w:sz w:val="20"/>
                <w:szCs w:val="20"/>
              </w:rPr>
              <w:tab/>
              <w:t>1,947</w:t>
              <w:tab/>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ab/>
              <w:t>1,602</w:t>
              <w:tab/>
            </w:r>
          </w:p>
        </w:tc>
      </w:tr>
      <w:tr>
        <w:trPr>
          <w:cantSplit w:val="false"/>
        </w:trPr>
        <w:tc>
          <w:tcPr>
            <w:tcW w:type="dxa" w:w="8559"/>
            <w:gridSpan w:val="2"/>
            <w:tcBorders>
              <w:top w:val="nil"/>
              <w:left w:val="nil"/>
              <w:bottom w:val="nil"/>
              <w:right w:val="nil"/>
            </w:tcBorders>
            <w:shd w:fill="auto" w:val="clear"/>
            <w:vAlign w:val="bottom"/>
          </w:tcPr>
          <w:p>
            <w:pPr>
              <w:pStyle w:val="style59"/>
              <w:spacing w:after="0" w:before="20"/>
              <w:ind w:hanging="0" w:left="-162" w:right="86"/>
              <w:contextualSpacing w:val="false"/>
              <w:rPr/>
            </w:pPr>
            <w:r>
              <w:rPr/>
              <w:t> </w:t>
            </w:r>
          </w:p>
        </w:tc>
        <w:tc>
          <w:tcPr>
            <w:tcW w:type="dxa" w:w="1120"/>
            <w:tcBorders>
              <w:top w:val="nil"/>
              <w:left w:val="nil"/>
              <w:bottom w:val="nil"/>
              <w:right w:val="nil"/>
            </w:tcBorders>
            <w:shd w:fill="auto" w:val="clear"/>
            <w:tcMar>
              <w:left w:type="dxa" w:w="144"/>
            </w:tcMar>
            <w:vAlign w:val="bottom"/>
          </w:tcPr>
          <w:p>
            <w:pPr>
              <w:pStyle w:val="style59"/>
              <w:spacing w:after="0" w:before="20"/>
              <w:ind w:hanging="0" w:left="202" w:right="86"/>
              <w:contextualSpacing w:val="false"/>
              <w:rPr/>
            </w:pPr>
            <w:r>
              <w:rPr/>
              <w:t> </w:t>
            </w:r>
          </w:p>
        </w:tc>
        <w:tc>
          <w:tcPr>
            <w:tcW w:type="dxa" w:w="1121"/>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r>
      <w:tr>
        <w:trPr>
          <w:cantSplit w:val="false"/>
        </w:trPr>
        <w:tc>
          <w:tcPr>
            <w:tcW w:type="dxa" w:w="73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Current taxes</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ab/>
              <w:t>5,208</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86"/>
              <w:contextualSpacing w:val="false"/>
              <w:rPr>
                <w:rFonts w:ascii="Arial" w:cs="Arial" w:hAnsi="Arial"/>
                <w:sz w:val="20"/>
                <w:szCs w:val="20"/>
              </w:rPr>
            </w:pPr>
            <w:r>
              <w:rPr>
                <w:rFonts w:ascii="Arial" w:cs="Arial" w:hAnsi="Arial"/>
                <w:sz w:val="20"/>
                <w:szCs w:val="20"/>
              </w:rPr>
              <w:tab/>
              <w:t>4,335</w:t>
              <w:tab/>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ab/>
              <w:t>4,919</w:t>
              <w:tab/>
            </w:r>
          </w:p>
        </w:tc>
      </w:tr>
      <w:tr>
        <w:trPr>
          <w:trHeight w:hRule="atLeast" w:val="75"/>
          <w:cantSplit w:val="false"/>
        </w:trPr>
        <w:tc>
          <w:tcPr>
            <w:tcW w:type="dxa" w:w="7388"/>
            <w:tcBorders>
              <w:top w:val="nil"/>
              <w:left w:val="nil"/>
              <w:bottom w:val="nil"/>
              <w:right w:val="nil"/>
            </w:tcBorders>
            <w:shd w:fill="auto" w:val="clear"/>
            <w:vAlign w:val="center"/>
          </w:tcPr>
          <w:p>
            <w:pPr>
              <w:pStyle w:val="style0"/>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121"/>
            <w:tcBorders>
              <w:top w:val="nil"/>
              <w:left w:val="nil"/>
              <w:bottom w:val="nil"/>
              <w:right w:val="nil"/>
            </w:tcBorders>
            <w:shd w:fill="auto" w:val="clear"/>
            <w:vAlign w:val="center"/>
          </w:tcPr>
          <w:p>
            <w:pPr>
              <w:pStyle w:val="style0"/>
              <w:ind w:hanging="0" w:left="202" w:right="101"/>
              <w:rPr>
                <w:sz w:val="8"/>
                <w:szCs w:val="24"/>
              </w:rPr>
            </w:pPr>
            <w:r>
              <w:rPr>
                <w:sz w:val="8"/>
                <w:szCs w:val="24"/>
              </w:rPr>
            </w:r>
          </w:p>
        </w:tc>
      </w:tr>
      <w:tr>
        <w:trPr>
          <w:cantSplit w:val="false"/>
        </w:trPr>
        <w:tc>
          <w:tcPr>
            <w:tcW w:type="dxa" w:w="7388"/>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Deferred Taxes</w:t>
            </w:r>
          </w:p>
        </w:tc>
        <w:tc>
          <w:tcPr>
            <w:tcW w:type="dxa" w:w="1171"/>
            <w:tcBorders>
              <w:top w:val="nil"/>
              <w:left w:val="nil"/>
              <w:bottom w:val="nil"/>
              <w:right w:val="nil"/>
            </w:tcBorders>
            <w:shd w:fill="auto" w:val="clear"/>
            <w:tcMar>
              <w:left w:type="dxa" w:w="144"/>
            </w:tcMar>
            <w:vAlign w:val="bottom"/>
          </w:tcPr>
          <w:p>
            <w:pPr>
              <w:pStyle w:val="style65"/>
              <w:ind w:hanging="0" w:left="202" w:right="86"/>
              <w:rPr/>
            </w:pPr>
            <w:r>
              <w:rPr/>
              <w:t> </w:t>
            </w:r>
          </w:p>
        </w:tc>
        <w:tc>
          <w:tcPr>
            <w:tcW w:type="dxa" w:w="1120"/>
            <w:tcBorders>
              <w:top w:val="nil"/>
              <w:left w:val="nil"/>
              <w:bottom w:val="nil"/>
              <w:right w:val="nil"/>
            </w:tcBorders>
            <w:shd w:fill="auto" w:val="clear"/>
            <w:tcMar>
              <w:left w:type="dxa" w:w="144"/>
            </w:tcMar>
            <w:vAlign w:val="bottom"/>
          </w:tcPr>
          <w:p>
            <w:pPr>
              <w:pStyle w:val="style65"/>
              <w:ind w:hanging="0" w:left="202" w:right="86"/>
              <w:rPr/>
            </w:pPr>
            <w:r>
              <w:rPr/>
              <w:t> </w:t>
            </w:r>
          </w:p>
        </w:tc>
        <w:tc>
          <w:tcPr>
            <w:tcW w:type="dxa" w:w="1121"/>
            <w:tcBorders>
              <w:top w:val="nil"/>
              <w:left w:val="nil"/>
              <w:bottom w:val="nil"/>
              <w:right w:val="nil"/>
            </w:tcBorders>
            <w:shd w:fill="auto" w:val="clear"/>
            <w:tcMar>
              <w:left w:type="dxa" w:w="144"/>
            </w:tcMar>
            <w:vAlign w:val="bottom"/>
          </w:tcPr>
          <w:p>
            <w:pPr>
              <w:pStyle w:val="style65"/>
              <w:ind w:hanging="0" w:left="202" w:right="101"/>
              <w:rPr/>
            </w:pPr>
            <w:r>
              <w:rPr/>
              <w:t> </w:t>
            </w:r>
          </w:p>
        </w:tc>
      </w:tr>
      <w:tr>
        <w:trPr>
          <w:trHeight w:hRule="atLeast" w:val="75"/>
          <w:cantSplit w:val="false"/>
        </w:trPr>
        <w:tc>
          <w:tcPr>
            <w:tcW w:type="dxa" w:w="7388"/>
            <w:tcBorders>
              <w:top w:val="nil"/>
              <w:left w:val="nil"/>
              <w:bottom w:val="nil"/>
              <w:right w:val="nil"/>
            </w:tcBorders>
            <w:shd w:fill="auto" w:val="clear"/>
            <w:vAlign w:val="center"/>
          </w:tcPr>
          <w:p>
            <w:pPr>
              <w:pStyle w:val="style0"/>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121"/>
            <w:tcBorders>
              <w:top w:val="nil"/>
              <w:left w:val="nil"/>
              <w:bottom w:val="nil"/>
              <w:right w:val="nil"/>
            </w:tcBorders>
            <w:shd w:fill="auto" w:val="clear"/>
            <w:vAlign w:val="center"/>
          </w:tcPr>
          <w:p>
            <w:pPr>
              <w:pStyle w:val="style0"/>
              <w:ind w:hanging="0" w:left="202" w:right="101"/>
              <w:rPr>
                <w:sz w:val="8"/>
                <w:szCs w:val="24"/>
              </w:rPr>
            </w:pPr>
            <w:r>
              <w:rPr>
                <w:sz w:val="8"/>
                <w:szCs w:val="24"/>
              </w:rPr>
            </w:r>
          </w:p>
        </w:tc>
      </w:tr>
      <w:tr>
        <w:trPr>
          <w:cantSplit w:val="false"/>
        </w:trPr>
        <w:tc>
          <w:tcPr>
            <w:tcW w:type="dxa" w:w="738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Deferred taxes</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ab/>
              <w:t>(19</w:t>
              <w:tab/>
              <w:t>)</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86"/>
              <w:contextualSpacing w:val="false"/>
              <w:rPr>
                <w:rFonts w:ascii="Arial" w:cs="Arial" w:hAnsi="Arial"/>
                <w:sz w:val="20"/>
                <w:szCs w:val="20"/>
              </w:rPr>
            </w:pPr>
            <w:r>
              <w:rPr>
                <w:rFonts w:ascii="Arial" w:cs="Arial" w:hAnsi="Arial"/>
                <w:sz w:val="20"/>
                <w:szCs w:val="20"/>
              </w:rPr>
              <w:tab/>
              <w:t>954</w:t>
              <w:tab/>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ab/>
              <w:t>2</w:t>
              <w:tab/>
            </w:r>
          </w:p>
        </w:tc>
      </w:tr>
      <w:tr>
        <w:trPr>
          <w:cantSplit w:val="false"/>
        </w:trPr>
        <w:tc>
          <w:tcPr>
            <w:tcW w:type="dxa" w:w="8559"/>
            <w:gridSpan w:val="2"/>
            <w:tcBorders>
              <w:top w:val="nil"/>
              <w:left w:val="nil"/>
              <w:bottom w:val="nil"/>
              <w:right w:val="nil"/>
            </w:tcBorders>
            <w:shd w:fill="auto" w:val="clear"/>
            <w:vAlign w:val="bottom"/>
          </w:tcPr>
          <w:p>
            <w:pPr>
              <w:pStyle w:val="style59"/>
              <w:spacing w:after="0" w:before="20"/>
              <w:ind w:hanging="0" w:left="0" w:right="86"/>
              <w:contextualSpacing w:val="false"/>
              <w:rPr/>
            </w:pPr>
            <w:r>
              <w:rPr/>
              <w:t> </w:t>
            </w:r>
          </w:p>
        </w:tc>
        <w:tc>
          <w:tcPr>
            <w:tcW w:type="dxa" w:w="1120"/>
            <w:tcBorders>
              <w:top w:val="nil"/>
              <w:left w:val="nil"/>
              <w:bottom w:val="nil"/>
              <w:right w:val="nil"/>
            </w:tcBorders>
            <w:shd w:fill="auto" w:val="clear"/>
            <w:tcMar>
              <w:left w:type="dxa" w:w="144"/>
            </w:tcMar>
            <w:vAlign w:val="bottom"/>
          </w:tcPr>
          <w:p>
            <w:pPr>
              <w:pStyle w:val="style59"/>
              <w:spacing w:after="0" w:before="20"/>
              <w:ind w:hanging="0" w:left="202" w:right="86"/>
              <w:contextualSpacing w:val="false"/>
              <w:rPr/>
            </w:pPr>
            <w:r>
              <w:rPr/>
              <w:t> </w:t>
            </w:r>
          </w:p>
        </w:tc>
        <w:tc>
          <w:tcPr>
            <w:tcW w:type="dxa" w:w="1121"/>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r>
      <w:tr>
        <w:trPr>
          <w:cantSplit w:val="false"/>
        </w:trPr>
        <w:tc>
          <w:tcPr>
            <w:tcW w:type="dxa" w:w="738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Provision for income taxes</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w:t>
              <w:tab/>
              <w:t>5,189</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5,289</w:t>
              <w:tab/>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4,921</w:t>
              <w:tab/>
            </w:r>
          </w:p>
        </w:tc>
      </w:tr>
      <w:tr>
        <w:trPr>
          <w:cantSplit w:val="false"/>
        </w:trPr>
        <w:tc>
          <w:tcPr>
            <w:tcW w:type="dxa" w:w="7388"/>
            <w:tcBorders>
              <w:top w:val="nil"/>
              <w:left w:val="nil"/>
              <w:bottom w:val="nil"/>
              <w:right w:val="nil"/>
            </w:tcBorders>
            <w:shd w:fill="auto" w:val="clear"/>
            <w:tcMar>
              <w:left w:type="dxa" w:w="144"/>
            </w:tcMar>
            <w:vAlign w:val="bottom"/>
          </w:tcPr>
          <w:p>
            <w:pPr>
              <w:pStyle w:val="style65"/>
              <w:rPr/>
            </w:pPr>
            <w:r>
              <w:rPr/>
              <w:t> </w:t>
            </w:r>
          </w:p>
        </w:tc>
        <w:tc>
          <w:tcPr>
            <w:tcW w:type="dxa" w:w="1171"/>
            <w:tcBorders>
              <w:top w:val="nil"/>
              <w:left w:val="nil"/>
              <w:bottom w:val="nil"/>
              <w:right w:val="nil"/>
            </w:tcBorders>
            <w:shd w:fill="auto" w:val="clear"/>
            <w:tcMar>
              <w:left w:type="dxa" w:w="144"/>
            </w:tcMar>
            <w:vAlign w:val="bottom"/>
          </w:tcPr>
          <w:p>
            <w:pPr>
              <w:pStyle w:val="style63"/>
              <w:spacing w:after="0" w:before="20"/>
              <w:ind w:hanging="0" w:left="202" w:right="86"/>
              <w:contextualSpacing w:val="false"/>
              <w:rPr/>
            </w:pPr>
            <w:r>
              <w:rPr/>
              <w:t> </w:t>
            </w:r>
          </w:p>
        </w:tc>
        <w:tc>
          <w:tcPr>
            <w:tcW w:type="dxa" w:w="1120"/>
            <w:tcBorders>
              <w:top w:val="nil"/>
              <w:left w:val="nil"/>
              <w:bottom w:val="nil"/>
              <w:right w:val="nil"/>
            </w:tcBorders>
            <w:shd w:fill="auto" w:val="clear"/>
            <w:tcMar>
              <w:left w:type="dxa" w:w="144"/>
            </w:tcMar>
            <w:vAlign w:val="bottom"/>
          </w:tcPr>
          <w:p>
            <w:pPr>
              <w:pStyle w:val="style63"/>
              <w:spacing w:after="0" w:before="20"/>
              <w:ind w:hanging="0" w:left="202" w:right="86"/>
              <w:contextualSpacing w:val="false"/>
              <w:rPr/>
            </w:pPr>
            <w:r>
              <w:rPr/>
              <w:t> </w:t>
            </w:r>
          </w:p>
        </w:tc>
        <w:tc>
          <w:tcPr>
            <w:tcW w:type="dxa" w:w="1121"/>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r>
    </w:tbl>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U.S. and international components of income before income taxes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079"/>
        <w:gridCol w:w="1280"/>
        <w:gridCol w:w="1219"/>
        <w:gridCol w:w="1221"/>
      </w:tblGrid>
      <w:tr>
        <w:trPr>
          <w:tblHeader w:val="true"/>
          <w:cantSplit w:val="false"/>
        </w:trPr>
        <w:tc>
          <w:tcPr>
            <w:tcW w:type="dxa" w:w="7079"/>
            <w:tcBorders>
              <w:top w:val="nil"/>
              <w:left w:val="nil"/>
              <w:bottom w:val="nil"/>
              <w:right w:val="nil"/>
            </w:tcBorders>
            <w:shd w:fill="auto" w:val="clear"/>
            <w:vAlign w:val="center"/>
          </w:tcPr>
          <w:p>
            <w:pPr>
              <w:pStyle w:val="style0"/>
              <w:rPr>
                <w:sz w:val="1"/>
                <w:szCs w:val="24"/>
              </w:rPr>
            </w:pPr>
            <w:r>
              <w:rPr>
                <w:sz w:val="1"/>
                <w:szCs w:val="24"/>
              </w:rPr>
            </w:r>
          </w:p>
        </w:tc>
        <w:tc>
          <w:tcPr>
            <w:tcW w:type="dxa" w:w="1280"/>
            <w:tcBorders>
              <w:top w:val="nil"/>
              <w:left w:val="nil"/>
              <w:bottom w:val="nil"/>
              <w:right w:val="nil"/>
            </w:tcBorders>
            <w:shd w:fill="auto" w:val="clear"/>
            <w:vAlign w:val="center"/>
          </w:tcPr>
          <w:p>
            <w:pPr>
              <w:pStyle w:val="style0"/>
              <w:rPr>
                <w:sz w:val="1"/>
                <w:szCs w:val="24"/>
              </w:rPr>
            </w:pPr>
            <w:r>
              <w:rPr>
                <w:sz w:val="1"/>
                <w:szCs w:val="24"/>
              </w:rPr>
            </w:r>
          </w:p>
        </w:tc>
        <w:tc>
          <w:tcPr>
            <w:tcW w:type="dxa" w:w="1219"/>
            <w:tcBorders>
              <w:top w:val="nil"/>
              <w:left w:val="nil"/>
              <w:bottom w:val="nil"/>
              <w:right w:val="nil"/>
            </w:tcBorders>
            <w:shd w:fill="auto" w:val="clear"/>
            <w:vAlign w:val="center"/>
          </w:tcPr>
          <w:p>
            <w:pPr>
              <w:pStyle w:val="style0"/>
              <w:rPr>
                <w:sz w:val="1"/>
                <w:szCs w:val="24"/>
              </w:rPr>
            </w:pPr>
            <w:r>
              <w:rPr>
                <w:sz w:val="1"/>
                <w:szCs w:val="24"/>
              </w:rPr>
            </w:r>
          </w:p>
        </w:tc>
        <w:tc>
          <w:tcPr>
            <w:tcW w:type="dxa" w:w="122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10799"/>
            <w:gridSpan w:val="4"/>
            <w:tcBorders>
              <w:top w:val="nil"/>
              <w:left w:val="nil"/>
              <w:bottom w:val="nil"/>
              <w:right w:val="nil"/>
            </w:tcBorders>
            <w:shd w:fill="auto" w:val="clear"/>
            <w:vAlign w:val="bottom"/>
          </w:tcPr>
          <w:p>
            <w:pPr>
              <w:pStyle w:val="style62"/>
              <w:keepNext/>
              <w:spacing w:after="280" w:before="280"/>
              <w:ind w:hanging="0" w:left="216" w:right="101"/>
              <w:contextualSpacing w:val="false"/>
              <w:rPr>
                <w:rFonts w:ascii="Arial" w:cs="Arial" w:hAnsi="Arial"/>
                <w:b/>
                <w:bCs/>
                <w:sz w:val="15"/>
                <w:szCs w:val="15"/>
              </w:rPr>
            </w:pPr>
            <w:r>
              <w:rPr>
                <w:rFonts w:ascii="Arial" w:cs="Arial" w:hAnsi="Arial"/>
                <w:b/>
                <w:bCs/>
                <w:sz w:val="15"/>
                <w:szCs w:val="15"/>
              </w:rPr>
              <w:t>(In millions)</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369" w:right="101"/>
              <w:contextualSpacing w:val="false"/>
              <w:rPr/>
            </w:pPr>
            <w:r>
              <w:rPr/>
              <w:t> </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70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280"/>
            <w:tcBorders>
              <w:top w:val="nil"/>
              <w:left w:val="nil"/>
              <w:bottom w:val="nil"/>
              <w:right w:val="nil"/>
            </w:tcBorders>
            <w:shd w:fill="auto" w:val="clear"/>
            <w:tcMar>
              <w:left w:type="dxa" w:w="144"/>
            </w:tcMar>
            <w:vAlign w:val="bottom"/>
          </w:tcPr>
          <w:p>
            <w:pPr>
              <w:pStyle w:val="style0"/>
              <w:ind w:hanging="0" w:left="216" w:right="58"/>
              <w:jc w:val="right"/>
              <w:rPr>
                <w:rFonts w:ascii="Arial" w:cs="Arial" w:hAnsi="Arial"/>
                <w:b/>
                <w:bCs/>
                <w:sz w:val="15"/>
                <w:szCs w:val="15"/>
              </w:rPr>
            </w:pPr>
            <w:r>
              <w:rPr>
                <w:rFonts w:ascii="Arial" w:cs="Arial" w:hAnsi="Arial"/>
                <w:b/>
                <w:bCs/>
                <w:sz w:val="15"/>
                <w:szCs w:val="15"/>
              </w:rPr>
              <w:t>2013</w:t>
            </w:r>
          </w:p>
        </w:tc>
        <w:tc>
          <w:tcPr>
            <w:tcW w:type="dxa" w:w="1219"/>
            <w:tcBorders>
              <w:top w:val="nil"/>
              <w:left w:val="nil"/>
              <w:bottom w:val="nil"/>
              <w:right w:val="nil"/>
            </w:tcBorders>
            <w:shd w:fill="auto" w:val="clear"/>
            <w:tcMar>
              <w:left w:type="dxa" w:w="144"/>
            </w:tcMar>
            <w:vAlign w:val="bottom"/>
          </w:tcPr>
          <w:p>
            <w:pPr>
              <w:pStyle w:val="style0"/>
              <w:ind w:hanging="0" w:left="216" w:right="58"/>
              <w:jc w:val="right"/>
              <w:rPr>
                <w:rFonts w:ascii="Arial" w:cs="Arial" w:hAnsi="Arial"/>
                <w:b/>
                <w:bCs/>
                <w:sz w:val="15"/>
                <w:szCs w:val="15"/>
              </w:rPr>
            </w:pPr>
            <w:r>
              <w:rPr>
                <w:rFonts w:ascii="Arial" w:cs="Arial" w:hAnsi="Arial"/>
                <w:b/>
                <w:bCs/>
                <w:sz w:val="15"/>
                <w:szCs w:val="15"/>
              </w:rPr>
              <w:t>2012</w:t>
            </w:r>
          </w:p>
        </w:tc>
        <w:tc>
          <w:tcPr>
            <w:tcW w:type="dxa" w:w="1221"/>
            <w:tcBorders>
              <w:top w:val="nil"/>
              <w:left w:val="nil"/>
              <w:bottom w:val="nil"/>
              <w:right w:val="nil"/>
            </w:tcBorders>
            <w:shd w:fill="auto" w:val="clear"/>
            <w:tcMar>
              <w:left w:type="dxa" w:w="144"/>
            </w:tcMar>
            <w:vAlign w:val="bottom"/>
          </w:tcPr>
          <w:p>
            <w:pPr>
              <w:pStyle w:val="style0"/>
              <w:ind w:hanging="0" w:left="216" w:right="72"/>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U.S.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6,674</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72"/>
              <w:contextualSpacing w:val="false"/>
              <w:rPr>
                <w:rFonts w:ascii="Arial" w:cs="Arial" w:hAnsi="Arial"/>
                <w:sz w:val="20"/>
                <w:szCs w:val="20"/>
              </w:rPr>
            </w:pPr>
            <w:r>
              <w:rPr>
                <w:rFonts w:ascii="Arial" w:cs="Arial" w:hAnsi="Arial"/>
                <w:sz w:val="20"/>
                <w:szCs w:val="20"/>
              </w:rPr>
              <w:t>$</w:t>
              <w:tab/>
              <w:t>1,600</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8,862</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International</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20,378</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72"/>
              <w:contextualSpacing w:val="false"/>
              <w:rPr>
                <w:rFonts w:ascii="Arial" w:cs="Arial" w:hAnsi="Arial"/>
                <w:sz w:val="20"/>
                <w:szCs w:val="20"/>
              </w:rPr>
            </w:pPr>
            <w:r>
              <w:rPr>
                <w:rFonts w:ascii="Arial" w:cs="Arial" w:hAnsi="Arial"/>
                <w:sz w:val="20"/>
                <w:szCs w:val="20"/>
              </w:rPr>
              <w:tab/>
              <w:t>20,667</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ab/>
              <w:t>19,209</w:t>
              <w:tab/>
            </w:r>
          </w:p>
        </w:tc>
      </w:tr>
      <w:tr>
        <w:trPr>
          <w:cantSplit w:val="false"/>
        </w:trPr>
        <w:tc>
          <w:tcPr>
            <w:tcW w:type="dxa" w:w="8359"/>
            <w:gridSpan w:val="2"/>
            <w:tcBorders>
              <w:top w:val="nil"/>
              <w:left w:val="nil"/>
              <w:bottom w:val="nil"/>
              <w:right w:val="nil"/>
            </w:tcBorders>
            <w:shd w:fill="auto" w:val="clear"/>
            <w:vAlign w:val="bottom"/>
          </w:tcPr>
          <w:p>
            <w:pPr>
              <w:pStyle w:val="style59"/>
              <w:spacing w:after="0" w:before="20"/>
              <w:ind w:hanging="0" w:left="-374"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Income before income taxes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27,052</w:t>
              <w:tab/>
              <w:t> </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72"/>
              <w:contextualSpacing w:val="false"/>
              <w:rPr>
                <w:rFonts w:ascii="Arial" w:cs="Arial" w:hAnsi="Arial"/>
                <w:sz w:val="20"/>
                <w:szCs w:val="20"/>
              </w:rPr>
            </w:pPr>
            <w:r>
              <w:rPr>
                <w:rFonts w:ascii="Arial" w:cs="Arial" w:hAnsi="Arial"/>
                <w:sz w:val="20"/>
                <w:szCs w:val="20"/>
              </w:rPr>
              <w:t>$</w:t>
              <w:tab/>
              <w:t>22,267</w:t>
              <w:tab/>
              <w:t> </w:t>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 28,071</w:t>
              <w:tab/>
              <w:t> </w:t>
            </w:r>
          </w:p>
        </w:tc>
      </w:tr>
      <w:tr>
        <w:trPr>
          <w:cantSplit w:val="false"/>
        </w:trPr>
        <w:tc>
          <w:tcPr>
            <w:tcW w:type="dxa" w:w="7079"/>
            <w:tcBorders>
              <w:top w:val="nil"/>
              <w:left w:val="nil"/>
              <w:bottom w:val="nil"/>
              <w:right w:val="nil"/>
            </w:tcBorders>
            <w:shd w:fill="auto" w:val="clear"/>
            <w:tcMar>
              <w:left w:type="dxa" w:w="144"/>
            </w:tcMar>
            <w:vAlign w:val="bottom"/>
          </w:tcPr>
          <w:p>
            <w:pPr>
              <w:pStyle w:val="style65"/>
              <w:rPr/>
            </w:pPr>
            <w:r>
              <w:rPr/>
              <w:t> </w:t>
            </w:r>
          </w:p>
        </w:tc>
        <w:tc>
          <w:tcPr>
            <w:tcW w:type="dxa" w:w="1280"/>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r>
    </w:tbl>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items accounting for the difference between income taxes computed at the U.S. federal statutory rate and our effective rate were as follows: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479"/>
        <w:gridCol w:w="1159"/>
        <w:gridCol w:w="1080"/>
        <w:gridCol w:w="1081"/>
      </w:tblGrid>
      <w:tr>
        <w:trPr>
          <w:tblHeader w:val="true"/>
          <w:cantSplit w:val="false"/>
        </w:trPr>
        <w:tc>
          <w:tcPr>
            <w:tcW w:type="dxa" w:w="7479"/>
            <w:tcBorders>
              <w:top w:val="nil"/>
              <w:left w:val="nil"/>
              <w:bottom w:val="nil"/>
              <w:right w:val="nil"/>
            </w:tcBorders>
            <w:shd w:fill="auto" w:val="clear"/>
            <w:vAlign w:val="center"/>
          </w:tcPr>
          <w:p>
            <w:pPr>
              <w:pStyle w:val="style0"/>
              <w:rPr>
                <w:sz w:val="1"/>
                <w:szCs w:val="24"/>
              </w:rPr>
            </w:pPr>
            <w:r>
              <w:rPr>
                <w:sz w:val="1"/>
                <w:szCs w:val="24"/>
              </w:rPr>
            </w:r>
          </w:p>
        </w:tc>
        <w:tc>
          <w:tcPr>
            <w:tcW w:type="dxa" w:w="1159"/>
            <w:tcBorders>
              <w:top w:val="nil"/>
              <w:left w:val="nil"/>
              <w:bottom w:val="nil"/>
              <w:right w:val="nil"/>
            </w:tcBorders>
            <w:shd w:fill="auto" w:val="clear"/>
            <w:vAlign w:val="center"/>
          </w:tcPr>
          <w:p>
            <w:pPr>
              <w:pStyle w:val="style0"/>
              <w:rPr>
                <w:sz w:val="1"/>
                <w:szCs w:val="24"/>
              </w:rPr>
            </w:pPr>
            <w:r>
              <w:rPr>
                <w:sz w:val="1"/>
                <w:szCs w:val="24"/>
              </w:rPr>
            </w:r>
          </w:p>
        </w:tc>
        <w:tc>
          <w:tcPr>
            <w:tcW w:type="dxa" w:w="1080"/>
            <w:tcBorders>
              <w:top w:val="nil"/>
              <w:left w:val="nil"/>
              <w:bottom w:val="nil"/>
              <w:right w:val="nil"/>
            </w:tcBorders>
            <w:shd w:fill="auto" w:val="clear"/>
            <w:vAlign w:val="center"/>
          </w:tcPr>
          <w:p>
            <w:pPr>
              <w:pStyle w:val="style0"/>
              <w:rPr>
                <w:sz w:val="1"/>
                <w:szCs w:val="24"/>
              </w:rPr>
            </w:pPr>
            <w:r>
              <w:rPr>
                <w:sz w:val="1"/>
                <w:szCs w:val="24"/>
              </w:rPr>
            </w:r>
          </w:p>
        </w:tc>
        <w:tc>
          <w:tcPr>
            <w:tcW w:type="dxa" w:w="1081"/>
            <w:tcBorders>
              <w:top w:val="nil"/>
              <w:left w:val="nil"/>
              <w:bottom w:val="nil"/>
              <w:right w:val="nil"/>
            </w:tcBorders>
            <w:shd w:fill="auto" w:val="clear"/>
            <w:vAlign w:val="center"/>
          </w:tcPr>
          <w:p>
            <w:pPr>
              <w:pStyle w:val="style0"/>
              <w:ind w:hanging="0" w:left="0" w:right="86"/>
              <w:rPr>
                <w:sz w:val="1"/>
                <w:szCs w:val="24"/>
              </w:rPr>
            </w:pPr>
            <w:r>
              <w:rPr>
                <w:sz w:val="1"/>
                <w:szCs w:val="24"/>
              </w:rPr>
            </w:r>
          </w:p>
        </w:tc>
      </w:tr>
      <w:tr>
        <w:trPr>
          <w:tblHeader w:val="true"/>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374" w:right="115"/>
              <w:contextualSpacing w:val="false"/>
              <w:rPr/>
            </w:pPr>
            <w:r>
              <w:rPr/>
              <w:t> </w:t>
            </w:r>
          </w:p>
        </w:tc>
      </w:tr>
      <w:tr>
        <w:trPr>
          <w:cantSplit w:val="false"/>
        </w:trPr>
        <w:tc>
          <w:tcPr>
            <w:tcW w:type="dxa" w:w="74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159"/>
            <w:tcBorders>
              <w:top w:val="nil"/>
              <w:left w:val="nil"/>
              <w:bottom w:val="nil"/>
              <w:right w:val="nil"/>
            </w:tcBorders>
            <w:shd w:fill="auto" w:val="clear"/>
            <w:tcMar>
              <w:left w:type="dxa" w:w="144"/>
            </w:tcMar>
            <w:vAlign w:val="bottom"/>
          </w:tcPr>
          <w:p>
            <w:pPr>
              <w:pStyle w:val="style0"/>
              <w:ind w:hanging="0" w:left="259" w:right="86"/>
              <w:jc w:val="right"/>
              <w:rPr>
                <w:rFonts w:ascii="Arial" w:cs="Arial" w:hAnsi="Arial"/>
                <w:b/>
                <w:bCs/>
                <w:sz w:val="15"/>
                <w:szCs w:val="15"/>
              </w:rPr>
            </w:pPr>
            <w:r>
              <w:rPr>
                <w:rFonts w:ascii="Arial" w:cs="Arial" w:hAnsi="Arial"/>
                <w:b/>
                <w:bCs/>
                <w:sz w:val="15"/>
                <w:szCs w:val="15"/>
              </w:rPr>
              <w:t>2013</w:t>
            </w:r>
          </w:p>
        </w:tc>
        <w:tc>
          <w:tcPr>
            <w:tcW w:type="dxa" w:w="1080"/>
            <w:tcBorders>
              <w:top w:val="nil"/>
              <w:left w:val="nil"/>
              <w:bottom w:val="nil"/>
              <w:right w:val="nil"/>
            </w:tcBorders>
            <w:shd w:fill="auto" w:val="clear"/>
            <w:tcMar>
              <w:left w:type="dxa" w:w="144"/>
            </w:tcMar>
            <w:vAlign w:val="bottom"/>
          </w:tcPr>
          <w:p>
            <w:pPr>
              <w:pStyle w:val="style0"/>
              <w:ind w:hanging="0" w:left="216" w:right="86"/>
              <w:jc w:val="right"/>
              <w:rPr>
                <w:rFonts w:ascii="Arial" w:cs="Arial" w:hAnsi="Arial"/>
                <w:b/>
                <w:bCs/>
                <w:sz w:val="15"/>
                <w:szCs w:val="15"/>
              </w:rPr>
            </w:pPr>
            <w:r>
              <w:rPr>
                <w:rFonts w:ascii="Arial" w:cs="Arial" w:hAnsi="Arial"/>
                <w:b/>
                <w:bCs/>
                <w:sz w:val="15"/>
                <w:szCs w:val="15"/>
              </w:rPr>
              <w:t>2012</w:t>
            </w:r>
          </w:p>
        </w:tc>
        <w:tc>
          <w:tcPr>
            <w:tcW w:type="dxa" w:w="1081"/>
            <w:tcBorders>
              <w:top w:val="nil"/>
              <w:left w:val="nil"/>
              <w:bottom w:val="nil"/>
              <w:right w:val="nil"/>
            </w:tcBorders>
            <w:shd w:fill="auto" w:val="clear"/>
            <w:tcMar>
              <w:left w:type="dxa" w:w="144"/>
            </w:tcMar>
            <w:vAlign w:val="bottom"/>
          </w:tcPr>
          <w:p>
            <w:pPr>
              <w:pStyle w:val="style0"/>
              <w:ind w:hanging="0" w:left="216" w:right="86"/>
              <w:jc w:val="right"/>
              <w:rPr>
                <w:rFonts w:ascii="Arial" w:cs="Arial" w:hAnsi="Arial"/>
                <w:b/>
                <w:bCs/>
                <w:sz w:val="15"/>
                <w:szCs w:val="15"/>
              </w:rPr>
            </w:pPr>
            <w:r>
              <w:rPr>
                <w:rFonts w:ascii="Arial" w:cs="Arial" w:hAnsi="Arial"/>
                <w:b/>
                <w:bCs/>
                <w:sz w:val="15"/>
                <w:szCs w:val="15"/>
              </w:rPr>
              <w:t>2011</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pBdr>
                <w:top w:val="nil"/>
                <w:left w:val="nil"/>
                <w:bottom w:val="nil"/>
                <w:insideH w:val="nil"/>
                <w:right w:val="nil"/>
                <w:insideV w:val="nil"/>
              </w:pBdr>
              <w:spacing w:after="0" w:before="20"/>
              <w:ind w:hanging="0" w:left="-374" w:right="115"/>
              <w:contextualSpacing w:val="false"/>
              <w:rPr/>
            </w:pPr>
            <w:r>
              <w:rPr/>
              <w:t> </w:t>
            </w:r>
          </w:p>
        </w:tc>
      </w:tr>
      <w:tr>
        <w:trPr>
          <w:cantSplit w:val="false"/>
        </w:trPr>
        <w:tc>
          <w:tcPr>
            <w:tcW w:type="dxa" w:w="7479"/>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Federal statutory rate</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59" w:right="86"/>
              <w:contextualSpacing w:val="false"/>
              <w:rPr>
                <w:rFonts w:ascii="Arial" w:cs="Arial" w:hAnsi="Arial"/>
                <w:b/>
                <w:bCs/>
                <w:sz w:val="20"/>
                <w:szCs w:val="20"/>
              </w:rPr>
            </w:pPr>
            <w:r>
              <w:rPr>
                <w:rFonts w:ascii="Arial" w:cs="Arial" w:hAnsi="Arial"/>
                <w:b/>
                <w:bCs/>
                <w:sz w:val="20"/>
                <w:szCs w:val="20"/>
              </w:rPr>
              <w:tab/>
              <w:t>35.0%</w:t>
              <w:tab/>
              <w:t> </w:t>
            </w:r>
          </w:p>
        </w:tc>
        <w:tc>
          <w:tcPr>
            <w:tcW w:type="dxa" w:w="1080"/>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35.0%</w:t>
              <w:tab/>
              <w:t> </w:t>
            </w:r>
          </w:p>
        </w:tc>
        <w:tc>
          <w:tcPr>
            <w:tcW w:type="dxa" w:w="1081"/>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35.0%</w:t>
              <w:tab/>
              <w:t> </w:t>
            </w:r>
          </w:p>
        </w:tc>
      </w:tr>
      <w:tr>
        <w:trPr>
          <w:cantSplit w:val="false"/>
        </w:trPr>
        <w:tc>
          <w:tcPr>
            <w:tcW w:type="dxa" w:w="7479"/>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Effect of:</w:t>
            </w:r>
          </w:p>
        </w:tc>
        <w:tc>
          <w:tcPr>
            <w:tcW w:type="dxa" w:w="1159"/>
            <w:tcBorders>
              <w:top w:val="nil"/>
              <w:left w:val="nil"/>
              <w:bottom w:val="nil"/>
              <w:right w:val="nil"/>
            </w:tcBorders>
            <w:shd w:fill="auto" w:val="clear"/>
            <w:tcMar>
              <w:left w:type="dxa" w:w="144"/>
            </w:tcMar>
            <w:vAlign w:val="bottom"/>
          </w:tcPr>
          <w:p>
            <w:pPr>
              <w:pStyle w:val="style65"/>
              <w:ind w:hanging="0" w:left="259" w:right="86"/>
              <w:rPr/>
            </w:pPr>
            <w:r>
              <w:rPr/>
              <w:t> </w:t>
            </w:r>
          </w:p>
        </w:tc>
        <w:tc>
          <w:tcPr>
            <w:tcW w:type="dxa" w:w="1080"/>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081"/>
            <w:tcBorders>
              <w:top w:val="nil"/>
              <w:left w:val="nil"/>
              <w:bottom w:val="nil"/>
              <w:right w:val="nil"/>
            </w:tcBorders>
            <w:shd w:fill="auto" w:val="clear"/>
            <w:tcMar>
              <w:left w:type="dxa" w:w="144"/>
            </w:tcMar>
            <w:vAlign w:val="bottom"/>
          </w:tcPr>
          <w:p>
            <w:pPr>
              <w:pStyle w:val="style65"/>
              <w:ind w:hanging="0" w:left="216" w:right="86"/>
              <w:rPr/>
            </w:pPr>
            <w:r>
              <w:rPr/>
              <w:t> </w:t>
            </w:r>
          </w:p>
        </w:tc>
      </w:tr>
      <w:tr>
        <w:trPr>
          <w:cantSplit w:val="false"/>
        </w:trPr>
        <w:tc>
          <w:tcPr>
            <w:tcW w:type="dxa" w:w="74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Foreign earnings taxed at lower rates</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59" w:right="86"/>
              <w:contextualSpacing w:val="false"/>
              <w:rPr>
                <w:rFonts w:ascii="Arial" w:cs="Arial" w:hAnsi="Arial"/>
                <w:b/>
                <w:bCs/>
                <w:sz w:val="20"/>
                <w:szCs w:val="20"/>
              </w:rPr>
            </w:pPr>
            <w:r>
              <w:rPr>
                <w:rFonts w:ascii="Arial" w:cs="Arial" w:hAnsi="Arial"/>
                <w:b/>
                <w:bCs/>
                <w:sz w:val="20"/>
                <w:szCs w:val="20"/>
              </w:rPr>
              <w:tab/>
              <w:t>(17.5)%</w:t>
              <w:tab/>
            </w:r>
          </w:p>
        </w:tc>
        <w:tc>
          <w:tcPr>
            <w:tcW w:type="dxa" w:w="1080"/>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(21.1)%</w:t>
              <w:tab/>
            </w:r>
          </w:p>
        </w:tc>
        <w:tc>
          <w:tcPr>
            <w:tcW w:type="dxa" w:w="1081"/>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(15.6)%</w:t>
              <w:tab/>
            </w:r>
          </w:p>
        </w:tc>
      </w:tr>
      <w:tr>
        <w:trPr>
          <w:cantSplit w:val="false"/>
        </w:trPr>
        <w:tc>
          <w:tcPr>
            <w:tcW w:type="dxa" w:w="74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Goodwill impairment</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59" w:right="86"/>
              <w:contextualSpacing w:val="false"/>
              <w:rPr>
                <w:rFonts w:ascii="Arial" w:cs="Arial" w:hAnsi="Arial"/>
                <w:b/>
                <w:bCs/>
                <w:sz w:val="20"/>
                <w:szCs w:val="20"/>
              </w:rPr>
            </w:pPr>
            <w:r>
              <w:rPr>
                <w:rFonts w:ascii="Arial" w:cs="Arial" w:hAnsi="Arial"/>
                <w:b/>
                <w:bCs/>
                <w:sz w:val="20"/>
                <w:szCs w:val="20"/>
              </w:rPr>
              <w:tab/>
              <w:t>0%</w:t>
              <w:tab/>
            </w:r>
          </w:p>
        </w:tc>
        <w:tc>
          <w:tcPr>
            <w:tcW w:type="dxa" w:w="1080"/>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9.7%</w:t>
              <w:tab/>
            </w:r>
          </w:p>
        </w:tc>
        <w:tc>
          <w:tcPr>
            <w:tcW w:type="dxa" w:w="1081"/>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0%</w:t>
              <w:tab/>
            </w:r>
          </w:p>
        </w:tc>
      </w:tr>
      <w:tr>
        <w:trPr>
          <w:cantSplit w:val="false"/>
        </w:trPr>
        <w:tc>
          <w:tcPr>
            <w:tcW w:type="dxa" w:w="74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I.R.S. settlement</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59" w:right="86"/>
              <w:contextualSpacing w:val="false"/>
              <w:rPr>
                <w:rFonts w:ascii="Arial" w:cs="Arial" w:hAnsi="Arial"/>
                <w:b/>
                <w:bCs/>
                <w:sz w:val="20"/>
                <w:szCs w:val="20"/>
              </w:rPr>
            </w:pPr>
            <w:r>
              <w:rPr>
                <w:rFonts w:ascii="Arial" w:cs="Arial" w:hAnsi="Arial"/>
                <w:b/>
                <w:bCs/>
                <w:sz w:val="20"/>
                <w:szCs w:val="20"/>
              </w:rPr>
              <w:tab/>
              <w:t>0%</w:t>
              <w:tab/>
            </w:r>
          </w:p>
        </w:tc>
        <w:tc>
          <w:tcPr>
            <w:tcW w:type="dxa" w:w="1080"/>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0%</w:t>
              <w:tab/>
            </w:r>
          </w:p>
        </w:tc>
        <w:tc>
          <w:tcPr>
            <w:tcW w:type="dxa" w:w="1081"/>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(1.7)%</w:t>
              <w:tab/>
            </w:r>
          </w:p>
        </w:tc>
      </w:tr>
      <w:tr>
        <w:trPr>
          <w:cantSplit w:val="false"/>
        </w:trPr>
        <w:tc>
          <w:tcPr>
            <w:tcW w:type="dxa" w:w="74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Other reconciling items, net</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59" w:right="86"/>
              <w:contextualSpacing w:val="false"/>
              <w:rPr>
                <w:rFonts w:ascii="Arial" w:cs="Arial" w:hAnsi="Arial"/>
                <w:b/>
                <w:bCs/>
                <w:sz w:val="20"/>
                <w:szCs w:val="20"/>
              </w:rPr>
            </w:pPr>
            <w:r>
              <w:rPr>
                <w:rFonts w:ascii="Arial" w:cs="Arial" w:hAnsi="Arial"/>
                <w:b/>
                <w:bCs/>
                <w:sz w:val="20"/>
                <w:szCs w:val="20"/>
              </w:rPr>
              <w:tab/>
              <w:t>1.7%</w:t>
              <w:tab/>
            </w:r>
          </w:p>
        </w:tc>
        <w:tc>
          <w:tcPr>
            <w:tcW w:type="dxa" w:w="1080"/>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0.2%</w:t>
              <w:tab/>
            </w:r>
          </w:p>
        </w:tc>
        <w:tc>
          <w:tcPr>
            <w:tcW w:type="dxa" w:w="1081"/>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(0.2)%</w:t>
              <w:tab/>
            </w:r>
          </w:p>
        </w:tc>
      </w:tr>
      <w:tr>
        <w:trPr>
          <w:cantSplit w:val="false"/>
        </w:trPr>
        <w:tc>
          <w:tcPr>
            <w:tcW w:type="dxa" w:w="8640"/>
            <w:gridSpan w:val="2"/>
            <w:tcBorders>
              <w:top w:val="nil"/>
              <w:left w:val="nil"/>
              <w:bottom w:val="nil"/>
              <w:right w:val="nil"/>
            </w:tcBorders>
            <w:shd w:fill="auto" w:val="clear"/>
            <w:vAlign w:val="bottom"/>
          </w:tcPr>
          <w:p>
            <w:pPr>
              <w:pStyle w:val="style59"/>
              <w:spacing w:after="0" w:before="20"/>
              <w:ind w:hanging="0" w:left="-315" w:right="86"/>
              <w:contextualSpacing w:val="false"/>
              <w:rPr/>
            </w:pPr>
            <w:r>
              <w:rPr/>
              <w:t> </w:t>
            </w:r>
          </w:p>
        </w:tc>
        <w:tc>
          <w:tcPr>
            <w:tcW w:type="dxa" w:w="1080"/>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c>
          <w:tcPr>
            <w:tcW w:type="dxa" w:w="1079"/>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r>
      <w:tr>
        <w:trPr>
          <w:cantSplit w:val="false"/>
        </w:trPr>
        <w:tc>
          <w:tcPr>
            <w:tcW w:type="dxa" w:w="7479"/>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Effective rate</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59" w:right="86"/>
              <w:contextualSpacing w:val="false"/>
              <w:rPr>
                <w:rFonts w:ascii="Arial" w:cs="Arial" w:hAnsi="Arial"/>
                <w:b/>
                <w:bCs/>
                <w:sz w:val="20"/>
                <w:szCs w:val="20"/>
              </w:rPr>
            </w:pPr>
            <w:r>
              <w:rPr>
                <w:rFonts w:ascii="Arial" w:cs="Arial" w:hAnsi="Arial"/>
                <w:b/>
                <w:bCs/>
                <w:sz w:val="20"/>
                <w:szCs w:val="20"/>
              </w:rPr>
              <w:tab/>
              <w:t>19.2%</w:t>
              <w:tab/>
            </w:r>
          </w:p>
        </w:tc>
        <w:tc>
          <w:tcPr>
            <w:tcW w:type="dxa" w:w="1080"/>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23.8%</w:t>
              <w:tab/>
            </w:r>
          </w:p>
        </w:tc>
        <w:tc>
          <w:tcPr>
            <w:tcW w:type="dxa" w:w="1081"/>
            <w:tcBorders>
              <w:top w:val="nil"/>
              <w:left w:val="nil"/>
              <w:bottom w:val="nil"/>
              <w:right w:val="nil"/>
            </w:tcBorders>
            <w:shd w:fill="auto" w:val="clear"/>
            <w:tcMar>
              <w:left w:type="dxa" w:w="144"/>
            </w:tcMar>
            <w:vAlign w:val="bottom"/>
          </w:tcPr>
          <w:p>
            <w:pPr>
              <w:pStyle w:val="style62"/>
              <w:tabs>
                <w:tab w:leader="none" w:pos="880" w:val="right"/>
                <w:tab w:leader="none" w:pos="920" w:val="decimal"/>
              </w:tabs>
              <w:spacing w:after="280" w:before="280"/>
              <w:ind w:hanging="0" w:left="216" w:right="86"/>
              <w:contextualSpacing w:val="false"/>
              <w:rPr>
                <w:rFonts w:ascii="Arial" w:cs="Arial" w:hAnsi="Arial"/>
                <w:sz w:val="20"/>
                <w:szCs w:val="20"/>
              </w:rPr>
            </w:pPr>
            <w:r>
              <w:rPr>
                <w:rFonts w:ascii="Arial" w:cs="Arial" w:hAnsi="Arial"/>
                <w:sz w:val="20"/>
                <w:szCs w:val="20"/>
              </w:rPr>
              <w:tab/>
              <w:t>17.5%</w:t>
              <w:tab/>
            </w:r>
          </w:p>
        </w:tc>
      </w:tr>
      <w:tr>
        <w:trPr>
          <w:cantSplit w:val="false"/>
        </w:trPr>
        <w:tc>
          <w:tcPr>
            <w:tcW w:type="dxa" w:w="7479"/>
            <w:tcBorders>
              <w:top w:val="nil"/>
              <w:left w:val="nil"/>
              <w:bottom w:val="nil"/>
              <w:right w:val="nil"/>
            </w:tcBorders>
            <w:shd w:fill="auto" w:val="clear"/>
            <w:tcMar>
              <w:left w:type="dxa" w:w="144"/>
            </w:tcMar>
            <w:vAlign w:val="bottom"/>
          </w:tcPr>
          <w:p>
            <w:pPr>
              <w:pStyle w:val="style65"/>
              <w:rPr/>
            </w:pPr>
            <w:r>
              <w:rPr/>
              <w:t> </w:t>
            </w:r>
          </w:p>
        </w:tc>
        <w:tc>
          <w:tcPr>
            <w:tcW w:type="dxa" w:w="1159"/>
            <w:tcBorders>
              <w:top w:val="nil"/>
              <w:left w:val="nil"/>
              <w:bottom w:val="nil"/>
              <w:right w:val="nil"/>
            </w:tcBorders>
            <w:shd w:fill="auto" w:val="clear"/>
            <w:tcMar>
              <w:left w:type="dxa" w:w="144"/>
            </w:tcMar>
            <w:vAlign w:val="bottom"/>
          </w:tcPr>
          <w:p>
            <w:pPr>
              <w:pStyle w:val="style63"/>
              <w:spacing w:after="0" w:before="20"/>
              <w:ind w:hanging="0" w:left="259" w:right="86"/>
              <w:contextualSpacing w:val="false"/>
              <w:rPr/>
            </w:pPr>
            <w:r>
              <w:rPr/>
              <w:t> </w:t>
            </w:r>
          </w:p>
        </w:tc>
        <w:tc>
          <w:tcPr>
            <w:tcW w:type="dxa" w:w="1080"/>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081"/>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reduction from the federal statutory rate from foreign earnings taxed at lower rates results from producing and distributing our products and services through our foreign regional operations centers in Ireland, Singapore, and Puerto Rico. Our foreign earnings, which are taxed at rates lower than the U.S. rate and are generated from our regional operating centers, were 79%, 79%, and 78% of our international income before tax in fiscal years 2013, 2012, and 2011, respectively. In general, other reconciling items consist of interest, U.S. state income taxes, domestic production deductions, and credits. In fiscal years 2013, 2012, and 2011, there were no individually significant other reconciling items. The I.R.S. settlement is discussed below.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components of the deferred income tax assets and liabilities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8237"/>
        <w:gridCol w:w="1310"/>
        <w:gridCol w:w="1253"/>
      </w:tblGrid>
      <w:tr>
        <w:trPr>
          <w:tblHeader w:val="true"/>
          <w:cantSplit w:val="false"/>
        </w:trPr>
        <w:tc>
          <w:tcPr>
            <w:tcW w:type="dxa" w:w="8237"/>
            <w:tcBorders>
              <w:top w:val="nil"/>
              <w:left w:val="nil"/>
              <w:bottom w:val="nil"/>
              <w:right w:val="nil"/>
            </w:tcBorders>
            <w:shd w:fill="auto" w:val="clear"/>
            <w:vAlign w:val="center"/>
          </w:tcPr>
          <w:p>
            <w:pPr>
              <w:pStyle w:val="style0"/>
              <w:rPr>
                <w:sz w:val="1"/>
                <w:szCs w:val="24"/>
              </w:rPr>
            </w:pPr>
            <w:r>
              <w:rPr>
                <w:sz w:val="1"/>
                <w:szCs w:val="24"/>
              </w:rPr>
            </w:r>
          </w:p>
        </w:tc>
        <w:tc>
          <w:tcPr>
            <w:tcW w:type="dxa" w:w="1310"/>
            <w:tcBorders>
              <w:top w:val="nil"/>
              <w:left w:val="nil"/>
              <w:bottom w:val="nil"/>
              <w:right w:val="nil"/>
            </w:tcBorders>
            <w:shd w:fill="auto" w:val="clear"/>
            <w:vAlign w:val="center"/>
          </w:tcPr>
          <w:p>
            <w:pPr>
              <w:pStyle w:val="style0"/>
              <w:rPr>
                <w:sz w:val="1"/>
                <w:szCs w:val="24"/>
              </w:rPr>
            </w:pPr>
            <w:r>
              <w:rPr>
                <w:sz w:val="1"/>
                <w:szCs w:val="24"/>
              </w:rPr>
            </w:r>
          </w:p>
        </w:tc>
        <w:tc>
          <w:tcPr>
            <w:tcW w:type="dxa" w:w="1253"/>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823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310"/>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253"/>
            <w:tcBorders>
              <w:top w:val="nil"/>
              <w:left w:val="nil"/>
              <w:bottom w:val="nil"/>
              <w:right w:val="nil"/>
            </w:tcBorders>
            <w:shd w:fill="auto" w:val="clear"/>
            <w:tcMar>
              <w:left w:type="dxa" w:w="144"/>
            </w:tcMar>
            <w:vAlign w:val="bottom"/>
          </w:tcPr>
          <w:p>
            <w:pPr>
              <w:pStyle w:val="style65"/>
              <w:ind w:hanging="0" w:left="216" w:right="101"/>
              <w:rPr/>
            </w:pPr>
            <w:r>
              <w:rPr/>
              <w:t> </w:t>
            </w:r>
          </w:p>
        </w:tc>
      </w:tr>
      <w:tr>
        <w:trPr>
          <w:cantSplit w:val="false"/>
        </w:trPr>
        <w:tc>
          <w:tcPr>
            <w:tcW w:type="dxa" w:w="10800"/>
            <w:gridSpan w:val="3"/>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trHeight w:hRule="atLeast" w:val="75"/>
          <w:cantSplit w:val="false"/>
        </w:trPr>
        <w:tc>
          <w:tcPr>
            <w:tcW w:type="dxa" w:w="8237"/>
            <w:tcBorders>
              <w:top w:val="nil"/>
              <w:left w:val="nil"/>
              <w:bottom w:val="nil"/>
              <w:right w:val="nil"/>
            </w:tcBorders>
            <w:shd w:fill="auto" w:val="clear"/>
            <w:vAlign w:val="center"/>
          </w:tcPr>
          <w:p>
            <w:pPr>
              <w:pStyle w:val="style0"/>
              <w:rPr>
                <w:sz w:val="8"/>
                <w:szCs w:val="24"/>
              </w:rPr>
            </w:pPr>
            <w:r>
              <w:rPr>
                <w:sz w:val="8"/>
                <w:szCs w:val="24"/>
              </w:rPr>
            </w:r>
          </w:p>
        </w:tc>
        <w:tc>
          <w:tcPr>
            <w:tcW w:type="dxa" w:w="1310"/>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53"/>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823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w:t>
            </w:r>
          </w:p>
        </w:tc>
        <w:tc>
          <w:tcPr>
            <w:tcW w:type="dxa" w:w="1310"/>
            <w:tcBorders>
              <w:top w:val="nil"/>
              <w:left w:val="nil"/>
              <w:bottom w:val="nil"/>
              <w:right w:val="nil"/>
            </w:tcBorders>
            <w:shd w:fill="auto" w:val="clear"/>
            <w:tcMar>
              <w:left w:type="dxa" w:w="144"/>
            </w:tcMar>
            <w:vAlign w:val="bottom"/>
          </w:tcPr>
          <w:p>
            <w:pPr>
              <w:pStyle w:val="style0"/>
              <w:ind w:hanging="0" w:left="216" w:right="72"/>
              <w:jc w:val="right"/>
              <w:rPr>
                <w:rFonts w:ascii="Arial" w:cs="Arial" w:hAnsi="Arial"/>
                <w:b/>
                <w:bCs/>
                <w:sz w:val="15"/>
                <w:szCs w:val="15"/>
              </w:rPr>
            </w:pPr>
            <w:r>
              <w:rPr>
                <w:rFonts w:ascii="Arial" w:cs="Arial" w:hAnsi="Arial"/>
                <w:b/>
                <w:bCs/>
                <w:sz w:val="15"/>
                <w:szCs w:val="15"/>
              </w:rPr>
              <w:t>2013</w:t>
            </w:r>
          </w:p>
        </w:tc>
        <w:tc>
          <w:tcPr>
            <w:tcW w:type="dxa" w:w="1253"/>
            <w:tcBorders>
              <w:top w:val="nil"/>
              <w:left w:val="nil"/>
              <w:bottom w:val="nil"/>
              <w:right w:val="nil"/>
            </w:tcBorders>
            <w:shd w:fill="auto" w:val="clear"/>
            <w:tcMar>
              <w:left w:type="dxa" w:w="144"/>
            </w:tcMar>
            <w:vAlign w:val="bottom"/>
          </w:tcPr>
          <w:p>
            <w:pPr>
              <w:pStyle w:val="style0"/>
              <w:ind w:hanging="0" w:left="216" w:right="72"/>
              <w:jc w:val="right"/>
              <w:rPr>
                <w:rFonts w:ascii="Arial" w:cs="Arial" w:hAnsi="Arial"/>
                <w:b/>
                <w:bCs/>
                <w:sz w:val="15"/>
                <w:szCs w:val="15"/>
              </w:rPr>
            </w:pPr>
            <w:r>
              <w:rPr>
                <w:rFonts w:ascii="Arial" w:cs="Arial" w:hAnsi="Arial"/>
                <w:b/>
                <w:bCs/>
                <w:sz w:val="15"/>
                <w:szCs w:val="15"/>
              </w:rPr>
              <w:t>2012</w:t>
            </w:r>
          </w:p>
        </w:tc>
      </w:tr>
      <w:tr>
        <w:trPr>
          <w:trHeight w:hRule="atLeast" w:val="75"/>
          <w:cantSplit w:val="false"/>
        </w:trPr>
        <w:tc>
          <w:tcPr>
            <w:tcW w:type="dxa" w:w="8237"/>
            <w:tcBorders>
              <w:top w:val="nil"/>
              <w:left w:val="nil"/>
              <w:bottom w:val="nil"/>
              <w:right w:val="nil"/>
            </w:tcBorders>
            <w:shd w:fill="auto" w:val="clear"/>
            <w:vAlign w:val="center"/>
          </w:tcPr>
          <w:p>
            <w:pPr>
              <w:pStyle w:val="style0"/>
              <w:rPr>
                <w:sz w:val="8"/>
                <w:szCs w:val="24"/>
              </w:rPr>
            </w:pPr>
            <w:r>
              <w:rPr>
                <w:sz w:val="8"/>
                <w:szCs w:val="24"/>
              </w:rPr>
            </w:r>
          </w:p>
        </w:tc>
        <w:tc>
          <w:tcPr>
            <w:tcW w:type="dxa" w:w="1310"/>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53"/>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823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Deferred Income Tax Assets</w:t>
            </w:r>
          </w:p>
        </w:tc>
        <w:tc>
          <w:tcPr>
            <w:tcW w:type="dxa" w:w="1310"/>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253"/>
            <w:tcBorders>
              <w:top w:val="nil"/>
              <w:left w:val="nil"/>
              <w:bottom w:val="nil"/>
              <w:right w:val="nil"/>
            </w:tcBorders>
            <w:shd w:fill="auto" w:val="clear"/>
            <w:tcMar>
              <w:left w:type="dxa" w:w="144"/>
            </w:tcMar>
            <w:vAlign w:val="bottom"/>
          </w:tcPr>
          <w:p>
            <w:pPr>
              <w:pStyle w:val="style65"/>
              <w:ind w:hanging="0" w:left="216" w:right="101"/>
              <w:rPr/>
            </w:pPr>
            <w:r>
              <w:rPr/>
              <w:t> </w:t>
            </w:r>
          </w:p>
        </w:tc>
      </w:tr>
      <w:tr>
        <w:trPr>
          <w:trHeight w:hRule="atLeast" w:val="75"/>
          <w:cantSplit w:val="false"/>
        </w:trPr>
        <w:tc>
          <w:tcPr>
            <w:tcW w:type="dxa" w:w="8237"/>
            <w:tcBorders>
              <w:top w:val="nil"/>
              <w:left w:val="nil"/>
              <w:bottom w:val="nil"/>
              <w:right w:val="nil"/>
            </w:tcBorders>
            <w:shd w:fill="auto" w:val="clear"/>
            <w:vAlign w:val="center"/>
          </w:tcPr>
          <w:p>
            <w:pPr>
              <w:pStyle w:val="style0"/>
              <w:rPr>
                <w:sz w:val="8"/>
                <w:szCs w:val="24"/>
              </w:rPr>
            </w:pPr>
            <w:r>
              <w:rPr>
                <w:sz w:val="8"/>
                <w:szCs w:val="24"/>
              </w:rPr>
            </w:r>
          </w:p>
        </w:tc>
        <w:tc>
          <w:tcPr>
            <w:tcW w:type="dxa" w:w="1310"/>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53"/>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823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Stock-based compensation expense</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888</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882</w:t>
              <w:tab/>
            </w:r>
          </w:p>
        </w:tc>
      </w:tr>
      <w:tr>
        <w:trPr>
          <w:cantSplit w:val="false"/>
        </w:trPr>
        <w:tc>
          <w:tcPr>
            <w:tcW w:type="dxa" w:w="823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 expense items</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917</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ab/>
              <w:t>965</w:t>
              <w:tab/>
            </w:r>
          </w:p>
        </w:tc>
      </w:tr>
      <w:tr>
        <w:trPr>
          <w:cantSplit w:val="false"/>
        </w:trPr>
        <w:tc>
          <w:tcPr>
            <w:tcW w:type="dxa" w:w="823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Unearned revenue</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445</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ab/>
              <w:t>571</w:t>
              <w:tab/>
            </w:r>
          </w:p>
        </w:tc>
      </w:tr>
      <w:tr>
        <w:trPr>
          <w:cantSplit w:val="false"/>
        </w:trPr>
        <w:tc>
          <w:tcPr>
            <w:tcW w:type="dxa" w:w="823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Impaired investments</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246</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ab/>
              <w:t>152</w:t>
              <w:tab/>
            </w:r>
          </w:p>
        </w:tc>
      </w:tr>
      <w:tr>
        <w:trPr>
          <w:cantSplit w:val="false"/>
        </w:trPr>
        <w:tc>
          <w:tcPr>
            <w:tcW w:type="dxa" w:w="823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Loss carryforwards</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715</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ab/>
              <w:t>532</w:t>
              <w:tab/>
            </w:r>
          </w:p>
        </w:tc>
      </w:tr>
      <w:tr>
        <w:trPr>
          <w:cantSplit w:val="false"/>
        </w:trPr>
        <w:tc>
          <w:tcPr>
            <w:tcW w:type="dxa" w:w="823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 revenue items</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55</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ab/>
              <w:t>79</w:t>
              <w:tab/>
            </w:r>
          </w:p>
        </w:tc>
      </w:tr>
      <w:tr>
        <w:trPr>
          <w:cantSplit w:val="false"/>
        </w:trPr>
        <w:tc>
          <w:tcPr>
            <w:tcW w:type="dxa" w:w="9548"/>
            <w:gridSpan w:val="2"/>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52"/>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r>
      <w:tr>
        <w:trPr>
          <w:cantSplit w:val="false"/>
        </w:trPr>
        <w:tc>
          <w:tcPr>
            <w:tcW w:type="dxa" w:w="823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Deferred income tax assets</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3,266</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3,181</w:t>
              <w:tab/>
            </w:r>
          </w:p>
        </w:tc>
      </w:tr>
      <w:tr>
        <w:trPr>
          <w:cantSplit w:val="false"/>
        </w:trPr>
        <w:tc>
          <w:tcPr>
            <w:tcW w:type="dxa" w:w="823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Less valuation allowance</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(579</w:t>
              <w:tab/>
              <w:t>)</w:t>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ab/>
              <w:t>(453</w:t>
              <w:tab/>
              <w:t>)</w:t>
            </w:r>
          </w:p>
        </w:tc>
      </w:tr>
      <w:tr>
        <w:trPr>
          <w:cantSplit w:val="false"/>
        </w:trPr>
        <w:tc>
          <w:tcPr>
            <w:tcW w:type="dxa" w:w="9548"/>
            <w:gridSpan w:val="2"/>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52"/>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r>
      <w:tr>
        <w:trPr>
          <w:cantSplit w:val="false"/>
        </w:trPr>
        <w:tc>
          <w:tcPr>
            <w:tcW w:type="dxa" w:w="823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Deferred income tax assets, net of valuation allowance</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2,687</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2,728</w:t>
              <w:tab/>
            </w:r>
          </w:p>
        </w:tc>
      </w:tr>
      <w:tr>
        <w:trPr>
          <w:cantSplit w:val="false"/>
        </w:trPr>
        <w:tc>
          <w:tcPr>
            <w:tcW w:type="dxa" w:w="9548"/>
            <w:gridSpan w:val="2"/>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52"/>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r>
      <w:tr>
        <w:trPr>
          <w:trHeight w:hRule="atLeast" w:val="75"/>
          <w:cantSplit w:val="false"/>
        </w:trPr>
        <w:tc>
          <w:tcPr>
            <w:tcW w:type="dxa" w:w="8237"/>
            <w:tcBorders>
              <w:top w:val="nil"/>
              <w:left w:val="nil"/>
              <w:bottom w:val="nil"/>
              <w:right w:val="nil"/>
            </w:tcBorders>
            <w:shd w:fill="auto" w:val="clear"/>
            <w:vAlign w:val="center"/>
          </w:tcPr>
          <w:p>
            <w:pPr>
              <w:pStyle w:val="style0"/>
              <w:rPr>
                <w:sz w:val="8"/>
                <w:szCs w:val="24"/>
              </w:rPr>
            </w:pPr>
            <w:r>
              <w:rPr>
                <w:sz w:val="8"/>
                <w:szCs w:val="24"/>
              </w:rPr>
            </w:r>
          </w:p>
        </w:tc>
        <w:tc>
          <w:tcPr>
            <w:tcW w:type="dxa" w:w="1310"/>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53"/>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823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Deferred Income Tax Liabilities</w:t>
            </w:r>
          </w:p>
        </w:tc>
        <w:tc>
          <w:tcPr>
            <w:tcW w:type="dxa" w:w="1310"/>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253"/>
            <w:tcBorders>
              <w:top w:val="nil"/>
              <w:left w:val="nil"/>
              <w:bottom w:val="nil"/>
              <w:right w:val="nil"/>
            </w:tcBorders>
            <w:shd w:fill="auto" w:val="clear"/>
            <w:tcMar>
              <w:left w:type="dxa" w:w="144"/>
            </w:tcMar>
            <w:vAlign w:val="bottom"/>
          </w:tcPr>
          <w:p>
            <w:pPr>
              <w:pStyle w:val="style65"/>
              <w:ind w:hanging="0" w:left="216" w:right="101"/>
              <w:rPr/>
            </w:pPr>
            <w:r>
              <w:rPr/>
              <w:t> </w:t>
            </w:r>
          </w:p>
        </w:tc>
      </w:tr>
      <w:tr>
        <w:trPr>
          <w:trHeight w:hRule="atLeast" w:val="75"/>
          <w:cantSplit w:val="false"/>
        </w:trPr>
        <w:tc>
          <w:tcPr>
            <w:tcW w:type="dxa" w:w="8237"/>
            <w:tcBorders>
              <w:top w:val="nil"/>
              <w:left w:val="nil"/>
              <w:bottom w:val="nil"/>
              <w:right w:val="nil"/>
            </w:tcBorders>
            <w:shd w:fill="auto" w:val="clear"/>
            <w:vAlign w:val="center"/>
          </w:tcPr>
          <w:p>
            <w:pPr>
              <w:pStyle w:val="style0"/>
              <w:rPr>
                <w:sz w:val="8"/>
                <w:szCs w:val="24"/>
              </w:rPr>
            </w:pPr>
            <w:r>
              <w:rPr>
                <w:sz w:val="8"/>
                <w:szCs w:val="24"/>
              </w:rPr>
            </w:r>
          </w:p>
        </w:tc>
        <w:tc>
          <w:tcPr>
            <w:tcW w:type="dxa" w:w="1310"/>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53"/>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823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International earnings</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   (1,146</w:t>
              <w:tab/>
              <w:t>)</w:t>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(1,072</w:t>
              <w:tab/>
              <w:t>)</w:t>
            </w:r>
          </w:p>
        </w:tc>
      </w:tr>
      <w:tr>
        <w:trPr>
          <w:cantSplit w:val="false"/>
        </w:trPr>
        <w:tc>
          <w:tcPr>
            <w:tcW w:type="dxa" w:w="823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Unrealized gain on investments</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(1,012</w:t>
              <w:tab/>
              <w:t>)</w:t>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ab/>
              <w:t>(830</w:t>
              <w:tab/>
              <w:t>)</w:t>
            </w:r>
          </w:p>
        </w:tc>
      </w:tr>
      <w:tr>
        <w:trPr>
          <w:cantSplit w:val="false"/>
        </w:trPr>
        <w:tc>
          <w:tcPr>
            <w:tcW w:type="dxa" w:w="823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Depreciation and amortization</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(604</w:t>
              <w:tab/>
              <w:t>)</w:t>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ab/>
              <w:t>(670</w:t>
              <w:tab/>
              <w:t>)</w:t>
            </w:r>
          </w:p>
        </w:tc>
      </w:tr>
      <w:tr>
        <w:trPr>
          <w:cantSplit w:val="false"/>
        </w:trPr>
        <w:tc>
          <w:tcPr>
            <w:tcW w:type="dxa" w:w="823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(2</w:t>
              <w:tab/>
              <w:t>)</w:t>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ab/>
              <w:t>(14</w:t>
              <w:tab/>
              <w:t>)</w:t>
            </w:r>
          </w:p>
        </w:tc>
      </w:tr>
      <w:tr>
        <w:trPr>
          <w:cantSplit w:val="false"/>
        </w:trPr>
        <w:tc>
          <w:tcPr>
            <w:tcW w:type="dxa" w:w="9548"/>
            <w:gridSpan w:val="2"/>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52"/>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r>
      <w:tr>
        <w:trPr>
          <w:cantSplit w:val="false"/>
        </w:trPr>
        <w:tc>
          <w:tcPr>
            <w:tcW w:type="dxa" w:w="823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Deferred income tax liabilities</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(2,764</w:t>
              <w:tab/>
              <w:t>)</w:t>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(2,586</w:t>
              <w:tab/>
              <w:t>)</w:t>
            </w:r>
          </w:p>
        </w:tc>
      </w:tr>
      <w:tr>
        <w:trPr>
          <w:cantSplit w:val="false"/>
        </w:trPr>
        <w:tc>
          <w:tcPr>
            <w:tcW w:type="dxa" w:w="9548"/>
            <w:gridSpan w:val="2"/>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52"/>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r>
      <w:tr>
        <w:trPr>
          <w:cantSplit w:val="false"/>
        </w:trPr>
        <w:tc>
          <w:tcPr>
            <w:tcW w:type="dxa" w:w="8237"/>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Net deferred income tax assets (liabilities)</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(77</w:t>
              <w:tab/>
              <w:t>)</w:t>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142</w:t>
              <w:tab/>
            </w:r>
          </w:p>
        </w:tc>
      </w:tr>
      <w:tr>
        <w:trPr>
          <w:cantSplit w:val="false"/>
        </w:trPr>
        <w:tc>
          <w:tcPr>
            <w:tcW w:type="dxa" w:w="8237"/>
            <w:tcBorders>
              <w:top w:val="nil"/>
              <w:left w:val="nil"/>
              <w:bottom w:val="nil"/>
              <w:right w:val="nil"/>
            </w:tcBorders>
            <w:shd w:fill="auto" w:val="clear"/>
            <w:tcMar>
              <w:left w:type="dxa" w:w="144"/>
            </w:tcMar>
            <w:vAlign w:val="bottom"/>
          </w:tcPr>
          <w:p>
            <w:pPr>
              <w:pStyle w:val="style65"/>
              <w:rPr/>
            </w:pPr>
            <w:r>
              <w:rPr/>
              <w:t> </w:t>
            </w:r>
          </w:p>
        </w:tc>
        <w:tc>
          <w:tcPr>
            <w:tcW w:type="dxa" w:w="1310"/>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c>
          <w:tcPr>
            <w:tcW w:type="dxa" w:w="1253"/>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r>
      <w:tr>
        <w:trPr>
          <w:trHeight w:hRule="atLeast" w:val="75"/>
          <w:cantSplit w:val="false"/>
        </w:trPr>
        <w:tc>
          <w:tcPr>
            <w:tcW w:type="dxa" w:w="8237"/>
            <w:tcBorders>
              <w:top w:val="nil"/>
              <w:left w:val="nil"/>
              <w:bottom w:val="nil"/>
              <w:right w:val="nil"/>
            </w:tcBorders>
            <w:shd w:fill="auto" w:val="clear"/>
            <w:vAlign w:val="center"/>
          </w:tcPr>
          <w:p>
            <w:pPr>
              <w:pStyle w:val="style0"/>
              <w:rPr>
                <w:sz w:val="8"/>
                <w:szCs w:val="24"/>
              </w:rPr>
            </w:pPr>
            <w:r>
              <w:rPr>
                <w:sz w:val="8"/>
                <w:szCs w:val="24"/>
              </w:rPr>
            </w:r>
          </w:p>
        </w:tc>
        <w:tc>
          <w:tcPr>
            <w:tcW w:type="dxa" w:w="1310"/>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53"/>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823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Reported As</w:t>
            </w:r>
          </w:p>
        </w:tc>
        <w:tc>
          <w:tcPr>
            <w:tcW w:type="dxa" w:w="1310"/>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253"/>
            <w:tcBorders>
              <w:top w:val="nil"/>
              <w:left w:val="nil"/>
              <w:bottom w:val="nil"/>
              <w:right w:val="nil"/>
            </w:tcBorders>
            <w:shd w:fill="auto" w:val="clear"/>
            <w:tcMar>
              <w:left w:type="dxa" w:w="144"/>
            </w:tcMar>
            <w:vAlign w:val="bottom"/>
          </w:tcPr>
          <w:p>
            <w:pPr>
              <w:pStyle w:val="style65"/>
              <w:ind w:hanging="0" w:left="216" w:right="101"/>
              <w:rPr/>
            </w:pPr>
            <w:r>
              <w:rPr/>
              <w:t> </w:t>
            </w:r>
          </w:p>
        </w:tc>
      </w:tr>
      <w:tr>
        <w:trPr>
          <w:trHeight w:hRule="atLeast" w:val="75"/>
          <w:cantSplit w:val="false"/>
        </w:trPr>
        <w:tc>
          <w:tcPr>
            <w:tcW w:type="dxa" w:w="8237"/>
            <w:tcBorders>
              <w:top w:val="nil"/>
              <w:left w:val="nil"/>
              <w:bottom w:val="nil"/>
              <w:right w:val="nil"/>
            </w:tcBorders>
            <w:shd w:fill="auto" w:val="clear"/>
            <w:vAlign w:val="center"/>
          </w:tcPr>
          <w:p>
            <w:pPr>
              <w:pStyle w:val="style0"/>
              <w:rPr>
                <w:sz w:val="8"/>
                <w:szCs w:val="24"/>
              </w:rPr>
            </w:pPr>
            <w:r>
              <w:rPr>
                <w:sz w:val="8"/>
                <w:szCs w:val="24"/>
              </w:rPr>
            </w:r>
          </w:p>
        </w:tc>
        <w:tc>
          <w:tcPr>
            <w:tcW w:type="dxa" w:w="1310"/>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53"/>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823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Current deferred income tax assets</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1,632</w:t>
              <w:tab/>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2,035</w:t>
              <w:tab/>
            </w:r>
          </w:p>
        </w:tc>
      </w:tr>
      <w:tr>
        <w:trPr>
          <w:cantSplit w:val="false"/>
        </w:trPr>
        <w:tc>
          <w:tcPr>
            <w:tcW w:type="dxa" w:w="823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Long-term deferred income tax liabilities</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(1,709</w:t>
              <w:tab/>
              <w:t>)</w:t>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ab/>
              <w:t>(1,893</w:t>
              <w:tab/>
              <w:t>)</w:t>
            </w:r>
          </w:p>
        </w:tc>
      </w:tr>
      <w:tr>
        <w:trPr>
          <w:cantSplit w:val="false"/>
        </w:trPr>
        <w:tc>
          <w:tcPr>
            <w:tcW w:type="dxa" w:w="9548"/>
            <w:gridSpan w:val="2"/>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52"/>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r>
      <w:tr>
        <w:trPr>
          <w:cantSplit w:val="false"/>
        </w:trPr>
        <w:tc>
          <w:tcPr>
            <w:tcW w:type="dxa" w:w="8237"/>
            <w:tcBorders>
              <w:top w:val="nil"/>
              <w:left w:val="nil"/>
              <w:bottom w:val="nil"/>
              <w:right w:val="nil"/>
            </w:tcBorders>
            <w:shd w:fill="auto" w:val="clear"/>
          </w:tcPr>
          <w:p>
            <w:pPr>
              <w:pStyle w:val="style62"/>
              <w:spacing w:after="280" w:before="280"/>
              <w:ind w:hanging="240" w:left="720" w:right="0"/>
              <w:contextualSpacing w:val="false"/>
              <w:rPr>
                <w:rFonts w:ascii="Arial" w:cs="Arial" w:hAnsi="Arial"/>
                <w:sz w:val="20"/>
                <w:szCs w:val="20"/>
              </w:rPr>
            </w:pPr>
            <w:r>
              <w:rPr>
                <w:rFonts w:ascii="Arial" w:cs="Arial" w:hAnsi="Arial"/>
                <w:sz w:val="20"/>
                <w:szCs w:val="20"/>
              </w:rPr>
              <w:t>Net deferred income tax assets (liabilities)</w:t>
            </w:r>
          </w:p>
        </w:tc>
        <w:tc>
          <w:tcPr>
            <w:tcW w:type="dxa" w:w="1310"/>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(77</w:t>
              <w:tab/>
              <w:t>)</w:t>
            </w:r>
          </w:p>
        </w:tc>
        <w:tc>
          <w:tcPr>
            <w:tcW w:type="dxa" w:w="1253"/>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142</w:t>
              <w:tab/>
            </w:r>
          </w:p>
        </w:tc>
      </w:tr>
      <w:tr>
        <w:trPr>
          <w:cantSplit w:val="false"/>
        </w:trPr>
        <w:tc>
          <w:tcPr>
            <w:tcW w:type="dxa" w:w="8237"/>
            <w:tcBorders>
              <w:top w:val="nil"/>
              <w:left w:val="nil"/>
              <w:bottom w:val="nil"/>
              <w:right w:val="nil"/>
            </w:tcBorders>
            <w:shd w:fill="auto" w:val="clear"/>
            <w:tcMar>
              <w:left w:type="dxa" w:w="144"/>
            </w:tcMar>
            <w:vAlign w:val="bottom"/>
          </w:tcPr>
          <w:p>
            <w:pPr>
              <w:pStyle w:val="style65"/>
              <w:rPr/>
            </w:pPr>
            <w:r>
              <w:rPr/>
              <w:t> </w:t>
            </w:r>
          </w:p>
        </w:tc>
        <w:tc>
          <w:tcPr>
            <w:tcW w:type="dxa" w:w="1310"/>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c>
          <w:tcPr>
            <w:tcW w:type="dxa" w:w="1253"/>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As of June 30, 2013, we had net operating loss carryforwards of $2.7 billion, including $2.2 billion of foreign net operating loss carryforwards acquired through our acquisition of Skype. The valuation allowance disclosed in the table above relates to the foreign net operating loss carryforwards that may not be realized.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actually paid or recovered.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As of June 30, 2013, we have not provided deferred U.S. income taxes or foreign withholding taxes on temporary differences of approximately $76.4 billion resulting from earnings for certain non-U.S. subsidiaries which are permanently reinvested outside the U.S. The unrecognized deferred tax liability associated with these temporary differences was approximately $24.4 billion at June 30, 2013.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Income taxes paid were $3.9 billion, $3.5 billion, and $5.3 billion in fiscal years 2013, 2012, and 2011, respectively.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Uncertain Tax Positions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As of June 30, 2013, we had $8.6 billion of unrecognized tax benefits of which $6.5 billion, if recognized, would affect our effective tax rate. As of June 30, 2012, we had $7.2 billion of unrecognized tax benefits of which $6.2 billion, if recognized, would have affected our effective tax rate.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Interest on unrecognized tax benefits was $400 million, $154 million, and $38 million in fiscal years 2013, 2012, and 2011, respectively. As of June 30, 2013, 2012, and 2011, we had accrued interest related to uncertain tax positions of $1.3 billion, $939 million, and $785 million, respectively, net of federal income tax benefits.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aggregate changes in the balance of unrecognized tax benefits were as follows: </w:t>
      </w:r>
    </w:p>
    <w:p>
      <w:pPr>
        <w:pStyle w:val="style62"/>
        <w:keepNext/>
        <w:spacing w:after="280" w:before="280"/>
        <w:contextualSpacing w:val="false"/>
        <w:rPr>
          <w:sz w:val="18"/>
          <w:szCs w:val="18"/>
        </w:rPr>
      </w:pPr>
      <w:r>
        <w:rPr>
          <w:sz w:val="18"/>
          <w:szCs w:val="18"/>
        </w:rPr>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367"/>
        <w:gridCol w:w="1171"/>
        <w:gridCol w:w="1131"/>
        <w:gridCol w:w="1131"/>
      </w:tblGrid>
      <w:tr>
        <w:trPr>
          <w:tblHeader w:val="true"/>
          <w:cantSplit w:val="false"/>
        </w:trPr>
        <w:tc>
          <w:tcPr>
            <w:tcW w:type="dxa" w:w="7367"/>
            <w:tcBorders>
              <w:top w:val="nil"/>
              <w:left w:val="nil"/>
              <w:bottom w:val="nil"/>
              <w:right w:val="nil"/>
            </w:tcBorders>
            <w:shd w:fill="auto" w:val="clear"/>
            <w:vAlign w:val="center"/>
          </w:tcPr>
          <w:p>
            <w:pPr>
              <w:pStyle w:val="style0"/>
              <w:rPr>
                <w:sz w:val="1"/>
                <w:szCs w:val="24"/>
              </w:rPr>
            </w:pPr>
            <w:r>
              <w:rPr>
                <w:sz w:val="1"/>
                <w:szCs w:val="24"/>
              </w:rPr>
            </w:r>
          </w:p>
        </w:tc>
        <w:tc>
          <w:tcPr>
            <w:tcW w:type="dxa" w:w="1171"/>
            <w:tcBorders>
              <w:top w:val="nil"/>
              <w:left w:val="nil"/>
              <w:bottom w:val="nil"/>
              <w:right w:val="nil"/>
            </w:tcBorders>
            <w:shd w:fill="auto" w:val="clear"/>
            <w:vAlign w:val="center"/>
          </w:tcPr>
          <w:p>
            <w:pPr>
              <w:pStyle w:val="style0"/>
              <w:rPr>
                <w:sz w:val="1"/>
                <w:szCs w:val="24"/>
              </w:rPr>
            </w:pPr>
            <w:r>
              <w:rPr>
                <w:sz w:val="1"/>
                <w:szCs w:val="24"/>
              </w:rPr>
            </w:r>
          </w:p>
        </w:tc>
        <w:tc>
          <w:tcPr>
            <w:tcW w:type="dxa" w:w="1131"/>
            <w:tcBorders>
              <w:top w:val="nil"/>
              <w:left w:val="nil"/>
              <w:bottom w:val="nil"/>
              <w:right w:val="nil"/>
            </w:tcBorders>
            <w:shd w:fill="auto" w:val="clear"/>
            <w:vAlign w:val="center"/>
          </w:tcPr>
          <w:p>
            <w:pPr>
              <w:pStyle w:val="style0"/>
              <w:rPr>
                <w:sz w:val="1"/>
                <w:szCs w:val="24"/>
              </w:rPr>
            </w:pPr>
            <w:r>
              <w:rPr>
                <w:sz w:val="1"/>
                <w:szCs w:val="24"/>
              </w:rPr>
            </w:r>
          </w:p>
        </w:tc>
        <w:tc>
          <w:tcPr>
            <w:tcW w:type="dxa" w:w="113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36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171"/>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131"/>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131"/>
            <w:tcBorders>
              <w:top w:val="nil"/>
              <w:left w:val="nil"/>
              <w:bottom w:val="nil"/>
              <w:right w:val="nil"/>
            </w:tcBorders>
            <w:shd w:fill="auto" w:val="clear"/>
            <w:tcMar>
              <w:left w:type="dxa" w:w="144"/>
            </w:tcMar>
            <w:vAlign w:val="bottom"/>
          </w:tcPr>
          <w:p>
            <w:pPr>
              <w:pStyle w:val="style65"/>
              <w:ind w:hanging="0" w:left="216" w:right="101"/>
              <w:rPr/>
            </w:pPr>
            <w:r>
              <w:rPr/>
              <w:t> </w:t>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126" w:right="101"/>
              <w:contextualSpacing w:val="false"/>
              <w:rPr/>
            </w:pPr>
            <w:r>
              <w:rPr/>
              <w:t> </w:t>
            </w:r>
          </w:p>
        </w:tc>
      </w:tr>
      <w:tr>
        <w:trPr>
          <w:trHeight w:hRule="atLeast" w:val="75"/>
          <w:cantSplit w:val="false"/>
        </w:trPr>
        <w:tc>
          <w:tcPr>
            <w:tcW w:type="dxa" w:w="7367"/>
            <w:tcBorders>
              <w:top w:val="nil"/>
              <w:left w:val="nil"/>
              <w:bottom w:val="nil"/>
              <w:right w:val="nil"/>
            </w:tcBorders>
            <w:shd w:fill="auto" w:val="clear"/>
            <w:vAlign w:val="center"/>
          </w:tcPr>
          <w:p>
            <w:pPr>
              <w:pStyle w:val="style0"/>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131"/>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131"/>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736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171"/>
            <w:tcBorders>
              <w:top w:val="nil"/>
              <w:left w:val="nil"/>
              <w:bottom w:val="nil"/>
              <w:right w:val="nil"/>
            </w:tcBorders>
            <w:shd w:fill="auto" w:val="clear"/>
            <w:tcMar>
              <w:left w:type="dxa" w:w="144"/>
            </w:tcMar>
            <w:vAlign w:val="bottom"/>
          </w:tcPr>
          <w:p>
            <w:pPr>
              <w:pStyle w:val="style0"/>
              <w:ind w:hanging="0" w:left="216" w:right="86"/>
              <w:jc w:val="right"/>
              <w:rPr>
                <w:rFonts w:ascii="Arial" w:cs="Arial" w:hAnsi="Arial"/>
                <w:b/>
                <w:bCs/>
                <w:sz w:val="15"/>
                <w:szCs w:val="15"/>
              </w:rPr>
            </w:pPr>
            <w:r>
              <w:rPr>
                <w:rFonts w:ascii="Arial" w:cs="Arial" w:hAnsi="Arial"/>
                <w:b/>
                <w:bCs/>
                <w:sz w:val="15"/>
                <w:szCs w:val="15"/>
              </w:rPr>
              <w:t>2013</w:t>
            </w:r>
          </w:p>
        </w:tc>
        <w:tc>
          <w:tcPr>
            <w:tcW w:type="dxa" w:w="1131"/>
            <w:tcBorders>
              <w:top w:val="nil"/>
              <w:left w:val="nil"/>
              <w:bottom w:val="nil"/>
              <w:right w:val="nil"/>
            </w:tcBorders>
            <w:shd w:fill="auto" w:val="clear"/>
            <w:tcMar>
              <w:left w:type="dxa" w:w="144"/>
            </w:tcMar>
            <w:vAlign w:val="bottom"/>
          </w:tcPr>
          <w:p>
            <w:pPr>
              <w:pStyle w:val="style0"/>
              <w:ind w:hanging="0" w:left="216" w:right="86"/>
              <w:jc w:val="right"/>
              <w:rPr>
                <w:rFonts w:ascii="Arial" w:cs="Arial" w:hAnsi="Arial"/>
                <w:b/>
                <w:bCs/>
                <w:sz w:val="15"/>
                <w:szCs w:val="15"/>
              </w:rPr>
            </w:pPr>
            <w:r>
              <w:rPr>
                <w:rFonts w:ascii="Arial" w:cs="Arial" w:hAnsi="Arial"/>
                <w:b/>
                <w:bCs/>
                <w:sz w:val="15"/>
                <w:szCs w:val="15"/>
              </w:rPr>
              <w:t>2012</w:t>
            </w:r>
          </w:p>
        </w:tc>
        <w:tc>
          <w:tcPr>
            <w:tcW w:type="dxa" w:w="1131"/>
            <w:tcBorders>
              <w:top w:val="nil"/>
              <w:left w:val="nil"/>
              <w:bottom w:val="nil"/>
              <w:right w:val="nil"/>
            </w:tcBorders>
            <w:shd w:fill="auto" w:val="clear"/>
            <w:tcMar>
              <w:left w:type="dxa" w:w="144"/>
            </w:tcMar>
            <w:vAlign w:val="bottom"/>
          </w:tcPr>
          <w:p>
            <w:pPr>
              <w:pStyle w:val="style0"/>
              <w:ind w:hanging="0" w:left="216" w:right="72"/>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367"/>
            <w:tcBorders>
              <w:top w:val="nil"/>
              <w:left w:val="nil"/>
              <w:bottom w:val="nil"/>
              <w:right w:val="nil"/>
            </w:tcBorders>
            <w:shd w:fill="auto" w:val="clear"/>
            <w:vAlign w:val="center"/>
          </w:tcPr>
          <w:p>
            <w:pPr>
              <w:pStyle w:val="style0"/>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131"/>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131"/>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736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Balance, beginning of year</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  7,202</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6,935</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6,542</w:t>
              <w:tab/>
            </w:r>
          </w:p>
        </w:tc>
      </w:tr>
      <w:tr>
        <w:trPr>
          <w:cantSplit w:val="false"/>
        </w:trPr>
        <w:tc>
          <w:tcPr>
            <w:tcW w:type="dxa" w:w="736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Decreases related to settlements</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(30</w:t>
              <w:tab/>
              <w:t>)</w:t>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ab/>
              <w:t>(16</w:t>
              <w:tab/>
              <w:t>)</w:t>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ab/>
              <w:t>(632</w:t>
              <w:tab/>
              <w:t>)</w:t>
            </w:r>
          </w:p>
        </w:tc>
      </w:tr>
      <w:tr>
        <w:trPr>
          <w:cantSplit w:val="false"/>
        </w:trPr>
        <w:tc>
          <w:tcPr>
            <w:tcW w:type="dxa" w:w="736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Increases for tax positions related to the current year</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612</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ab/>
              <w:t>481</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ab/>
              <w:t>739</w:t>
              <w:tab/>
            </w:r>
          </w:p>
        </w:tc>
      </w:tr>
      <w:tr>
        <w:trPr>
          <w:cantSplit w:val="false"/>
        </w:trPr>
        <w:tc>
          <w:tcPr>
            <w:tcW w:type="dxa" w:w="736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Increases for tax positions related to prior years</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931</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ab/>
              <w:t>118</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ab/>
              <w:t>405</w:t>
              <w:tab/>
            </w:r>
          </w:p>
        </w:tc>
      </w:tr>
      <w:tr>
        <w:trPr>
          <w:cantSplit w:val="false"/>
        </w:trPr>
        <w:tc>
          <w:tcPr>
            <w:tcW w:type="dxa" w:w="736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Decreases for tax positions related to prior years</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(65</w:t>
              <w:tab/>
              <w:t>)</w:t>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ab/>
              <w:t>(292</w:t>
              <w:tab/>
              <w:t>)</w:t>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ab/>
              <w:t>(119</w:t>
              <w:tab/>
              <w:t>)</w:t>
            </w:r>
          </w:p>
        </w:tc>
      </w:tr>
      <w:tr>
        <w:trPr>
          <w:cantSplit w:val="false"/>
        </w:trPr>
        <w:tc>
          <w:tcPr>
            <w:tcW w:type="dxa" w:w="736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Decreases due to lapsed statutes of limitations</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(2</w:t>
              <w:tab/>
              <w:t>)</w:t>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ab/>
              <w:t>(24</w:t>
              <w:tab/>
              <w:t>)</w:t>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ab/>
              <w:t>0</w:t>
              <w:tab/>
            </w:r>
          </w:p>
        </w:tc>
      </w:tr>
      <w:tr>
        <w:trPr>
          <w:cantSplit w:val="false"/>
        </w:trPr>
        <w:tc>
          <w:tcPr>
            <w:tcW w:type="dxa" w:w="8538"/>
            <w:gridSpan w:val="2"/>
            <w:tcBorders>
              <w:top w:val="nil"/>
              <w:left w:val="nil"/>
              <w:bottom w:val="nil"/>
              <w:right w:val="nil"/>
            </w:tcBorders>
            <w:shd w:fill="auto" w:val="clear"/>
            <w:vAlign w:val="bottom"/>
          </w:tcPr>
          <w:p>
            <w:pPr>
              <w:pStyle w:val="style59"/>
              <w:spacing w:after="0" w:before="20"/>
              <w:ind w:hanging="0" w:left="-126" w:right="101"/>
              <w:contextualSpacing w:val="false"/>
              <w:rPr/>
            </w:pPr>
            <w:r>
              <w:rPr/>
              <w:t> </w:t>
            </w:r>
          </w:p>
        </w:tc>
        <w:tc>
          <w:tcPr>
            <w:tcW w:type="dxa" w:w="1131"/>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c>
          <w:tcPr>
            <w:tcW w:type="dxa" w:w="1131"/>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r>
      <w:tr>
        <w:trPr>
          <w:cantSplit w:val="false"/>
        </w:trPr>
        <w:tc>
          <w:tcPr>
            <w:tcW w:type="dxa" w:w="736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Balance, end of year</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8,648</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7,202</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6,935</w:t>
              <w:tab/>
            </w:r>
          </w:p>
        </w:tc>
      </w:tr>
      <w:tr>
        <w:trPr>
          <w:cantSplit w:val="false"/>
        </w:trPr>
        <w:tc>
          <w:tcPr>
            <w:tcW w:type="dxa" w:w="7367"/>
            <w:tcBorders>
              <w:top w:val="nil"/>
              <w:left w:val="nil"/>
              <w:bottom w:val="nil"/>
              <w:right w:val="nil"/>
            </w:tcBorders>
            <w:shd w:fill="auto" w:val="clear"/>
            <w:tcMar>
              <w:left w:type="dxa" w:w="144"/>
            </w:tcMar>
            <w:vAlign w:val="bottom"/>
          </w:tcPr>
          <w:p>
            <w:pPr>
              <w:pStyle w:val="style65"/>
              <w:rPr/>
            </w:pPr>
            <w:r>
              <w:rPr/>
              <w:t> </w:t>
            </w:r>
          </w:p>
        </w:tc>
        <w:tc>
          <w:tcPr>
            <w:tcW w:type="dxa" w:w="1171"/>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c>
          <w:tcPr>
            <w:tcW w:type="dxa" w:w="1131"/>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c>
          <w:tcPr>
            <w:tcW w:type="dxa" w:w="1131"/>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During the third quarter of fiscal year 2011, we reached a settlement of a portion of an I.R.S. audit of tax years 2004 to 2006, which reduced our income tax expense by $461 million. While we settled a portion of the I.R.S. audit, we remain under audit for these years. In February 2012, the I.R.S. withdrew its 2011 Revenue Agents Report and reopened the audit phase of the examination. As of June 30, 2013, the primary unresolved issue relates to transfer pricing, which could have a significant impact on our financial statements if not resolved favorably. We believe our allowances for tax contingencies are appropriate. We do not believe it is reasonably possible that the total amount of unrecognized tax benefits will significantly increase or decrease within the next 12 months, because we do not believe the remaining open issues will be resolved within the next 12 months. We also continue to be subject to examination by the I.R.S. for tax years 2007 to 2012.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are subject to income tax in many jurisdictions outside the U.S. Our operations in certain jurisdictions remain subject to examination for tax years 1996 to 2012, some of which are currently under audit by local tax authorities. The resolutions of these audits are not expected to be material to our financial statements.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14 — UNEARNED REVENUE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Unearned revenue comprises mainly unearned revenue from volume licensing programs, and payments for offerings for which we have been paid in advance and we earn the revenue when we provide the service or software or otherwise meet the revenue recognition criteria.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Volume Licensing Programs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Unearned revenue from volume licensing programs represents customer billings for multi-year licensing arrangements paid either at inception of the agreement or annually at the beginning of each coverage period and accounted for as subscriptions with revenue recognized ratably over the coverage period.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Other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Also included in unearned revenue are payments for post-delivery support and consulting services to be performed in the future; Xbox LIVE subscriptions and prepaid points; OEM minimum commitments; Microsoft Dynamics business solutions products; Skype prepaid credits and subscriptions; and other offerings for which we have been paid in advance and earn the revenue when we provide the service or software, or otherwise meet the revenue recognition criteria.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components of unearned revenue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8299"/>
        <w:gridCol w:w="1280"/>
        <w:gridCol w:w="1221"/>
      </w:tblGrid>
      <w:tr>
        <w:trPr>
          <w:tblHeader w:val="true"/>
          <w:cantSplit w:val="false"/>
        </w:trPr>
        <w:tc>
          <w:tcPr>
            <w:tcW w:type="dxa" w:w="8299"/>
            <w:tcBorders>
              <w:top w:val="nil"/>
              <w:left w:val="nil"/>
              <w:bottom w:val="nil"/>
              <w:right w:val="nil"/>
            </w:tcBorders>
            <w:shd w:fill="auto" w:val="clear"/>
            <w:vAlign w:val="center"/>
          </w:tcPr>
          <w:p>
            <w:pPr>
              <w:pStyle w:val="style0"/>
              <w:rPr>
                <w:sz w:val="1"/>
                <w:szCs w:val="24"/>
              </w:rPr>
            </w:pPr>
            <w:r>
              <w:rPr>
                <w:sz w:val="1"/>
                <w:szCs w:val="24"/>
              </w:rPr>
            </w:r>
          </w:p>
        </w:tc>
        <w:tc>
          <w:tcPr>
            <w:tcW w:type="dxa" w:w="1280"/>
            <w:tcBorders>
              <w:top w:val="nil"/>
              <w:left w:val="nil"/>
              <w:bottom w:val="nil"/>
              <w:right w:val="nil"/>
            </w:tcBorders>
            <w:shd w:fill="auto" w:val="clear"/>
            <w:vAlign w:val="center"/>
          </w:tcPr>
          <w:p>
            <w:pPr>
              <w:pStyle w:val="style0"/>
              <w:rPr>
                <w:sz w:val="1"/>
                <w:szCs w:val="24"/>
              </w:rPr>
            </w:pPr>
            <w:r>
              <w:rPr>
                <w:sz w:val="1"/>
                <w:szCs w:val="24"/>
              </w:rPr>
            </w:r>
          </w:p>
        </w:tc>
        <w:tc>
          <w:tcPr>
            <w:tcW w:type="dxa" w:w="122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829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80"/>
            <w:tcBorders>
              <w:top w:val="nil"/>
              <w:left w:val="nil"/>
              <w:bottom w:val="nil"/>
              <w:right w:val="nil"/>
            </w:tcBorders>
            <w:shd w:fill="auto" w:val="clear"/>
            <w:tcMar>
              <w:left w:type="dxa" w:w="144"/>
            </w:tcMar>
            <w:vAlign w:val="bottom"/>
          </w:tcPr>
          <w:p>
            <w:pPr>
              <w:pStyle w:val="style65"/>
              <w:ind w:hanging="0" w:left="187" w:right="101"/>
              <w:rPr/>
            </w:pPr>
            <w:r>
              <w:rPr/>
              <w:t> </w:t>
            </w:r>
          </w:p>
        </w:tc>
        <w:tc>
          <w:tcPr>
            <w:tcW w:type="dxa" w:w="1221"/>
            <w:tcBorders>
              <w:top w:val="nil"/>
              <w:left w:val="nil"/>
              <w:bottom w:val="nil"/>
              <w:right w:val="nil"/>
            </w:tcBorders>
            <w:shd w:fill="auto" w:val="clear"/>
            <w:tcMar>
              <w:left w:type="dxa" w:w="144"/>
            </w:tcMar>
            <w:vAlign w:val="bottom"/>
          </w:tcPr>
          <w:p>
            <w:pPr>
              <w:pStyle w:val="style65"/>
              <w:ind w:hanging="0" w:left="187" w:right="101"/>
              <w:rPr/>
            </w:pPr>
            <w:r>
              <w:rPr/>
              <w:t> </w:t>
            </w:r>
          </w:p>
        </w:tc>
      </w:tr>
      <w:tr>
        <w:trPr>
          <w:cantSplit w:val="false"/>
        </w:trPr>
        <w:tc>
          <w:tcPr>
            <w:tcW w:type="dxa" w:w="10800"/>
            <w:gridSpan w:val="3"/>
            <w:tcBorders>
              <w:top w:val="nil"/>
              <w:left w:val="nil"/>
              <w:bottom w:val="nil"/>
              <w:right w:val="nil"/>
            </w:tcBorders>
            <w:shd w:fill="auto" w:val="clear"/>
            <w:tcMar>
              <w:left w:type="dxa" w:w="144"/>
            </w:tcMar>
            <w:vAlign w:val="bottom"/>
          </w:tcPr>
          <w:p>
            <w:pPr>
              <w:pStyle w:val="style59"/>
              <w:spacing w:after="0" w:before="20"/>
              <w:ind w:hanging="0" w:left="-189" w:right="101"/>
              <w:contextualSpacing w:val="false"/>
              <w:rPr/>
            </w:pPr>
            <w:r>
              <w:rPr/>
              <w:t> </w:t>
            </w:r>
          </w:p>
        </w:tc>
      </w:tr>
      <w:tr>
        <w:trPr>
          <w:trHeight w:hRule="atLeast" w:val="75"/>
          <w:cantSplit w:val="false"/>
        </w:trPr>
        <w:tc>
          <w:tcPr>
            <w:tcW w:type="dxa" w:w="829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187" w:right="101"/>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187" w:right="101"/>
              <w:rPr>
                <w:sz w:val="8"/>
                <w:szCs w:val="24"/>
              </w:rPr>
            </w:pPr>
            <w:r>
              <w:rPr>
                <w:sz w:val="8"/>
                <w:szCs w:val="24"/>
              </w:rPr>
            </w:r>
          </w:p>
        </w:tc>
      </w:tr>
      <w:tr>
        <w:trPr>
          <w:cantSplit w:val="false"/>
        </w:trPr>
        <w:tc>
          <w:tcPr>
            <w:tcW w:type="dxa" w:w="829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w:t>
            </w:r>
          </w:p>
        </w:tc>
        <w:tc>
          <w:tcPr>
            <w:tcW w:type="dxa" w:w="1280"/>
            <w:tcBorders>
              <w:top w:val="nil"/>
              <w:left w:val="nil"/>
              <w:bottom w:val="nil"/>
              <w:right w:val="nil"/>
            </w:tcBorders>
            <w:shd w:fill="auto" w:val="clear"/>
            <w:tcMar>
              <w:left w:type="dxa" w:w="144"/>
            </w:tcMar>
            <w:vAlign w:val="bottom"/>
          </w:tcPr>
          <w:p>
            <w:pPr>
              <w:pStyle w:val="style0"/>
              <w:ind w:hanging="0" w:left="187" w:right="58"/>
              <w:jc w:val="right"/>
              <w:rPr>
                <w:rFonts w:ascii="Arial" w:cs="Arial" w:hAnsi="Arial"/>
                <w:b/>
                <w:bCs/>
                <w:sz w:val="15"/>
                <w:szCs w:val="15"/>
              </w:rPr>
            </w:pPr>
            <w:r>
              <w:rPr>
                <w:rFonts w:ascii="Arial" w:cs="Arial" w:hAnsi="Arial"/>
                <w:b/>
                <w:bCs/>
                <w:sz w:val="15"/>
                <w:szCs w:val="15"/>
              </w:rPr>
              <w:t>2013</w:t>
            </w:r>
          </w:p>
        </w:tc>
        <w:tc>
          <w:tcPr>
            <w:tcW w:type="dxa" w:w="1221"/>
            <w:tcBorders>
              <w:top w:val="nil"/>
              <w:left w:val="nil"/>
              <w:bottom w:val="nil"/>
              <w:right w:val="nil"/>
            </w:tcBorders>
            <w:shd w:fill="auto" w:val="clear"/>
            <w:tcMar>
              <w:left w:type="dxa" w:w="144"/>
            </w:tcMar>
            <w:vAlign w:val="bottom"/>
          </w:tcPr>
          <w:p>
            <w:pPr>
              <w:pStyle w:val="style0"/>
              <w:ind w:hanging="0" w:left="187" w:right="58"/>
              <w:jc w:val="right"/>
              <w:rPr>
                <w:rFonts w:ascii="Arial" w:cs="Arial" w:hAnsi="Arial"/>
                <w:b/>
                <w:bCs/>
                <w:sz w:val="15"/>
                <w:szCs w:val="15"/>
              </w:rPr>
            </w:pPr>
            <w:r>
              <w:rPr>
                <w:rFonts w:ascii="Arial" w:cs="Arial" w:hAnsi="Arial"/>
                <w:b/>
                <w:bCs/>
                <w:sz w:val="15"/>
                <w:szCs w:val="15"/>
              </w:rPr>
              <w:t>2012</w:t>
            </w:r>
          </w:p>
        </w:tc>
      </w:tr>
      <w:tr>
        <w:trPr>
          <w:trHeight w:hRule="atLeast" w:val="75"/>
          <w:cantSplit w:val="false"/>
        </w:trPr>
        <w:tc>
          <w:tcPr>
            <w:tcW w:type="dxa" w:w="829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187" w:right="101"/>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187" w:right="101"/>
              <w:rPr>
                <w:sz w:val="8"/>
                <w:szCs w:val="24"/>
              </w:rPr>
            </w:pPr>
            <w:r>
              <w:rPr>
                <w:sz w:val="8"/>
                <w:szCs w:val="24"/>
              </w:rPr>
            </w:r>
          </w:p>
        </w:tc>
      </w:tr>
      <w:tr>
        <w:trPr>
          <w:cantSplit w:val="false"/>
        </w:trPr>
        <w:tc>
          <w:tcPr>
            <w:tcW w:type="dxa" w:w="829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Volume licensing programs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87" w:right="101"/>
              <w:contextualSpacing w:val="false"/>
              <w:rPr>
                <w:rFonts w:ascii="Arial" w:cs="Arial" w:hAnsi="Arial"/>
                <w:b/>
                <w:bCs/>
                <w:sz w:val="20"/>
                <w:szCs w:val="20"/>
              </w:rPr>
            </w:pPr>
            <w:r>
              <w:rPr>
                <w:rFonts w:ascii="Arial" w:cs="Arial" w:hAnsi="Arial"/>
                <w:b/>
                <w:bCs/>
                <w:sz w:val="20"/>
                <w:szCs w:val="20"/>
              </w:rPr>
              <w:t>$</w:t>
              <w:tab/>
              <w:t>  18,871</w:t>
              <w:tab/>
              <w:t> </w:t>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87" w:right="101"/>
              <w:contextualSpacing w:val="false"/>
              <w:rPr>
                <w:rFonts w:ascii="Arial" w:cs="Arial" w:hAnsi="Arial"/>
                <w:sz w:val="20"/>
                <w:szCs w:val="20"/>
              </w:rPr>
            </w:pPr>
            <w:r>
              <w:rPr>
                <w:rFonts w:ascii="Arial" w:cs="Arial" w:hAnsi="Arial"/>
                <w:sz w:val="20"/>
                <w:szCs w:val="20"/>
              </w:rPr>
              <w:t>$</w:t>
              <w:tab/>
              <w:t>  16,717</w:t>
              <w:tab/>
              <w:t> </w:t>
            </w:r>
          </w:p>
        </w:tc>
      </w:tr>
      <w:tr>
        <w:trPr>
          <w:cantSplit w:val="false"/>
        </w:trPr>
        <w:tc>
          <w:tcPr>
            <w:tcW w:type="dxa" w:w="829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Other </w:t>
            </w:r>
            <w:r>
              <w:rPr>
                <w:rFonts w:ascii="Arial" w:cs="Arial" w:hAnsi="Arial"/>
                <w:sz w:val="15"/>
                <w:szCs w:val="15"/>
                <w:vertAlign w:val="superscript"/>
              </w:rPr>
              <w:t>(a)</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87" w:right="101"/>
              <w:contextualSpacing w:val="false"/>
              <w:rPr>
                <w:rFonts w:ascii="Arial" w:cs="Arial" w:hAnsi="Arial"/>
                <w:b/>
                <w:bCs/>
                <w:sz w:val="20"/>
                <w:szCs w:val="20"/>
              </w:rPr>
            </w:pPr>
            <w:r>
              <w:rPr>
                <w:rFonts w:ascii="Arial" w:cs="Arial" w:hAnsi="Arial"/>
                <w:b/>
                <w:bCs/>
                <w:sz w:val="20"/>
                <w:szCs w:val="20"/>
              </w:rPr>
              <w:tab/>
              <w:t>3,528</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87" w:right="101"/>
              <w:contextualSpacing w:val="false"/>
              <w:rPr>
                <w:rFonts w:ascii="Arial" w:cs="Arial" w:hAnsi="Arial"/>
                <w:sz w:val="20"/>
                <w:szCs w:val="20"/>
              </w:rPr>
            </w:pPr>
            <w:r>
              <w:rPr>
                <w:rFonts w:ascii="Arial" w:cs="Arial" w:hAnsi="Arial"/>
                <w:sz w:val="20"/>
                <w:szCs w:val="20"/>
              </w:rPr>
              <w:tab/>
              <w:t>3,342</w:t>
              <w:tab/>
            </w:r>
          </w:p>
        </w:tc>
      </w:tr>
      <w:tr>
        <w:trPr>
          <w:cantSplit w:val="false"/>
        </w:trPr>
        <w:tc>
          <w:tcPr>
            <w:tcW w:type="dxa" w:w="9579"/>
            <w:gridSpan w:val="2"/>
            <w:tcBorders>
              <w:top w:val="nil"/>
              <w:left w:val="nil"/>
              <w:bottom w:val="nil"/>
              <w:right w:val="nil"/>
            </w:tcBorders>
            <w:shd w:fill="auto" w:val="clear"/>
            <w:tcMar>
              <w:left w:type="dxa" w:w="144"/>
            </w:tcMar>
            <w:vAlign w:val="bottom"/>
          </w:tcPr>
          <w:p>
            <w:pPr>
              <w:pStyle w:val="style59"/>
              <w:spacing w:after="0" w:before="20"/>
              <w:ind w:hanging="0" w:left="-189" w:right="101"/>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spacing w:after="0" w:before="20"/>
              <w:ind w:hanging="0" w:left="187" w:right="101"/>
              <w:contextualSpacing w:val="false"/>
              <w:rPr/>
            </w:pPr>
            <w:r>
              <w:rPr/>
              <w:t> </w:t>
            </w:r>
          </w:p>
        </w:tc>
      </w:tr>
      <w:tr>
        <w:trPr>
          <w:cantSplit w:val="false"/>
        </w:trPr>
        <w:tc>
          <w:tcPr>
            <w:tcW w:type="dxa" w:w="829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87" w:right="101"/>
              <w:contextualSpacing w:val="false"/>
              <w:rPr>
                <w:rFonts w:ascii="Arial" w:cs="Arial" w:hAnsi="Arial"/>
                <w:b/>
                <w:bCs/>
                <w:sz w:val="20"/>
                <w:szCs w:val="20"/>
              </w:rPr>
            </w:pPr>
            <w:r>
              <w:rPr>
                <w:rFonts w:ascii="Arial" w:cs="Arial" w:hAnsi="Arial"/>
                <w:b/>
                <w:bCs/>
                <w:sz w:val="20"/>
                <w:szCs w:val="20"/>
              </w:rPr>
              <w:t>$</w:t>
              <w:tab/>
              <w:t>22,399</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87" w:right="101"/>
              <w:contextualSpacing w:val="false"/>
              <w:rPr>
                <w:rFonts w:ascii="Arial" w:cs="Arial" w:hAnsi="Arial"/>
                <w:sz w:val="20"/>
                <w:szCs w:val="20"/>
              </w:rPr>
            </w:pPr>
            <w:r>
              <w:rPr>
                <w:rFonts w:ascii="Arial" w:cs="Arial" w:hAnsi="Arial"/>
                <w:sz w:val="20"/>
                <w:szCs w:val="20"/>
              </w:rPr>
              <w:t>$</w:t>
              <w:tab/>
              <w:t>20,059</w:t>
              <w:tab/>
            </w:r>
          </w:p>
        </w:tc>
      </w:tr>
      <w:tr>
        <w:trPr>
          <w:cantSplit w:val="false"/>
        </w:trPr>
        <w:tc>
          <w:tcPr>
            <w:tcW w:type="dxa" w:w="8299"/>
            <w:tcBorders>
              <w:top w:val="nil"/>
              <w:left w:val="nil"/>
              <w:bottom w:val="nil"/>
              <w:right w:val="nil"/>
            </w:tcBorders>
            <w:shd w:fill="auto" w:val="clear"/>
            <w:tcMar>
              <w:left w:type="dxa" w:w="144"/>
            </w:tcMar>
            <w:vAlign w:val="bottom"/>
          </w:tcPr>
          <w:p>
            <w:pPr>
              <w:pStyle w:val="style65"/>
              <w:rPr/>
            </w:pPr>
            <w:r>
              <w:rPr/>
              <w:t> </w:t>
            </w:r>
          </w:p>
        </w:tc>
        <w:tc>
          <w:tcPr>
            <w:tcW w:type="dxa" w:w="1280"/>
            <w:tcBorders>
              <w:top w:val="nil"/>
              <w:left w:val="nil"/>
              <w:bottom w:val="nil"/>
              <w:right w:val="nil"/>
            </w:tcBorders>
            <w:shd w:fill="auto" w:val="clear"/>
            <w:tcMar>
              <w:left w:type="dxa" w:w="144"/>
            </w:tcMar>
            <w:vAlign w:val="bottom"/>
          </w:tcPr>
          <w:p>
            <w:pPr>
              <w:pStyle w:val="style63"/>
              <w:spacing w:after="0" w:before="20"/>
              <w:ind w:hanging="0" w:left="187" w:right="101"/>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63"/>
              <w:spacing w:after="0" w:before="20"/>
              <w:ind w:hanging="0" w:left="187" w:right="101"/>
              <w:contextualSpacing w:val="false"/>
              <w:rPr/>
            </w:pPr>
            <w:r>
              <w:rPr/>
              <w:t> </w:t>
            </w:r>
          </w:p>
        </w:tc>
      </w:tr>
    </w:tbl>
    <w:p>
      <w:pPr>
        <w:pStyle w:val="style62"/>
        <w:spacing w:after="280" w:before="280"/>
        <w:ind w:hanging="490" w:left="489" w:right="0"/>
        <w:contextualSpacing w:val="false"/>
        <w:jc w:val="both"/>
        <w:rPr>
          <w:rFonts w:ascii="Arial" w:cs="Arial" w:hAnsi="Arial"/>
          <w:i/>
          <w:iCs/>
          <w:sz w:val="20"/>
          <w:szCs w:val="20"/>
        </w:rPr>
      </w:pPr>
      <w:r>
        <w:rPr>
          <w:rFonts w:ascii="Arial" w:cs="Arial" w:hAnsi="Arial"/>
          <w:sz w:val="20"/>
          <w:szCs w:val="20"/>
        </w:rPr>
        <w:t>(a)</w:t>
        <w:tab/>
      </w:r>
      <w:r>
        <w:rPr>
          <w:rFonts w:ascii="Arial" w:cs="Arial" w:hAnsi="Arial"/>
          <w:i/>
          <w:iCs/>
          <w:sz w:val="20"/>
          <w:szCs w:val="20"/>
        </w:rPr>
        <w:t xml:space="preserve">Other as of June 30, 2012 included $540 million of unearned revenue associated with sales of Windows 7 with an option to upgrade to Windows 8 Pro at a discounted price (the “Windows Upgrade Offer”).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Unearned revenue by segment was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8299"/>
        <w:gridCol w:w="1280"/>
        <w:gridCol w:w="1221"/>
      </w:tblGrid>
      <w:tr>
        <w:trPr>
          <w:tblHeader w:val="true"/>
          <w:cantSplit w:val="false"/>
        </w:trPr>
        <w:tc>
          <w:tcPr>
            <w:tcW w:type="dxa" w:w="8299"/>
            <w:tcBorders>
              <w:top w:val="nil"/>
              <w:left w:val="nil"/>
              <w:bottom w:val="nil"/>
              <w:right w:val="nil"/>
            </w:tcBorders>
            <w:shd w:fill="auto" w:val="clear"/>
            <w:vAlign w:val="center"/>
          </w:tcPr>
          <w:p>
            <w:pPr>
              <w:pStyle w:val="style0"/>
              <w:rPr>
                <w:sz w:val="1"/>
                <w:szCs w:val="24"/>
              </w:rPr>
            </w:pPr>
            <w:r>
              <w:rPr>
                <w:sz w:val="1"/>
                <w:szCs w:val="24"/>
              </w:rPr>
            </w:r>
          </w:p>
        </w:tc>
        <w:tc>
          <w:tcPr>
            <w:tcW w:type="dxa" w:w="1280"/>
            <w:tcBorders>
              <w:top w:val="nil"/>
              <w:left w:val="nil"/>
              <w:bottom w:val="nil"/>
              <w:right w:val="nil"/>
            </w:tcBorders>
            <w:shd w:fill="auto" w:val="clear"/>
            <w:vAlign w:val="center"/>
          </w:tcPr>
          <w:p>
            <w:pPr>
              <w:pStyle w:val="style0"/>
              <w:rPr>
                <w:sz w:val="1"/>
                <w:szCs w:val="24"/>
              </w:rPr>
            </w:pPr>
            <w:r>
              <w:rPr>
                <w:sz w:val="1"/>
                <w:szCs w:val="24"/>
              </w:rPr>
            </w:r>
          </w:p>
        </w:tc>
        <w:tc>
          <w:tcPr>
            <w:tcW w:type="dxa" w:w="122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829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80"/>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221"/>
            <w:tcBorders>
              <w:top w:val="nil"/>
              <w:left w:val="nil"/>
              <w:bottom w:val="nil"/>
              <w:right w:val="nil"/>
            </w:tcBorders>
            <w:shd w:fill="auto" w:val="clear"/>
            <w:tcMar>
              <w:left w:type="dxa" w:w="144"/>
            </w:tcMar>
            <w:vAlign w:val="bottom"/>
          </w:tcPr>
          <w:p>
            <w:pPr>
              <w:pStyle w:val="style65"/>
              <w:ind w:hanging="0" w:left="216" w:right="86"/>
              <w:rPr/>
            </w:pPr>
            <w:r>
              <w:rPr/>
              <w:t> </w:t>
            </w:r>
          </w:p>
        </w:tc>
      </w:tr>
      <w:tr>
        <w:trPr>
          <w:cantSplit w:val="false"/>
        </w:trPr>
        <w:tc>
          <w:tcPr>
            <w:tcW w:type="dxa" w:w="10800"/>
            <w:gridSpan w:val="3"/>
            <w:tcBorders>
              <w:top w:val="nil"/>
              <w:left w:val="nil"/>
              <w:bottom w:val="nil"/>
              <w:right w:val="nil"/>
            </w:tcBorders>
            <w:shd w:fill="auto" w:val="clear"/>
            <w:tcMar>
              <w:left w:type="dxa" w:w="144"/>
            </w:tcMar>
            <w:vAlign w:val="bottom"/>
          </w:tcPr>
          <w:p>
            <w:pPr>
              <w:pStyle w:val="style59"/>
              <w:spacing w:after="0" w:before="20"/>
              <w:ind w:hanging="0" w:left="-189" w:right="86"/>
              <w:contextualSpacing w:val="false"/>
              <w:rPr/>
            </w:pPr>
            <w:r>
              <w:rPr/>
              <w:t> </w:t>
            </w:r>
          </w:p>
        </w:tc>
      </w:tr>
      <w:tr>
        <w:trPr>
          <w:trHeight w:hRule="atLeast" w:val="75"/>
          <w:cantSplit w:val="false"/>
        </w:trPr>
        <w:tc>
          <w:tcPr>
            <w:tcW w:type="dxa" w:w="829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829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w:t>
            </w:r>
          </w:p>
        </w:tc>
        <w:tc>
          <w:tcPr>
            <w:tcW w:type="dxa" w:w="1280"/>
            <w:tcBorders>
              <w:top w:val="nil"/>
              <w:left w:val="nil"/>
              <w:bottom w:val="nil"/>
              <w:right w:val="nil"/>
            </w:tcBorders>
            <w:shd w:fill="auto" w:val="clear"/>
            <w:tcMar>
              <w:left w:type="dxa" w:w="144"/>
            </w:tcMar>
            <w:vAlign w:val="bottom"/>
          </w:tcPr>
          <w:p>
            <w:pPr>
              <w:pStyle w:val="style0"/>
              <w:ind w:hanging="0" w:left="216" w:right="58"/>
              <w:jc w:val="right"/>
              <w:rPr>
                <w:rFonts w:ascii="Arial" w:cs="Arial" w:hAnsi="Arial"/>
                <w:b/>
                <w:bCs/>
                <w:sz w:val="15"/>
                <w:szCs w:val="15"/>
              </w:rPr>
            </w:pPr>
            <w:r>
              <w:rPr>
                <w:rFonts w:ascii="Arial" w:cs="Arial" w:hAnsi="Arial"/>
                <w:b/>
                <w:bCs/>
                <w:sz w:val="15"/>
                <w:szCs w:val="15"/>
              </w:rPr>
              <w:t>2013</w:t>
            </w:r>
          </w:p>
        </w:tc>
        <w:tc>
          <w:tcPr>
            <w:tcW w:type="dxa" w:w="1221"/>
            <w:tcBorders>
              <w:top w:val="nil"/>
              <w:left w:val="nil"/>
              <w:bottom w:val="nil"/>
              <w:right w:val="nil"/>
            </w:tcBorders>
            <w:shd w:fill="auto" w:val="clear"/>
            <w:tcMar>
              <w:left w:type="dxa" w:w="144"/>
            </w:tcMar>
            <w:vAlign w:val="bottom"/>
          </w:tcPr>
          <w:p>
            <w:pPr>
              <w:pStyle w:val="style0"/>
              <w:ind w:hanging="0" w:left="216" w:right="58"/>
              <w:jc w:val="right"/>
              <w:rPr>
                <w:rFonts w:ascii="Arial" w:cs="Arial" w:hAnsi="Arial"/>
                <w:b/>
                <w:bCs/>
                <w:sz w:val="15"/>
                <w:szCs w:val="15"/>
              </w:rPr>
            </w:pPr>
            <w:r>
              <w:rPr>
                <w:rFonts w:ascii="Arial" w:cs="Arial" w:hAnsi="Arial"/>
                <w:b/>
                <w:bCs/>
                <w:sz w:val="15"/>
                <w:szCs w:val="15"/>
              </w:rPr>
              <w:t>2012</w:t>
            </w:r>
          </w:p>
        </w:tc>
      </w:tr>
      <w:tr>
        <w:trPr>
          <w:trHeight w:hRule="atLeast" w:val="75"/>
          <w:cantSplit w:val="false"/>
        </w:trPr>
        <w:tc>
          <w:tcPr>
            <w:tcW w:type="dxa" w:w="829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829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Windows Division</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2,086</w:t>
              <w:tab/>
              <w:t> </w:t>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2,444</w:t>
              <w:tab/>
              <w:t> </w:t>
            </w:r>
          </w:p>
        </w:tc>
      </w:tr>
      <w:tr>
        <w:trPr>
          <w:cantSplit w:val="false"/>
        </w:trPr>
        <w:tc>
          <w:tcPr>
            <w:tcW w:type="dxa" w:w="829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Server and Tools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8,639</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7,445</w:t>
              <w:tab/>
            </w:r>
          </w:p>
        </w:tc>
      </w:tr>
      <w:tr>
        <w:trPr>
          <w:cantSplit w:val="false"/>
        </w:trPr>
        <w:tc>
          <w:tcPr>
            <w:tcW w:type="dxa" w:w="829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Microsoft Business Division</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10,142</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9,015</w:t>
              <w:tab/>
            </w:r>
          </w:p>
        </w:tc>
      </w:tr>
      <w:tr>
        <w:trPr>
          <w:cantSplit w:val="false"/>
        </w:trPr>
        <w:tc>
          <w:tcPr>
            <w:tcW w:type="dxa" w:w="829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 segments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1,532</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1,155</w:t>
              <w:tab/>
            </w:r>
          </w:p>
        </w:tc>
      </w:tr>
      <w:tr>
        <w:trPr>
          <w:cantSplit w:val="false"/>
        </w:trPr>
        <w:tc>
          <w:tcPr>
            <w:tcW w:type="dxa" w:w="9579"/>
            <w:gridSpan w:val="2"/>
            <w:tcBorders>
              <w:top w:val="nil"/>
              <w:left w:val="nil"/>
              <w:bottom w:val="nil"/>
              <w:right w:val="nil"/>
            </w:tcBorders>
            <w:shd w:fill="auto" w:val="clear"/>
            <w:tcMar>
              <w:left w:type="dxa" w:w="144"/>
            </w:tcMar>
            <w:vAlign w:val="bottom"/>
          </w:tcPr>
          <w:p>
            <w:pPr>
              <w:pStyle w:val="style59"/>
              <w:spacing w:after="0" w:before="20"/>
              <w:ind w:hanging="0" w:left="-189"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r>
      <w:tr>
        <w:trPr>
          <w:cantSplit w:val="false"/>
        </w:trPr>
        <w:tc>
          <w:tcPr>
            <w:tcW w:type="dxa" w:w="829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  22,399</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 20,059</w:t>
              <w:tab/>
            </w:r>
          </w:p>
        </w:tc>
      </w:tr>
      <w:tr>
        <w:trPr>
          <w:cantSplit w:val="false"/>
        </w:trPr>
        <w:tc>
          <w:tcPr>
            <w:tcW w:type="dxa" w:w="8299"/>
            <w:tcBorders>
              <w:top w:val="nil"/>
              <w:left w:val="nil"/>
              <w:bottom w:val="nil"/>
              <w:right w:val="nil"/>
            </w:tcBorders>
            <w:shd w:fill="auto" w:val="clear"/>
            <w:tcMar>
              <w:left w:type="dxa" w:w="144"/>
            </w:tcMar>
            <w:vAlign w:val="bottom"/>
          </w:tcPr>
          <w:p>
            <w:pPr>
              <w:pStyle w:val="style65"/>
              <w:rPr/>
            </w:pPr>
            <w:r>
              <w:rPr/>
              <w:t> </w:t>
            </w:r>
          </w:p>
        </w:tc>
        <w:tc>
          <w:tcPr>
            <w:tcW w:type="dxa" w:w="1280"/>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r>
    </w:tbl>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15 — OTHER LONG-TERM LIABILITIES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8399"/>
        <w:gridCol w:w="1280"/>
        <w:gridCol w:w="1122"/>
      </w:tblGrid>
      <w:tr>
        <w:trPr>
          <w:tblHeader w:val="true"/>
          <w:cantSplit w:val="false"/>
        </w:trPr>
        <w:tc>
          <w:tcPr>
            <w:tcW w:type="dxa" w:w="8399"/>
            <w:tcBorders>
              <w:top w:val="nil"/>
              <w:left w:val="nil"/>
              <w:bottom w:val="nil"/>
              <w:right w:val="nil"/>
            </w:tcBorders>
            <w:shd w:fill="auto" w:val="clear"/>
            <w:vAlign w:val="center"/>
          </w:tcPr>
          <w:p>
            <w:pPr>
              <w:pStyle w:val="style0"/>
              <w:rPr>
                <w:sz w:val="1"/>
                <w:szCs w:val="24"/>
              </w:rPr>
            </w:pPr>
            <w:r>
              <w:rPr>
                <w:sz w:val="1"/>
                <w:szCs w:val="24"/>
              </w:rPr>
            </w:r>
          </w:p>
        </w:tc>
        <w:tc>
          <w:tcPr>
            <w:tcW w:type="dxa" w:w="1280"/>
            <w:tcBorders>
              <w:top w:val="nil"/>
              <w:left w:val="nil"/>
              <w:bottom w:val="nil"/>
              <w:right w:val="nil"/>
            </w:tcBorders>
            <w:shd w:fill="auto" w:val="clear"/>
            <w:vAlign w:val="center"/>
          </w:tcPr>
          <w:p>
            <w:pPr>
              <w:pStyle w:val="style0"/>
              <w:rPr>
                <w:sz w:val="1"/>
                <w:szCs w:val="24"/>
              </w:rPr>
            </w:pPr>
            <w:r>
              <w:rPr>
                <w:sz w:val="1"/>
                <w:szCs w:val="24"/>
              </w:rPr>
            </w:r>
          </w:p>
        </w:tc>
        <w:tc>
          <w:tcPr>
            <w:tcW w:type="dxa" w:w="112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839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80"/>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122"/>
            <w:tcBorders>
              <w:top w:val="nil"/>
              <w:left w:val="nil"/>
              <w:bottom w:val="nil"/>
              <w:right w:val="nil"/>
            </w:tcBorders>
            <w:shd w:fill="auto" w:val="clear"/>
            <w:tcMar>
              <w:left w:type="dxa" w:w="144"/>
            </w:tcMar>
            <w:vAlign w:val="bottom"/>
          </w:tcPr>
          <w:p>
            <w:pPr>
              <w:pStyle w:val="style65"/>
              <w:ind w:hanging="0" w:left="216" w:right="101"/>
              <w:rPr/>
            </w:pPr>
            <w:r>
              <w:rPr/>
              <w:t> </w:t>
            </w:r>
          </w:p>
        </w:tc>
      </w:tr>
      <w:tr>
        <w:trPr>
          <w:cantSplit w:val="false"/>
        </w:trPr>
        <w:tc>
          <w:tcPr>
            <w:tcW w:type="dxa" w:w="10801"/>
            <w:gridSpan w:val="3"/>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trHeight w:hRule="atLeast" w:val="75"/>
          <w:cantSplit w:val="false"/>
        </w:trPr>
        <w:tc>
          <w:tcPr>
            <w:tcW w:type="dxa" w:w="839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122"/>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839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w:t>
            </w:r>
          </w:p>
        </w:tc>
        <w:tc>
          <w:tcPr>
            <w:tcW w:type="dxa" w:w="1280"/>
            <w:tcBorders>
              <w:top w:val="nil"/>
              <w:left w:val="nil"/>
              <w:bottom w:val="nil"/>
              <w:right w:val="nil"/>
            </w:tcBorders>
            <w:shd w:fill="auto" w:val="clear"/>
            <w:tcMar>
              <w:left w:type="dxa" w:w="144"/>
            </w:tcMar>
            <w:vAlign w:val="bottom"/>
          </w:tcPr>
          <w:p>
            <w:pPr>
              <w:pStyle w:val="style0"/>
              <w:ind w:hanging="0" w:left="216" w:right="58"/>
              <w:jc w:val="right"/>
              <w:rPr>
                <w:rFonts w:ascii="Arial" w:cs="Arial" w:hAnsi="Arial"/>
                <w:b/>
                <w:bCs/>
                <w:sz w:val="15"/>
                <w:szCs w:val="15"/>
              </w:rPr>
            </w:pPr>
            <w:r>
              <w:rPr>
                <w:rFonts w:ascii="Arial" w:cs="Arial" w:hAnsi="Arial"/>
                <w:b/>
                <w:bCs/>
                <w:sz w:val="15"/>
                <w:szCs w:val="15"/>
              </w:rPr>
              <w:t>2013</w:t>
            </w:r>
          </w:p>
        </w:tc>
        <w:tc>
          <w:tcPr>
            <w:tcW w:type="dxa" w:w="1122"/>
            <w:tcBorders>
              <w:top w:val="nil"/>
              <w:left w:val="nil"/>
              <w:bottom w:val="nil"/>
              <w:right w:val="nil"/>
            </w:tcBorders>
            <w:shd w:fill="auto" w:val="clear"/>
            <w:tcMar>
              <w:left w:type="dxa" w:w="144"/>
            </w:tcMar>
            <w:vAlign w:val="bottom"/>
          </w:tcPr>
          <w:p>
            <w:pPr>
              <w:pStyle w:val="style0"/>
              <w:ind w:hanging="0" w:left="216" w:right="58"/>
              <w:jc w:val="right"/>
              <w:rPr>
                <w:rFonts w:ascii="Arial" w:cs="Arial" w:hAnsi="Arial"/>
                <w:b/>
                <w:bCs/>
                <w:sz w:val="15"/>
                <w:szCs w:val="15"/>
              </w:rPr>
            </w:pPr>
            <w:r>
              <w:rPr>
                <w:rFonts w:ascii="Arial" w:cs="Arial" w:hAnsi="Arial"/>
                <w:b/>
                <w:bCs/>
                <w:sz w:val="15"/>
                <w:szCs w:val="15"/>
              </w:rPr>
              <w:t>2012</w:t>
            </w:r>
          </w:p>
        </w:tc>
      </w:tr>
      <w:tr>
        <w:trPr>
          <w:trHeight w:hRule="atLeast" w:val="75"/>
          <w:cantSplit w:val="false"/>
        </w:trPr>
        <w:tc>
          <w:tcPr>
            <w:tcW w:type="dxa" w:w="839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122"/>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839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Tax contingencies and other tax liabilities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9,548</w:t>
              <w:tab/>
              <w:t> </w:t>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7,634</w:t>
              <w:tab/>
              <w:t> </w:t>
            </w:r>
          </w:p>
        </w:tc>
      </w:tr>
      <w:tr>
        <w:trPr>
          <w:cantSplit w:val="false"/>
        </w:trPr>
        <w:tc>
          <w:tcPr>
            <w:tcW w:type="dxa" w:w="839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Legal contingencies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162</w:t>
              <w:tab/>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ab/>
              <w:t>220</w:t>
              <w:tab/>
            </w:r>
          </w:p>
        </w:tc>
      </w:tr>
      <w:tr>
        <w:trPr>
          <w:cantSplit w:val="false"/>
        </w:trPr>
        <w:tc>
          <w:tcPr>
            <w:tcW w:type="dxa" w:w="839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290</w:t>
              <w:tab/>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ab/>
              <w:t>354</w:t>
              <w:tab/>
            </w:r>
          </w:p>
        </w:tc>
      </w:tr>
      <w:tr>
        <w:trPr>
          <w:cantSplit w:val="false"/>
        </w:trPr>
        <w:tc>
          <w:tcPr>
            <w:tcW w:type="dxa" w:w="9679"/>
            <w:gridSpan w:val="2"/>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122"/>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r>
      <w:tr>
        <w:trPr>
          <w:cantSplit w:val="false"/>
        </w:trPr>
        <w:tc>
          <w:tcPr>
            <w:tcW w:type="dxa" w:w="839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  10,000</w:t>
              <w:tab/>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  8,208</w:t>
              <w:tab/>
            </w:r>
          </w:p>
        </w:tc>
      </w:tr>
      <w:tr>
        <w:trPr>
          <w:cantSplit w:val="false"/>
        </w:trPr>
        <w:tc>
          <w:tcPr>
            <w:tcW w:type="dxa" w:w="8399"/>
            <w:tcBorders>
              <w:top w:val="nil"/>
              <w:left w:val="nil"/>
              <w:bottom w:val="nil"/>
              <w:right w:val="nil"/>
            </w:tcBorders>
            <w:shd w:fill="auto" w:val="clear"/>
            <w:tcMar>
              <w:left w:type="dxa" w:w="144"/>
            </w:tcMar>
            <w:vAlign w:val="bottom"/>
          </w:tcPr>
          <w:p>
            <w:pPr>
              <w:pStyle w:val="style65"/>
              <w:rPr/>
            </w:pPr>
            <w:r>
              <w:rPr/>
              <w:t> </w:t>
            </w:r>
          </w:p>
        </w:tc>
        <w:tc>
          <w:tcPr>
            <w:tcW w:type="dxa" w:w="1280"/>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c>
          <w:tcPr>
            <w:tcW w:type="dxa" w:w="1122"/>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r>
    </w:tbl>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16 — COMMITMENTS AND GUARANTEES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Construction and Operating Leases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have committed $694 million for constructing new buildings, building improvements, and leasehold improvements as of June 30, 2013.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We have operating leases for most U.S. and international sales and support offices and certain equipment. Rental expense for facilities operating leases was $711 million, $639 million, and $525 million, in fiscal years 2013, 2012, and 2011, respectively. Future minimum rental commitments under non-cancellable facilities operating leases in place as of June 30, 2013 are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9678"/>
        <w:gridCol w:w="1121"/>
      </w:tblGrid>
      <w:tr>
        <w:trPr>
          <w:tblHeader w:val="true"/>
          <w:cantSplit w:val="false"/>
        </w:trPr>
        <w:tc>
          <w:tcPr>
            <w:tcW w:type="dxa" w:w="9678"/>
            <w:tcBorders>
              <w:top w:val="nil"/>
              <w:left w:val="nil"/>
              <w:bottom w:val="nil"/>
              <w:right w:val="nil"/>
            </w:tcBorders>
            <w:shd w:fill="auto" w:val="clear"/>
            <w:vAlign w:val="center"/>
          </w:tcPr>
          <w:p>
            <w:pPr>
              <w:pStyle w:val="style0"/>
              <w:rPr>
                <w:sz w:val="1"/>
                <w:szCs w:val="24"/>
              </w:rPr>
            </w:pPr>
            <w:r>
              <w:rPr>
                <w:sz w:val="1"/>
                <w:szCs w:val="24"/>
              </w:rPr>
            </w:r>
          </w:p>
        </w:tc>
        <w:tc>
          <w:tcPr>
            <w:tcW w:type="dxa" w:w="112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9678"/>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121"/>
            <w:tcBorders>
              <w:top w:val="nil"/>
              <w:left w:val="nil"/>
              <w:bottom w:val="nil"/>
              <w:right w:val="nil"/>
            </w:tcBorders>
            <w:shd w:fill="auto" w:val="clear"/>
            <w:tcMar>
              <w:left w:type="dxa" w:w="144"/>
            </w:tcMar>
            <w:vAlign w:val="bottom"/>
          </w:tcPr>
          <w:p>
            <w:pPr>
              <w:pStyle w:val="style65"/>
              <w:ind w:hanging="0" w:left="173" w:right="101"/>
              <w:rPr/>
            </w:pPr>
            <w:r>
              <w:rPr/>
              <w:t> </w:t>
            </w:r>
          </w:p>
        </w:tc>
      </w:tr>
      <w:tr>
        <w:trPr>
          <w:cantSplit w:val="false"/>
        </w:trPr>
        <w:tc>
          <w:tcPr>
            <w:tcW w:type="dxa" w:w="10799"/>
            <w:gridSpan w:val="2"/>
            <w:tcBorders>
              <w:top w:val="nil"/>
              <w:left w:val="nil"/>
              <w:bottom w:val="nil"/>
              <w:right w:val="nil"/>
            </w:tcBorders>
            <w:shd w:fill="auto" w:val="clear"/>
            <w:tcMar>
              <w:left w:type="dxa" w:w="144"/>
            </w:tcMar>
            <w:vAlign w:val="bottom"/>
          </w:tcPr>
          <w:p>
            <w:pPr>
              <w:pStyle w:val="style59"/>
              <w:spacing w:after="0" w:before="20"/>
              <w:ind w:hanging="0" w:left="-171" w:right="101"/>
              <w:contextualSpacing w:val="false"/>
              <w:rPr/>
            </w:pPr>
            <w:r>
              <w:rPr/>
              <w:t> </w:t>
            </w:r>
          </w:p>
        </w:tc>
      </w:tr>
      <w:tr>
        <w:trPr>
          <w:trHeight w:hRule="atLeast" w:val="75"/>
          <w:cantSplit w:val="false"/>
        </w:trPr>
        <w:tc>
          <w:tcPr>
            <w:tcW w:type="dxa" w:w="9678"/>
            <w:tcBorders>
              <w:top w:val="nil"/>
              <w:left w:val="nil"/>
              <w:bottom w:val="nil"/>
              <w:right w:val="nil"/>
            </w:tcBorders>
            <w:shd w:fill="auto" w:val="clear"/>
            <w:vAlign w:val="center"/>
          </w:tcPr>
          <w:p>
            <w:pPr>
              <w:pStyle w:val="style0"/>
              <w:rPr>
                <w:sz w:val="8"/>
                <w:szCs w:val="24"/>
              </w:rPr>
            </w:pPr>
            <w:r>
              <w:rPr>
                <w:sz w:val="8"/>
                <w:szCs w:val="24"/>
              </w:rPr>
            </w:r>
          </w:p>
        </w:tc>
        <w:tc>
          <w:tcPr>
            <w:tcW w:type="dxa" w:w="1121"/>
            <w:tcBorders>
              <w:top w:val="nil"/>
              <w:left w:val="nil"/>
              <w:bottom w:val="nil"/>
              <w:right w:val="nil"/>
            </w:tcBorders>
            <w:shd w:fill="auto" w:val="clear"/>
            <w:vAlign w:val="center"/>
          </w:tcPr>
          <w:p>
            <w:pPr>
              <w:pStyle w:val="style0"/>
              <w:ind w:hanging="0" w:left="173" w:right="101"/>
              <w:rPr>
                <w:sz w:val="8"/>
                <w:szCs w:val="24"/>
              </w:rPr>
            </w:pPr>
            <w:r>
              <w:rPr>
                <w:sz w:val="8"/>
                <w:szCs w:val="24"/>
              </w:rPr>
            </w:r>
          </w:p>
        </w:tc>
      </w:tr>
      <w:tr>
        <w:trPr>
          <w:cantSplit w:val="false"/>
        </w:trPr>
        <w:tc>
          <w:tcPr>
            <w:tcW w:type="dxa" w:w="9678"/>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Ending June 30,</w:t>
            </w:r>
          </w:p>
        </w:tc>
        <w:tc>
          <w:tcPr>
            <w:tcW w:type="dxa" w:w="1121"/>
            <w:tcBorders>
              <w:top w:val="nil"/>
              <w:left w:val="nil"/>
              <w:bottom w:val="nil"/>
              <w:right w:val="nil"/>
            </w:tcBorders>
            <w:shd w:fill="auto" w:val="clear"/>
            <w:tcMar>
              <w:left w:type="dxa" w:w="144"/>
            </w:tcMar>
            <w:vAlign w:val="bottom"/>
          </w:tcPr>
          <w:p>
            <w:pPr>
              <w:pStyle w:val="style65"/>
              <w:ind w:hanging="0" w:left="173" w:right="101"/>
              <w:rPr/>
            </w:pPr>
            <w:r>
              <w:rPr/>
              <w:t> </w:t>
            </w:r>
          </w:p>
        </w:tc>
      </w:tr>
      <w:tr>
        <w:trPr>
          <w:trHeight w:hRule="atLeast" w:val="75"/>
          <w:cantSplit w:val="false"/>
        </w:trPr>
        <w:tc>
          <w:tcPr>
            <w:tcW w:type="dxa" w:w="9678"/>
            <w:tcBorders>
              <w:top w:val="nil"/>
              <w:left w:val="nil"/>
              <w:bottom w:val="nil"/>
              <w:right w:val="nil"/>
            </w:tcBorders>
            <w:shd w:fill="auto" w:val="clear"/>
            <w:vAlign w:val="center"/>
          </w:tcPr>
          <w:p>
            <w:pPr>
              <w:pStyle w:val="style0"/>
              <w:rPr>
                <w:sz w:val="8"/>
                <w:szCs w:val="24"/>
              </w:rPr>
            </w:pPr>
            <w:r>
              <w:rPr>
                <w:sz w:val="8"/>
                <w:szCs w:val="24"/>
              </w:rPr>
            </w:r>
          </w:p>
        </w:tc>
        <w:tc>
          <w:tcPr>
            <w:tcW w:type="dxa" w:w="1121"/>
            <w:tcBorders>
              <w:top w:val="nil"/>
              <w:left w:val="nil"/>
              <w:bottom w:val="nil"/>
              <w:right w:val="nil"/>
            </w:tcBorders>
            <w:shd w:fill="auto" w:val="clear"/>
            <w:vAlign w:val="center"/>
          </w:tcPr>
          <w:p>
            <w:pPr>
              <w:pStyle w:val="style0"/>
              <w:ind w:hanging="0" w:left="173" w:right="101"/>
              <w:rPr>
                <w:sz w:val="8"/>
                <w:szCs w:val="24"/>
              </w:rPr>
            </w:pPr>
            <w:r>
              <w:rPr>
                <w:sz w:val="8"/>
                <w:szCs w:val="24"/>
              </w:rPr>
            </w:r>
          </w:p>
        </w:tc>
      </w:tr>
      <w:tr>
        <w:trPr>
          <w:cantSplit w:val="false"/>
        </w:trPr>
        <w:tc>
          <w:tcPr>
            <w:tcW w:type="dxa" w:w="967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2014</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101"/>
              <w:contextualSpacing w:val="false"/>
              <w:rPr>
                <w:rFonts w:ascii="Arial" w:cs="Arial" w:hAnsi="Arial"/>
                <w:sz w:val="20"/>
                <w:szCs w:val="20"/>
              </w:rPr>
            </w:pPr>
            <w:r>
              <w:rPr>
                <w:rFonts w:ascii="Arial" w:cs="Arial" w:hAnsi="Arial"/>
                <w:sz w:val="20"/>
                <w:szCs w:val="20"/>
              </w:rPr>
              <w:t>$</w:t>
              <w:tab/>
              <w:t>572</w:t>
              <w:tab/>
              <w:t> </w:t>
            </w:r>
          </w:p>
        </w:tc>
      </w:tr>
      <w:tr>
        <w:trPr>
          <w:cantSplit w:val="false"/>
        </w:trPr>
        <w:tc>
          <w:tcPr>
            <w:tcW w:type="dxa" w:w="967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2015</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101"/>
              <w:contextualSpacing w:val="false"/>
              <w:rPr>
                <w:rFonts w:ascii="Arial" w:cs="Arial" w:hAnsi="Arial"/>
                <w:sz w:val="20"/>
                <w:szCs w:val="20"/>
              </w:rPr>
            </w:pPr>
            <w:r>
              <w:rPr>
                <w:rFonts w:ascii="Arial" w:cs="Arial" w:hAnsi="Arial"/>
                <w:sz w:val="20"/>
                <w:szCs w:val="20"/>
              </w:rPr>
              <w:tab/>
              <w:t>451</w:t>
              <w:tab/>
            </w:r>
          </w:p>
        </w:tc>
      </w:tr>
      <w:tr>
        <w:trPr>
          <w:cantSplit w:val="false"/>
        </w:trPr>
        <w:tc>
          <w:tcPr>
            <w:tcW w:type="dxa" w:w="967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2016</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101"/>
              <w:contextualSpacing w:val="false"/>
              <w:rPr>
                <w:rFonts w:ascii="Arial" w:cs="Arial" w:hAnsi="Arial"/>
                <w:sz w:val="20"/>
                <w:szCs w:val="20"/>
              </w:rPr>
            </w:pPr>
            <w:r>
              <w:rPr>
                <w:rFonts w:ascii="Arial" w:cs="Arial" w:hAnsi="Arial"/>
                <w:sz w:val="20"/>
                <w:szCs w:val="20"/>
              </w:rPr>
              <w:tab/>
              <w:t>349</w:t>
              <w:tab/>
            </w:r>
          </w:p>
        </w:tc>
      </w:tr>
      <w:tr>
        <w:trPr>
          <w:cantSplit w:val="false"/>
        </w:trPr>
        <w:tc>
          <w:tcPr>
            <w:tcW w:type="dxa" w:w="967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2017</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101"/>
              <w:contextualSpacing w:val="false"/>
              <w:rPr>
                <w:rFonts w:ascii="Arial" w:cs="Arial" w:hAnsi="Arial"/>
                <w:sz w:val="20"/>
                <w:szCs w:val="20"/>
              </w:rPr>
            </w:pPr>
            <w:r>
              <w:rPr>
                <w:rFonts w:ascii="Arial" w:cs="Arial" w:hAnsi="Arial"/>
                <w:sz w:val="20"/>
                <w:szCs w:val="20"/>
              </w:rPr>
              <w:tab/>
              <w:t>281</w:t>
              <w:tab/>
            </w:r>
          </w:p>
        </w:tc>
      </w:tr>
      <w:tr>
        <w:trPr>
          <w:cantSplit w:val="false"/>
        </w:trPr>
        <w:tc>
          <w:tcPr>
            <w:tcW w:type="dxa" w:w="967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2018</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101"/>
              <w:contextualSpacing w:val="false"/>
              <w:rPr>
                <w:rFonts w:ascii="Arial" w:cs="Arial" w:hAnsi="Arial"/>
                <w:sz w:val="20"/>
                <w:szCs w:val="20"/>
              </w:rPr>
            </w:pPr>
            <w:r>
              <w:rPr>
                <w:rFonts w:ascii="Arial" w:cs="Arial" w:hAnsi="Arial"/>
                <w:sz w:val="20"/>
                <w:szCs w:val="20"/>
              </w:rPr>
              <w:tab/>
              <w:t>204</w:t>
              <w:tab/>
            </w:r>
          </w:p>
        </w:tc>
      </w:tr>
      <w:tr>
        <w:trPr>
          <w:cantSplit w:val="false"/>
        </w:trPr>
        <w:tc>
          <w:tcPr>
            <w:tcW w:type="dxa" w:w="967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Thereafter</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101"/>
              <w:contextualSpacing w:val="false"/>
              <w:rPr>
                <w:rFonts w:ascii="Arial" w:cs="Arial" w:hAnsi="Arial"/>
                <w:sz w:val="20"/>
                <w:szCs w:val="20"/>
              </w:rPr>
            </w:pPr>
            <w:r>
              <w:rPr>
                <w:rFonts w:ascii="Arial" w:cs="Arial" w:hAnsi="Arial"/>
                <w:sz w:val="20"/>
                <w:szCs w:val="20"/>
              </w:rPr>
              <w:tab/>
              <w:t>605</w:t>
              <w:tab/>
            </w:r>
          </w:p>
        </w:tc>
      </w:tr>
      <w:tr>
        <w:trPr>
          <w:cantSplit w:val="false"/>
        </w:trPr>
        <w:tc>
          <w:tcPr>
            <w:tcW w:type="dxa" w:w="10799"/>
            <w:gridSpan w:val="2"/>
            <w:tcBorders>
              <w:top w:val="nil"/>
              <w:left w:val="nil"/>
              <w:bottom w:val="nil"/>
              <w:right w:val="nil"/>
            </w:tcBorders>
            <w:shd w:fill="auto" w:val="clear"/>
            <w:tcMar>
              <w:left w:type="dxa" w:w="144"/>
            </w:tcMar>
            <w:vAlign w:val="bottom"/>
          </w:tcPr>
          <w:p>
            <w:pPr>
              <w:pStyle w:val="style59"/>
              <w:spacing w:after="0" w:before="20"/>
              <w:ind w:hanging="0" w:left="-171" w:right="101"/>
              <w:contextualSpacing w:val="false"/>
              <w:rPr/>
            </w:pPr>
            <w:r>
              <w:rPr/>
              <w:t> </w:t>
            </w:r>
          </w:p>
        </w:tc>
      </w:tr>
      <w:tr>
        <w:trPr>
          <w:cantSplit w:val="false"/>
        </w:trPr>
        <w:tc>
          <w:tcPr>
            <w:tcW w:type="dxa" w:w="967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101"/>
              <w:contextualSpacing w:val="false"/>
              <w:rPr>
                <w:rFonts w:ascii="Arial" w:cs="Arial" w:hAnsi="Arial"/>
                <w:sz w:val="20"/>
                <w:szCs w:val="20"/>
              </w:rPr>
            </w:pPr>
            <w:r>
              <w:rPr>
                <w:rFonts w:ascii="Arial" w:cs="Arial" w:hAnsi="Arial"/>
                <w:sz w:val="20"/>
                <w:szCs w:val="20"/>
              </w:rPr>
              <w:t>$</w:t>
              <w:tab/>
              <w:t>  2,462</w:t>
              <w:tab/>
            </w:r>
          </w:p>
        </w:tc>
      </w:tr>
      <w:tr>
        <w:trPr>
          <w:cantSplit w:val="false"/>
        </w:trPr>
        <w:tc>
          <w:tcPr>
            <w:tcW w:type="dxa" w:w="9678"/>
            <w:tcBorders>
              <w:top w:val="nil"/>
              <w:left w:val="nil"/>
              <w:bottom w:val="nil"/>
              <w:right w:val="nil"/>
            </w:tcBorders>
            <w:shd w:fill="auto" w:val="clear"/>
            <w:tcMar>
              <w:left w:type="dxa" w:w="144"/>
            </w:tcMar>
            <w:vAlign w:val="bottom"/>
          </w:tcPr>
          <w:p>
            <w:pPr>
              <w:pStyle w:val="style65"/>
              <w:rPr/>
            </w:pPr>
            <w:r>
              <w:rPr/>
              <w:t> </w:t>
            </w:r>
          </w:p>
        </w:tc>
        <w:tc>
          <w:tcPr>
            <w:tcW w:type="dxa" w:w="1121"/>
            <w:tcBorders>
              <w:top w:val="nil"/>
              <w:left w:val="nil"/>
              <w:bottom w:val="nil"/>
              <w:right w:val="nil"/>
            </w:tcBorders>
            <w:shd w:fill="auto" w:val="clear"/>
            <w:tcMar>
              <w:left w:type="dxa" w:w="144"/>
            </w:tcMar>
            <w:vAlign w:val="bottom"/>
          </w:tcPr>
          <w:p>
            <w:pPr>
              <w:pStyle w:val="style63"/>
              <w:spacing w:after="0" w:before="20"/>
              <w:ind w:hanging="0" w:left="173" w:right="101"/>
              <w:contextualSpacing w:val="false"/>
              <w:rPr/>
            </w:pPr>
            <w:r>
              <w:rPr/>
              <w:t> </w:t>
            </w:r>
          </w:p>
        </w:tc>
      </w:tr>
    </w:tbl>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Indemnifications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provide indemnifications of varying scope and size to certain customers against claims of intellectual property infringement made by third parties arising from the use of our products and certain other matters. We evaluate estimated losses for these indemnifications, and we consider such factors as the degree of probability of an unfavorable outcome and the ability to make a reasonable estimate of the amount of loss. To date, we have not encountered significant costs as a result of these obligations and have not accrued any liabilities related to these indemnifications in our financial statements.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17 — CONTINGENCIES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Antitrust, Unfair Competition, and Overcharge Class Actions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 large number of antitrust and unfair competition class action lawsuits were filed against us in various state, federal, and Canadian courts on behalf of various classes of direct and indirect purchasers of our PC operating system and certain other software products between 1999 and 2005. We obtained dismissals or reached settlements of all claims made in the United States.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All settlements in the United States have received final court approval. Under the settlements, generally class members can obtain vouchers that entitle them to be reimbursed for purchases of a wide variety of platform-neutral computer hardware and software. The total value of vouchers we may issue varies by state. We will make available to certain schools a percentage of those vouchers that are not issued or claimed (one-half to two-thirds depending on the state). The total value of vouchers we ultimately issue will depend on the number of class members who make claims and are issued vouchers. The maximum value of vouchers to be issued is approximately $2.7 billion. The actual costs of these settlements will be less than that maximum amount, depending on the number of class members and schools that are issued and redeem vouchers. We estimate the total cost to resolve all of the state overcharge class action cases will range between $1.9 billion and $2.0 billion. At June 30, 2013, we have recorded a liability related to these claims of approximately $500 million, which reflects our estimated exposure of $1.9 billion less payments made to date of approximately $1.4 billion mostly for vouchers, legal fees, and administrative expenses.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three cases pending in British Columbia, Ontario, and Quebec, Canada have not been settled. In March 2010, the court in the British Columbia case certified it as a class action. In April 2011, the British Columbia Court of Appeal reversed the class certification ruling and dismissed the case, holding that indirect purchasers do not have a claim. The plaintiffs have filed an appeal to the Canadian Supreme Court, which was heard in the fall of 2012. The other two actions have been stayed.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Other Antitrust Litigation and Claims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November 2004, Novell, Inc. (“Novell”) filed a complaint in U.S. District Court for the District of Utah (later transferred to federal court in Maryland), asserting antitrust and unfair competition claims against us related to Novell’s ownership of WordPerfect and other productivity applications during the period between June 1994 and March 1996. In June 2005, the trial court granted our motion to dismiss four of Novell’s six claims. In March 2010, the trial court granted summary judgment in favor of Microsoft as to all remaining claims. The court of appeals reversed that ruling as to one claim. Trial of that claim took place from October to December 2011 and resulted in a mistrial because the jury was unable to reach a verdict. In July 2012, the trial court granted Microsoft’s motion for judgment as a matter of law. Novell has appealed this decision to the U.S. Court of Appeals for the Tenth Circuit, which heard oral arguments in May 2013.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Patent and Intellectual Property Claims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Motorola Litigation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October 2010, Microsoft filed patent infringement complaints against Motorola Mobility (“Motorola”) with the International Trade Commission (“ITC”) and in U.S. District Court in Seattle for infringement of nine Microsoft patents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by Motorola’s Android devices. Since then, Microsoft and Motorola have filed additional claims against each other in the ITC, in federal district courts in Seattle, Wisconsin, Florida, and California, and in courts in Germany and the United Kingdom. In April 2012, following complaints by Microsoft and Apple, the European Union’s competition office opened two antitrust investigations against Motorola to determine whether it has abused certain of its standard essential patents to distort competition in breach of European Union antitrust rules. In June 2012, we received a request for information from the U.S. Federal Trade Commission (“FTC”) apparently related to an FTC investigation into whether Motorola’s conduct violates U.S. law. The nature of the claims asserted and status of individual matters are summarized below. </w:t>
      </w:r>
    </w:p>
    <w:p>
      <w:pPr>
        <w:pStyle w:val="style62"/>
        <w:spacing w:after="280" w:before="280"/>
        <w:contextualSpacing w:val="false"/>
        <w:jc w:val="both"/>
        <w:rPr>
          <w:rFonts w:ascii="Arial" w:cs="Arial" w:hAnsi="Arial"/>
          <w:sz w:val="20"/>
          <w:szCs w:val="20"/>
          <w:u w:val="single"/>
        </w:rPr>
      </w:pPr>
      <w:r>
        <w:rPr>
          <w:rFonts w:ascii="Arial" w:cs="Arial" w:hAnsi="Arial"/>
          <w:sz w:val="20"/>
          <w:szCs w:val="20"/>
          <w:u w:val="single"/>
        </w:rPr>
        <w:t xml:space="preserve">International Trade Commission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hearing in Microsoft’s ITC case against Motorola took place in August 2011 on seven of the nine patents originally asserted in the complaint. In December 2011, the administrative law judge (“ALJ”) issued an initial determination that Motorola infringed one Microsoft patent, and recommended that the ITC issue a limited exclusion order against Motorola prohibiting importation of infringing Motorola Android devices. In May 2012, the ITC issued the limited exclusion order recommended by the ALJ, which became effective on July 18, 2012. Microsoft has appealed certain aspects of the ITC ruling adverse to Microsoft and Motorola has appealed the ITC exclusion order to the Court of Appeals for the Federal Circuit. In addition, in July 2013, Microsoft filed an action in U.S. district court in Washington, D.C. seeking an order to compel enforcement of the ITC’s May 2012 import ban against infringing Motorola products by the Bureau of Customs and Border Protection (“CBP”), after learning that CBP had failed to fully enforce the order.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November 2010, Motorola filed an action against Microsoft in the ITC alleging infringement of five Motorola patents by Xbox consoles and accessories and seeking an exclusion order to prohibit importation of the allegedly infringing Xbox products into the U.S. In April 2012, the ALJ found that Xbox products infringe four of the five patents asserted by Motorola. The ALJ recommended that the ITC issue a limited exclusion order and a cease and desist order. Both Microsoft and Motorola sought ITC review of the ALJ’s findings. In June 2012, Microsoft filed a motion to terminate the investigation as to certain patents based on facts arising as the result of Google’s acquisition of Motorola. The ITC determined that it would review the ALJ’s initial determination in its entirety and remanded the matter to the ALJ (1) to apply certain ITC case precedent, (2) to rule on Microsoft’s June 2012 motion to terminate, and (3) set a new target date for completion of the investigation. The ALJ held a hearing in December 2012 and set a target date for a final ITC ruling in July 2013. At Motorola’s request, the ITC terminated its investigation as to four Motorola patents, leaving only one Motorola patent at issue before the ITC. In March 2013, the ALJ ruled that there has been no violation as to the remaining Motorola patent. Motorola sought ITC review of the ALJ’s determination, which the ITC denied in May 2013. </w:t>
      </w:r>
    </w:p>
    <w:p>
      <w:pPr>
        <w:pStyle w:val="style62"/>
        <w:spacing w:after="280" w:before="280"/>
        <w:contextualSpacing w:val="false"/>
        <w:jc w:val="both"/>
        <w:rPr>
          <w:rFonts w:ascii="Arial" w:cs="Arial" w:hAnsi="Arial"/>
          <w:sz w:val="20"/>
          <w:szCs w:val="20"/>
          <w:u w:val="single"/>
        </w:rPr>
      </w:pPr>
      <w:r>
        <w:rPr>
          <w:rFonts w:ascii="Arial" w:cs="Arial" w:hAnsi="Arial"/>
          <w:sz w:val="20"/>
          <w:szCs w:val="20"/>
          <w:u w:val="single"/>
        </w:rPr>
        <w:t xml:space="preserve">U.S. District Court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Seattle District Court case filed in October 2010 by Microsoft as a companion to Microsoft’s ITC case against Motorola has been stayed pending the outcome of Microsoft’s ITC case.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November 2010, Microsoft sued Motorola for breach of contract in U.S. District Court in Seattle, alleging that Motorola breached its commitments to standards-setting organizations to license to Microsoft certain patents on reasonable and non-discriminatory (“RAND”) terms and conditions. Motorola has declared these patents essential to the implementation of the H.264 video standard and the 802.11 Wi-Fi standard. In suits described below, Motorola or a Motorola affiliate subsequently sued Microsoft on those patents in U.S. District Courts, in the ITC, and in Germany. In February 2012, the Seattle District Court granted a partial summary judgment in favor of Microsoft ruling that (1) Motorola entered into binding contractual commitments with standards organizations committing to license its declared-essential patents on RAND terms and conditions; and (2) Microsoft is a third-party beneficiary of those commitments. The court rejected Motorola’s argument that Microsoft had repudiated its right to a RAND license, and ruled a trial is needed to determine whether Motorola is in breach of its obligation to enter into a patent license with Microsoft and, if so, the amount of the RAND royalty. In April 2012, the court issued a temporary restraining order preventing Motorola from taking steps to enforce an injunction in Germany relating to the H.264 video patents. In May 2012, the court converted that order into a preliminary injunction. Motorola appealed the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court’s injunction orders to the Court of Appeals for the Ninth Circuit, which affirmed the orders in September 2012. The Seattle District Court held a trial in November 2012 to determine the RAND royalty for Motorola’s H.264 and 802.11 patents. In December 2012, the Seattle District Court ruled that Motorola could not obtain injunctive relief in connection with any of its claims for infringement of its H.264 and 802.11 patents. In April 2013, the court set per unit royalties for Motorola’s H.264 and 802.11 patents, which resulted in an immaterial Microsoft liability. Trial of Microsoft’s breach of contract claim is set for August 26, 2013.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Cases filed by Motorola in Wisconsin, California, and Florida, with the exception of one currently stayed case in Wisconsin (a companion case to Motorola’s ITC action), have been transferred to the U.S District Court in Seattle. Motorola and Microsoft both seek damages as well as injunctive relief. No trial dates have been set in any of the transferred cases, and the court has stayed these cases on agreement of the parties. </w:t>
      </w:r>
    </w:p>
    <w:p>
      <w:pPr>
        <w:pStyle w:val="style62"/>
        <w:spacing w:after="280" w:before="280"/>
        <w:ind w:hanging="360" w:left="806"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In the transferred cases, Motorola asserts 15 patents are infringed by many Microsoft products including Windows Mobile 6.5 and Windows Phone 7, Windows Marketplace, Silverlight, Windows Vista and Windows 7, Exchange Server 2003 and later, Exchange ActiveSync, Windows Live Messenger, Lync Server 2010, Outlook 2010, Office 365, SQL Server, Internet Explorer 9, Xbox, and Kinect. </w:t>
      </w:r>
    </w:p>
    <w:p>
      <w:pPr>
        <w:pStyle w:val="style62"/>
        <w:spacing w:after="280" w:before="280"/>
        <w:ind w:hanging="360" w:left="806"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In the Motorola action originally filed in California, Motorola asserts that Microsoft violated antitrust laws in connection with Microsoft’s assertion of patents against Motorola that Microsoft has agreed to license to certain qualifying entities on RAND terms and conditions. </w:t>
      </w:r>
    </w:p>
    <w:p>
      <w:pPr>
        <w:pStyle w:val="style62"/>
        <w:spacing w:after="280" w:before="280"/>
        <w:ind w:hanging="360" w:left="806"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In counterclaims in the patent actions brought by Motorola, Microsoft asserts 14 patents are infringed by Motorola Android devices and certain Motorola digital video recorders. </w:t>
      </w:r>
    </w:p>
    <w:p>
      <w:pPr>
        <w:pStyle w:val="style62"/>
        <w:spacing w:after="280" w:before="280"/>
        <w:contextualSpacing w:val="false"/>
        <w:jc w:val="both"/>
        <w:rPr>
          <w:rFonts w:ascii="Arial" w:cs="Arial" w:hAnsi="Arial"/>
          <w:sz w:val="20"/>
          <w:szCs w:val="20"/>
          <w:u w:val="single"/>
        </w:rPr>
      </w:pPr>
      <w:r>
        <w:rPr>
          <w:rFonts w:ascii="Arial" w:cs="Arial" w:hAnsi="Arial"/>
          <w:sz w:val="20"/>
          <w:szCs w:val="20"/>
          <w:u w:val="single"/>
        </w:rPr>
        <w:t xml:space="preserve">Germany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In July 2011, Motorola filed patent infringement actions in Germany against Microsoft and several Microsoft subsidiaries. </w:t>
      </w:r>
    </w:p>
    <w:p>
      <w:pPr>
        <w:pStyle w:val="style62"/>
        <w:spacing w:after="280" w:before="280"/>
        <w:ind w:hanging="360" w:left="806"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Two of the patents are asserted by Motorola to be essential to implementation of the H.264 video standard, and Motorola alleges that H.264 capable products including Xbox 360, Windows 7, Media Player, and Internet Explorer infringe those patents. Motorola seeks damages and an injunction. In May 2012, the court issued an injunction relating to all H.264 capable Microsoft products in Germany. However, due to orders in the separate litigation pending in Seattle, Washington described above, Motorola is enjoined from taking steps to enforce the German injunction. Damages would be determined in later proceedings. Microsoft has appealed the rulings of the first instance court. </w:t>
      </w:r>
    </w:p>
    <w:p>
      <w:pPr>
        <w:pStyle w:val="style62"/>
        <w:spacing w:after="280" w:before="280"/>
        <w:ind w:hanging="360" w:left="806"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Motorola asserts one of the patents covers certain syncing functionality in the ActiveSync protocol employed by Windows Phone 7, Outlook Mobile, Hotmail Mobile, Exchange Online, Exchange Server, and Hotmail Server. Motorola seeks damages and an injunction. In April 2013, the court stayed the case pending the outcome of parallel proceedings in which Microsoft is seeking to invalidate the patent. </w:t>
      </w:r>
    </w:p>
    <w:p>
      <w:pPr>
        <w:pStyle w:val="style62"/>
        <w:spacing w:after="280" w:before="280"/>
        <w:ind w:hanging="360" w:left="806"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Should an injunction order be issued and enforced by Motorola, Microsoft may be able to mitigate the adverse impact by altering its products to avoid Motorola’s infringement claims.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lawsuits Microsoft filed in Germany in September, October, and December 2011 and in April 2012, Microsoft asserts Motorola Android devices infringe Microsoft patents. Microsoft seeks damages and an injunction. In May, July, and September 2012, courts in Germany issued injunctions on three patents against Motorola Android devices and in May and July ruled against Microsoft on two patents. Microsoft is taking steps to enforce the injunctions. Damages will be determined in later proceedings. Each party has appealed or is expected to appeal the rulings against it. Motorola is also seeking to invalidate Microsoft’s patents in parallel court proceedings. </w:t>
      </w:r>
    </w:p>
    <w:p>
      <w:pPr>
        <w:pStyle w:val="style62"/>
        <w:spacing w:after="280" w:before="280"/>
        <w:contextualSpacing w:val="false"/>
        <w:jc w:val="both"/>
        <w:rPr>
          <w:rFonts w:ascii="Arial" w:cs="Arial" w:hAnsi="Arial"/>
          <w:sz w:val="20"/>
          <w:szCs w:val="20"/>
          <w:u w:val="single"/>
        </w:rPr>
      </w:pPr>
      <w:r>
        <w:rPr>
          <w:rFonts w:ascii="Arial" w:cs="Arial" w:hAnsi="Arial"/>
          <w:sz w:val="20"/>
          <w:szCs w:val="20"/>
          <w:u w:val="single"/>
        </w:rPr>
        <w:t xml:space="preserve">United Kingdom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December 2011, Microsoft filed an action against Motorola in the High Court of Justice, Chancery Division, Patents Court, in London, England, seeking to revoke the UK part of the European patent asserted by Motorola in Germany against the ActiveSync protocol. In February 2012, Motorola counterclaimed alleging infringement of the patent and </w:t>
      </w:r>
    </w:p>
    <w:p>
      <w:pPr>
        <w:pStyle w:val="style62"/>
        <w:pageBreakBefore/>
        <w:spacing w:after="280" w:before="280"/>
        <w:contextualSpacing w:val="false"/>
        <w:jc w:val="both"/>
        <w:rPr>
          <w:rFonts w:ascii="Arial" w:cs="Arial" w:hAnsi="Arial"/>
          <w:sz w:val="20"/>
          <w:szCs w:val="20"/>
        </w:rPr>
      </w:pPr>
      <w:r>
        <w:rPr>
          <w:rFonts w:ascii="Arial" w:cs="Arial" w:hAnsi="Arial"/>
          <w:sz w:val="20"/>
          <w:szCs w:val="20"/>
        </w:rPr>
        <w:t xml:space="preserve">seeking damages and an injunction. A trial took place in December 2012, and the court ruled that Motorola’s patent is invalid and revoked. The court also ruled that the patent, even if valid, would be licensed under the grant-back clause in Google’s ActiveSync license. Motorola has appealed.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Other Patent and Intellectual Property Claims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addition to these cases, there are approximately 65 other patent infringement cases pending against Microsoft.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Other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also are subject to a variety of other claims and suits that arise from time to time in the ordinary course of our business. Although management currently believes that resolving claims against us, individually or in aggregate, will not have a material adverse impact on our financial statements, these matters are subject to inherent uncertainties and management’s view of these matters may change in the future.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As of June 30, 2013, we had accrued aggregate liabilities of $412 million in other current liabilities and $162 million in other long-term liabilities for all of our legal matters that were contingencies as of that date. While we intend to defend these matters vigorously, adverse outcomes that we estimate could reach approximately $400 million in aggregate beyond recorded amounts are reasonably possible. Were unfavorable final outcomes to occur, there exists the possibility of a material adverse impact on our financial statements for the period in which the effects become reasonably estimable.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18 — STOCKHOLDERS’ EQUITY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Shares Outstanding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Shares of common stock outstanding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8026"/>
        <w:gridCol w:w="950"/>
        <w:gridCol w:w="911"/>
        <w:gridCol w:w="912"/>
      </w:tblGrid>
      <w:tr>
        <w:trPr>
          <w:tblHeader w:val="true"/>
          <w:cantSplit w:val="false"/>
        </w:trPr>
        <w:tc>
          <w:tcPr>
            <w:tcW w:type="dxa" w:w="8026"/>
            <w:tcBorders>
              <w:top w:val="nil"/>
              <w:left w:val="nil"/>
              <w:bottom w:val="nil"/>
              <w:right w:val="nil"/>
            </w:tcBorders>
            <w:shd w:fill="auto" w:val="clear"/>
            <w:vAlign w:val="center"/>
          </w:tcPr>
          <w:p>
            <w:pPr>
              <w:pStyle w:val="style0"/>
              <w:rPr>
                <w:sz w:val="1"/>
                <w:szCs w:val="24"/>
              </w:rPr>
            </w:pPr>
            <w:r>
              <w:rPr>
                <w:sz w:val="1"/>
                <w:szCs w:val="24"/>
              </w:rPr>
            </w:r>
          </w:p>
        </w:tc>
        <w:tc>
          <w:tcPr>
            <w:tcW w:type="dxa" w:w="950"/>
            <w:tcBorders>
              <w:top w:val="nil"/>
              <w:left w:val="nil"/>
              <w:bottom w:val="nil"/>
              <w:right w:val="nil"/>
            </w:tcBorders>
            <w:shd w:fill="auto" w:val="clear"/>
            <w:vAlign w:val="center"/>
          </w:tcPr>
          <w:p>
            <w:pPr>
              <w:pStyle w:val="style0"/>
              <w:rPr>
                <w:sz w:val="1"/>
                <w:szCs w:val="24"/>
              </w:rPr>
            </w:pPr>
            <w:r>
              <w:rPr>
                <w:sz w:val="1"/>
                <w:szCs w:val="24"/>
              </w:rPr>
            </w:r>
          </w:p>
        </w:tc>
        <w:tc>
          <w:tcPr>
            <w:tcW w:type="dxa" w:w="911"/>
            <w:tcBorders>
              <w:top w:val="nil"/>
              <w:left w:val="nil"/>
              <w:bottom w:val="nil"/>
              <w:right w:val="nil"/>
            </w:tcBorders>
            <w:shd w:fill="auto" w:val="clear"/>
            <w:vAlign w:val="center"/>
          </w:tcPr>
          <w:p>
            <w:pPr>
              <w:pStyle w:val="style0"/>
              <w:rPr>
                <w:sz w:val="1"/>
                <w:szCs w:val="24"/>
              </w:rPr>
            </w:pPr>
            <w:r>
              <w:rPr>
                <w:sz w:val="1"/>
                <w:szCs w:val="24"/>
              </w:rPr>
            </w:r>
          </w:p>
        </w:tc>
        <w:tc>
          <w:tcPr>
            <w:tcW w:type="dxa" w:w="91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802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950"/>
            <w:tcBorders>
              <w:top w:val="nil"/>
              <w:left w:val="nil"/>
              <w:bottom w:val="nil"/>
              <w:right w:val="nil"/>
            </w:tcBorders>
            <w:shd w:fill="auto" w:val="clear"/>
            <w:tcMar>
              <w:left w:type="dxa" w:w="144"/>
            </w:tcMar>
            <w:vAlign w:val="bottom"/>
          </w:tcPr>
          <w:p>
            <w:pPr>
              <w:pStyle w:val="style65"/>
              <w:ind w:hanging="0" w:left="202" w:right="101"/>
              <w:rPr/>
            </w:pPr>
            <w:r>
              <w:rPr/>
              <w:t> </w:t>
            </w:r>
          </w:p>
        </w:tc>
        <w:tc>
          <w:tcPr>
            <w:tcW w:type="dxa" w:w="911"/>
            <w:tcBorders>
              <w:top w:val="nil"/>
              <w:left w:val="nil"/>
              <w:bottom w:val="nil"/>
              <w:right w:val="nil"/>
            </w:tcBorders>
            <w:shd w:fill="auto" w:val="clear"/>
            <w:tcMar>
              <w:left w:type="dxa" w:w="144"/>
            </w:tcMar>
            <w:vAlign w:val="bottom"/>
          </w:tcPr>
          <w:p>
            <w:pPr>
              <w:pStyle w:val="style65"/>
              <w:ind w:hanging="0" w:left="202" w:right="101"/>
              <w:rPr/>
            </w:pPr>
            <w:r>
              <w:rPr/>
              <w:t> </w:t>
            </w:r>
          </w:p>
        </w:tc>
        <w:tc>
          <w:tcPr>
            <w:tcW w:type="dxa" w:w="912"/>
            <w:tcBorders>
              <w:top w:val="nil"/>
              <w:left w:val="nil"/>
              <w:bottom w:val="nil"/>
              <w:right w:val="nil"/>
            </w:tcBorders>
            <w:shd w:fill="auto" w:val="clear"/>
            <w:tcMar>
              <w:left w:type="dxa" w:w="144"/>
            </w:tcMar>
            <w:vAlign w:val="bottom"/>
          </w:tcPr>
          <w:p>
            <w:pPr>
              <w:pStyle w:val="style65"/>
              <w:ind w:hanging="0" w:left="202" w:right="101"/>
              <w:rPr/>
            </w:pPr>
            <w:r>
              <w:rPr/>
              <w:t> </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162" w:right="101"/>
              <w:contextualSpacing w:val="false"/>
              <w:rPr/>
            </w:pPr>
            <w:r>
              <w:rPr/>
              <w:t> </w:t>
            </w:r>
          </w:p>
        </w:tc>
      </w:tr>
      <w:tr>
        <w:trPr>
          <w:trHeight w:hRule="atLeast" w:val="75"/>
          <w:cantSplit w:val="false"/>
        </w:trPr>
        <w:tc>
          <w:tcPr>
            <w:tcW w:type="dxa" w:w="8026"/>
            <w:tcBorders>
              <w:top w:val="nil"/>
              <w:left w:val="nil"/>
              <w:bottom w:val="nil"/>
              <w:right w:val="nil"/>
            </w:tcBorders>
            <w:shd w:fill="auto" w:val="clear"/>
            <w:vAlign w:val="center"/>
          </w:tcPr>
          <w:p>
            <w:pPr>
              <w:pStyle w:val="style0"/>
              <w:rPr>
                <w:sz w:val="8"/>
                <w:szCs w:val="24"/>
              </w:rPr>
            </w:pPr>
            <w:r>
              <w:rPr>
                <w:sz w:val="8"/>
                <w:szCs w:val="24"/>
              </w:rPr>
            </w:r>
          </w:p>
        </w:tc>
        <w:tc>
          <w:tcPr>
            <w:tcW w:type="dxa" w:w="950"/>
            <w:tcBorders>
              <w:top w:val="nil"/>
              <w:left w:val="nil"/>
              <w:bottom w:val="nil"/>
              <w:right w:val="nil"/>
            </w:tcBorders>
            <w:shd w:fill="auto" w:val="clear"/>
            <w:vAlign w:val="center"/>
          </w:tcPr>
          <w:p>
            <w:pPr>
              <w:pStyle w:val="style0"/>
              <w:ind w:hanging="0" w:left="202" w:right="72"/>
              <w:rPr>
                <w:sz w:val="8"/>
                <w:szCs w:val="24"/>
              </w:rPr>
            </w:pPr>
            <w:r>
              <w:rPr>
                <w:sz w:val="8"/>
                <w:szCs w:val="24"/>
              </w:rPr>
            </w:r>
          </w:p>
        </w:tc>
        <w:tc>
          <w:tcPr>
            <w:tcW w:type="dxa" w:w="911"/>
            <w:tcBorders>
              <w:top w:val="nil"/>
              <w:left w:val="nil"/>
              <w:bottom w:val="nil"/>
              <w:right w:val="nil"/>
            </w:tcBorders>
            <w:shd w:fill="auto" w:val="clear"/>
            <w:vAlign w:val="center"/>
          </w:tcPr>
          <w:p>
            <w:pPr>
              <w:pStyle w:val="style0"/>
              <w:ind w:hanging="0" w:left="202" w:right="72"/>
              <w:rPr>
                <w:sz w:val="8"/>
                <w:szCs w:val="24"/>
              </w:rPr>
            </w:pPr>
            <w:r>
              <w:rPr>
                <w:sz w:val="8"/>
                <w:szCs w:val="24"/>
              </w:rPr>
            </w:r>
          </w:p>
        </w:tc>
        <w:tc>
          <w:tcPr>
            <w:tcW w:type="dxa" w:w="912"/>
            <w:tcBorders>
              <w:top w:val="nil"/>
              <w:left w:val="nil"/>
              <w:bottom w:val="nil"/>
              <w:right w:val="nil"/>
            </w:tcBorders>
            <w:shd w:fill="auto" w:val="clear"/>
            <w:vAlign w:val="center"/>
          </w:tcPr>
          <w:p>
            <w:pPr>
              <w:pStyle w:val="style0"/>
              <w:ind w:hanging="0" w:left="202" w:right="101"/>
              <w:rPr>
                <w:sz w:val="8"/>
                <w:szCs w:val="24"/>
              </w:rPr>
            </w:pPr>
            <w:r>
              <w:rPr>
                <w:sz w:val="8"/>
                <w:szCs w:val="24"/>
              </w:rPr>
            </w:r>
          </w:p>
        </w:tc>
      </w:tr>
      <w:tr>
        <w:trPr>
          <w:cantSplit w:val="false"/>
        </w:trPr>
        <w:tc>
          <w:tcPr>
            <w:tcW w:type="dxa" w:w="802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950"/>
            <w:tcBorders>
              <w:top w:val="nil"/>
              <w:left w:val="nil"/>
              <w:bottom w:val="nil"/>
              <w:right w:val="nil"/>
            </w:tcBorders>
            <w:shd w:fill="auto" w:val="clear"/>
            <w:tcMar>
              <w:left w:type="dxa" w:w="144"/>
            </w:tcMar>
            <w:vAlign w:val="bottom"/>
          </w:tcPr>
          <w:p>
            <w:pPr>
              <w:pStyle w:val="style0"/>
              <w:ind w:hanging="0" w:left="230" w:right="94"/>
              <w:jc w:val="right"/>
              <w:rPr>
                <w:rFonts w:ascii="Arial" w:cs="Arial" w:hAnsi="Arial"/>
                <w:b/>
                <w:bCs/>
                <w:sz w:val="15"/>
                <w:szCs w:val="15"/>
              </w:rPr>
            </w:pPr>
            <w:r>
              <w:rPr>
                <w:rFonts w:ascii="Arial" w:cs="Arial" w:hAnsi="Arial"/>
                <w:b/>
                <w:bCs/>
                <w:sz w:val="15"/>
                <w:szCs w:val="15"/>
              </w:rPr>
              <w:t>2013</w:t>
            </w:r>
          </w:p>
        </w:tc>
        <w:tc>
          <w:tcPr>
            <w:tcW w:type="dxa" w:w="911"/>
            <w:tcBorders>
              <w:top w:val="nil"/>
              <w:left w:val="nil"/>
              <w:bottom w:val="nil"/>
              <w:right w:val="nil"/>
            </w:tcBorders>
            <w:shd w:fill="auto" w:val="clear"/>
            <w:tcMar>
              <w:left w:type="dxa" w:w="144"/>
            </w:tcMar>
            <w:vAlign w:val="bottom"/>
          </w:tcPr>
          <w:p>
            <w:pPr>
              <w:pStyle w:val="style0"/>
              <w:ind w:hanging="0" w:left="202" w:right="72"/>
              <w:jc w:val="right"/>
              <w:rPr>
                <w:rFonts w:ascii="Arial" w:cs="Arial" w:hAnsi="Arial"/>
                <w:b/>
                <w:bCs/>
                <w:sz w:val="15"/>
                <w:szCs w:val="15"/>
              </w:rPr>
            </w:pPr>
            <w:r>
              <w:rPr>
                <w:rFonts w:ascii="Arial" w:cs="Arial" w:hAnsi="Arial"/>
                <w:b/>
                <w:bCs/>
                <w:sz w:val="15"/>
                <w:szCs w:val="15"/>
              </w:rPr>
              <w:t>2012</w:t>
            </w:r>
          </w:p>
        </w:tc>
        <w:tc>
          <w:tcPr>
            <w:tcW w:type="dxa" w:w="912"/>
            <w:tcBorders>
              <w:top w:val="nil"/>
              <w:left w:val="nil"/>
              <w:bottom w:val="nil"/>
              <w:right w:val="nil"/>
            </w:tcBorders>
            <w:shd w:fill="auto" w:val="clear"/>
            <w:tcMar>
              <w:left w:type="dxa" w:w="144"/>
            </w:tcMar>
            <w:vAlign w:val="bottom"/>
          </w:tcPr>
          <w:p>
            <w:pPr>
              <w:pStyle w:val="style0"/>
              <w:ind w:hanging="0" w:left="202" w:right="72"/>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8026"/>
            <w:tcBorders>
              <w:top w:val="nil"/>
              <w:left w:val="nil"/>
              <w:bottom w:val="nil"/>
              <w:right w:val="nil"/>
            </w:tcBorders>
            <w:shd w:fill="auto" w:val="clear"/>
            <w:vAlign w:val="center"/>
          </w:tcPr>
          <w:p>
            <w:pPr>
              <w:pStyle w:val="style0"/>
              <w:rPr>
                <w:sz w:val="8"/>
                <w:szCs w:val="24"/>
              </w:rPr>
            </w:pPr>
            <w:r>
              <w:rPr>
                <w:sz w:val="8"/>
                <w:szCs w:val="24"/>
              </w:rPr>
            </w:r>
          </w:p>
        </w:tc>
        <w:tc>
          <w:tcPr>
            <w:tcW w:type="dxa" w:w="950"/>
            <w:tcBorders>
              <w:top w:val="nil"/>
              <w:left w:val="nil"/>
              <w:bottom w:val="nil"/>
              <w:right w:val="nil"/>
            </w:tcBorders>
            <w:shd w:fill="auto" w:val="clear"/>
            <w:vAlign w:val="center"/>
          </w:tcPr>
          <w:p>
            <w:pPr>
              <w:pStyle w:val="style0"/>
              <w:ind w:hanging="0" w:left="230" w:right="101"/>
              <w:rPr>
                <w:sz w:val="8"/>
                <w:szCs w:val="24"/>
              </w:rPr>
            </w:pPr>
            <w:r>
              <w:rPr>
                <w:sz w:val="8"/>
                <w:szCs w:val="24"/>
              </w:rPr>
            </w:r>
          </w:p>
        </w:tc>
        <w:tc>
          <w:tcPr>
            <w:tcW w:type="dxa" w:w="911"/>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912"/>
            <w:tcBorders>
              <w:top w:val="nil"/>
              <w:left w:val="nil"/>
              <w:bottom w:val="nil"/>
              <w:right w:val="nil"/>
            </w:tcBorders>
            <w:shd w:fill="auto" w:val="clear"/>
            <w:vAlign w:val="center"/>
          </w:tcPr>
          <w:p>
            <w:pPr>
              <w:pStyle w:val="style0"/>
              <w:ind w:hanging="0" w:left="202" w:right="101"/>
              <w:rPr>
                <w:sz w:val="8"/>
                <w:szCs w:val="24"/>
              </w:rPr>
            </w:pPr>
            <w:r>
              <w:rPr>
                <w:sz w:val="8"/>
                <w:szCs w:val="24"/>
              </w:rPr>
            </w:r>
          </w:p>
        </w:tc>
      </w:tr>
      <w:tr>
        <w:trPr>
          <w:cantSplit w:val="false"/>
        </w:trPr>
        <w:tc>
          <w:tcPr>
            <w:tcW w:type="dxa" w:w="80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Balance, beginning of year</w:t>
            </w:r>
          </w:p>
        </w:tc>
        <w:tc>
          <w:tcPr>
            <w:tcW w:type="dxa" w:w="950"/>
            <w:tcBorders>
              <w:top w:val="nil"/>
              <w:left w:val="nil"/>
              <w:bottom w:val="nil"/>
              <w:right w:val="nil"/>
            </w:tcBorders>
            <w:shd w:fill="auto" w:val="clear"/>
            <w:tcMar>
              <w:left w:type="dxa" w:w="144"/>
            </w:tcMar>
            <w:vAlign w:val="bottom"/>
          </w:tcPr>
          <w:p>
            <w:pPr>
              <w:pStyle w:val="style62"/>
              <w:tabs>
                <w:tab w:leader="none" w:pos="740" w:val="right"/>
                <w:tab w:leader="none" w:pos="780" w:val="decimal"/>
              </w:tabs>
              <w:spacing w:after="280" w:before="280"/>
              <w:ind w:hanging="0" w:left="230" w:right="101"/>
              <w:contextualSpacing w:val="false"/>
              <w:rPr>
                <w:rFonts w:ascii="Arial" w:cs="Arial" w:hAnsi="Arial"/>
                <w:b/>
                <w:bCs/>
                <w:sz w:val="20"/>
                <w:szCs w:val="20"/>
              </w:rPr>
            </w:pPr>
            <w:r>
              <w:rPr>
                <w:rFonts w:ascii="Arial" w:cs="Arial" w:hAnsi="Arial"/>
                <w:b/>
                <w:bCs/>
                <w:sz w:val="20"/>
                <w:szCs w:val="20"/>
              </w:rPr>
              <w:tab/>
              <w:t>8,381</w:t>
              <w:tab/>
            </w:r>
          </w:p>
        </w:tc>
        <w:tc>
          <w:tcPr>
            <w:tcW w:type="dxa" w:w="911"/>
            <w:tcBorders>
              <w:top w:val="nil"/>
              <w:left w:val="nil"/>
              <w:bottom w:val="nil"/>
              <w:right w:val="nil"/>
            </w:tcBorders>
            <w:shd w:fill="auto" w:val="clear"/>
            <w:tcMar>
              <w:left w:type="dxa" w:w="144"/>
            </w:tcMar>
            <w:vAlign w:val="bottom"/>
          </w:tcPr>
          <w:p>
            <w:pPr>
              <w:pStyle w:val="style62"/>
              <w:tabs>
                <w:tab w:leader="none" w:pos="700" w:val="right"/>
                <w:tab w:leader="none" w:pos="740" w:val="decimal"/>
              </w:tabs>
              <w:spacing w:after="280" w:before="280"/>
              <w:ind w:hanging="0" w:left="202" w:right="101"/>
              <w:contextualSpacing w:val="false"/>
              <w:rPr>
                <w:rFonts w:ascii="Arial" w:cs="Arial" w:hAnsi="Arial"/>
                <w:sz w:val="20"/>
                <w:szCs w:val="20"/>
              </w:rPr>
            </w:pPr>
            <w:r>
              <w:rPr>
                <w:rFonts w:ascii="Arial" w:cs="Arial" w:hAnsi="Arial"/>
                <w:sz w:val="20"/>
                <w:szCs w:val="20"/>
              </w:rPr>
              <w:tab/>
              <w:t>8,376</w:t>
              <w:tab/>
            </w:r>
          </w:p>
        </w:tc>
        <w:tc>
          <w:tcPr>
            <w:tcW w:type="dxa" w:w="912"/>
            <w:tcBorders>
              <w:top w:val="nil"/>
              <w:left w:val="nil"/>
              <w:bottom w:val="nil"/>
              <w:right w:val="nil"/>
            </w:tcBorders>
            <w:shd w:fill="auto" w:val="clear"/>
            <w:tcMar>
              <w:left w:type="dxa" w:w="144"/>
            </w:tcMar>
            <w:vAlign w:val="bottom"/>
          </w:tcPr>
          <w:p>
            <w:pPr>
              <w:pStyle w:val="style62"/>
              <w:tabs>
                <w:tab w:leader="none" w:pos="700" w:val="right"/>
                <w:tab w:leader="none" w:pos="740" w:val="decimal"/>
              </w:tabs>
              <w:spacing w:after="280" w:before="280"/>
              <w:ind w:hanging="0" w:left="202" w:right="101"/>
              <w:contextualSpacing w:val="false"/>
              <w:rPr>
                <w:rFonts w:ascii="Arial" w:cs="Arial" w:hAnsi="Arial"/>
                <w:sz w:val="20"/>
                <w:szCs w:val="20"/>
              </w:rPr>
            </w:pPr>
            <w:r>
              <w:rPr>
                <w:rFonts w:ascii="Arial" w:cs="Arial" w:hAnsi="Arial"/>
                <w:sz w:val="20"/>
                <w:szCs w:val="20"/>
              </w:rPr>
              <w:tab/>
              <w:t>8,668</w:t>
              <w:tab/>
            </w:r>
          </w:p>
        </w:tc>
      </w:tr>
      <w:tr>
        <w:trPr>
          <w:cantSplit w:val="false"/>
        </w:trPr>
        <w:tc>
          <w:tcPr>
            <w:tcW w:type="dxa" w:w="802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Issued</w:t>
            </w:r>
          </w:p>
        </w:tc>
        <w:tc>
          <w:tcPr>
            <w:tcW w:type="dxa" w:w="950"/>
            <w:tcBorders>
              <w:top w:val="nil"/>
              <w:left w:val="nil"/>
              <w:bottom w:val="nil"/>
              <w:right w:val="nil"/>
            </w:tcBorders>
            <w:shd w:fill="auto" w:val="clear"/>
            <w:tcMar>
              <w:left w:type="dxa" w:w="144"/>
            </w:tcMar>
            <w:vAlign w:val="bottom"/>
          </w:tcPr>
          <w:p>
            <w:pPr>
              <w:pStyle w:val="style62"/>
              <w:tabs>
                <w:tab w:leader="none" w:pos="740" w:val="right"/>
                <w:tab w:leader="none" w:pos="780" w:val="decimal"/>
              </w:tabs>
              <w:spacing w:after="280" w:before="280"/>
              <w:ind w:hanging="0" w:left="230" w:right="101"/>
              <w:contextualSpacing w:val="false"/>
              <w:rPr>
                <w:rFonts w:ascii="Arial" w:cs="Arial" w:hAnsi="Arial"/>
                <w:b/>
                <w:bCs/>
                <w:sz w:val="20"/>
                <w:szCs w:val="20"/>
              </w:rPr>
            </w:pPr>
            <w:r>
              <w:rPr>
                <w:rFonts w:ascii="Arial" w:cs="Arial" w:hAnsi="Arial"/>
                <w:b/>
                <w:bCs/>
                <w:sz w:val="20"/>
                <w:szCs w:val="20"/>
              </w:rPr>
              <w:tab/>
              <w:t>105</w:t>
              <w:tab/>
            </w:r>
          </w:p>
        </w:tc>
        <w:tc>
          <w:tcPr>
            <w:tcW w:type="dxa" w:w="911"/>
            <w:tcBorders>
              <w:top w:val="nil"/>
              <w:left w:val="nil"/>
              <w:bottom w:val="nil"/>
              <w:right w:val="nil"/>
            </w:tcBorders>
            <w:shd w:fill="auto" w:val="clear"/>
            <w:tcMar>
              <w:left w:type="dxa" w:w="144"/>
            </w:tcMar>
            <w:vAlign w:val="bottom"/>
          </w:tcPr>
          <w:p>
            <w:pPr>
              <w:pStyle w:val="style62"/>
              <w:tabs>
                <w:tab w:leader="none" w:pos="700" w:val="right"/>
                <w:tab w:leader="none" w:pos="740" w:val="decimal"/>
              </w:tabs>
              <w:spacing w:after="280" w:before="280"/>
              <w:ind w:hanging="0" w:left="202" w:right="101"/>
              <w:contextualSpacing w:val="false"/>
              <w:rPr>
                <w:rFonts w:ascii="Arial" w:cs="Arial" w:hAnsi="Arial"/>
                <w:sz w:val="20"/>
                <w:szCs w:val="20"/>
              </w:rPr>
            </w:pPr>
            <w:r>
              <w:rPr>
                <w:rFonts w:ascii="Arial" w:cs="Arial" w:hAnsi="Arial"/>
                <w:sz w:val="20"/>
                <w:szCs w:val="20"/>
              </w:rPr>
              <w:tab/>
              <w:t>147</w:t>
              <w:tab/>
            </w:r>
          </w:p>
        </w:tc>
        <w:tc>
          <w:tcPr>
            <w:tcW w:type="dxa" w:w="912"/>
            <w:tcBorders>
              <w:top w:val="nil"/>
              <w:left w:val="nil"/>
              <w:bottom w:val="nil"/>
              <w:right w:val="nil"/>
            </w:tcBorders>
            <w:shd w:fill="auto" w:val="clear"/>
            <w:tcMar>
              <w:left w:type="dxa" w:w="144"/>
            </w:tcMar>
            <w:vAlign w:val="bottom"/>
          </w:tcPr>
          <w:p>
            <w:pPr>
              <w:pStyle w:val="style62"/>
              <w:tabs>
                <w:tab w:leader="none" w:pos="700" w:val="right"/>
                <w:tab w:leader="none" w:pos="740" w:val="decimal"/>
              </w:tabs>
              <w:spacing w:after="280" w:before="280"/>
              <w:ind w:hanging="0" w:left="202" w:right="101"/>
              <w:contextualSpacing w:val="false"/>
              <w:rPr>
                <w:rFonts w:ascii="Arial" w:cs="Arial" w:hAnsi="Arial"/>
                <w:sz w:val="20"/>
                <w:szCs w:val="20"/>
              </w:rPr>
            </w:pPr>
            <w:r>
              <w:rPr>
                <w:rFonts w:ascii="Arial" w:cs="Arial" w:hAnsi="Arial"/>
                <w:sz w:val="20"/>
                <w:szCs w:val="20"/>
              </w:rPr>
              <w:tab/>
              <w:t>155</w:t>
              <w:tab/>
            </w:r>
          </w:p>
        </w:tc>
      </w:tr>
      <w:tr>
        <w:trPr>
          <w:cantSplit w:val="false"/>
        </w:trPr>
        <w:tc>
          <w:tcPr>
            <w:tcW w:type="dxa" w:w="802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Repurchased</w:t>
            </w:r>
          </w:p>
        </w:tc>
        <w:tc>
          <w:tcPr>
            <w:tcW w:type="dxa" w:w="950"/>
            <w:tcBorders>
              <w:top w:val="nil"/>
              <w:left w:val="nil"/>
              <w:bottom w:val="nil"/>
              <w:right w:val="nil"/>
            </w:tcBorders>
            <w:shd w:fill="auto" w:val="clear"/>
            <w:tcMar>
              <w:left w:type="dxa" w:w="144"/>
            </w:tcMar>
            <w:vAlign w:val="bottom"/>
          </w:tcPr>
          <w:p>
            <w:pPr>
              <w:pStyle w:val="style62"/>
              <w:tabs>
                <w:tab w:leader="none" w:pos="740" w:val="right"/>
                <w:tab w:leader="none" w:pos="780" w:val="decimal"/>
              </w:tabs>
              <w:spacing w:after="280" w:before="280"/>
              <w:ind w:hanging="0" w:left="230" w:right="101"/>
              <w:contextualSpacing w:val="false"/>
              <w:rPr>
                <w:rFonts w:ascii="Arial" w:cs="Arial" w:hAnsi="Arial"/>
                <w:b/>
                <w:bCs/>
                <w:sz w:val="20"/>
                <w:szCs w:val="20"/>
              </w:rPr>
            </w:pPr>
            <w:r>
              <w:rPr>
                <w:rFonts w:ascii="Arial" w:cs="Arial" w:hAnsi="Arial"/>
                <w:b/>
                <w:bCs/>
                <w:sz w:val="20"/>
                <w:szCs w:val="20"/>
              </w:rPr>
              <w:tab/>
              <w:t>(158</w:t>
              <w:tab/>
              <w:t>)</w:t>
            </w:r>
          </w:p>
        </w:tc>
        <w:tc>
          <w:tcPr>
            <w:tcW w:type="dxa" w:w="911"/>
            <w:tcBorders>
              <w:top w:val="nil"/>
              <w:left w:val="nil"/>
              <w:bottom w:val="nil"/>
              <w:right w:val="nil"/>
            </w:tcBorders>
            <w:shd w:fill="auto" w:val="clear"/>
            <w:tcMar>
              <w:left w:type="dxa" w:w="144"/>
            </w:tcMar>
            <w:vAlign w:val="bottom"/>
          </w:tcPr>
          <w:p>
            <w:pPr>
              <w:pStyle w:val="style62"/>
              <w:tabs>
                <w:tab w:leader="none" w:pos="700" w:val="right"/>
                <w:tab w:leader="none" w:pos="740" w:val="decimal"/>
              </w:tabs>
              <w:spacing w:after="280" w:before="280"/>
              <w:ind w:hanging="0" w:left="202" w:right="101"/>
              <w:contextualSpacing w:val="false"/>
              <w:rPr>
                <w:rFonts w:ascii="Arial" w:cs="Arial" w:hAnsi="Arial"/>
                <w:sz w:val="20"/>
                <w:szCs w:val="20"/>
              </w:rPr>
            </w:pPr>
            <w:r>
              <w:rPr>
                <w:rFonts w:ascii="Arial" w:cs="Arial" w:hAnsi="Arial"/>
                <w:sz w:val="20"/>
                <w:szCs w:val="20"/>
              </w:rPr>
              <w:tab/>
              <w:t>(142</w:t>
              <w:tab/>
              <w:t>)</w:t>
            </w:r>
          </w:p>
        </w:tc>
        <w:tc>
          <w:tcPr>
            <w:tcW w:type="dxa" w:w="912"/>
            <w:tcBorders>
              <w:top w:val="nil"/>
              <w:left w:val="nil"/>
              <w:bottom w:val="nil"/>
              <w:right w:val="nil"/>
            </w:tcBorders>
            <w:shd w:fill="auto" w:val="clear"/>
            <w:tcMar>
              <w:left w:type="dxa" w:w="144"/>
            </w:tcMar>
            <w:vAlign w:val="bottom"/>
          </w:tcPr>
          <w:p>
            <w:pPr>
              <w:pStyle w:val="style62"/>
              <w:tabs>
                <w:tab w:leader="none" w:pos="700" w:val="right"/>
                <w:tab w:leader="none" w:pos="740" w:val="decimal"/>
              </w:tabs>
              <w:spacing w:after="280" w:before="280"/>
              <w:ind w:hanging="0" w:left="202" w:right="101"/>
              <w:contextualSpacing w:val="false"/>
              <w:rPr>
                <w:rFonts w:ascii="Arial" w:cs="Arial" w:hAnsi="Arial"/>
                <w:sz w:val="20"/>
                <w:szCs w:val="20"/>
              </w:rPr>
            </w:pPr>
            <w:r>
              <w:rPr>
                <w:rFonts w:ascii="Arial" w:cs="Arial" w:hAnsi="Arial"/>
                <w:sz w:val="20"/>
                <w:szCs w:val="20"/>
              </w:rPr>
              <w:tab/>
              <w:t>(447</w:t>
              <w:tab/>
              <w:t>)</w:t>
            </w:r>
          </w:p>
        </w:tc>
      </w:tr>
      <w:tr>
        <w:trPr>
          <w:cantSplit w:val="false"/>
        </w:trPr>
        <w:tc>
          <w:tcPr>
            <w:tcW w:type="dxa" w:w="8976"/>
            <w:gridSpan w:val="2"/>
            <w:tcBorders>
              <w:top w:val="nil"/>
              <w:left w:val="nil"/>
              <w:bottom w:val="nil"/>
              <w:right w:val="nil"/>
            </w:tcBorders>
            <w:shd w:fill="auto" w:val="clear"/>
            <w:vAlign w:val="bottom"/>
          </w:tcPr>
          <w:p>
            <w:pPr>
              <w:pStyle w:val="style59"/>
              <w:spacing w:after="0" w:before="20"/>
              <w:ind w:hanging="0" w:left="-162" w:right="101"/>
              <w:contextualSpacing w:val="false"/>
              <w:rPr/>
            </w:pPr>
            <w:r>
              <w:rPr/>
              <w:t> </w:t>
            </w:r>
          </w:p>
        </w:tc>
        <w:tc>
          <w:tcPr>
            <w:tcW w:type="dxa" w:w="911"/>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c>
          <w:tcPr>
            <w:tcW w:type="dxa" w:w="912"/>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r>
      <w:tr>
        <w:trPr>
          <w:cantSplit w:val="false"/>
        </w:trPr>
        <w:tc>
          <w:tcPr>
            <w:tcW w:type="dxa" w:w="802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Balance, end of year</w:t>
            </w:r>
          </w:p>
        </w:tc>
        <w:tc>
          <w:tcPr>
            <w:tcW w:type="dxa" w:w="950"/>
            <w:tcBorders>
              <w:top w:val="nil"/>
              <w:left w:val="nil"/>
              <w:bottom w:val="nil"/>
              <w:right w:val="nil"/>
            </w:tcBorders>
            <w:shd w:fill="auto" w:val="clear"/>
            <w:tcMar>
              <w:left w:type="dxa" w:w="144"/>
            </w:tcMar>
            <w:vAlign w:val="bottom"/>
          </w:tcPr>
          <w:p>
            <w:pPr>
              <w:pStyle w:val="style62"/>
              <w:tabs>
                <w:tab w:leader="none" w:pos="740" w:val="right"/>
                <w:tab w:leader="none" w:pos="780" w:val="decimal"/>
              </w:tabs>
              <w:spacing w:after="280" w:before="280"/>
              <w:ind w:hanging="0" w:left="230" w:right="101"/>
              <w:contextualSpacing w:val="false"/>
              <w:rPr>
                <w:rFonts w:ascii="Arial" w:cs="Arial" w:hAnsi="Arial"/>
                <w:b/>
                <w:bCs/>
                <w:sz w:val="20"/>
                <w:szCs w:val="20"/>
              </w:rPr>
            </w:pPr>
            <w:r>
              <w:rPr>
                <w:rFonts w:ascii="Arial" w:cs="Arial" w:hAnsi="Arial"/>
                <w:b/>
                <w:bCs/>
                <w:sz w:val="20"/>
                <w:szCs w:val="20"/>
              </w:rPr>
              <w:tab/>
              <w:t>8,328</w:t>
              <w:tab/>
            </w:r>
          </w:p>
        </w:tc>
        <w:tc>
          <w:tcPr>
            <w:tcW w:type="dxa" w:w="911"/>
            <w:tcBorders>
              <w:top w:val="nil"/>
              <w:left w:val="nil"/>
              <w:bottom w:val="nil"/>
              <w:right w:val="nil"/>
            </w:tcBorders>
            <w:shd w:fill="auto" w:val="clear"/>
            <w:tcMar>
              <w:left w:type="dxa" w:w="144"/>
            </w:tcMar>
            <w:vAlign w:val="bottom"/>
          </w:tcPr>
          <w:p>
            <w:pPr>
              <w:pStyle w:val="style62"/>
              <w:tabs>
                <w:tab w:leader="none" w:pos="700" w:val="right"/>
                <w:tab w:leader="none" w:pos="740" w:val="decimal"/>
              </w:tabs>
              <w:spacing w:after="280" w:before="280"/>
              <w:ind w:hanging="0" w:left="202" w:right="101"/>
              <w:contextualSpacing w:val="false"/>
              <w:rPr>
                <w:rFonts w:ascii="Arial" w:cs="Arial" w:hAnsi="Arial"/>
                <w:sz w:val="20"/>
                <w:szCs w:val="20"/>
              </w:rPr>
            </w:pPr>
            <w:r>
              <w:rPr>
                <w:rFonts w:ascii="Arial" w:cs="Arial" w:hAnsi="Arial"/>
                <w:sz w:val="20"/>
                <w:szCs w:val="20"/>
              </w:rPr>
              <w:tab/>
              <w:t>8,381</w:t>
              <w:tab/>
            </w:r>
          </w:p>
        </w:tc>
        <w:tc>
          <w:tcPr>
            <w:tcW w:type="dxa" w:w="912"/>
            <w:tcBorders>
              <w:top w:val="nil"/>
              <w:left w:val="nil"/>
              <w:bottom w:val="nil"/>
              <w:right w:val="nil"/>
            </w:tcBorders>
            <w:shd w:fill="auto" w:val="clear"/>
            <w:tcMar>
              <w:left w:type="dxa" w:w="144"/>
            </w:tcMar>
            <w:vAlign w:val="bottom"/>
          </w:tcPr>
          <w:p>
            <w:pPr>
              <w:pStyle w:val="style62"/>
              <w:tabs>
                <w:tab w:leader="none" w:pos="700" w:val="right"/>
                <w:tab w:leader="none" w:pos="740" w:val="decimal"/>
              </w:tabs>
              <w:spacing w:after="280" w:before="280"/>
              <w:ind w:hanging="0" w:left="202" w:right="101"/>
              <w:contextualSpacing w:val="false"/>
              <w:rPr>
                <w:rFonts w:ascii="Arial" w:cs="Arial" w:hAnsi="Arial"/>
                <w:sz w:val="20"/>
                <w:szCs w:val="20"/>
              </w:rPr>
            </w:pPr>
            <w:r>
              <w:rPr>
                <w:rFonts w:ascii="Arial" w:cs="Arial" w:hAnsi="Arial"/>
                <w:sz w:val="20"/>
                <w:szCs w:val="20"/>
              </w:rPr>
              <w:tab/>
              <w:t>8,376</w:t>
              <w:tab/>
            </w:r>
          </w:p>
        </w:tc>
      </w:tr>
      <w:tr>
        <w:trPr>
          <w:cantSplit w:val="false"/>
        </w:trPr>
        <w:tc>
          <w:tcPr>
            <w:tcW w:type="dxa" w:w="8026"/>
            <w:tcBorders>
              <w:top w:val="nil"/>
              <w:left w:val="nil"/>
              <w:bottom w:val="nil"/>
              <w:right w:val="nil"/>
            </w:tcBorders>
            <w:shd w:fill="auto" w:val="clear"/>
            <w:tcMar>
              <w:left w:type="dxa" w:w="144"/>
            </w:tcMar>
            <w:vAlign w:val="bottom"/>
          </w:tcPr>
          <w:p>
            <w:pPr>
              <w:pStyle w:val="style65"/>
              <w:rPr/>
            </w:pPr>
            <w:r>
              <w:rPr/>
              <w:t> </w:t>
            </w:r>
          </w:p>
        </w:tc>
        <w:tc>
          <w:tcPr>
            <w:tcW w:type="dxa" w:w="950"/>
            <w:tcBorders>
              <w:top w:val="nil"/>
              <w:left w:val="nil"/>
              <w:bottom w:val="nil"/>
              <w:right w:val="nil"/>
            </w:tcBorders>
            <w:shd w:fill="auto" w:val="clear"/>
            <w:tcMar>
              <w:left w:type="dxa" w:w="144"/>
            </w:tcMar>
            <w:vAlign w:val="bottom"/>
          </w:tcPr>
          <w:p>
            <w:pPr>
              <w:pStyle w:val="style63"/>
              <w:spacing w:after="0" w:before="20"/>
              <w:ind w:hanging="0" w:left="230" w:right="101"/>
              <w:contextualSpacing w:val="false"/>
              <w:rPr/>
            </w:pPr>
            <w:r>
              <w:rPr/>
              <w:t> </w:t>
            </w:r>
          </w:p>
        </w:tc>
        <w:tc>
          <w:tcPr>
            <w:tcW w:type="dxa" w:w="911"/>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c>
          <w:tcPr>
            <w:tcW w:type="dxa" w:w="912"/>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r>
    </w:tbl>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Share Repurchases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On September 22, 2008, we announced that our Board of Directors approved a share repurchase program authorizing up to $40.0 billion in share repurchases with an expiration date of September 30, 2013. As of June 30, 2013, approximately $3.6 billion of the approved repurchase amount remained. The repurchase program may be suspended or discontinued at any time without prior notice.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We repurchased the following shares of common stock under the above-described repurchase plan using cash resources: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4539"/>
        <w:gridCol w:w="919"/>
        <w:gridCol w:w="1159"/>
        <w:gridCol w:w="919"/>
        <w:gridCol w:w="1121"/>
        <w:gridCol w:w="919"/>
        <w:gridCol w:w="1224"/>
      </w:tblGrid>
      <w:tr>
        <w:trPr>
          <w:tblHeader w:val="true"/>
          <w:cantSplit w:val="false"/>
        </w:trPr>
        <w:tc>
          <w:tcPr>
            <w:tcW w:type="dxa" w:w="4539"/>
            <w:tcBorders>
              <w:top w:val="nil"/>
              <w:left w:val="nil"/>
              <w:bottom w:val="nil"/>
              <w:right w:val="nil"/>
            </w:tcBorders>
            <w:shd w:fill="auto" w:val="clear"/>
            <w:vAlign w:val="center"/>
          </w:tcPr>
          <w:p>
            <w:pPr>
              <w:pStyle w:val="style0"/>
              <w:rPr>
                <w:sz w:val="1"/>
                <w:szCs w:val="24"/>
              </w:rPr>
            </w:pPr>
            <w:r>
              <w:rPr>
                <w:sz w:val="1"/>
                <w:szCs w:val="24"/>
              </w:rPr>
            </w:r>
          </w:p>
        </w:tc>
        <w:tc>
          <w:tcPr>
            <w:tcW w:type="dxa" w:w="919"/>
            <w:tcBorders>
              <w:top w:val="nil"/>
              <w:left w:val="nil"/>
              <w:bottom w:val="nil"/>
              <w:right w:val="nil"/>
            </w:tcBorders>
            <w:shd w:fill="auto" w:val="clear"/>
            <w:vAlign w:val="center"/>
          </w:tcPr>
          <w:p>
            <w:pPr>
              <w:pStyle w:val="style0"/>
              <w:rPr>
                <w:sz w:val="1"/>
                <w:szCs w:val="24"/>
              </w:rPr>
            </w:pPr>
            <w:r>
              <w:rPr>
                <w:sz w:val="1"/>
                <w:szCs w:val="24"/>
              </w:rPr>
            </w:r>
          </w:p>
        </w:tc>
        <w:tc>
          <w:tcPr>
            <w:tcW w:type="dxa" w:w="1159"/>
            <w:tcBorders>
              <w:top w:val="nil"/>
              <w:left w:val="nil"/>
              <w:bottom w:val="nil"/>
              <w:right w:val="nil"/>
            </w:tcBorders>
            <w:shd w:fill="auto" w:val="clear"/>
            <w:vAlign w:val="center"/>
          </w:tcPr>
          <w:p>
            <w:pPr>
              <w:pStyle w:val="style0"/>
              <w:rPr>
                <w:sz w:val="1"/>
                <w:szCs w:val="24"/>
              </w:rPr>
            </w:pPr>
            <w:r>
              <w:rPr>
                <w:sz w:val="1"/>
                <w:szCs w:val="24"/>
              </w:rPr>
            </w:r>
          </w:p>
        </w:tc>
        <w:tc>
          <w:tcPr>
            <w:tcW w:type="dxa" w:w="919"/>
            <w:tcBorders>
              <w:top w:val="nil"/>
              <w:left w:val="nil"/>
              <w:bottom w:val="nil"/>
              <w:right w:val="nil"/>
            </w:tcBorders>
            <w:shd w:fill="auto" w:val="clear"/>
            <w:vAlign w:val="center"/>
          </w:tcPr>
          <w:p>
            <w:pPr>
              <w:pStyle w:val="style0"/>
              <w:rPr>
                <w:sz w:val="1"/>
                <w:szCs w:val="24"/>
              </w:rPr>
            </w:pPr>
            <w:r>
              <w:rPr>
                <w:sz w:val="1"/>
                <w:szCs w:val="24"/>
              </w:rPr>
            </w:r>
          </w:p>
        </w:tc>
        <w:tc>
          <w:tcPr>
            <w:tcW w:type="dxa" w:w="1121"/>
            <w:tcBorders>
              <w:top w:val="nil"/>
              <w:left w:val="nil"/>
              <w:bottom w:val="nil"/>
              <w:right w:val="nil"/>
            </w:tcBorders>
            <w:shd w:fill="auto" w:val="clear"/>
            <w:vAlign w:val="center"/>
          </w:tcPr>
          <w:p>
            <w:pPr>
              <w:pStyle w:val="style0"/>
              <w:rPr>
                <w:sz w:val="1"/>
                <w:szCs w:val="24"/>
              </w:rPr>
            </w:pPr>
            <w:r>
              <w:rPr>
                <w:sz w:val="1"/>
                <w:szCs w:val="24"/>
              </w:rPr>
            </w:r>
          </w:p>
        </w:tc>
        <w:tc>
          <w:tcPr>
            <w:tcW w:type="dxa" w:w="919"/>
            <w:tcBorders>
              <w:top w:val="nil"/>
              <w:left w:val="nil"/>
              <w:bottom w:val="nil"/>
              <w:right w:val="nil"/>
            </w:tcBorders>
            <w:shd w:fill="auto" w:val="clear"/>
            <w:vAlign w:val="center"/>
          </w:tcPr>
          <w:p>
            <w:pPr>
              <w:pStyle w:val="style0"/>
              <w:rPr>
                <w:sz w:val="1"/>
                <w:szCs w:val="24"/>
              </w:rPr>
            </w:pPr>
            <w:r>
              <w:rPr>
                <w:sz w:val="1"/>
                <w:szCs w:val="24"/>
              </w:rPr>
            </w:r>
          </w:p>
        </w:tc>
        <w:tc>
          <w:tcPr>
            <w:tcW w:type="dxa" w:w="1224"/>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453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919"/>
            <w:tcBorders>
              <w:top w:val="nil"/>
              <w:left w:val="nil"/>
              <w:bottom w:val="nil"/>
              <w:right w:val="nil"/>
            </w:tcBorders>
            <w:shd w:fill="auto" w:val="clear"/>
            <w:tcMar>
              <w:left w:type="dxa" w:w="144"/>
            </w:tcMar>
            <w:vAlign w:val="bottom"/>
          </w:tcPr>
          <w:p>
            <w:pPr>
              <w:pStyle w:val="style0"/>
              <w:ind w:hanging="0" w:left="144" w:right="72"/>
              <w:jc w:val="right"/>
              <w:rPr>
                <w:rFonts w:ascii="Arial" w:cs="Arial" w:hAnsi="Arial"/>
                <w:b/>
                <w:bCs/>
                <w:sz w:val="15"/>
                <w:szCs w:val="15"/>
              </w:rPr>
            </w:pPr>
            <w:r>
              <w:rPr>
                <w:rFonts w:ascii="Arial" w:cs="Arial" w:hAnsi="Arial"/>
                <w:b/>
                <w:bCs/>
                <w:sz w:val="15"/>
                <w:szCs w:val="15"/>
              </w:rPr>
              <w:t>Shares</w:t>
            </w:r>
          </w:p>
        </w:tc>
        <w:tc>
          <w:tcPr>
            <w:tcW w:type="dxa" w:w="1159"/>
            <w:tcBorders>
              <w:top w:val="nil"/>
              <w:left w:val="nil"/>
              <w:bottom w:val="nil"/>
              <w:right w:val="nil"/>
            </w:tcBorders>
            <w:shd w:fill="auto" w:val="clear"/>
            <w:tcMar>
              <w:left w:type="dxa" w:w="144"/>
            </w:tcMar>
            <w:vAlign w:val="bottom"/>
          </w:tcPr>
          <w:p>
            <w:pPr>
              <w:pStyle w:val="style0"/>
              <w:ind w:hanging="0" w:left="144" w:right="86"/>
              <w:jc w:val="right"/>
              <w:rPr>
                <w:rFonts w:ascii="Arial" w:cs="Arial" w:hAnsi="Arial"/>
                <w:b/>
                <w:bCs/>
                <w:sz w:val="15"/>
                <w:szCs w:val="15"/>
              </w:rPr>
            </w:pPr>
            <w:r>
              <w:rPr>
                <w:rFonts w:ascii="Arial" w:cs="Arial" w:hAnsi="Arial"/>
                <w:b/>
                <w:bCs/>
                <w:sz w:val="15"/>
                <w:szCs w:val="15"/>
              </w:rPr>
              <w:t>Amount</w:t>
            </w:r>
          </w:p>
        </w:tc>
        <w:tc>
          <w:tcPr>
            <w:tcW w:type="dxa" w:w="919"/>
            <w:tcBorders>
              <w:top w:val="nil"/>
              <w:left w:val="nil"/>
              <w:bottom w:val="nil"/>
              <w:right w:val="nil"/>
            </w:tcBorders>
            <w:shd w:fill="auto" w:val="clear"/>
            <w:tcMar>
              <w:left w:type="dxa" w:w="144"/>
            </w:tcMar>
            <w:vAlign w:val="bottom"/>
          </w:tcPr>
          <w:p>
            <w:pPr>
              <w:pStyle w:val="style0"/>
              <w:ind w:hanging="0" w:left="144" w:right="72"/>
              <w:jc w:val="right"/>
              <w:rPr>
                <w:rFonts w:ascii="Arial" w:cs="Arial" w:hAnsi="Arial"/>
                <w:b/>
                <w:bCs/>
                <w:sz w:val="15"/>
                <w:szCs w:val="15"/>
              </w:rPr>
            </w:pPr>
            <w:r>
              <w:rPr>
                <w:rFonts w:ascii="Arial" w:cs="Arial" w:hAnsi="Arial"/>
                <w:b/>
                <w:bCs/>
                <w:sz w:val="15"/>
                <w:szCs w:val="15"/>
              </w:rPr>
              <w:t>Shares</w:t>
            </w:r>
          </w:p>
        </w:tc>
        <w:tc>
          <w:tcPr>
            <w:tcW w:type="dxa" w:w="1121"/>
            <w:tcBorders>
              <w:top w:val="nil"/>
              <w:left w:val="nil"/>
              <w:bottom w:val="nil"/>
              <w:right w:val="nil"/>
            </w:tcBorders>
            <w:shd w:fill="auto" w:val="clear"/>
            <w:tcMar>
              <w:left w:type="dxa" w:w="144"/>
            </w:tcMar>
            <w:vAlign w:val="bottom"/>
          </w:tcPr>
          <w:p>
            <w:pPr>
              <w:pStyle w:val="style0"/>
              <w:ind w:hanging="0" w:left="144" w:right="86"/>
              <w:jc w:val="right"/>
              <w:rPr>
                <w:rFonts w:ascii="Arial" w:cs="Arial" w:hAnsi="Arial"/>
                <w:b/>
                <w:bCs/>
                <w:sz w:val="15"/>
                <w:szCs w:val="15"/>
              </w:rPr>
            </w:pPr>
            <w:r>
              <w:rPr>
                <w:rFonts w:ascii="Arial" w:cs="Arial" w:hAnsi="Arial"/>
                <w:b/>
                <w:bCs/>
                <w:sz w:val="15"/>
                <w:szCs w:val="15"/>
              </w:rPr>
              <w:t>Amount</w:t>
            </w:r>
          </w:p>
        </w:tc>
        <w:tc>
          <w:tcPr>
            <w:tcW w:type="dxa" w:w="919"/>
            <w:tcBorders>
              <w:top w:val="nil"/>
              <w:left w:val="nil"/>
              <w:bottom w:val="nil"/>
              <w:right w:val="nil"/>
            </w:tcBorders>
            <w:shd w:fill="auto" w:val="clear"/>
            <w:tcMar>
              <w:left w:type="dxa" w:w="144"/>
            </w:tcMar>
            <w:vAlign w:val="bottom"/>
          </w:tcPr>
          <w:p>
            <w:pPr>
              <w:pStyle w:val="style0"/>
              <w:ind w:hanging="0" w:left="144" w:right="72"/>
              <w:jc w:val="right"/>
              <w:rPr>
                <w:rFonts w:ascii="Arial" w:cs="Arial" w:hAnsi="Arial"/>
                <w:b/>
                <w:bCs/>
                <w:sz w:val="15"/>
                <w:szCs w:val="15"/>
              </w:rPr>
            </w:pPr>
            <w:r>
              <w:rPr>
                <w:rFonts w:ascii="Arial" w:cs="Arial" w:hAnsi="Arial"/>
                <w:b/>
                <w:bCs/>
                <w:sz w:val="15"/>
                <w:szCs w:val="15"/>
              </w:rPr>
              <w:t>Shares</w:t>
            </w:r>
          </w:p>
        </w:tc>
        <w:tc>
          <w:tcPr>
            <w:tcW w:type="dxa" w:w="1224"/>
            <w:tcBorders>
              <w:top w:val="nil"/>
              <w:left w:val="nil"/>
              <w:bottom w:val="nil"/>
              <w:right w:val="nil"/>
            </w:tcBorders>
            <w:shd w:fill="auto" w:val="clear"/>
            <w:tcMar>
              <w:left w:type="dxa" w:w="144"/>
            </w:tcMar>
            <w:vAlign w:val="bottom"/>
          </w:tcPr>
          <w:p>
            <w:pPr>
              <w:pStyle w:val="style0"/>
              <w:ind w:hanging="0" w:left="144" w:right="58"/>
              <w:jc w:val="right"/>
              <w:rPr>
                <w:rFonts w:ascii="Arial" w:cs="Arial" w:hAnsi="Arial"/>
                <w:b/>
                <w:bCs/>
                <w:sz w:val="15"/>
                <w:szCs w:val="15"/>
              </w:rPr>
            </w:pPr>
            <w:r>
              <w:rPr>
                <w:rFonts w:ascii="Arial" w:cs="Arial" w:hAnsi="Arial"/>
                <w:b/>
                <w:bCs/>
                <w:sz w:val="15"/>
                <w:szCs w:val="15"/>
              </w:rPr>
              <w:t>Amount</w:t>
            </w:r>
          </w:p>
        </w:tc>
      </w:tr>
      <w:tr>
        <w:trPr>
          <w:cantSplit w:val="false"/>
        </w:trPr>
        <w:tc>
          <w:tcPr>
            <w:tcW w:type="dxa" w:w="10800"/>
            <w:gridSpan w:val="7"/>
            <w:tcBorders>
              <w:top w:val="nil"/>
              <w:left w:val="nil"/>
              <w:bottom w:val="nil"/>
              <w:right w:val="nil"/>
            </w:tcBorders>
            <w:shd w:fill="auto" w:val="clear"/>
            <w:tcMar>
              <w:left w:type="dxa" w:w="144"/>
            </w:tcMar>
            <w:vAlign w:val="bottom"/>
          </w:tcPr>
          <w:p>
            <w:pPr>
              <w:pStyle w:val="style59"/>
              <w:spacing w:after="0" w:before="20"/>
              <w:ind w:hanging="0" w:left="-144" w:right="86"/>
              <w:contextualSpacing w:val="false"/>
              <w:rPr/>
            </w:pPr>
            <w:r>
              <w:rPr/>
              <w:t> </w:t>
            </w:r>
          </w:p>
        </w:tc>
      </w:tr>
      <w:tr>
        <w:trPr>
          <w:trHeight w:hRule="atLeast" w:val="75"/>
          <w:cantSplit w:val="false"/>
        </w:trPr>
        <w:tc>
          <w:tcPr>
            <w:tcW w:type="dxa" w:w="4539"/>
            <w:tcBorders>
              <w:top w:val="nil"/>
              <w:left w:val="nil"/>
              <w:bottom w:val="nil"/>
              <w:right w:val="nil"/>
            </w:tcBorders>
            <w:shd w:fill="auto" w:val="clear"/>
            <w:vAlign w:val="center"/>
          </w:tcPr>
          <w:p>
            <w:pPr>
              <w:pStyle w:val="style0"/>
              <w:rPr>
                <w:sz w:val="8"/>
                <w:szCs w:val="24"/>
              </w:rPr>
            </w:pPr>
            <w:r>
              <w:rPr>
                <w:sz w:val="8"/>
                <w:szCs w:val="24"/>
              </w:rPr>
            </w:r>
          </w:p>
        </w:tc>
        <w:tc>
          <w:tcPr>
            <w:tcW w:type="dxa" w:w="919"/>
            <w:tcBorders>
              <w:top w:val="nil"/>
              <w:left w:val="nil"/>
              <w:bottom w:val="nil"/>
              <w:right w:val="nil"/>
            </w:tcBorders>
            <w:shd w:fill="auto" w:val="clear"/>
            <w:vAlign w:val="center"/>
          </w:tcPr>
          <w:p>
            <w:pPr>
              <w:pStyle w:val="style0"/>
              <w:ind w:hanging="0" w:left="144" w:right="86"/>
              <w:rPr>
                <w:sz w:val="8"/>
                <w:szCs w:val="24"/>
              </w:rPr>
            </w:pPr>
            <w:r>
              <w:rPr>
                <w:sz w:val="8"/>
                <w:szCs w:val="24"/>
              </w:rPr>
            </w:r>
          </w:p>
        </w:tc>
        <w:tc>
          <w:tcPr>
            <w:tcW w:type="dxa" w:w="1159"/>
            <w:tcBorders>
              <w:top w:val="nil"/>
              <w:left w:val="nil"/>
              <w:bottom w:val="nil"/>
              <w:right w:val="nil"/>
            </w:tcBorders>
            <w:shd w:fill="auto" w:val="clear"/>
            <w:vAlign w:val="center"/>
          </w:tcPr>
          <w:p>
            <w:pPr>
              <w:pStyle w:val="style0"/>
              <w:ind w:hanging="0" w:left="144" w:right="86"/>
              <w:rPr>
                <w:sz w:val="8"/>
                <w:szCs w:val="24"/>
              </w:rPr>
            </w:pPr>
            <w:r>
              <w:rPr>
                <w:sz w:val="8"/>
                <w:szCs w:val="24"/>
              </w:rPr>
            </w:r>
          </w:p>
        </w:tc>
        <w:tc>
          <w:tcPr>
            <w:tcW w:type="dxa" w:w="919"/>
            <w:tcBorders>
              <w:top w:val="nil"/>
              <w:left w:val="nil"/>
              <w:bottom w:val="nil"/>
              <w:right w:val="nil"/>
            </w:tcBorders>
            <w:shd w:fill="auto" w:val="clear"/>
            <w:vAlign w:val="center"/>
          </w:tcPr>
          <w:p>
            <w:pPr>
              <w:pStyle w:val="style0"/>
              <w:ind w:hanging="0" w:left="144" w:right="86"/>
              <w:rPr>
                <w:sz w:val="8"/>
                <w:szCs w:val="24"/>
              </w:rPr>
            </w:pPr>
            <w:r>
              <w:rPr>
                <w:sz w:val="8"/>
                <w:szCs w:val="24"/>
              </w:rPr>
            </w:r>
          </w:p>
        </w:tc>
        <w:tc>
          <w:tcPr>
            <w:tcW w:type="dxa" w:w="1121"/>
            <w:tcBorders>
              <w:top w:val="nil"/>
              <w:left w:val="nil"/>
              <w:bottom w:val="nil"/>
              <w:right w:val="nil"/>
            </w:tcBorders>
            <w:shd w:fill="auto" w:val="clear"/>
            <w:vAlign w:val="center"/>
          </w:tcPr>
          <w:p>
            <w:pPr>
              <w:pStyle w:val="style0"/>
              <w:ind w:hanging="0" w:left="144" w:right="86"/>
              <w:rPr>
                <w:sz w:val="8"/>
                <w:szCs w:val="24"/>
              </w:rPr>
            </w:pPr>
            <w:r>
              <w:rPr>
                <w:sz w:val="8"/>
                <w:szCs w:val="24"/>
              </w:rPr>
            </w:r>
          </w:p>
        </w:tc>
        <w:tc>
          <w:tcPr>
            <w:tcW w:type="dxa" w:w="919"/>
            <w:tcBorders>
              <w:top w:val="nil"/>
              <w:left w:val="nil"/>
              <w:bottom w:val="nil"/>
              <w:right w:val="nil"/>
            </w:tcBorders>
            <w:shd w:fill="auto" w:val="clear"/>
            <w:vAlign w:val="center"/>
          </w:tcPr>
          <w:p>
            <w:pPr>
              <w:pStyle w:val="style0"/>
              <w:ind w:hanging="0" w:left="144" w:right="86"/>
              <w:rPr>
                <w:sz w:val="8"/>
                <w:szCs w:val="24"/>
              </w:rPr>
            </w:pPr>
            <w:r>
              <w:rPr>
                <w:sz w:val="8"/>
                <w:szCs w:val="24"/>
              </w:rPr>
            </w:r>
          </w:p>
        </w:tc>
        <w:tc>
          <w:tcPr>
            <w:tcW w:type="dxa" w:w="1224"/>
            <w:tcBorders>
              <w:top w:val="nil"/>
              <w:left w:val="nil"/>
              <w:bottom w:val="nil"/>
              <w:right w:val="nil"/>
            </w:tcBorders>
            <w:shd w:fill="auto" w:val="clear"/>
            <w:vAlign w:val="center"/>
          </w:tcPr>
          <w:p>
            <w:pPr>
              <w:pStyle w:val="style0"/>
              <w:ind w:hanging="0" w:left="144" w:right="86"/>
              <w:rPr>
                <w:sz w:val="8"/>
                <w:szCs w:val="24"/>
              </w:rPr>
            </w:pPr>
            <w:r>
              <w:rPr>
                <w:sz w:val="8"/>
                <w:szCs w:val="24"/>
              </w:rPr>
            </w:r>
          </w:p>
        </w:tc>
      </w:tr>
      <w:tr>
        <w:trPr>
          <w:cantSplit w:val="false"/>
        </w:trPr>
        <w:tc>
          <w:tcPr>
            <w:tcW w:type="dxa" w:w="453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919"/>
            <w:tcBorders>
              <w:top w:val="nil"/>
              <w:left w:val="nil"/>
              <w:bottom w:val="nil"/>
              <w:right w:val="nil"/>
            </w:tcBorders>
            <w:shd w:fill="auto" w:val="clear"/>
            <w:tcMar>
              <w:left w:type="dxa" w:w="144"/>
            </w:tcMar>
            <w:vAlign w:val="bottom"/>
          </w:tcPr>
          <w:p>
            <w:pPr>
              <w:pStyle w:val="style65"/>
              <w:ind w:hanging="0" w:left="144" w:right="86"/>
              <w:rPr/>
            </w:pPr>
            <w:r>
              <w:rPr/>
              <w:t> </w:t>
            </w:r>
          </w:p>
        </w:tc>
        <w:tc>
          <w:tcPr>
            <w:tcW w:type="dxa" w:w="1159"/>
            <w:tcBorders>
              <w:top w:val="nil"/>
              <w:left w:val="nil"/>
              <w:bottom w:val="nil"/>
              <w:right w:val="nil"/>
            </w:tcBorders>
            <w:shd w:fill="auto" w:val="clear"/>
            <w:tcMar>
              <w:left w:type="dxa" w:w="144"/>
            </w:tcMar>
            <w:vAlign w:val="bottom"/>
          </w:tcPr>
          <w:p>
            <w:pPr>
              <w:pStyle w:val="style62"/>
              <w:tabs>
                <w:tab w:leader="none" w:pos="939" w:val="right"/>
                <w:tab w:leader="none" w:pos="1000" w:val="decimal"/>
              </w:tabs>
              <w:spacing w:after="280" w:before="280"/>
              <w:ind w:hanging="0" w:left="144" w:right="86"/>
              <w:contextualSpacing w:val="false"/>
              <w:rPr>
                <w:rFonts w:ascii="Arial" w:cs="Arial" w:hAnsi="Arial"/>
                <w:b/>
                <w:bCs/>
                <w:sz w:val="15"/>
                <w:szCs w:val="15"/>
              </w:rPr>
            </w:pPr>
            <w:r>
              <w:rPr>
                <w:rFonts w:ascii="Arial" w:cs="Arial" w:hAnsi="Arial"/>
                <w:b/>
                <w:bCs/>
                <w:sz w:val="15"/>
                <w:szCs w:val="15"/>
              </w:rPr>
              <w:tab/>
              <w:t>2013</w:t>
              <w:tab/>
            </w:r>
          </w:p>
        </w:tc>
        <w:tc>
          <w:tcPr>
            <w:tcW w:type="dxa" w:w="919"/>
            <w:tcBorders>
              <w:top w:val="nil"/>
              <w:left w:val="nil"/>
              <w:bottom w:val="nil"/>
              <w:right w:val="nil"/>
            </w:tcBorders>
            <w:shd w:fill="auto" w:val="clear"/>
            <w:tcMar>
              <w:left w:type="dxa" w:w="144"/>
            </w:tcMar>
            <w:vAlign w:val="bottom"/>
          </w:tcPr>
          <w:p>
            <w:pPr>
              <w:pStyle w:val="style65"/>
              <w:ind w:hanging="0" w:left="144" w:right="86"/>
              <w:rPr/>
            </w:pPr>
            <w:r>
              <w:rPr/>
              <w:t> </w:t>
            </w:r>
          </w:p>
        </w:tc>
        <w:tc>
          <w:tcPr>
            <w:tcW w:type="dxa" w:w="1121"/>
            <w:tcBorders>
              <w:top w:val="nil"/>
              <w:left w:val="nil"/>
              <w:bottom w:val="nil"/>
              <w:right w:val="nil"/>
            </w:tcBorders>
            <w:shd w:fill="auto" w:val="clear"/>
            <w:tcMar>
              <w:left w:type="dxa" w:w="144"/>
            </w:tcMar>
            <w:vAlign w:val="bottom"/>
          </w:tcPr>
          <w:p>
            <w:pPr>
              <w:pStyle w:val="style62"/>
              <w:tabs>
                <w:tab w:leader="none" w:pos="893" w:val="right"/>
                <w:tab w:leader="none" w:pos="960" w:val="decimal"/>
              </w:tabs>
              <w:spacing w:after="280" w:before="280"/>
              <w:ind w:hanging="0" w:left="144" w:right="86"/>
              <w:contextualSpacing w:val="false"/>
              <w:rPr>
                <w:rFonts w:ascii="Arial" w:cs="Arial" w:hAnsi="Arial"/>
                <w:b/>
                <w:bCs/>
                <w:sz w:val="15"/>
                <w:szCs w:val="15"/>
              </w:rPr>
            </w:pPr>
            <w:r>
              <w:rPr>
                <w:rFonts w:ascii="Arial" w:cs="Arial" w:hAnsi="Arial"/>
                <w:b/>
                <w:bCs/>
                <w:sz w:val="15"/>
                <w:szCs w:val="15"/>
              </w:rPr>
              <w:tab/>
              <w:t>2012</w:t>
              <w:tab/>
            </w:r>
          </w:p>
        </w:tc>
        <w:tc>
          <w:tcPr>
            <w:tcW w:type="dxa" w:w="919"/>
            <w:tcBorders>
              <w:top w:val="nil"/>
              <w:left w:val="nil"/>
              <w:bottom w:val="nil"/>
              <w:right w:val="nil"/>
            </w:tcBorders>
            <w:shd w:fill="auto" w:val="clear"/>
            <w:tcMar>
              <w:left w:type="dxa" w:w="144"/>
            </w:tcMar>
            <w:vAlign w:val="bottom"/>
          </w:tcPr>
          <w:p>
            <w:pPr>
              <w:pStyle w:val="style65"/>
              <w:ind w:hanging="0" w:left="144" w:right="86"/>
              <w:rPr/>
            </w:pPr>
            <w:r>
              <w:rPr/>
              <w:t> </w:t>
            </w:r>
          </w:p>
        </w:tc>
        <w:tc>
          <w:tcPr>
            <w:tcW w:type="dxa" w:w="1224"/>
            <w:tcBorders>
              <w:top w:val="nil"/>
              <w:left w:val="nil"/>
              <w:bottom w:val="nil"/>
              <w:right w:val="nil"/>
            </w:tcBorders>
            <w:shd w:fill="auto" w:val="clear"/>
            <w:tcMar>
              <w:left w:type="dxa" w:w="144"/>
            </w:tcMar>
            <w:vAlign w:val="bottom"/>
          </w:tcPr>
          <w:p>
            <w:pPr>
              <w:pStyle w:val="style62"/>
              <w:tabs>
                <w:tab w:leader="none" w:pos="1004" w:val="right"/>
                <w:tab w:leader="none" w:pos="1193" w:val="decimal"/>
              </w:tabs>
              <w:spacing w:after="280" w:before="280"/>
              <w:ind w:hanging="0" w:left="144" w:right="43"/>
              <w:contextualSpacing w:val="false"/>
              <w:rPr>
                <w:rFonts w:ascii="Arial" w:cs="Arial" w:hAnsi="Arial"/>
                <w:b/>
                <w:bCs/>
                <w:sz w:val="15"/>
                <w:szCs w:val="15"/>
              </w:rPr>
            </w:pPr>
            <w:r>
              <w:rPr>
                <w:rFonts w:ascii="Arial" w:cs="Arial" w:hAnsi="Arial"/>
                <w:b/>
                <w:bCs/>
                <w:sz w:val="15"/>
                <w:szCs w:val="15"/>
              </w:rPr>
              <w:tab/>
              <w:t>2011</w:t>
              <w:tab/>
            </w:r>
          </w:p>
        </w:tc>
      </w:tr>
      <w:tr>
        <w:trPr>
          <w:trHeight w:hRule="atLeast" w:val="75"/>
          <w:cantSplit w:val="false"/>
        </w:trPr>
        <w:tc>
          <w:tcPr>
            <w:tcW w:type="dxa" w:w="4539"/>
            <w:tcBorders>
              <w:top w:val="nil"/>
              <w:left w:val="nil"/>
              <w:bottom w:val="nil"/>
              <w:right w:val="nil"/>
            </w:tcBorders>
            <w:shd w:fill="auto" w:val="clear"/>
            <w:vAlign w:val="center"/>
          </w:tcPr>
          <w:p>
            <w:pPr>
              <w:pStyle w:val="style0"/>
              <w:rPr>
                <w:sz w:val="8"/>
                <w:szCs w:val="24"/>
              </w:rPr>
            </w:pPr>
            <w:r>
              <w:rPr>
                <w:sz w:val="8"/>
                <w:szCs w:val="24"/>
              </w:rPr>
            </w:r>
          </w:p>
        </w:tc>
        <w:tc>
          <w:tcPr>
            <w:tcW w:type="dxa" w:w="919"/>
            <w:tcBorders>
              <w:top w:val="nil"/>
              <w:left w:val="nil"/>
              <w:bottom w:val="nil"/>
              <w:right w:val="nil"/>
            </w:tcBorders>
            <w:shd w:fill="auto" w:val="clear"/>
            <w:vAlign w:val="center"/>
          </w:tcPr>
          <w:p>
            <w:pPr>
              <w:pStyle w:val="style0"/>
              <w:ind w:hanging="0" w:left="144" w:right="86"/>
              <w:rPr>
                <w:sz w:val="8"/>
                <w:szCs w:val="24"/>
              </w:rPr>
            </w:pPr>
            <w:r>
              <w:rPr>
                <w:sz w:val="8"/>
                <w:szCs w:val="24"/>
              </w:rPr>
            </w:r>
          </w:p>
        </w:tc>
        <w:tc>
          <w:tcPr>
            <w:tcW w:type="dxa" w:w="1159"/>
            <w:tcBorders>
              <w:top w:val="nil"/>
              <w:left w:val="nil"/>
              <w:bottom w:val="nil"/>
              <w:right w:val="nil"/>
            </w:tcBorders>
            <w:shd w:fill="auto" w:val="clear"/>
            <w:vAlign w:val="center"/>
          </w:tcPr>
          <w:p>
            <w:pPr>
              <w:pStyle w:val="style0"/>
              <w:ind w:hanging="0" w:left="144" w:right="86"/>
              <w:rPr>
                <w:sz w:val="8"/>
                <w:szCs w:val="24"/>
              </w:rPr>
            </w:pPr>
            <w:r>
              <w:rPr>
                <w:sz w:val="8"/>
                <w:szCs w:val="24"/>
              </w:rPr>
            </w:r>
          </w:p>
        </w:tc>
        <w:tc>
          <w:tcPr>
            <w:tcW w:type="dxa" w:w="919"/>
            <w:tcBorders>
              <w:top w:val="nil"/>
              <w:left w:val="nil"/>
              <w:bottom w:val="nil"/>
              <w:right w:val="nil"/>
            </w:tcBorders>
            <w:shd w:fill="auto" w:val="clear"/>
            <w:vAlign w:val="center"/>
          </w:tcPr>
          <w:p>
            <w:pPr>
              <w:pStyle w:val="style0"/>
              <w:ind w:hanging="0" w:left="144" w:right="86"/>
              <w:rPr>
                <w:sz w:val="8"/>
                <w:szCs w:val="24"/>
              </w:rPr>
            </w:pPr>
            <w:r>
              <w:rPr>
                <w:sz w:val="8"/>
                <w:szCs w:val="24"/>
              </w:rPr>
            </w:r>
          </w:p>
        </w:tc>
        <w:tc>
          <w:tcPr>
            <w:tcW w:type="dxa" w:w="1121"/>
            <w:tcBorders>
              <w:top w:val="nil"/>
              <w:left w:val="nil"/>
              <w:bottom w:val="nil"/>
              <w:right w:val="nil"/>
            </w:tcBorders>
            <w:shd w:fill="auto" w:val="clear"/>
            <w:vAlign w:val="center"/>
          </w:tcPr>
          <w:p>
            <w:pPr>
              <w:pStyle w:val="style0"/>
              <w:ind w:hanging="0" w:left="144" w:right="86"/>
              <w:rPr>
                <w:sz w:val="8"/>
                <w:szCs w:val="24"/>
              </w:rPr>
            </w:pPr>
            <w:r>
              <w:rPr>
                <w:sz w:val="8"/>
                <w:szCs w:val="24"/>
              </w:rPr>
            </w:r>
          </w:p>
        </w:tc>
        <w:tc>
          <w:tcPr>
            <w:tcW w:type="dxa" w:w="919"/>
            <w:tcBorders>
              <w:top w:val="nil"/>
              <w:left w:val="nil"/>
              <w:bottom w:val="nil"/>
              <w:right w:val="nil"/>
            </w:tcBorders>
            <w:shd w:fill="auto" w:val="clear"/>
            <w:vAlign w:val="center"/>
          </w:tcPr>
          <w:p>
            <w:pPr>
              <w:pStyle w:val="style0"/>
              <w:ind w:hanging="0" w:left="144" w:right="86"/>
              <w:rPr>
                <w:sz w:val="8"/>
                <w:szCs w:val="24"/>
              </w:rPr>
            </w:pPr>
            <w:r>
              <w:rPr>
                <w:sz w:val="8"/>
                <w:szCs w:val="24"/>
              </w:rPr>
            </w:r>
          </w:p>
        </w:tc>
        <w:tc>
          <w:tcPr>
            <w:tcW w:type="dxa" w:w="1224"/>
            <w:tcBorders>
              <w:top w:val="nil"/>
              <w:left w:val="nil"/>
              <w:bottom w:val="nil"/>
              <w:right w:val="nil"/>
            </w:tcBorders>
            <w:shd w:fill="auto" w:val="clear"/>
            <w:vAlign w:val="center"/>
          </w:tcPr>
          <w:p>
            <w:pPr>
              <w:pStyle w:val="style0"/>
              <w:ind w:hanging="0" w:left="144" w:right="86"/>
              <w:rPr>
                <w:sz w:val="8"/>
                <w:szCs w:val="24"/>
              </w:rPr>
            </w:pPr>
            <w:r>
              <w:rPr>
                <w:sz w:val="8"/>
                <w:szCs w:val="24"/>
              </w:rPr>
            </w:r>
          </w:p>
        </w:tc>
      </w:tr>
      <w:tr>
        <w:trPr>
          <w:cantSplit w:val="false"/>
        </w:trPr>
        <w:tc>
          <w:tcPr>
            <w:tcW w:type="dxa" w:w="453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First quarter</w:t>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403" w:right="86"/>
              <w:contextualSpacing w:val="false"/>
              <w:rPr>
                <w:rFonts w:ascii="Arial" w:cs="Arial" w:hAnsi="Arial"/>
                <w:b/>
                <w:bCs/>
                <w:sz w:val="20"/>
                <w:szCs w:val="20"/>
              </w:rPr>
            </w:pPr>
            <w:r>
              <w:rPr>
                <w:rFonts w:ascii="Arial" w:cs="Arial" w:hAnsi="Arial"/>
                <w:b/>
                <w:bCs/>
                <w:sz w:val="20"/>
                <w:szCs w:val="20"/>
              </w:rPr>
              <w:tab/>
              <w:t>33</w:t>
              <w:tab/>
              <w:t> </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1,000</w:t>
              <w:tab/>
              <w:t> </w:t>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86"/>
              <w:contextualSpacing w:val="false"/>
              <w:rPr>
                <w:rFonts w:ascii="Arial" w:cs="Arial" w:hAnsi="Arial"/>
                <w:sz w:val="20"/>
                <w:szCs w:val="20"/>
              </w:rPr>
            </w:pPr>
            <w:r>
              <w:rPr>
                <w:rFonts w:ascii="Arial" w:cs="Arial" w:hAnsi="Arial"/>
                <w:sz w:val="20"/>
                <w:szCs w:val="20"/>
              </w:rPr>
              <w:tab/>
              <w:t>38</w:t>
              <w:tab/>
              <w:t> </w:t>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1,000</w:t>
              <w:tab/>
              <w:t> </w:t>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86"/>
              <w:contextualSpacing w:val="false"/>
              <w:rPr>
                <w:rFonts w:ascii="Arial" w:cs="Arial" w:hAnsi="Arial"/>
                <w:sz w:val="20"/>
                <w:szCs w:val="20"/>
              </w:rPr>
            </w:pPr>
            <w:r>
              <w:rPr>
                <w:rFonts w:ascii="Arial" w:cs="Arial" w:hAnsi="Arial"/>
                <w:sz w:val="20"/>
                <w:szCs w:val="20"/>
              </w:rPr>
              <w:tab/>
              <w:t>163</w:t>
              <w:tab/>
              <w:t> </w:t>
            </w:r>
          </w:p>
        </w:tc>
        <w:tc>
          <w:tcPr>
            <w:tcW w:type="dxa" w:w="1224"/>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4,000</w:t>
              <w:tab/>
              <w:t> </w:t>
            </w:r>
          </w:p>
        </w:tc>
      </w:tr>
      <w:tr>
        <w:trPr>
          <w:cantSplit w:val="false"/>
        </w:trPr>
        <w:tc>
          <w:tcPr>
            <w:tcW w:type="dxa" w:w="453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Second quarter</w:t>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403" w:right="86"/>
              <w:contextualSpacing w:val="false"/>
              <w:rPr>
                <w:rFonts w:ascii="Arial" w:cs="Arial" w:hAnsi="Arial"/>
                <w:b/>
                <w:bCs/>
                <w:sz w:val="20"/>
                <w:szCs w:val="20"/>
              </w:rPr>
            </w:pPr>
            <w:r>
              <w:rPr>
                <w:rFonts w:ascii="Arial" w:cs="Arial" w:hAnsi="Arial"/>
                <w:b/>
                <w:bCs/>
                <w:sz w:val="20"/>
                <w:szCs w:val="20"/>
              </w:rPr>
              <w:tab/>
              <w:t>58</w:t>
              <w:tab/>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1,607</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86"/>
              <w:contextualSpacing w:val="false"/>
              <w:rPr>
                <w:rFonts w:ascii="Arial" w:cs="Arial" w:hAnsi="Arial"/>
                <w:sz w:val="20"/>
                <w:szCs w:val="20"/>
              </w:rPr>
            </w:pPr>
            <w:r>
              <w:rPr>
                <w:rFonts w:ascii="Arial" w:cs="Arial" w:hAnsi="Arial"/>
                <w:sz w:val="20"/>
                <w:szCs w:val="20"/>
              </w:rPr>
              <w:tab/>
              <w:t>39</w:t>
              <w:tab/>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86"/>
              <w:contextualSpacing w:val="false"/>
              <w:rPr>
                <w:rFonts w:ascii="Arial" w:cs="Arial" w:hAnsi="Arial"/>
                <w:sz w:val="20"/>
                <w:szCs w:val="20"/>
              </w:rPr>
            </w:pPr>
            <w:r>
              <w:rPr>
                <w:rFonts w:ascii="Arial" w:cs="Arial" w:hAnsi="Arial"/>
                <w:sz w:val="20"/>
                <w:szCs w:val="20"/>
              </w:rPr>
              <w:tab/>
              <w:t>1,000</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86"/>
              <w:contextualSpacing w:val="false"/>
              <w:rPr>
                <w:rFonts w:ascii="Arial" w:cs="Arial" w:hAnsi="Arial"/>
                <w:sz w:val="20"/>
                <w:szCs w:val="20"/>
              </w:rPr>
            </w:pPr>
            <w:r>
              <w:rPr>
                <w:rFonts w:ascii="Arial" w:cs="Arial" w:hAnsi="Arial"/>
                <w:sz w:val="20"/>
                <w:szCs w:val="20"/>
              </w:rPr>
              <w:tab/>
              <w:t>188</w:t>
              <w:tab/>
            </w:r>
          </w:p>
        </w:tc>
        <w:tc>
          <w:tcPr>
            <w:tcW w:type="dxa" w:w="1224"/>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5,000</w:t>
              <w:tab/>
            </w:r>
          </w:p>
        </w:tc>
      </w:tr>
      <w:tr>
        <w:trPr>
          <w:cantSplit w:val="false"/>
        </w:trPr>
        <w:tc>
          <w:tcPr>
            <w:tcW w:type="dxa" w:w="453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Third quarter</w:t>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403" w:right="86"/>
              <w:contextualSpacing w:val="false"/>
              <w:rPr>
                <w:rFonts w:ascii="Arial" w:cs="Arial" w:hAnsi="Arial"/>
                <w:b/>
                <w:bCs/>
                <w:sz w:val="20"/>
                <w:szCs w:val="20"/>
              </w:rPr>
            </w:pPr>
            <w:r>
              <w:rPr>
                <w:rFonts w:ascii="Arial" w:cs="Arial" w:hAnsi="Arial"/>
                <w:b/>
                <w:bCs/>
                <w:sz w:val="20"/>
                <w:szCs w:val="20"/>
              </w:rPr>
              <w:tab/>
              <w:t>36</w:t>
              <w:tab/>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1,000</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86"/>
              <w:contextualSpacing w:val="false"/>
              <w:rPr>
                <w:rFonts w:ascii="Arial" w:cs="Arial" w:hAnsi="Arial"/>
                <w:sz w:val="20"/>
                <w:szCs w:val="20"/>
              </w:rPr>
            </w:pPr>
            <w:r>
              <w:rPr>
                <w:rFonts w:ascii="Arial" w:cs="Arial" w:hAnsi="Arial"/>
                <w:sz w:val="20"/>
                <w:szCs w:val="20"/>
              </w:rPr>
              <w:tab/>
              <w:t>31</w:t>
              <w:tab/>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86"/>
              <w:contextualSpacing w:val="false"/>
              <w:rPr>
                <w:rFonts w:ascii="Arial" w:cs="Arial" w:hAnsi="Arial"/>
                <w:sz w:val="20"/>
                <w:szCs w:val="20"/>
              </w:rPr>
            </w:pPr>
            <w:r>
              <w:rPr>
                <w:rFonts w:ascii="Arial" w:cs="Arial" w:hAnsi="Arial"/>
                <w:sz w:val="20"/>
                <w:szCs w:val="20"/>
              </w:rPr>
              <w:tab/>
              <w:t>1,000</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86"/>
              <w:contextualSpacing w:val="false"/>
              <w:rPr>
                <w:rFonts w:ascii="Arial" w:cs="Arial" w:hAnsi="Arial"/>
                <w:sz w:val="20"/>
                <w:szCs w:val="20"/>
              </w:rPr>
            </w:pPr>
            <w:r>
              <w:rPr>
                <w:rFonts w:ascii="Arial" w:cs="Arial" w:hAnsi="Arial"/>
                <w:sz w:val="20"/>
                <w:szCs w:val="20"/>
              </w:rPr>
              <w:tab/>
              <w:t>30</w:t>
              <w:tab/>
            </w:r>
          </w:p>
        </w:tc>
        <w:tc>
          <w:tcPr>
            <w:tcW w:type="dxa" w:w="1224"/>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827</w:t>
              <w:tab/>
            </w:r>
          </w:p>
        </w:tc>
      </w:tr>
      <w:tr>
        <w:trPr>
          <w:cantSplit w:val="false"/>
        </w:trPr>
        <w:tc>
          <w:tcPr>
            <w:tcW w:type="dxa" w:w="453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Fourth quarter</w:t>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403" w:right="86"/>
              <w:contextualSpacing w:val="false"/>
              <w:rPr>
                <w:rFonts w:ascii="Arial" w:cs="Arial" w:hAnsi="Arial"/>
                <w:b/>
                <w:bCs/>
                <w:sz w:val="20"/>
                <w:szCs w:val="20"/>
              </w:rPr>
            </w:pPr>
            <w:r>
              <w:rPr>
                <w:rFonts w:ascii="Arial" w:cs="Arial" w:hAnsi="Arial"/>
                <w:b/>
                <w:bCs/>
                <w:sz w:val="20"/>
                <w:szCs w:val="20"/>
              </w:rPr>
              <w:tab/>
              <w:t>31</w:t>
              <w:tab/>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1,000</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86"/>
              <w:contextualSpacing w:val="false"/>
              <w:rPr>
                <w:rFonts w:ascii="Arial" w:cs="Arial" w:hAnsi="Arial"/>
                <w:sz w:val="20"/>
                <w:szCs w:val="20"/>
              </w:rPr>
            </w:pPr>
            <w:r>
              <w:rPr>
                <w:rFonts w:ascii="Arial" w:cs="Arial" w:hAnsi="Arial"/>
                <w:sz w:val="20"/>
                <w:szCs w:val="20"/>
              </w:rPr>
              <w:tab/>
              <w:t>34</w:t>
              <w:tab/>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86"/>
              <w:contextualSpacing w:val="false"/>
              <w:rPr>
                <w:rFonts w:ascii="Arial" w:cs="Arial" w:hAnsi="Arial"/>
                <w:sz w:val="20"/>
                <w:szCs w:val="20"/>
              </w:rPr>
            </w:pPr>
            <w:r>
              <w:rPr>
                <w:rFonts w:ascii="Arial" w:cs="Arial" w:hAnsi="Arial"/>
                <w:sz w:val="20"/>
                <w:szCs w:val="20"/>
              </w:rPr>
              <w:tab/>
              <w:t>1,000</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86"/>
              <w:contextualSpacing w:val="false"/>
              <w:rPr>
                <w:rFonts w:ascii="Arial" w:cs="Arial" w:hAnsi="Arial"/>
                <w:sz w:val="20"/>
                <w:szCs w:val="20"/>
              </w:rPr>
            </w:pPr>
            <w:r>
              <w:rPr>
                <w:rFonts w:ascii="Arial" w:cs="Arial" w:hAnsi="Arial"/>
                <w:sz w:val="20"/>
                <w:szCs w:val="20"/>
              </w:rPr>
              <w:tab/>
              <w:t>66</w:t>
              <w:tab/>
            </w:r>
          </w:p>
        </w:tc>
        <w:tc>
          <w:tcPr>
            <w:tcW w:type="dxa" w:w="1224"/>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1,631</w:t>
              <w:tab/>
            </w:r>
          </w:p>
        </w:tc>
      </w:tr>
      <w:tr>
        <w:trPr>
          <w:cantSplit w:val="false"/>
        </w:trPr>
        <w:tc>
          <w:tcPr>
            <w:tcW w:type="dxa" w:w="5459"/>
            <w:gridSpan w:val="2"/>
            <w:tcBorders>
              <w:top w:val="nil"/>
              <w:left w:val="nil"/>
              <w:bottom w:val="nil"/>
              <w:right w:val="nil"/>
            </w:tcBorders>
            <w:shd w:fill="auto" w:val="clear"/>
            <w:vAlign w:val="bottom"/>
          </w:tcPr>
          <w:p>
            <w:pPr>
              <w:pStyle w:val="style59"/>
              <w:spacing w:after="0" w:before="20"/>
              <w:ind w:hanging="0" w:left="-144" w:right="86"/>
              <w:contextualSpacing w:val="false"/>
              <w:rPr/>
            </w:pPr>
            <w:r>
              <w:rPr/>
              <w:t> </w:t>
            </w:r>
          </w:p>
        </w:tc>
        <w:tc>
          <w:tcPr>
            <w:tcW w:type="dxa" w:w="1159"/>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c>
          <w:tcPr>
            <w:tcW w:type="dxa" w:w="920"/>
            <w:tcBorders>
              <w:top w:val="nil"/>
              <w:left w:val="nil"/>
              <w:bottom w:val="nil"/>
              <w:right w:val="nil"/>
            </w:tcBorders>
            <w:shd w:fill="auto" w:val="clear"/>
            <w:tcMar>
              <w:left w:type="dxa" w:w="144"/>
            </w:tcMar>
            <w:vAlign w:val="bottom"/>
          </w:tcPr>
          <w:p>
            <w:pPr>
              <w:pStyle w:val="style59"/>
              <w:spacing w:after="0" w:before="20"/>
              <w:ind w:hanging="0" w:left="374" w:right="86"/>
              <w:contextualSpacing w:val="false"/>
              <w:rPr/>
            </w:pPr>
            <w:r>
              <w:rPr/>
              <w:t> </w:t>
            </w:r>
          </w:p>
        </w:tc>
        <w:tc>
          <w:tcPr>
            <w:tcW w:type="dxa" w:w="1120"/>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c>
          <w:tcPr>
            <w:tcW w:type="dxa" w:w="919"/>
            <w:tcBorders>
              <w:top w:val="nil"/>
              <w:left w:val="nil"/>
              <w:bottom w:val="nil"/>
              <w:right w:val="nil"/>
            </w:tcBorders>
            <w:shd w:fill="auto" w:val="clear"/>
            <w:tcMar>
              <w:left w:type="dxa" w:w="144"/>
            </w:tcMar>
            <w:vAlign w:val="bottom"/>
          </w:tcPr>
          <w:p>
            <w:pPr>
              <w:pStyle w:val="style59"/>
              <w:spacing w:after="0" w:before="20"/>
              <w:ind w:hanging="0" w:left="374" w:right="86"/>
              <w:contextualSpacing w:val="false"/>
              <w:rPr/>
            </w:pPr>
            <w:r>
              <w:rPr/>
              <w:t> </w:t>
            </w:r>
          </w:p>
        </w:tc>
        <w:tc>
          <w:tcPr>
            <w:tcW w:type="dxa" w:w="1223"/>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r>
      <w:tr>
        <w:trPr>
          <w:cantSplit w:val="false"/>
        </w:trPr>
        <w:tc>
          <w:tcPr>
            <w:tcW w:type="dxa" w:w="453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403" w:right="86"/>
              <w:contextualSpacing w:val="false"/>
              <w:rPr>
                <w:rFonts w:ascii="Arial" w:cs="Arial" w:hAnsi="Arial"/>
                <w:b/>
                <w:bCs/>
                <w:sz w:val="20"/>
                <w:szCs w:val="20"/>
              </w:rPr>
            </w:pPr>
            <w:r>
              <w:rPr>
                <w:rFonts w:ascii="Arial" w:cs="Arial" w:hAnsi="Arial"/>
                <w:b/>
                <w:bCs/>
                <w:sz w:val="20"/>
                <w:szCs w:val="20"/>
              </w:rPr>
              <w:tab/>
              <w:t>158</w:t>
              <w:tab/>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4,607</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86"/>
              <w:contextualSpacing w:val="false"/>
              <w:rPr>
                <w:rFonts w:ascii="Arial" w:cs="Arial" w:hAnsi="Arial"/>
                <w:sz w:val="20"/>
                <w:szCs w:val="20"/>
              </w:rPr>
            </w:pPr>
            <w:r>
              <w:rPr>
                <w:rFonts w:ascii="Arial" w:cs="Arial" w:hAnsi="Arial"/>
                <w:sz w:val="20"/>
                <w:szCs w:val="20"/>
              </w:rPr>
              <w:tab/>
              <w:t>142</w:t>
              <w:tab/>
            </w:r>
          </w:p>
        </w:tc>
        <w:tc>
          <w:tcPr>
            <w:tcW w:type="dxa" w:w="112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4,000</w:t>
              <w:tab/>
            </w:r>
          </w:p>
        </w:tc>
        <w:tc>
          <w:tcPr>
            <w:tcW w:type="dxa" w:w="919"/>
            <w:tcBorders>
              <w:top w:val="nil"/>
              <w:left w:val="nil"/>
              <w:bottom w:val="nil"/>
              <w:right w:val="nil"/>
            </w:tcBorders>
            <w:shd w:fill="auto" w:val="clear"/>
            <w:tcMar>
              <w:left w:type="dxa" w:w="144"/>
            </w:tcMar>
            <w:vAlign w:val="bottom"/>
          </w:tcPr>
          <w:p>
            <w:pPr>
              <w:pStyle w:val="style62"/>
              <w:tabs>
                <w:tab w:leader="none" w:pos="720" w:val="right"/>
                <w:tab w:leader="none" w:pos="760" w:val="decimal"/>
              </w:tabs>
              <w:spacing w:after="280" w:before="280"/>
              <w:ind w:hanging="0" w:left="374" w:right="86"/>
              <w:contextualSpacing w:val="false"/>
              <w:rPr>
                <w:rFonts w:ascii="Arial" w:cs="Arial" w:hAnsi="Arial"/>
                <w:sz w:val="20"/>
                <w:szCs w:val="20"/>
              </w:rPr>
            </w:pPr>
            <w:r>
              <w:rPr>
                <w:rFonts w:ascii="Arial" w:cs="Arial" w:hAnsi="Arial"/>
                <w:sz w:val="20"/>
                <w:szCs w:val="20"/>
              </w:rPr>
              <w:tab/>
              <w:t>447</w:t>
              <w:tab/>
            </w:r>
          </w:p>
        </w:tc>
        <w:tc>
          <w:tcPr>
            <w:tcW w:type="dxa" w:w="1224"/>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11,458</w:t>
              <w:tab/>
            </w:r>
          </w:p>
        </w:tc>
      </w:tr>
      <w:tr>
        <w:trPr>
          <w:cantSplit w:val="false"/>
        </w:trPr>
        <w:tc>
          <w:tcPr>
            <w:tcW w:type="dxa" w:w="4539"/>
            <w:tcBorders>
              <w:top w:val="nil"/>
              <w:left w:val="nil"/>
              <w:bottom w:val="nil"/>
              <w:right w:val="nil"/>
            </w:tcBorders>
            <w:shd w:fill="auto" w:val="clear"/>
            <w:tcMar>
              <w:left w:type="dxa" w:w="144"/>
            </w:tcMar>
            <w:vAlign w:val="bottom"/>
          </w:tcPr>
          <w:p>
            <w:pPr>
              <w:pStyle w:val="style65"/>
              <w:rPr/>
            </w:pPr>
            <w:r>
              <w:rPr/>
              <w:t> </w:t>
            </w:r>
          </w:p>
        </w:tc>
        <w:tc>
          <w:tcPr>
            <w:tcW w:type="dxa" w:w="919"/>
            <w:tcBorders>
              <w:top w:val="nil"/>
              <w:left w:val="nil"/>
              <w:bottom w:val="nil"/>
              <w:right w:val="nil"/>
            </w:tcBorders>
            <w:shd w:fill="auto" w:val="clear"/>
            <w:tcMar>
              <w:left w:type="dxa" w:w="144"/>
            </w:tcMar>
            <w:vAlign w:val="bottom"/>
          </w:tcPr>
          <w:p>
            <w:pPr>
              <w:pStyle w:val="style63"/>
              <w:spacing w:after="0" w:before="20"/>
              <w:ind w:hanging="0" w:left="403" w:right="86"/>
              <w:contextualSpacing w:val="false"/>
              <w:rPr/>
            </w:pPr>
            <w:r>
              <w:rPr/>
              <w:t> </w:t>
            </w:r>
          </w:p>
        </w:tc>
        <w:tc>
          <w:tcPr>
            <w:tcW w:type="dxa" w:w="1159"/>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919"/>
            <w:tcBorders>
              <w:top w:val="nil"/>
              <w:left w:val="nil"/>
              <w:bottom w:val="nil"/>
              <w:right w:val="nil"/>
            </w:tcBorders>
            <w:shd w:fill="auto" w:val="clear"/>
            <w:tcMar>
              <w:left w:type="dxa" w:w="144"/>
            </w:tcMar>
            <w:vAlign w:val="bottom"/>
          </w:tcPr>
          <w:p>
            <w:pPr>
              <w:pStyle w:val="style63"/>
              <w:spacing w:after="0" w:before="20"/>
              <w:ind w:hanging="0" w:left="374" w:right="86"/>
              <w:contextualSpacing w:val="false"/>
              <w:rPr/>
            </w:pPr>
            <w:r>
              <w:rPr/>
              <w:t> </w:t>
            </w:r>
          </w:p>
        </w:tc>
        <w:tc>
          <w:tcPr>
            <w:tcW w:type="dxa" w:w="1121"/>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919"/>
            <w:tcBorders>
              <w:top w:val="nil"/>
              <w:left w:val="nil"/>
              <w:bottom w:val="nil"/>
              <w:right w:val="nil"/>
            </w:tcBorders>
            <w:shd w:fill="auto" w:val="clear"/>
            <w:tcMar>
              <w:left w:type="dxa" w:w="144"/>
            </w:tcMar>
            <w:vAlign w:val="bottom"/>
          </w:tcPr>
          <w:p>
            <w:pPr>
              <w:pStyle w:val="style63"/>
              <w:spacing w:after="0" w:before="20"/>
              <w:ind w:hanging="0" w:left="374" w:right="86"/>
              <w:contextualSpacing w:val="false"/>
              <w:rPr/>
            </w:pPr>
            <w:r>
              <w:rPr/>
              <w:t> </w:t>
            </w:r>
          </w:p>
        </w:tc>
        <w:tc>
          <w:tcPr>
            <w:tcW w:type="dxa" w:w="1224"/>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r>
    </w:tbl>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Dividends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In fiscal year 2013, our Board of Directors declared the following dividends: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3615"/>
        <w:gridCol w:w="1139"/>
        <w:gridCol w:w="2280"/>
        <w:gridCol w:w="1480"/>
        <w:gridCol w:w="2287"/>
      </w:tblGrid>
      <w:tr>
        <w:trPr>
          <w:tblHeader w:val="true"/>
          <w:cantSplit w:val="false"/>
        </w:trPr>
        <w:tc>
          <w:tcPr>
            <w:tcW w:type="dxa" w:w="3615"/>
            <w:tcBorders>
              <w:top w:val="nil"/>
              <w:left w:val="nil"/>
              <w:bottom w:val="nil"/>
              <w:right w:val="nil"/>
            </w:tcBorders>
            <w:shd w:fill="auto" w:val="clear"/>
            <w:vAlign w:val="center"/>
          </w:tcPr>
          <w:p>
            <w:pPr>
              <w:pStyle w:val="style0"/>
              <w:rPr>
                <w:sz w:val="1"/>
                <w:szCs w:val="24"/>
              </w:rPr>
            </w:pPr>
            <w:r>
              <w:rPr>
                <w:sz w:val="1"/>
                <w:szCs w:val="24"/>
              </w:rPr>
            </w:r>
          </w:p>
        </w:tc>
        <w:tc>
          <w:tcPr>
            <w:tcW w:type="dxa" w:w="1139"/>
            <w:tcBorders>
              <w:top w:val="nil"/>
              <w:left w:val="nil"/>
              <w:bottom w:val="nil"/>
              <w:right w:val="nil"/>
            </w:tcBorders>
            <w:shd w:fill="auto" w:val="clear"/>
            <w:vAlign w:val="center"/>
          </w:tcPr>
          <w:p>
            <w:pPr>
              <w:pStyle w:val="style0"/>
              <w:rPr>
                <w:sz w:val="1"/>
                <w:szCs w:val="24"/>
              </w:rPr>
            </w:pPr>
            <w:r>
              <w:rPr>
                <w:sz w:val="1"/>
                <w:szCs w:val="24"/>
              </w:rPr>
            </w:r>
          </w:p>
        </w:tc>
        <w:tc>
          <w:tcPr>
            <w:tcW w:type="dxa" w:w="2280"/>
            <w:tcBorders>
              <w:top w:val="nil"/>
              <w:left w:val="nil"/>
              <w:bottom w:val="nil"/>
              <w:right w:val="nil"/>
            </w:tcBorders>
            <w:shd w:fill="auto" w:val="clear"/>
            <w:vAlign w:val="center"/>
          </w:tcPr>
          <w:p>
            <w:pPr>
              <w:pStyle w:val="style0"/>
              <w:rPr>
                <w:sz w:val="1"/>
                <w:szCs w:val="24"/>
              </w:rPr>
            </w:pPr>
            <w:r>
              <w:rPr>
                <w:sz w:val="1"/>
                <w:szCs w:val="24"/>
              </w:rPr>
            </w:r>
          </w:p>
        </w:tc>
        <w:tc>
          <w:tcPr>
            <w:tcW w:type="dxa" w:w="1480"/>
            <w:tcBorders>
              <w:top w:val="nil"/>
              <w:left w:val="nil"/>
              <w:bottom w:val="nil"/>
              <w:right w:val="nil"/>
            </w:tcBorders>
            <w:shd w:fill="auto" w:val="clear"/>
            <w:vAlign w:val="center"/>
          </w:tcPr>
          <w:p>
            <w:pPr>
              <w:pStyle w:val="style0"/>
              <w:rPr>
                <w:sz w:val="1"/>
                <w:szCs w:val="24"/>
              </w:rPr>
            </w:pPr>
            <w:r>
              <w:rPr>
                <w:sz w:val="1"/>
                <w:szCs w:val="24"/>
              </w:rPr>
            </w:r>
          </w:p>
        </w:tc>
        <w:tc>
          <w:tcPr>
            <w:tcW w:type="dxa" w:w="2287"/>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361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Declaration Date</w:t>
            </w:r>
          </w:p>
        </w:tc>
        <w:tc>
          <w:tcPr>
            <w:tcW w:type="dxa" w:w="1139"/>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Dividend</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Per Share</w:t>
            </w:r>
          </w:p>
        </w:tc>
        <w:tc>
          <w:tcPr>
            <w:tcW w:type="dxa" w:w="2280"/>
            <w:tcBorders>
              <w:top w:val="nil"/>
              <w:left w:val="nil"/>
              <w:bottom w:val="nil"/>
              <w:right w:val="nil"/>
            </w:tcBorders>
            <w:shd w:fill="auto" w:val="clear"/>
            <w:tcMar>
              <w:left w:type="dxa" w:w="144"/>
            </w:tcMar>
            <w:vAlign w:val="bottom"/>
          </w:tcPr>
          <w:p>
            <w:pPr>
              <w:pStyle w:val="style0"/>
              <w:ind w:hanging="0" w:left="0" w:right="61"/>
              <w:jc w:val="right"/>
              <w:rPr>
                <w:rFonts w:ascii="Arial" w:cs="Arial" w:hAnsi="Arial"/>
                <w:b/>
                <w:bCs/>
                <w:sz w:val="15"/>
                <w:szCs w:val="15"/>
              </w:rPr>
            </w:pPr>
            <w:r>
              <w:rPr>
                <w:rFonts w:ascii="Arial" w:cs="Arial" w:hAnsi="Arial"/>
                <w:b/>
                <w:bCs/>
                <w:sz w:val="15"/>
                <w:szCs w:val="15"/>
              </w:rPr>
              <w:t>Record Date</w:t>
            </w:r>
          </w:p>
        </w:tc>
        <w:tc>
          <w:tcPr>
            <w:tcW w:type="dxa" w:w="1480"/>
            <w:tcBorders>
              <w:top w:val="nil"/>
              <w:left w:val="nil"/>
              <w:bottom w:val="nil"/>
              <w:right w:val="nil"/>
            </w:tcBorders>
            <w:shd w:fill="auto" w:val="clear"/>
            <w:tcMar>
              <w:left w:type="dxa" w:w="144"/>
            </w:tcMar>
            <w:vAlign w:val="bottom"/>
          </w:tcPr>
          <w:p>
            <w:pPr>
              <w:pStyle w:val="style0"/>
              <w:ind w:hanging="0" w:left="0" w:right="74"/>
              <w:jc w:val="right"/>
              <w:rPr>
                <w:rFonts w:ascii="Arial" w:cs="Arial" w:hAnsi="Arial"/>
                <w:b/>
                <w:bCs/>
                <w:sz w:val="15"/>
                <w:szCs w:val="15"/>
              </w:rPr>
            </w:pPr>
            <w:r>
              <w:rPr>
                <w:rFonts w:ascii="Arial" w:cs="Arial" w:hAnsi="Arial"/>
                <w:b/>
                <w:bCs/>
                <w:sz w:val="15"/>
                <w:szCs w:val="15"/>
              </w:rPr>
              <w:t>Total Amount</w:t>
            </w:r>
          </w:p>
        </w:tc>
        <w:tc>
          <w:tcPr>
            <w:tcW w:type="dxa" w:w="2287"/>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Payment Date</w:t>
            </w:r>
          </w:p>
        </w:tc>
      </w:tr>
      <w:tr>
        <w:trPr>
          <w:cantSplit w:val="false"/>
        </w:trPr>
        <w:tc>
          <w:tcPr>
            <w:tcW w:type="dxa" w:w="10801"/>
            <w:gridSpan w:val="5"/>
            <w:tcBorders>
              <w:top w:val="nil"/>
              <w:left w:val="nil"/>
              <w:bottom w:val="nil"/>
              <w:right w:val="nil"/>
            </w:tcBorders>
            <w:shd w:fill="auto" w:val="clear"/>
            <w:tcMar>
              <w:left w:type="dxa" w:w="144"/>
            </w:tcMar>
            <w:vAlign w:val="bottom"/>
          </w:tcPr>
          <w:p>
            <w:pPr>
              <w:pStyle w:val="style59"/>
              <w:spacing w:after="0" w:before="20"/>
              <w:ind w:hanging="0" w:left="-126" w:right="86"/>
              <w:contextualSpacing w:val="false"/>
              <w:rPr/>
            </w:pPr>
            <w:r>
              <w:rPr/>
              <w:t> </w:t>
            </w:r>
          </w:p>
        </w:tc>
      </w:tr>
      <w:tr>
        <w:trPr>
          <w:cantSplit w:val="false"/>
        </w:trPr>
        <w:tc>
          <w:tcPr>
            <w:tcW w:type="dxa" w:w="3615"/>
            <w:tcBorders>
              <w:top w:val="nil"/>
              <w:left w:val="nil"/>
              <w:bottom w:val="nil"/>
              <w:right w:val="nil"/>
            </w:tcBorders>
            <w:shd w:fill="auto" w:val="clear"/>
            <w:tcMar>
              <w:left w:type="dxa" w:w="144"/>
            </w:tcMar>
            <w:vAlign w:val="bottom"/>
          </w:tcPr>
          <w:p>
            <w:pPr>
              <w:pStyle w:val="style65"/>
              <w:keepNext/>
              <w:rPr/>
            </w:pPr>
            <w:r>
              <w:rPr/>
              <w:t> </w:t>
            </w:r>
          </w:p>
        </w:tc>
        <w:tc>
          <w:tcPr>
            <w:tcW w:type="dxa" w:w="1139"/>
            <w:tcBorders>
              <w:top w:val="nil"/>
              <w:left w:val="nil"/>
              <w:bottom w:val="nil"/>
              <w:right w:val="nil"/>
            </w:tcBorders>
            <w:shd w:fill="auto" w:val="clear"/>
            <w:tcMar>
              <w:left w:type="dxa" w:w="144"/>
            </w:tcMar>
            <w:vAlign w:val="bottom"/>
          </w:tcPr>
          <w:p>
            <w:pPr>
              <w:pStyle w:val="style65"/>
              <w:rPr/>
            </w:pPr>
            <w:r>
              <w:rPr/>
              <w:t> </w:t>
            </w:r>
          </w:p>
        </w:tc>
        <w:tc>
          <w:tcPr>
            <w:tcW w:type="dxa" w:w="2280"/>
            <w:tcBorders>
              <w:top w:val="nil"/>
              <w:left w:val="nil"/>
              <w:bottom w:val="nil"/>
              <w:right w:val="nil"/>
            </w:tcBorders>
            <w:shd w:fill="auto" w:val="clear"/>
            <w:tcMar>
              <w:left w:type="dxa" w:w="144"/>
            </w:tcMar>
            <w:vAlign w:val="bottom"/>
          </w:tcPr>
          <w:p>
            <w:pPr>
              <w:pStyle w:val="style65"/>
              <w:rPr/>
            </w:pPr>
            <w:r>
              <w:rPr/>
              <w:t> </w:t>
            </w:r>
          </w:p>
        </w:tc>
        <w:tc>
          <w:tcPr>
            <w:tcW w:type="dxa" w:w="1480"/>
            <w:tcBorders>
              <w:top w:val="nil"/>
              <w:left w:val="nil"/>
              <w:bottom w:val="nil"/>
              <w:right w:val="nil"/>
            </w:tcBorders>
            <w:shd w:fill="auto" w:val="clear"/>
            <w:tcMar>
              <w:left w:type="dxa" w:w="144"/>
            </w:tcMar>
            <w:vAlign w:val="bottom"/>
          </w:tcPr>
          <w:p>
            <w:pPr>
              <w:pStyle w:val="style0"/>
              <w:ind w:hanging="0" w:left="0" w:right="74"/>
              <w:jc w:val="right"/>
              <w:rPr>
                <w:rFonts w:ascii="Arial" w:cs="Arial" w:hAnsi="Arial"/>
                <w:b/>
                <w:bCs/>
                <w:sz w:val="15"/>
                <w:szCs w:val="15"/>
              </w:rPr>
            </w:pPr>
            <w:r>
              <w:rPr>
                <w:rFonts w:ascii="Arial" w:cs="Arial" w:hAnsi="Arial"/>
                <w:b/>
                <w:bCs/>
                <w:sz w:val="15"/>
                <w:szCs w:val="15"/>
              </w:rPr>
              <w:t>(In millions)</w:t>
            </w:r>
          </w:p>
        </w:tc>
        <w:tc>
          <w:tcPr>
            <w:tcW w:type="dxa" w:w="2287"/>
            <w:tcBorders>
              <w:top w:val="nil"/>
              <w:left w:val="nil"/>
              <w:bottom w:val="nil"/>
              <w:right w:val="nil"/>
            </w:tcBorders>
            <w:shd w:fill="auto" w:val="clear"/>
            <w:tcMar>
              <w:left w:type="dxa" w:w="144"/>
            </w:tcMar>
            <w:vAlign w:val="bottom"/>
          </w:tcPr>
          <w:p>
            <w:pPr>
              <w:pStyle w:val="style65"/>
              <w:ind w:hanging="0" w:left="0" w:right="86"/>
              <w:rPr/>
            </w:pPr>
            <w:r>
              <w:rPr/>
              <w:t> </w:t>
            </w:r>
          </w:p>
        </w:tc>
      </w:tr>
      <w:tr>
        <w:trPr>
          <w:trHeight w:hRule="atLeast" w:val="75"/>
          <w:cantSplit w:val="false"/>
        </w:trPr>
        <w:tc>
          <w:tcPr>
            <w:tcW w:type="dxa" w:w="3615"/>
            <w:tcBorders>
              <w:top w:val="nil"/>
              <w:left w:val="nil"/>
              <w:bottom w:val="nil"/>
              <w:right w:val="nil"/>
            </w:tcBorders>
            <w:shd w:fill="auto" w:val="clear"/>
            <w:vAlign w:val="center"/>
          </w:tcPr>
          <w:p>
            <w:pPr>
              <w:pStyle w:val="style0"/>
              <w:rPr>
                <w:sz w:val="8"/>
                <w:szCs w:val="24"/>
              </w:rPr>
            </w:pPr>
            <w:r>
              <w:rPr>
                <w:sz w:val="8"/>
                <w:szCs w:val="24"/>
              </w:rPr>
            </w:r>
          </w:p>
        </w:tc>
        <w:tc>
          <w:tcPr>
            <w:tcW w:type="dxa" w:w="1139"/>
            <w:tcBorders>
              <w:top w:val="nil"/>
              <w:left w:val="nil"/>
              <w:bottom w:val="nil"/>
              <w:right w:val="nil"/>
            </w:tcBorders>
            <w:shd w:fill="auto" w:val="clear"/>
            <w:vAlign w:val="center"/>
          </w:tcPr>
          <w:p>
            <w:pPr>
              <w:pStyle w:val="style0"/>
              <w:rPr>
                <w:sz w:val="8"/>
                <w:szCs w:val="24"/>
              </w:rPr>
            </w:pPr>
            <w:r>
              <w:rPr>
                <w:sz w:val="8"/>
                <w:szCs w:val="24"/>
              </w:rPr>
            </w:r>
          </w:p>
        </w:tc>
        <w:tc>
          <w:tcPr>
            <w:tcW w:type="dxa" w:w="2280"/>
            <w:tcBorders>
              <w:top w:val="nil"/>
              <w:left w:val="nil"/>
              <w:bottom w:val="nil"/>
              <w:right w:val="nil"/>
            </w:tcBorders>
            <w:shd w:fill="auto" w:val="clear"/>
            <w:vAlign w:val="center"/>
          </w:tcPr>
          <w:p>
            <w:pPr>
              <w:pStyle w:val="style0"/>
              <w:rPr>
                <w:sz w:val="8"/>
                <w:szCs w:val="24"/>
              </w:rPr>
            </w:pPr>
            <w:r>
              <w:rPr>
                <w:sz w:val="8"/>
                <w:szCs w:val="24"/>
              </w:rPr>
            </w:r>
          </w:p>
        </w:tc>
        <w:tc>
          <w:tcPr>
            <w:tcW w:type="dxa" w:w="1480"/>
            <w:tcBorders>
              <w:top w:val="nil"/>
              <w:left w:val="nil"/>
              <w:bottom w:val="nil"/>
              <w:right w:val="nil"/>
            </w:tcBorders>
            <w:shd w:fill="auto" w:val="clear"/>
            <w:vAlign w:val="center"/>
          </w:tcPr>
          <w:p>
            <w:pPr>
              <w:pStyle w:val="style0"/>
              <w:rPr>
                <w:sz w:val="8"/>
                <w:szCs w:val="24"/>
              </w:rPr>
            </w:pPr>
            <w:r>
              <w:rPr>
                <w:sz w:val="8"/>
                <w:szCs w:val="24"/>
              </w:rPr>
            </w:r>
          </w:p>
        </w:tc>
        <w:tc>
          <w:tcPr>
            <w:tcW w:type="dxa" w:w="2287"/>
            <w:tcBorders>
              <w:top w:val="nil"/>
              <w:left w:val="nil"/>
              <w:bottom w:val="nil"/>
              <w:right w:val="nil"/>
            </w:tcBorders>
            <w:shd w:fill="auto" w:val="clear"/>
            <w:vAlign w:val="center"/>
          </w:tcPr>
          <w:p>
            <w:pPr>
              <w:pStyle w:val="style0"/>
              <w:ind w:hanging="0" w:left="0" w:right="86"/>
              <w:rPr>
                <w:sz w:val="8"/>
                <w:szCs w:val="24"/>
              </w:rPr>
            </w:pPr>
            <w:r>
              <w:rPr>
                <w:sz w:val="8"/>
                <w:szCs w:val="24"/>
              </w:rPr>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September 18, 2012</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b/>
                <w:bCs/>
                <w:sz w:val="20"/>
                <w:szCs w:val="20"/>
              </w:rPr>
            </w:pPr>
            <w:r>
              <w:rPr>
                <w:rFonts w:ascii="Arial" w:cs="Arial" w:hAnsi="Arial"/>
                <w:b/>
                <w:bCs/>
                <w:sz w:val="20"/>
                <w:szCs w:val="20"/>
              </w:rPr>
              <w:t>$</w:t>
              <w:tab/>
              <w:t> 0.23</w:t>
              <w:tab/>
              <w:t> </w:t>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b/>
                <w:bCs/>
                <w:sz w:val="20"/>
                <w:szCs w:val="20"/>
              </w:rPr>
            </w:pPr>
            <w:r>
              <w:rPr>
                <w:rFonts w:ascii="Arial" w:cs="Arial" w:hAnsi="Arial"/>
                <w:b/>
                <w:bCs/>
                <w:sz w:val="20"/>
                <w:szCs w:val="20"/>
              </w:rPr>
              <w:tab/>
              <w:t>November 15, 2012</w:t>
              <w:tab/>
              <w:t xml:space="preserve">  </w:t>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76" w:right="0"/>
              <w:contextualSpacing w:val="false"/>
              <w:rPr>
                <w:rFonts w:ascii="Arial" w:cs="Arial" w:hAnsi="Arial"/>
                <w:b/>
                <w:bCs/>
                <w:sz w:val="20"/>
                <w:szCs w:val="20"/>
              </w:rPr>
            </w:pPr>
            <w:r>
              <w:rPr>
                <w:rFonts w:ascii="Arial" w:cs="Arial" w:hAnsi="Arial"/>
                <w:b/>
                <w:bCs/>
                <w:sz w:val="20"/>
                <w:szCs w:val="20"/>
              </w:rPr>
              <w:t>$</w:t>
              <w:tab/>
              <w:t> 1,933</w:t>
              <w:tab/>
              <w:t> </w:t>
            </w:r>
          </w:p>
        </w:tc>
        <w:tc>
          <w:tcPr>
            <w:tcW w:type="dxa" w:w="2287"/>
            <w:tcBorders>
              <w:top w:val="nil"/>
              <w:left w:val="nil"/>
              <w:bottom w:val="nil"/>
              <w:right w:val="nil"/>
            </w:tcBorders>
            <w:shd w:fill="auto" w:val="clear"/>
            <w:tcMar>
              <w:left w:type="dxa" w:w="144"/>
            </w:tcMar>
            <w:vAlign w:val="bottom"/>
          </w:tcPr>
          <w:p>
            <w:pPr>
              <w:pStyle w:val="style62"/>
              <w:tabs>
                <w:tab w:leader="none" w:pos="2100" w:val="right"/>
                <w:tab w:leader="none" w:pos="2140" w:val="decimal"/>
              </w:tabs>
              <w:spacing w:after="280" w:before="280"/>
              <w:ind w:hanging="0" w:left="0" w:right="86"/>
              <w:contextualSpacing w:val="false"/>
              <w:rPr>
                <w:rFonts w:ascii="Arial" w:cs="Arial" w:hAnsi="Arial"/>
                <w:b/>
                <w:bCs/>
                <w:sz w:val="20"/>
                <w:szCs w:val="20"/>
              </w:rPr>
            </w:pPr>
            <w:r>
              <w:rPr>
                <w:rFonts w:ascii="Arial" w:cs="Arial" w:hAnsi="Arial"/>
                <w:b/>
                <w:bCs/>
                <w:sz w:val="20"/>
                <w:szCs w:val="20"/>
              </w:rPr>
              <w:tab/>
              <w:t>December 13,  2012</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November 28, 2012</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b/>
                <w:bCs/>
                <w:sz w:val="20"/>
                <w:szCs w:val="20"/>
              </w:rPr>
            </w:pPr>
            <w:r>
              <w:rPr>
                <w:rFonts w:ascii="Arial" w:cs="Arial" w:hAnsi="Arial"/>
                <w:b/>
                <w:bCs/>
                <w:sz w:val="20"/>
                <w:szCs w:val="20"/>
              </w:rPr>
              <w:t>$</w:t>
              <w:tab/>
              <w:t>0.23</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b/>
                <w:bCs/>
                <w:sz w:val="20"/>
                <w:szCs w:val="20"/>
              </w:rPr>
            </w:pPr>
            <w:r>
              <w:rPr>
                <w:rFonts w:ascii="Arial" w:cs="Arial" w:hAnsi="Arial"/>
                <w:b/>
                <w:bCs/>
                <w:sz w:val="20"/>
                <w:szCs w:val="20"/>
              </w:rPr>
              <w:tab/>
              <w:t>February 21, 2013</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76" w:right="0"/>
              <w:contextualSpacing w:val="false"/>
              <w:rPr>
                <w:rFonts w:ascii="Arial" w:cs="Arial" w:hAnsi="Arial"/>
                <w:b/>
                <w:bCs/>
                <w:sz w:val="20"/>
                <w:szCs w:val="20"/>
              </w:rPr>
            </w:pPr>
            <w:r>
              <w:rPr>
                <w:rFonts w:ascii="Arial" w:cs="Arial" w:hAnsi="Arial"/>
                <w:b/>
                <w:bCs/>
                <w:sz w:val="20"/>
                <w:szCs w:val="20"/>
              </w:rPr>
              <w:t>$</w:t>
              <w:tab/>
              <w:t>1,925</w:t>
              <w:tab/>
            </w:r>
          </w:p>
        </w:tc>
        <w:tc>
          <w:tcPr>
            <w:tcW w:type="dxa" w:w="2287"/>
            <w:tcBorders>
              <w:top w:val="nil"/>
              <w:left w:val="nil"/>
              <w:bottom w:val="nil"/>
              <w:right w:val="nil"/>
            </w:tcBorders>
            <w:shd w:fill="auto" w:val="clear"/>
            <w:tcMar>
              <w:left w:type="dxa" w:w="144"/>
            </w:tcMar>
            <w:vAlign w:val="bottom"/>
          </w:tcPr>
          <w:p>
            <w:pPr>
              <w:pStyle w:val="style62"/>
              <w:tabs>
                <w:tab w:leader="none" w:pos="2100" w:val="right"/>
                <w:tab w:leader="none" w:pos="2140" w:val="decimal"/>
              </w:tabs>
              <w:spacing w:after="280" w:before="280"/>
              <w:ind w:hanging="0" w:left="0" w:right="86"/>
              <w:contextualSpacing w:val="false"/>
              <w:rPr>
                <w:rFonts w:ascii="Arial" w:cs="Arial" w:hAnsi="Arial"/>
                <w:b/>
                <w:bCs/>
                <w:sz w:val="20"/>
                <w:szCs w:val="20"/>
              </w:rPr>
            </w:pPr>
            <w:r>
              <w:rPr>
                <w:rFonts w:ascii="Arial" w:cs="Arial" w:hAnsi="Arial"/>
                <w:b/>
                <w:bCs/>
                <w:sz w:val="20"/>
                <w:szCs w:val="20"/>
              </w:rPr>
              <w:tab/>
              <w:t>March 14, 2013</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March 11, 2013</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b/>
                <w:bCs/>
                <w:sz w:val="20"/>
                <w:szCs w:val="20"/>
              </w:rPr>
            </w:pPr>
            <w:r>
              <w:rPr>
                <w:rFonts w:ascii="Arial" w:cs="Arial" w:hAnsi="Arial"/>
                <w:b/>
                <w:bCs/>
                <w:sz w:val="20"/>
                <w:szCs w:val="20"/>
              </w:rPr>
              <w:t>$</w:t>
              <w:tab/>
              <w:t>0.23</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b/>
                <w:bCs/>
                <w:sz w:val="20"/>
                <w:szCs w:val="20"/>
              </w:rPr>
            </w:pPr>
            <w:r>
              <w:rPr>
                <w:rFonts w:ascii="Arial" w:cs="Arial" w:hAnsi="Arial"/>
                <w:b/>
                <w:bCs/>
                <w:sz w:val="20"/>
                <w:szCs w:val="20"/>
              </w:rPr>
              <w:tab/>
              <w:t>May 16, 2013</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76" w:right="0"/>
              <w:contextualSpacing w:val="false"/>
              <w:rPr>
                <w:rFonts w:ascii="Arial" w:cs="Arial" w:hAnsi="Arial"/>
                <w:b/>
                <w:bCs/>
                <w:sz w:val="20"/>
                <w:szCs w:val="20"/>
              </w:rPr>
            </w:pPr>
            <w:r>
              <w:rPr>
                <w:rFonts w:ascii="Arial" w:cs="Arial" w:hAnsi="Arial"/>
                <w:b/>
                <w:bCs/>
                <w:sz w:val="20"/>
                <w:szCs w:val="20"/>
              </w:rPr>
              <w:t>$</w:t>
              <w:tab/>
              <w:t>1,921</w:t>
              <w:tab/>
            </w:r>
          </w:p>
        </w:tc>
        <w:tc>
          <w:tcPr>
            <w:tcW w:type="dxa" w:w="2287"/>
            <w:tcBorders>
              <w:top w:val="nil"/>
              <w:left w:val="nil"/>
              <w:bottom w:val="nil"/>
              <w:right w:val="nil"/>
            </w:tcBorders>
            <w:shd w:fill="auto" w:val="clear"/>
            <w:tcMar>
              <w:left w:type="dxa" w:w="144"/>
            </w:tcMar>
            <w:vAlign w:val="bottom"/>
          </w:tcPr>
          <w:p>
            <w:pPr>
              <w:pStyle w:val="style62"/>
              <w:tabs>
                <w:tab w:leader="none" w:pos="2100" w:val="right"/>
                <w:tab w:leader="none" w:pos="2140" w:val="decimal"/>
              </w:tabs>
              <w:spacing w:after="280" w:before="280"/>
              <w:ind w:hanging="0" w:left="0" w:right="86"/>
              <w:contextualSpacing w:val="false"/>
              <w:rPr>
                <w:rFonts w:ascii="Arial" w:cs="Arial" w:hAnsi="Arial"/>
                <w:b/>
                <w:bCs/>
                <w:sz w:val="20"/>
                <w:szCs w:val="20"/>
              </w:rPr>
            </w:pPr>
            <w:r>
              <w:rPr>
                <w:rFonts w:ascii="Arial" w:cs="Arial" w:hAnsi="Arial"/>
                <w:b/>
                <w:bCs/>
                <w:sz w:val="20"/>
                <w:szCs w:val="20"/>
              </w:rPr>
              <w:tab/>
              <w:t>June 13, 2013</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b/>
                <w:bCs/>
                <w:sz w:val="20"/>
                <w:szCs w:val="20"/>
              </w:rPr>
            </w:pPr>
            <w:r>
              <w:rPr>
                <w:rFonts w:ascii="Arial" w:cs="Arial" w:hAnsi="Arial"/>
                <w:b/>
                <w:bCs/>
                <w:sz w:val="20"/>
                <w:szCs w:val="20"/>
              </w:rPr>
              <w:t>June 12, 2013</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b/>
                <w:bCs/>
                <w:sz w:val="20"/>
                <w:szCs w:val="20"/>
              </w:rPr>
            </w:pPr>
            <w:r>
              <w:rPr>
                <w:rFonts w:ascii="Arial" w:cs="Arial" w:hAnsi="Arial"/>
                <w:b/>
                <w:bCs/>
                <w:sz w:val="20"/>
                <w:szCs w:val="20"/>
              </w:rPr>
              <w:t>$</w:t>
              <w:tab/>
              <w:t>0.23</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b/>
                <w:bCs/>
                <w:sz w:val="20"/>
                <w:szCs w:val="20"/>
              </w:rPr>
            </w:pPr>
            <w:r>
              <w:rPr>
                <w:rFonts w:ascii="Arial" w:cs="Arial" w:hAnsi="Arial"/>
                <w:b/>
                <w:bCs/>
                <w:sz w:val="20"/>
                <w:szCs w:val="20"/>
              </w:rPr>
              <w:tab/>
              <w:t>August 15, 2013</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76" w:right="0"/>
              <w:contextualSpacing w:val="false"/>
              <w:rPr>
                <w:rFonts w:ascii="Arial" w:cs="Arial" w:hAnsi="Arial"/>
                <w:b/>
                <w:bCs/>
                <w:sz w:val="20"/>
                <w:szCs w:val="20"/>
              </w:rPr>
            </w:pPr>
            <w:r>
              <w:rPr>
                <w:rFonts w:ascii="Arial" w:cs="Arial" w:hAnsi="Arial"/>
                <w:b/>
                <w:bCs/>
                <w:sz w:val="20"/>
                <w:szCs w:val="20"/>
              </w:rPr>
              <w:t>$</w:t>
              <w:tab/>
              <w:t>1,916</w:t>
              <w:tab/>
            </w:r>
          </w:p>
        </w:tc>
        <w:tc>
          <w:tcPr>
            <w:tcW w:type="dxa" w:w="2287"/>
            <w:tcBorders>
              <w:top w:val="nil"/>
              <w:left w:val="nil"/>
              <w:bottom w:val="nil"/>
              <w:right w:val="nil"/>
            </w:tcBorders>
            <w:shd w:fill="auto" w:val="clear"/>
            <w:tcMar>
              <w:left w:type="dxa" w:w="144"/>
            </w:tcMar>
            <w:vAlign w:val="bottom"/>
          </w:tcPr>
          <w:p>
            <w:pPr>
              <w:pStyle w:val="style62"/>
              <w:tabs>
                <w:tab w:leader="none" w:pos="2100" w:val="right"/>
                <w:tab w:leader="none" w:pos="2140" w:val="decimal"/>
              </w:tabs>
              <w:spacing w:after="280" w:before="280"/>
              <w:ind w:hanging="0" w:left="0" w:right="86"/>
              <w:contextualSpacing w:val="false"/>
              <w:rPr>
                <w:rFonts w:ascii="Arial" w:cs="Arial" w:hAnsi="Arial"/>
                <w:b/>
                <w:bCs/>
                <w:sz w:val="20"/>
                <w:szCs w:val="20"/>
              </w:rPr>
            </w:pPr>
            <w:r>
              <w:rPr>
                <w:rFonts w:ascii="Arial" w:cs="Arial" w:hAnsi="Arial"/>
                <w:b/>
                <w:bCs/>
                <w:sz w:val="20"/>
                <w:szCs w:val="20"/>
              </w:rPr>
              <w:tab/>
              <w:t>September 12,  2013</w:t>
              <w:tab/>
            </w:r>
          </w:p>
        </w:tc>
      </w:tr>
    </w:tbl>
    <w:p>
      <w:pPr>
        <w:pStyle w:val="style59"/>
        <w:pBdr>
          <w:top w:color="000001" w:space="0" w:sz="4" w:val="single"/>
          <w:left w:val="nil"/>
          <w:bottom w:val="nil"/>
          <w:insideH w:val="nil"/>
          <w:right w:val="nil"/>
          <w:insideV w:val="nil"/>
        </w:pBdr>
        <w:ind w:hanging="0" w:left="0" w:right="86"/>
        <w:rPr/>
      </w:pPr>
      <w:r>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dividend declared on June 12, 2013 will be paid after the filing of our Form 10-K and was included in other current liabilities as of June 30, 2013.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In fiscal year 2012, our Board of Directors declared the following dividends: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3615"/>
        <w:gridCol w:w="1139"/>
        <w:gridCol w:w="2280"/>
        <w:gridCol w:w="1480"/>
        <w:gridCol w:w="2287"/>
      </w:tblGrid>
      <w:tr>
        <w:trPr>
          <w:tblHeader w:val="true"/>
          <w:cantSplit w:val="false"/>
        </w:trPr>
        <w:tc>
          <w:tcPr>
            <w:tcW w:type="dxa" w:w="3615"/>
            <w:tcBorders>
              <w:top w:val="nil"/>
              <w:left w:val="nil"/>
              <w:bottom w:val="nil"/>
              <w:right w:val="nil"/>
            </w:tcBorders>
            <w:shd w:fill="auto" w:val="clear"/>
            <w:vAlign w:val="center"/>
          </w:tcPr>
          <w:p>
            <w:pPr>
              <w:pStyle w:val="style0"/>
              <w:rPr>
                <w:sz w:val="1"/>
                <w:szCs w:val="24"/>
              </w:rPr>
            </w:pPr>
            <w:r>
              <w:rPr>
                <w:sz w:val="1"/>
                <w:szCs w:val="24"/>
              </w:rPr>
            </w:r>
          </w:p>
        </w:tc>
        <w:tc>
          <w:tcPr>
            <w:tcW w:type="dxa" w:w="1139"/>
            <w:tcBorders>
              <w:top w:val="nil"/>
              <w:left w:val="nil"/>
              <w:bottom w:val="nil"/>
              <w:right w:val="nil"/>
            </w:tcBorders>
            <w:shd w:fill="auto" w:val="clear"/>
            <w:vAlign w:val="center"/>
          </w:tcPr>
          <w:p>
            <w:pPr>
              <w:pStyle w:val="style0"/>
              <w:rPr>
                <w:sz w:val="1"/>
                <w:szCs w:val="24"/>
              </w:rPr>
            </w:pPr>
            <w:r>
              <w:rPr>
                <w:sz w:val="1"/>
                <w:szCs w:val="24"/>
              </w:rPr>
            </w:r>
          </w:p>
        </w:tc>
        <w:tc>
          <w:tcPr>
            <w:tcW w:type="dxa" w:w="2280"/>
            <w:tcBorders>
              <w:top w:val="nil"/>
              <w:left w:val="nil"/>
              <w:bottom w:val="nil"/>
              <w:right w:val="nil"/>
            </w:tcBorders>
            <w:shd w:fill="auto" w:val="clear"/>
            <w:vAlign w:val="center"/>
          </w:tcPr>
          <w:p>
            <w:pPr>
              <w:pStyle w:val="style0"/>
              <w:rPr>
                <w:sz w:val="1"/>
                <w:szCs w:val="24"/>
              </w:rPr>
            </w:pPr>
            <w:r>
              <w:rPr>
                <w:sz w:val="1"/>
                <w:szCs w:val="24"/>
              </w:rPr>
            </w:r>
          </w:p>
        </w:tc>
        <w:tc>
          <w:tcPr>
            <w:tcW w:type="dxa" w:w="1480"/>
            <w:tcBorders>
              <w:top w:val="nil"/>
              <w:left w:val="nil"/>
              <w:bottom w:val="nil"/>
              <w:right w:val="nil"/>
            </w:tcBorders>
            <w:shd w:fill="auto" w:val="clear"/>
            <w:vAlign w:val="center"/>
          </w:tcPr>
          <w:p>
            <w:pPr>
              <w:pStyle w:val="style0"/>
              <w:rPr>
                <w:sz w:val="1"/>
                <w:szCs w:val="24"/>
              </w:rPr>
            </w:pPr>
            <w:r>
              <w:rPr>
                <w:sz w:val="1"/>
                <w:szCs w:val="24"/>
              </w:rPr>
            </w:r>
          </w:p>
        </w:tc>
        <w:tc>
          <w:tcPr>
            <w:tcW w:type="dxa" w:w="2287"/>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3615"/>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Declaration Date</w:t>
            </w:r>
          </w:p>
        </w:tc>
        <w:tc>
          <w:tcPr>
            <w:tcW w:type="dxa" w:w="1139"/>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Dividend</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Per Share</w:t>
            </w:r>
          </w:p>
        </w:tc>
        <w:tc>
          <w:tcPr>
            <w:tcW w:type="dxa" w:w="2280"/>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Record Date</w:t>
            </w:r>
          </w:p>
        </w:tc>
        <w:tc>
          <w:tcPr>
            <w:tcW w:type="dxa" w:w="1480"/>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Total Amount</w:t>
            </w:r>
          </w:p>
        </w:tc>
        <w:tc>
          <w:tcPr>
            <w:tcW w:type="dxa" w:w="2287"/>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Payment Date</w:t>
            </w:r>
          </w:p>
        </w:tc>
      </w:tr>
      <w:tr>
        <w:trPr>
          <w:cantSplit w:val="false"/>
        </w:trPr>
        <w:tc>
          <w:tcPr>
            <w:tcW w:type="dxa" w:w="10801"/>
            <w:gridSpan w:val="5"/>
            <w:tcBorders>
              <w:top w:val="nil"/>
              <w:left w:val="nil"/>
              <w:bottom w:val="nil"/>
              <w:right w:val="nil"/>
            </w:tcBorders>
            <w:shd w:fill="auto" w:val="clear"/>
            <w:tcMar>
              <w:left w:type="dxa" w:w="144"/>
            </w:tcMar>
            <w:vAlign w:val="bottom"/>
          </w:tcPr>
          <w:p>
            <w:pPr>
              <w:pStyle w:val="style59"/>
              <w:spacing w:after="0" w:before="20"/>
              <w:ind w:hanging="0" w:left="-115" w:right="86"/>
              <w:contextualSpacing w:val="false"/>
              <w:rPr/>
            </w:pPr>
            <w:r>
              <w:rPr/>
              <w:t> </w:t>
            </w:r>
          </w:p>
        </w:tc>
      </w:tr>
      <w:tr>
        <w:trPr>
          <w:cantSplit w:val="false"/>
        </w:trPr>
        <w:tc>
          <w:tcPr>
            <w:tcW w:type="dxa" w:w="3615"/>
            <w:tcBorders>
              <w:top w:val="nil"/>
              <w:left w:val="nil"/>
              <w:bottom w:val="nil"/>
              <w:right w:val="nil"/>
            </w:tcBorders>
            <w:shd w:fill="auto" w:val="clear"/>
            <w:tcMar>
              <w:left w:type="dxa" w:w="144"/>
            </w:tcMar>
            <w:vAlign w:val="bottom"/>
          </w:tcPr>
          <w:p>
            <w:pPr>
              <w:pStyle w:val="style65"/>
              <w:keepNext/>
              <w:rPr/>
            </w:pPr>
            <w:r>
              <w:rPr/>
              <w:t> </w:t>
            </w:r>
          </w:p>
        </w:tc>
        <w:tc>
          <w:tcPr>
            <w:tcW w:type="dxa" w:w="1139"/>
            <w:tcBorders>
              <w:top w:val="nil"/>
              <w:left w:val="nil"/>
              <w:bottom w:val="nil"/>
              <w:right w:val="nil"/>
            </w:tcBorders>
            <w:shd w:fill="auto" w:val="clear"/>
            <w:tcMar>
              <w:left w:type="dxa" w:w="144"/>
            </w:tcMar>
            <w:vAlign w:val="bottom"/>
          </w:tcPr>
          <w:p>
            <w:pPr>
              <w:pStyle w:val="style65"/>
              <w:rPr/>
            </w:pPr>
            <w:r>
              <w:rPr/>
              <w:t> </w:t>
            </w:r>
          </w:p>
        </w:tc>
        <w:tc>
          <w:tcPr>
            <w:tcW w:type="dxa" w:w="2280"/>
            <w:tcBorders>
              <w:top w:val="nil"/>
              <w:left w:val="nil"/>
              <w:bottom w:val="nil"/>
              <w:right w:val="nil"/>
            </w:tcBorders>
            <w:shd w:fill="auto" w:val="clear"/>
            <w:tcMar>
              <w:left w:type="dxa" w:w="144"/>
            </w:tcMar>
            <w:vAlign w:val="bottom"/>
          </w:tcPr>
          <w:p>
            <w:pPr>
              <w:pStyle w:val="style65"/>
              <w:rPr/>
            </w:pPr>
            <w:r>
              <w:rPr/>
              <w:t> </w:t>
            </w:r>
          </w:p>
        </w:tc>
        <w:tc>
          <w:tcPr>
            <w:tcW w:type="dxa" w:w="1480"/>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(In millions)</w:t>
            </w:r>
          </w:p>
        </w:tc>
        <w:tc>
          <w:tcPr>
            <w:tcW w:type="dxa" w:w="2287"/>
            <w:tcBorders>
              <w:top w:val="nil"/>
              <w:left w:val="nil"/>
              <w:bottom w:val="nil"/>
              <w:right w:val="nil"/>
            </w:tcBorders>
            <w:shd w:fill="auto" w:val="clear"/>
            <w:tcMar>
              <w:left w:type="dxa" w:w="144"/>
            </w:tcMar>
            <w:vAlign w:val="bottom"/>
          </w:tcPr>
          <w:p>
            <w:pPr>
              <w:pStyle w:val="style65"/>
              <w:ind w:hanging="0" w:left="0" w:right="86"/>
              <w:rPr/>
            </w:pPr>
            <w:r>
              <w:rPr/>
              <w:t> </w:t>
            </w:r>
          </w:p>
        </w:tc>
      </w:tr>
      <w:tr>
        <w:trPr>
          <w:trHeight w:hRule="atLeast" w:val="75"/>
          <w:cantSplit w:val="false"/>
        </w:trPr>
        <w:tc>
          <w:tcPr>
            <w:tcW w:type="dxa" w:w="3615"/>
            <w:tcBorders>
              <w:top w:val="nil"/>
              <w:left w:val="nil"/>
              <w:bottom w:val="nil"/>
              <w:right w:val="nil"/>
            </w:tcBorders>
            <w:shd w:fill="auto" w:val="clear"/>
            <w:vAlign w:val="center"/>
          </w:tcPr>
          <w:p>
            <w:pPr>
              <w:pStyle w:val="style0"/>
              <w:rPr>
                <w:sz w:val="8"/>
                <w:szCs w:val="24"/>
              </w:rPr>
            </w:pPr>
            <w:r>
              <w:rPr>
                <w:sz w:val="8"/>
                <w:szCs w:val="24"/>
              </w:rPr>
            </w:r>
          </w:p>
        </w:tc>
        <w:tc>
          <w:tcPr>
            <w:tcW w:type="dxa" w:w="1139"/>
            <w:tcBorders>
              <w:top w:val="nil"/>
              <w:left w:val="nil"/>
              <w:bottom w:val="nil"/>
              <w:right w:val="nil"/>
            </w:tcBorders>
            <w:shd w:fill="auto" w:val="clear"/>
            <w:vAlign w:val="center"/>
          </w:tcPr>
          <w:p>
            <w:pPr>
              <w:pStyle w:val="style0"/>
              <w:rPr>
                <w:sz w:val="8"/>
                <w:szCs w:val="24"/>
              </w:rPr>
            </w:pPr>
            <w:r>
              <w:rPr>
                <w:sz w:val="8"/>
                <w:szCs w:val="24"/>
              </w:rPr>
            </w:r>
          </w:p>
        </w:tc>
        <w:tc>
          <w:tcPr>
            <w:tcW w:type="dxa" w:w="2280"/>
            <w:tcBorders>
              <w:top w:val="nil"/>
              <w:left w:val="nil"/>
              <w:bottom w:val="nil"/>
              <w:right w:val="nil"/>
            </w:tcBorders>
            <w:shd w:fill="auto" w:val="clear"/>
            <w:vAlign w:val="center"/>
          </w:tcPr>
          <w:p>
            <w:pPr>
              <w:pStyle w:val="style0"/>
              <w:rPr>
                <w:sz w:val="8"/>
                <w:szCs w:val="24"/>
              </w:rPr>
            </w:pPr>
            <w:r>
              <w:rPr>
                <w:sz w:val="8"/>
                <w:szCs w:val="24"/>
              </w:rPr>
            </w:r>
          </w:p>
        </w:tc>
        <w:tc>
          <w:tcPr>
            <w:tcW w:type="dxa" w:w="1480"/>
            <w:tcBorders>
              <w:top w:val="nil"/>
              <w:left w:val="nil"/>
              <w:bottom w:val="nil"/>
              <w:right w:val="nil"/>
            </w:tcBorders>
            <w:shd w:fill="auto" w:val="clear"/>
            <w:vAlign w:val="center"/>
          </w:tcPr>
          <w:p>
            <w:pPr>
              <w:pStyle w:val="style0"/>
              <w:rPr>
                <w:sz w:val="8"/>
                <w:szCs w:val="24"/>
              </w:rPr>
            </w:pPr>
            <w:r>
              <w:rPr>
                <w:sz w:val="8"/>
                <w:szCs w:val="24"/>
              </w:rPr>
            </w:r>
          </w:p>
        </w:tc>
        <w:tc>
          <w:tcPr>
            <w:tcW w:type="dxa" w:w="2287"/>
            <w:tcBorders>
              <w:top w:val="nil"/>
              <w:left w:val="nil"/>
              <w:bottom w:val="nil"/>
              <w:right w:val="nil"/>
            </w:tcBorders>
            <w:shd w:fill="auto" w:val="clear"/>
            <w:vAlign w:val="center"/>
          </w:tcPr>
          <w:p>
            <w:pPr>
              <w:pStyle w:val="style0"/>
              <w:ind w:hanging="0" w:left="0" w:right="86"/>
              <w:rPr>
                <w:sz w:val="8"/>
                <w:szCs w:val="24"/>
              </w:rPr>
            </w:pPr>
            <w:r>
              <w:rPr>
                <w:sz w:val="8"/>
                <w:szCs w:val="24"/>
              </w:rPr>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September 20, 2011</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sz w:val="20"/>
                <w:szCs w:val="20"/>
              </w:rPr>
            </w:pPr>
            <w:r>
              <w:rPr>
                <w:rFonts w:ascii="Arial" w:cs="Arial" w:hAnsi="Arial"/>
                <w:sz w:val="20"/>
                <w:szCs w:val="20"/>
              </w:rPr>
              <w:t>$</w:t>
              <w:tab/>
              <w:t> 0.20</w:t>
              <w:tab/>
              <w:t> </w:t>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sz w:val="20"/>
                <w:szCs w:val="20"/>
              </w:rPr>
            </w:pPr>
            <w:r>
              <w:rPr>
                <w:rFonts w:ascii="Arial" w:cs="Arial" w:hAnsi="Arial"/>
                <w:sz w:val="20"/>
                <w:szCs w:val="20"/>
              </w:rPr>
              <w:tab/>
              <w:t>November 17, 2011</w:t>
              <w:tab/>
              <w:t> </w:t>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76" w:right="0"/>
              <w:contextualSpacing w:val="false"/>
              <w:rPr>
                <w:rFonts w:ascii="Arial" w:cs="Arial" w:hAnsi="Arial"/>
                <w:sz w:val="20"/>
                <w:szCs w:val="20"/>
              </w:rPr>
            </w:pPr>
            <w:r>
              <w:rPr>
                <w:rFonts w:ascii="Arial" w:cs="Arial" w:hAnsi="Arial"/>
                <w:sz w:val="20"/>
                <w:szCs w:val="20"/>
              </w:rPr>
              <w:t>$</w:t>
              <w:tab/>
              <w:t> 1,683</w:t>
              <w:tab/>
              <w:t> </w:t>
            </w:r>
          </w:p>
        </w:tc>
        <w:tc>
          <w:tcPr>
            <w:tcW w:type="dxa" w:w="2287"/>
            <w:tcBorders>
              <w:top w:val="nil"/>
              <w:left w:val="nil"/>
              <w:bottom w:val="nil"/>
              <w:right w:val="nil"/>
            </w:tcBorders>
            <w:shd w:fill="auto" w:val="clear"/>
            <w:tcMar>
              <w:left w:type="dxa" w:w="144"/>
            </w:tcMar>
            <w:vAlign w:val="bottom"/>
          </w:tcPr>
          <w:p>
            <w:pPr>
              <w:pStyle w:val="style62"/>
              <w:tabs>
                <w:tab w:leader="none" w:pos="2100" w:val="right"/>
                <w:tab w:leader="none" w:pos="2140" w:val="decimal"/>
              </w:tabs>
              <w:spacing w:after="280" w:before="280"/>
              <w:ind w:hanging="0" w:left="0" w:right="86"/>
              <w:contextualSpacing w:val="false"/>
              <w:rPr>
                <w:rFonts w:ascii="Arial" w:cs="Arial" w:hAnsi="Arial"/>
                <w:sz w:val="20"/>
                <w:szCs w:val="20"/>
              </w:rPr>
            </w:pPr>
            <w:r>
              <w:rPr>
                <w:rFonts w:ascii="Arial" w:cs="Arial" w:hAnsi="Arial"/>
                <w:sz w:val="20"/>
                <w:szCs w:val="20"/>
              </w:rPr>
              <w:tab/>
              <w:t>December 8, 2011</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December 14, 2011</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sz w:val="20"/>
                <w:szCs w:val="20"/>
              </w:rPr>
            </w:pPr>
            <w:r>
              <w:rPr>
                <w:rFonts w:ascii="Arial" w:cs="Arial" w:hAnsi="Arial"/>
                <w:sz w:val="20"/>
                <w:szCs w:val="20"/>
              </w:rPr>
              <w:t>$</w:t>
              <w:tab/>
              <w:t>0.20</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sz w:val="20"/>
                <w:szCs w:val="20"/>
              </w:rPr>
            </w:pPr>
            <w:r>
              <w:rPr>
                <w:rFonts w:ascii="Arial" w:cs="Arial" w:hAnsi="Arial"/>
                <w:sz w:val="20"/>
                <w:szCs w:val="20"/>
              </w:rPr>
              <w:tab/>
              <w:t>February 16, 2012</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76" w:right="0"/>
              <w:contextualSpacing w:val="false"/>
              <w:rPr>
                <w:rFonts w:ascii="Arial" w:cs="Arial" w:hAnsi="Arial"/>
                <w:sz w:val="20"/>
                <w:szCs w:val="20"/>
              </w:rPr>
            </w:pPr>
            <w:r>
              <w:rPr>
                <w:rFonts w:ascii="Arial" w:cs="Arial" w:hAnsi="Arial"/>
                <w:sz w:val="20"/>
                <w:szCs w:val="20"/>
              </w:rPr>
              <w:t>$</w:t>
              <w:tab/>
              <w:t>1,683</w:t>
              <w:tab/>
            </w:r>
          </w:p>
        </w:tc>
        <w:tc>
          <w:tcPr>
            <w:tcW w:type="dxa" w:w="2287"/>
            <w:tcBorders>
              <w:top w:val="nil"/>
              <w:left w:val="nil"/>
              <w:bottom w:val="nil"/>
              <w:right w:val="nil"/>
            </w:tcBorders>
            <w:shd w:fill="auto" w:val="clear"/>
            <w:tcMar>
              <w:left w:type="dxa" w:w="144"/>
            </w:tcMar>
            <w:vAlign w:val="bottom"/>
          </w:tcPr>
          <w:p>
            <w:pPr>
              <w:pStyle w:val="style62"/>
              <w:tabs>
                <w:tab w:leader="none" w:pos="2100" w:val="right"/>
                <w:tab w:leader="none" w:pos="2140" w:val="decimal"/>
              </w:tabs>
              <w:spacing w:after="280" w:before="280"/>
              <w:ind w:hanging="0" w:left="0" w:right="86"/>
              <w:contextualSpacing w:val="false"/>
              <w:rPr>
                <w:rFonts w:ascii="Arial" w:cs="Arial" w:hAnsi="Arial"/>
                <w:sz w:val="20"/>
                <w:szCs w:val="20"/>
              </w:rPr>
            </w:pPr>
            <w:r>
              <w:rPr>
                <w:rFonts w:ascii="Arial" w:cs="Arial" w:hAnsi="Arial"/>
                <w:sz w:val="20"/>
                <w:szCs w:val="20"/>
              </w:rPr>
              <w:tab/>
              <w:t>March 8, 2012</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March 13, 2012</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sz w:val="20"/>
                <w:szCs w:val="20"/>
              </w:rPr>
            </w:pPr>
            <w:r>
              <w:rPr>
                <w:rFonts w:ascii="Arial" w:cs="Arial" w:hAnsi="Arial"/>
                <w:sz w:val="20"/>
                <w:szCs w:val="20"/>
              </w:rPr>
              <w:t>$</w:t>
              <w:tab/>
              <w:t>0.20</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sz w:val="20"/>
                <w:szCs w:val="20"/>
              </w:rPr>
            </w:pPr>
            <w:r>
              <w:rPr>
                <w:rFonts w:ascii="Arial" w:cs="Arial" w:hAnsi="Arial"/>
                <w:sz w:val="20"/>
                <w:szCs w:val="20"/>
              </w:rPr>
              <w:tab/>
              <w:t>May 17, 2012</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76" w:right="0"/>
              <w:contextualSpacing w:val="false"/>
              <w:rPr>
                <w:rFonts w:ascii="Arial" w:cs="Arial" w:hAnsi="Arial"/>
                <w:sz w:val="20"/>
                <w:szCs w:val="20"/>
              </w:rPr>
            </w:pPr>
            <w:r>
              <w:rPr>
                <w:rFonts w:ascii="Arial" w:cs="Arial" w:hAnsi="Arial"/>
                <w:sz w:val="20"/>
                <w:szCs w:val="20"/>
              </w:rPr>
              <w:t>$</w:t>
              <w:tab/>
              <w:t>1,678</w:t>
              <w:tab/>
            </w:r>
          </w:p>
        </w:tc>
        <w:tc>
          <w:tcPr>
            <w:tcW w:type="dxa" w:w="2287"/>
            <w:tcBorders>
              <w:top w:val="nil"/>
              <w:left w:val="nil"/>
              <w:bottom w:val="nil"/>
              <w:right w:val="nil"/>
            </w:tcBorders>
            <w:shd w:fill="auto" w:val="clear"/>
            <w:tcMar>
              <w:left w:type="dxa" w:w="144"/>
            </w:tcMar>
            <w:vAlign w:val="bottom"/>
          </w:tcPr>
          <w:p>
            <w:pPr>
              <w:pStyle w:val="style62"/>
              <w:tabs>
                <w:tab w:leader="none" w:pos="2100" w:val="right"/>
                <w:tab w:leader="none" w:pos="2140" w:val="decimal"/>
              </w:tabs>
              <w:spacing w:after="280" w:before="280"/>
              <w:ind w:hanging="0" w:left="0" w:right="86"/>
              <w:contextualSpacing w:val="false"/>
              <w:rPr>
                <w:rFonts w:ascii="Arial" w:cs="Arial" w:hAnsi="Arial"/>
                <w:sz w:val="20"/>
                <w:szCs w:val="20"/>
              </w:rPr>
            </w:pPr>
            <w:r>
              <w:rPr>
                <w:rFonts w:ascii="Arial" w:cs="Arial" w:hAnsi="Arial"/>
                <w:sz w:val="20"/>
                <w:szCs w:val="20"/>
              </w:rPr>
              <w:tab/>
              <w:t>June 14, 2012</w:t>
              <w:tab/>
            </w:r>
          </w:p>
        </w:tc>
      </w:tr>
      <w:tr>
        <w:trPr>
          <w:cantSplit w:val="false"/>
        </w:trPr>
        <w:tc>
          <w:tcPr>
            <w:tcW w:type="dxa" w:w="3615"/>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June 13, 2012</w:t>
            </w:r>
          </w:p>
        </w:tc>
        <w:tc>
          <w:tcPr>
            <w:tcW w:type="dxa" w:w="1139"/>
            <w:tcBorders>
              <w:top w:val="nil"/>
              <w:left w:val="nil"/>
              <w:bottom w:val="nil"/>
              <w:right w:val="nil"/>
            </w:tcBorders>
            <w:shd w:fill="auto" w:val="clear"/>
            <w:tcMar>
              <w:left w:type="dxa" w:w="144"/>
            </w:tcMar>
            <w:vAlign w:val="bottom"/>
          </w:tcPr>
          <w:p>
            <w:pPr>
              <w:pStyle w:val="style62"/>
              <w:tabs>
                <w:tab w:leader="none" w:pos="940" w:val="right"/>
                <w:tab w:leader="none" w:pos="980" w:val="decimal"/>
              </w:tabs>
              <w:spacing w:after="280" w:before="280"/>
              <w:ind w:hanging="0" w:left="360" w:right="0"/>
              <w:contextualSpacing w:val="false"/>
              <w:rPr>
                <w:rFonts w:ascii="Arial" w:cs="Arial" w:hAnsi="Arial"/>
                <w:sz w:val="20"/>
                <w:szCs w:val="20"/>
              </w:rPr>
            </w:pPr>
            <w:r>
              <w:rPr>
                <w:rFonts w:ascii="Arial" w:cs="Arial" w:hAnsi="Arial"/>
                <w:sz w:val="20"/>
                <w:szCs w:val="20"/>
              </w:rPr>
              <w:t>$</w:t>
              <w:tab/>
              <w:t>0.20</w:t>
              <w:tab/>
            </w:r>
          </w:p>
        </w:tc>
        <w:tc>
          <w:tcPr>
            <w:tcW w:type="dxa" w:w="2280"/>
            <w:tcBorders>
              <w:top w:val="nil"/>
              <w:left w:val="nil"/>
              <w:bottom w:val="nil"/>
              <w:right w:val="nil"/>
            </w:tcBorders>
            <w:shd w:fill="auto" w:val="clear"/>
            <w:tcMar>
              <w:left w:type="dxa" w:w="144"/>
            </w:tcMar>
            <w:vAlign w:val="bottom"/>
          </w:tcPr>
          <w:p>
            <w:pPr>
              <w:pStyle w:val="style62"/>
              <w:tabs>
                <w:tab w:leader="none" w:pos="2080" w:val="right"/>
                <w:tab w:leader="none" w:pos="2120" w:val="decimal"/>
              </w:tabs>
              <w:spacing w:after="280" w:before="280"/>
              <w:contextualSpacing w:val="false"/>
              <w:rPr>
                <w:rFonts w:ascii="Arial" w:cs="Arial" w:hAnsi="Arial"/>
                <w:sz w:val="20"/>
                <w:szCs w:val="20"/>
              </w:rPr>
            </w:pPr>
            <w:r>
              <w:rPr>
                <w:rFonts w:ascii="Arial" w:cs="Arial" w:hAnsi="Arial"/>
                <w:sz w:val="20"/>
                <w:szCs w:val="20"/>
              </w:rPr>
              <w:tab/>
              <w:t>August 16, 2012</w:t>
              <w:tab/>
            </w:r>
          </w:p>
        </w:tc>
        <w:tc>
          <w:tcPr>
            <w:tcW w:type="dxa" w:w="1480"/>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576" w:right="0"/>
              <w:contextualSpacing w:val="false"/>
              <w:rPr>
                <w:rFonts w:ascii="Arial" w:cs="Arial" w:hAnsi="Arial"/>
                <w:sz w:val="20"/>
                <w:szCs w:val="20"/>
              </w:rPr>
            </w:pPr>
            <w:r>
              <w:rPr>
                <w:rFonts w:ascii="Arial" w:cs="Arial" w:hAnsi="Arial"/>
                <w:sz w:val="20"/>
                <w:szCs w:val="20"/>
              </w:rPr>
              <w:t>$</w:t>
              <w:tab/>
              <w:t>1,676</w:t>
              <w:tab/>
            </w:r>
          </w:p>
        </w:tc>
        <w:tc>
          <w:tcPr>
            <w:tcW w:type="dxa" w:w="2287"/>
            <w:tcBorders>
              <w:top w:val="nil"/>
              <w:left w:val="nil"/>
              <w:bottom w:val="nil"/>
              <w:right w:val="nil"/>
            </w:tcBorders>
            <w:shd w:fill="auto" w:val="clear"/>
            <w:tcMar>
              <w:left w:type="dxa" w:w="144"/>
            </w:tcMar>
            <w:vAlign w:val="bottom"/>
          </w:tcPr>
          <w:p>
            <w:pPr>
              <w:pStyle w:val="style62"/>
              <w:tabs>
                <w:tab w:leader="none" w:pos="2100" w:val="right"/>
                <w:tab w:leader="none" w:pos="2140" w:val="decimal"/>
              </w:tabs>
              <w:spacing w:after="280" w:before="280"/>
              <w:ind w:hanging="0" w:left="0" w:right="86"/>
              <w:contextualSpacing w:val="false"/>
              <w:rPr>
                <w:rFonts w:ascii="Arial" w:cs="Arial" w:hAnsi="Arial"/>
                <w:sz w:val="20"/>
                <w:szCs w:val="20"/>
              </w:rPr>
            </w:pPr>
            <w:r>
              <w:rPr>
                <w:rFonts w:ascii="Arial" w:cs="Arial" w:hAnsi="Arial"/>
                <w:sz w:val="20"/>
                <w:szCs w:val="20"/>
              </w:rPr>
              <w:tab/>
              <w:t>September 13, 2012</w:t>
              <w:tab/>
            </w:r>
          </w:p>
        </w:tc>
      </w:tr>
    </w:tbl>
    <w:p>
      <w:pPr>
        <w:pStyle w:val="style59"/>
        <w:pBdr>
          <w:top w:color="000001" w:space="0" w:sz="4" w:val="single"/>
          <w:left w:val="nil"/>
          <w:bottom w:val="nil"/>
          <w:insideH w:val="nil"/>
          <w:right w:val="nil"/>
          <w:insideV w:val="nil"/>
        </w:pBdr>
        <w:ind w:hanging="0" w:left="-115" w:right="86"/>
        <w:rPr/>
      </w:pPr>
      <w:r>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The dividend declared on June 13, 2012 was included in other current liabilities as of June 30, 2012.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19 — OTHER COMPREHENSIVE INCOME (LOSS)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activity in other comprehensive income (loss) and related income tax effects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566"/>
        <w:gridCol w:w="1070"/>
        <w:gridCol w:w="1031"/>
        <w:gridCol w:w="1132"/>
      </w:tblGrid>
      <w:tr>
        <w:trPr>
          <w:tblHeader w:val="true"/>
          <w:cantSplit w:val="false"/>
        </w:trPr>
        <w:tc>
          <w:tcPr>
            <w:tcW w:type="dxa" w:w="7566"/>
            <w:tcBorders>
              <w:top w:val="nil"/>
              <w:left w:val="nil"/>
              <w:bottom w:val="nil"/>
              <w:right w:val="nil"/>
            </w:tcBorders>
            <w:shd w:fill="auto" w:val="clear"/>
            <w:vAlign w:val="center"/>
          </w:tcPr>
          <w:p>
            <w:pPr>
              <w:pStyle w:val="style0"/>
              <w:rPr>
                <w:sz w:val="1"/>
                <w:szCs w:val="24"/>
              </w:rPr>
            </w:pPr>
            <w:r>
              <w:rPr>
                <w:sz w:val="1"/>
                <w:szCs w:val="24"/>
              </w:rPr>
            </w:r>
          </w:p>
        </w:tc>
        <w:tc>
          <w:tcPr>
            <w:tcW w:type="dxa" w:w="1070"/>
            <w:tcBorders>
              <w:top w:val="nil"/>
              <w:left w:val="nil"/>
              <w:bottom w:val="nil"/>
              <w:right w:val="nil"/>
            </w:tcBorders>
            <w:shd w:fill="auto" w:val="clear"/>
            <w:vAlign w:val="center"/>
          </w:tcPr>
          <w:p>
            <w:pPr>
              <w:pStyle w:val="style0"/>
              <w:rPr>
                <w:sz w:val="1"/>
                <w:szCs w:val="24"/>
              </w:rPr>
            </w:pPr>
            <w:r>
              <w:rPr>
                <w:sz w:val="1"/>
                <w:szCs w:val="24"/>
              </w:rPr>
            </w:r>
          </w:p>
        </w:tc>
        <w:tc>
          <w:tcPr>
            <w:tcW w:type="dxa" w:w="1031"/>
            <w:tcBorders>
              <w:top w:val="nil"/>
              <w:left w:val="nil"/>
              <w:bottom w:val="nil"/>
              <w:right w:val="nil"/>
            </w:tcBorders>
            <w:shd w:fill="auto" w:val="clear"/>
            <w:vAlign w:val="center"/>
          </w:tcPr>
          <w:p>
            <w:pPr>
              <w:pStyle w:val="style0"/>
              <w:rPr>
                <w:sz w:val="1"/>
                <w:szCs w:val="24"/>
              </w:rPr>
            </w:pPr>
            <w:r>
              <w:rPr>
                <w:sz w:val="1"/>
                <w:szCs w:val="24"/>
              </w:rPr>
            </w:r>
          </w:p>
        </w:tc>
        <w:tc>
          <w:tcPr>
            <w:tcW w:type="dxa" w:w="113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5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070"/>
            <w:tcBorders>
              <w:top w:val="nil"/>
              <w:left w:val="nil"/>
              <w:bottom w:val="nil"/>
              <w:right w:val="nil"/>
            </w:tcBorders>
            <w:shd w:fill="auto" w:val="clear"/>
            <w:tcMar>
              <w:left w:type="dxa" w:w="144"/>
            </w:tcMar>
            <w:vAlign w:val="bottom"/>
          </w:tcPr>
          <w:p>
            <w:pPr>
              <w:pStyle w:val="style65"/>
              <w:ind w:hanging="0" w:left="202" w:right="101"/>
              <w:rPr/>
            </w:pPr>
            <w:r>
              <w:rPr/>
              <w:t> </w:t>
            </w:r>
          </w:p>
        </w:tc>
        <w:tc>
          <w:tcPr>
            <w:tcW w:type="dxa" w:w="1031"/>
            <w:tcBorders>
              <w:top w:val="nil"/>
              <w:left w:val="nil"/>
              <w:bottom w:val="nil"/>
              <w:right w:val="nil"/>
            </w:tcBorders>
            <w:shd w:fill="auto" w:val="clear"/>
            <w:tcMar>
              <w:left w:type="dxa" w:w="144"/>
            </w:tcMar>
            <w:vAlign w:val="bottom"/>
          </w:tcPr>
          <w:p>
            <w:pPr>
              <w:pStyle w:val="style65"/>
              <w:ind w:hanging="0" w:left="202" w:right="101"/>
              <w:rPr/>
            </w:pPr>
            <w:r>
              <w:rPr/>
              <w:t> </w:t>
            </w:r>
          </w:p>
        </w:tc>
        <w:tc>
          <w:tcPr>
            <w:tcW w:type="dxa" w:w="1132"/>
            <w:tcBorders>
              <w:top w:val="nil"/>
              <w:left w:val="nil"/>
              <w:bottom w:val="nil"/>
              <w:right w:val="nil"/>
            </w:tcBorders>
            <w:shd w:fill="auto" w:val="clear"/>
            <w:tcMar>
              <w:left w:type="dxa" w:w="144"/>
            </w:tcMar>
            <w:vAlign w:val="bottom"/>
          </w:tcPr>
          <w:p>
            <w:pPr>
              <w:pStyle w:val="style65"/>
              <w:ind w:hanging="0" w:left="202" w:right="101"/>
              <w:rPr/>
            </w:pPr>
            <w:r>
              <w:rPr/>
              <w:t> </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126" w:right="101"/>
              <w:contextualSpacing w:val="false"/>
              <w:rPr/>
            </w:pPr>
            <w:r>
              <w:rPr/>
              <w:t> </w:t>
            </w:r>
          </w:p>
        </w:tc>
      </w:tr>
      <w:tr>
        <w:trPr>
          <w:trHeight w:hRule="atLeast" w:val="75"/>
          <w:cantSplit w:val="false"/>
        </w:trPr>
        <w:tc>
          <w:tcPr>
            <w:tcW w:type="dxa" w:w="756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031"/>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132"/>
            <w:tcBorders>
              <w:top w:val="nil"/>
              <w:left w:val="nil"/>
              <w:bottom w:val="nil"/>
              <w:right w:val="nil"/>
            </w:tcBorders>
            <w:shd w:fill="auto" w:val="clear"/>
            <w:vAlign w:val="center"/>
          </w:tcPr>
          <w:p>
            <w:pPr>
              <w:pStyle w:val="style0"/>
              <w:ind w:hanging="0" w:left="202" w:right="101"/>
              <w:rPr>
                <w:sz w:val="8"/>
                <w:szCs w:val="24"/>
              </w:rPr>
            </w:pPr>
            <w:r>
              <w:rPr>
                <w:sz w:val="8"/>
                <w:szCs w:val="24"/>
              </w:rPr>
            </w:r>
          </w:p>
        </w:tc>
      </w:tr>
      <w:tr>
        <w:trPr>
          <w:cantSplit w:val="false"/>
        </w:trPr>
        <w:tc>
          <w:tcPr>
            <w:tcW w:type="dxa" w:w="75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070"/>
            <w:tcBorders>
              <w:top w:val="nil"/>
              <w:left w:val="nil"/>
              <w:bottom w:val="nil"/>
              <w:right w:val="nil"/>
            </w:tcBorders>
            <w:shd w:fill="auto" w:val="clear"/>
            <w:tcMar>
              <w:left w:type="dxa" w:w="144"/>
            </w:tcMar>
            <w:vAlign w:val="bottom"/>
          </w:tcPr>
          <w:p>
            <w:pPr>
              <w:pStyle w:val="style0"/>
              <w:ind w:hanging="0" w:left="202" w:right="72"/>
              <w:jc w:val="right"/>
              <w:rPr>
                <w:rFonts w:ascii="Arial" w:cs="Arial" w:hAnsi="Arial"/>
                <w:b/>
                <w:bCs/>
                <w:sz w:val="15"/>
                <w:szCs w:val="15"/>
              </w:rPr>
            </w:pPr>
            <w:r>
              <w:rPr>
                <w:rFonts w:ascii="Arial" w:cs="Arial" w:hAnsi="Arial"/>
                <w:b/>
                <w:bCs/>
                <w:sz w:val="15"/>
                <w:szCs w:val="15"/>
              </w:rPr>
              <w:t>2013</w:t>
            </w:r>
          </w:p>
        </w:tc>
        <w:tc>
          <w:tcPr>
            <w:tcW w:type="dxa" w:w="1031"/>
            <w:tcBorders>
              <w:top w:val="nil"/>
              <w:left w:val="nil"/>
              <w:bottom w:val="nil"/>
              <w:right w:val="nil"/>
            </w:tcBorders>
            <w:shd w:fill="auto" w:val="clear"/>
            <w:tcMar>
              <w:left w:type="dxa" w:w="144"/>
            </w:tcMar>
            <w:vAlign w:val="bottom"/>
          </w:tcPr>
          <w:p>
            <w:pPr>
              <w:pStyle w:val="style0"/>
              <w:ind w:hanging="0" w:left="202" w:right="72"/>
              <w:jc w:val="right"/>
              <w:rPr>
                <w:rFonts w:ascii="Arial" w:cs="Arial" w:hAnsi="Arial"/>
                <w:b/>
                <w:bCs/>
                <w:sz w:val="15"/>
                <w:szCs w:val="15"/>
              </w:rPr>
            </w:pPr>
            <w:r>
              <w:rPr>
                <w:rFonts w:ascii="Arial" w:cs="Arial" w:hAnsi="Arial"/>
                <w:b/>
                <w:bCs/>
                <w:sz w:val="15"/>
                <w:szCs w:val="15"/>
              </w:rPr>
              <w:t>2012</w:t>
            </w:r>
          </w:p>
        </w:tc>
        <w:tc>
          <w:tcPr>
            <w:tcW w:type="dxa" w:w="1132"/>
            <w:tcBorders>
              <w:top w:val="nil"/>
              <w:left w:val="nil"/>
              <w:bottom w:val="nil"/>
              <w:right w:val="nil"/>
            </w:tcBorders>
            <w:shd w:fill="auto" w:val="clear"/>
            <w:tcMar>
              <w:left w:type="dxa" w:w="144"/>
            </w:tcMar>
            <w:vAlign w:val="bottom"/>
          </w:tcPr>
          <w:p>
            <w:pPr>
              <w:pStyle w:val="style0"/>
              <w:ind w:hanging="0" w:left="202" w:right="72"/>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56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031"/>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132"/>
            <w:tcBorders>
              <w:top w:val="nil"/>
              <w:left w:val="nil"/>
              <w:bottom w:val="nil"/>
              <w:right w:val="nil"/>
            </w:tcBorders>
            <w:shd w:fill="auto" w:val="clear"/>
            <w:vAlign w:val="center"/>
          </w:tcPr>
          <w:p>
            <w:pPr>
              <w:pStyle w:val="style0"/>
              <w:ind w:hanging="0" w:left="202" w:right="101"/>
              <w:rPr>
                <w:sz w:val="8"/>
                <w:szCs w:val="24"/>
              </w:rPr>
            </w:pPr>
            <w:r>
              <w:rPr>
                <w:sz w:val="8"/>
                <w:szCs w:val="24"/>
              </w:rPr>
            </w:r>
          </w:p>
        </w:tc>
      </w:tr>
      <w:tr>
        <w:trPr>
          <w:cantSplit w:val="false"/>
        </w:trPr>
        <w:tc>
          <w:tcPr>
            <w:tcW w:type="dxa" w:w="75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Net Unrealized Gains (Losses) on Derivatives</w:t>
            </w:r>
          </w:p>
        </w:tc>
        <w:tc>
          <w:tcPr>
            <w:tcW w:type="dxa" w:w="1070"/>
            <w:tcBorders>
              <w:top w:val="nil"/>
              <w:left w:val="nil"/>
              <w:bottom w:val="nil"/>
              <w:right w:val="nil"/>
            </w:tcBorders>
            <w:shd w:fill="auto" w:val="clear"/>
            <w:tcMar>
              <w:left w:type="dxa" w:w="144"/>
            </w:tcMar>
            <w:vAlign w:val="bottom"/>
          </w:tcPr>
          <w:p>
            <w:pPr>
              <w:pStyle w:val="style65"/>
              <w:ind w:hanging="0" w:left="202" w:right="101"/>
              <w:rPr/>
            </w:pPr>
            <w:r>
              <w:rPr/>
              <w:t> </w:t>
            </w:r>
          </w:p>
        </w:tc>
        <w:tc>
          <w:tcPr>
            <w:tcW w:type="dxa" w:w="1031"/>
            <w:tcBorders>
              <w:top w:val="nil"/>
              <w:left w:val="nil"/>
              <w:bottom w:val="nil"/>
              <w:right w:val="nil"/>
            </w:tcBorders>
            <w:shd w:fill="auto" w:val="clear"/>
            <w:tcMar>
              <w:left w:type="dxa" w:w="144"/>
            </w:tcMar>
            <w:vAlign w:val="bottom"/>
          </w:tcPr>
          <w:p>
            <w:pPr>
              <w:pStyle w:val="style65"/>
              <w:ind w:hanging="0" w:left="202" w:right="101"/>
              <w:rPr/>
            </w:pPr>
            <w:r>
              <w:rPr/>
              <w:t> </w:t>
            </w:r>
          </w:p>
        </w:tc>
        <w:tc>
          <w:tcPr>
            <w:tcW w:type="dxa" w:w="1132"/>
            <w:tcBorders>
              <w:top w:val="nil"/>
              <w:left w:val="nil"/>
              <w:bottom w:val="nil"/>
              <w:right w:val="nil"/>
            </w:tcBorders>
            <w:shd w:fill="auto" w:val="clear"/>
            <w:tcMar>
              <w:left w:type="dxa" w:w="144"/>
            </w:tcMar>
            <w:vAlign w:val="bottom"/>
          </w:tcPr>
          <w:p>
            <w:pPr>
              <w:pStyle w:val="style65"/>
              <w:ind w:hanging="0" w:left="202" w:right="101"/>
              <w:rPr/>
            </w:pPr>
            <w:r>
              <w:rPr/>
              <w:t> </w:t>
            </w:r>
          </w:p>
        </w:tc>
      </w:tr>
      <w:tr>
        <w:trPr>
          <w:trHeight w:hRule="atLeast" w:val="75"/>
          <w:cantSplit w:val="false"/>
        </w:trPr>
        <w:tc>
          <w:tcPr>
            <w:tcW w:type="dxa" w:w="756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031"/>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132"/>
            <w:tcBorders>
              <w:top w:val="nil"/>
              <w:left w:val="nil"/>
              <w:bottom w:val="nil"/>
              <w:right w:val="nil"/>
            </w:tcBorders>
            <w:shd w:fill="auto" w:val="clear"/>
            <w:vAlign w:val="center"/>
          </w:tcPr>
          <w:p>
            <w:pPr>
              <w:pStyle w:val="style0"/>
              <w:ind w:hanging="0" w:left="202" w:right="101"/>
              <w:rPr>
                <w:sz w:val="8"/>
                <w:szCs w:val="24"/>
              </w:rPr>
            </w:pPr>
            <w:r>
              <w:rPr>
                <w:sz w:val="8"/>
                <w:szCs w:val="24"/>
              </w:rPr>
            </w:r>
          </w:p>
        </w:tc>
      </w:tr>
      <w:tr>
        <w:trPr>
          <w:cantSplit w:val="false"/>
        </w:trPr>
        <w:tc>
          <w:tcPr>
            <w:tcW w:type="dxa" w:w="75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 xml:space="preserve">Unrealized gains (losses), net of tax effects of </w:t>
            </w:r>
            <w:r>
              <w:rPr>
                <w:rFonts w:ascii="Arial" w:cs="Arial" w:hAnsi="Arial"/>
                <w:b/>
                <w:bCs/>
                <w:sz w:val="20"/>
                <w:szCs w:val="20"/>
              </w:rPr>
              <w:t>$54</w:t>
            </w:r>
            <w:r>
              <w:rPr>
                <w:rFonts w:ascii="Arial" w:cs="Arial" w:hAnsi="Arial"/>
                <w:sz w:val="20"/>
                <w:szCs w:val="20"/>
              </w:rPr>
              <w:t>, $127, and $(340)</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w:t>
              <w:tab/>
              <w:t>   101</w:t>
              <w:tab/>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   236</w:t>
              <w:tab/>
            </w:r>
          </w:p>
        </w:tc>
        <w:tc>
          <w:tcPr>
            <w:tcW w:type="dxa" w:w="113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(632</w:t>
              <w:tab/>
              <w:t>)</w:t>
            </w:r>
          </w:p>
        </w:tc>
      </w:tr>
      <w:tr>
        <w:trPr>
          <w:cantSplit w:val="false"/>
        </w:trPr>
        <w:tc>
          <w:tcPr>
            <w:tcW w:type="dxa" w:w="75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 xml:space="preserve">Reclassification adjustment for losses (gains) included in net income, net of tax effects of </w:t>
            </w:r>
            <w:r>
              <w:rPr>
                <w:rFonts w:ascii="Arial" w:cs="Arial" w:hAnsi="Arial"/>
                <w:b/>
                <w:bCs/>
                <w:sz w:val="20"/>
                <w:szCs w:val="20"/>
              </w:rPr>
              <w:t>$(68)</w:t>
            </w:r>
            <w:r>
              <w:rPr>
                <w:rFonts w:ascii="Arial" w:cs="Arial" w:hAnsi="Arial"/>
                <w:sz w:val="20"/>
                <w:szCs w:val="20"/>
              </w:rPr>
              <w:t>, $10, and $2</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ab/>
              <w:t>(127</w:t>
              <w:tab/>
              <w:t>)</w:t>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ab/>
              <w:t>19</w:t>
              <w:tab/>
            </w:r>
          </w:p>
        </w:tc>
        <w:tc>
          <w:tcPr>
            <w:tcW w:type="dxa" w:w="113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ab/>
              <w:t>5</w:t>
              <w:tab/>
            </w:r>
          </w:p>
        </w:tc>
      </w:tr>
      <w:tr>
        <w:trPr>
          <w:cantSplit w:val="false"/>
        </w:trPr>
        <w:tc>
          <w:tcPr>
            <w:tcW w:type="dxa" w:w="8636"/>
            <w:gridSpan w:val="2"/>
            <w:tcBorders>
              <w:top w:val="nil"/>
              <w:left w:val="nil"/>
              <w:bottom w:val="nil"/>
              <w:right w:val="nil"/>
            </w:tcBorders>
            <w:shd w:fill="auto" w:val="clear"/>
            <w:vAlign w:val="bottom"/>
          </w:tcPr>
          <w:p>
            <w:pPr>
              <w:pStyle w:val="style59"/>
              <w:spacing w:after="0" w:before="20"/>
              <w:ind w:hanging="0" w:left="-126" w:right="101"/>
              <w:contextualSpacing w:val="false"/>
              <w:rPr/>
            </w:pPr>
            <w:r>
              <w:rPr/>
              <w:t> </w:t>
            </w:r>
          </w:p>
        </w:tc>
        <w:tc>
          <w:tcPr>
            <w:tcW w:type="dxa" w:w="1031"/>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c>
          <w:tcPr>
            <w:tcW w:type="dxa" w:w="1132"/>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r>
      <w:tr>
        <w:trPr>
          <w:cantSplit w:val="false"/>
        </w:trPr>
        <w:tc>
          <w:tcPr>
            <w:tcW w:type="dxa" w:w="756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Net unrealized gains (losses) on derivatives</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w:t>
              <w:tab/>
              <w:t>(26</w:t>
              <w:tab/>
              <w:t>)</w:t>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255</w:t>
              <w:tab/>
            </w:r>
          </w:p>
        </w:tc>
        <w:tc>
          <w:tcPr>
            <w:tcW w:type="dxa" w:w="113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(627</w:t>
              <w:tab/>
              <w:t>)</w:t>
            </w:r>
          </w:p>
        </w:tc>
      </w:tr>
      <w:tr>
        <w:trPr>
          <w:cantSplit w:val="false"/>
        </w:trPr>
        <w:tc>
          <w:tcPr>
            <w:tcW w:type="dxa" w:w="8636"/>
            <w:gridSpan w:val="2"/>
            <w:tcBorders>
              <w:top w:val="nil"/>
              <w:left w:val="nil"/>
              <w:bottom w:val="nil"/>
              <w:right w:val="nil"/>
            </w:tcBorders>
            <w:shd w:fill="auto" w:val="clear"/>
            <w:vAlign w:val="bottom"/>
          </w:tcPr>
          <w:p>
            <w:pPr>
              <w:pStyle w:val="style59"/>
              <w:spacing w:after="0" w:before="20"/>
              <w:ind w:hanging="0" w:left="-126" w:right="101"/>
              <w:contextualSpacing w:val="false"/>
              <w:rPr/>
            </w:pPr>
            <w:r>
              <w:rPr/>
              <w:t> </w:t>
            </w:r>
          </w:p>
        </w:tc>
        <w:tc>
          <w:tcPr>
            <w:tcW w:type="dxa" w:w="1031"/>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c>
          <w:tcPr>
            <w:tcW w:type="dxa" w:w="1132"/>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r>
      <w:tr>
        <w:trPr>
          <w:trHeight w:hRule="atLeast" w:val="75"/>
          <w:cantSplit w:val="false"/>
        </w:trPr>
        <w:tc>
          <w:tcPr>
            <w:tcW w:type="dxa" w:w="756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031"/>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132"/>
            <w:tcBorders>
              <w:top w:val="nil"/>
              <w:left w:val="nil"/>
              <w:bottom w:val="nil"/>
              <w:right w:val="nil"/>
            </w:tcBorders>
            <w:shd w:fill="auto" w:val="clear"/>
            <w:vAlign w:val="center"/>
          </w:tcPr>
          <w:p>
            <w:pPr>
              <w:pStyle w:val="style0"/>
              <w:ind w:hanging="0" w:left="202" w:right="101"/>
              <w:rPr>
                <w:sz w:val="8"/>
                <w:szCs w:val="24"/>
              </w:rPr>
            </w:pPr>
            <w:r>
              <w:rPr>
                <w:sz w:val="8"/>
                <w:szCs w:val="24"/>
              </w:rPr>
            </w:r>
          </w:p>
        </w:tc>
      </w:tr>
      <w:tr>
        <w:trPr>
          <w:cantSplit w:val="false"/>
        </w:trPr>
        <w:tc>
          <w:tcPr>
            <w:tcW w:type="dxa" w:w="75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Net Unrealized Gains (Losses) on Investments</w:t>
            </w:r>
          </w:p>
        </w:tc>
        <w:tc>
          <w:tcPr>
            <w:tcW w:type="dxa" w:w="1070"/>
            <w:tcBorders>
              <w:top w:val="nil"/>
              <w:left w:val="nil"/>
              <w:bottom w:val="nil"/>
              <w:right w:val="nil"/>
            </w:tcBorders>
            <w:shd w:fill="auto" w:val="clear"/>
            <w:tcMar>
              <w:left w:type="dxa" w:w="144"/>
            </w:tcMar>
            <w:vAlign w:val="bottom"/>
          </w:tcPr>
          <w:p>
            <w:pPr>
              <w:pStyle w:val="style65"/>
              <w:ind w:hanging="0" w:left="202" w:right="101"/>
              <w:rPr/>
            </w:pPr>
            <w:r>
              <w:rPr/>
              <w:t> </w:t>
            </w:r>
          </w:p>
        </w:tc>
        <w:tc>
          <w:tcPr>
            <w:tcW w:type="dxa" w:w="1031"/>
            <w:tcBorders>
              <w:top w:val="nil"/>
              <w:left w:val="nil"/>
              <w:bottom w:val="nil"/>
              <w:right w:val="nil"/>
            </w:tcBorders>
            <w:shd w:fill="auto" w:val="clear"/>
            <w:tcMar>
              <w:left w:type="dxa" w:w="144"/>
            </w:tcMar>
            <w:vAlign w:val="bottom"/>
          </w:tcPr>
          <w:p>
            <w:pPr>
              <w:pStyle w:val="style65"/>
              <w:ind w:hanging="0" w:left="202" w:right="101"/>
              <w:rPr/>
            </w:pPr>
            <w:r>
              <w:rPr/>
              <w:t> </w:t>
            </w:r>
          </w:p>
        </w:tc>
        <w:tc>
          <w:tcPr>
            <w:tcW w:type="dxa" w:w="1132"/>
            <w:tcBorders>
              <w:top w:val="nil"/>
              <w:left w:val="nil"/>
              <w:bottom w:val="nil"/>
              <w:right w:val="nil"/>
            </w:tcBorders>
            <w:shd w:fill="auto" w:val="clear"/>
            <w:tcMar>
              <w:left w:type="dxa" w:w="144"/>
            </w:tcMar>
            <w:vAlign w:val="bottom"/>
          </w:tcPr>
          <w:p>
            <w:pPr>
              <w:pStyle w:val="style65"/>
              <w:ind w:hanging="0" w:left="202" w:right="101"/>
              <w:rPr/>
            </w:pPr>
            <w:r>
              <w:rPr/>
              <w:t> </w:t>
            </w:r>
          </w:p>
        </w:tc>
      </w:tr>
      <w:tr>
        <w:trPr>
          <w:trHeight w:hRule="atLeast" w:val="75"/>
          <w:cantSplit w:val="false"/>
        </w:trPr>
        <w:tc>
          <w:tcPr>
            <w:tcW w:type="dxa" w:w="7566"/>
            <w:tcBorders>
              <w:top w:val="nil"/>
              <w:left w:val="nil"/>
              <w:bottom w:val="nil"/>
              <w:right w:val="nil"/>
            </w:tcBorders>
            <w:shd w:fill="auto" w:val="clear"/>
            <w:vAlign w:val="center"/>
          </w:tcPr>
          <w:p>
            <w:pPr>
              <w:pStyle w:val="style0"/>
              <w:rPr>
                <w:sz w:val="8"/>
                <w:szCs w:val="24"/>
              </w:rPr>
            </w:pPr>
            <w:r>
              <w:rPr>
                <w:sz w:val="8"/>
                <w:szCs w:val="24"/>
              </w:rPr>
            </w:r>
          </w:p>
        </w:tc>
        <w:tc>
          <w:tcPr>
            <w:tcW w:type="dxa" w:w="1070"/>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031"/>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132"/>
            <w:tcBorders>
              <w:top w:val="nil"/>
              <w:left w:val="nil"/>
              <w:bottom w:val="nil"/>
              <w:right w:val="nil"/>
            </w:tcBorders>
            <w:shd w:fill="auto" w:val="clear"/>
            <w:vAlign w:val="center"/>
          </w:tcPr>
          <w:p>
            <w:pPr>
              <w:pStyle w:val="style0"/>
              <w:ind w:hanging="0" w:left="202" w:right="101"/>
              <w:rPr>
                <w:sz w:val="8"/>
                <w:szCs w:val="24"/>
              </w:rPr>
            </w:pPr>
            <w:r>
              <w:rPr>
                <w:sz w:val="8"/>
                <w:szCs w:val="24"/>
              </w:rPr>
            </w:r>
          </w:p>
        </w:tc>
      </w:tr>
      <w:tr>
        <w:trPr>
          <w:cantSplit w:val="false"/>
        </w:trPr>
        <w:tc>
          <w:tcPr>
            <w:tcW w:type="dxa" w:w="75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 xml:space="preserve">Unrealized gains (losses), net of tax effects of </w:t>
            </w:r>
            <w:r>
              <w:rPr>
                <w:rFonts w:ascii="Arial" w:cs="Arial" w:hAnsi="Arial"/>
                <w:b/>
                <w:bCs/>
                <w:sz w:val="20"/>
                <w:szCs w:val="20"/>
              </w:rPr>
              <w:t>$244</w:t>
            </w:r>
            <w:r>
              <w:rPr>
                <w:rFonts w:ascii="Arial" w:cs="Arial" w:hAnsi="Arial"/>
                <w:sz w:val="20"/>
                <w:szCs w:val="20"/>
              </w:rPr>
              <w:t>, $(93), and $726</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w:t>
              <w:tab/>
              <w:t>453</w:t>
              <w:tab/>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(172</w:t>
              <w:tab/>
              <w:t>)</w:t>
            </w:r>
          </w:p>
        </w:tc>
        <w:tc>
          <w:tcPr>
            <w:tcW w:type="dxa" w:w="113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  1,349</w:t>
              <w:tab/>
            </w:r>
          </w:p>
        </w:tc>
      </w:tr>
      <w:tr>
        <w:trPr>
          <w:cantSplit w:val="false"/>
        </w:trPr>
        <w:tc>
          <w:tcPr>
            <w:tcW w:type="dxa" w:w="75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 xml:space="preserve">Reclassification adjustment for gains included in net income, net of tax effects of </w:t>
            </w:r>
            <w:r>
              <w:rPr>
                <w:rFonts w:ascii="Arial" w:cs="Arial" w:hAnsi="Arial"/>
                <w:b/>
                <w:bCs/>
                <w:sz w:val="20"/>
                <w:szCs w:val="20"/>
              </w:rPr>
              <w:t>$(49)</w:t>
            </w:r>
            <w:r>
              <w:rPr>
                <w:rFonts w:ascii="Arial" w:cs="Arial" w:hAnsi="Arial"/>
                <w:sz w:val="20"/>
                <w:szCs w:val="20"/>
              </w:rPr>
              <w:t>, $(117), and $(159)</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ab/>
              <w:t>(90</w:t>
              <w:tab/>
              <w:t>)</w:t>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ab/>
              <w:t>(218</w:t>
              <w:tab/>
              <w:t>)</w:t>
            </w:r>
          </w:p>
        </w:tc>
        <w:tc>
          <w:tcPr>
            <w:tcW w:type="dxa" w:w="113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ab/>
              <w:t>(295</w:t>
              <w:tab/>
              <w:t>)</w:t>
            </w:r>
          </w:p>
        </w:tc>
      </w:tr>
      <w:tr>
        <w:trPr>
          <w:cantSplit w:val="false"/>
        </w:trPr>
        <w:tc>
          <w:tcPr>
            <w:tcW w:type="dxa" w:w="8636"/>
            <w:gridSpan w:val="2"/>
            <w:tcBorders>
              <w:top w:val="nil"/>
              <w:left w:val="nil"/>
              <w:bottom w:val="nil"/>
              <w:right w:val="nil"/>
            </w:tcBorders>
            <w:shd w:fill="auto" w:val="clear"/>
            <w:vAlign w:val="bottom"/>
          </w:tcPr>
          <w:p>
            <w:pPr>
              <w:pStyle w:val="style59"/>
              <w:spacing w:after="0" w:before="20"/>
              <w:ind w:hanging="0" w:left="-126" w:right="101"/>
              <w:contextualSpacing w:val="false"/>
              <w:rPr/>
            </w:pPr>
            <w:r>
              <w:rPr/>
              <w:t> </w:t>
            </w:r>
          </w:p>
        </w:tc>
        <w:tc>
          <w:tcPr>
            <w:tcW w:type="dxa" w:w="1031"/>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c>
          <w:tcPr>
            <w:tcW w:type="dxa" w:w="1132"/>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r>
      <w:tr>
        <w:trPr>
          <w:cantSplit w:val="false"/>
        </w:trPr>
        <w:tc>
          <w:tcPr>
            <w:tcW w:type="dxa" w:w="756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Net unrealized gains (losses) on investments</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ab/>
              <w:t>363</w:t>
              <w:tab/>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ab/>
              <w:t>(390</w:t>
              <w:tab/>
              <w:t>)</w:t>
            </w:r>
          </w:p>
        </w:tc>
        <w:tc>
          <w:tcPr>
            <w:tcW w:type="dxa" w:w="113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ab/>
              <w:t>1,054</w:t>
              <w:tab/>
            </w:r>
          </w:p>
        </w:tc>
      </w:tr>
      <w:tr>
        <w:trPr>
          <w:cantSplit w:val="false"/>
        </w:trPr>
        <w:tc>
          <w:tcPr>
            <w:tcW w:type="dxa" w:w="8636"/>
            <w:gridSpan w:val="2"/>
            <w:tcBorders>
              <w:top w:val="nil"/>
              <w:left w:val="nil"/>
              <w:bottom w:val="nil"/>
              <w:right w:val="nil"/>
            </w:tcBorders>
            <w:shd w:fill="auto" w:val="clear"/>
            <w:vAlign w:val="bottom"/>
          </w:tcPr>
          <w:p>
            <w:pPr>
              <w:pStyle w:val="style59"/>
              <w:spacing w:after="0" w:before="20"/>
              <w:ind w:hanging="0" w:left="-126" w:right="101"/>
              <w:contextualSpacing w:val="false"/>
              <w:rPr/>
            </w:pPr>
            <w:r>
              <w:rPr/>
              <w:t> </w:t>
            </w:r>
          </w:p>
        </w:tc>
        <w:tc>
          <w:tcPr>
            <w:tcW w:type="dxa" w:w="1031"/>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c>
          <w:tcPr>
            <w:tcW w:type="dxa" w:w="1132"/>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r>
      <w:tr>
        <w:trPr>
          <w:cantSplit w:val="false"/>
        </w:trPr>
        <w:tc>
          <w:tcPr>
            <w:tcW w:type="dxa" w:w="75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 xml:space="preserve">Translation adjustments and other, net of tax effects of </w:t>
            </w:r>
            <w:r>
              <w:rPr>
                <w:rFonts w:ascii="Arial" w:cs="Arial" w:hAnsi="Arial"/>
                <w:b/>
                <w:bCs/>
                <w:sz w:val="20"/>
                <w:szCs w:val="20"/>
              </w:rPr>
              <w:t>$(8)</w:t>
            </w:r>
            <w:r>
              <w:rPr>
                <w:rFonts w:ascii="Arial" w:cs="Arial" w:hAnsi="Arial"/>
                <w:sz w:val="20"/>
                <w:szCs w:val="20"/>
              </w:rPr>
              <w:t>, $(165) and $205</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ab/>
              <w:t>(16</w:t>
              <w:tab/>
              <w:t>)</w:t>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ab/>
              <w:t>(306</w:t>
              <w:tab/>
              <w:t>)</w:t>
            </w:r>
          </w:p>
        </w:tc>
        <w:tc>
          <w:tcPr>
            <w:tcW w:type="dxa" w:w="113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ab/>
              <w:t>381</w:t>
              <w:tab/>
            </w:r>
          </w:p>
        </w:tc>
      </w:tr>
      <w:tr>
        <w:trPr>
          <w:cantSplit w:val="false"/>
        </w:trPr>
        <w:tc>
          <w:tcPr>
            <w:tcW w:type="dxa" w:w="8636"/>
            <w:gridSpan w:val="2"/>
            <w:tcBorders>
              <w:top w:val="nil"/>
              <w:left w:val="nil"/>
              <w:bottom w:val="nil"/>
              <w:right w:val="nil"/>
            </w:tcBorders>
            <w:shd w:fill="auto" w:val="clear"/>
            <w:vAlign w:val="bottom"/>
          </w:tcPr>
          <w:p>
            <w:pPr>
              <w:pStyle w:val="style59"/>
              <w:spacing w:after="0" w:before="20"/>
              <w:ind w:hanging="0" w:left="-126" w:right="101"/>
              <w:contextualSpacing w:val="false"/>
              <w:rPr/>
            </w:pPr>
            <w:r>
              <w:rPr/>
              <w:t> </w:t>
            </w:r>
          </w:p>
        </w:tc>
        <w:tc>
          <w:tcPr>
            <w:tcW w:type="dxa" w:w="1031"/>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c>
          <w:tcPr>
            <w:tcW w:type="dxa" w:w="1132"/>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r>
      <w:tr>
        <w:trPr>
          <w:cantSplit w:val="false"/>
        </w:trPr>
        <w:tc>
          <w:tcPr>
            <w:tcW w:type="dxa" w:w="756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Other comprehensive income (loss)</w:t>
            </w:r>
          </w:p>
        </w:tc>
        <w:tc>
          <w:tcPr>
            <w:tcW w:type="dxa" w:w="1070"/>
            <w:tcBorders>
              <w:top w:val="nil"/>
              <w:left w:val="nil"/>
              <w:bottom w:val="nil"/>
              <w:right w:val="nil"/>
            </w:tcBorders>
            <w:shd w:fill="auto" w:val="clear"/>
            <w:tcMar>
              <w:left w:type="dxa" w:w="144"/>
            </w:tcMar>
            <w:vAlign w:val="bottom"/>
          </w:tcPr>
          <w:p>
            <w:pPr>
              <w:pStyle w:val="style62"/>
              <w:tabs>
                <w:tab w:leader="none" w:pos="860" w:val="right"/>
                <w:tab w:leader="none" w:pos="9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w:t>
              <w:tab/>
              <w:t>321</w:t>
              <w:tab/>
            </w:r>
          </w:p>
        </w:tc>
        <w:tc>
          <w:tcPr>
            <w:tcW w:type="dxa" w:w="1031"/>
            <w:tcBorders>
              <w:top w:val="nil"/>
              <w:left w:val="nil"/>
              <w:bottom w:val="nil"/>
              <w:right w:val="nil"/>
            </w:tcBorders>
            <w:shd w:fill="auto" w:val="clear"/>
            <w:tcMar>
              <w:left w:type="dxa" w:w="144"/>
            </w:tcMar>
            <w:vAlign w:val="bottom"/>
          </w:tcPr>
          <w:p>
            <w:pPr>
              <w:pStyle w:val="style62"/>
              <w:tabs>
                <w:tab w:leader="none" w:pos="820" w:val="right"/>
                <w:tab w:leader="none" w:pos="8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(441</w:t>
              <w:tab/>
              <w:t>)</w:t>
            </w:r>
          </w:p>
        </w:tc>
        <w:tc>
          <w:tcPr>
            <w:tcW w:type="dxa" w:w="113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808</w:t>
              <w:tab/>
            </w:r>
          </w:p>
        </w:tc>
      </w:tr>
      <w:tr>
        <w:trPr>
          <w:cantSplit w:val="false"/>
        </w:trPr>
        <w:tc>
          <w:tcPr>
            <w:tcW w:type="dxa" w:w="7566"/>
            <w:tcBorders>
              <w:top w:val="nil"/>
              <w:left w:val="nil"/>
              <w:bottom w:val="nil"/>
              <w:right w:val="nil"/>
            </w:tcBorders>
            <w:shd w:fill="auto" w:val="clear"/>
            <w:tcMar>
              <w:left w:type="dxa" w:w="144"/>
            </w:tcMar>
            <w:vAlign w:val="bottom"/>
          </w:tcPr>
          <w:p>
            <w:pPr>
              <w:pStyle w:val="style65"/>
              <w:rPr/>
            </w:pPr>
            <w:r>
              <w:rPr/>
              <w:t> </w:t>
            </w:r>
          </w:p>
        </w:tc>
        <w:tc>
          <w:tcPr>
            <w:tcW w:type="dxa" w:w="1070"/>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c>
          <w:tcPr>
            <w:tcW w:type="dxa" w:w="1031"/>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c>
          <w:tcPr>
            <w:tcW w:type="dxa" w:w="1132"/>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r>
    </w:tbl>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components of accumulated other comprehensive income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367"/>
        <w:gridCol w:w="1171"/>
        <w:gridCol w:w="1131"/>
        <w:gridCol w:w="1131"/>
      </w:tblGrid>
      <w:tr>
        <w:trPr>
          <w:tblHeader w:val="true"/>
          <w:cantSplit w:val="false"/>
        </w:trPr>
        <w:tc>
          <w:tcPr>
            <w:tcW w:type="dxa" w:w="7367"/>
            <w:tcBorders>
              <w:top w:val="nil"/>
              <w:left w:val="nil"/>
              <w:bottom w:val="nil"/>
              <w:right w:val="nil"/>
            </w:tcBorders>
            <w:shd w:fill="auto" w:val="clear"/>
            <w:vAlign w:val="center"/>
          </w:tcPr>
          <w:p>
            <w:pPr>
              <w:pStyle w:val="style0"/>
              <w:rPr>
                <w:sz w:val="1"/>
                <w:szCs w:val="24"/>
              </w:rPr>
            </w:pPr>
            <w:r>
              <w:rPr>
                <w:sz w:val="1"/>
                <w:szCs w:val="24"/>
              </w:rPr>
            </w:r>
          </w:p>
        </w:tc>
        <w:tc>
          <w:tcPr>
            <w:tcW w:type="dxa" w:w="1171"/>
            <w:tcBorders>
              <w:top w:val="nil"/>
              <w:left w:val="nil"/>
              <w:bottom w:val="nil"/>
              <w:right w:val="nil"/>
            </w:tcBorders>
            <w:shd w:fill="auto" w:val="clear"/>
            <w:vAlign w:val="center"/>
          </w:tcPr>
          <w:p>
            <w:pPr>
              <w:pStyle w:val="style0"/>
              <w:rPr>
                <w:sz w:val="1"/>
                <w:szCs w:val="24"/>
              </w:rPr>
            </w:pPr>
            <w:r>
              <w:rPr>
                <w:sz w:val="1"/>
                <w:szCs w:val="24"/>
              </w:rPr>
            </w:r>
          </w:p>
        </w:tc>
        <w:tc>
          <w:tcPr>
            <w:tcW w:type="dxa" w:w="1131"/>
            <w:tcBorders>
              <w:top w:val="nil"/>
              <w:left w:val="nil"/>
              <w:bottom w:val="nil"/>
              <w:right w:val="nil"/>
            </w:tcBorders>
            <w:shd w:fill="auto" w:val="clear"/>
            <w:vAlign w:val="center"/>
          </w:tcPr>
          <w:p>
            <w:pPr>
              <w:pStyle w:val="style0"/>
              <w:rPr>
                <w:sz w:val="1"/>
                <w:szCs w:val="24"/>
              </w:rPr>
            </w:pPr>
            <w:r>
              <w:rPr>
                <w:sz w:val="1"/>
                <w:szCs w:val="24"/>
              </w:rPr>
            </w:r>
          </w:p>
        </w:tc>
        <w:tc>
          <w:tcPr>
            <w:tcW w:type="dxa" w:w="113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36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171"/>
            <w:tcBorders>
              <w:top w:val="nil"/>
              <w:left w:val="nil"/>
              <w:bottom w:val="nil"/>
              <w:right w:val="nil"/>
            </w:tcBorders>
            <w:shd w:fill="auto" w:val="clear"/>
            <w:tcMar>
              <w:left w:type="dxa" w:w="144"/>
            </w:tcMar>
            <w:vAlign w:val="bottom"/>
          </w:tcPr>
          <w:p>
            <w:pPr>
              <w:pStyle w:val="style65"/>
              <w:ind w:hanging="0" w:left="202" w:right="101"/>
              <w:rPr/>
            </w:pPr>
            <w:r>
              <w:rPr/>
              <w:t> </w:t>
            </w:r>
          </w:p>
        </w:tc>
        <w:tc>
          <w:tcPr>
            <w:tcW w:type="dxa" w:w="1131"/>
            <w:tcBorders>
              <w:top w:val="nil"/>
              <w:left w:val="nil"/>
              <w:bottom w:val="nil"/>
              <w:right w:val="nil"/>
            </w:tcBorders>
            <w:shd w:fill="auto" w:val="clear"/>
            <w:tcMar>
              <w:left w:type="dxa" w:w="144"/>
            </w:tcMar>
            <w:vAlign w:val="bottom"/>
          </w:tcPr>
          <w:p>
            <w:pPr>
              <w:pStyle w:val="style65"/>
              <w:ind w:hanging="0" w:left="202" w:right="101"/>
              <w:rPr/>
            </w:pPr>
            <w:r>
              <w:rPr/>
              <w:t> </w:t>
            </w:r>
          </w:p>
        </w:tc>
        <w:tc>
          <w:tcPr>
            <w:tcW w:type="dxa" w:w="1131"/>
            <w:tcBorders>
              <w:top w:val="nil"/>
              <w:left w:val="nil"/>
              <w:bottom w:val="nil"/>
              <w:right w:val="nil"/>
            </w:tcBorders>
            <w:shd w:fill="auto" w:val="clear"/>
            <w:tcMar>
              <w:left w:type="dxa" w:w="144"/>
            </w:tcMar>
            <w:vAlign w:val="bottom"/>
          </w:tcPr>
          <w:p>
            <w:pPr>
              <w:pStyle w:val="style65"/>
              <w:ind w:hanging="0" w:left="202" w:right="101"/>
              <w:rPr/>
            </w:pPr>
            <w:r>
              <w:rPr/>
              <w:t> </w:t>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trHeight w:hRule="atLeast" w:val="75"/>
          <w:cantSplit w:val="false"/>
        </w:trPr>
        <w:tc>
          <w:tcPr>
            <w:tcW w:type="dxa" w:w="7367"/>
            <w:tcBorders>
              <w:top w:val="nil"/>
              <w:left w:val="nil"/>
              <w:bottom w:val="nil"/>
              <w:right w:val="nil"/>
            </w:tcBorders>
            <w:shd w:fill="auto" w:val="clear"/>
            <w:vAlign w:val="center"/>
          </w:tcPr>
          <w:p>
            <w:pPr>
              <w:pStyle w:val="style0"/>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131"/>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131"/>
            <w:tcBorders>
              <w:top w:val="nil"/>
              <w:left w:val="nil"/>
              <w:bottom w:val="nil"/>
              <w:right w:val="nil"/>
            </w:tcBorders>
            <w:shd w:fill="auto" w:val="clear"/>
            <w:vAlign w:val="center"/>
          </w:tcPr>
          <w:p>
            <w:pPr>
              <w:pStyle w:val="style0"/>
              <w:ind w:hanging="0" w:left="202" w:right="101"/>
              <w:rPr>
                <w:sz w:val="8"/>
                <w:szCs w:val="24"/>
              </w:rPr>
            </w:pPr>
            <w:r>
              <w:rPr>
                <w:sz w:val="8"/>
                <w:szCs w:val="24"/>
              </w:rPr>
            </w:r>
          </w:p>
        </w:tc>
      </w:tr>
      <w:tr>
        <w:trPr>
          <w:cantSplit w:val="false"/>
        </w:trPr>
        <w:tc>
          <w:tcPr>
            <w:tcW w:type="dxa" w:w="736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w:t>
            </w:r>
          </w:p>
        </w:tc>
        <w:tc>
          <w:tcPr>
            <w:tcW w:type="dxa" w:w="1171"/>
            <w:tcBorders>
              <w:top w:val="nil"/>
              <w:left w:val="nil"/>
              <w:bottom w:val="nil"/>
              <w:right w:val="nil"/>
            </w:tcBorders>
            <w:shd w:fill="auto" w:val="clear"/>
            <w:tcMar>
              <w:left w:type="dxa" w:w="144"/>
            </w:tcMar>
            <w:vAlign w:val="bottom"/>
          </w:tcPr>
          <w:p>
            <w:pPr>
              <w:pStyle w:val="style0"/>
              <w:ind w:hanging="0" w:left="202" w:right="101"/>
              <w:jc w:val="right"/>
              <w:rPr>
                <w:rFonts w:ascii="Arial" w:cs="Arial" w:hAnsi="Arial"/>
                <w:b/>
                <w:bCs/>
                <w:sz w:val="15"/>
                <w:szCs w:val="15"/>
              </w:rPr>
            </w:pPr>
            <w:r>
              <w:rPr>
                <w:rFonts w:ascii="Arial" w:cs="Arial" w:hAnsi="Arial"/>
                <w:b/>
                <w:bCs/>
                <w:sz w:val="15"/>
                <w:szCs w:val="15"/>
              </w:rPr>
              <w:t>2013</w:t>
            </w:r>
          </w:p>
        </w:tc>
        <w:tc>
          <w:tcPr>
            <w:tcW w:type="dxa" w:w="1131"/>
            <w:tcBorders>
              <w:top w:val="nil"/>
              <w:left w:val="nil"/>
              <w:bottom w:val="nil"/>
              <w:right w:val="nil"/>
            </w:tcBorders>
            <w:shd w:fill="auto" w:val="clear"/>
            <w:tcMar>
              <w:left w:type="dxa" w:w="144"/>
            </w:tcMar>
            <w:vAlign w:val="bottom"/>
          </w:tcPr>
          <w:p>
            <w:pPr>
              <w:pStyle w:val="style0"/>
              <w:ind w:hanging="0" w:left="202" w:right="101"/>
              <w:jc w:val="right"/>
              <w:rPr>
                <w:rFonts w:ascii="Arial" w:cs="Arial" w:hAnsi="Arial"/>
                <w:b/>
                <w:bCs/>
                <w:sz w:val="15"/>
                <w:szCs w:val="15"/>
              </w:rPr>
            </w:pPr>
            <w:r>
              <w:rPr>
                <w:rFonts w:ascii="Arial" w:cs="Arial" w:hAnsi="Arial"/>
                <w:b/>
                <w:bCs/>
                <w:sz w:val="15"/>
                <w:szCs w:val="15"/>
              </w:rPr>
              <w:t>2012</w:t>
            </w:r>
          </w:p>
        </w:tc>
        <w:tc>
          <w:tcPr>
            <w:tcW w:type="dxa" w:w="1131"/>
            <w:tcBorders>
              <w:top w:val="nil"/>
              <w:left w:val="nil"/>
              <w:bottom w:val="nil"/>
              <w:right w:val="nil"/>
            </w:tcBorders>
            <w:shd w:fill="auto" w:val="clear"/>
            <w:tcMar>
              <w:left w:type="dxa" w:w="144"/>
            </w:tcMar>
            <w:vAlign w:val="bottom"/>
          </w:tcPr>
          <w:p>
            <w:pPr>
              <w:pStyle w:val="style0"/>
              <w:ind w:hanging="0" w:left="202" w:right="101"/>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367"/>
            <w:tcBorders>
              <w:top w:val="nil"/>
              <w:left w:val="nil"/>
              <w:bottom w:val="nil"/>
              <w:right w:val="nil"/>
            </w:tcBorders>
            <w:shd w:fill="auto" w:val="clear"/>
            <w:vAlign w:val="center"/>
          </w:tcPr>
          <w:p>
            <w:pPr>
              <w:pStyle w:val="style0"/>
              <w:rPr>
                <w:sz w:val="8"/>
                <w:szCs w:val="24"/>
              </w:rPr>
            </w:pPr>
            <w:r>
              <w:rPr>
                <w:sz w:val="8"/>
                <w:szCs w:val="24"/>
              </w:rPr>
            </w:r>
          </w:p>
        </w:tc>
        <w:tc>
          <w:tcPr>
            <w:tcW w:type="dxa" w:w="1171"/>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131"/>
            <w:tcBorders>
              <w:top w:val="nil"/>
              <w:left w:val="nil"/>
              <w:bottom w:val="nil"/>
              <w:right w:val="nil"/>
            </w:tcBorders>
            <w:shd w:fill="auto" w:val="clear"/>
            <w:vAlign w:val="center"/>
          </w:tcPr>
          <w:p>
            <w:pPr>
              <w:pStyle w:val="style0"/>
              <w:ind w:hanging="0" w:left="202" w:right="101"/>
              <w:rPr>
                <w:sz w:val="8"/>
                <w:szCs w:val="24"/>
              </w:rPr>
            </w:pPr>
            <w:r>
              <w:rPr>
                <w:sz w:val="8"/>
                <w:szCs w:val="24"/>
              </w:rPr>
            </w:r>
          </w:p>
        </w:tc>
        <w:tc>
          <w:tcPr>
            <w:tcW w:type="dxa" w:w="1131"/>
            <w:tcBorders>
              <w:top w:val="nil"/>
              <w:left w:val="nil"/>
              <w:bottom w:val="nil"/>
              <w:right w:val="nil"/>
            </w:tcBorders>
            <w:shd w:fill="auto" w:val="clear"/>
            <w:vAlign w:val="center"/>
          </w:tcPr>
          <w:p>
            <w:pPr>
              <w:pStyle w:val="style0"/>
              <w:ind w:hanging="0" w:left="202" w:right="101"/>
              <w:rPr>
                <w:sz w:val="8"/>
                <w:szCs w:val="24"/>
              </w:rPr>
            </w:pPr>
            <w:r>
              <w:rPr>
                <w:sz w:val="8"/>
                <w:szCs w:val="24"/>
              </w:rPr>
            </w:r>
          </w:p>
        </w:tc>
      </w:tr>
      <w:tr>
        <w:trPr>
          <w:cantSplit w:val="false"/>
        </w:trPr>
        <w:tc>
          <w:tcPr>
            <w:tcW w:type="dxa" w:w="736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unrealized gains (losses) on derivatives</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w:t>
              <w:tab/>
              <w:t>66</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92</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(163</w:t>
              <w:tab/>
              <w:t>)</w:t>
            </w:r>
          </w:p>
        </w:tc>
      </w:tr>
      <w:tr>
        <w:trPr>
          <w:cantSplit w:val="false"/>
        </w:trPr>
        <w:tc>
          <w:tcPr>
            <w:tcW w:type="dxa" w:w="736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unrealized gains on investments</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ab/>
              <w:t>1,794</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ab/>
              <w:t>1,431</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ab/>
              <w:t>1,821</w:t>
              <w:tab/>
            </w:r>
          </w:p>
        </w:tc>
      </w:tr>
      <w:tr>
        <w:trPr>
          <w:cantSplit w:val="false"/>
        </w:trPr>
        <w:tc>
          <w:tcPr>
            <w:tcW w:type="dxa" w:w="736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Translation adjustments and other</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ab/>
              <w:t>(117</w:t>
              <w:tab/>
              <w:t>)</w:t>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ab/>
              <w:t>(101</w:t>
              <w:tab/>
              <w:t>)</w:t>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ab/>
              <w:t>205</w:t>
              <w:tab/>
            </w:r>
          </w:p>
        </w:tc>
      </w:tr>
      <w:tr>
        <w:trPr>
          <w:cantSplit w:val="false"/>
        </w:trPr>
        <w:tc>
          <w:tcPr>
            <w:tcW w:type="dxa" w:w="8538"/>
            <w:gridSpan w:val="2"/>
            <w:tcBorders>
              <w:top w:val="nil"/>
              <w:left w:val="nil"/>
              <w:bottom w:val="nil"/>
              <w:right w:val="nil"/>
            </w:tcBorders>
            <w:shd w:fill="auto" w:val="clear"/>
            <w:vAlign w:val="bottom"/>
          </w:tcPr>
          <w:p>
            <w:pPr>
              <w:pStyle w:val="style59"/>
              <w:spacing w:after="0" w:before="20"/>
              <w:ind w:hanging="0" w:left="-144" w:right="101"/>
              <w:contextualSpacing w:val="false"/>
              <w:rPr/>
            </w:pPr>
            <w:r>
              <w:rPr/>
              <w:t> </w:t>
            </w:r>
          </w:p>
        </w:tc>
        <w:tc>
          <w:tcPr>
            <w:tcW w:type="dxa" w:w="1131"/>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c>
          <w:tcPr>
            <w:tcW w:type="dxa" w:w="1131"/>
            <w:tcBorders>
              <w:top w:val="nil"/>
              <w:left w:val="nil"/>
              <w:bottom w:val="nil"/>
              <w:right w:val="nil"/>
            </w:tcBorders>
            <w:shd w:fill="auto" w:val="clear"/>
            <w:tcMar>
              <w:left w:type="dxa" w:w="144"/>
            </w:tcMar>
            <w:vAlign w:val="bottom"/>
          </w:tcPr>
          <w:p>
            <w:pPr>
              <w:pStyle w:val="style59"/>
              <w:spacing w:after="0" w:before="20"/>
              <w:ind w:hanging="0" w:left="202" w:right="101"/>
              <w:contextualSpacing w:val="false"/>
              <w:rPr/>
            </w:pPr>
            <w:r>
              <w:rPr/>
              <w:t> </w:t>
            </w:r>
          </w:p>
        </w:tc>
      </w:tr>
      <w:tr>
        <w:trPr>
          <w:cantSplit w:val="false"/>
        </w:trPr>
        <w:tc>
          <w:tcPr>
            <w:tcW w:type="dxa" w:w="736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Accumulated other comprehensive income</w:t>
            </w:r>
          </w:p>
        </w:tc>
        <w:tc>
          <w:tcPr>
            <w:tcW w:type="dxa" w:w="1171"/>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02" w:right="101"/>
              <w:contextualSpacing w:val="false"/>
              <w:rPr>
                <w:rFonts w:ascii="Arial" w:cs="Arial" w:hAnsi="Arial"/>
                <w:b/>
                <w:bCs/>
                <w:sz w:val="20"/>
                <w:szCs w:val="20"/>
              </w:rPr>
            </w:pPr>
            <w:r>
              <w:rPr>
                <w:rFonts w:ascii="Arial" w:cs="Arial" w:hAnsi="Arial"/>
                <w:b/>
                <w:bCs/>
                <w:sz w:val="20"/>
                <w:szCs w:val="20"/>
              </w:rPr>
              <w:t>$</w:t>
              <w:tab/>
              <w:t>  1,743</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  1,422</w:t>
              <w:tab/>
            </w:r>
          </w:p>
        </w:tc>
        <w:tc>
          <w:tcPr>
            <w:tcW w:type="dxa" w:w="1131"/>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02" w:right="101"/>
              <w:contextualSpacing w:val="false"/>
              <w:rPr>
                <w:rFonts w:ascii="Arial" w:cs="Arial" w:hAnsi="Arial"/>
                <w:sz w:val="20"/>
                <w:szCs w:val="20"/>
              </w:rPr>
            </w:pPr>
            <w:r>
              <w:rPr>
                <w:rFonts w:ascii="Arial" w:cs="Arial" w:hAnsi="Arial"/>
                <w:sz w:val="20"/>
                <w:szCs w:val="20"/>
              </w:rPr>
              <w:t>$</w:t>
              <w:tab/>
              <w:t>  1,863</w:t>
              <w:tab/>
            </w:r>
          </w:p>
        </w:tc>
      </w:tr>
      <w:tr>
        <w:trPr>
          <w:cantSplit w:val="false"/>
        </w:trPr>
        <w:tc>
          <w:tcPr>
            <w:tcW w:type="dxa" w:w="7367"/>
            <w:tcBorders>
              <w:top w:val="nil"/>
              <w:left w:val="nil"/>
              <w:bottom w:val="nil"/>
              <w:right w:val="nil"/>
            </w:tcBorders>
            <w:shd w:fill="auto" w:val="clear"/>
            <w:tcMar>
              <w:left w:type="dxa" w:w="144"/>
            </w:tcMar>
            <w:vAlign w:val="bottom"/>
          </w:tcPr>
          <w:p>
            <w:pPr>
              <w:pStyle w:val="style65"/>
              <w:rPr/>
            </w:pPr>
            <w:r>
              <w:rPr/>
              <w:t> </w:t>
            </w:r>
          </w:p>
        </w:tc>
        <w:tc>
          <w:tcPr>
            <w:tcW w:type="dxa" w:w="1171"/>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c>
          <w:tcPr>
            <w:tcW w:type="dxa" w:w="1131"/>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c>
          <w:tcPr>
            <w:tcW w:type="dxa" w:w="1131"/>
            <w:tcBorders>
              <w:top w:val="nil"/>
              <w:left w:val="nil"/>
              <w:bottom w:val="nil"/>
              <w:right w:val="nil"/>
            </w:tcBorders>
            <w:shd w:fill="auto" w:val="clear"/>
            <w:tcMar>
              <w:left w:type="dxa" w:w="144"/>
            </w:tcMar>
            <w:vAlign w:val="bottom"/>
          </w:tcPr>
          <w:p>
            <w:pPr>
              <w:pStyle w:val="style63"/>
              <w:spacing w:after="0" w:before="20"/>
              <w:ind w:hanging="0" w:left="202" w:right="101"/>
              <w:contextualSpacing w:val="false"/>
              <w:rPr/>
            </w:pPr>
            <w:r>
              <w:rPr/>
              <w:t> </w:t>
            </w:r>
          </w:p>
        </w:tc>
      </w:tr>
    </w:tbl>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20 — EMPLOYEE STOCK AND SAVINGS PLANS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We grant stock-based compensation to directors and employees. At June 30, 2013, an aggregate of 425 million shares were authorized for future grant under our stock plans, covering stock options, stock awards, and leadership stock awards. Awards that expire or are canceled without delivery of shares generally become available for issuance under the plans. We issue new shares of Microsoft common stock to satisfy exercises and vesting of awards granted under all of our stock plans.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Stock-based compensation expense and related income tax benefits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399"/>
        <w:gridCol w:w="1159"/>
        <w:gridCol w:w="1120"/>
        <w:gridCol w:w="1122"/>
      </w:tblGrid>
      <w:tr>
        <w:trPr>
          <w:tblHeader w:val="true"/>
          <w:cantSplit w:val="false"/>
        </w:trPr>
        <w:tc>
          <w:tcPr>
            <w:tcW w:type="dxa" w:w="7399"/>
            <w:tcBorders>
              <w:top w:val="nil"/>
              <w:left w:val="nil"/>
              <w:bottom w:val="nil"/>
              <w:right w:val="nil"/>
            </w:tcBorders>
            <w:shd w:fill="auto" w:val="clear"/>
            <w:vAlign w:val="center"/>
          </w:tcPr>
          <w:p>
            <w:pPr>
              <w:pStyle w:val="style0"/>
              <w:rPr>
                <w:sz w:val="1"/>
                <w:szCs w:val="24"/>
              </w:rPr>
            </w:pPr>
            <w:r>
              <w:rPr>
                <w:sz w:val="1"/>
                <w:szCs w:val="24"/>
              </w:rPr>
            </w:r>
          </w:p>
        </w:tc>
        <w:tc>
          <w:tcPr>
            <w:tcW w:type="dxa" w:w="1159"/>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12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39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159"/>
            <w:tcBorders>
              <w:top w:val="nil"/>
              <w:left w:val="nil"/>
              <w:bottom w:val="nil"/>
              <w:right w:val="nil"/>
            </w:tcBorders>
            <w:shd w:fill="auto" w:val="clear"/>
            <w:tcMar>
              <w:left w:type="dxa" w:w="144"/>
            </w:tcMar>
            <w:vAlign w:val="bottom"/>
          </w:tcPr>
          <w:p>
            <w:pPr>
              <w:pStyle w:val="style65"/>
              <w:ind w:hanging="0" w:left="173" w:right="86"/>
              <w:rPr/>
            </w:pPr>
            <w:r>
              <w:rPr/>
              <w:t> </w:t>
            </w:r>
          </w:p>
        </w:tc>
        <w:tc>
          <w:tcPr>
            <w:tcW w:type="dxa" w:w="1120"/>
            <w:tcBorders>
              <w:top w:val="nil"/>
              <w:left w:val="nil"/>
              <w:bottom w:val="nil"/>
              <w:right w:val="nil"/>
            </w:tcBorders>
            <w:shd w:fill="auto" w:val="clear"/>
            <w:tcMar>
              <w:left w:type="dxa" w:w="144"/>
            </w:tcMar>
            <w:vAlign w:val="bottom"/>
          </w:tcPr>
          <w:p>
            <w:pPr>
              <w:pStyle w:val="style65"/>
              <w:ind w:hanging="0" w:left="173" w:right="86"/>
              <w:rPr/>
            </w:pPr>
            <w:r>
              <w:rPr/>
              <w:t> </w:t>
            </w:r>
          </w:p>
        </w:tc>
        <w:tc>
          <w:tcPr>
            <w:tcW w:type="dxa" w:w="1122"/>
            <w:tcBorders>
              <w:top w:val="nil"/>
              <w:left w:val="nil"/>
              <w:bottom w:val="nil"/>
              <w:right w:val="nil"/>
            </w:tcBorders>
            <w:shd w:fill="auto" w:val="clear"/>
            <w:tcMar>
              <w:left w:type="dxa" w:w="144"/>
            </w:tcMar>
            <w:vAlign w:val="bottom"/>
          </w:tcPr>
          <w:p>
            <w:pPr>
              <w:pStyle w:val="style65"/>
              <w:ind w:hanging="0" w:left="173" w:right="86"/>
              <w:rPr/>
            </w:pPr>
            <w:r>
              <w:rPr/>
              <w:t> </w:t>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261" w:right="86"/>
              <w:contextualSpacing w:val="false"/>
              <w:rPr/>
            </w:pPr>
            <w:r>
              <w:rPr/>
              <w:t> </w:t>
            </w:r>
          </w:p>
        </w:tc>
      </w:tr>
      <w:tr>
        <w:trPr>
          <w:trHeight w:hRule="atLeast" w:val="75"/>
          <w:cantSplit w:val="false"/>
        </w:trPr>
        <w:tc>
          <w:tcPr>
            <w:tcW w:type="dxa" w:w="7399"/>
            <w:tcBorders>
              <w:top w:val="nil"/>
              <w:left w:val="nil"/>
              <w:bottom w:val="nil"/>
              <w:right w:val="nil"/>
            </w:tcBorders>
            <w:shd w:fill="auto" w:val="clear"/>
            <w:vAlign w:val="center"/>
          </w:tcPr>
          <w:p>
            <w:pPr>
              <w:pStyle w:val="style0"/>
              <w:rPr>
                <w:sz w:val="8"/>
                <w:szCs w:val="24"/>
              </w:rPr>
            </w:pPr>
            <w:r>
              <w:rPr>
                <w:sz w:val="8"/>
                <w:szCs w:val="24"/>
              </w:rPr>
            </w:r>
          </w:p>
        </w:tc>
        <w:tc>
          <w:tcPr>
            <w:tcW w:type="dxa" w:w="1159"/>
            <w:tcBorders>
              <w:top w:val="nil"/>
              <w:left w:val="nil"/>
              <w:bottom w:val="nil"/>
              <w:right w:val="nil"/>
            </w:tcBorders>
            <w:shd w:fill="auto" w:val="clear"/>
            <w:vAlign w:val="center"/>
          </w:tcPr>
          <w:p>
            <w:pPr>
              <w:pStyle w:val="style0"/>
              <w:ind w:hanging="0" w:left="173" w:right="86"/>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173" w:right="86"/>
              <w:rPr>
                <w:sz w:val="8"/>
                <w:szCs w:val="24"/>
              </w:rPr>
            </w:pPr>
            <w:r>
              <w:rPr>
                <w:sz w:val="8"/>
                <w:szCs w:val="24"/>
              </w:rPr>
            </w:r>
          </w:p>
        </w:tc>
        <w:tc>
          <w:tcPr>
            <w:tcW w:type="dxa" w:w="1122"/>
            <w:tcBorders>
              <w:top w:val="nil"/>
              <w:left w:val="nil"/>
              <w:bottom w:val="nil"/>
              <w:right w:val="nil"/>
            </w:tcBorders>
            <w:shd w:fill="auto" w:val="clear"/>
            <w:vAlign w:val="center"/>
          </w:tcPr>
          <w:p>
            <w:pPr>
              <w:pStyle w:val="style0"/>
              <w:ind w:hanging="0" w:left="173" w:right="86"/>
              <w:rPr>
                <w:sz w:val="8"/>
                <w:szCs w:val="24"/>
              </w:rPr>
            </w:pPr>
            <w:r>
              <w:rPr>
                <w:sz w:val="8"/>
                <w:szCs w:val="24"/>
              </w:rPr>
            </w:r>
          </w:p>
        </w:tc>
      </w:tr>
      <w:tr>
        <w:trPr>
          <w:cantSplit w:val="false"/>
        </w:trPr>
        <w:tc>
          <w:tcPr>
            <w:tcW w:type="dxa" w:w="739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159"/>
            <w:tcBorders>
              <w:top w:val="nil"/>
              <w:left w:val="nil"/>
              <w:bottom w:val="nil"/>
              <w:right w:val="nil"/>
            </w:tcBorders>
            <w:shd w:fill="auto" w:val="clear"/>
            <w:tcMar>
              <w:left w:type="dxa" w:w="144"/>
            </w:tcMar>
            <w:vAlign w:val="bottom"/>
          </w:tcPr>
          <w:p>
            <w:pPr>
              <w:pStyle w:val="style0"/>
              <w:ind w:hanging="0" w:left="173" w:right="58"/>
              <w:jc w:val="right"/>
              <w:rPr>
                <w:rFonts w:ascii="Arial" w:cs="Arial" w:hAnsi="Arial"/>
                <w:b/>
                <w:bCs/>
                <w:sz w:val="15"/>
                <w:szCs w:val="15"/>
              </w:rPr>
            </w:pPr>
            <w:r>
              <w:rPr>
                <w:rFonts w:ascii="Arial" w:cs="Arial" w:hAnsi="Arial"/>
                <w:b/>
                <w:bCs/>
                <w:sz w:val="15"/>
                <w:szCs w:val="15"/>
              </w:rPr>
              <w:t>2013</w:t>
            </w:r>
          </w:p>
        </w:tc>
        <w:tc>
          <w:tcPr>
            <w:tcW w:type="dxa" w:w="1120"/>
            <w:tcBorders>
              <w:top w:val="nil"/>
              <w:left w:val="nil"/>
              <w:bottom w:val="nil"/>
              <w:right w:val="nil"/>
            </w:tcBorders>
            <w:shd w:fill="auto" w:val="clear"/>
            <w:tcMar>
              <w:left w:type="dxa" w:w="144"/>
            </w:tcMar>
            <w:vAlign w:val="bottom"/>
          </w:tcPr>
          <w:p>
            <w:pPr>
              <w:pStyle w:val="style0"/>
              <w:ind w:hanging="0" w:left="173" w:right="58"/>
              <w:jc w:val="right"/>
              <w:rPr>
                <w:rFonts w:ascii="Arial" w:cs="Arial" w:hAnsi="Arial"/>
                <w:b/>
                <w:bCs/>
                <w:sz w:val="15"/>
                <w:szCs w:val="15"/>
              </w:rPr>
            </w:pPr>
            <w:r>
              <w:rPr>
                <w:rFonts w:ascii="Arial" w:cs="Arial" w:hAnsi="Arial"/>
                <w:b/>
                <w:bCs/>
                <w:sz w:val="15"/>
                <w:szCs w:val="15"/>
              </w:rPr>
              <w:t>2012</w:t>
            </w:r>
          </w:p>
        </w:tc>
        <w:tc>
          <w:tcPr>
            <w:tcW w:type="dxa" w:w="1122"/>
            <w:tcBorders>
              <w:top w:val="nil"/>
              <w:left w:val="nil"/>
              <w:bottom w:val="nil"/>
              <w:right w:val="nil"/>
            </w:tcBorders>
            <w:shd w:fill="auto" w:val="clear"/>
            <w:tcMar>
              <w:left w:type="dxa" w:w="144"/>
            </w:tcMar>
            <w:vAlign w:val="bottom"/>
          </w:tcPr>
          <w:p>
            <w:pPr>
              <w:pStyle w:val="style0"/>
              <w:ind w:hanging="0" w:left="173" w:right="58"/>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399"/>
            <w:tcBorders>
              <w:top w:val="nil"/>
              <w:left w:val="nil"/>
              <w:bottom w:val="nil"/>
              <w:right w:val="nil"/>
            </w:tcBorders>
            <w:shd w:fill="auto" w:val="clear"/>
            <w:vAlign w:val="center"/>
          </w:tcPr>
          <w:p>
            <w:pPr>
              <w:pStyle w:val="style0"/>
              <w:rPr>
                <w:sz w:val="8"/>
                <w:szCs w:val="24"/>
              </w:rPr>
            </w:pPr>
            <w:r>
              <w:rPr>
                <w:sz w:val="8"/>
                <w:szCs w:val="24"/>
              </w:rPr>
            </w:r>
          </w:p>
        </w:tc>
        <w:tc>
          <w:tcPr>
            <w:tcW w:type="dxa" w:w="1159"/>
            <w:tcBorders>
              <w:top w:val="nil"/>
              <w:left w:val="nil"/>
              <w:bottom w:val="nil"/>
              <w:right w:val="nil"/>
            </w:tcBorders>
            <w:shd w:fill="auto" w:val="clear"/>
            <w:vAlign w:val="center"/>
          </w:tcPr>
          <w:p>
            <w:pPr>
              <w:pStyle w:val="style0"/>
              <w:ind w:hanging="0" w:left="173" w:right="86"/>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173" w:right="86"/>
              <w:rPr>
                <w:sz w:val="8"/>
                <w:szCs w:val="24"/>
              </w:rPr>
            </w:pPr>
            <w:r>
              <w:rPr>
                <w:sz w:val="8"/>
                <w:szCs w:val="24"/>
              </w:rPr>
            </w:r>
          </w:p>
        </w:tc>
        <w:tc>
          <w:tcPr>
            <w:tcW w:type="dxa" w:w="1122"/>
            <w:tcBorders>
              <w:top w:val="nil"/>
              <w:left w:val="nil"/>
              <w:bottom w:val="nil"/>
              <w:right w:val="nil"/>
            </w:tcBorders>
            <w:shd w:fill="auto" w:val="clear"/>
            <w:vAlign w:val="center"/>
          </w:tcPr>
          <w:p>
            <w:pPr>
              <w:pStyle w:val="style0"/>
              <w:ind w:hanging="0" w:left="173" w:right="86"/>
              <w:rPr>
                <w:sz w:val="8"/>
                <w:szCs w:val="24"/>
              </w:rPr>
            </w:pPr>
            <w:r>
              <w:rPr>
                <w:sz w:val="8"/>
                <w:szCs w:val="24"/>
              </w:rPr>
            </w:r>
          </w:p>
        </w:tc>
      </w:tr>
      <w:tr>
        <w:trPr>
          <w:cantSplit w:val="false"/>
        </w:trPr>
        <w:tc>
          <w:tcPr>
            <w:tcW w:type="dxa" w:w="739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Stock-based compensation expense</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w:t>
              <w:tab/>
              <w:t>  2,406</w:t>
              <w:tab/>
              <w:t> </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86"/>
              <w:contextualSpacing w:val="false"/>
              <w:rPr>
                <w:rFonts w:ascii="Arial" w:cs="Arial" w:hAnsi="Arial"/>
                <w:sz w:val="20"/>
                <w:szCs w:val="20"/>
              </w:rPr>
            </w:pPr>
            <w:r>
              <w:rPr>
                <w:rFonts w:ascii="Arial" w:cs="Arial" w:hAnsi="Arial"/>
                <w:sz w:val="20"/>
                <w:szCs w:val="20"/>
              </w:rPr>
              <w:t>$</w:t>
              <w:tab/>
              <w:t>  2,244</w:t>
              <w:tab/>
              <w:t> </w:t>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86"/>
              <w:contextualSpacing w:val="false"/>
              <w:rPr>
                <w:rFonts w:ascii="Arial" w:cs="Arial" w:hAnsi="Arial"/>
                <w:sz w:val="20"/>
                <w:szCs w:val="20"/>
              </w:rPr>
            </w:pPr>
            <w:r>
              <w:rPr>
                <w:rFonts w:ascii="Arial" w:cs="Arial" w:hAnsi="Arial"/>
                <w:sz w:val="20"/>
                <w:szCs w:val="20"/>
              </w:rPr>
              <w:t>$</w:t>
              <w:tab/>
              <w:t>  2,166</w:t>
              <w:tab/>
              <w:t> </w:t>
            </w:r>
          </w:p>
        </w:tc>
      </w:tr>
      <w:tr>
        <w:trPr>
          <w:cantSplit w:val="false"/>
        </w:trPr>
        <w:tc>
          <w:tcPr>
            <w:tcW w:type="dxa" w:w="739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Income tax benefits related to stock-based compensation</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173" w:right="86"/>
              <w:contextualSpacing w:val="false"/>
              <w:rPr>
                <w:rFonts w:ascii="Arial" w:cs="Arial" w:hAnsi="Arial"/>
                <w:b/>
                <w:bCs/>
                <w:sz w:val="20"/>
                <w:szCs w:val="20"/>
              </w:rPr>
            </w:pPr>
            <w:r>
              <w:rPr>
                <w:rFonts w:ascii="Arial" w:cs="Arial" w:hAnsi="Arial"/>
                <w:b/>
                <w:bCs/>
                <w:sz w:val="20"/>
                <w:szCs w:val="20"/>
              </w:rPr>
              <w:t>$</w:t>
              <w:tab/>
              <w:t>842</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86"/>
              <w:contextualSpacing w:val="false"/>
              <w:rPr>
                <w:rFonts w:ascii="Arial" w:cs="Arial" w:hAnsi="Arial"/>
                <w:sz w:val="20"/>
                <w:szCs w:val="20"/>
              </w:rPr>
            </w:pPr>
            <w:r>
              <w:rPr>
                <w:rFonts w:ascii="Arial" w:cs="Arial" w:hAnsi="Arial"/>
                <w:sz w:val="20"/>
                <w:szCs w:val="20"/>
              </w:rPr>
              <w:t>$</w:t>
              <w:tab/>
              <w:t>785</w:t>
              <w:tab/>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73" w:right="86"/>
              <w:contextualSpacing w:val="false"/>
              <w:rPr>
                <w:rFonts w:ascii="Arial" w:cs="Arial" w:hAnsi="Arial"/>
                <w:sz w:val="20"/>
                <w:szCs w:val="20"/>
              </w:rPr>
            </w:pPr>
            <w:r>
              <w:rPr>
                <w:rFonts w:ascii="Arial" w:cs="Arial" w:hAnsi="Arial"/>
                <w:sz w:val="20"/>
                <w:szCs w:val="20"/>
              </w:rPr>
              <w:t>$</w:t>
              <w:tab/>
              <w:t>758</w:t>
              <w:tab/>
            </w:r>
          </w:p>
        </w:tc>
      </w:tr>
    </w:tbl>
    <w:p>
      <w:pPr>
        <w:pStyle w:val="style59"/>
        <w:pBdr>
          <w:top w:color="000001" w:space="0" w:sz="4" w:val="single"/>
          <w:left w:val="nil"/>
          <w:bottom w:val="nil"/>
          <w:insideH w:val="nil"/>
          <w:right w:val="nil"/>
          <w:insideV w:val="nil"/>
        </w:pBdr>
        <w:ind w:hanging="0" w:left="0" w:right="86"/>
        <w:rPr/>
      </w:pPr>
      <w:r>
        <w:rPr/>
        <w:t>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Stock Plans (Excluding Stock Options)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Stock awards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Stock awards (“SAs”) are grants that entitle the holder to shares of Microsoft common stock as the award vests. SAs generally vest over a five-year period.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Leadership stock awards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Leadership stock awards (“LSAs”) are a form of SAs in which the number of shares ultimately received depends on our business performance against specified performance metrics. LSAs replaced shared performance stock awards (“SPSA”) in fiscal year 2013. Shares previously issued under the SPSA program will continue to vest ratably under their original term, generally with a three-year remaining service period.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 base number of LSAs are granted in each fiscal year, which represents the performance period for the awards. Following the end of the performance period, the number of shares can be increased by 25% if certain performance metrics are met. One quarter of the awarded shares will vest one year after the grant date. The remaining shares will vest semi-annually during the following three years.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Executive incentive plan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Under the Executive Incentive Plan (“EIP”), the Compensation Committee awards performance-based compensation comprising both cash and SAs to executive officers and certain senior executives. For executive officers, their awards are based on an aggregate incentive pool equal to a percentage of consolidated operating income. For fiscal years 2013, 2012, and 2011, the pool was 0.35%, 0.3%, and 0.25% of operating income, respectively. The SAs vest ratably in August of each of the four years following the grant date. The final cash awards will be determined after each performance period based on individual and business performance. </w:t>
      </w:r>
    </w:p>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jc w:val="both"/>
        <w:rPr>
          <w:rFonts w:ascii="Arial" w:cs="Arial" w:hAnsi="Arial"/>
          <w:i/>
          <w:iCs/>
          <w:sz w:val="20"/>
          <w:szCs w:val="20"/>
        </w:rPr>
      </w:pPr>
      <w:r>
        <w:rPr>
          <w:rFonts w:ascii="Arial" w:cs="Arial" w:hAnsi="Arial"/>
          <w:i/>
          <w:iCs/>
          <w:sz w:val="20"/>
          <w:szCs w:val="20"/>
        </w:rPr>
        <w:t xml:space="preserve">Activity for all stock plans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fair value of each award was estimated on the date of grant using the following assumptions: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5399"/>
        <w:gridCol w:w="1839"/>
        <w:gridCol w:w="1780"/>
        <w:gridCol w:w="1782"/>
      </w:tblGrid>
      <w:tr>
        <w:trPr>
          <w:tblHeader w:val="true"/>
          <w:cantSplit w:val="false"/>
        </w:trPr>
        <w:tc>
          <w:tcPr>
            <w:tcW w:type="dxa" w:w="5399"/>
            <w:tcBorders>
              <w:top w:val="nil"/>
              <w:left w:val="nil"/>
              <w:bottom w:val="nil"/>
              <w:right w:val="nil"/>
            </w:tcBorders>
            <w:shd w:fill="auto" w:val="clear"/>
            <w:vAlign w:val="center"/>
          </w:tcPr>
          <w:p>
            <w:pPr>
              <w:pStyle w:val="style0"/>
              <w:rPr>
                <w:sz w:val="1"/>
                <w:szCs w:val="24"/>
              </w:rPr>
            </w:pPr>
            <w:r>
              <w:rPr>
                <w:sz w:val="1"/>
                <w:szCs w:val="24"/>
              </w:rPr>
            </w:r>
          </w:p>
        </w:tc>
        <w:tc>
          <w:tcPr>
            <w:tcW w:type="dxa" w:w="1839"/>
            <w:tcBorders>
              <w:top w:val="nil"/>
              <w:left w:val="nil"/>
              <w:bottom w:val="nil"/>
              <w:right w:val="nil"/>
            </w:tcBorders>
            <w:shd w:fill="auto" w:val="clear"/>
            <w:vAlign w:val="center"/>
          </w:tcPr>
          <w:p>
            <w:pPr>
              <w:pStyle w:val="style0"/>
              <w:rPr>
                <w:sz w:val="1"/>
                <w:szCs w:val="24"/>
              </w:rPr>
            </w:pPr>
            <w:r>
              <w:rPr>
                <w:sz w:val="1"/>
                <w:szCs w:val="24"/>
              </w:rPr>
            </w:r>
          </w:p>
        </w:tc>
        <w:tc>
          <w:tcPr>
            <w:tcW w:type="dxa" w:w="1780"/>
            <w:tcBorders>
              <w:top w:val="nil"/>
              <w:left w:val="nil"/>
              <w:bottom w:val="nil"/>
              <w:right w:val="nil"/>
            </w:tcBorders>
            <w:shd w:fill="auto" w:val="clear"/>
            <w:vAlign w:val="center"/>
          </w:tcPr>
          <w:p>
            <w:pPr>
              <w:pStyle w:val="style0"/>
              <w:rPr>
                <w:sz w:val="1"/>
                <w:szCs w:val="24"/>
              </w:rPr>
            </w:pPr>
            <w:r>
              <w:rPr>
                <w:sz w:val="1"/>
                <w:szCs w:val="24"/>
              </w:rPr>
            </w:r>
          </w:p>
        </w:tc>
        <w:tc>
          <w:tcPr>
            <w:tcW w:type="dxa" w:w="1782"/>
            <w:tcBorders>
              <w:top w:val="nil"/>
              <w:left w:val="nil"/>
              <w:bottom w:val="nil"/>
              <w:right w:val="nil"/>
            </w:tcBorders>
            <w:shd w:fill="auto" w:val="clear"/>
            <w:vAlign w:val="center"/>
          </w:tcPr>
          <w:p>
            <w:pPr>
              <w:pStyle w:val="style0"/>
              <w:ind w:hanging="0" w:left="0" w:right="86"/>
              <w:rPr>
                <w:sz w:val="1"/>
                <w:szCs w:val="24"/>
              </w:rPr>
            </w:pPr>
            <w:r>
              <w:rPr>
                <w:sz w:val="1"/>
                <w:szCs w:val="24"/>
              </w:rPr>
            </w:r>
          </w:p>
        </w:tc>
      </w:tr>
      <w:tr>
        <w:trPr>
          <w:tblHeader w:val="true"/>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207" w:right="86"/>
              <w:contextualSpacing w:val="false"/>
              <w:rPr/>
            </w:pPr>
            <w:r>
              <w:rPr/>
              <w:t> </w:t>
            </w:r>
          </w:p>
        </w:tc>
      </w:tr>
      <w:tr>
        <w:trPr>
          <w:cantSplit w:val="false"/>
        </w:trPr>
        <w:tc>
          <w:tcPr>
            <w:tcW w:type="dxa" w:w="539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839"/>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2013</w:t>
            </w:r>
          </w:p>
        </w:tc>
        <w:tc>
          <w:tcPr>
            <w:tcW w:type="dxa" w:w="1780"/>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2012</w:t>
            </w:r>
          </w:p>
        </w:tc>
        <w:tc>
          <w:tcPr>
            <w:tcW w:type="dxa" w:w="1782"/>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5399"/>
            <w:tcBorders>
              <w:top w:val="nil"/>
              <w:left w:val="nil"/>
              <w:bottom w:val="nil"/>
              <w:right w:val="nil"/>
            </w:tcBorders>
            <w:shd w:fill="auto" w:val="clear"/>
            <w:vAlign w:val="center"/>
          </w:tcPr>
          <w:p>
            <w:pPr>
              <w:pStyle w:val="style0"/>
              <w:rPr>
                <w:sz w:val="8"/>
                <w:szCs w:val="24"/>
              </w:rPr>
            </w:pPr>
            <w:r>
              <w:rPr>
                <w:sz w:val="8"/>
                <w:szCs w:val="24"/>
              </w:rPr>
            </w:r>
          </w:p>
        </w:tc>
        <w:tc>
          <w:tcPr>
            <w:tcW w:type="dxa" w:w="1839"/>
            <w:tcBorders>
              <w:top w:val="nil"/>
              <w:left w:val="nil"/>
              <w:bottom w:val="nil"/>
              <w:right w:val="nil"/>
            </w:tcBorders>
            <w:shd w:fill="auto" w:val="clear"/>
            <w:vAlign w:val="center"/>
          </w:tcPr>
          <w:p>
            <w:pPr>
              <w:pStyle w:val="style0"/>
              <w:ind w:hanging="0" w:left="0" w:right="58"/>
              <w:rPr>
                <w:sz w:val="8"/>
                <w:szCs w:val="24"/>
              </w:rPr>
            </w:pPr>
            <w:r>
              <w:rPr>
                <w:sz w:val="8"/>
                <w:szCs w:val="24"/>
              </w:rPr>
            </w:r>
          </w:p>
        </w:tc>
        <w:tc>
          <w:tcPr>
            <w:tcW w:type="dxa" w:w="1780"/>
            <w:tcBorders>
              <w:top w:val="nil"/>
              <w:left w:val="nil"/>
              <w:bottom w:val="nil"/>
              <w:right w:val="nil"/>
            </w:tcBorders>
            <w:shd w:fill="auto" w:val="clear"/>
            <w:vAlign w:val="center"/>
          </w:tcPr>
          <w:p>
            <w:pPr>
              <w:pStyle w:val="style0"/>
              <w:ind w:hanging="0" w:left="0" w:right="58"/>
              <w:rPr>
                <w:sz w:val="8"/>
                <w:szCs w:val="24"/>
              </w:rPr>
            </w:pPr>
            <w:r>
              <w:rPr>
                <w:sz w:val="8"/>
                <w:szCs w:val="24"/>
              </w:rPr>
            </w:r>
          </w:p>
        </w:tc>
        <w:tc>
          <w:tcPr>
            <w:tcW w:type="dxa" w:w="1782"/>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5399"/>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Dividends per share (quarterly amounts)</w:t>
            </w:r>
          </w:p>
        </w:tc>
        <w:tc>
          <w:tcPr>
            <w:tcW w:type="dxa" w:w="1839"/>
            <w:tcBorders>
              <w:top w:val="nil"/>
              <w:left w:val="nil"/>
              <w:bottom w:val="nil"/>
              <w:right w:val="nil"/>
            </w:tcBorders>
            <w:shd w:fill="auto" w:val="clear"/>
            <w:tcMar>
              <w:left w:type="dxa" w:w="144"/>
            </w:tcMar>
            <w:vAlign w:val="bottom"/>
          </w:tcPr>
          <w:p>
            <w:pPr>
              <w:pStyle w:val="style62"/>
              <w:tabs>
                <w:tab w:leader="none" w:pos="1640" w:val="right"/>
                <w:tab w:leader="none" w:pos="1680" w:val="decimal"/>
              </w:tabs>
              <w:spacing w:after="280" w:before="280"/>
              <w:ind w:hanging="0" w:left="144" w:right="0"/>
              <w:contextualSpacing w:val="false"/>
              <w:rPr>
                <w:rFonts w:ascii="Arial" w:cs="Arial" w:hAnsi="Arial"/>
                <w:b/>
                <w:bCs/>
                <w:sz w:val="20"/>
                <w:szCs w:val="20"/>
              </w:rPr>
            </w:pPr>
            <w:r>
              <w:rPr>
                <w:rFonts w:ascii="Arial" w:cs="Arial" w:hAnsi="Arial"/>
                <w:b/>
                <w:bCs/>
                <w:sz w:val="20"/>
                <w:szCs w:val="20"/>
              </w:rPr>
              <w:t>$</w:t>
              <w:tab/>
              <w:t>  0.20 - $  0.23</w:t>
              <w:tab/>
              <w:t> </w:t>
            </w:r>
          </w:p>
        </w:tc>
        <w:tc>
          <w:tcPr>
            <w:tcW w:type="dxa" w:w="1780"/>
            <w:tcBorders>
              <w:top w:val="nil"/>
              <w:left w:val="nil"/>
              <w:bottom w:val="nil"/>
              <w:right w:val="nil"/>
            </w:tcBorders>
            <w:shd w:fill="auto" w:val="clear"/>
            <w:tcMar>
              <w:left w:type="dxa" w:w="144"/>
            </w:tcMar>
            <w:vAlign w:val="bottom"/>
          </w:tcPr>
          <w:p>
            <w:pPr>
              <w:pStyle w:val="style62"/>
              <w:tabs>
                <w:tab w:leader="none" w:pos="1580" w:val="right"/>
                <w:tab w:leader="none" w:pos="162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  0.16 - $  0.20</w:t>
              <w:tab/>
              <w:t> </w:t>
            </w:r>
          </w:p>
        </w:tc>
        <w:tc>
          <w:tcPr>
            <w:tcW w:type="dxa" w:w="1782"/>
            <w:tcBorders>
              <w:top w:val="nil"/>
              <w:left w:val="nil"/>
              <w:bottom w:val="nil"/>
              <w:right w:val="nil"/>
            </w:tcBorders>
            <w:shd w:fill="auto" w:val="clear"/>
            <w:tcMar>
              <w:left w:type="dxa" w:w="144"/>
            </w:tcMar>
            <w:vAlign w:val="bottom"/>
          </w:tcPr>
          <w:p>
            <w:pPr>
              <w:pStyle w:val="style62"/>
              <w:tabs>
                <w:tab w:leader="none" w:pos="1580" w:val="right"/>
                <w:tab w:leader="none" w:pos="162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  0.13 - $  0.16</w:t>
              <w:tab/>
              <w:t> </w:t>
            </w:r>
          </w:p>
        </w:tc>
      </w:tr>
      <w:tr>
        <w:trPr>
          <w:cantSplit w:val="false"/>
        </w:trPr>
        <w:tc>
          <w:tcPr>
            <w:tcW w:type="dxa" w:w="5399"/>
            <w:tcBorders>
              <w:top w:val="nil"/>
              <w:left w:val="nil"/>
              <w:bottom w:val="nil"/>
              <w:right w:val="nil"/>
            </w:tcBorders>
            <w:shd w:fill="auto" w:val="clear"/>
          </w:tcPr>
          <w:p>
            <w:pPr>
              <w:pStyle w:val="style62"/>
              <w:keepNext/>
              <w:spacing w:after="280" w:before="280"/>
              <w:ind w:hanging="240" w:left="240" w:right="0"/>
              <w:contextualSpacing w:val="false"/>
              <w:rPr>
                <w:rFonts w:ascii="Arial" w:cs="Arial" w:hAnsi="Arial"/>
                <w:sz w:val="20"/>
                <w:szCs w:val="20"/>
              </w:rPr>
            </w:pPr>
            <w:r>
              <w:rPr>
                <w:rFonts w:ascii="Arial" w:cs="Arial" w:hAnsi="Arial"/>
                <w:sz w:val="20"/>
                <w:szCs w:val="20"/>
              </w:rPr>
              <w:t>Interest rates range</w:t>
            </w:r>
          </w:p>
        </w:tc>
        <w:tc>
          <w:tcPr>
            <w:tcW w:type="dxa" w:w="1839"/>
            <w:tcBorders>
              <w:top w:val="nil"/>
              <w:left w:val="nil"/>
              <w:bottom w:val="nil"/>
              <w:right w:val="nil"/>
            </w:tcBorders>
            <w:shd w:fill="auto" w:val="clear"/>
            <w:tcMar>
              <w:left w:type="dxa" w:w="144"/>
            </w:tcMar>
            <w:vAlign w:val="bottom"/>
          </w:tcPr>
          <w:p>
            <w:pPr>
              <w:pStyle w:val="style62"/>
              <w:tabs>
                <w:tab w:leader="none" w:pos="1640" w:val="right"/>
                <w:tab w:leader="none" w:pos="1680" w:val="decimal"/>
              </w:tabs>
              <w:spacing w:after="280" w:before="280"/>
              <w:contextualSpacing w:val="false"/>
              <w:rPr>
                <w:rFonts w:ascii="Arial" w:cs="Arial" w:hAnsi="Arial"/>
                <w:b/>
                <w:bCs/>
                <w:sz w:val="20"/>
                <w:szCs w:val="20"/>
              </w:rPr>
            </w:pPr>
            <w:r>
              <w:rPr>
                <w:rFonts w:ascii="Arial" w:cs="Arial" w:hAnsi="Arial"/>
                <w:b/>
                <w:bCs/>
                <w:sz w:val="20"/>
                <w:szCs w:val="20"/>
              </w:rPr>
              <w:tab/>
              <w:t>0.6% - 1.1%</w:t>
              <w:tab/>
            </w:r>
          </w:p>
        </w:tc>
        <w:tc>
          <w:tcPr>
            <w:tcW w:type="dxa" w:w="1780"/>
            <w:tcBorders>
              <w:top w:val="nil"/>
              <w:left w:val="nil"/>
              <w:bottom w:val="nil"/>
              <w:right w:val="nil"/>
            </w:tcBorders>
            <w:shd w:fill="auto" w:val="clear"/>
            <w:tcMar>
              <w:left w:type="dxa" w:w="144"/>
            </w:tcMar>
            <w:vAlign w:val="bottom"/>
          </w:tcPr>
          <w:p>
            <w:pPr>
              <w:pStyle w:val="style62"/>
              <w:tabs>
                <w:tab w:leader="none" w:pos="1580" w:val="right"/>
                <w:tab w:leader="none" w:pos="1620" w:val="decimal"/>
              </w:tabs>
              <w:spacing w:after="280" w:before="280"/>
              <w:contextualSpacing w:val="false"/>
              <w:rPr>
                <w:rFonts w:ascii="Arial" w:cs="Arial" w:hAnsi="Arial"/>
                <w:sz w:val="20"/>
                <w:szCs w:val="20"/>
              </w:rPr>
            </w:pPr>
            <w:r>
              <w:rPr>
                <w:rFonts w:ascii="Arial" w:cs="Arial" w:hAnsi="Arial"/>
                <w:sz w:val="20"/>
                <w:szCs w:val="20"/>
              </w:rPr>
              <w:tab/>
              <w:t>0.7% - 1.7%</w:t>
              <w:tab/>
            </w:r>
          </w:p>
        </w:tc>
        <w:tc>
          <w:tcPr>
            <w:tcW w:type="dxa" w:w="1782"/>
            <w:tcBorders>
              <w:top w:val="nil"/>
              <w:left w:val="nil"/>
              <w:bottom w:val="nil"/>
              <w:right w:val="nil"/>
            </w:tcBorders>
            <w:shd w:fill="auto" w:val="clear"/>
            <w:tcMar>
              <w:left w:type="dxa" w:w="144"/>
            </w:tcMar>
            <w:vAlign w:val="bottom"/>
          </w:tcPr>
          <w:p>
            <w:pPr>
              <w:pStyle w:val="style62"/>
              <w:tabs>
                <w:tab w:leader="none" w:pos="1580" w:val="right"/>
                <w:tab w:leader="none" w:pos="1620" w:val="decimal"/>
              </w:tabs>
              <w:spacing w:after="280" w:before="280"/>
              <w:contextualSpacing w:val="false"/>
              <w:rPr>
                <w:rFonts w:ascii="Arial" w:cs="Arial" w:hAnsi="Arial"/>
                <w:sz w:val="20"/>
                <w:szCs w:val="20"/>
              </w:rPr>
            </w:pPr>
            <w:r>
              <w:rPr>
                <w:rFonts w:ascii="Arial" w:cs="Arial" w:hAnsi="Arial"/>
                <w:sz w:val="20"/>
                <w:szCs w:val="20"/>
              </w:rPr>
              <w:tab/>
              <w:t>1.1% - 2.4%</w:t>
              <w:tab/>
            </w:r>
          </w:p>
        </w:tc>
      </w:tr>
    </w:tbl>
    <w:p>
      <w:pPr>
        <w:pStyle w:val="style59"/>
        <w:pBdr>
          <w:top w:color="000001" w:space="0" w:sz="4" w:val="single"/>
          <w:left w:val="nil"/>
          <w:bottom w:val="nil"/>
          <w:insideH w:val="nil"/>
          <w:right w:val="nil"/>
          <w:insideV w:val="nil"/>
        </w:pBdr>
        <w:spacing w:after="0" w:before="0"/>
        <w:ind w:hanging="0" w:left="0" w:right="86"/>
        <w:contextualSpacing w:val="false"/>
        <w:rPr/>
      </w:pPr>
      <w:r>
        <w:rPr/>
        <w:t>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During fiscal year 2013, the following activity occurred under our stock plans: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8168"/>
        <w:gridCol w:w="1350"/>
        <w:gridCol w:w="1282"/>
      </w:tblGrid>
      <w:tr>
        <w:trPr>
          <w:tblHeader w:val="true"/>
          <w:cantSplit w:val="false"/>
        </w:trPr>
        <w:tc>
          <w:tcPr>
            <w:tcW w:type="dxa" w:w="8168"/>
            <w:tcBorders>
              <w:top w:val="nil"/>
              <w:left w:val="nil"/>
              <w:bottom w:val="nil"/>
              <w:right w:val="nil"/>
            </w:tcBorders>
            <w:shd w:fill="auto" w:val="clear"/>
            <w:vAlign w:val="center"/>
          </w:tcPr>
          <w:p>
            <w:pPr>
              <w:pStyle w:val="style0"/>
              <w:rPr>
                <w:sz w:val="1"/>
                <w:szCs w:val="24"/>
              </w:rPr>
            </w:pPr>
            <w:r>
              <w:rPr>
                <w:sz w:val="1"/>
                <w:szCs w:val="24"/>
              </w:rPr>
            </w:r>
          </w:p>
        </w:tc>
        <w:tc>
          <w:tcPr>
            <w:tcW w:type="dxa" w:w="1350"/>
            <w:tcBorders>
              <w:top w:val="nil"/>
              <w:left w:val="nil"/>
              <w:bottom w:val="nil"/>
              <w:right w:val="nil"/>
            </w:tcBorders>
            <w:shd w:fill="auto" w:val="clear"/>
            <w:vAlign w:val="center"/>
          </w:tcPr>
          <w:p>
            <w:pPr>
              <w:pStyle w:val="style0"/>
              <w:rPr>
                <w:sz w:val="1"/>
                <w:szCs w:val="24"/>
              </w:rPr>
            </w:pPr>
            <w:r>
              <w:rPr>
                <w:sz w:val="1"/>
                <w:szCs w:val="24"/>
              </w:rPr>
            </w:r>
          </w:p>
        </w:tc>
        <w:tc>
          <w:tcPr>
            <w:tcW w:type="dxa" w:w="128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8168"/>
            <w:tcBorders>
              <w:top w:val="nil"/>
              <w:left w:val="nil"/>
              <w:bottom w:val="nil"/>
              <w:right w:val="nil"/>
            </w:tcBorders>
            <w:shd w:fill="auto" w:val="clear"/>
            <w:tcMar>
              <w:left w:type="dxa" w:w="144"/>
            </w:tcMar>
            <w:vAlign w:val="bottom"/>
          </w:tcPr>
          <w:p>
            <w:pPr>
              <w:pStyle w:val="style65"/>
              <w:keepNext/>
              <w:ind w:hanging="0" w:left="-234" w:right="0"/>
              <w:rPr/>
            </w:pPr>
            <w:r>
              <w:rPr/>
              <w:t> </w:t>
            </w:r>
          </w:p>
        </w:tc>
        <w:tc>
          <w:tcPr>
            <w:tcW w:type="dxa" w:w="1350"/>
            <w:tcBorders>
              <w:top w:val="nil"/>
              <w:left w:val="nil"/>
              <w:bottom w:val="nil"/>
              <w:right w:val="nil"/>
            </w:tcBorders>
            <w:shd w:fill="auto" w:val="clear"/>
            <w:tcMar>
              <w:left w:type="dxa" w:w="144"/>
            </w:tcMar>
            <w:vAlign w:val="bottom"/>
          </w:tcPr>
          <w:p>
            <w:pPr>
              <w:pStyle w:val="style0"/>
              <w:ind w:hanging="0" w:left="0" w:right="58"/>
              <w:jc w:val="right"/>
              <w:rPr>
                <w:rFonts w:ascii="Arial" w:cs="Arial" w:hAnsi="Arial"/>
                <w:b/>
                <w:bCs/>
                <w:sz w:val="15"/>
                <w:szCs w:val="15"/>
              </w:rPr>
            </w:pPr>
            <w:r>
              <w:rPr>
                <w:rFonts w:ascii="Arial" w:cs="Arial" w:hAnsi="Arial"/>
                <w:b/>
                <w:bCs/>
                <w:sz w:val="15"/>
                <w:szCs w:val="15"/>
              </w:rPr>
              <w:t>Shares</w:t>
            </w:r>
          </w:p>
        </w:tc>
        <w:tc>
          <w:tcPr>
            <w:tcW w:type="dxa" w:w="1282"/>
            <w:tcBorders>
              <w:top w:val="nil"/>
              <w:left w:val="nil"/>
              <w:bottom w:val="nil"/>
              <w:right w:val="nil"/>
            </w:tcBorders>
            <w:shd w:fill="auto" w:val="clear"/>
            <w:tcMar>
              <w:left w:type="dxa" w:w="144"/>
            </w:tcMar>
            <w:vAlign w:val="bottom"/>
          </w:tcPr>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Weighted</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Average</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Grant-Date</w:t>
            </w:r>
          </w:p>
          <w:p>
            <w:pPr>
              <w:pStyle w:val="style62"/>
              <w:spacing w:after="280" w:before="280"/>
              <w:ind w:hanging="0" w:left="0" w:right="58"/>
              <w:contextualSpacing w:val="false"/>
              <w:jc w:val="right"/>
              <w:rPr>
                <w:rFonts w:ascii="Arial" w:cs="Arial" w:hAnsi="Arial"/>
                <w:b/>
                <w:bCs/>
                <w:sz w:val="15"/>
                <w:szCs w:val="15"/>
              </w:rPr>
            </w:pPr>
            <w:r>
              <w:rPr>
                <w:rFonts w:ascii="Arial" w:cs="Arial" w:hAnsi="Arial"/>
                <w:b/>
                <w:bCs/>
                <w:sz w:val="15"/>
                <w:szCs w:val="15"/>
              </w:rPr>
              <w:t>Fair Value</w:t>
            </w:r>
          </w:p>
        </w:tc>
      </w:tr>
      <w:tr>
        <w:trPr>
          <w:cantSplit w:val="false"/>
        </w:trPr>
        <w:tc>
          <w:tcPr>
            <w:tcW w:type="dxa" w:w="10800"/>
            <w:gridSpan w:val="3"/>
            <w:tcBorders>
              <w:top w:val="nil"/>
              <w:left w:val="nil"/>
              <w:bottom w:val="nil"/>
              <w:right w:val="nil"/>
            </w:tcBorders>
            <w:shd w:fill="auto" w:val="clear"/>
            <w:tcMar>
              <w:left w:type="dxa" w:w="144"/>
            </w:tcMar>
            <w:vAlign w:val="bottom"/>
          </w:tcPr>
          <w:p>
            <w:pPr>
              <w:pStyle w:val="style59"/>
              <w:spacing w:after="0" w:before="20"/>
              <w:ind w:hanging="0" w:left="-207" w:right="86"/>
              <w:contextualSpacing w:val="false"/>
              <w:rPr/>
            </w:pPr>
            <w:r>
              <w:rPr/>
              <w:t> </w:t>
            </w:r>
          </w:p>
        </w:tc>
      </w:tr>
      <w:tr>
        <w:trPr>
          <w:cantSplit w:val="false"/>
        </w:trPr>
        <w:tc>
          <w:tcPr>
            <w:tcW w:type="dxa" w:w="8168"/>
            <w:tcBorders>
              <w:top w:val="nil"/>
              <w:left w:val="nil"/>
              <w:bottom w:val="nil"/>
              <w:right w:val="nil"/>
            </w:tcBorders>
            <w:shd w:fill="auto" w:val="clear"/>
            <w:tcMar>
              <w:left w:type="dxa" w:w="144"/>
            </w:tcMar>
            <w:vAlign w:val="bottom"/>
          </w:tcPr>
          <w:p>
            <w:pPr>
              <w:pStyle w:val="style65"/>
              <w:keepNext/>
              <w:rPr/>
            </w:pPr>
            <w:r>
              <w:rPr/>
              <w:t> </w:t>
            </w:r>
          </w:p>
        </w:tc>
        <w:tc>
          <w:tcPr>
            <w:tcW w:type="dxa" w:w="1350"/>
            <w:tcBorders>
              <w:top w:val="nil"/>
              <w:left w:val="nil"/>
              <w:bottom w:val="nil"/>
              <w:right w:val="nil"/>
            </w:tcBorders>
            <w:shd w:fill="auto" w:val="clear"/>
            <w:tcMar>
              <w:left w:type="dxa" w:w="144"/>
            </w:tcMar>
            <w:vAlign w:val="bottom"/>
          </w:tcPr>
          <w:p>
            <w:pPr>
              <w:pStyle w:val="style0"/>
              <w:ind w:hanging="0" w:left="0" w:right="43"/>
              <w:jc w:val="right"/>
              <w:rPr>
                <w:rFonts w:ascii="Arial" w:cs="Arial" w:hAnsi="Arial"/>
                <w:b/>
                <w:bCs/>
                <w:sz w:val="15"/>
                <w:szCs w:val="15"/>
              </w:rPr>
            </w:pPr>
            <w:r>
              <w:rPr>
                <w:rFonts w:ascii="Arial" w:cs="Arial" w:hAnsi="Arial"/>
                <w:b/>
                <w:bCs/>
                <w:sz w:val="15"/>
                <w:szCs w:val="15"/>
              </w:rPr>
              <w:t>(In millions)</w:t>
            </w:r>
          </w:p>
        </w:tc>
        <w:tc>
          <w:tcPr>
            <w:tcW w:type="dxa" w:w="1282"/>
            <w:tcBorders>
              <w:top w:val="nil"/>
              <w:left w:val="nil"/>
              <w:bottom w:val="nil"/>
              <w:right w:val="nil"/>
            </w:tcBorders>
            <w:shd w:fill="auto" w:val="clear"/>
            <w:tcMar>
              <w:left w:type="dxa" w:w="144"/>
            </w:tcMar>
            <w:vAlign w:val="bottom"/>
          </w:tcPr>
          <w:p>
            <w:pPr>
              <w:pStyle w:val="style65"/>
              <w:rPr/>
            </w:pPr>
            <w:r>
              <w:rPr/>
              <w:t> </w:t>
            </w:r>
          </w:p>
        </w:tc>
      </w:tr>
      <w:tr>
        <w:trPr>
          <w:trHeight w:hRule="atLeast" w:val="75"/>
          <w:cantSplit w:val="false"/>
        </w:trPr>
        <w:tc>
          <w:tcPr>
            <w:tcW w:type="dxa" w:w="10800"/>
            <w:gridSpan w:val="3"/>
            <w:tcBorders>
              <w:top w:val="nil"/>
              <w:left w:val="nil"/>
              <w:bottom w:val="nil"/>
              <w:right w:val="nil"/>
            </w:tcBorders>
            <w:shd w:fill="auto" w:val="clear"/>
            <w:vAlign w:val="center"/>
          </w:tcPr>
          <w:p>
            <w:pPr>
              <w:pStyle w:val="style0"/>
              <w:ind w:hanging="0" w:left="0" w:right="86"/>
              <w:rPr>
                <w:sz w:val="8"/>
                <w:szCs w:val="24"/>
              </w:rPr>
            </w:pPr>
            <w:r>
              <w:rPr>
                <w:sz w:val="8"/>
                <w:szCs w:val="24"/>
              </w:rPr>
            </w:r>
          </w:p>
        </w:tc>
      </w:tr>
      <w:tr>
        <w:trPr>
          <w:cantSplit w:val="false"/>
        </w:trPr>
        <w:tc>
          <w:tcPr>
            <w:tcW w:type="dxa" w:w="10800"/>
            <w:gridSpan w:val="3"/>
            <w:tcBorders>
              <w:top w:val="nil"/>
              <w:left w:val="nil"/>
              <w:bottom w:val="nil"/>
              <w:right w:val="nil"/>
            </w:tcBorders>
            <w:shd w:fill="auto" w:val="clear"/>
            <w:vAlign w:val="bottom"/>
          </w:tcPr>
          <w:p>
            <w:pPr>
              <w:pStyle w:val="style62"/>
              <w:keepNext/>
              <w:spacing w:after="280" w:before="280"/>
              <w:ind w:hanging="0" w:left="0" w:right="86"/>
              <w:contextualSpacing w:val="false"/>
              <w:rPr>
                <w:rFonts w:ascii="Arial" w:cs="Arial" w:hAnsi="Arial"/>
                <w:b/>
                <w:bCs/>
                <w:sz w:val="15"/>
                <w:szCs w:val="15"/>
              </w:rPr>
            </w:pPr>
            <w:r>
              <w:rPr>
                <w:rFonts w:ascii="Arial" w:cs="Arial" w:hAnsi="Arial"/>
                <w:b/>
                <w:bCs/>
                <w:sz w:val="15"/>
                <w:szCs w:val="15"/>
              </w:rPr>
              <w:t>Stock Awards</w:t>
            </w:r>
          </w:p>
        </w:tc>
      </w:tr>
      <w:tr>
        <w:trPr>
          <w:trHeight w:hRule="atLeast" w:val="75"/>
          <w:cantSplit w:val="false"/>
        </w:trPr>
        <w:tc>
          <w:tcPr>
            <w:tcW w:type="dxa" w:w="8168"/>
            <w:tcBorders>
              <w:top w:val="nil"/>
              <w:left w:val="nil"/>
              <w:bottom w:val="nil"/>
              <w:right w:val="nil"/>
            </w:tcBorders>
            <w:shd w:fill="auto" w:val="clear"/>
            <w:vAlign w:val="center"/>
          </w:tcPr>
          <w:p>
            <w:pPr>
              <w:pStyle w:val="style0"/>
              <w:rPr>
                <w:sz w:val="8"/>
                <w:szCs w:val="24"/>
              </w:rPr>
            </w:pPr>
            <w:r>
              <w:rPr>
                <w:sz w:val="8"/>
                <w:szCs w:val="24"/>
              </w:rPr>
            </w:r>
          </w:p>
        </w:tc>
        <w:tc>
          <w:tcPr>
            <w:tcW w:type="dxa" w:w="1350"/>
            <w:tcBorders>
              <w:top w:val="nil"/>
              <w:left w:val="nil"/>
              <w:bottom w:val="nil"/>
              <w:right w:val="nil"/>
            </w:tcBorders>
            <w:shd w:fill="auto" w:val="clear"/>
            <w:vAlign w:val="center"/>
          </w:tcPr>
          <w:p>
            <w:pPr>
              <w:pStyle w:val="style0"/>
              <w:ind w:hanging="0" w:left="0" w:right="86"/>
              <w:rPr>
                <w:sz w:val="8"/>
                <w:szCs w:val="24"/>
              </w:rPr>
            </w:pPr>
            <w:r>
              <w:rPr>
                <w:sz w:val="8"/>
                <w:szCs w:val="24"/>
              </w:rPr>
            </w:r>
          </w:p>
        </w:tc>
        <w:tc>
          <w:tcPr>
            <w:tcW w:type="dxa" w:w="1282"/>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816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Nonvested balance, beginning of year</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0" w:right="86"/>
              <w:contextualSpacing w:val="false"/>
              <w:rPr>
                <w:rFonts w:ascii="Arial" w:cs="Arial" w:hAnsi="Arial"/>
                <w:b/>
                <w:bCs/>
                <w:sz w:val="20"/>
                <w:szCs w:val="20"/>
              </w:rPr>
            </w:pPr>
            <w:r>
              <w:rPr>
                <w:rFonts w:ascii="Arial" w:cs="Arial" w:hAnsi="Arial"/>
                <w:b/>
                <w:bCs/>
                <w:sz w:val="20"/>
                <w:szCs w:val="20"/>
              </w:rPr>
              <w:tab/>
              <w:t>281</w:t>
              <w:tab/>
            </w:r>
          </w:p>
        </w:tc>
        <w:tc>
          <w:tcPr>
            <w:tcW w:type="dxa" w:w="128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331" w:right="0"/>
              <w:contextualSpacing w:val="false"/>
              <w:rPr>
                <w:rFonts w:ascii="Arial" w:cs="Arial" w:hAnsi="Arial"/>
                <w:b/>
                <w:bCs/>
                <w:sz w:val="20"/>
                <w:szCs w:val="20"/>
              </w:rPr>
            </w:pPr>
            <w:r>
              <w:rPr>
                <w:rFonts w:ascii="Arial" w:cs="Arial" w:hAnsi="Arial"/>
                <w:b/>
                <w:bCs/>
                <w:sz w:val="20"/>
                <w:szCs w:val="20"/>
              </w:rPr>
              <w:t>$</w:t>
              <w:tab/>
              <w:t>  23.91</w:t>
              <w:tab/>
              <w:t> </w:t>
            </w:r>
          </w:p>
        </w:tc>
      </w:tr>
      <w:tr>
        <w:trPr>
          <w:cantSplit w:val="false"/>
        </w:trPr>
        <w:tc>
          <w:tcPr>
            <w:tcW w:type="dxa" w:w="816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Granted</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0" w:right="86"/>
              <w:contextualSpacing w:val="false"/>
              <w:rPr>
                <w:rFonts w:ascii="Arial" w:cs="Arial" w:hAnsi="Arial"/>
                <w:b/>
                <w:bCs/>
                <w:sz w:val="20"/>
                <w:szCs w:val="20"/>
              </w:rPr>
            </w:pPr>
            <w:r>
              <w:rPr>
                <w:rFonts w:ascii="Arial" w:cs="Arial" w:hAnsi="Arial"/>
                <w:b/>
                <w:bCs/>
                <w:sz w:val="20"/>
                <w:szCs w:val="20"/>
              </w:rPr>
              <w:tab/>
              <w:t>104</w:t>
              <w:tab/>
            </w:r>
          </w:p>
        </w:tc>
        <w:tc>
          <w:tcPr>
            <w:tcW w:type="dxa" w:w="128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331" w:right="0"/>
              <w:contextualSpacing w:val="false"/>
              <w:rPr>
                <w:rFonts w:ascii="Arial" w:cs="Arial" w:hAnsi="Arial"/>
                <w:b/>
                <w:bCs/>
                <w:sz w:val="20"/>
                <w:szCs w:val="20"/>
              </w:rPr>
            </w:pPr>
            <w:r>
              <w:rPr>
                <w:rFonts w:ascii="Arial" w:cs="Arial" w:hAnsi="Arial"/>
                <w:b/>
                <w:bCs/>
                <w:sz w:val="20"/>
                <w:szCs w:val="20"/>
              </w:rPr>
              <w:t>$</w:t>
              <w:tab/>
              <w:t>28.37</w:t>
              <w:tab/>
            </w:r>
          </w:p>
        </w:tc>
      </w:tr>
      <w:tr>
        <w:trPr>
          <w:cantSplit w:val="false"/>
        </w:trPr>
        <w:tc>
          <w:tcPr>
            <w:tcW w:type="dxa" w:w="816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Vested</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0" w:right="86"/>
              <w:contextualSpacing w:val="false"/>
              <w:rPr>
                <w:rFonts w:ascii="Arial" w:cs="Arial" w:hAnsi="Arial"/>
                <w:b/>
                <w:bCs/>
                <w:sz w:val="20"/>
                <w:szCs w:val="20"/>
              </w:rPr>
            </w:pPr>
            <w:r>
              <w:rPr>
                <w:rFonts w:ascii="Arial" w:cs="Arial" w:hAnsi="Arial"/>
                <w:b/>
                <w:bCs/>
                <w:sz w:val="20"/>
                <w:szCs w:val="20"/>
              </w:rPr>
              <w:tab/>
              <w:t>(90</w:t>
              <w:tab/>
              <w:t>)</w:t>
            </w:r>
          </w:p>
        </w:tc>
        <w:tc>
          <w:tcPr>
            <w:tcW w:type="dxa" w:w="128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331" w:right="0"/>
              <w:contextualSpacing w:val="false"/>
              <w:rPr>
                <w:rFonts w:ascii="Arial" w:cs="Arial" w:hAnsi="Arial"/>
                <w:b/>
                <w:bCs/>
                <w:sz w:val="20"/>
                <w:szCs w:val="20"/>
              </w:rPr>
            </w:pPr>
            <w:r>
              <w:rPr>
                <w:rFonts w:ascii="Arial" w:cs="Arial" w:hAnsi="Arial"/>
                <w:b/>
                <w:bCs/>
                <w:sz w:val="20"/>
                <w:szCs w:val="20"/>
              </w:rPr>
              <w:t>$</w:t>
              <w:tab/>
              <w:t>24.49</w:t>
              <w:tab/>
            </w:r>
          </w:p>
        </w:tc>
      </w:tr>
      <w:tr>
        <w:trPr>
          <w:cantSplit w:val="false"/>
        </w:trPr>
        <w:tc>
          <w:tcPr>
            <w:tcW w:type="dxa" w:w="816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Forfeited</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0" w:right="86"/>
              <w:contextualSpacing w:val="false"/>
              <w:rPr>
                <w:rFonts w:ascii="Arial" w:cs="Arial" w:hAnsi="Arial"/>
                <w:b/>
                <w:bCs/>
                <w:sz w:val="20"/>
                <w:szCs w:val="20"/>
              </w:rPr>
            </w:pPr>
            <w:r>
              <w:rPr>
                <w:rFonts w:ascii="Arial" w:cs="Arial" w:hAnsi="Arial"/>
                <w:b/>
                <w:bCs/>
                <w:sz w:val="20"/>
                <w:szCs w:val="20"/>
              </w:rPr>
              <w:tab/>
              <w:t>(22</w:t>
              <w:tab/>
              <w:t>)</w:t>
            </w:r>
          </w:p>
        </w:tc>
        <w:tc>
          <w:tcPr>
            <w:tcW w:type="dxa" w:w="128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331" w:right="0"/>
              <w:contextualSpacing w:val="false"/>
              <w:rPr>
                <w:rFonts w:ascii="Arial" w:cs="Arial" w:hAnsi="Arial"/>
                <w:b/>
                <w:bCs/>
                <w:sz w:val="20"/>
                <w:szCs w:val="20"/>
              </w:rPr>
            </w:pPr>
            <w:r>
              <w:rPr>
                <w:rFonts w:ascii="Arial" w:cs="Arial" w:hAnsi="Arial"/>
                <w:b/>
                <w:bCs/>
                <w:sz w:val="20"/>
                <w:szCs w:val="20"/>
              </w:rPr>
              <w:t>$</w:t>
              <w:tab/>
              <w:t>25.10</w:t>
              <w:tab/>
            </w:r>
          </w:p>
        </w:tc>
      </w:tr>
      <w:tr>
        <w:trPr>
          <w:cantSplit w:val="false"/>
        </w:trPr>
        <w:tc>
          <w:tcPr>
            <w:tcW w:type="dxa" w:w="9519"/>
            <w:gridSpan w:val="2"/>
            <w:tcBorders>
              <w:top w:val="nil"/>
              <w:left w:val="nil"/>
              <w:bottom w:val="nil"/>
              <w:right w:val="nil"/>
            </w:tcBorders>
            <w:shd w:fill="auto" w:val="clear"/>
            <w:tcMar>
              <w:left w:type="dxa" w:w="144"/>
            </w:tcMar>
            <w:vAlign w:val="bottom"/>
          </w:tcPr>
          <w:p>
            <w:pPr>
              <w:pStyle w:val="style59"/>
              <w:spacing w:after="0" w:before="20"/>
              <w:ind w:hanging="0" w:left="-207" w:right="86"/>
              <w:contextualSpacing w:val="false"/>
              <w:rPr/>
            </w:pPr>
            <w:r>
              <w:rPr/>
              <w:t> </w:t>
            </w:r>
          </w:p>
        </w:tc>
        <w:tc>
          <w:tcPr>
            <w:tcW w:type="dxa" w:w="1281"/>
            <w:tcBorders>
              <w:top w:val="nil"/>
              <w:left w:val="nil"/>
              <w:bottom w:val="nil"/>
              <w:right w:val="nil"/>
            </w:tcBorders>
            <w:shd w:fill="auto" w:val="clear"/>
            <w:tcMar>
              <w:left w:type="dxa" w:w="144"/>
            </w:tcMar>
            <w:vAlign w:val="bottom"/>
          </w:tcPr>
          <w:p>
            <w:pPr>
              <w:pStyle w:val="style65"/>
              <w:ind w:hanging="0" w:left="331" w:right="0"/>
              <w:rPr/>
            </w:pPr>
            <w:r>
              <w:rPr/>
              <w:t> </w:t>
            </w:r>
          </w:p>
        </w:tc>
      </w:tr>
      <w:tr>
        <w:trPr>
          <w:cantSplit w:val="false"/>
        </w:trPr>
        <w:tc>
          <w:tcPr>
            <w:tcW w:type="dxa" w:w="816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Nonvested balance, end of year</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0" w:right="86"/>
              <w:contextualSpacing w:val="false"/>
              <w:rPr>
                <w:rFonts w:ascii="Arial" w:cs="Arial" w:hAnsi="Arial"/>
                <w:b/>
                <w:bCs/>
                <w:sz w:val="20"/>
                <w:szCs w:val="20"/>
              </w:rPr>
            </w:pPr>
            <w:r>
              <w:rPr>
                <w:rFonts w:ascii="Arial" w:cs="Arial" w:hAnsi="Arial"/>
                <w:b/>
                <w:bCs/>
                <w:sz w:val="20"/>
                <w:szCs w:val="20"/>
              </w:rPr>
              <w:tab/>
              <w:t>273</w:t>
              <w:tab/>
            </w:r>
          </w:p>
        </w:tc>
        <w:tc>
          <w:tcPr>
            <w:tcW w:type="dxa" w:w="128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331" w:right="0"/>
              <w:contextualSpacing w:val="false"/>
              <w:rPr>
                <w:rFonts w:ascii="Arial" w:cs="Arial" w:hAnsi="Arial"/>
                <w:b/>
                <w:bCs/>
                <w:sz w:val="20"/>
                <w:szCs w:val="20"/>
              </w:rPr>
            </w:pPr>
            <w:r>
              <w:rPr>
                <w:rFonts w:ascii="Arial" w:cs="Arial" w:hAnsi="Arial"/>
                <w:b/>
                <w:bCs/>
                <w:sz w:val="20"/>
                <w:szCs w:val="20"/>
              </w:rPr>
              <w:t>$</w:t>
              <w:tab/>
              <w:t>25.50</w:t>
              <w:tab/>
            </w:r>
          </w:p>
        </w:tc>
      </w:tr>
      <w:tr>
        <w:trPr>
          <w:cantSplit w:val="false"/>
        </w:trPr>
        <w:tc>
          <w:tcPr>
            <w:tcW w:type="dxa" w:w="8168"/>
            <w:tcBorders>
              <w:top w:val="nil"/>
              <w:left w:val="nil"/>
              <w:bottom w:val="nil"/>
              <w:right w:val="nil"/>
            </w:tcBorders>
            <w:shd w:fill="auto" w:val="clear"/>
            <w:tcMar>
              <w:left w:type="dxa" w:w="144"/>
            </w:tcMar>
            <w:vAlign w:val="bottom"/>
          </w:tcPr>
          <w:p>
            <w:pPr>
              <w:pStyle w:val="style65"/>
              <w:rPr/>
            </w:pPr>
            <w:r>
              <w:rPr/>
              <w:t> </w:t>
            </w:r>
          </w:p>
        </w:tc>
        <w:tc>
          <w:tcPr>
            <w:tcW w:type="dxa" w:w="1350"/>
            <w:tcBorders>
              <w:top w:val="nil"/>
              <w:left w:val="nil"/>
              <w:bottom w:val="nil"/>
              <w:right w:val="nil"/>
            </w:tcBorders>
            <w:shd w:fill="auto" w:val="clear"/>
            <w:tcMar>
              <w:left w:type="dxa" w:w="144"/>
            </w:tcMar>
            <w:vAlign w:val="bottom"/>
          </w:tcPr>
          <w:p>
            <w:pPr>
              <w:pStyle w:val="style63"/>
              <w:spacing w:after="0" w:before="20"/>
              <w:ind w:hanging="0" w:left="792" w:right="115"/>
              <w:contextualSpacing w:val="false"/>
              <w:rPr/>
            </w:pPr>
            <w:r>
              <w:rPr/>
              <w:t> </w:t>
            </w:r>
          </w:p>
        </w:tc>
        <w:tc>
          <w:tcPr>
            <w:tcW w:type="dxa" w:w="1282"/>
            <w:tcBorders>
              <w:top w:val="nil"/>
              <w:left w:val="nil"/>
              <w:bottom w:val="nil"/>
              <w:right w:val="nil"/>
            </w:tcBorders>
            <w:shd w:fill="auto" w:val="clear"/>
            <w:tcMar>
              <w:left w:type="dxa" w:w="144"/>
            </w:tcMar>
            <w:vAlign w:val="bottom"/>
          </w:tcPr>
          <w:p>
            <w:pPr>
              <w:pStyle w:val="style65"/>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As of June 30, 2013, there was approximately $5.0 billion of total unrecognized compensation costs related to stock awards. These costs are expected to be recognized over a weighted average period of 3 years.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During fiscal year 2012 and 2011, the following activity occurred under our stock plans: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8559"/>
        <w:gridCol w:w="1120"/>
        <w:gridCol w:w="1122"/>
      </w:tblGrid>
      <w:tr>
        <w:trPr>
          <w:tblHeader w:val="true"/>
          <w:cantSplit w:val="false"/>
        </w:trPr>
        <w:tc>
          <w:tcPr>
            <w:tcW w:type="dxa" w:w="8559"/>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12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855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fair values)</w:t>
            </w:r>
          </w:p>
        </w:tc>
        <w:tc>
          <w:tcPr>
            <w:tcW w:type="dxa" w:w="1120"/>
            <w:tcBorders>
              <w:top w:val="nil"/>
              <w:left w:val="nil"/>
              <w:bottom w:val="nil"/>
              <w:right w:val="nil"/>
            </w:tcBorders>
            <w:shd w:fill="auto" w:val="clear"/>
            <w:tcMar>
              <w:left w:type="dxa" w:w="144"/>
            </w:tcMar>
            <w:vAlign w:val="bottom"/>
          </w:tcPr>
          <w:p>
            <w:pPr>
              <w:pStyle w:val="style0"/>
              <w:ind w:hanging="0" w:left="0" w:right="59"/>
              <w:jc w:val="right"/>
              <w:rPr>
                <w:rFonts w:ascii="Arial" w:cs="Arial" w:hAnsi="Arial"/>
                <w:b/>
                <w:bCs/>
                <w:sz w:val="15"/>
                <w:szCs w:val="15"/>
              </w:rPr>
            </w:pPr>
            <w:r>
              <w:rPr>
                <w:rFonts w:ascii="Arial" w:cs="Arial" w:hAnsi="Arial"/>
                <w:b/>
                <w:bCs/>
                <w:sz w:val="15"/>
                <w:szCs w:val="15"/>
              </w:rPr>
              <w:t>2012</w:t>
            </w:r>
          </w:p>
        </w:tc>
        <w:tc>
          <w:tcPr>
            <w:tcW w:type="dxa" w:w="1122"/>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2011</w:t>
            </w:r>
          </w:p>
        </w:tc>
      </w:tr>
      <w:tr>
        <w:trPr>
          <w:cantSplit w:val="false"/>
        </w:trPr>
        <w:tc>
          <w:tcPr>
            <w:tcW w:type="dxa" w:w="10801"/>
            <w:gridSpan w:val="3"/>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trHeight w:hRule="atLeast" w:val="75"/>
          <w:cantSplit w:val="false"/>
        </w:trPr>
        <w:tc>
          <w:tcPr>
            <w:tcW w:type="dxa" w:w="8559"/>
            <w:tcBorders>
              <w:top w:val="nil"/>
              <w:left w:val="nil"/>
              <w:bottom w:val="nil"/>
              <w:right w:val="nil"/>
            </w:tcBorders>
            <w:shd w:fill="auto" w:val="clear"/>
            <w:vAlign w:val="center"/>
          </w:tcPr>
          <w:p>
            <w:pPr>
              <w:pStyle w:val="style0"/>
              <w:rPr>
                <w:sz w:val="8"/>
                <w:szCs w:val="24"/>
              </w:rPr>
            </w:pPr>
            <w:r>
              <w:rPr>
                <w:sz w:val="8"/>
                <w:szCs w:val="24"/>
              </w:rPr>
            </w:r>
          </w:p>
        </w:tc>
        <w:tc>
          <w:tcPr>
            <w:tcW w:type="dxa" w:w="2242"/>
            <w:gridSpan w:val="2"/>
            <w:tcBorders>
              <w:top w:val="nil"/>
              <w:left w:val="nil"/>
              <w:bottom w:val="nil"/>
              <w:right w:val="nil"/>
            </w:tcBorders>
            <w:shd w:fill="auto" w:val="clear"/>
            <w:vAlign w:val="center"/>
          </w:tcPr>
          <w:p>
            <w:pPr>
              <w:pStyle w:val="style0"/>
              <w:ind w:hanging="0" w:left="0" w:right="101"/>
              <w:rPr>
                <w:sz w:val="8"/>
                <w:szCs w:val="24"/>
              </w:rPr>
            </w:pPr>
            <w:r>
              <w:rPr>
                <w:sz w:val="8"/>
                <w:szCs w:val="24"/>
              </w:rPr>
            </w:r>
          </w:p>
        </w:tc>
      </w:tr>
      <w:tr>
        <w:trPr>
          <w:cantSplit w:val="false"/>
        </w:trPr>
        <w:tc>
          <w:tcPr>
            <w:tcW w:type="dxa" w:w="855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Stock Awards</w:t>
            </w:r>
          </w:p>
        </w:tc>
        <w:tc>
          <w:tcPr>
            <w:tcW w:type="dxa" w:w="1120"/>
            <w:tcBorders>
              <w:top w:val="nil"/>
              <w:left w:val="nil"/>
              <w:bottom w:val="nil"/>
              <w:right w:val="nil"/>
            </w:tcBorders>
            <w:shd w:fill="auto" w:val="clear"/>
            <w:tcMar>
              <w:left w:type="dxa" w:w="144"/>
            </w:tcMar>
            <w:vAlign w:val="bottom"/>
          </w:tcPr>
          <w:p>
            <w:pPr>
              <w:pStyle w:val="style65"/>
              <w:rPr/>
            </w:pPr>
            <w:r>
              <w:rPr/>
              <w:t> </w:t>
            </w:r>
          </w:p>
        </w:tc>
        <w:tc>
          <w:tcPr>
            <w:tcW w:type="dxa" w:w="1122"/>
            <w:tcBorders>
              <w:top w:val="nil"/>
              <w:left w:val="nil"/>
              <w:bottom w:val="nil"/>
              <w:right w:val="nil"/>
            </w:tcBorders>
            <w:shd w:fill="auto" w:val="clear"/>
            <w:vAlign w:val="center"/>
          </w:tcPr>
          <w:p>
            <w:pPr>
              <w:pStyle w:val="style0"/>
              <w:rPr>
                <w:sz w:val="20"/>
              </w:rPr>
            </w:pPr>
            <w:r>
              <w:rPr>
                <w:sz w:val="20"/>
              </w:rPr>
            </w:r>
          </w:p>
        </w:tc>
      </w:tr>
      <w:tr>
        <w:trPr>
          <w:trHeight w:hRule="atLeast" w:val="75"/>
          <w:cantSplit w:val="false"/>
        </w:trPr>
        <w:tc>
          <w:tcPr>
            <w:tcW w:type="dxa" w:w="8559"/>
            <w:tcBorders>
              <w:top w:val="nil"/>
              <w:left w:val="nil"/>
              <w:bottom w:val="nil"/>
              <w:right w:val="nil"/>
            </w:tcBorders>
            <w:shd w:fill="auto" w:val="clear"/>
            <w:vAlign w:val="center"/>
          </w:tcPr>
          <w:p>
            <w:pPr>
              <w:pStyle w:val="style0"/>
              <w:rPr>
                <w:sz w:val="8"/>
                <w:szCs w:val="24"/>
              </w:rPr>
            </w:pPr>
            <w:r>
              <w:rPr>
                <w:sz w:val="8"/>
                <w:szCs w:val="24"/>
              </w:rPr>
            </w:r>
          </w:p>
        </w:tc>
        <w:tc>
          <w:tcPr>
            <w:tcW w:type="dxa" w:w="1120"/>
            <w:tcBorders>
              <w:top w:val="nil"/>
              <w:left w:val="nil"/>
              <w:bottom w:val="nil"/>
              <w:right w:val="nil"/>
            </w:tcBorders>
            <w:shd w:fill="auto" w:val="clear"/>
            <w:vAlign w:val="center"/>
          </w:tcPr>
          <w:p>
            <w:pPr>
              <w:pStyle w:val="style0"/>
              <w:rPr>
                <w:sz w:val="8"/>
                <w:szCs w:val="24"/>
              </w:rPr>
            </w:pPr>
            <w:r>
              <w:rPr>
                <w:sz w:val="8"/>
                <w:szCs w:val="24"/>
              </w:rPr>
            </w:r>
          </w:p>
        </w:tc>
        <w:tc>
          <w:tcPr>
            <w:tcW w:type="dxa" w:w="1122"/>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855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Awards granted</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sz w:val="20"/>
                <w:szCs w:val="20"/>
              </w:rPr>
            </w:pPr>
            <w:r>
              <w:rPr>
                <w:rFonts w:ascii="Arial" w:cs="Arial" w:hAnsi="Arial"/>
                <w:sz w:val="20"/>
                <w:szCs w:val="20"/>
              </w:rPr>
              <w:tab/>
              <w:t>110</w:t>
              <w:tab/>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contextualSpacing w:val="false"/>
              <w:rPr>
                <w:rFonts w:ascii="Arial" w:cs="Arial" w:hAnsi="Arial"/>
                <w:sz w:val="20"/>
                <w:szCs w:val="20"/>
              </w:rPr>
            </w:pPr>
            <w:r>
              <w:rPr>
                <w:rFonts w:ascii="Arial" w:cs="Arial" w:hAnsi="Arial"/>
                <w:sz w:val="20"/>
                <w:szCs w:val="20"/>
              </w:rPr>
              <w:tab/>
              <w:t>132</w:t>
              <w:tab/>
              <w:t> </w:t>
            </w:r>
          </w:p>
        </w:tc>
      </w:tr>
      <w:tr>
        <w:trPr>
          <w:cantSplit w:val="false"/>
        </w:trPr>
        <w:tc>
          <w:tcPr>
            <w:tcW w:type="dxa" w:w="855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Weighted average grant-date fair value</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  24.60</w:t>
              <w:tab/>
              <w:t> </w:t>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144" w:right="0"/>
              <w:contextualSpacing w:val="false"/>
              <w:rPr>
                <w:rFonts w:ascii="Arial" w:cs="Arial" w:hAnsi="Arial"/>
                <w:sz w:val="20"/>
                <w:szCs w:val="20"/>
              </w:rPr>
            </w:pPr>
            <w:r>
              <w:rPr>
                <w:rFonts w:ascii="Arial" w:cs="Arial" w:hAnsi="Arial"/>
                <w:sz w:val="20"/>
                <w:szCs w:val="20"/>
              </w:rPr>
              <w:t>$</w:t>
              <w:tab/>
              <w:t>  22.22</w:t>
              <w:tab/>
            </w:r>
          </w:p>
        </w:tc>
      </w:tr>
    </w:tbl>
    <w:p>
      <w:pPr>
        <w:pStyle w:val="style59"/>
        <w:pBdr>
          <w:top w:color="000001" w:space="0" w:sz="4" w:val="single"/>
          <w:left w:val="nil"/>
          <w:bottom w:val="nil"/>
          <w:insideH w:val="nil"/>
          <w:right w:val="nil"/>
          <w:insideV w:val="nil"/>
        </w:pBdr>
        <w:ind w:hanging="0" w:left="0" w:right="101"/>
        <w:rPr/>
      </w:pPr>
      <w:r>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Total vest-date fair value of stock awards vested was $2.8 billion, $2.4 billion, and $1.8 billion, for fiscal years 2013, 2012, and 2011, respectively.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Stock Options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Currently, we grant stock options primarily in conjunction with business acquisitions. We granted two million, six million, and zero stock options in conjunction with business acquisitions during fiscal years 2013, 2012, and 2011, respectively.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Employee stock options activity during 2013 was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5401"/>
        <w:gridCol w:w="1350"/>
        <w:gridCol w:w="1439"/>
        <w:gridCol w:w="1283"/>
        <w:gridCol w:w="1327"/>
      </w:tblGrid>
      <w:tr>
        <w:trPr>
          <w:tblHeader w:val="true"/>
          <w:cantSplit w:val="false"/>
        </w:trPr>
        <w:tc>
          <w:tcPr>
            <w:tcW w:type="dxa" w:w="5401"/>
            <w:tcBorders>
              <w:top w:val="nil"/>
              <w:left w:val="nil"/>
              <w:bottom w:val="nil"/>
              <w:right w:val="nil"/>
            </w:tcBorders>
            <w:shd w:fill="auto" w:val="clear"/>
            <w:vAlign w:val="center"/>
          </w:tcPr>
          <w:p>
            <w:pPr>
              <w:pStyle w:val="style0"/>
              <w:rPr>
                <w:sz w:val="1"/>
                <w:szCs w:val="24"/>
              </w:rPr>
            </w:pPr>
            <w:r>
              <w:rPr>
                <w:sz w:val="1"/>
                <w:szCs w:val="24"/>
              </w:rPr>
            </w:r>
          </w:p>
        </w:tc>
        <w:tc>
          <w:tcPr>
            <w:tcW w:type="dxa" w:w="1350"/>
            <w:tcBorders>
              <w:top w:val="nil"/>
              <w:left w:val="nil"/>
              <w:bottom w:val="nil"/>
              <w:right w:val="nil"/>
            </w:tcBorders>
            <w:shd w:fill="auto" w:val="clear"/>
            <w:vAlign w:val="center"/>
          </w:tcPr>
          <w:p>
            <w:pPr>
              <w:pStyle w:val="style0"/>
              <w:rPr>
                <w:sz w:val="1"/>
                <w:szCs w:val="24"/>
              </w:rPr>
            </w:pPr>
            <w:r>
              <w:rPr>
                <w:sz w:val="1"/>
                <w:szCs w:val="24"/>
              </w:rPr>
            </w:r>
          </w:p>
        </w:tc>
        <w:tc>
          <w:tcPr>
            <w:tcW w:type="dxa" w:w="1439"/>
            <w:tcBorders>
              <w:top w:val="nil"/>
              <w:left w:val="nil"/>
              <w:bottom w:val="nil"/>
              <w:right w:val="nil"/>
            </w:tcBorders>
            <w:shd w:fill="auto" w:val="clear"/>
            <w:vAlign w:val="center"/>
          </w:tcPr>
          <w:p>
            <w:pPr>
              <w:pStyle w:val="style0"/>
              <w:rPr>
                <w:sz w:val="1"/>
                <w:szCs w:val="24"/>
              </w:rPr>
            </w:pPr>
            <w:r>
              <w:rPr>
                <w:sz w:val="1"/>
                <w:szCs w:val="24"/>
              </w:rPr>
            </w:r>
          </w:p>
        </w:tc>
        <w:tc>
          <w:tcPr>
            <w:tcW w:type="dxa" w:w="1283"/>
            <w:tcBorders>
              <w:top w:val="nil"/>
              <w:left w:val="nil"/>
              <w:bottom w:val="nil"/>
              <w:right w:val="nil"/>
            </w:tcBorders>
            <w:shd w:fill="auto" w:val="clear"/>
            <w:vAlign w:val="center"/>
          </w:tcPr>
          <w:p>
            <w:pPr>
              <w:pStyle w:val="style0"/>
              <w:rPr>
                <w:sz w:val="1"/>
                <w:szCs w:val="24"/>
              </w:rPr>
            </w:pPr>
            <w:r>
              <w:rPr>
                <w:sz w:val="1"/>
                <w:szCs w:val="24"/>
              </w:rPr>
            </w:r>
          </w:p>
        </w:tc>
        <w:tc>
          <w:tcPr>
            <w:tcW w:type="dxa" w:w="1327"/>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5401"/>
            <w:tcBorders>
              <w:top w:val="nil"/>
              <w:left w:val="nil"/>
              <w:bottom w:val="nil"/>
              <w:right w:val="nil"/>
            </w:tcBorders>
            <w:shd w:fill="auto" w:val="clear"/>
            <w:tcMar>
              <w:left w:type="dxa" w:w="144"/>
            </w:tcMar>
            <w:vAlign w:val="bottom"/>
          </w:tcPr>
          <w:p>
            <w:pPr>
              <w:pStyle w:val="style65"/>
              <w:keepNext/>
              <w:rPr/>
            </w:pPr>
            <w:r>
              <w:rPr/>
              <w:t> </w:t>
            </w:r>
          </w:p>
        </w:tc>
        <w:tc>
          <w:tcPr>
            <w:tcW w:type="dxa" w:w="135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Shares</w:t>
            </w:r>
          </w:p>
        </w:tc>
        <w:tc>
          <w:tcPr>
            <w:tcW w:type="dxa" w:w="1439"/>
            <w:tcBorders>
              <w:top w:val="nil"/>
              <w:left w:val="nil"/>
              <w:bottom w:val="nil"/>
              <w:right w:val="nil"/>
            </w:tcBorders>
            <w:shd w:fill="auto" w:val="clear"/>
            <w:tcMar>
              <w:left w:type="dxa" w:w="144"/>
            </w:tcMar>
            <w:vAlign w:val="bottom"/>
          </w:tcPr>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Weighted</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Average</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Exercise Price</w:t>
            </w:r>
          </w:p>
        </w:tc>
        <w:tc>
          <w:tcPr>
            <w:tcW w:type="dxa" w:w="1283"/>
            <w:tcBorders>
              <w:top w:val="nil"/>
              <w:left w:val="nil"/>
              <w:bottom w:val="nil"/>
              <w:right w:val="nil"/>
            </w:tcBorders>
            <w:shd w:fill="auto" w:val="clear"/>
            <w:tcMar>
              <w:left w:type="dxa" w:w="144"/>
            </w:tcMar>
            <w:vAlign w:val="bottom"/>
          </w:tcPr>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Weighted</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Average</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Remaining</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Contractual</w:t>
            </w:r>
          </w:p>
          <w:p>
            <w:pPr>
              <w:pStyle w:val="style62"/>
              <w:spacing w:after="280" w:before="280"/>
              <w:ind w:hanging="0" w:left="0" w:right="72"/>
              <w:contextualSpacing w:val="false"/>
              <w:jc w:val="right"/>
              <w:rPr>
                <w:rFonts w:ascii="Arial" w:cs="Arial" w:hAnsi="Arial"/>
                <w:b/>
                <w:bCs/>
                <w:sz w:val="15"/>
                <w:szCs w:val="15"/>
              </w:rPr>
            </w:pPr>
            <w:r>
              <w:rPr>
                <w:rFonts w:ascii="Arial" w:cs="Arial" w:hAnsi="Arial"/>
                <w:b/>
                <w:bCs/>
                <w:sz w:val="15"/>
                <w:szCs w:val="15"/>
              </w:rPr>
              <w:t>Term</w:t>
            </w:r>
          </w:p>
        </w:tc>
        <w:tc>
          <w:tcPr>
            <w:tcW w:type="dxa" w:w="1327"/>
            <w:tcBorders>
              <w:top w:val="nil"/>
              <w:left w:val="nil"/>
              <w:bottom w:val="nil"/>
              <w:right w:val="nil"/>
            </w:tcBorders>
            <w:shd w:fill="auto" w:val="clear"/>
            <w:tcMar>
              <w:left w:type="dxa" w:w="144"/>
            </w:tcMar>
            <w:vAlign w:val="bottom"/>
          </w:tcPr>
          <w:p>
            <w:pPr>
              <w:pStyle w:val="style62"/>
              <w:spacing w:after="280" w:before="280"/>
              <w:ind w:hanging="0" w:left="0" w:right="43"/>
              <w:contextualSpacing w:val="false"/>
              <w:jc w:val="right"/>
              <w:rPr>
                <w:rFonts w:ascii="Arial" w:cs="Arial" w:hAnsi="Arial"/>
                <w:b/>
                <w:bCs/>
                <w:sz w:val="15"/>
                <w:szCs w:val="15"/>
              </w:rPr>
            </w:pPr>
            <w:r>
              <w:rPr>
                <w:rFonts w:ascii="Arial" w:cs="Arial" w:hAnsi="Arial"/>
                <w:b/>
                <w:bCs/>
                <w:sz w:val="15"/>
                <w:szCs w:val="15"/>
              </w:rPr>
              <w:t>Aggregate</w:t>
            </w:r>
          </w:p>
          <w:p>
            <w:pPr>
              <w:pStyle w:val="style62"/>
              <w:spacing w:after="280" w:before="280"/>
              <w:ind w:hanging="0" w:left="0" w:right="43"/>
              <w:contextualSpacing w:val="false"/>
              <w:jc w:val="right"/>
              <w:rPr>
                <w:rFonts w:ascii="Arial" w:cs="Arial" w:hAnsi="Arial"/>
                <w:b/>
                <w:bCs/>
                <w:sz w:val="15"/>
                <w:szCs w:val="15"/>
              </w:rPr>
            </w:pPr>
            <w:r>
              <w:rPr>
                <w:rFonts w:ascii="Arial" w:cs="Arial" w:hAnsi="Arial"/>
                <w:b/>
                <w:bCs/>
                <w:sz w:val="15"/>
                <w:szCs w:val="15"/>
              </w:rPr>
              <w:t>Intrinsic</w:t>
            </w:r>
          </w:p>
          <w:p>
            <w:pPr>
              <w:pStyle w:val="style62"/>
              <w:spacing w:after="280" w:before="280"/>
              <w:ind w:hanging="0" w:left="0" w:right="43"/>
              <w:contextualSpacing w:val="false"/>
              <w:jc w:val="right"/>
              <w:rPr>
                <w:rFonts w:ascii="Arial" w:cs="Arial" w:hAnsi="Arial"/>
                <w:b/>
                <w:bCs/>
                <w:sz w:val="15"/>
                <w:szCs w:val="15"/>
              </w:rPr>
            </w:pPr>
            <w:r>
              <w:rPr>
                <w:rFonts w:ascii="Arial" w:cs="Arial" w:hAnsi="Arial"/>
                <w:b/>
                <w:bCs/>
                <w:sz w:val="15"/>
                <w:szCs w:val="15"/>
              </w:rPr>
              <w:t>Value</w:t>
            </w:r>
          </w:p>
        </w:tc>
      </w:tr>
      <w:tr>
        <w:trPr>
          <w:cantSplit w:val="false"/>
        </w:trPr>
        <w:tc>
          <w:tcPr>
            <w:tcW w:type="dxa" w:w="10800"/>
            <w:gridSpan w:val="5"/>
            <w:tcBorders>
              <w:top w:val="nil"/>
              <w:left w:val="nil"/>
              <w:bottom w:val="nil"/>
              <w:right w:val="nil"/>
            </w:tcBorders>
            <w:shd w:fill="auto" w:val="clear"/>
            <w:tcMar>
              <w:left w:type="dxa" w:w="144"/>
            </w:tcMar>
            <w:vAlign w:val="bottom"/>
          </w:tcPr>
          <w:p>
            <w:pPr>
              <w:pStyle w:val="style59"/>
              <w:spacing w:after="0" w:before="20"/>
              <w:ind w:hanging="0" w:left="-297" w:right="72"/>
              <w:contextualSpacing w:val="false"/>
              <w:rPr/>
            </w:pPr>
            <w:r>
              <w:rPr/>
              <w:t> </w:t>
            </w:r>
          </w:p>
        </w:tc>
      </w:tr>
      <w:tr>
        <w:trPr>
          <w:cantSplit w:val="false"/>
        </w:trPr>
        <w:tc>
          <w:tcPr>
            <w:tcW w:type="dxa" w:w="5401"/>
            <w:tcBorders>
              <w:top w:val="nil"/>
              <w:left w:val="nil"/>
              <w:bottom w:val="nil"/>
              <w:right w:val="nil"/>
            </w:tcBorders>
            <w:shd w:fill="auto" w:val="clear"/>
            <w:tcMar>
              <w:left w:type="dxa" w:w="144"/>
            </w:tcMar>
            <w:vAlign w:val="bottom"/>
          </w:tcPr>
          <w:p>
            <w:pPr>
              <w:pStyle w:val="style65"/>
              <w:keepNext/>
              <w:rPr/>
            </w:pPr>
            <w:r>
              <w:rPr/>
              <w:t> </w:t>
            </w:r>
          </w:p>
        </w:tc>
        <w:tc>
          <w:tcPr>
            <w:tcW w:type="dxa" w:w="1350"/>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(In millions)</w:t>
            </w:r>
          </w:p>
        </w:tc>
        <w:tc>
          <w:tcPr>
            <w:tcW w:type="dxa" w:w="1439"/>
            <w:tcBorders>
              <w:top w:val="nil"/>
              <w:left w:val="nil"/>
              <w:bottom w:val="nil"/>
              <w:right w:val="nil"/>
            </w:tcBorders>
            <w:shd w:fill="auto" w:val="clear"/>
            <w:tcMar>
              <w:left w:type="dxa" w:w="144"/>
            </w:tcMar>
            <w:vAlign w:val="bottom"/>
          </w:tcPr>
          <w:p>
            <w:pPr>
              <w:pStyle w:val="style65"/>
              <w:rPr/>
            </w:pPr>
            <w:r>
              <w:rPr/>
              <w:t> </w:t>
            </w:r>
          </w:p>
        </w:tc>
        <w:tc>
          <w:tcPr>
            <w:tcW w:type="dxa" w:w="1283"/>
            <w:tcBorders>
              <w:top w:val="nil"/>
              <w:left w:val="nil"/>
              <w:bottom w:val="nil"/>
              <w:right w:val="nil"/>
            </w:tcBorders>
            <w:shd w:fill="auto" w:val="clear"/>
            <w:tcMar>
              <w:left w:type="dxa" w:w="144"/>
            </w:tcMar>
            <w:vAlign w:val="bottom"/>
          </w:tcPr>
          <w:p>
            <w:pPr>
              <w:pStyle w:val="style0"/>
              <w:ind w:hanging="0" w:left="0" w:right="72"/>
              <w:jc w:val="right"/>
              <w:rPr>
                <w:rFonts w:ascii="Arial" w:cs="Arial" w:hAnsi="Arial"/>
                <w:b/>
                <w:bCs/>
                <w:sz w:val="15"/>
                <w:szCs w:val="15"/>
              </w:rPr>
            </w:pPr>
            <w:r>
              <w:rPr>
                <w:rFonts w:ascii="Arial" w:cs="Arial" w:hAnsi="Arial"/>
                <w:b/>
                <w:bCs/>
                <w:sz w:val="15"/>
                <w:szCs w:val="15"/>
              </w:rPr>
              <w:t>(Years)</w:t>
            </w:r>
          </w:p>
        </w:tc>
        <w:tc>
          <w:tcPr>
            <w:tcW w:type="dxa" w:w="1327"/>
            <w:tcBorders>
              <w:top w:val="nil"/>
              <w:left w:val="nil"/>
              <w:bottom w:val="nil"/>
              <w:right w:val="nil"/>
            </w:tcBorders>
            <w:shd w:fill="auto" w:val="clear"/>
            <w:tcMar>
              <w:left w:type="dxa" w:w="144"/>
            </w:tcMar>
            <w:vAlign w:val="bottom"/>
          </w:tcPr>
          <w:p>
            <w:pPr>
              <w:pStyle w:val="style0"/>
              <w:ind w:hanging="0" w:left="0" w:right="43"/>
              <w:jc w:val="right"/>
              <w:rPr>
                <w:rFonts w:ascii="Arial" w:cs="Arial" w:hAnsi="Arial"/>
                <w:b/>
                <w:bCs/>
                <w:sz w:val="15"/>
                <w:szCs w:val="15"/>
              </w:rPr>
            </w:pPr>
            <w:r>
              <w:rPr>
                <w:rFonts w:ascii="Arial" w:cs="Arial" w:hAnsi="Arial"/>
                <w:b/>
                <w:bCs/>
                <w:sz w:val="15"/>
                <w:szCs w:val="15"/>
              </w:rPr>
              <w:t>(In millions)</w:t>
            </w:r>
          </w:p>
        </w:tc>
      </w:tr>
      <w:tr>
        <w:trPr>
          <w:trHeight w:hRule="atLeast" w:val="75"/>
          <w:cantSplit w:val="false"/>
        </w:trPr>
        <w:tc>
          <w:tcPr>
            <w:tcW w:type="dxa" w:w="5401"/>
            <w:tcBorders>
              <w:top w:val="nil"/>
              <w:left w:val="nil"/>
              <w:bottom w:val="nil"/>
              <w:right w:val="nil"/>
            </w:tcBorders>
            <w:shd w:fill="auto" w:val="clear"/>
            <w:vAlign w:val="center"/>
          </w:tcPr>
          <w:p>
            <w:pPr>
              <w:pStyle w:val="style0"/>
              <w:rPr>
                <w:sz w:val="8"/>
                <w:szCs w:val="24"/>
              </w:rPr>
            </w:pPr>
            <w:r>
              <w:rPr>
                <w:sz w:val="8"/>
                <w:szCs w:val="24"/>
              </w:rPr>
            </w:r>
          </w:p>
        </w:tc>
        <w:tc>
          <w:tcPr>
            <w:tcW w:type="dxa" w:w="1350"/>
            <w:tcBorders>
              <w:top w:val="nil"/>
              <w:left w:val="nil"/>
              <w:bottom w:val="nil"/>
              <w:right w:val="nil"/>
            </w:tcBorders>
            <w:shd w:fill="auto" w:val="clear"/>
            <w:vAlign w:val="center"/>
          </w:tcPr>
          <w:p>
            <w:pPr>
              <w:pStyle w:val="style0"/>
              <w:rPr>
                <w:sz w:val="8"/>
                <w:szCs w:val="24"/>
              </w:rPr>
            </w:pPr>
            <w:r>
              <w:rPr>
                <w:sz w:val="8"/>
                <w:szCs w:val="24"/>
              </w:rPr>
            </w:r>
          </w:p>
        </w:tc>
        <w:tc>
          <w:tcPr>
            <w:tcW w:type="dxa" w:w="1439"/>
            <w:tcBorders>
              <w:top w:val="nil"/>
              <w:left w:val="nil"/>
              <w:bottom w:val="nil"/>
              <w:right w:val="nil"/>
            </w:tcBorders>
            <w:shd w:fill="auto" w:val="clear"/>
            <w:vAlign w:val="center"/>
          </w:tcPr>
          <w:p>
            <w:pPr>
              <w:pStyle w:val="style0"/>
              <w:rPr>
                <w:sz w:val="8"/>
                <w:szCs w:val="24"/>
              </w:rPr>
            </w:pPr>
            <w:r>
              <w:rPr>
                <w:sz w:val="8"/>
                <w:szCs w:val="24"/>
              </w:rPr>
            </w:r>
          </w:p>
        </w:tc>
        <w:tc>
          <w:tcPr>
            <w:tcW w:type="dxa" w:w="1283"/>
            <w:tcBorders>
              <w:top w:val="nil"/>
              <w:left w:val="nil"/>
              <w:bottom w:val="nil"/>
              <w:right w:val="nil"/>
            </w:tcBorders>
            <w:shd w:fill="auto" w:val="clear"/>
            <w:vAlign w:val="center"/>
          </w:tcPr>
          <w:p>
            <w:pPr>
              <w:pStyle w:val="style0"/>
              <w:rPr>
                <w:sz w:val="8"/>
                <w:szCs w:val="24"/>
              </w:rPr>
            </w:pPr>
            <w:r>
              <w:rPr>
                <w:sz w:val="8"/>
                <w:szCs w:val="24"/>
              </w:rPr>
            </w:r>
          </w:p>
        </w:tc>
        <w:tc>
          <w:tcPr>
            <w:tcW w:type="dxa" w:w="1327"/>
            <w:tcBorders>
              <w:top w:val="nil"/>
              <w:left w:val="nil"/>
              <w:bottom w:val="nil"/>
              <w:right w:val="nil"/>
            </w:tcBorders>
            <w:shd w:fill="auto" w:val="clear"/>
            <w:vAlign w:val="center"/>
          </w:tcPr>
          <w:p>
            <w:pPr>
              <w:pStyle w:val="style0"/>
              <w:rPr>
                <w:sz w:val="8"/>
                <w:szCs w:val="24"/>
              </w:rPr>
            </w:pPr>
            <w:r>
              <w:rPr>
                <w:sz w:val="8"/>
                <w:szCs w:val="24"/>
              </w:rPr>
            </w:r>
          </w:p>
        </w:tc>
      </w:tr>
      <w:tr>
        <w:trPr>
          <w:cantSplit w:val="false"/>
        </w:trPr>
        <w:tc>
          <w:tcPr>
            <w:tcW w:type="dxa" w:w="5401"/>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Balance, July 1, 2012</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contextualSpacing w:val="false"/>
              <w:rPr>
                <w:rFonts w:ascii="Arial" w:cs="Arial" w:hAnsi="Arial"/>
                <w:b/>
                <w:bCs/>
                <w:sz w:val="20"/>
                <w:szCs w:val="20"/>
              </w:rPr>
            </w:pPr>
            <w:r>
              <w:rPr>
                <w:rFonts w:ascii="Arial" w:cs="Arial" w:hAnsi="Arial"/>
                <w:b/>
                <w:bCs/>
                <w:sz w:val="20"/>
                <w:szCs w:val="20"/>
              </w:rPr>
              <w:tab/>
              <w:t>22</w:t>
              <w:tab/>
            </w:r>
          </w:p>
        </w:tc>
        <w:tc>
          <w:tcPr>
            <w:tcW w:type="dxa" w:w="1439"/>
            <w:tcBorders>
              <w:top w:val="nil"/>
              <w:left w:val="nil"/>
              <w:bottom w:val="nil"/>
              <w:right w:val="nil"/>
            </w:tcBorders>
            <w:shd w:fill="auto" w:val="clear"/>
            <w:tcMar>
              <w:left w:type="dxa" w:w="144"/>
            </w:tcMar>
            <w:vAlign w:val="bottom"/>
          </w:tcPr>
          <w:p>
            <w:pPr>
              <w:pStyle w:val="style62"/>
              <w:tabs>
                <w:tab w:leader="none" w:pos="1240" w:val="right"/>
                <w:tab w:leader="none" w:pos="1280" w:val="decimal"/>
              </w:tabs>
              <w:spacing w:after="280" w:before="280"/>
              <w:ind w:hanging="0" w:left="504" w:right="0"/>
              <w:contextualSpacing w:val="false"/>
              <w:rPr>
                <w:rFonts w:ascii="Arial" w:cs="Arial" w:hAnsi="Arial"/>
                <w:b/>
                <w:bCs/>
                <w:sz w:val="20"/>
                <w:szCs w:val="20"/>
              </w:rPr>
            </w:pPr>
            <w:r>
              <w:rPr>
                <w:rFonts w:ascii="Arial" w:cs="Arial" w:hAnsi="Arial"/>
                <w:b/>
                <w:bCs/>
                <w:sz w:val="20"/>
                <w:szCs w:val="20"/>
              </w:rPr>
              <w:t>$</w:t>
              <w:tab/>
              <w:t>  18.69</w:t>
              <w:tab/>
              <w:t> </w:t>
            </w:r>
          </w:p>
        </w:tc>
        <w:tc>
          <w:tcPr>
            <w:tcW w:type="dxa" w:w="1283"/>
            <w:tcBorders>
              <w:top w:val="nil"/>
              <w:left w:val="nil"/>
              <w:bottom w:val="nil"/>
              <w:right w:val="nil"/>
            </w:tcBorders>
            <w:shd w:fill="auto" w:val="clear"/>
            <w:tcMar>
              <w:left w:type="dxa" w:w="144"/>
            </w:tcMar>
            <w:vAlign w:val="bottom"/>
          </w:tcPr>
          <w:p>
            <w:pPr>
              <w:pStyle w:val="style65"/>
              <w:rPr/>
            </w:pPr>
            <w:r>
              <w:rPr/>
              <w:t> </w:t>
            </w:r>
          </w:p>
        </w:tc>
        <w:tc>
          <w:tcPr>
            <w:tcW w:type="dxa" w:w="1327"/>
            <w:tcBorders>
              <w:top w:val="nil"/>
              <w:left w:val="nil"/>
              <w:bottom w:val="nil"/>
              <w:right w:val="nil"/>
            </w:tcBorders>
            <w:shd w:fill="auto" w:val="clear"/>
            <w:tcMar>
              <w:left w:type="dxa" w:w="144"/>
            </w:tcMar>
            <w:vAlign w:val="bottom"/>
          </w:tcPr>
          <w:p>
            <w:pPr>
              <w:pStyle w:val="style65"/>
              <w:rPr/>
            </w:pPr>
            <w:r>
              <w:rPr/>
              <w:t> </w:t>
            </w:r>
          </w:p>
        </w:tc>
      </w:tr>
      <w:tr>
        <w:trPr>
          <w:cantSplit w:val="false"/>
        </w:trPr>
        <w:tc>
          <w:tcPr>
            <w:tcW w:type="dxa" w:w="5401"/>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Granted</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contextualSpacing w:val="false"/>
              <w:rPr>
                <w:rFonts w:ascii="Arial" w:cs="Arial" w:hAnsi="Arial"/>
                <w:b/>
                <w:bCs/>
                <w:sz w:val="20"/>
                <w:szCs w:val="20"/>
              </w:rPr>
            </w:pPr>
            <w:r>
              <w:rPr>
                <w:rFonts w:ascii="Arial" w:cs="Arial" w:hAnsi="Arial"/>
                <w:b/>
                <w:bCs/>
                <w:sz w:val="20"/>
                <w:szCs w:val="20"/>
              </w:rPr>
              <w:tab/>
              <w:t>2</w:t>
              <w:tab/>
            </w:r>
          </w:p>
        </w:tc>
        <w:tc>
          <w:tcPr>
            <w:tcW w:type="dxa" w:w="1439"/>
            <w:tcBorders>
              <w:top w:val="nil"/>
              <w:left w:val="nil"/>
              <w:bottom w:val="nil"/>
              <w:right w:val="nil"/>
            </w:tcBorders>
            <w:shd w:fill="auto" w:val="clear"/>
            <w:tcMar>
              <w:left w:type="dxa" w:w="144"/>
            </w:tcMar>
            <w:vAlign w:val="bottom"/>
          </w:tcPr>
          <w:p>
            <w:pPr>
              <w:pStyle w:val="style62"/>
              <w:tabs>
                <w:tab w:leader="none" w:pos="1240" w:val="right"/>
                <w:tab w:leader="none" w:pos="1280" w:val="decimal"/>
              </w:tabs>
              <w:spacing w:after="280" w:before="280"/>
              <w:ind w:hanging="0" w:left="504" w:right="0"/>
              <w:contextualSpacing w:val="false"/>
              <w:rPr>
                <w:rFonts w:ascii="Arial" w:cs="Arial" w:hAnsi="Arial"/>
                <w:b/>
                <w:bCs/>
                <w:sz w:val="20"/>
                <w:szCs w:val="20"/>
              </w:rPr>
            </w:pPr>
            <w:r>
              <w:rPr>
                <w:rFonts w:ascii="Arial" w:cs="Arial" w:hAnsi="Arial"/>
                <w:b/>
                <w:bCs/>
                <w:sz w:val="20"/>
                <w:szCs w:val="20"/>
              </w:rPr>
              <w:t>$</w:t>
              <w:tab/>
              <w:t>2.08</w:t>
              <w:tab/>
            </w:r>
          </w:p>
        </w:tc>
        <w:tc>
          <w:tcPr>
            <w:tcW w:type="dxa" w:w="1283"/>
            <w:tcBorders>
              <w:top w:val="nil"/>
              <w:left w:val="nil"/>
              <w:bottom w:val="nil"/>
              <w:right w:val="nil"/>
            </w:tcBorders>
            <w:shd w:fill="auto" w:val="clear"/>
            <w:tcMar>
              <w:left w:type="dxa" w:w="144"/>
            </w:tcMar>
            <w:vAlign w:val="bottom"/>
          </w:tcPr>
          <w:p>
            <w:pPr>
              <w:pStyle w:val="style65"/>
              <w:rPr/>
            </w:pPr>
            <w:r>
              <w:rPr/>
              <w:t> </w:t>
            </w:r>
          </w:p>
        </w:tc>
        <w:tc>
          <w:tcPr>
            <w:tcW w:type="dxa" w:w="1327"/>
            <w:tcBorders>
              <w:top w:val="nil"/>
              <w:left w:val="nil"/>
              <w:bottom w:val="nil"/>
              <w:right w:val="nil"/>
            </w:tcBorders>
            <w:shd w:fill="auto" w:val="clear"/>
            <w:tcMar>
              <w:left w:type="dxa" w:w="144"/>
            </w:tcMar>
            <w:vAlign w:val="bottom"/>
          </w:tcPr>
          <w:p>
            <w:pPr>
              <w:pStyle w:val="style65"/>
              <w:rPr/>
            </w:pPr>
            <w:r>
              <w:rPr/>
              <w:t> </w:t>
            </w:r>
          </w:p>
        </w:tc>
      </w:tr>
      <w:tr>
        <w:trPr>
          <w:cantSplit w:val="false"/>
        </w:trPr>
        <w:tc>
          <w:tcPr>
            <w:tcW w:type="dxa" w:w="5401"/>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Exercised</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contextualSpacing w:val="false"/>
              <w:rPr>
                <w:rFonts w:ascii="Arial" w:cs="Arial" w:hAnsi="Arial"/>
                <w:b/>
                <w:bCs/>
                <w:sz w:val="20"/>
                <w:szCs w:val="20"/>
              </w:rPr>
            </w:pPr>
            <w:r>
              <w:rPr>
                <w:rFonts w:ascii="Arial" w:cs="Arial" w:hAnsi="Arial"/>
                <w:b/>
                <w:bCs/>
                <w:sz w:val="20"/>
                <w:szCs w:val="20"/>
              </w:rPr>
              <w:tab/>
              <w:t>(19</w:t>
              <w:tab/>
              <w:t>)</w:t>
            </w:r>
          </w:p>
        </w:tc>
        <w:tc>
          <w:tcPr>
            <w:tcW w:type="dxa" w:w="1439"/>
            <w:tcBorders>
              <w:top w:val="nil"/>
              <w:left w:val="nil"/>
              <w:bottom w:val="nil"/>
              <w:right w:val="nil"/>
            </w:tcBorders>
            <w:shd w:fill="auto" w:val="clear"/>
            <w:tcMar>
              <w:left w:type="dxa" w:w="144"/>
            </w:tcMar>
            <w:vAlign w:val="bottom"/>
          </w:tcPr>
          <w:p>
            <w:pPr>
              <w:pStyle w:val="style62"/>
              <w:tabs>
                <w:tab w:leader="none" w:pos="1240" w:val="right"/>
                <w:tab w:leader="none" w:pos="1280" w:val="decimal"/>
              </w:tabs>
              <w:spacing w:after="280" w:before="280"/>
              <w:ind w:hanging="0" w:left="504" w:right="0"/>
              <w:contextualSpacing w:val="false"/>
              <w:rPr>
                <w:rFonts w:ascii="Arial" w:cs="Arial" w:hAnsi="Arial"/>
                <w:b/>
                <w:bCs/>
                <w:sz w:val="20"/>
                <w:szCs w:val="20"/>
              </w:rPr>
            </w:pPr>
            <w:r>
              <w:rPr>
                <w:rFonts w:ascii="Arial" w:cs="Arial" w:hAnsi="Arial"/>
                <w:b/>
                <w:bCs/>
                <w:sz w:val="20"/>
                <w:szCs w:val="20"/>
              </w:rPr>
              <w:t>$</w:t>
              <w:tab/>
              <w:t>19.26</w:t>
              <w:tab/>
            </w:r>
          </w:p>
        </w:tc>
        <w:tc>
          <w:tcPr>
            <w:tcW w:type="dxa" w:w="1283"/>
            <w:tcBorders>
              <w:top w:val="nil"/>
              <w:left w:val="nil"/>
              <w:bottom w:val="nil"/>
              <w:right w:val="nil"/>
            </w:tcBorders>
            <w:shd w:fill="auto" w:val="clear"/>
            <w:tcMar>
              <w:left w:type="dxa" w:w="144"/>
            </w:tcMar>
            <w:vAlign w:val="bottom"/>
          </w:tcPr>
          <w:p>
            <w:pPr>
              <w:pStyle w:val="style65"/>
              <w:rPr/>
            </w:pPr>
            <w:r>
              <w:rPr/>
              <w:t> </w:t>
            </w:r>
          </w:p>
        </w:tc>
        <w:tc>
          <w:tcPr>
            <w:tcW w:type="dxa" w:w="1327"/>
            <w:tcBorders>
              <w:top w:val="nil"/>
              <w:left w:val="nil"/>
              <w:bottom w:val="nil"/>
              <w:right w:val="nil"/>
            </w:tcBorders>
            <w:shd w:fill="auto" w:val="clear"/>
            <w:tcMar>
              <w:left w:type="dxa" w:w="144"/>
            </w:tcMar>
            <w:vAlign w:val="bottom"/>
          </w:tcPr>
          <w:p>
            <w:pPr>
              <w:pStyle w:val="style65"/>
              <w:rPr/>
            </w:pPr>
            <w:r>
              <w:rPr/>
              <w:t> </w:t>
            </w:r>
          </w:p>
        </w:tc>
      </w:tr>
      <w:tr>
        <w:trPr>
          <w:cantSplit w:val="false"/>
        </w:trPr>
        <w:tc>
          <w:tcPr>
            <w:tcW w:type="dxa" w:w="5401"/>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Canceled</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contextualSpacing w:val="false"/>
              <w:rPr>
                <w:rFonts w:ascii="Arial" w:cs="Arial" w:hAnsi="Arial"/>
                <w:b/>
                <w:bCs/>
                <w:sz w:val="20"/>
                <w:szCs w:val="20"/>
              </w:rPr>
            </w:pPr>
            <w:r>
              <w:rPr>
                <w:rFonts w:ascii="Arial" w:cs="Arial" w:hAnsi="Arial"/>
                <w:b/>
                <w:bCs/>
                <w:sz w:val="20"/>
                <w:szCs w:val="20"/>
              </w:rPr>
              <w:tab/>
              <w:t>(1</w:t>
              <w:tab/>
              <w:t>)</w:t>
            </w:r>
          </w:p>
        </w:tc>
        <w:tc>
          <w:tcPr>
            <w:tcW w:type="dxa" w:w="1439"/>
            <w:tcBorders>
              <w:top w:val="nil"/>
              <w:left w:val="nil"/>
              <w:bottom w:val="nil"/>
              <w:right w:val="nil"/>
            </w:tcBorders>
            <w:shd w:fill="auto" w:val="clear"/>
            <w:tcMar>
              <w:left w:type="dxa" w:w="144"/>
            </w:tcMar>
            <w:vAlign w:val="bottom"/>
          </w:tcPr>
          <w:p>
            <w:pPr>
              <w:pStyle w:val="style62"/>
              <w:tabs>
                <w:tab w:leader="none" w:pos="1240" w:val="right"/>
                <w:tab w:leader="none" w:pos="1280" w:val="decimal"/>
              </w:tabs>
              <w:spacing w:after="280" w:before="280"/>
              <w:ind w:hanging="0" w:left="504" w:right="0"/>
              <w:contextualSpacing w:val="false"/>
              <w:rPr>
                <w:rFonts w:ascii="Arial" w:cs="Arial" w:hAnsi="Arial"/>
                <w:b/>
                <w:bCs/>
                <w:sz w:val="20"/>
                <w:szCs w:val="20"/>
              </w:rPr>
            </w:pPr>
            <w:r>
              <w:rPr>
                <w:rFonts w:ascii="Arial" w:cs="Arial" w:hAnsi="Arial"/>
                <w:b/>
                <w:bCs/>
                <w:sz w:val="20"/>
                <w:szCs w:val="20"/>
              </w:rPr>
              <w:t>$</w:t>
              <w:tab/>
              <w:t>14.71</w:t>
              <w:tab/>
            </w:r>
          </w:p>
        </w:tc>
        <w:tc>
          <w:tcPr>
            <w:tcW w:type="dxa" w:w="1283"/>
            <w:tcBorders>
              <w:top w:val="nil"/>
              <w:left w:val="nil"/>
              <w:bottom w:val="nil"/>
              <w:right w:val="nil"/>
            </w:tcBorders>
            <w:shd w:fill="auto" w:val="clear"/>
            <w:tcMar>
              <w:left w:type="dxa" w:w="144"/>
            </w:tcMar>
            <w:vAlign w:val="bottom"/>
          </w:tcPr>
          <w:p>
            <w:pPr>
              <w:pStyle w:val="style65"/>
              <w:rPr/>
            </w:pPr>
            <w:r>
              <w:rPr/>
              <w:t> </w:t>
            </w:r>
          </w:p>
        </w:tc>
        <w:tc>
          <w:tcPr>
            <w:tcW w:type="dxa" w:w="1327"/>
            <w:tcBorders>
              <w:top w:val="nil"/>
              <w:left w:val="nil"/>
              <w:bottom w:val="nil"/>
              <w:right w:val="nil"/>
            </w:tcBorders>
            <w:shd w:fill="auto" w:val="clear"/>
            <w:tcMar>
              <w:left w:type="dxa" w:w="144"/>
            </w:tcMar>
            <w:vAlign w:val="bottom"/>
          </w:tcPr>
          <w:p>
            <w:pPr>
              <w:pStyle w:val="style65"/>
              <w:rPr/>
            </w:pPr>
            <w:r>
              <w:rPr/>
              <w:t> </w:t>
            </w:r>
          </w:p>
        </w:tc>
      </w:tr>
      <w:tr>
        <w:trPr>
          <w:cantSplit w:val="false"/>
        </w:trPr>
        <w:tc>
          <w:tcPr>
            <w:tcW w:type="dxa" w:w="6751"/>
            <w:gridSpan w:val="2"/>
            <w:tcBorders>
              <w:top w:val="nil"/>
              <w:left w:val="nil"/>
              <w:bottom w:val="nil"/>
              <w:right w:val="nil"/>
            </w:tcBorders>
            <w:shd w:fill="auto" w:val="clear"/>
            <w:vAlign w:val="bottom"/>
          </w:tcPr>
          <w:p>
            <w:pPr>
              <w:pStyle w:val="style59"/>
              <w:spacing w:after="0" w:before="20"/>
              <w:ind w:hanging="0" w:left="0" w:right="72"/>
              <w:contextualSpacing w:val="false"/>
              <w:rPr/>
            </w:pPr>
            <w:r>
              <w:rPr/>
              <w:t> </w:t>
            </w:r>
          </w:p>
        </w:tc>
        <w:tc>
          <w:tcPr>
            <w:tcW w:type="dxa" w:w="1439"/>
            <w:tcBorders>
              <w:top w:val="nil"/>
              <w:left w:val="nil"/>
              <w:bottom w:val="nil"/>
              <w:right w:val="nil"/>
            </w:tcBorders>
            <w:shd w:fill="auto" w:val="clear"/>
            <w:tcMar>
              <w:left w:type="dxa" w:w="144"/>
            </w:tcMar>
            <w:vAlign w:val="bottom"/>
          </w:tcPr>
          <w:p>
            <w:pPr>
              <w:pStyle w:val="style65"/>
              <w:ind w:hanging="0" w:left="504" w:right="0"/>
              <w:rPr/>
            </w:pPr>
            <w:r>
              <w:rPr/>
              <w:t> </w:t>
            </w:r>
          </w:p>
        </w:tc>
        <w:tc>
          <w:tcPr>
            <w:tcW w:type="dxa" w:w="1283"/>
            <w:tcBorders>
              <w:top w:val="nil"/>
              <w:left w:val="nil"/>
              <w:bottom w:val="nil"/>
              <w:right w:val="nil"/>
            </w:tcBorders>
            <w:shd w:fill="auto" w:val="clear"/>
            <w:tcMar>
              <w:left w:type="dxa" w:w="144"/>
            </w:tcMar>
            <w:vAlign w:val="bottom"/>
          </w:tcPr>
          <w:p>
            <w:pPr>
              <w:pStyle w:val="style65"/>
              <w:rPr/>
            </w:pPr>
            <w:r>
              <w:rPr/>
              <w:t> </w:t>
            </w:r>
          </w:p>
        </w:tc>
        <w:tc>
          <w:tcPr>
            <w:tcW w:type="dxa" w:w="1327"/>
            <w:tcBorders>
              <w:top w:val="nil"/>
              <w:left w:val="nil"/>
              <w:bottom w:val="nil"/>
              <w:right w:val="nil"/>
            </w:tcBorders>
            <w:shd w:fill="auto" w:val="clear"/>
            <w:tcMar>
              <w:left w:type="dxa" w:w="144"/>
            </w:tcMar>
            <w:vAlign w:val="bottom"/>
          </w:tcPr>
          <w:p>
            <w:pPr>
              <w:pStyle w:val="style65"/>
              <w:rPr/>
            </w:pPr>
            <w:r>
              <w:rPr/>
              <w:t> </w:t>
            </w:r>
          </w:p>
        </w:tc>
      </w:tr>
      <w:tr>
        <w:trPr>
          <w:cantSplit w:val="false"/>
        </w:trPr>
        <w:tc>
          <w:tcPr>
            <w:tcW w:type="dxa" w:w="5401"/>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Balance, June 30, 2013</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contextualSpacing w:val="false"/>
              <w:rPr>
                <w:rFonts w:ascii="Arial" w:cs="Arial" w:hAnsi="Arial"/>
                <w:b/>
                <w:bCs/>
                <w:sz w:val="20"/>
                <w:szCs w:val="20"/>
              </w:rPr>
            </w:pPr>
            <w:r>
              <w:rPr>
                <w:rFonts w:ascii="Arial" w:cs="Arial" w:hAnsi="Arial"/>
                <w:b/>
                <w:bCs/>
                <w:sz w:val="20"/>
                <w:szCs w:val="20"/>
              </w:rPr>
              <w:tab/>
              <w:t>4</w:t>
              <w:tab/>
            </w:r>
          </w:p>
        </w:tc>
        <w:tc>
          <w:tcPr>
            <w:tcW w:type="dxa" w:w="1439"/>
            <w:tcBorders>
              <w:top w:val="nil"/>
              <w:left w:val="nil"/>
              <w:bottom w:val="nil"/>
              <w:right w:val="nil"/>
            </w:tcBorders>
            <w:shd w:fill="auto" w:val="clear"/>
            <w:tcMar>
              <w:left w:type="dxa" w:w="144"/>
            </w:tcMar>
            <w:vAlign w:val="bottom"/>
          </w:tcPr>
          <w:p>
            <w:pPr>
              <w:pStyle w:val="style62"/>
              <w:tabs>
                <w:tab w:leader="none" w:pos="1240" w:val="right"/>
                <w:tab w:leader="none" w:pos="1280" w:val="decimal"/>
              </w:tabs>
              <w:spacing w:after="280" w:before="280"/>
              <w:ind w:hanging="0" w:left="504" w:right="0"/>
              <w:contextualSpacing w:val="false"/>
              <w:rPr>
                <w:rFonts w:ascii="Arial" w:cs="Arial" w:hAnsi="Arial"/>
                <w:b/>
                <w:bCs/>
                <w:sz w:val="20"/>
                <w:szCs w:val="20"/>
              </w:rPr>
            </w:pPr>
            <w:r>
              <w:rPr>
                <w:rFonts w:ascii="Arial" w:cs="Arial" w:hAnsi="Arial"/>
                <w:b/>
                <w:bCs/>
                <w:sz w:val="20"/>
                <w:szCs w:val="20"/>
              </w:rPr>
              <w:t>$</w:t>
              <w:tab/>
              <w:t>6.88</w:t>
              <w:tab/>
            </w:r>
          </w:p>
        </w:tc>
        <w:tc>
          <w:tcPr>
            <w:tcW w:type="dxa" w:w="1283"/>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contextualSpacing w:val="false"/>
              <w:rPr>
                <w:rFonts w:ascii="Arial" w:cs="Arial" w:hAnsi="Arial"/>
                <w:b/>
                <w:bCs/>
                <w:sz w:val="20"/>
                <w:szCs w:val="20"/>
              </w:rPr>
            </w:pPr>
            <w:r>
              <w:rPr>
                <w:rFonts w:ascii="Arial" w:cs="Arial" w:hAnsi="Arial"/>
                <w:b/>
                <w:bCs/>
                <w:sz w:val="20"/>
                <w:szCs w:val="20"/>
              </w:rPr>
              <w:tab/>
              <w:t>6.74</w:t>
              <w:tab/>
            </w:r>
          </w:p>
        </w:tc>
        <w:tc>
          <w:tcPr>
            <w:tcW w:type="dxa" w:w="1327"/>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648" w:right="0"/>
              <w:contextualSpacing w:val="false"/>
              <w:rPr>
                <w:rFonts w:ascii="Arial" w:cs="Arial" w:hAnsi="Arial"/>
                <w:b/>
                <w:bCs/>
                <w:sz w:val="20"/>
                <w:szCs w:val="20"/>
              </w:rPr>
            </w:pPr>
            <w:r>
              <w:rPr>
                <w:rFonts w:ascii="Arial" w:cs="Arial" w:hAnsi="Arial"/>
                <w:b/>
                <w:bCs/>
                <w:sz w:val="20"/>
                <w:szCs w:val="20"/>
              </w:rPr>
              <w:t>$</w:t>
              <w:tab/>
              <w:t>  98</w:t>
              <w:tab/>
            </w:r>
          </w:p>
        </w:tc>
      </w:tr>
      <w:tr>
        <w:trPr>
          <w:cantSplit w:val="false"/>
        </w:trPr>
        <w:tc>
          <w:tcPr>
            <w:tcW w:type="dxa" w:w="5401"/>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Exercisable, June 30, 2013</w:t>
            </w:r>
          </w:p>
        </w:tc>
        <w:tc>
          <w:tcPr>
            <w:tcW w:type="dxa" w:w="1350"/>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contextualSpacing w:val="false"/>
              <w:rPr>
                <w:rFonts w:ascii="Arial" w:cs="Arial" w:hAnsi="Arial"/>
                <w:b/>
                <w:bCs/>
                <w:sz w:val="20"/>
                <w:szCs w:val="20"/>
              </w:rPr>
            </w:pPr>
            <w:r>
              <w:rPr>
                <w:rFonts w:ascii="Arial" w:cs="Arial" w:hAnsi="Arial"/>
                <w:b/>
                <w:bCs/>
                <w:sz w:val="20"/>
                <w:szCs w:val="20"/>
              </w:rPr>
              <w:tab/>
              <w:t>2</w:t>
              <w:tab/>
            </w:r>
          </w:p>
        </w:tc>
        <w:tc>
          <w:tcPr>
            <w:tcW w:type="dxa" w:w="1439"/>
            <w:tcBorders>
              <w:top w:val="nil"/>
              <w:left w:val="nil"/>
              <w:bottom w:val="nil"/>
              <w:right w:val="nil"/>
            </w:tcBorders>
            <w:shd w:fill="auto" w:val="clear"/>
            <w:tcMar>
              <w:left w:type="dxa" w:w="144"/>
            </w:tcMar>
            <w:vAlign w:val="bottom"/>
          </w:tcPr>
          <w:p>
            <w:pPr>
              <w:pStyle w:val="style62"/>
              <w:tabs>
                <w:tab w:leader="none" w:pos="1240" w:val="right"/>
                <w:tab w:leader="none" w:pos="1280" w:val="decimal"/>
              </w:tabs>
              <w:spacing w:after="280" w:before="280"/>
              <w:ind w:hanging="0" w:left="504" w:right="0"/>
              <w:contextualSpacing w:val="false"/>
              <w:rPr>
                <w:rFonts w:ascii="Arial" w:cs="Arial" w:hAnsi="Arial"/>
                <w:b/>
                <w:bCs/>
                <w:sz w:val="20"/>
                <w:szCs w:val="20"/>
              </w:rPr>
            </w:pPr>
            <w:r>
              <w:rPr>
                <w:rFonts w:ascii="Arial" w:cs="Arial" w:hAnsi="Arial"/>
                <w:b/>
                <w:bCs/>
                <w:sz w:val="20"/>
                <w:szCs w:val="20"/>
              </w:rPr>
              <w:t>$</w:t>
              <w:tab/>
              <w:t>8.47</w:t>
              <w:tab/>
            </w:r>
          </w:p>
        </w:tc>
        <w:tc>
          <w:tcPr>
            <w:tcW w:type="dxa" w:w="1283"/>
            <w:tcBorders>
              <w:top w:val="nil"/>
              <w:left w:val="nil"/>
              <w:bottom w:val="nil"/>
              <w:right w:val="nil"/>
            </w:tcBorders>
            <w:shd w:fill="auto" w:val="clear"/>
            <w:tcMar>
              <w:left w:type="dxa" w:w="144"/>
            </w:tcMar>
            <w:vAlign w:val="bottom"/>
          </w:tcPr>
          <w:p>
            <w:pPr>
              <w:pStyle w:val="style62"/>
              <w:tabs>
                <w:tab w:leader="none" w:pos="1100" w:val="right"/>
                <w:tab w:leader="none" w:pos="1140" w:val="decimal"/>
              </w:tabs>
              <w:spacing w:after="280" w:before="280"/>
              <w:contextualSpacing w:val="false"/>
              <w:rPr>
                <w:rFonts w:ascii="Arial" w:cs="Arial" w:hAnsi="Arial"/>
                <w:b/>
                <w:bCs/>
                <w:sz w:val="20"/>
                <w:szCs w:val="20"/>
              </w:rPr>
            </w:pPr>
            <w:r>
              <w:rPr>
                <w:rFonts w:ascii="Arial" w:cs="Arial" w:hAnsi="Arial"/>
                <w:b/>
                <w:bCs/>
                <w:sz w:val="20"/>
                <w:szCs w:val="20"/>
              </w:rPr>
              <w:tab/>
              <w:t>5.79</w:t>
              <w:tab/>
            </w:r>
          </w:p>
        </w:tc>
        <w:tc>
          <w:tcPr>
            <w:tcW w:type="dxa" w:w="1327"/>
            <w:tcBorders>
              <w:top w:val="nil"/>
              <w:left w:val="nil"/>
              <w:bottom w:val="nil"/>
              <w:right w:val="nil"/>
            </w:tcBorders>
            <w:shd w:fill="auto" w:val="clear"/>
            <w:tcMar>
              <w:left w:type="dxa" w:w="144"/>
            </w:tcMar>
            <w:vAlign w:val="bottom"/>
          </w:tcPr>
          <w:p>
            <w:pPr>
              <w:pStyle w:val="style62"/>
              <w:tabs>
                <w:tab w:leader="none" w:pos="1140" w:val="right"/>
                <w:tab w:leader="none" w:pos="1180" w:val="decimal"/>
              </w:tabs>
              <w:spacing w:after="280" w:before="280"/>
              <w:ind w:hanging="0" w:left="648" w:right="0"/>
              <w:contextualSpacing w:val="false"/>
              <w:rPr>
                <w:rFonts w:ascii="Arial" w:cs="Arial" w:hAnsi="Arial"/>
                <w:b/>
                <w:bCs/>
                <w:sz w:val="20"/>
                <w:szCs w:val="20"/>
              </w:rPr>
            </w:pPr>
            <w:r>
              <w:rPr>
                <w:rFonts w:ascii="Arial" w:cs="Arial" w:hAnsi="Arial"/>
                <w:b/>
                <w:bCs/>
                <w:sz w:val="20"/>
                <w:szCs w:val="20"/>
              </w:rPr>
              <w:t>$</w:t>
              <w:tab/>
              <w:t>50</w:t>
              <w:tab/>
            </w:r>
          </w:p>
        </w:tc>
      </w:tr>
      <w:tr>
        <w:trPr>
          <w:cantSplit w:val="false"/>
        </w:trPr>
        <w:tc>
          <w:tcPr>
            <w:tcW w:type="dxa" w:w="10800"/>
            <w:gridSpan w:val="5"/>
            <w:tcBorders>
              <w:top w:val="nil"/>
              <w:left w:val="nil"/>
              <w:bottom w:val="nil"/>
              <w:right w:val="nil"/>
            </w:tcBorders>
            <w:shd w:fill="auto" w:val="clear"/>
            <w:tcMar>
              <w:left w:type="dxa" w:w="144"/>
            </w:tcMar>
            <w:vAlign w:val="bottom"/>
          </w:tcPr>
          <w:p>
            <w:pPr>
              <w:pStyle w:val="style59"/>
              <w:spacing w:after="0" w:before="20"/>
              <w:ind w:hanging="0" w:left="-297" w:right="78"/>
              <w:contextualSpacing w:val="false"/>
              <w:rPr/>
            </w:pPr>
            <w:r>
              <w:rPr/>
              <w:t> </w:t>
            </w:r>
          </w:p>
        </w:tc>
      </w:tr>
    </w:tbl>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As of June 30, 2013, approximately four million options that were granted in conjunction with business acquisitions were outstanding. These options have an exercise price range of $0.01 to $29.24 and a weighted average exercise price of $7.33.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During the periods reported, the following stock option exercise activity occurred: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559"/>
        <w:gridCol w:w="999"/>
        <w:gridCol w:w="1120"/>
        <w:gridCol w:w="1122"/>
      </w:tblGrid>
      <w:tr>
        <w:trPr>
          <w:tblHeader w:val="true"/>
          <w:cantSplit w:val="false"/>
        </w:trPr>
        <w:tc>
          <w:tcPr>
            <w:tcW w:type="dxa" w:w="7559"/>
            <w:tcBorders>
              <w:top w:val="nil"/>
              <w:left w:val="nil"/>
              <w:bottom w:val="nil"/>
              <w:right w:val="nil"/>
            </w:tcBorders>
            <w:shd w:fill="auto" w:val="clear"/>
            <w:vAlign w:val="center"/>
          </w:tcPr>
          <w:p>
            <w:pPr>
              <w:pStyle w:val="style0"/>
              <w:rPr>
                <w:sz w:val="1"/>
                <w:szCs w:val="24"/>
              </w:rPr>
            </w:pPr>
            <w:r>
              <w:rPr>
                <w:sz w:val="1"/>
                <w:szCs w:val="24"/>
              </w:rPr>
            </w:r>
          </w:p>
        </w:tc>
        <w:tc>
          <w:tcPr>
            <w:tcW w:type="dxa" w:w="999"/>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12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55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999"/>
            <w:tcBorders>
              <w:top w:val="nil"/>
              <w:left w:val="nil"/>
              <w:bottom w:val="nil"/>
              <w:right w:val="nil"/>
            </w:tcBorders>
            <w:shd w:fill="auto" w:val="clear"/>
            <w:tcMar>
              <w:left w:type="dxa" w:w="144"/>
            </w:tcMar>
            <w:vAlign w:val="bottom"/>
          </w:tcPr>
          <w:p>
            <w:pPr>
              <w:pStyle w:val="style65"/>
              <w:ind w:hanging="0" w:left="230" w:right="115"/>
              <w:rPr/>
            </w:pPr>
            <w:r>
              <w:rPr/>
              <w:t> </w:t>
            </w:r>
          </w:p>
        </w:tc>
        <w:tc>
          <w:tcPr>
            <w:tcW w:type="dxa" w:w="1120"/>
            <w:tcBorders>
              <w:top w:val="nil"/>
              <w:left w:val="nil"/>
              <w:bottom w:val="nil"/>
              <w:right w:val="nil"/>
            </w:tcBorders>
            <w:shd w:fill="auto" w:val="clear"/>
            <w:tcMar>
              <w:left w:type="dxa" w:w="144"/>
            </w:tcMar>
            <w:vAlign w:val="bottom"/>
          </w:tcPr>
          <w:p>
            <w:pPr>
              <w:pStyle w:val="style65"/>
              <w:ind w:hanging="0" w:left="230" w:right="115"/>
              <w:rPr/>
            </w:pPr>
            <w:r>
              <w:rPr/>
              <w:t> </w:t>
            </w:r>
          </w:p>
        </w:tc>
        <w:tc>
          <w:tcPr>
            <w:tcW w:type="dxa" w:w="1122"/>
            <w:tcBorders>
              <w:top w:val="nil"/>
              <w:left w:val="nil"/>
              <w:bottom w:val="nil"/>
              <w:right w:val="nil"/>
            </w:tcBorders>
            <w:shd w:fill="auto" w:val="clear"/>
            <w:tcMar>
              <w:left w:type="dxa" w:w="144"/>
            </w:tcMar>
            <w:vAlign w:val="bottom"/>
          </w:tcPr>
          <w:p>
            <w:pPr>
              <w:pStyle w:val="style65"/>
              <w:ind w:hanging="0" w:left="230" w:right="115"/>
              <w:rPr/>
            </w:pPr>
            <w:r>
              <w:rPr/>
              <w:t> </w:t>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99" w:right="115"/>
              <w:contextualSpacing w:val="false"/>
              <w:rPr/>
            </w:pPr>
            <w:r>
              <w:rPr/>
              <w:t> </w:t>
            </w:r>
          </w:p>
        </w:tc>
      </w:tr>
      <w:tr>
        <w:trPr>
          <w:trHeight w:hRule="atLeast" w:val="75"/>
          <w:cantSplit w:val="false"/>
        </w:trPr>
        <w:tc>
          <w:tcPr>
            <w:tcW w:type="dxa" w:w="7559"/>
            <w:tcBorders>
              <w:top w:val="nil"/>
              <w:left w:val="nil"/>
              <w:bottom w:val="nil"/>
              <w:right w:val="nil"/>
            </w:tcBorders>
            <w:shd w:fill="auto" w:val="clear"/>
            <w:vAlign w:val="center"/>
          </w:tcPr>
          <w:p>
            <w:pPr>
              <w:pStyle w:val="style0"/>
              <w:rPr>
                <w:sz w:val="8"/>
                <w:szCs w:val="24"/>
              </w:rPr>
            </w:pPr>
            <w:r>
              <w:rPr>
                <w:sz w:val="8"/>
                <w:szCs w:val="24"/>
              </w:rPr>
            </w:r>
          </w:p>
        </w:tc>
        <w:tc>
          <w:tcPr>
            <w:tcW w:type="dxa" w:w="999"/>
            <w:tcBorders>
              <w:top w:val="nil"/>
              <w:left w:val="nil"/>
              <w:bottom w:val="nil"/>
              <w:right w:val="nil"/>
            </w:tcBorders>
            <w:shd w:fill="auto" w:val="clear"/>
            <w:vAlign w:val="center"/>
          </w:tcPr>
          <w:p>
            <w:pPr>
              <w:pStyle w:val="style0"/>
              <w:ind w:hanging="0" w:left="230" w:right="115"/>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230" w:right="115"/>
              <w:rPr>
                <w:sz w:val="8"/>
                <w:szCs w:val="24"/>
              </w:rPr>
            </w:pPr>
            <w:r>
              <w:rPr>
                <w:sz w:val="8"/>
                <w:szCs w:val="24"/>
              </w:rPr>
            </w:r>
          </w:p>
        </w:tc>
        <w:tc>
          <w:tcPr>
            <w:tcW w:type="dxa" w:w="1122"/>
            <w:tcBorders>
              <w:top w:val="nil"/>
              <w:left w:val="nil"/>
              <w:bottom w:val="nil"/>
              <w:right w:val="nil"/>
            </w:tcBorders>
            <w:shd w:fill="auto" w:val="clear"/>
            <w:vAlign w:val="center"/>
          </w:tcPr>
          <w:p>
            <w:pPr>
              <w:pStyle w:val="style0"/>
              <w:ind w:hanging="0" w:left="230" w:right="115"/>
              <w:rPr>
                <w:sz w:val="8"/>
                <w:szCs w:val="24"/>
              </w:rPr>
            </w:pPr>
            <w:r>
              <w:rPr>
                <w:sz w:val="8"/>
                <w:szCs w:val="24"/>
              </w:rPr>
            </w:r>
          </w:p>
        </w:tc>
      </w:tr>
      <w:tr>
        <w:trPr>
          <w:cantSplit w:val="false"/>
        </w:trPr>
        <w:tc>
          <w:tcPr>
            <w:tcW w:type="dxa" w:w="7559"/>
            <w:tcBorders>
              <w:top w:val="nil"/>
              <w:left w:val="nil"/>
              <w:bottom w:val="nil"/>
              <w:right w:val="nil"/>
            </w:tcBorders>
            <w:shd w:fill="auto" w:val="clear"/>
            <w:tcMar>
              <w:left w:type="dxa" w:w="144"/>
            </w:tcMar>
            <w:vAlign w:val="bottom"/>
          </w:tcPr>
          <w:p>
            <w:pPr>
              <w:pStyle w:val="style65"/>
              <w:keepNext/>
              <w:rPr/>
            </w:pPr>
            <w:r>
              <w:rPr/>
              <w:t> </w:t>
            </w:r>
          </w:p>
        </w:tc>
        <w:tc>
          <w:tcPr>
            <w:tcW w:type="dxa" w:w="999"/>
            <w:tcBorders>
              <w:top w:val="nil"/>
              <w:left w:val="nil"/>
              <w:bottom w:val="nil"/>
              <w:right w:val="nil"/>
            </w:tcBorders>
            <w:shd w:fill="auto" w:val="clear"/>
            <w:tcMar>
              <w:left w:type="dxa" w:w="144"/>
            </w:tcMar>
            <w:vAlign w:val="bottom"/>
          </w:tcPr>
          <w:p>
            <w:pPr>
              <w:pStyle w:val="style0"/>
              <w:ind w:hanging="0" w:left="230" w:right="58"/>
              <w:jc w:val="right"/>
              <w:rPr>
                <w:rFonts w:ascii="Arial" w:cs="Arial" w:hAnsi="Arial"/>
                <w:b/>
                <w:bCs/>
                <w:sz w:val="15"/>
                <w:szCs w:val="15"/>
              </w:rPr>
            </w:pPr>
            <w:r>
              <w:rPr>
                <w:rFonts w:ascii="Arial" w:cs="Arial" w:hAnsi="Arial"/>
                <w:b/>
                <w:bCs/>
                <w:sz w:val="15"/>
                <w:szCs w:val="15"/>
              </w:rPr>
              <w:t>2013</w:t>
            </w:r>
          </w:p>
        </w:tc>
        <w:tc>
          <w:tcPr>
            <w:tcW w:type="dxa" w:w="1120"/>
            <w:tcBorders>
              <w:top w:val="nil"/>
              <w:left w:val="nil"/>
              <w:bottom w:val="nil"/>
              <w:right w:val="nil"/>
            </w:tcBorders>
            <w:shd w:fill="auto" w:val="clear"/>
            <w:tcMar>
              <w:left w:type="dxa" w:w="144"/>
            </w:tcMar>
            <w:vAlign w:val="bottom"/>
          </w:tcPr>
          <w:p>
            <w:pPr>
              <w:pStyle w:val="style0"/>
              <w:ind w:hanging="0" w:left="230" w:right="58"/>
              <w:jc w:val="right"/>
              <w:rPr>
                <w:rFonts w:ascii="Arial" w:cs="Arial" w:hAnsi="Arial"/>
                <w:b/>
                <w:bCs/>
                <w:sz w:val="15"/>
                <w:szCs w:val="15"/>
              </w:rPr>
            </w:pPr>
            <w:r>
              <w:rPr>
                <w:rFonts w:ascii="Arial" w:cs="Arial" w:hAnsi="Arial"/>
                <w:b/>
                <w:bCs/>
                <w:sz w:val="15"/>
                <w:szCs w:val="15"/>
              </w:rPr>
              <w:t>2012</w:t>
            </w:r>
          </w:p>
        </w:tc>
        <w:tc>
          <w:tcPr>
            <w:tcW w:type="dxa" w:w="1122"/>
            <w:tcBorders>
              <w:top w:val="nil"/>
              <w:left w:val="nil"/>
              <w:bottom w:val="nil"/>
              <w:right w:val="nil"/>
            </w:tcBorders>
            <w:shd w:fill="auto" w:val="clear"/>
            <w:tcMar>
              <w:left w:type="dxa" w:w="144"/>
            </w:tcMar>
            <w:vAlign w:val="bottom"/>
          </w:tcPr>
          <w:p>
            <w:pPr>
              <w:pStyle w:val="style0"/>
              <w:ind w:hanging="0" w:left="230" w:right="72"/>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559"/>
            <w:tcBorders>
              <w:top w:val="nil"/>
              <w:left w:val="nil"/>
              <w:bottom w:val="nil"/>
              <w:right w:val="nil"/>
            </w:tcBorders>
            <w:shd w:fill="auto" w:val="clear"/>
            <w:vAlign w:val="center"/>
          </w:tcPr>
          <w:p>
            <w:pPr>
              <w:pStyle w:val="style0"/>
              <w:rPr>
                <w:sz w:val="8"/>
                <w:szCs w:val="24"/>
              </w:rPr>
            </w:pPr>
            <w:r>
              <w:rPr>
                <w:sz w:val="8"/>
                <w:szCs w:val="24"/>
              </w:rPr>
            </w:r>
          </w:p>
        </w:tc>
        <w:tc>
          <w:tcPr>
            <w:tcW w:type="dxa" w:w="999"/>
            <w:tcBorders>
              <w:top w:val="nil"/>
              <w:left w:val="nil"/>
              <w:bottom w:val="nil"/>
              <w:right w:val="nil"/>
            </w:tcBorders>
            <w:shd w:fill="auto" w:val="clear"/>
            <w:vAlign w:val="center"/>
          </w:tcPr>
          <w:p>
            <w:pPr>
              <w:pStyle w:val="style0"/>
              <w:ind w:hanging="0" w:left="230" w:right="115"/>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230" w:right="115"/>
              <w:rPr>
                <w:sz w:val="8"/>
                <w:szCs w:val="24"/>
              </w:rPr>
            </w:pPr>
            <w:r>
              <w:rPr>
                <w:sz w:val="8"/>
                <w:szCs w:val="24"/>
              </w:rPr>
            </w:r>
          </w:p>
        </w:tc>
        <w:tc>
          <w:tcPr>
            <w:tcW w:type="dxa" w:w="1122"/>
            <w:tcBorders>
              <w:top w:val="nil"/>
              <w:left w:val="nil"/>
              <w:bottom w:val="nil"/>
              <w:right w:val="nil"/>
            </w:tcBorders>
            <w:shd w:fill="auto" w:val="clear"/>
            <w:vAlign w:val="center"/>
          </w:tcPr>
          <w:p>
            <w:pPr>
              <w:pStyle w:val="style0"/>
              <w:ind w:hanging="0" w:left="230" w:right="115"/>
              <w:rPr>
                <w:sz w:val="8"/>
                <w:szCs w:val="24"/>
              </w:rPr>
            </w:pPr>
            <w:r>
              <w:rPr>
                <w:sz w:val="8"/>
                <w:szCs w:val="24"/>
              </w:rPr>
            </w:r>
          </w:p>
        </w:tc>
      </w:tr>
      <w:tr>
        <w:trPr>
          <w:cantSplit w:val="false"/>
        </w:trPr>
        <w:tc>
          <w:tcPr>
            <w:tcW w:type="dxa" w:w="755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Total intrinsic value of stock options exercised</w:t>
            </w:r>
          </w:p>
        </w:tc>
        <w:tc>
          <w:tcPr>
            <w:tcW w:type="dxa" w:w="999"/>
            <w:tcBorders>
              <w:top w:val="nil"/>
              <w:left w:val="nil"/>
              <w:bottom w:val="nil"/>
              <w:right w:val="nil"/>
            </w:tcBorders>
            <w:shd w:fill="auto" w:val="clear"/>
            <w:tcMar>
              <w:left w:type="dxa" w:w="144"/>
            </w:tcMar>
            <w:vAlign w:val="bottom"/>
          </w:tcPr>
          <w:p>
            <w:pPr>
              <w:pStyle w:val="style62"/>
              <w:tabs>
                <w:tab w:leader="none" w:pos="800" w:val="right"/>
                <w:tab w:leader="none" w:pos="840" w:val="decimal"/>
              </w:tabs>
              <w:spacing w:after="280" w:before="280"/>
              <w:ind w:hanging="0" w:left="230" w:right="115"/>
              <w:contextualSpacing w:val="false"/>
              <w:rPr>
                <w:rFonts w:ascii="Arial" w:cs="Arial" w:hAnsi="Arial"/>
                <w:b/>
                <w:bCs/>
                <w:sz w:val="20"/>
                <w:szCs w:val="20"/>
              </w:rPr>
            </w:pPr>
            <w:r>
              <w:rPr>
                <w:rFonts w:ascii="Arial" w:cs="Arial" w:hAnsi="Arial"/>
                <w:b/>
                <w:bCs/>
                <w:sz w:val="20"/>
                <w:szCs w:val="20"/>
              </w:rPr>
              <w:t>$</w:t>
              <w:tab/>
              <w:t>197</w:t>
              <w:tab/>
              <w:t> </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30" w:right="115"/>
              <w:contextualSpacing w:val="false"/>
              <w:rPr>
                <w:rFonts w:ascii="Arial" w:cs="Arial" w:hAnsi="Arial"/>
                <w:sz w:val="20"/>
                <w:szCs w:val="20"/>
              </w:rPr>
            </w:pPr>
            <w:r>
              <w:rPr>
                <w:rFonts w:ascii="Arial" w:cs="Arial" w:hAnsi="Arial"/>
                <w:sz w:val="20"/>
                <w:szCs w:val="20"/>
              </w:rPr>
              <w:t>$</w:t>
              <w:tab/>
              <w:t>456</w:t>
              <w:tab/>
              <w:t> </w:t>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30" w:right="115"/>
              <w:contextualSpacing w:val="false"/>
              <w:rPr>
                <w:rFonts w:ascii="Arial" w:cs="Arial" w:hAnsi="Arial"/>
                <w:sz w:val="20"/>
                <w:szCs w:val="20"/>
              </w:rPr>
            </w:pPr>
            <w:r>
              <w:rPr>
                <w:rFonts w:ascii="Arial" w:cs="Arial" w:hAnsi="Arial"/>
                <w:sz w:val="20"/>
                <w:szCs w:val="20"/>
              </w:rPr>
              <w:t>$</w:t>
              <w:tab/>
              <w:t>222</w:t>
              <w:tab/>
              <w:t> </w:t>
            </w:r>
          </w:p>
        </w:tc>
      </w:tr>
      <w:tr>
        <w:trPr>
          <w:cantSplit w:val="false"/>
        </w:trPr>
        <w:tc>
          <w:tcPr>
            <w:tcW w:type="dxa" w:w="755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Cash received from stock option exercises</w:t>
            </w:r>
          </w:p>
        </w:tc>
        <w:tc>
          <w:tcPr>
            <w:tcW w:type="dxa" w:w="999"/>
            <w:tcBorders>
              <w:top w:val="nil"/>
              <w:left w:val="nil"/>
              <w:bottom w:val="nil"/>
              <w:right w:val="nil"/>
            </w:tcBorders>
            <w:shd w:fill="auto" w:val="clear"/>
            <w:tcMar>
              <w:left w:type="dxa" w:w="144"/>
            </w:tcMar>
            <w:vAlign w:val="bottom"/>
          </w:tcPr>
          <w:p>
            <w:pPr>
              <w:pStyle w:val="style62"/>
              <w:tabs>
                <w:tab w:leader="none" w:pos="800" w:val="right"/>
                <w:tab w:leader="none" w:pos="840" w:val="decimal"/>
              </w:tabs>
              <w:spacing w:after="280" w:before="280"/>
              <w:ind w:hanging="0" w:left="230" w:right="115"/>
              <w:contextualSpacing w:val="false"/>
              <w:rPr>
                <w:rFonts w:ascii="Arial" w:cs="Arial" w:hAnsi="Arial"/>
                <w:b/>
                <w:bCs/>
                <w:sz w:val="20"/>
                <w:szCs w:val="20"/>
              </w:rPr>
            </w:pPr>
            <w:r>
              <w:rPr>
                <w:rFonts w:ascii="Arial" w:cs="Arial" w:hAnsi="Arial"/>
                <w:b/>
                <w:bCs/>
                <w:sz w:val="20"/>
                <w:szCs w:val="20"/>
              </w:rPr>
              <w:t>$</w:t>
              <w:tab/>
              <w:t>  382</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30" w:right="115"/>
              <w:contextualSpacing w:val="false"/>
              <w:rPr>
                <w:rFonts w:ascii="Arial" w:cs="Arial" w:hAnsi="Arial"/>
                <w:sz w:val="20"/>
                <w:szCs w:val="20"/>
              </w:rPr>
            </w:pPr>
            <w:r>
              <w:rPr>
                <w:rFonts w:ascii="Arial" w:cs="Arial" w:hAnsi="Arial"/>
                <w:sz w:val="20"/>
                <w:szCs w:val="20"/>
              </w:rPr>
              <w:t>$</w:t>
              <w:tab/>
              <w:t> 1,410</w:t>
              <w:tab/>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30" w:right="115"/>
              <w:contextualSpacing w:val="false"/>
              <w:rPr>
                <w:rFonts w:ascii="Arial" w:cs="Arial" w:hAnsi="Arial"/>
                <w:sz w:val="20"/>
                <w:szCs w:val="20"/>
              </w:rPr>
            </w:pPr>
            <w:r>
              <w:rPr>
                <w:rFonts w:ascii="Arial" w:cs="Arial" w:hAnsi="Arial"/>
                <w:sz w:val="20"/>
                <w:szCs w:val="20"/>
              </w:rPr>
              <w:t>$</w:t>
              <w:tab/>
              <w:t> 1,954</w:t>
              <w:tab/>
            </w:r>
          </w:p>
        </w:tc>
      </w:tr>
      <w:tr>
        <w:trPr>
          <w:cantSplit w:val="false"/>
        </w:trPr>
        <w:tc>
          <w:tcPr>
            <w:tcW w:type="dxa" w:w="755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Tax benefit realized from stock option exercises</w:t>
            </w:r>
          </w:p>
        </w:tc>
        <w:tc>
          <w:tcPr>
            <w:tcW w:type="dxa" w:w="999"/>
            <w:tcBorders>
              <w:top w:val="nil"/>
              <w:left w:val="nil"/>
              <w:bottom w:val="nil"/>
              <w:right w:val="nil"/>
            </w:tcBorders>
            <w:shd w:fill="auto" w:val="clear"/>
            <w:tcMar>
              <w:left w:type="dxa" w:w="144"/>
            </w:tcMar>
            <w:vAlign w:val="bottom"/>
          </w:tcPr>
          <w:p>
            <w:pPr>
              <w:pStyle w:val="style62"/>
              <w:tabs>
                <w:tab w:leader="none" w:pos="800" w:val="right"/>
                <w:tab w:leader="none" w:pos="840" w:val="decimal"/>
              </w:tabs>
              <w:spacing w:after="280" w:before="280"/>
              <w:ind w:hanging="0" w:left="230" w:right="115"/>
              <w:contextualSpacing w:val="false"/>
              <w:rPr>
                <w:rFonts w:ascii="Arial" w:cs="Arial" w:hAnsi="Arial"/>
                <w:b/>
                <w:bCs/>
                <w:sz w:val="20"/>
                <w:szCs w:val="20"/>
              </w:rPr>
            </w:pPr>
            <w:r>
              <w:rPr>
                <w:rFonts w:ascii="Arial" w:cs="Arial" w:hAnsi="Arial"/>
                <w:b/>
                <w:bCs/>
                <w:sz w:val="20"/>
                <w:szCs w:val="20"/>
              </w:rPr>
              <w:t>$</w:t>
              <w:tab/>
              <w:t>69</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30" w:right="115"/>
              <w:contextualSpacing w:val="false"/>
              <w:rPr>
                <w:rFonts w:ascii="Arial" w:cs="Arial" w:hAnsi="Arial"/>
                <w:sz w:val="20"/>
                <w:szCs w:val="20"/>
              </w:rPr>
            </w:pPr>
            <w:r>
              <w:rPr>
                <w:rFonts w:ascii="Arial" w:cs="Arial" w:hAnsi="Arial"/>
                <w:sz w:val="20"/>
                <w:szCs w:val="20"/>
              </w:rPr>
              <w:t>$</w:t>
              <w:tab/>
              <w:t>160</w:t>
              <w:tab/>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30" w:right="115"/>
              <w:contextualSpacing w:val="false"/>
              <w:rPr>
                <w:rFonts w:ascii="Arial" w:cs="Arial" w:hAnsi="Arial"/>
                <w:sz w:val="20"/>
                <w:szCs w:val="20"/>
              </w:rPr>
            </w:pPr>
            <w:r>
              <w:rPr>
                <w:rFonts w:ascii="Arial" w:cs="Arial" w:hAnsi="Arial"/>
                <w:sz w:val="20"/>
                <w:szCs w:val="20"/>
              </w:rPr>
              <w:t>$</w:t>
              <w:tab/>
              <w:t>77</w:t>
              <w:tab/>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99" w:right="115"/>
              <w:contextualSpacing w:val="false"/>
              <w:rPr/>
            </w:pPr>
            <w:r>
              <w:rPr/>
              <w:t> </w:t>
            </w:r>
          </w:p>
        </w:tc>
      </w:tr>
    </w:tbl>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Employee Stock Purchase Plan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We have an employee stock purchase plan (the “Plan”)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Employees purchased the following shares during the periods presented: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399"/>
        <w:gridCol w:w="1159"/>
        <w:gridCol w:w="1120"/>
        <w:gridCol w:w="1122"/>
      </w:tblGrid>
      <w:tr>
        <w:trPr>
          <w:tblHeader w:val="true"/>
          <w:cantSplit w:val="false"/>
        </w:trPr>
        <w:tc>
          <w:tcPr>
            <w:tcW w:type="dxa" w:w="7399"/>
            <w:tcBorders>
              <w:top w:val="nil"/>
              <w:left w:val="nil"/>
              <w:bottom w:val="nil"/>
              <w:right w:val="nil"/>
            </w:tcBorders>
            <w:shd w:fill="auto" w:val="clear"/>
            <w:vAlign w:val="center"/>
          </w:tcPr>
          <w:p>
            <w:pPr>
              <w:pStyle w:val="style0"/>
              <w:rPr>
                <w:sz w:val="1"/>
                <w:szCs w:val="24"/>
              </w:rPr>
            </w:pPr>
            <w:r>
              <w:rPr>
                <w:sz w:val="1"/>
                <w:szCs w:val="24"/>
              </w:rPr>
            </w:r>
          </w:p>
        </w:tc>
        <w:tc>
          <w:tcPr>
            <w:tcW w:type="dxa" w:w="1159"/>
            <w:tcBorders>
              <w:top w:val="nil"/>
              <w:left w:val="nil"/>
              <w:bottom w:val="nil"/>
              <w:right w:val="nil"/>
            </w:tcBorders>
            <w:shd w:fill="auto" w:val="clear"/>
            <w:vAlign w:val="center"/>
          </w:tcPr>
          <w:p>
            <w:pPr>
              <w:pStyle w:val="style0"/>
              <w:rPr>
                <w:sz w:val="1"/>
                <w:szCs w:val="24"/>
              </w:rPr>
            </w:pPr>
            <w:r>
              <w:rPr>
                <w:sz w:val="1"/>
                <w:szCs w:val="24"/>
              </w:rPr>
            </w:r>
          </w:p>
        </w:tc>
        <w:tc>
          <w:tcPr>
            <w:tcW w:type="dxa" w:w="1120"/>
            <w:tcBorders>
              <w:top w:val="nil"/>
              <w:left w:val="nil"/>
              <w:bottom w:val="nil"/>
              <w:right w:val="nil"/>
            </w:tcBorders>
            <w:shd w:fill="auto" w:val="clear"/>
            <w:vAlign w:val="center"/>
          </w:tcPr>
          <w:p>
            <w:pPr>
              <w:pStyle w:val="style0"/>
              <w:rPr>
                <w:sz w:val="1"/>
                <w:szCs w:val="24"/>
              </w:rPr>
            </w:pPr>
            <w:r>
              <w:rPr>
                <w:sz w:val="1"/>
                <w:szCs w:val="24"/>
              </w:rPr>
            </w:r>
          </w:p>
        </w:tc>
        <w:tc>
          <w:tcPr>
            <w:tcW w:type="dxa" w:w="112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39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(Shares in millions)</w:t>
            </w:r>
          </w:p>
        </w:tc>
        <w:tc>
          <w:tcPr>
            <w:tcW w:type="dxa" w:w="1159"/>
            <w:tcBorders>
              <w:top w:val="nil"/>
              <w:left w:val="nil"/>
              <w:bottom w:val="nil"/>
              <w:right w:val="nil"/>
            </w:tcBorders>
            <w:shd w:fill="auto" w:val="clear"/>
            <w:tcMar>
              <w:left w:type="dxa" w:w="144"/>
            </w:tcMar>
            <w:vAlign w:val="bottom"/>
          </w:tcPr>
          <w:p>
            <w:pPr>
              <w:pStyle w:val="style65"/>
              <w:ind w:hanging="0" w:left="216" w:right="115"/>
              <w:rPr/>
            </w:pPr>
            <w:r>
              <w:rPr/>
              <w:t> </w:t>
            </w:r>
          </w:p>
        </w:tc>
        <w:tc>
          <w:tcPr>
            <w:tcW w:type="dxa" w:w="1120"/>
            <w:tcBorders>
              <w:top w:val="nil"/>
              <w:left w:val="nil"/>
              <w:bottom w:val="nil"/>
              <w:right w:val="nil"/>
            </w:tcBorders>
            <w:shd w:fill="auto" w:val="clear"/>
            <w:tcMar>
              <w:left w:type="dxa" w:w="144"/>
            </w:tcMar>
            <w:vAlign w:val="bottom"/>
          </w:tcPr>
          <w:p>
            <w:pPr>
              <w:pStyle w:val="style65"/>
              <w:ind w:hanging="0" w:left="216" w:right="115"/>
              <w:rPr/>
            </w:pPr>
            <w:r>
              <w:rPr/>
              <w:t> </w:t>
            </w:r>
          </w:p>
        </w:tc>
        <w:tc>
          <w:tcPr>
            <w:tcW w:type="dxa" w:w="1122"/>
            <w:tcBorders>
              <w:top w:val="nil"/>
              <w:left w:val="nil"/>
              <w:bottom w:val="nil"/>
              <w:right w:val="nil"/>
            </w:tcBorders>
            <w:shd w:fill="auto" w:val="clear"/>
            <w:tcMar>
              <w:left w:type="dxa" w:w="144"/>
            </w:tcMar>
            <w:vAlign w:val="bottom"/>
          </w:tcPr>
          <w:p>
            <w:pPr>
              <w:pStyle w:val="style65"/>
              <w:ind w:hanging="0" w:left="216" w:right="115"/>
              <w:rPr/>
            </w:pPr>
            <w:r>
              <w:rPr/>
              <w:t> </w:t>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306" w:right="115"/>
              <w:contextualSpacing w:val="false"/>
              <w:rPr/>
            </w:pPr>
            <w:r>
              <w:rPr/>
              <w:t> </w:t>
            </w:r>
          </w:p>
        </w:tc>
      </w:tr>
      <w:tr>
        <w:trPr>
          <w:trHeight w:hRule="atLeast" w:val="75"/>
          <w:cantSplit w:val="false"/>
        </w:trPr>
        <w:tc>
          <w:tcPr>
            <w:tcW w:type="dxa" w:w="7399"/>
            <w:tcBorders>
              <w:top w:val="nil"/>
              <w:left w:val="nil"/>
              <w:bottom w:val="nil"/>
              <w:right w:val="nil"/>
            </w:tcBorders>
            <w:shd w:fill="auto" w:val="clear"/>
            <w:vAlign w:val="center"/>
          </w:tcPr>
          <w:p>
            <w:pPr>
              <w:pStyle w:val="style0"/>
              <w:rPr>
                <w:sz w:val="8"/>
                <w:szCs w:val="24"/>
              </w:rPr>
            </w:pPr>
            <w:r>
              <w:rPr>
                <w:sz w:val="8"/>
                <w:szCs w:val="24"/>
              </w:rPr>
            </w:r>
          </w:p>
        </w:tc>
        <w:tc>
          <w:tcPr>
            <w:tcW w:type="dxa" w:w="1159"/>
            <w:tcBorders>
              <w:top w:val="nil"/>
              <w:left w:val="nil"/>
              <w:bottom w:val="nil"/>
              <w:right w:val="nil"/>
            </w:tcBorders>
            <w:shd w:fill="auto" w:val="clear"/>
            <w:vAlign w:val="center"/>
          </w:tcPr>
          <w:p>
            <w:pPr>
              <w:pStyle w:val="style0"/>
              <w:ind w:hanging="0" w:left="216" w:right="115"/>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216" w:right="115"/>
              <w:rPr>
                <w:sz w:val="8"/>
                <w:szCs w:val="24"/>
              </w:rPr>
            </w:pPr>
            <w:r>
              <w:rPr>
                <w:sz w:val="8"/>
                <w:szCs w:val="24"/>
              </w:rPr>
            </w:r>
          </w:p>
        </w:tc>
        <w:tc>
          <w:tcPr>
            <w:tcW w:type="dxa" w:w="1122"/>
            <w:tcBorders>
              <w:top w:val="nil"/>
              <w:left w:val="nil"/>
              <w:bottom w:val="nil"/>
              <w:right w:val="nil"/>
            </w:tcBorders>
            <w:shd w:fill="auto" w:val="clear"/>
            <w:vAlign w:val="center"/>
          </w:tcPr>
          <w:p>
            <w:pPr>
              <w:pStyle w:val="style0"/>
              <w:ind w:hanging="0" w:left="216" w:right="115"/>
              <w:rPr>
                <w:sz w:val="8"/>
                <w:szCs w:val="24"/>
              </w:rPr>
            </w:pPr>
            <w:r>
              <w:rPr>
                <w:sz w:val="8"/>
                <w:szCs w:val="24"/>
              </w:rPr>
            </w:r>
          </w:p>
        </w:tc>
      </w:tr>
      <w:tr>
        <w:trPr>
          <w:cantSplit w:val="false"/>
        </w:trPr>
        <w:tc>
          <w:tcPr>
            <w:tcW w:type="dxa" w:w="739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159"/>
            <w:tcBorders>
              <w:top w:val="nil"/>
              <w:left w:val="nil"/>
              <w:bottom w:val="nil"/>
              <w:right w:val="nil"/>
            </w:tcBorders>
            <w:shd w:fill="auto" w:val="clear"/>
            <w:tcMar>
              <w:left w:type="dxa" w:w="144"/>
            </w:tcMar>
            <w:vAlign w:val="bottom"/>
          </w:tcPr>
          <w:p>
            <w:pPr>
              <w:pStyle w:val="style0"/>
              <w:ind w:hanging="0" w:left="216" w:right="72"/>
              <w:jc w:val="right"/>
              <w:rPr>
                <w:rFonts w:ascii="Arial" w:cs="Arial" w:hAnsi="Arial"/>
                <w:b/>
                <w:bCs/>
                <w:sz w:val="15"/>
                <w:szCs w:val="15"/>
              </w:rPr>
            </w:pPr>
            <w:r>
              <w:rPr>
                <w:rFonts w:ascii="Arial" w:cs="Arial" w:hAnsi="Arial"/>
                <w:b/>
                <w:bCs/>
                <w:sz w:val="15"/>
                <w:szCs w:val="15"/>
              </w:rPr>
              <w:t>2013</w:t>
            </w:r>
          </w:p>
        </w:tc>
        <w:tc>
          <w:tcPr>
            <w:tcW w:type="dxa" w:w="1120"/>
            <w:tcBorders>
              <w:top w:val="nil"/>
              <w:left w:val="nil"/>
              <w:bottom w:val="nil"/>
              <w:right w:val="nil"/>
            </w:tcBorders>
            <w:shd w:fill="auto" w:val="clear"/>
            <w:tcMar>
              <w:left w:type="dxa" w:w="144"/>
            </w:tcMar>
            <w:vAlign w:val="bottom"/>
          </w:tcPr>
          <w:p>
            <w:pPr>
              <w:pStyle w:val="style0"/>
              <w:ind w:hanging="0" w:left="216" w:right="72"/>
              <w:jc w:val="right"/>
              <w:rPr>
                <w:rFonts w:ascii="Arial" w:cs="Arial" w:hAnsi="Arial"/>
                <w:b/>
                <w:bCs/>
                <w:sz w:val="15"/>
                <w:szCs w:val="15"/>
              </w:rPr>
            </w:pPr>
            <w:r>
              <w:rPr>
                <w:rFonts w:ascii="Arial" w:cs="Arial" w:hAnsi="Arial"/>
                <w:b/>
                <w:bCs/>
                <w:sz w:val="15"/>
                <w:szCs w:val="15"/>
              </w:rPr>
              <w:t>2012</w:t>
            </w:r>
          </w:p>
        </w:tc>
        <w:tc>
          <w:tcPr>
            <w:tcW w:type="dxa" w:w="1122"/>
            <w:tcBorders>
              <w:top w:val="nil"/>
              <w:left w:val="nil"/>
              <w:bottom w:val="nil"/>
              <w:right w:val="nil"/>
            </w:tcBorders>
            <w:shd w:fill="auto" w:val="clear"/>
            <w:tcMar>
              <w:left w:type="dxa" w:w="144"/>
            </w:tcMar>
            <w:vAlign w:val="bottom"/>
          </w:tcPr>
          <w:p>
            <w:pPr>
              <w:pStyle w:val="style0"/>
              <w:ind w:hanging="0" w:left="216" w:right="72"/>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399"/>
            <w:tcBorders>
              <w:top w:val="nil"/>
              <w:left w:val="nil"/>
              <w:bottom w:val="nil"/>
              <w:right w:val="nil"/>
            </w:tcBorders>
            <w:shd w:fill="auto" w:val="clear"/>
            <w:vAlign w:val="center"/>
          </w:tcPr>
          <w:p>
            <w:pPr>
              <w:pStyle w:val="style0"/>
              <w:rPr>
                <w:sz w:val="8"/>
                <w:szCs w:val="24"/>
              </w:rPr>
            </w:pPr>
            <w:r>
              <w:rPr>
                <w:sz w:val="8"/>
                <w:szCs w:val="24"/>
              </w:rPr>
            </w:r>
          </w:p>
        </w:tc>
        <w:tc>
          <w:tcPr>
            <w:tcW w:type="dxa" w:w="1159"/>
            <w:tcBorders>
              <w:top w:val="nil"/>
              <w:left w:val="nil"/>
              <w:bottom w:val="nil"/>
              <w:right w:val="nil"/>
            </w:tcBorders>
            <w:shd w:fill="auto" w:val="clear"/>
            <w:vAlign w:val="center"/>
          </w:tcPr>
          <w:p>
            <w:pPr>
              <w:pStyle w:val="style0"/>
              <w:ind w:hanging="0" w:left="216" w:right="72"/>
              <w:rPr>
                <w:sz w:val="8"/>
                <w:szCs w:val="24"/>
              </w:rPr>
            </w:pPr>
            <w:r>
              <w:rPr>
                <w:sz w:val="8"/>
                <w:szCs w:val="24"/>
              </w:rPr>
            </w:r>
          </w:p>
        </w:tc>
        <w:tc>
          <w:tcPr>
            <w:tcW w:type="dxa" w:w="1120"/>
            <w:tcBorders>
              <w:top w:val="nil"/>
              <w:left w:val="nil"/>
              <w:bottom w:val="nil"/>
              <w:right w:val="nil"/>
            </w:tcBorders>
            <w:shd w:fill="auto" w:val="clear"/>
            <w:vAlign w:val="center"/>
          </w:tcPr>
          <w:p>
            <w:pPr>
              <w:pStyle w:val="style0"/>
              <w:ind w:hanging="0" w:left="216" w:right="72"/>
              <w:rPr>
                <w:sz w:val="8"/>
                <w:szCs w:val="24"/>
              </w:rPr>
            </w:pPr>
            <w:r>
              <w:rPr>
                <w:sz w:val="8"/>
                <w:szCs w:val="24"/>
              </w:rPr>
            </w:r>
          </w:p>
        </w:tc>
        <w:tc>
          <w:tcPr>
            <w:tcW w:type="dxa" w:w="1122"/>
            <w:tcBorders>
              <w:top w:val="nil"/>
              <w:left w:val="nil"/>
              <w:bottom w:val="nil"/>
              <w:right w:val="nil"/>
            </w:tcBorders>
            <w:shd w:fill="auto" w:val="clear"/>
            <w:vAlign w:val="center"/>
          </w:tcPr>
          <w:p>
            <w:pPr>
              <w:pStyle w:val="style0"/>
              <w:ind w:hanging="0" w:left="216" w:right="72"/>
              <w:rPr>
                <w:sz w:val="8"/>
                <w:szCs w:val="24"/>
              </w:rPr>
            </w:pPr>
            <w:r>
              <w:rPr>
                <w:sz w:val="8"/>
                <w:szCs w:val="24"/>
              </w:rPr>
            </w:r>
          </w:p>
        </w:tc>
      </w:tr>
      <w:tr>
        <w:trPr>
          <w:cantSplit w:val="false"/>
        </w:trPr>
        <w:tc>
          <w:tcPr>
            <w:tcW w:type="dxa" w:w="739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Shares purchased</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115"/>
              <w:contextualSpacing w:val="false"/>
              <w:rPr>
                <w:rFonts w:ascii="Arial" w:cs="Arial" w:hAnsi="Arial"/>
                <w:b/>
                <w:bCs/>
                <w:sz w:val="20"/>
                <w:szCs w:val="20"/>
              </w:rPr>
            </w:pPr>
            <w:r>
              <w:rPr>
                <w:rFonts w:ascii="Arial" w:cs="Arial" w:hAnsi="Arial"/>
                <w:b/>
                <w:bCs/>
                <w:sz w:val="20"/>
                <w:szCs w:val="20"/>
              </w:rPr>
              <w:tab/>
              <w:t>20</w:t>
              <w:tab/>
              <w:t> </w:t>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15"/>
              <w:contextualSpacing w:val="false"/>
              <w:rPr>
                <w:rFonts w:ascii="Arial" w:cs="Arial" w:hAnsi="Arial"/>
                <w:sz w:val="20"/>
                <w:szCs w:val="20"/>
              </w:rPr>
            </w:pPr>
            <w:r>
              <w:rPr>
                <w:rFonts w:ascii="Arial" w:cs="Arial" w:hAnsi="Arial"/>
                <w:sz w:val="20"/>
                <w:szCs w:val="20"/>
              </w:rPr>
              <w:tab/>
              <w:t>20</w:t>
              <w:tab/>
              <w:t> </w:t>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15"/>
              <w:contextualSpacing w:val="false"/>
              <w:rPr>
                <w:rFonts w:ascii="Arial" w:cs="Arial" w:hAnsi="Arial"/>
                <w:sz w:val="20"/>
                <w:szCs w:val="20"/>
              </w:rPr>
            </w:pPr>
            <w:r>
              <w:rPr>
                <w:rFonts w:ascii="Arial" w:cs="Arial" w:hAnsi="Arial"/>
                <w:sz w:val="20"/>
                <w:szCs w:val="20"/>
              </w:rPr>
              <w:tab/>
              <w:t>20</w:t>
              <w:tab/>
              <w:t> </w:t>
            </w:r>
          </w:p>
        </w:tc>
      </w:tr>
      <w:tr>
        <w:trPr>
          <w:cantSplit w:val="false"/>
        </w:trPr>
        <w:tc>
          <w:tcPr>
            <w:tcW w:type="dxa" w:w="739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Average price per share</w:t>
            </w:r>
          </w:p>
        </w:tc>
        <w:tc>
          <w:tcPr>
            <w:tcW w:type="dxa" w:w="1159"/>
            <w:tcBorders>
              <w:top w:val="nil"/>
              <w:left w:val="nil"/>
              <w:bottom w:val="nil"/>
              <w:right w:val="nil"/>
            </w:tcBorders>
            <w:shd w:fill="auto" w:val="clear"/>
            <w:tcMar>
              <w:left w:type="dxa" w:w="144"/>
            </w:tcMar>
            <w:vAlign w:val="bottom"/>
          </w:tcPr>
          <w:p>
            <w:pPr>
              <w:pStyle w:val="style62"/>
              <w:tabs>
                <w:tab w:leader="none" w:pos="960" w:val="right"/>
                <w:tab w:leader="none" w:pos="1000" w:val="decimal"/>
              </w:tabs>
              <w:spacing w:after="280" w:before="280"/>
              <w:ind w:hanging="0" w:left="216" w:right="115"/>
              <w:contextualSpacing w:val="false"/>
              <w:rPr>
                <w:rFonts w:ascii="Arial" w:cs="Arial" w:hAnsi="Arial"/>
                <w:b/>
                <w:bCs/>
                <w:sz w:val="20"/>
                <w:szCs w:val="20"/>
              </w:rPr>
            </w:pPr>
            <w:r>
              <w:rPr>
                <w:rFonts w:ascii="Arial" w:cs="Arial" w:hAnsi="Arial"/>
                <w:b/>
                <w:bCs/>
                <w:sz w:val="20"/>
                <w:szCs w:val="20"/>
              </w:rPr>
              <w:t>$</w:t>
              <w:tab/>
              <w:t> 26.81</w:t>
              <w:tab/>
            </w:r>
          </w:p>
        </w:tc>
        <w:tc>
          <w:tcPr>
            <w:tcW w:type="dxa" w:w="1120"/>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15"/>
              <w:contextualSpacing w:val="false"/>
              <w:rPr>
                <w:rFonts w:ascii="Arial" w:cs="Arial" w:hAnsi="Arial"/>
                <w:sz w:val="20"/>
                <w:szCs w:val="20"/>
              </w:rPr>
            </w:pPr>
            <w:r>
              <w:rPr>
                <w:rFonts w:ascii="Arial" w:cs="Arial" w:hAnsi="Arial"/>
                <w:sz w:val="20"/>
                <w:szCs w:val="20"/>
              </w:rPr>
              <w:t>$</w:t>
              <w:tab/>
              <w:t> 25.03</w:t>
              <w:tab/>
            </w:r>
          </w:p>
        </w:tc>
        <w:tc>
          <w:tcPr>
            <w:tcW w:type="dxa" w:w="1122"/>
            <w:tcBorders>
              <w:top w:val="nil"/>
              <w:left w:val="nil"/>
              <w:bottom w:val="nil"/>
              <w:right w:val="nil"/>
            </w:tcBorders>
            <w:shd w:fill="auto" w:val="clear"/>
            <w:tcMar>
              <w:left w:type="dxa" w:w="144"/>
            </w:tcMar>
            <w:vAlign w:val="bottom"/>
          </w:tcPr>
          <w:p>
            <w:pPr>
              <w:pStyle w:val="style62"/>
              <w:tabs>
                <w:tab w:leader="none" w:pos="920" w:val="right"/>
                <w:tab w:leader="none" w:pos="960" w:val="decimal"/>
              </w:tabs>
              <w:spacing w:after="280" w:before="280"/>
              <w:ind w:hanging="0" w:left="216" w:right="115"/>
              <w:contextualSpacing w:val="false"/>
              <w:rPr>
                <w:rFonts w:ascii="Arial" w:cs="Arial" w:hAnsi="Arial"/>
                <w:sz w:val="20"/>
                <w:szCs w:val="20"/>
              </w:rPr>
            </w:pPr>
            <w:r>
              <w:rPr>
                <w:rFonts w:ascii="Arial" w:cs="Arial" w:hAnsi="Arial"/>
                <w:sz w:val="20"/>
                <w:szCs w:val="20"/>
              </w:rPr>
              <w:t>$</w:t>
              <w:tab/>
              <w:t> 22.98</w:t>
              <w:tab/>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306" w:right="115"/>
              <w:contextualSpacing w:val="false"/>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At June 30, 2013, 191 million shares of our common stock were reserved for future issuance through the Plan.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Savings Plan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have a savings plan in the U.S. that qualifies under Section 401(k) of the Internal Revenue Code, and a number of savings plans in international locations. Participating U.S. employees may contribute up to 75% of their salary, but not more than statutory limits. We contribute fifty cents for each dollar a participant contributes in this plan, with a maximum contribution of 3% of a participant’s earnings. Matching contributions for all plans were $393 million, $373 million, and $282 million in fiscal years 2013, 2012, and 2011, respectively, and were expensed as contributed. Matching contributions are invested proportionate to each participant’s voluntary contributions in the investment options provided under the plan. Investment options in the U.S. plan include Microsoft common stock, but neither participant nor our matching contributions are required to be invested in Microsoft common stock.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21 — SEGMENT INFORMATION AND GEOGRAPHIC DATA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its operation of the business, management, including our chief operating decision maker, the company’s Chief Executive Officer, reviews certain financial information, including segmented internal profit and loss statements prepared on a basis not consistent with U.S. GAAP. The segment information within this note is reported on that basis. During the periods presented, our five segments were Windows Division, Server and Tools, Online Services Division, Microsoft Business Division, and Entertainment and Devices Division. During the three months ended December 31, 2012, we changed the name of our Windows &amp; Windows Live Division to Windows Division.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Due to the integrated structure of our business, certain revenue earned and costs incurred by one segment may benefit other segments. Revenue on certain contracts may be allocated among the segments based on the relative value of the underlying products and services. Costs that are identifiable are allocated to the segments that benefit to incent cross-collaboration among our segments so that one segment is not solely burdened by the cost of a mutually beneficial activity. Allocated costs may include those relating to development and marketing of products and services from which multiple segments benefit, or those costs relating to services performed by one segment on behalf of other segments. Each allocation is measured differently based on the specific facts and circumstances of the costs being allocated. </w:t>
      </w:r>
    </w:p>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addition, certain costs incurred at a corporate level that are identifiable and that benefit our segments are allocated to them. These allocated costs include costs of: field selling; employee benefits; shared facilities services; and customer service and support. Each allocation is measured differently based on the specific facts and circumstances of the costs being allocated. Certain other corporate-level activity is not allocated to our segments, including costs of: broad-based sales and marketing; product support services; human resources; legal; finance; information technology; corporate development and procurement activities; research and development; legal settlements and contingencies; and employee severance.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have recast certain prior period amounts within this note to conform to the way we internally managed and monitored segment performance during the current fiscal year, reflecting immaterial movements of business activities between segments and changes in cost allocations. In July 2013, we announced a change in organizational structure as part of our transformation to a devices and services company. As we evolve how we allocate resources and analyze performance in the new structure, it is possible that our segments may change.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The principal products and services provided by each segment are summarized below: </w:t>
      </w:r>
    </w:p>
    <w:p>
      <w:pPr>
        <w:pStyle w:val="style62"/>
        <w:spacing w:after="280" w:before="280"/>
        <w:contextualSpacing w:val="false"/>
        <w:jc w:val="both"/>
        <w:rPr>
          <w:rFonts w:ascii="Arial" w:cs="Arial" w:hAnsi="Arial"/>
          <w:sz w:val="20"/>
          <w:szCs w:val="20"/>
        </w:rPr>
      </w:pPr>
      <w:r>
        <w:rPr>
          <w:rFonts w:ascii="Arial" w:cs="Arial" w:hAnsi="Arial"/>
          <w:b/>
          <w:bCs/>
          <w:sz w:val="20"/>
          <w:szCs w:val="20"/>
        </w:rPr>
        <w:t xml:space="preserve">Windows Division </w:t>
      </w:r>
      <w:r>
        <w:rPr>
          <w:rFonts w:ascii="Arial" w:cs="Arial" w:hAnsi="Arial"/>
          <w:sz w:val="20"/>
          <w:szCs w:val="20"/>
        </w:rPr>
        <w:t xml:space="preserve">– Windows Division offerings consist of the Windows operating system, Surface, and PC accessories. </w:t>
      </w:r>
    </w:p>
    <w:p>
      <w:pPr>
        <w:pStyle w:val="style62"/>
        <w:spacing w:after="280" w:before="280"/>
        <w:contextualSpacing w:val="false"/>
        <w:jc w:val="both"/>
        <w:rPr>
          <w:rFonts w:ascii="Arial" w:cs="Arial" w:hAnsi="Arial"/>
          <w:sz w:val="20"/>
          <w:szCs w:val="20"/>
        </w:rPr>
      </w:pPr>
      <w:r>
        <w:rPr>
          <w:rFonts w:ascii="Arial" w:cs="Arial" w:hAnsi="Arial"/>
          <w:b/>
          <w:bCs/>
          <w:sz w:val="20"/>
          <w:szCs w:val="20"/>
        </w:rPr>
        <w:t>Server and Tools</w:t>
      </w:r>
      <w:r>
        <w:rPr>
          <w:rFonts w:ascii="Arial" w:cs="Arial" w:hAnsi="Arial"/>
          <w:sz w:val="20"/>
          <w:szCs w:val="20"/>
        </w:rPr>
        <w:t xml:space="preserve"> – Server and Tools product and service offerings include Windows Server, Windows Azure, Microsoft SQL Server, Windows Intune, Windows Embedded, Visual Studio, System Center products, and Enterprise Services. Enterprise Services comprise Premier product support services and Microsoft Consulting Services. </w:t>
      </w:r>
    </w:p>
    <w:p>
      <w:pPr>
        <w:pStyle w:val="style62"/>
        <w:spacing w:after="280" w:before="280"/>
        <w:contextualSpacing w:val="false"/>
        <w:jc w:val="both"/>
        <w:rPr>
          <w:rFonts w:ascii="Arial" w:cs="Arial" w:hAnsi="Arial"/>
          <w:sz w:val="20"/>
          <w:szCs w:val="20"/>
        </w:rPr>
      </w:pPr>
      <w:r>
        <w:rPr>
          <w:rFonts w:ascii="Arial" w:cs="Arial" w:hAnsi="Arial"/>
          <w:b/>
          <w:bCs/>
          <w:sz w:val="20"/>
          <w:szCs w:val="20"/>
        </w:rPr>
        <w:t xml:space="preserve">Online Services Division </w:t>
      </w:r>
      <w:r>
        <w:rPr>
          <w:rFonts w:ascii="Arial" w:cs="Arial" w:hAnsi="Arial"/>
          <w:sz w:val="20"/>
          <w:szCs w:val="20"/>
        </w:rPr>
        <w:t xml:space="preserve">– Online Services Division offerings include Bing, Bing Ads, and MSN. </w:t>
      </w:r>
    </w:p>
    <w:p>
      <w:pPr>
        <w:pStyle w:val="style62"/>
        <w:spacing w:after="280" w:before="280"/>
        <w:contextualSpacing w:val="false"/>
        <w:jc w:val="both"/>
        <w:rPr>
          <w:rFonts w:ascii="Arial" w:cs="Arial" w:hAnsi="Arial"/>
          <w:sz w:val="20"/>
          <w:szCs w:val="20"/>
        </w:rPr>
      </w:pPr>
      <w:r>
        <w:rPr>
          <w:rFonts w:ascii="Arial" w:cs="Arial" w:hAnsi="Arial"/>
          <w:b/>
          <w:bCs/>
          <w:sz w:val="20"/>
          <w:szCs w:val="20"/>
        </w:rPr>
        <w:t>Microsoft Business Division</w:t>
      </w:r>
      <w:r>
        <w:rPr>
          <w:rFonts w:ascii="Arial" w:cs="Arial" w:hAnsi="Arial"/>
          <w:sz w:val="20"/>
          <w:szCs w:val="20"/>
        </w:rPr>
        <w:t xml:space="preserve"> – Microsoft Business Division offerings include Microsoft Office, Exchange, SharePoint, Lync, Yammer, Microsoft Dynamics business solutions, and Office 365. </w:t>
      </w:r>
    </w:p>
    <w:p>
      <w:pPr>
        <w:pStyle w:val="style62"/>
        <w:spacing w:after="280" w:before="280"/>
        <w:contextualSpacing w:val="false"/>
        <w:jc w:val="both"/>
        <w:rPr>
          <w:rFonts w:ascii="Arial" w:cs="Arial" w:hAnsi="Arial"/>
          <w:sz w:val="20"/>
          <w:szCs w:val="20"/>
        </w:rPr>
      </w:pPr>
      <w:r>
        <w:rPr>
          <w:rFonts w:ascii="Arial" w:cs="Arial" w:hAnsi="Arial"/>
          <w:b/>
          <w:bCs/>
          <w:sz w:val="20"/>
          <w:szCs w:val="20"/>
        </w:rPr>
        <w:t>Entertainment and Devices Division</w:t>
      </w:r>
      <w:r>
        <w:rPr>
          <w:rFonts w:ascii="Arial" w:cs="Arial" w:hAnsi="Arial"/>
          <w:sz w:val="20"/>
          <w:szCs w:val="20"/>
        </w:rPr>
        <w:t xml:space="preserve"> – Entertainment and Devices Division offerings include the Xbox 360 gaming and entertainment console, Kinect for Xbox 360, Xbox 360 video games, Xbox 360 accessories, Xbox LIVE, Skype, and Windows Phone.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Segment revenue and operating income (loss) were as follows during the periods presented: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068"/>
        <w:gridCol w:w="1280"/>
        <w:gridCol w:w="1230"/>
        <w:gridCol w:w="1221"/>
      </w:tblGrid>
      <w:tr>
        <w:trPr>
          <w:tblHeader w:val="true"/>
          <w:cantSplit w:val="false"/>
        </w:trPr>
        <w:tc>
          <w:tcPr>
            <w:tcW w:type="dxa" w:w="7068"/>
            <w:tcBorders>
              <w:top w:val="nil"/>
              <w:left w:val="nil"/>
              <w:bottom w:val="nil"/>
              <w:right w:val="nil"/>
            </w:tcBorders>
            <w:shd w:fill="auto" w:val="clear"/>
            <w:vAlign w:val="center"/>
          </w:tcPr>
          <w:p>
            <w:pPr>
              <w:pStyle w:val="style0"/>
              <w:rPr>
                <w:sz w:val="1"/>
                <w:szCs w:val="24"/>
              </w:rPr>
            </w:pPr>
            <w:r>
              <w:rPr>
                <w:sz w:val="1"/>
                <w:szCs w:val="24"/>
              </w:rPr>
            </w:r>
          </w:p>
        </w:tc>
        <w:tc>
          <w:tcPr>
            <w:tcW w:type="dxa" w:w="1280"/>
            <w:tcBorders>
              <w:top w:val="nil"/>
              <w:left w:val="nil"/>
              <w:bottom w:val="nil"/>
              <w:right w:val="nil"/>
            </w:tcBorders>
            <w:shd w:fill="auto" w:val="clear"/>
            <w:vAlign w:val="center"/>
          </w:tcPr>
          <w:p>
            <w:pPr>
              <w:pStyle w:val="style0"/>
              <w:rPr>
                <w:sz w:val="1"/>
                <w:szCs w:val="24"/>
              </w:rPr>
            </w:pPr>
            <w:r>
              <w:rPr>
                <w:sz w:val="1"/>
                <w:szCs w:val="24"/>
              </w:rPr>
            </w:r>
          </w:p>
        </w:tc>
        <w:tc>
          <w:tcPr>
            <w:tcW w:type="dxa" w:w="1230"/>
            <w:tcBorders>
              <w:top w:val="nil"/>
              <w:left w:val="nil"/>
              <w:bottom w:val="nil"/>
              <w:right w:val="nil"/>
            </w:tcBorders>
            <w:shd w:fill="auto" w:val="clear"/>
            <w:vAlign w:val="center"/>
          </w:tcPr>
          <w:p>
            <w:pPr>
              <w:pStyle w:val="style0"/>
              <w:rPr>
                <w:sz w:val="1"/>
                <w:szCs w:val="24"/>
              </w:rPr>
            </w:pPr>
            <w:r>
              <w:rPr>
                <w:sz w:val="1"/>
                <w:szCs w:val="24"/>
              </w:rPr>
            </w:r>
          </w:p>
        </w:tc>
        <w:tc>
          <w:tcPr>
            <w:tcW w:type="dxa" w:w="122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068"/>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80"/>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230"/>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221"/>
            <w:tcBorders>
              <w:top w:val="nil"/>
              <w:left w:val="nil"/>
              <w:bottom w:val="nil"/>
              <w:right w:val="nil"/>
            </w:tcBorders>
            <w:shd w:fill="auto" w:val="clear"/>
            <w:tcMar>
              <w:left w:type="dxa" w:w="144"/>
            </w:tcMar>
            <w:vAlign w:val="bottom"/>
          </w:tcPr>
          <w:p>
            <w:pPr>
              <w:pStyle w:val="style65"/>
              <w:ind w:hanging="0" w:left="216" w:right="86"/>
              <w:rPr/>
            </w:pPr>
            <w:r>
              <w:rPr/>
              <w:t> </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162" w:right="86"/>
              <w:contextualSpacing w:val="false"/>
              <w:rPr/>
            </w:pPr>
            <w:r>
              <w:rPr/>
              <w:t> </w:t>
            </w:r>
          </w:p>
        </w:tc>
      </w:tr>
      <w:tr>
        <w:trPr>
          <w:trHeight w:hRule="atLeast" w:val="75"/>
          <w:cantSplit w:val="false"/>
        </w:trPr>
        <w:tc>
          <w:tcPr>
            <w:tcW w:type="dxa" w:w="7068"/>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7068"/>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280"/>
            <w:tcBorders>
              <w:top w:val="nil"/>
              <w:left w:val="nil"/>
              <w:bottom w:val="nil"/>
              <w:right w:val="nil"/>
            </w:tcBorders>
            <w:shd w:fill="auto" w:val="clear"/>
            <w:tcMar>
              <w:left w:type="dxa" w:w="144"/>
            </w:tcMar>
            <w:vAlign w:val="bottom"/>
          </w:tcPr>
          <w:p>
            <w:pPr>
              <w:pStyle w:val="style0"/>
              <w:ind w:hanging="0" w:left="216" w:right="72"/>
              <w:jc w:val="right"/>
              <w:rPr>
                <w:rFonts w:ascii="Arial" w:cs="Arial" w:hAnsi="Arial"/>
                <w:b/>
                <w:bCs/>
                <w:sz w:val="15"/>
                <w:szCs w:val="15"/>
              </w:rPr>
            </w:pPr>
            <w:r>
              <w:rPr>
                <w:rFonts w:ascii="Arial" w:cs="Arial" w:hAnsi="Arial"/>
                <w:b/>
                <w:bCs/>
                <w:sz w:val="15"/>
                <w:szCs w:val="15"/>
              </w:rPr>
              <w:t>2013</w:t>
            </w:r>
          </w:p>
        </w:tc>
        <w:tc>
          <w:tcPr>
            <w:tcW w:type="dxa" w:w="1230"/>
            <w:tcBorders>
              <w:top w:val="nil"/>
              <w:left w:val="nil"/>
              <w:bottom w:val="nil"/>
              <w:right w:val="nil"/>
            </w:tcBorders>
            <w:shd w:fill="auto" w:val="clear"/>
            <w:tcMar>
              <w:left w:type="dxa" w:w="144"/>
            </w:tcMar>
            <w:vAlign w:val="bottom"/>
          </w:tcPr>
          <w:p>
            <w:pPr>
              <w:pStyle w:val="style0"/>
              <w:ind w:hanging="0" w:left="216" w:right="72"/>
              <w:jc w:val="right"/>
              <w:rPr>
                <w:rFonts w:ascii="Arial" w:cs="Arial" w:hAnsi="Arial"/>
                <w:b/>
                <w:bCs/>
                <w:sz w:val="15"/>
                <w:szCs w:val="15"/>
              </w:rPr>
            </w:pPr>
            <w:r>
              <w:rPr>
                <w:rFonts w:ascii="Arial" w:cs="Arial" w:hAnsi="Arial"/>
                <w:b/>
                <w:bCs/>
                <w:sz w:val="15"/>
                <w:szCs w:val="15"/>
              </w:rPr>
              <w:t>2012</w:t>
            </w:r>
          </w:p>
        </w:tc>
        <w:tc>
          <w:tcPr>
            <w:tcW w:type="dxa" w:w="1221"/>
            <w:tcBorders>
              <w:top w:val="nil"/>
              <w:left w:val="nil"/>
              <w:bottom w:val="nil"/>
              <w:right w:val="nil"/>
            </w:tcBorders>
            <w:shd w:fill="auto" w:val="clear"/>
            <w:tcMar>
              <w:left w:type="dxa" w:w="144"/>
            </w:tcMar>
            <w:vAlign w:val="bottom"/>
          </w:tcPr>
          <w:p>
            <w:pPr>
              <w:pStyle w:val="style0"/>
              <w:ind w:hanging="0" w:left="216" w:right="58"/>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068"/>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7068"/>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Revenue</w:t>
            </w:r>
          </w:p>
        </w:tc>
        <w:tc>
          <w:tcPr>
            <w:tcW w:type="dxa" w:w="1280"/>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230"/>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221"/>
            <w:tcBorders>
              <w:top w:val="nil"/>
              <w:left w:val="nil"/>
              <w:bottom w:val="nil"/>
              <w:right w:val="nil"/>
            </w:tcBorders>
            <w:shd w:fill="auto" w:val="clear"/>
            <w:tcMar>
              <w:left w:type="dxa" w:w="144"/>
            </w:tcMar>
            <w:vAlign w:val="bottom"/>
          </w:tcPr>
          <w:p>
            <w:pPr>
              <w:pStyle w:val="style65"/>
              <w:ind w:hanging="0" w:left="216" w:right="86"/>
              <w:rPr/>
            </w:pPr>
            <w:r>
              <w:rPr/>
              <w:t> </w:t>
            </w:r>
          </w:p>
        </w:tc>
      </w:tr>
      <w:tr>
        <w:trPr>
          <w:trHeight w:hRule="atLeast" w:val="75"/>
          <w:cantSplit w:val="false"/>
        </w:trPr>
        <w:tc>
          <w:tcPr>
            <w:tcW w:type="dxa" w:w="7068"/>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706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Windows Division</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  18,680</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18,844</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18,815</w:t>
              <w:tab/>
            </w:r>
          </w:p>
        </w:tc>
      </w:tr>
      <w:tr>
        <w:trPr>
          <w:cantSplit w:val="false"/>
        </w:trPr>
        <w:tc>
          <w:tcPr>
            <w:tcW w:type="dxa" w:w="706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Server and Tools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20,295</w:t>
              <w:tab/>
              <w:t> </w:t>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18,544</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16,571</w:t>
              <w:tab/>
              <w:t> </w:t>
            </w:r>
          </w:p>
        </w:tc>
      </w:tr>
      <w:tr>
        <w:trPr>
          <w:cantSplit w:val="false"/>
        </w:trPr>
        <w:tc>
          <w:tcPr>
            <w:tcW w:type="dxa" w:w="706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Online Services Division</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3,284</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2,935</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2,680</w:t>
              <w:tab/>
            </w:r>
          </w:p>
        </w:tc>
      </w:tr>
      <w:tr>
        <w:trPr>
          <w:cantSplit w:val="false"/>
        </w:trPr>
        <w:tc>
          <w:tcPr>
            <w:tcW w:type="dxa" w:w="706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Microsoft Business Division</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24,738</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24,082</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22,407</w:t>
              <w:tab/>
            </w:r>
          </w:p>
        </w:tc>
      </w:tr>
      <w:tr>
        <w:trPr>
          <w:cantSplit w:val="false"/>
        </w:trPr>
        <w:tc>
          <w:tcPr>
            <w:tcW w:type="dxa" w:w="706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Entertainment and Devices Division</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10,213</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9,590</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8,896</w:t>
              <w:tab/>
            </w:r>
          </w:p>
        </w:tc>
      </w:tr>
      <w:tr>
        <w:trPr>
          <w:cantSplit w:val="false"/>
        </w:trPr>
        <w:tc>
          <w:tcPr>
            <w:tcW w:type="dxa" w:w="7068"/>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Corporate and other</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639</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(272</w:t>
              <w:tab/>
              <w:t>)</w:t>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574</w:t>
              <w:tab/>
            </w:r>
          </w:p>
        </w:tc>
      </w:tr>
      <w:tr>
        <w:trPr>
          <w:cantSplit w:val="false"/>
        </w:trPr>
        <w:tc>
          <w:tcPr>
            <w:tcW w:type="dxa" w:w="8348"/>
            <w:gridSpan w:val="2"/>
            <w:tcBorders>
              <w:top w:val="nil"/>
              <w:left w:val="nil"/>
              <w:bottom w:val="nil"/>
              <w:right w:val="nil"/>
            </w:tcBorders>
            <w:shd w:fill="auto" w:val="clear"/>
            <w:vAlign w:val="bottom"/>
          </w:tcPr>
          <w:p>
            <w:pPr>
              <w:pStyle w:val="style59"/>
              <w:spacing w:after="0" w:before="20"/>
              <w:ind w:hanging="0" w:left="-162" w:right="86"/>
              <w:contextualSpacing w:val="false"/>
              <w:rPr/>
            </w:pPr>
            <w:r>
              <w:rPr/>
              <w:t> </w:t>
            </w:r>
          </w:p>
        </w:tc>
        <w:tc>
          <w:tcPr>
            <w:tcW w:type="dxa" w:w="1230"/>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r>
      <w:tr>
        <w:trPr>
          <w:cantSplit w:val="false"/>
        </w:trPr>
        <w:tc>
          <w:tcPr>
            <w:tcW w:type="dxa" w:w="7068"/>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Consolidated</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77,849</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73,723</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69,943</w:t>
              <w:tab/>
            </w:r>
          </w:p>
        </w:tc>
      </w:tr>
      <w:tr>
        <w:trPr>
          <w:cantSplit w:val="false"/>
        </w:trPr>
        <w:tc>
          <w:tcPr>
            <w:tcW w:type="dxa" w:w="7068"/>
            <w:tcBorders>
              <w:top w:val="nil"/>
              <w:left w:val="nil"/>
              <w:bottom w:val="nil"/>
              <w:right w:val="nil"/>
            </w:tcBorders>
            <w:shd w:fill="auto" w:val="clear"/>
            <w:tcMar>
              <w:left w:type="dxa" w:w="144"/>
            </w:tcMar>
            <w:vAlign w:val="bottom"/>
          </w:tcPr>
          <w:p>
            <w:pPr>
              <w:pStyle w:val="style65"/>
              <w:rPr/>
            </w:pPr>
            <w:r>
              <w:rPr/>
              <w:t> </w:t>
            </w:r>
          </w:p>
        </w:tc>
        <w:tc>
          <w:tcPr>
            <w:tcW w:type="dxa" w:w="1280"/>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230"/>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r>
    </w:tbl>
    <w:p>
      <w:pPr>
        <w:pStyle w:val="style62"/>
        <w:pageBreakBefore/>
        <w:spacing w:after="280" w:before="280"/>
        <w:contextualSpacing w:val="false"/>
        <w:jc w:val="both"/>
        <w:rPr>
          <w:sz w:val="2"/>
          <w:szCs w:val="2"/>
        </w:rPr>
      </w:pPr>
      <w:r>
        <w:rPr>
          <w:sz w:val="2"/>
          <w:szCs w:val="2"/>
        </w:rPr>
        <w:t>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047"/>
        <w:gridCol w:w="1290"/>
        <w:gridCol w:w="1230"/>
        <w:gridCol w:w="1232"/>
      </w:tblGrid>
      <w:tr>
        <w:trPr>
          <w:tblHeader w:val="true"/>
          <w:cantSplit w:val="false"/>
        </w:trPr>
        <w:tc>
          <w:tcPr>
            <w:tcW w:type="dxa" w:w="7047"/>
            <w:tcBorders>
              <w:top w:val="nil"/>
              <w:left w:val="nil"/>
              <w:bottom w:val="nil"/>
              <w:right w:val="nil"/>
            </w:tcBorders>
            <w:shd w:fill="auto" w:val="clear"/>
            <w:vAlign w:val="center"/>
          </w:tcPr>
          <w:p>
            <w:pPr>
              <w:pStyle w:val="style0"/>
              <w:rPr>
                <w:sz w:val="1"/>
                <w:szCs w:val="24"/>
              </w:rPr>
            </w:pPr>
            <w:r>
              <w:rPr>
                <w:sz w:val="1"/>
                <w:szCs w:val="24"/>
              </w:rPr>
            </w:r>
          </w:p>
        </w:tc>
        <w:tc>
          <w:tcPr>
            <w:tcW w:type="dxa" w:w="1290"/>
            <w:tcBorders>
              <w:top w:val="nil"/>
              <w:left w:val="nil"/>
              <w:bottom w:val="nil"/>
              <w:right w:val="nil"/>
            </w:tcBorders>
            <w:shd w:fill="auto" w:val="clear"/>
            <w:vAlign w:val="center"/>
          </w:tcPr>
          <w:p>
            <w:pPr>
              <w:pStyle w:val="style0"/>
              <w:rPr>
                <w:sz w:val="1"/>
                <w:szCs w:val="24"/>
              </w:rPr>
            </w:pPr>
            <w:r>
              <w:rPr>
                <w:sz w:val="1"/>
                <w:szCs w:val="24"/>
              </w:rPr>
            </w:r>
          </w:p>
        </w:tc>
        <w:tc>
          <w:tcPr>
            <w:tcW w:type="dxa" w:w="1230"/>
            <w:tcBorders>
              <w:top w:val="nil"/>
              <w:left w:val="nil"/>
              <w:bottom w:val="nil"/>
              <w:right w:val="nil"/>
            </w:tcBorders>
            <w:shd w:fill="auto" w:val="clear"/>
            <w:vAlign w:val="center"/>
          </w:tcPr>
          <w:p>
            <w:pPr>
              <w:pStyle w:val="style0"/>
              <w:rPr>
                <w:sz w:val="1"/>
                <w:szCs w:val="24"/>
              </w:rPr>
            </w:pPr>
            <w:r>
              <w:rPr>
                <w:sz w:val="1"/>
                <w:szCs w:val="24"/>
              </w:rPr>
            </w:r>
          </w:p>
        </w:tc>
        <w:tc>
          <w:tcPr>
            <w:tcW w:type="dxa" w:w="1232"/>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04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90"/>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30"/>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32"/>
            <w:tcBorders>
              <w:top w:val="nil"/>
              <w:left w:val="nil"/>
              <w:bottom w:val="nil"/>
              <w:right w:val="nil"/>
            </w:tcBorders>
            <w:shd w:fill="auto" w:val="clear"/>
            <w:tcMar>
              <w:left w:type="dxa" w:w="144"/>
            </w:tcMar>
            <w:vAlign w:val="bottom"/>
          </w:tcPr>
          <w:p>
            <w:pPr>
              <w:pStyle w:val="style65"/>
              <w:ind w:hanging="0" w:left="144" w:right="101"/>
              <w:rPr/>
            </w:pPr>
            <w:r>
              <w:rPr/>
              <w:t> </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369" w:right="101"/>
              <w:contextualSpacing w:val="false"/>
              <w:rPr/>
            </w:pPr>
            <w:r>
              <w:rPr/>
              <w:t> </w:t>
            </w:r>
          </w:p>
        </w:tc>
      </w:tr>
      <w:tr>
        <w:trPr>
          <w:trHeight w:hRule="atLeast" w:val="75"/>
          <w:cantSplit w:val="false"/>
        </w:trPr>
        <w:tc>
          <w:tcPr>
            <w:tcW w:type="dxa" w:w="7047"/>
            <w:tcBorders>
              <w:top w:val="nil"/>
              <w:left w:val="nil"/>
              <w:bottom w:val="nil"/>
              <w:right w:val="nil"/>
            </w:tcBorders>
            <w:shd w:fill="auto" w:val="clear"/>
            <w:vAlign w:val="center"/>
          </w:tcPr>
          <w:p>
            <w:pPr>
              <w:pStyle w:val="style0"/>
              <w:rPr>
                <w:sz w:val="8"/>
                <w:szCs w:val="24"/>
              </w:rPr>
            </w:pPr>
            <w:r>
              <w:rPr>
                <w:sz w:val="8"/>
                <w:szCs w:val="24"/>
              </w:rPr>
            </w:r>
          </w:p>
        </w:tc>
        <w:tc>
          <w:tcPr>
            <w:tcW w:type="dxa" w:w="1290"/>
            <w:tcBorders>
              <w:top w:val="nil"/>
              <w:left w:val="nil"/>
              <w:bottom w:val="nil"/>
              <w:right w:val="nil"/>
            </w:tcBorders>
            <w:shd w:fill="auto" w:val="clear"/>
            <w:vAlign w:val="center"/>
          </w:tcPr>
          <w:p>
            <w:pPr>
              <w:pStyle w:val="style0"/>
              <w:ind w:hanging="0" w:left="144" w:right="101"/>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144" w:right="101"/>
              <w:rPr>
                <w:sz w:val="8"/>
                <w:szCs w:val="24"/>
              </w:rPr>
            </w:pPr>
            <w:r>
              <w:rPr>
                <w:sz w:val="8"/>
                <w:szCs w:val="24"/>
              </w:rPr>
            </w:r>
          </w:p>
        </w:tc>
        <w:tc>
          <w:tcPr>
            <w:tcW w:type="dxa" w:w="1232"/>
            <w:tcBorders>
              <w:top w:val="nil"/>
              <w:left w:val="nil"/>
              <w:bottom w:val="nil"/>
              <w:right w:val="nil"/>
            </w:tcBorders>
            <w:shd w:fill="auto" w:val="clear"/>
            <w:vAlign w:val="center"/>
          </w:tcPr>
          <w:p>
            <w:pPr>
              <w:pStyle w:val="style0"/>
              <w:ind w:hanging="0" w:left="144" w:right="101"/>
              <w:rPr>
                <w:sz w:val="8"/>
                <w:szCs w:val="24"/>
              </w:rPr>
            </w:pPr>
            <w:r>
              <w:rPr>
                <w:sz w:val="8"/>
                <w:szCs w:val="24"/>
              </w:rPr>
            </w:r>
          </w:p>
        </w:tc>
      </w:tr>
      <w:tr>
        <w:trPr>
          <w:cantSplit w:val="false"/>
        </w:trPr>
        <w:tc>
          <w:tcPr>
            <w:tcW w:type="dxa" w:w="704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290"/>
            <w:tcBorders>
              <w:top w:val="nil"/>
              <w:left w:val="nil"/>
              <w:bottom w:val="nil"/>
              <w:right w:val="nil"/>
            </w:tcBorders>
            <w:shd w:fill="auto" w:val="clear"/>
            <w:tcMar>
              <w:left w:type="dxa" w:w="144"/>
            </w:tcMar>
            <w:vAlign w:val="bottom"/>
          </w:tcPr>
          <w:p>
            <w:pPr>
              <w:pStyle w:val="style0"/>
              <w:ind w:hanging="0" w:left="144" w:right="58"/>
              <w:jc w:val="right"/>
              <w:rPr>
                <w:rFonts w:ascii="Arial" w:cs="Arial" w:hAnsi="Arial"/>
                <w:b/>
                <w:bCs/>
                <w:sz w:val="15"/>
                <w:szCs w:val="15"/>
              </w:rPr>
            </w:pPr>
            <w:r>
              <w:rPr>
                <w:rFonts w:ascii="Arial" w:cs="Arial" w:hAnsi="Arial"/>
                <w:b/>
                <w:bCs/>
                <w:sz w:val="15"/>
                <w:szCs w:val="15"/>
              </w:rPr>
              <w:t>2013</w:t>
            </w:r>
          </w:p>
        </w:tc>
        <w:tc>
          <w:tcPr>
            <w:tcW w:type="dxa" w:w="1230"/>
            <w:tcBorders>
              <w:top w:val="nil"/>
              <w:left w:val="nil"/>
              <w:bottom w:val="nil"/>
              <w:right w:val="nil"/>
            </w:tcBorders>
            <w:shd w:fill="auto" w:val="clear"/>
            <w:tcMar>
              <w:left w:type="dxa" w:w="144"/>
            </w:tcMar>
            <w:vAlign w:val="bottom"/>
          </w:tcPr>
          <w:p>
            <w:pPr>
              <w:pStyle w:val="style0"/>
              <w:ind w:hanging="0" w:left="144" w:right="101"/>
              <w:jc w:val="right"/>
              <w:rPr>
                <w:rFonts w:ascii="Arial" w:cs="Arial" w:hAnsi="Arial"/>
                <w:b/>
                <w:bCs/>
                <w:sz w:val="15"/>
                <w:szCs w:val="15"/>
              </w:rPr>
            </w:pPr>
            <w:r>
              <w:rPr>
                <w:rFonts w:ascii="Arial" w:cs="Arial" w:hAnsi="Arial"/>
                <w:b/>
                <w:bCs/>
                <w:sz w:val="15"/>
                <w:szCs w:val="15"/>
              </w:rPr>
              <w:t>2012</w:t>
            </w:r>
          </w:p>
        </w:tc>
        <w:tc>
          <w:tcPr>
            <w:tcW w:type="dxa" w:w="1232"/>
            <w:tcBorders>
              <w:top w:val="nil"/>
              <w:left w:val="nil"/>
              <w:bottom w:val="nil"/>
              <w:right w:val="nil"/>
            </w:tcBorders>
            <w:shd w:fill="auto" w:val="clear"/>
            <w:tcMar>
              <w:left w:type="dxa" w:w="144"/>
            </w:tcMar>
            <w:vAlign w:val="bottom"/>
          </w:tcPr>
          <w:p>
            <w:pPr>
              <w:pStyle w:val="style0"/>
              <w:ind w:hanging="0" w:left="144" w:right="101"/>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047"/>
            <w:tcBorders>
              <w:top w:val="nil"/>
              <w:left w:val="nil"/>
              <w:bottom w:val="nil"/>
              <w:right w:val="nil"/>
            </w:tcBorders>
            <w:shd w:fill="auto" w:val="clear"/>
            <w:vAlign w:val="center"/>
          </w:tcPr>
          <w:p>
            <w:pPr>
              <w:pStyle w:val="style0"/>
              <w:rPr>
                <w:sz w:val="8"/>
                <w:szCs w:val="24"/>
              </w:rPr>
            </w:pPr>
            <w:r>
              <w:rPr>
                <w:sz w:val="8"/>
                <w:szCs w:val="24"/>
              </w:rPr>
            </w:r>
          </w:p>
        </w:tc>
        <w:tc>
          <w:tcPr>
            <w:tcW w:type="dxa" w:w="1290"/>
            <w:tcBorders>
              <w:top w:val="nil"/>
              <w:left w:val="nil"/>
              <w:bottom w:val="nil"/>
              <w:right w:val="nil"/>
            </w:tcBorders>
            <w:shd w:fill="auto" w:val="clear"/>
            <w:vAlign w:val="center"/>
          </w:tcPr>
          <w:p>
            <w:pPr>
              <w:pStyle w:val="style0"/>
              <w:ind w:hanging="0" w:left="144" w:right="101"/>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144" w:right="101"/>
              <w:rPr>
                <w:sz w:val="8"/>
                <w:szCs w:val="24"/>
              </w:rPr>
            </w:pPr>
            <w:r>
              <w:rPr>
                <w:sz w:val="8"/>
                <w:szCs w:val="24"/>
              </w:rPr>
            </w:r>
          </w:p>
        </w:tc>
        <w:tc>
          <w:tcPr>
            <w:tcW w:type="dxa" w:w="1232"/>
            <w:tcBorders>
              <w:top w:val="nil"/>
              <w:left w:val="nil"/>
              <w:bottom w:val="nil"/>
              <w:right w:val="nil"/>
            </w:tcBorders>
            <w:shd w:fill="auto" w:val="clear"/>
            <w:vAlign w:val="center"/>
          </w:tcPr>
          <w:p>
            <w:pPr>
              <w:pStyle w:val="style0"/>
              <w:ind w:hanging="0" w:left="144" w:right="101"/>
              <w:rPr>
                <w:sz w:val="8"/>
                <w:szCs w:val="24"/>
              </w:rPr>
            </w:pPr>
            <w:r>
              <w:rPr>
                <w:sz w:val="8"/>
                <w:szCs w:val="24"/>
              </w:rPr>
            </w:r>
          </w:p>
        </w:tc>
      </w:tr>
      <w:tr>
        <w:trPr>
          <w:cantSplit w:val="false"/>
        </w:trPr>
        <w:tc>
          <w:tcPr>
            <w:tcW w:type="dxa" w:w="7047"/>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Operating Income (Loss)</w:t>
            </w:r>
          </w:p>
        </w:tc>
        <w:tc>
          <w:tcPr>
            <w:tcW w:type="dxa" w:w="1290"/>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30"/>
            <w:tcBorders>
              <w:top w:val="nil"/>
              <w:left w:val="nil"/>
              <w:bottom w:val="nil"/>
              <w:right w:val="nil"/>
            </w:tcBorders>
            <w:shd w:fill="auto" w:val="clear"/>
            <w:tcMar>
              <w:left w:type="dxa" w:w="144"/>
            </w:tcMar>
            <w:vAlign w:val="bottom"/>
          </w:tcPr>
          <w:p>
            <w:pPr>
              <w:pStyle w:val="style65"/>
              <w:ind w:hanging="0" w:left="144" w:right="101"/>
              <w:rPr/>
            </w:pPr>
            <w:r>
              <w:rPr/>
              <w:t> </w:t>
            </w:r>
          </w:p>
        </w:tc>
        <w:tc>
          <w:tcPr>
            <w:tcW w:type="dxa" w:w="1232"/>
            <w:tcBorders>
              <w:top w:val="nil"/>
              <w:left w:val="nil"/>
              <w:bottom w:val="nil"/>
              <w:right w:val="nil"/>
            </w:tcBorders>
            <w:shd w:fill="auto" w:val="clear"/>
            <w:tcMar>
              <w:left w:type="dxa" w:w="144"/>
            </w:tcMar>
            <w:vAlign w:val="bottom"/>
          </w:tcPr>
          <w:p>
            <w:pPr>
              <w:pStyle w:val="style65"/>
              <w:ind w:hanging="0" w:left="144" w:right="101"/>
              <w:rPr/>
            </w:pPr>
            <w:r>
              <w:rPr/>
              <w:t> </w:t>
            </w:r>
          </w:p>
        </w:tc>
      </w:tr>
      <w:tr>
        <w:trPr>
          <w:trHeight w:hRule="atLeast" w:val="75"/>
          <w:cantSplit w:val="false"/>
        </w:trPr>
        <w:tc>
          <w:tcPr>
            <w:tcW w:type="dxa" w:w="7047"/>
            <w:tcBorders>
              <w:top w:val="nil"/>
              <w:left w:val="nil"/>
              <w:bottom w:val="nil"/>
              <w:right w:val="nil"/>
            </w:tcBorders>
            <w:shd w:fill="auto" w:val="clear"/>
            <w:vAlign w:val="center"/>
          </w:tcPr>
          <w:p>
            <w:pPr>
              <w:pStyle w:val="style0"/>
              <w:rPr>
                <w:sz w:val="8"/>
                <w:szCs w:val="24"/>
              </w:rPr>
            </w:pPr>
            <w:r>
              <w:rPr>
                <w:sz w:val="8"/>
                <w:szCs w:val="24"/>
              </w:rPr>
            </w:r>
          </w:p>
        </w:tc>
        <w:tc>
          <w:tcPr>
            <w:tcW w:type="dxa" w:w="1290"/>
            <w:tcBorders>
              <w:top w:val="nil"/>
              <w:left w:val="nil"/>
              <w:bottom w:val="nil"/>
              <w:right w:val="nil"/>
            </w:tcBorders>
            <w:shd w:fill="auto" w:val="clear"/>
            <w:vAlign w:val="center"/>
          </w:tcPr>
          <w:p>
            <w:pPr>
              <w:pStyle w:val="style0"/>
              <w:ind w:hanging="0" w:left="144" w:right="101"/>
              <w:rPr>
                <w:sz w:val="8"/>
                <w:szCs w:val="24"/>
              </w:rPr>
            </w:pPr>
            <w:r>
              <w:rPr>
                <w:sz w:val="8"/>
                <w:szCs w:val="24"/>
              </w:rPr>
            </w:r>
          </w:p>
        </w:tc>
        <w:tc>
          <w:tcPr>
            <w:tcW w:type="dxa" w:w="1230"/>
            <w:tcBorders>
              <w:top w:val="nil"/>
              <w:left w:val="nil"/>
              <w:bottom w:val="nil"/>
              <w:right w:val="nil"/>
            </w:tcBorders>
            <w:shd w:fill="auto" w:val="clear"/>
            <w:vAlign w:val="center"/>
          </w:tcPr>
          <w:p>
            <w:pPr>
              <w:pStyle w:val="style0"/>
              <w:ind w:hanging="0" w:left="144" w:right="101"/>
              <w:rPr>
                <w:sz w:val="8"/>
                <w:szCs w:val="24"/>
              </w:rPr>
            </w:pPr>
            <w:r>
              <w:rPr>
                <w:sz w:val="8"/>
                <w:szCs w:val="24"/>
              </w:rPr>
            </w:r>
          </w:p>
        </w:tc>
        <w:tc>
          <w:tcPr>
            <w:tcW w:type="dxa" w:w="1232"/>
            <w:tcBorders>
              <w:top w:val="nil"/>
              <w:left w:val="nil"/>
              <w:bottom w:val="nil"/>
              <w:right w:val="nil"/>
            </w:tcBorders>
            <w:shd w:fill="auto" w:val="clear"/>
            <w:vAlign w:val="center"/>
          </w:tcPr>
          <w:p>
            <w:pPr>
              <w:pStyle w:val="style0"/>
              <w:ind w:hanging="0" w:left="144" w:right="101"/>
              <w:rPr>
                <w:sz w:val="8"/>
                <w:szCs w:val="24"/>
              </w:rPr>
            </w:pPr>
            <w:r>
              <w:rPr>
                <w:sz w:val="8"/>
                <w:szCs w:val="24"/>
              </w:rPr>
            </w:r>
          </w:p>
        </w:tc>
      </w:tr>
      <w:tr>
        <w:trPr>
          <w:cantSplit w:val="false"/>
        </w:trPr>
        <w:tc>
          <w:tcPr>
            <w:tcW w:type="dxa" w:w="704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Windows Division</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w:t>
              <w:tab/>
              <w:t>8,943</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101"/>
              <w:contextualSpacing w:val="false"/>
              <w:rPr>
                <w:rFonts w:ascii="Arial" w:cs="Arial" w:hAnsi="Arial"/>
                <w:sz w:val="20"/>
                <w:szCs w:val="20"/>
              </w:rPr>
            </w:pPr>
            <w:r>
              <w:rPr>
                <w:rFonts w:ascii="Arial" w:cs="Arial" w:hAnsi="Arial"/>
                <w:sz w:val="20"/>
                <w:szCs w:val="20"/>
              </w:rPr>
              <w:t>$</w:t>
              <w:tab/>
              <w:t>12,005</w:t>
              <w:tab/>
            </w:r>
          </w:p>
        </w:tc>
        <w:tc>
          <w:tcPr>
            <w:tcW w:type="dxa" w:w="123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101"/>
              <w:contextualSpacing w:val="false"/>
              <w:rPr>
                <w:rFonts w:ascii="Arial" w:cs="Arial" w:hAnsi="Arial"/>
                <w:sz w:val="20"/>
                <w:szCs w:val="20"/>
              </w:rPr>
            </w:pPr>
            <w:r>
              <w:rPr>
                <w:rFonts w:ascii="Arial" w:cs="Arial" w:hAnsi="Arial"/>
                <w:sz w:val="20"/>
                <w:szCs w:val="20"/>
              </w:rPr>
              <w:t>$</w:t>
              <w:tab/>
              <w:t>12,040</w:t>
              <w:tab/>
            </w:r>
          </w:p>
        </w:tc>
      </w:tr>
      <w:tr>
        <w:trPr>
          <w:cantSplit w:val="false"/>
        </w:trPr>
        <w:tc>
          <w:tcPr>
            <w:tcW w:type="dxa" w:w="704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Server and Tools</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8,152</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101"/>
              <w:contextualSpacing w:val="false"/>
              <w:rPr>
                <w:rFonts w:ascii="Arial" w:cs="Arial" w:hAnsi="Arial"/>
                <w:sz w:val="20"/>
                <w:szCs w:val="20"/>
              </w:rPr>
            </w:pPr>
            <w:r>
              <w:rPr>
                <w:rFonts w:ascii="Arial" w:cs="Arial" w:hAnsi="Arial"/>
                <w:sz w:val="20"/>
                <w:szCs w:val="20"/>
              </w:rPr>
              <w:tab/>
              <w:t>7,256</w:t>
              <w:tab/>
            </w:r>
          </w:p>
        </w:tc>
        <w:tc>
          <w:tcPr>
            <w:tcW w:type="dxa" w:w="123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101"/>
              <w:contextualSpacing w:val="false"/>
              <w:rPr>
                <w:rFonts w:ascii="Arial" w:cs="Arial" w:hAnsi="Arial"/>
                <w:sz w:val="20"/>
                <w:szCs w:val="20"/>
              </w:rPr>
            </w:pPr>
            <w:r>
              <w:rPr>
                <w:rFonts w:ascii="Arial" w:cs="Arial" w:hAnsi="Arial"/>
                <w:sz w:val="20"/>
                <w:szCs w:val="20"/>
              </w:rPr>
              <w:tab/>
              <w:t>6,132</w:t>
              <w:tab/>
            </w:r>
          </w:p>
        </w:tc>
      </w:tr>
      <w:tr>
        <w:trPr>
          <w:cantSplit w:val="false"/>
        </w:trPr>
        <w:tc>
          <w:tcPr>
            <w:tcW w:type="dxa" w:w="704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Online Services Division</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(1,298</w:t>
              <w:tab/>
              <w:t>)</w:t>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101"/>
              <w:contextualSpacing w:val="false"/>
              <w:rPr>
                <w:rFonts w:ascii="Arial" w:cs="Arial" w:hAnsi="Arial"/>
                <w:sz w:val="20"/>
                <w:szCs w:val="20"/>
              </w:rPr>
            </w:pPr>
            <w:r>
              <w:rPr>
                <w:rFonts w:ascii="Arial" w:cs="Arial" w:hAnsi="Arial"/>
                <w:sz w:val="20"/>
                <w:szCs w:val="20"/>
              </w:rPr>
              <w:tab/>
              <w:t>(8,117</w:t>
              <w:tab/>
              <w:t>)</w:t>
            </w:r>
          </w:p>
        </w:tc>
        <w:tc>
          <w:tcPr>
            <w:tcW w:type="dxa" w:w="123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101"/>
              <w:contextualSpacing w:val="false"/>
              <w:rPr>
                <w:rFonts w:ascii="Arial" w:cs="Arial" w:hAnsi="Arial"/>
                <w:sz w:val="20"/>
                <w:szCs w:val="20"/>
              </w:rPr>
            </w:pPr>
            <w:r>
              <w:rPr>
                <w:rFonts w:ascii="Arial" w:cs="Arial" w:hAnsi="Arial"/>
                <w:sz w:val="20"/>
                <w:szCs w:val="20"/>
              </w:rPr>
              <w:tab/>
              <w:t>(2,649</w:t>
              <w:tab/>
              <w:t>)</w:t>
            </w:r>
          </w:p>
        </w:tc>
      </w:tr>
      <w:tr>
        <w:trPr>
          <w:cantSplit w:val="false"/>
        </w:trPr>
        <w:tc>
          <w:tcPr>
            <w:tcW w:type="dxa" w:w="704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Microsoft Business Division</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16,189</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101"/>
              <w:contextualSpacing w:val="false"/>
              <w:rPr>
                <w:rFonts w:ascii="Arial" w:cs="Arial" w:hAnsi="Arial"/>
                <w:sz w:val="20"/>
                <w:szCs w:val="20"/>
              </w:rPr>
            </w:pPr>
            <w:r>
              <w:rPr>
                <w:rFonts w:ascii="Arial" w:cs="Arial" w:hAnsi="Arial"/>
                <w:sz w:val="20"/>
                <w:szCs w:val="20"/>
              </w:rPr>
              <w:tab/>
              <w:t>15,803</w:t>
              <w:tab/>
            </w:r>
          </w:p>
        </w:tc>
        <w:tc>
          <w:tcPr>
            <w:tcW w:type="dxa" w:w="123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101"/>
              <w:contextualSpacing w:val="false"/>
              <w:rPr>
                <w:rFonts w:ascii="Arial" w:cs="Arial" w:hAnsi="Arial"/>
                <w:sz w:val="20"/>
                <w:szCs w:val="20"/>
              </w:rPr>
            </w:pPr>
            <w:r>
              <w:rPr>
                <w:rFonts w:ascii="Arial" w:cs="Arial" w:hAnsi="Arial"/>
                <w:sz w:val="20"/>
                <w:szCs w:val="20"/>
              </w:rPr>
              <w:tab/>
              <w:t>14,467</w:t>
              <w:tab/>
            </w:r>
          </w:p>
        </w:tc>
      </w:tr>
      <w:tr>
        <w:trPr>
          <w:cantSplit w:val="false"/>
        </w:trPr>
        <w:tc>
          <w:tcPr>
            <w:tcW w:type="dxa" w:w="704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Entertainment and Devices Division</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888</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101"/>
              <w:contextualSpacing w:val="false"/>
              <w:rPr>
                <w:rFonts w:ascii="Arial" w:cs="Arial" w:hAnsi="Arial"/>
                <w:sz w:val="20"/>
                <w:szCs w:val="20"/>
              </w:rPr>
            </w:pPr>
            <w:r>
              <w:rPr>
                <w:rFonts w:ascii="Arial" w:cs="Arial" w:hAnsi="Arial"/>
                <w:sz w:val="20"/>
                <w:szCs w:val="20"/>
              </w:rPr>
              <w:tab/>
              <w:t>381</w:t>
              <w:tab/>
            </w:r>
          </w:p>
        </w:tc>
        <w:tc>
          <w:tcPr>
            <w:tcW w:type="dxa" w:w="123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101"/>
              <w:contextualSpacing w:val="false"/>
              <w:rPr>
                <w:rFonts w:ascii="Arial" w:cs="Arial" w:hAnsi="Arial"/>
                <w:sz w:val="20"/>
                <w:szCs w:val="20"/>
              </w:rPr>
            </w:pPr>
            <w:r>
              <w:rPr>
                <w:rFonts w:ascii="Arial" w:cs="Arial" w:hAnsi="Arial"/>
                <w:sz w:val="20"/>
                <w:szCs w:val="20"/>
              </w:rPr>
              <w:tab/>
              <w:t>1,299</w:t>
              <w:tab/>
            </w:r>
          </w:p>
        </w:tc>
      </w:tr>
      <w:tr>
        <w:trPr>
          <w:cantSplit w:val="false"/>
        </w:trPr>
        <w:tc>
          <w:tcPr>
            <w:tcW w:type="dxa" w:w="7047"/>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Corporate and other</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ab/>
              <w:t>(6,110</w:t>
              <w:tab/>
              <w:t>)</w:t>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101"/>
              <w:contextualSpacing w:val="false"/>
              <w:rPr>
                <w:rFonts w:ascii="Arial" w:cs="Arial" w:hAnsi="Arial"/>
                <w:sz w:val="20"/>
                <w:szCs w:val="20"/>
              </w:rPr>
            </w:pPr>
            <w:r>
              <w:rPr>
                <w:rFonts w:ascii="Arial" w:cs="Arial" w:hAnsi="Arial"/>
                <w:sz w:val="20"/>
                <w:szCs w:val="20"/>
              </w:rPr>
              <w:tab/>
              <w:t>(5,565</w:t>
              <w:tab/>
              <w:t>)</w:t>
            </w:r>
          </w:p>
        </w:tc>
        <w:tc>
          <w:tcPr>
            <w:tcW w:type="dxa" w:w="123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101"/>
              <w:contextualSpacing w:val="false"/>
              <w:rPr>
                <w:rFonts w:ascii="Arial" w:cs="Arial" w:hAnsi="Arial"/>
                <w:sz w:val="20"/>
                <w:szCs w:val="20"/>
              </w:rPr>
            </w:pPr>
            <w:r>
              <w:rPr>
                <w:rFonts w:ascii="Arial" w:cs="Arial" w:hAnsi="Arial"/>
                <w:sz w:val="20"/>
                <w:szCs w:val="20"/>
              </w:rPr>
              <w:tab/>
              <w:t>(4,128</w:t>
              <w:tab/>
              <w:t>)</w:t>
            </w:r>
          </w:p>
        </w:tc>
      </w:tr>
      <w:tr>
        <w:trPr>
          <w:cantSplit w:val="false"/>
        </w:trPr>
        <w:tc>
          <w:tcPr>
            <w:tcW w:type="dxa" w:w="8337"/>
            <w:gridSpan w:val="2"/>
            <w:tcBorders>
              <w:top w:val="nil"/>
              <w:left w:val="nil"/>
              <w:bottom w:val="nil"/>
              <w:right w:val="nil"/>
            </w:tcBorders>
            <w:shd w:fill="auto" w:val="clear"/>
            <w:vAlign w:val="bottom"/>
          </w:tcPr>
          <w:p>
            <w:pPr>
              <w:pStyle w:val="style59"/>
              <w:spacing w:after="0" w:before="20"/>
              <w:ind w:hanging="0" w:left="-369" w:right="101"/>
              <w:contextualSpacing w:val="false"/>
              <w:rPr/>
            </w:pPr>
            <w:r>
              <w:rPr/>
              <w:t> </w:t>
            </w:r>
          </w:p>
        </w:tc>
        <w:tc>
          <w:tcPr>
            <w:tcW w:type="dxa" w:w="1230"/>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c>
          <w:tcPr>
            <w:tcW w:type="dxa" w:w="1232"/>
            <w:tcBorders>
              <w:top w:val="nil"/>
              <w:left w:val="nil"/>
              <w:bottom w:val="nil"/>
              <w:right w:val="nil"/>
            </w:tcBorders>
            <w:shd w:fill="auto" w:val="clear"/>
            <w:tcMar>
              <w:left w:type="dxa" w:w="144"/>
            </w:tcMar>
            <w:vAlign w:val="bottom"/>
          </w:tcPr>
          <w:p>
            <w:pPr>
              <w:pStyle w:val="style59"/>
              <w:spacing w:after="0" w:before="20"/>
              <w:ind w:hanging="0" w:left="144" w:right="101"/>
              <w:contextualSpacing w:val="false"/>
              <w:rPr/>
            </w:pPr>
            <w:r>
              <w:rPr/>
              <w:t> </w:t>
            </w:r>
          </w:p>
        </w:tc>
      </w:tr>
      <w:tr>
        <w:trPr>
          <w:cantSplit w:val="false"/>
        </w:trPr>
        <w:tc>
          <w:tcPr>
            <w:tcW w:type="dxa" w:w="7047"/>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Consolidated</w:t>
            </w:r>
          </w:p>
        </w:tc>
        <w:tc>
          <w:tcPr>
            <w:tcW w:type="dxa" w:w="129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144" w:right="101"/>
              <w:contextualSpacing w:val="false"/>
              <w:rPr>
                <w:rFonts w:ascii="Arial" w:cs="Arial" w:hAnsi="Arial"/>
                <w:b/>
                <w:bCs/>
                <w:sz w:val="20"/>
                <w:szCs w:val="20"/>
              </w:rPr>
            </w:pPr>
            <w:r>
              <w:rPr>
                <w:rFonts w:ascii="Arial" w:cs="Arial" w:hAnsi="Arial"/>
                <w:b/>
                <w:bCs/>
                <w:sz w:val="20"/>
                <w:szCs w:val="20"/>
              </w:rPr>
              <w:t>$</w:t>
              <w:tab/>
              <w:t>  26,764</w:t>
              <w:tab/>
            </w:r>
          </w:p>
        </w:tc>
        <w:tc>
          <w:tcPr>
            <w:tcW w:type="dxa" w:w="1230"/>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101"/>
              <w:contextualSpacing w:val="false"/>
              <w:rPr>
                <w:rFonts w:ascii="Arial" w:cs="Arial" w:hAnsi="Arial"/>
                <w:sz w:val="20"/>
                <w:szCs w:val="20"/>
              </w:rPr>
            </w:pPr>
            <w:r>
              <w:rPr>
                <w:rFonts w:ascii="Arial" w:cs="Arial" w:hAnsi="Arial"/>
                <w:sz w:val="20"/>
                <w:szCs w:val="20"/>
              </w:rPr>
              <w:t>$</w:t>
              <w:tab/>
              <w:t>  21,763</w:t>
              <w:tab/>
            </w:r>
          </w:p>
        </w:tc>
        <w:tc>
          <w:tcPr>
            <w:tcW w:type="dxa" w:w="1232"/>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144" w:right="101"/>
              <w:contextualSpacing w:val="false"/>
              <w:rPr>
                <w:rFonts w:ascii="Arial" w:cs="Arial" w:hAnsi="Arial"/>
                <w:sz w:val="20"/>
                <w:szCs w:val="20"/>
              </w:rPr>
            </w:pPr>
            <w:r>
              <w:rPr>
                <w:rFonts w:ascii="Arial" w:cs="Arial" w:hAnsi="Arial"/>
                <w:sz w:val="20"/>
                <w:szCs w:val="20"/>
              </w:rPr>
              <w:t>$</w:t>
              <w:tab/>
              <w:t>  27,161</w:t>
              <w:tab/>
            </w:r>
          </w:p>
        </w:tc>
      </w:tr>
      <w:tr>
        <w:trPr>
          <w:cantSplit w:val="false"/>
        </w:trPr>
        <w:tc>
          <w:tcPr>
            <w:tcW w:type="dxa" w:w="7047"/>
            <w:tcBorders>
              <w:top w:val="nil"/>
              <w:left w:val="nil"/>
              <w:bottom w:val="nil"/>
              <w:right w:val="nil"/>
            </w:tcBorders>
            <w:shd w:fill="auto" w:val="clear"/>
            <w:tcMar>
              <w:left w:type="dxa" w:w="144"/>
            </w:tcMar>
            <w:vAlign w:val="bottom"/>
          </w:tcPr>
          <w:p>
            <w:pPr>
              <w:pStyle w:val="style65"/>
              <w:rPr/>
            </w:pPr>
            <w:r>
              <w:rPr/>
              <w:t> </w:t>
            </w:r>
          </w:p>
        </w:tc>
        <w:tc>
          <w:tcPr>
            <w:tcW w:type="dxa" w:w="1290"/>
            <w:tcBorders>
              <w:top w:val="nil"/>
              <w:left w:val="nil"/>
              <w:bottom w:val="nil"/>
              <w:right w:val="nil"/>
            </w:tcBorders>
            <w:shd w:fill="auto" w:val="clear"/>
            <w:tcMar>
              <w:left w:type="dxa" w:w="144"/>
            </w:tcMar>
            <w:vAlign w:val="bottom"/>
          </w:tcPr>
          <w:p>
            <w:pPr>
              <w:pStyle w:val="style63"/>
              <w:spacing w:after="0" w:before="20"/>
              <w:ind w:hanging="0" w:left="144" w:right="101"/>
              <w:contextualSpacing w:val="false"/>
              <w:rPr/>
            </w:pPr>
            <w:r>
              <w:rPr/>
              <w:t> </w:t>
            </w:r>
          </w:p>
        </w:tc>
        <w:tc>
          <w:tcPr>
            <w:tcW w:type="dxa" w:w="1230"/>
            <w:tcBorders>
              <w:top w:val="nil"/>
              <w:left w:val="nil"/>
              <w:bottom w:val="nil"/>
              <w:right w:val="nil"/>
            </w:tcBorders>
            <w:shd w:fill="auto" w:val="clear"/>
            <w:tcMar>
              <w:left w:type="dxa" w:w="144"/>
            </w:tcMar>
            <w:vAlign w:val="bottom"/>
          </w:tcPr>
          <w:p>
            <w:pPr>
              <w:pStyle w:val="style63"/>
              <w:spacing w:after="0" w:before="20"/>
              <w:ind w:hanging="0" w:left="144" w:right="101"/>
              <w:contextualSpacing w:val="false"/>
              <w:rPr/>
            </w:pPr>
            <w:r>
              <w:rPr/>
              <w:t> </w:t>
            </w:r>
          </w:p>
        </w:tc>
        <w:tc>
          <w:tcPr>
            <w:tcW w:type="dxa" w:w="1232"/>
            <w:tcBorders>
              <w:top w:val="nil"/>
              <w:left w:val="nil"/>
              <w:bottom w:val="nil"/>
              <w:right w:val="nil"/>
            </w:tcBorders>
            <w:shd w:fill="auto" w:val="clear"/>
            <w:tcMar>
              <w:left w:type="dxa" w:w="144"/>
            </w:tcMar>
            <w:vAlign w:val="bottom"/>
          </w:tcPr>
          <w:p>
            <w:pPr>
              <w:pStyle w:val="style63"/>
              <w:spacing w:after="0" w:before="20"/>
              <w:ind w:hanging="0" w:left="144" w:right="101"/>
              <w:contextualSpacing w:val="false"/>
              <w:rPr/>
            </w:pPr>
            <w:r>
              <w:rPr/>
              <w:t> </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Reconciling amounts in the tables above and below include adjustments to conform our internal accounting policies to U.S. GAAP and corporate-level activity not specifically attributed to a segment. Significant internal accounting policies that differ from U.S. GAAP relate to revenue recognition, income statement classification, and depreciation.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Significant reconciling items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166"/>
        <w:gridCol w:w="1251"/>
        <w:gridCol w:w="1190"/>
        <w:gridCol w:w="1193"/>
      </w:tblGrid>
      <w:tr>
        <w:trPr>
          <w:tblHeader w:val="true"/>
          <w:cantSplit w:val="false"/>
        </w:trPr>
        <w:tc>
          <w:tcPr>
            <w:tcW w:type="dxa" w:w="7166"/>
            <w:tcBorders>
              <w:top w:val="nil"/>
              <w:left w:val="nil"/>
              <w:bottom w:val="nil"/>
              <w:right w:val="nil"/>
            </w:tcBorders>
            <w:shd w:fill="auto" w:val="clear"/>
            <w:vAlign w:val="center"/>
          </w:tcPr>
          <w:p>
            <w:pPr>
              <w:pStyle w:val="style0"/>
              <w:rPr>
                <w:sz w:val="1"/>
                <w:szCs w:val="24"/>
              </w:rPr>
            </w:pPr>
            <w:r>
              <w:rPr>
                <w:sz w:val="1"/>
                <w:szCs w:val="24"/>
              </w:rPr>
            </w:r>
          </w:p>
        </w:tc>
        <w:tc>
          <w:tcPr>
            <w:tcW w:type="dxa" w:w="1251"/>
            <w:tcBorders>
              <w:top w:val="nil"/>
              <w:left w:val="nil"/>
              <w:bottom w:val="nil"/>
              <w:right w:val="nil"/>
            </w:tcBorders>
            <w:shd w:fill="auto" w:val="clear"/>
            <w:vAlign w:val="center"/>
          </w:tcPr>
          <w:p>
            <w:pPr>
              <w:pStyle w:val="style0"/>
              <w:rPr>
                <w:sz w:val="1"/>
                <w:szCs w:val="24"/>
              </w:rPr>
            </w:pPr>
            <w:r>
              <w:rPr>
                <w:sz w:val="1"/>
                <w:szCs w:val="24"/>
              </w:rPr>
            </w:r>
          </w:p>
        </w:tc>
        <w:tc>
          <w:tcPr>
            <w:tcW w:type="dxa" w:w="1190"/>
            <w:tcBorders>
              <w:top w:val="nil"/>
              <w:left w:val="nil"/>
              <w:bottom w:val="nil"/>
              <w:right w:val="nil"/>
            </w:tcBorders>
            <w:shd w:fill="auto" w:val="clear"/>
            <w:vAlign w:val="center"/>
          </w:tcPr>
          <w:p>
            <w:pPr>
              <w:pStyle w:val="style0"/>
              <w:rPr>
                <w:sz w:val="1"/>
                <w:szCs w:val="24"/>
              </w:rPr>
            </w:pPr>
            <w:r>
              <w:rPr>
                <w:sz w:val="1"/>
                <w:szCs w:val="24"/>
              </w:rPr>
            </w:r>
          </w:p>
        </w:tc>
        <w:tc>
          <w:tcPr>
            <w:tcW w:type="dxa" w:w="1193"/>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1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51"/>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190"/>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193"/>
            <w:tcBorders>
              <w:top w:val="nil"/>
              <w:left w:val="nil"/>
              <w:bottom w:val="nil"/>
              <w:right w:val="nil"/>
            </w:tcBorders>
            <w:shd w:fill="auto" w:val="clear"/>
            <w:tcMar>
              <w:left w:type="dxa" w:w="144"/>
            </w:tcMar>
            <w:vAlign w:val="bottom"/>
          </w:tcPr>
          <w:p>
            <w:pPr>
              <w:pStyle w:val="style65"/>
              <w:ind w:hanging="0" w:left="216" w:right="86"/>
              <w:rPr/>
            </w:pPr>
            <w:r>
              <w:rPr/>
              <w:t> </w:t>
            </w:r>
          </w:p>
        </w:tc>
      </w:tr>
      <w:tr>
        <w:trPr>
          <w:cantSplit w:val="false"/>
        </w:trPr>
        <w:tc>
          <w:tcPr>
            <w:tcW w:type="dxa" w:w="10800"/>
            <w:gridSpan w:val="4"/>
            <w:tcBorders>
              <w:top w:val="nil"/>
              <w:left w:val="nil"/>
              <w:bottom w:val="nil"/>
              <w:right w:val="nil"/>
            </w:tcBorders>
            <w:shd w:fill="auto" w:val="clear"/>
            <w:tcMar>
              <w:left w:type="dxa" w:w="144"/>
            </w:tcMar>
            <w:vAlign w:val="bottom"/>
          </w:tcPr>
          <w:p>
            <w:pPr>
              <w:pStyle w:val="style59"/>
              <w:spacing w:after="0" w:before="20"/>
              <w:ind w:hanging="0" w:left="-346" w:right="101"/>
              <w:contextualSpacing w:val="false"/>
              <w:rPr/>
            </w:pPr>
            <w:r>
              <w:rPr/>
              <w:t> </w:t>
            </w:r>
          </w:p>
        </w:tc>
      </w:tr>
      <w:tr>
        <w:trPr>
          <w:trHeight w:hRule="atLeast" w:val="75"/>
          <w:cantSplit w:val="false"/>
        </w:trPr>
        <w:tc>
          <w:tcPr>
            <w:tcW w:type="dxa" w:w="7166"/>
            <w:tcBorders>
              <w:top w:val="nil"/>
              <w:left w:val="nil"/>
              <w:bottom w:val="nil"/>
              <w:right w:val="nil"/>
            </w:tcBorders>
            <w:shd w:fill="auto" w:val="clear"/>
            <w:vAlign w:val="center"/>
          </w:tcPr>
          <w:p>
            <w:pPr>
              <w:pStyle w:val="style0"/>
              <w:rPr>
                <w:sz w:val="8"/>
                <w:szCs w:val="24"/>
              </w:rPr>
            </w:pPr>
            <w:r>
              <w:rPr>
                <w:sz w:val="8"/>
                <w:szCs w:val="24"/>
              </w:rPr>
            </w:r>
          </w:p>
        </w:tc>
        <w:tc>
          <w:tcPr>
            <w:tcW w:type="dxa" w:w="1251"/>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19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193"/>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7166"/>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251"/>
            <w:tcBorders>
              <w:top w:val="nil"/>
              <w:left w:val="nil"/>
              <w:bottom w:val="nil"/>
              <w:right w:val="nil"/>
            </w:tcBorders>
            <w:shd w:fill="auto" w:val="clear"/>
            <w:tcMar>
              <w:left w:type="dxa" w:w="144"/>
            </w:tcMar>
            <w:vAlign w:val="bottom"/>
          </w:tcPr>
          <w:p>
            <w:pPr>
              <w:pStyle w:val="style0"/>
              <w:ind w:hanging="0" w:left="216" w:right="86"/>
              <w:jc w:val="right"/>
              <w:rPr>
                <w:rFonts w:ascii="Arial" w:cs="Arial" w:hAnsi="Arial"/>
                <w:b/>
                <w:bCs/>
                <w:sz w:val="15"/>
                <w:szCs w:val="15"/>
              </w:rPr>
            </w:pPr>
            <w:r>
              <w:rPr>
                <w:rFonts w:ascii="Arial" w:cs="Arial" w:hAnsi="Arial"/>
                <w:b/>
                <w:bCs/>
                <w:sz w:val="15"/>
                <w:szCs w:val="15"/>
              </w:rPr>
              <w:t>2013</w:t>
            </w:r>
          </w:p>
        </w:tc>
        <w:tc>
          <w:tcPr>
            <w:tcW w:type="dxa" w:w="1190"/>
            <w:tcBorders>
              <w:top w:val="nil"/>
              <w:left w:val="nil"/>
              <w:bottom w:val="nil"/>
              <w:right w:val="nil"/>
            </w:tcBorders>
            <w:shd w:fill="auto" w:val="clear"/>
            <w:tcMar>
              <w:left w:type="dxa" w:w="144"/>
            </w:tcMar>
            <w:vAlign w:val="bottom"/>
          </w:tcPr>
          <w:p>
            <w:pPr>
              <w:pStyle w:val="style0"/>
              <w:ind w:hanging="0" w:left="173" w:right="101"/>
              <w:jc w:val="right"/>
              <w:rPr>
                <w:rFonts w:ascii="Arial" w:cs="Arial" w:hAnsi="Arial"/>
                <w:b/>
                <w:bCs/>
                <w:sz w:val="15"/>
                <w:szCs w:val="15"/>
              </w:rPr>
            </w:pPr>
            <w:r>
              <w:rPr>
                <w:rFonts w:ascii="Arial" w:cs="Arial" w:hAnsi="Arial"/>
                <w:b/>
                <w:bCs/>
                <w:sz w:val="15"/>
                <w:szCs w:val="15"/>
              </w:rPr>
              <w:t>2012</w:t>
            </w:r>
          </w:p>
        </w:tc>
        <w:tc>
          <w:tcPr>
            <w:tcW w:type="dxa" w:w="1193"/>
            <w:tcBorders>
              <w:top w:val="nil"/>
              <w:left w:val="nil"/>
              <w:bottom w:val="nil"/>
              <w:right w:val="nil"/>
            </w:tcBorders>
            <w:shd w:fill="auto" w:val="clear"/>
            <w:tcMar>
              <w:left w:type="dxa" w:w="144"/>
            </w:tcMar>
            <w:vAlign w:val="bottom"/>
          </w:tcPr>
          <w:p>
            <w:pPr>
              <w:pStyle w:val="style0"/>
              <w:ind w:hanging="0" w:left="216" w:right="86"/>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166"/>
            <w:tcBorders>
              <w:top w:val="nil"/>
              <w:left w:val="nil"/>
              <w:bottom w:val="nil"/>
              <w:right w:val="nil"/>
            </w:tcBorders>
            <w:shd w:fill="auto" w:val="clear"/>
            <w:vAlign w:val="center"/>
          </w:tcPr>
          <w:p>
            <w:pPr>
              <w:pStyle w:val="style0"/>
              <w:rPr>
                <w:sz w:val="8"/>
                <w:szCs w:val="24"/>
              </w:rPr>
            </w:pPr>
            <w:r>
              <w:rPr>
                <w:sz w:val="8"/>
                <w:szCs w:val="24"/>
              </w:rPr>
            </w:r>
          </w:p>
        </w:tc>
        <w:tc>
          <w:tcPr>
            <w:tcW w:type="dxa" w:w="1251"/>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190"/>
            <w:tcBorders>
              <w:top w:val="nil"/>
              <w:left w:val="nil"/>
              <w:bottom w:val="nil"/>
              <w:right w:val="nil"/>
            </w:tcBorders>
            <w:shd w:fill="auto" w:val="clear"/>
            <w:vAlign w:val="center"/>
          </w:tcPr>
          <w:p>
            <w:pPr>
              <w:pStyle w:val="style0"/>
              <w:ind w:hanging="0" w:left="173" w:right="101"/>
              <w:rPr>
                <w:sz w:val="8"/>
                <w:szCs w:val="24"/>
              </w:rPr>
            </w:pPr>
            <w:r>
              <w:rPr>
                <w:sz w:val="8"/>
                <w:szCs w:val="24"/>
              </w:rPr>
            </w:r>
          </w:p>
        </w:tc>
        <w:tc>
          <w:tcPr>
            <w:tcW w:type="dxa" w:w="1193"/>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71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Corporate-level activity </w:t>
            </w:r>
            <w:r>
              <w:rPr>
                <w:rFonts w:ascii="Arial" w:cs="Arial" w:hAnsi="Arial"/>
                <w:sz w:val="15"/>
                <w:szCs w:val="15"/>
                <w:vertAlign w:val="superscript"/>
              </w:rPr>
              <w:t>(a)</w:t>
            </w:r>
          </w:p>
        </w:tc>
        <w:tc>
          <w:tcPr>
            <w:tcW w:type="dxa" w:w="1251"/>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(6,665</w:t>
              <w:tab/>
              <w:t>)</w:t>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73" w:right="101"/>
              <w:contextualSpacing w:val="false"/>
              <w:rPr>
                <w:rFonts w:ascii="Arial" w:cs="Arial" w:hAnsi="Arial"/>
                <w:sz w:val="20"/>
                <w:szCs w:val="20"/>
              </w:rPr>
            </w:pPr>
            <w:r>
              <w:rPr>
                <w:rFonts w:ascii="Arial" w:cs="Arial" w:hAnsi="Arial"/>
                <w:sz w:val="20"/>
                <w:szCs w:val="20"/>
              </w:rPr>
              <w:t>$</w:t>
              <w:tab/>
              <w:t>(5,114</w:t>
              <w:tab/>
              <w:t>)</w:t>
            </w:r>
          </w:p>
        </w:tc>
        <w:tc>
          <w:tcPr>
            <w:tcW w:type="dxa" w:w="1193"/>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87" w:right="86"/>
              <w:contextualSpacing w:val="false"/>
              <w:rPr>
                <w:rFonts w:ascii="Arial" w:cs="Arial" w:hAnsi="Arial"/>
                <w:sz w:val="20"/>
                <w:szCs w:val="20"/>
              </w:rPr>
            </w:pPr>
            <w:r>
              <w:rPr>
                <w:rFonts w:ascii="Arial" w:cs="Arial" w:hAnsi="Arial"/>
                <w:sz w:val="20"/>
                <w:szCs w:val="20"/>
              </w:rPr>
              <w:t>$</w:t>
              <w:tab/>
              <w:t>(4,506</w:t>
              <w:tab/>
              <w:t>)</w:t>
            </w:r>
          </w:p>
        </w:tc>
      </w:tr>
      <w:tr>
        <w:trPr>
          <w:cantSplit w:val="false"/>
        </w:trPr>
        <w:tc>
          <w:tcPr>
            <w:tcW w:type="dxa" w:w="71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Revenue reconciling amounts </w:t>
            </w:r>
            <w:r>
              <w:rPr>
                <w:rFonts w:ascii="Arial" w:cs="Arial" w:hAnsi="Arial"/>
                <w:sz w:val="15"/>
                <w:szCs w:val="15"/>
                <w:vertAlign w:val="superscript"/>
              </w:rPr>
              <w:t>(b)</w:t>
            </w:r>
          </w:p>
        </w:tc>
        <w:tc>
          <w:tcPr>
            <w:tcW w:type="dxa" w:w="1251"/>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400</w:t>
              <w:tab/>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73" w:right="101"/>
              <w:contextualSpacing w:val="false"/>
              <w:rPr>
                <w:rFonts w:ascii="Arial" w:cs="Arial" w:hAnsi="Arial"/>
                <w:sz w:val="20"/>
                <w:szCs w:val="20"/>
              </w:rPr>
            </w:pPr>
            <w:r>
              <w:rPr>
                <w:rFonts w:ascii="Arial" w:cs="Arial" w:hAnsi="Arial"/>
                <w:sz w:val="20"/>
                <w:szCs w:val="20"/>
              </w:rPr>
              <w:tab/>
              <w:t>(484</w:t>
              <w:tab/>
              <w:t>)</w:t>
            </w:r>
          </w:p>
        </w:tc>
        <w:tc>
          <w:tcPr>
            <w:tcW w:type="dxa" w:w="1193"/>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87" w:right="86"/>
              <w:contextualSpacing w:val="false"/>
              <w:rPr>
                <w:rFonts w:ascii="Arial" w:cs="Arial" w:hAnsi="Arial"/>
                <w:sz w:val="20"/>
                <w:szCs w:val="20"/>
              </w:rPr>
            </w:pPr>
            <w:r>
              <w:rPr>
                <w:rFonts w:ascii="Arial" w:cs="Arial" w:hAnsi="Arial"/>
                <w:sz w:val="20"/>
                <w:szCs w:val="20"/>
              </w:rPr>
              <w:tab/>
              <w:t>380</w:t>
              <w:tab/>
            </w:r>
          </w:p>
        </w:tc>
      </w:tr>
      <w:tr>
        <w:trPr>
          <w:cantSplit w:val="false"/>
        </w:trPr>
        <w:tc>
          <w:tcPr>
            <w:tcW w:type="dxa" w:w="7166"/>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w:t>
            </w:r>
          </w:p>
        </w:tc>
        <w:tc>
          <w:tcPr>
            <w:tcW w:type="dxa" w:w="1251"/>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155</w:t>
              <w:tab/>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73" w:right="101"/>
              <w:contextualSpacing w:val="false"/>
              <w:rPr>
                <w:rFonts w:ascii="Arial" w:cs="Arial" w:hAnsi="Arial"/>
                <w:sz w:val="20"/>
                <w:szCs w:val="20"/>
              </w:rPr>
            </w:pPr>
            <w:r>
              <w:rPr>
                <w:rFonts w:ascii="Arial" w:cs="Arial" w:hAnsi="Arial"/>
                <w:sz w:val="20"/>
                <w:szCs w:val="20"/>
              </w:rPr>
              <w:tab/>
              <w:t>33</w:t>
              <w:tab/>
            </w:r>
          </w:p>
        </w:tc>
        <w:tc>
          <w:tcPr>
            <w:tcW w:type="dxa" w:w="1193"/>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87" w:right="86"/>
              <w:contextualSpacing w:val="false"/>
              <w:rPr>
                <w:rFonts w:ascii="Arial" w:cs="Arial" w:hAnsi="Arial"/>
                <w:sz w:val="20"/>
                <w:szCs w:val="20"/>
              </w:rPr>
            </w:pPr>
            <w:r>
              <w:rPr>
                <w:rFonts w:ascii="Arial" w:cs="Arial" w:hAnsi="Arial"/>
                <w:sz w:val="20"/>
                <w:szCs w:val="20"/>
              </w:rPr>
              <w:tab/>
              <w:t>(2</w:t>
              <w:tab/>
              <w:t>)</w:t>
            </w:r>
          </w:p>
        </w:tc>
      </w:tr>
      <w:tr>
        <w:trPr>
          <w:cantSplit w:val="false"/>
        </w:trPr>
        <w:tc>
          <w:tcPr>
            <w:tcW w:type="dxa" w:w="8418"/>
            <w:gridSpan w:val="2"/>
            <w:tcBorders>
              <w:top w:val="nil"/>
              <w:left w:val="nil"/>
              <w:bottom w:val="nil"/>
              <w:right w:val="nil"/>
            </w:tcBorders>
            <w:shd w:fill="auto" w:val="clear"/>
            <w:vAlign w:val="bottom"/>
          </w:tcPr>
          <w:p>
            <w:pPr>
              <w:pStyle w:val="style59"/>
              <w:spacing w:after="0" w:before="20"/>
              <w:ind w:hanging="0" w:left="-351" w:right="86"/>
              <w:contextualSpacing w:val="false"/>
              <w:rPr/>
            </w:pPr>
            <w:r>
              <w:rPr/>
              <w:t> </w:t>
            </w:r>
          </w:p>
        </w:tc>
        <w:tc>
          <w:tcPr>
            <w:tcW w:type="dxa" w:w="1190"/>
            <w:tcBorders>
              <w:top w:val="nil"/>
              <w:left w:val="nil"/>
              <w:bottom w:val="nil"/>
              <w:right w:val="nil"/>
            </w:tcBorders>
            <w:shd w:fill="auto" w:val="clear"/>
            <w:tcMar>
              <w:left w:type="dxa" w:w="144"/>
            </w:tcMar>
            <w:vAlign w:val="bottom"/>
          </w:tcPr>
          <w:p>
            <w:pPr>
              <w:pStyle w:val="style59"/>
              <w:spacing w:after="0" w:before="20"/>
              <w:ind w:hanging="0" w:left="173" w:right="101"/>
              <w:contextualSpacing w:val="false"/>
              <w:rPr/>
            </w:pPr>
            <w:r>
              <w:rPr/>
              <w:t> </w:t>
            </w:r>
          </w:p>
        </w:tc>
        <w:tc>
          <w:tcPr>
            <w:tcW w:type="dxa" w:w="1192"/>
            <w:tcBorders>
              <w:top w:val="nil"/>
              <w:left w:val="nil"/>
              <w:bottom w:val="nil"/>
              <w:right w:val="nil"/>
            </w:tcBorders>
            <w:shd w:fill="auto" w:val="clear"/>
            <w:tcMar>
              <w:left w:type="dxa" w:w="144"/>
            </w:tcMar>
            <w:vAlign w:val="bottom"/>
          </w:tcPr>
          <w:p>
            <w:pPr>
              <w:pStyle w:val="style59"/>
              <w:spacing w:after="0" w:before="20"/>
              <w:ind w:hanging="0" w:left="187" w:right="86"/>
              <w:contextualSpacing w:val="false"/>
              <w:rPr/>
            </w:pPr>
            <w:r>
              <w:rPr/>
              <w:t> </w:t>
            </w:r>
          </w:p>
        </w:tc>
      </w:tr>
      <w:tr>
        <w:trPr>
          <w:cantSplit w:val="false"/>
        </w:trPr>
        <w:tc>
          <w:tcPr>
            <w:tcW w:type="dxa" w:w="7166"/>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251"/>
            <w:tcBorders>
              <w:top w:val="nil"/>
              <w:left w:val="nil"/>
              <w:bottom w:val="nil"/>
              <w:right w:val="nil"/>
            </w:tcBorders>
            <w:shd w:fill="auto" w:val="clear"/>
            <w:tcMar>
              <w:left w:type="dxa" w:w="144"/>
            </w:tcMar>
            <w:vAlign w:val="bottom"/>
          </w:tcPr>
          <w:p>
            <w:pPr>
              <w:pStyle w:val="style62"/>
              <w:tabs>
                <w:tab w:leader="none" w:pos="1040" w:val="right"/>
                <w:tab w:leader="none" w:pos="108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  (6,110</w:t>
              <w:tab/>
              <w:t>)</w:t>
            </w:r>
          </w:p>
        </w:tc>
        <w:tc>
          <w:tcPr>
            <w:tcW w:type="dxa" w:w="1190"/>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73" w:right="101"/>
              <w:contextualSpacing w:val="false"/>
              <w:rPr>
                <w:rFonts w:ascii="Arial" w:cs="Arial" w:hAnsi="Arial"/>
                <w:sz w:val="20"/>
                <w:szCs w:val="20"/>
              </w:rPr>
            </w:pPr>
            <w:r>
              <w:rPr>
                <w:rFonts w:ascii="Arial" w:cs="Arial" w:hAnsi="Arial"/>
                <w:sz w:val="20"/>
                <w:szCs w:val="20"/>
              </w:rPr>
              <w:t>$</w:t>
              <w:tab/>
              <w:t>  (5,565</w:t>
              <w:tab/>
              <w:t>)</w:t>
            </w:r>
          </w:p>
        </w:tc>
        <w:tc>
          <w:tcPr>
            <w:tcW w:type="dxa" w:w="1193"/>
            <w:tcBorders>
              <w:top w:val="nil"/>
              <w:left w:val="nil"/>
              <w:bottom w:val="nil"/>
              <w:right w:val="nil"/>
            </w:tcBorders>
            <w:shd w:fill="auto" w:val="clear"/>
            <w:tcMar>
              <w:left w:type="dxa" w:w="144"/>
            </w:tcMar>
            <w:vAlign w:val="bottom"/>
          </w:tcPr>
          <w:p>
            <w:pPr>
              <w:pStyle w:val="style62"/>
              <w:tabs>
                <w:tab w:leader="none" w:pos="980" w:val="right"/>
                <w:tab w:leader="none" w:pos="1020" w:val="decimal"/>
              </w:tabs>
              <w:spacing w:after="280" w:before="280"/>
              <w:ind w:hanging="0" w:left="187" w:right="86"/>
              <w:contextualSpacing w:val="false"/>
              <w:rPr>
                <w:rFonts w:ascii="Arial" w:cs="Arial" w:hAnsi="Arial"/>
                <w:sz w:val="20"/>
                <w:szCs w:val="20"/>
              </w:rPr>
            </w:pPr>
            <w:r>
              <w:rPr>
                <w:rFonts w:ascii="Arial" w:cs="Arial" w:hAnsi="Arial"/>
                <w:sz w:val="20"/>
                <w:szCs w:val="20"/>
              </w:rPr>
              <w:t>$</w:t>
              <w:tab/>
              <w:t>  (4,128</w:t>
              <w:tab/>
              <w:t>)</w:t>
            </w:r>
          </w:p>
        </w:tc>
      </w:tr>
      <w:tr>
        <w:trPr>
          <w:cantSplit w:val="false"/>
        </w:trPr>
        <w:tc>
          <w:tcPr>
            <w:tcW w:type="dxa" w:w="7166"/>
            <w:tcBorders>
              <w:top w:val="nil"/>
              <w:left w:val="nil"/>
              <w:bottom w:val="nil"/>
              <w:right w:val="nil"/>
            </w:tcBorders>
            <w:shd w:fill="auto" w:val="clear"/>
            <w:tcMar>
              <w:left w:type="dxa" w:w="144"/>
            </w:tcMar>
            <w:vAlign w:val="bottom"/>
          </w:tcPr>
          <w:p>
            <w:pPr>
              <w:pStyle w:val="style65"/>
              <w:rPr/>
            </w:pPr>
            <w:r>
              <w:rPr/>
              <w:t> </w:t>
            </w:r>
          </w:p>
        </w:tc>
        <w:tc>
          <w:tcPr>
            <w:tcW w:type="dxa" w:w="1251"/>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190"/>
            <w:tcBorders>
              <w:top w:val="nil"/>
              <w:left w:val="nil"/>
              <w:bottom w:val="nil"/>
              <w:right w:val="nil"/>
            </w:tcBorders>
            <w:shd w:fill="auto" w:val="clear"/>
            <w:tcMar>
              <w:left w:type="dxa" w:w="144"/>
            </w:tcMar>
            <w:vAlign w:val="bottom"/>
          </w:tcPr>
          <w:p>
            <w:pPr>
              <w:pStyle w:val="style63"/>
              <w:spacing w:after="0" w:before="20"/>
              <w:ind w:hanging="0" w:left="173" w:right="101"/>
              <w:contextualSpacing w:val="false"/>
              <w:rPr/>
            </w:pPr>
            <w:r>
              <w:rPr/>
              <w:t> </w:t>
            </w:r>
          </w:p>
        </w:tc>
        <w:tc>
          <w:tcPr>
            <w:tcW w:type="dxa" w:w="1193"/>
            <w:tcBorders>
              <w:top w:val="nil"/>
              <w:left w:val="nil"/>
              <w:bottom w:val="nil"/>
              <w:right w:val="nil"/>
            </w:tcBorders>
            <w:shd w:fill="auto" w:val="clear"/>
            <w:tcMar>
              <w:left w:type="dxa" w:w="144"/>
            </w:tcMar>
            <w:vAlign w:val="bottom"/>
          </w:tcPr>
          <w:p>
            <w:pPr>
              <w:pStyle w:val="style63"/>
              <w:spacing w:after="0" w:before="20"/>
              <w:ind w:hanging="0" w:left="187" w:right="86"/>
              <w:contextualSpacing w:val="false"/>
              <w:rPr/>
            </w:pPr>
            <w:r>
              <w:rPr/>
              <w:t> </w:t>
            </w:r>
          </w:p>
        </w:tc>
      </w:tr>
    </w:tbl>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(a)</w:t>
        <w:tab/>
      </w:r>
      <w:r>
        <w:rPr>
          <w:rFonts w:ascii="Arial" w:cs="Arial" w:hAnsi="Arial"/>
          <w:i/>
          <w:iCs/>
          <w:sz w:val="20"/>
          <w:szCs w:val="20"/>
        </w:rPr>
        <w:t>Corporate-level activity excludes revenue reconciling amounts presented separately in that line item.</w:t>
      </w:r>
      <w:r>
        <w:rPr>
          <w:rFonts w:ascii="Arial" w:cs="Arial" w:hAnsi="Arial"/>
          <w:sz w:val="20"/>
          <w:szCs w:val="20"/>
        </w:rPr>
        <w:t xml:space="preserv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(b)</w:t>
        <w:tab/>
      </w:r>
      <w:r>
        <w:rPr>
          <w:rFonts w:ascii="Arial" w:cs="Arial" w:hAnsi="Arial"/>
          <w:i/>
          <w:iCs/>
          <w:sz w:val="20"/>
          <w:szCs w:val="20"/>
        </w:rPr>
        <w:t>Revenue reconciling amounts for fiscal year 2012 and 2013 include the deferral and subsequent recognition, respectively, of $540 million of revenue related to the Windows Upgrade Offer.</w:t>
      </w:r>
      <w:r>
        <w:rPr>
          <w:rFonts w:ascii="Arial" w:cs="Arial" w:hAnsi="Arial"/>
          <w:sz w:val="20"/>
          <w:szCs w:val="20"/>
        </w:rPr>
        <w:t xml:space="preserv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No sales to an individual customer or country other than the United States accounted for more than 10% of fiscal year 2013, 2012, or 2011 revenue. Revenue, classified by the major geographic areas in which our customers are located, was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079"/>
        <w:gridCol w:w="1280"/>
        <w:gridCol w:w="1219"/>
        <w:gridCol w:w="1221"/>
      </w:tblGrid>
      <w:tr>
        <w:trPr>
          <w:tblHeader w:val="true"/>
          <w:cantSplit w:val="false"/>
        </w:trPr>
        <w:tc>
          <w:tcPr>
            <w:tcW w:type="dxa" w:w="7079"/>
            <w:tcBorders>
              <w:top w:val="nil"/>
              <w:left w:val="nil"/>
              <w:bottom w:val="nil"/>
              <w:right w:val="nil"/>
            </w:tcBorders>
            <w:shd w:fill="auto" w:val="clear"/>
            <w:vAlign w:val="center"/>
          </w:tcPr>
          <w:p>
            <w:pPr>
              <w:pStyle w:val="style0"/>
              <w:rPr>
                <w:sz w:val="1"/>
                <w:szCs w:val="24"/>
              </w:rPr>
            </w:pPr>
            <w:r>
              <w:rPr>
                <w:sz w:val="1"/>
                <w:szCs w:val="24"/>
              </w:rPr>
            </w:r>
          </w:p>
        </w:tc>
        <w:tc>
          <w:tcPr>
            <w:tcW w:type="dxa" w:w="1280"/>
            <w:tcBorders>
              <w:top w:val="nil"/>
              <w:left w:val="nil"/>
              <w:bottom w:val="nil"/>
              <w:right w:val="nil"/>
            </w:tcBorders>
            <w:shd w:fill="auto" w:val="clear"/>
            <w:vAlign w:val="center"/>
          </w:tcPr>
          <w:p>
            <w:pPr>
              <w:pStyle w:val="style0"/>
              <w:rPr>
                <w:sz w:val="1"/>
                <w:szCs w:val="24"/>
              </w:rPr>
            </w:pPr>
            <w:r>
              <w:rPr>
                <w:sz w:val="1"/>
                <w:szCs w:val="24"/>
              </w:rPr>
            </w:r>
          </w:p>
        </w:tc>
        <w:tc>
          <w:tcPr>
            <w:tcW w:type="dxa" w:w="1219"/>
            <w:tcBorders>
              <w:top w:val="nil"/>
              <w:left w:val="nil"/>
              <w:bottom w:val="nil"/>
              <w:right w:val="nil"/>
            </w:tcBorders>
            <w:shd w:fill="auto" w:val="clear"/>
            <w:vAlign w:val="center"/>
          </w:tcPr>
          <w:p>
            <w:pPr>
              <w:pStyle w:val="style0"/>
              <w:rPr>
                <w:sz w:val="1"/>
                <w:szCs w:val="24"/>
              </w:rPr>
            </w:pPr>
            <w:r>
              <w:rPr>
                <w:sz w:val="1"/>
                <w:szCs w:val="24"/>
              </w:rPr>
            </w:r>
          </w:p>
        </w:tc>
        <w:tc>
          <w:tcPr>
            <w:tcW w:type="dxa" w:w="122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0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80"/>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219"/>
            <w:tcBorders>
              <w:top w:val="nil"/>
              <w:left w:val="nil"/>
              <w:bottom w:val="nil"/>
              <w:right w:val="nil"/>
            </w:tcBorders>
            <w:shd w:fill="auto" w:val="clear"/>
            <w:tcMar>
              <w:left w:type="dxa" w:w="144"/>
            </w:tcMar>
            <w:vAlign w:val="bottom"/>
          </w:tcPr>
          <w:p>
            <w:pPr>
              <w:pStyle w:val="style65"/>
              <w:ind w:hanging="0" w:left="216" w:right="86"/>
              <w:rPr/>
            </w:pPr>
            <w:r>
              <w:rPr/>
              <w:t> </w:t>
            </w:r>
          </w:p>
        </w:tc>
        <w:tc>
          <w:tcPr>
            <w:tcW w:type="dxa" w:w="1221"/>
            <w:tcBorders>
              <w:top w:val="nil"/>
              <w:left w:val="nil"/>
              <w:bottom w:val="nil"/>
              <w:right w:val="nil"/>
            </w:tcBorders>
            <w:shd w:fill="auto" w:val="clear"/>
            <w:tcMar>
              <w:left w:type="dxa" w:w="144"/>
            </w:tcMar>
            <w:vAlign w:val="bottom"/>
          </w:tcPr>
          <w:p>
            <w:pPr>
              <w:pStyle w:val="style65"/>
              <w:ind w:hanging="0" w:left="216" w:right="86"/>
              <w:rPr/>
            </w:pPr>
            <w:r>
              <w:rPr/>
              <w:t> </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252" w:right="86"/>
              <w:contextualSpacing w:val="false"/>
              <w:rPr/>
            </w:pPr>
            <w:r>
              <w:rPr/>
              <w:t> </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70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280"/>
            <w:tcBorders>
              <w:top w:val="nil"/>
              <w:left w:val="nil"/>
              <w:bottom w:val="nil"/>
              <w:right w:val="nil"/>
            </w:tcBorders>
            <w:shd w:fill="auto" w:val="clear"/>
            <w:tcMar>
              <w:left w:type="dxa" w:w="144"/>
            </w:tcMar>
            <w:vAlign w:val="bottom"/>
          </w:tcPr>
          <w:p>
            <w:pPr>
              <w:pStyle w:val="style0"/>
              <w:ind w:hanging="0" w:left="216" w:right="58"/>
              <w:jc w:val="right"/>
              <w:rPr>
                <w:rFonts w:ascii="Arial" w:cs="Arial" w:hAnsi="Arial"/>
                <w:b/>
                <w:bCs/>
                <w:sz w:val="15"/>
                <w:szCs w:val="15"/>
              </w:rPr>
            </w:pPr>
            <w:r>
              <w:rPr>
                <w:rFonts w:ascii="Arial" w:cs="Arial" w:hAnsi="Arial"/>
                <w:b/>
                <w:bCs/>
                <w:sz w:val="15"/>
                <w:szCs w:val="15"/>
              </w:rPr>
              <w:t>2013</w:t>
            </w:r>
          </w:p>
        </w:tc>
        <w:tc>
          <w:tcPr>
            <w:tcW w:type="dxa" w:w="1219"/>
            <w:tcBorders>
              <w:top w:val="nil"/>
              <w:left w:val="nil"/>
              <w:bottom w:val="nil"/>
              <w:right w:val="nil"/>
            </w:tcBorders>
            <w:shd w:fill="auto" w:val="clear"/>
            <w:tcMar>
              <w:left w:type="dxa" w:w="144"/>
            </w:tcMar>
            <w:vAlign w:val="bottom"/>
          </w:tcPr>
          <w:p>
            <w:pPr>
              <w:pStyle w:val="style0"/>
              <w:ind w:hanging="0" w:left="216" w:right="72"/>
              <w:jc w:val="right"/>
              <w:rPr>
                <w:rFonts w:ascii="Arial" w:cs="Arial" w:hAnsi="Arial"/>
                <w:b/>
                <w:bCs/>
                <w:sz w:val="15"/>
                <w:szCs w:val="15"/>
              </w:rPr>
            </w:pPr>
            <w:r>
              <w:rPr>
                <w:rFonts w:ascii="Arial" w:cs="Arial" w:hAnsi="Arial"/>
                <w:b/>
                <w:bCs/>
                <w:sz w:val="15"/>
                <w:szCs w:val="15"/>
              </w:rPr>
              <w:t>2012</w:t>
            </w:r>
          </w:p>
        </w:tc>
        <w:tc>
          <w:tcPr>
            <w:tcW w:type="dxa" w:w="1221"/>
            <w:tcBorders>
              <w:top w:val="nil"/>
              <w:left w:val="nil"/>
              <w:bottom w:val="nil"/>
              <w:right w:val="nil"/>
            </w:tcBorders>
            <w:shd w:fill="auto" w:val="clear"/>
            <w:tcMar>
              <w:left w:type="dxa" w:w="144"/>
            </w:tcMar>
            <w:vAlign w:val="bottom"/>
          </w:tcPr>
          <w:p>
            <w:pPr>
              <w:pStyle w:val="style0"/>
              <w:ind w:hanging="0" w:left="216" w:right="58"/>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16"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16" w:right="86"/>
              <w:rPr>
                <w:sz w:val="8"/>
                <w:szCs w:val="24"/>
              </w:rPr>
            </w:pPr>
            <w:r>
              <w:rPr>
                <w:sz w:val="8"/>
                <w:szCs w:val="24"/>
              </w:rPr>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15"/>
                <w:szCs w:val="15"/>
                <w:vertAlign w:val="superscript"/>
              </w:rPr>
            </w:pPr>
            <w:r>
              <w:rPr>
                <w:rFonts w:ascii="Arial" w:cs="Arial" w:hAnsi="Arial"/>
                <w:sz w:val="20"/>
                <w:szCs w:val="20"/>
              </w:rPr>
              <w:t>United States</w:t>
            </w:r>
            <w:r>
              <w:rPr>
                <w:rFonts w:ascii="Arial" w:cs="Arial" w:hAnsi="Arial"/>
                <w:sz w:val="15"/>
                <w:szCs w:val="15"/>
                <w:vertAlign w:val="superscript"/>
              </w:rPr>
              <w:t> (a)</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  41,344</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38,846</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r>
            <w:r>
              <w:rPr>
                <w:rFonts w:ascii="Arial" w:cs="Arial" w:hAnsi="Arial"/>
                <w:sz w:val="12"/>
                <w:szCs w:val="12"/>
              </w:rPr>
              <w:t> </w:t>
            </w:r>
            <w:r>
              <w:rPr>
                <w:rFonts w:ascii="Arial" w:cs="Arial" w:hAnsi="Arial"/>
                <w:sz w:val="20"/>
                <w:szCs w:val="20"/>
              </w:rPr>
              <w:t> 38,008</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 countries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ab/>
              <w:t>36,505</w:t>
              <w:tab/>
              <w:t> </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34,877</w:t>
              <w:tab/>
              <w:t> </w:t>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ab/>
              <w:t>31,935</w:t>
              <w:tab/>
              <w:t> </w:t>
            </w:r>
          </w:p>
        </w:tc>
      </w:tr>
      <w:tr>
        <w:trPr>
          <w:cantSplit w:val="false"/>
        </w:trPr>
        <w:tc>
          <w:tcPr>
            <w:tcW w:type="dxa" w:w="8359"/>
            <w:gridSpan w:val="2"/>
            <w:tcBorders>
              <w:top w:val="nil"/>
              <w:left w:val="nil"/>
              <w:bottom w:val="nil"/>
              <w:right w:val="nil"/>
            </w:tcBorders>
            <w:shd w:fill="auto" w:val="clear"/>
            <w:vAlign w:val="bottom"/>
          </w:tcPr>
          <w:p>
            <w:pPr>
              <w:pStyle w:val="style59"/>
              <w:spacing w:after="0" w:before="20"/>
              <w:ind w:hanging="0" w:left="-252"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spacing w:after="0" w:before="20"/>
              <w:ind w:hanging="0" w:left="216" w:right="86"/>
              <w:contextualSpacing w:val="false"/>
              <w:rPr/>
            </w:pPr>
            <w:r>
              <w:rPr/>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86"/>
              <w:contextualSpacing w:val="false"/>
              <w:rPr>
                <w:rFonts w:ascii="Arial" w:cs="Arial" w:hAnsi="Arial"/>
                <w:b/>
                <w:bCs/>
                <w:sz w:val="20"/>
                <w:szCs w:val="20"/>
              </w:rPr>
            </w:pPr>
            <w:r>
              <w:rPr>
                <w:rFonts w:ascii="Arial" w:cs="Arial" w:hAnsi="Arial"/>
                <w:b/>
                <w:bCs/>
                <w:sz w:val="20"/>
                <w:szCs w:val="20"/>
              </w:rPr>
              <w:t>$</w:t>
              <w:tab/>
              <w:t>77,849</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73,723</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86"/>
              <w:contextualSpacing w:val="false"/>
              <w:rPr>
                <w:rFonts w:ascii="Arial" w:cs="Arial" w:hAnsi="Arial"/>
                <w:sz w:val="20"/>
                <w:szCs w:val="20"/>
              </w:rPr>
            </w:pPr>
            <w:r>
              <w:rPr>
                <w:rFonts w:ascii="Arial" w:cs="Arial" w:hAnsi="Arial"/>
                <w:sz w:val="20"/>
                <w:szCs w:val="20"/>
              </w:rPr>
              <w:t>$</w:t>
              <w:tab/>
              <w:t>69,943</w:t>
              <w:tab/>
            </w:r>
          </w:p>
        </w:tc>
      </w:tr>
      <w:tr>
        <w:trPr>
          <w:cantSplit w:val="false"/>
        </w:trPr>
        <w:tc>
          <w:tcPr>
            <w:tcW w:type="dxa" w:w="7079"/>
            <w:tcBorders>
              <w:top w:val="nil"/>
              <w:left w:val="nil"/>
              <w:bottom w:val="nil"/>
              <w:right w:val="nil"/>
            </w:tcBorders>
            <w:shd w:fill="auto" w:val="clear"/>
            <w:tcMar>
              <w:left w:type="dxa" w:w="144"/>
            </w:tcMar>
            <w:vAlign w:val="bottom"/>
          </w:tcPr>
          <w:p>
            <w:pPr>
              <w:pStyle w:val="style65"/>
              <w:rPr/>
            </w:pPr>
            <w:r>
              <w:rPr/>
              <w:t> </w:t>
            </w:r>
          </w:p>
        </w:tc>
        <w:tc>
          <w:tcPr>
            <w:tcW w:type="dxa" w:w="1280"/>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63"/>
              <w:spacing w:after="0" w:before="20"/>
              <w:ind w:hanging="0" w:left="216" w:right="86"/>
              <w:contextualSpacing w:val="false"/>
              <w:rPr/>
            </w:pPr>
            <w:r>
              <w:rPr/>
              <w:t> </w:t>
            </w:r>
          </w:p>
        </w:tc>
      </w:tr>
    </w:tbl>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(a)</w:t>
        <w:tab/>
      </w:r>
      <w:r>
        <w:rPr>
          <w:rFonts w:ascii="Arial" w:cs="Arial" w:hAnsi="Arial"/>
          <w:i/>
          <w:iCs/>
          <w:sz w:val="20"/>
          <w:szCs w:val="20"/>
        </w:rPr>
        <w:t>Includes billings to OEMs and certain multinational organizations because of the nature of these businesses and the impracticability of determining the geographic source of the revenue.</w:t>
      </w:r>
      <w:r>
        <w:rPr>
          <w:rFonts w:ascii="Arial" w:cs="Arial" w:hAnsi="Arial"/>
          <w:sz w:val="20"/>
          <w:szCs w:val="20"/>
        </w:rPr>
        <w:t xml:space="preserv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Revenue from external customers, classified by significant product and service offerings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079"/>
        <w:gridCol w:w="1280"/>
        <w:gridCol w:w="1219"/>
        <w:gridCol w:w="1221"/>
      </w:tblGrid>
      <w:tr>
        <w:trPr>
          <w:tblHeader w:val="true"/>
          <w:cantSplit w:val="false"/>
        </w:trPr>
        <w:tc>
          <w:tcPr>
            <w:tcW w:type="dxa" w:w="7079"/>
            <w:tcBorders>
              <w:top w:val="nil"/>
              <w:left w:val="nil"/>
              <w:bottom w:val="nil"/>
              <w:right w:val="nil"/>
            </w:tcBorders>
            <w:shd w:fill="auto" w:val="clear"/>
            <w:vAlign w:val="center"/>
          </w:tcPr>
          <w:p>
            <w:pPr>
              <w:pStyle w:val="style0"/>
              <w:rPr>
                <w:sz w:val="1"/>
                <w:szCs w:val="24"/>
              </w:rPr>
            </w:pPr>
            <w:r>
              <w:rPr>
                <w:sz w:val="1"/>
                <w:szCs w:val="24"/>
              </w:rPr>
            </w:r>
          </w:p>
        </w:tc>
        <w:tc>
          <w:tcPr>
            <w:tcW w:type="dxa" w:w="1280"/>
            <w:tcBorders>
              <w:top w:val="nil"/>
              <w:left w:val="nil"/>
              <w:bottom w:val="nil"/>
              <w:right w:val="nil"/>
            </w:tcBorders>
            <w:shd w:fill="auto" w:val="clear"/>
            <w:vAlign w:val="center"/>
          </w:tcPr>
          <w:p>
            <w:pPr>
              <w:pStyle w:val="style0"/>
              <w:rPr>
                <w:sz w:val="1"/>
                <w:szCs w:val="24"/>
              </w:rPr>
            </w:pPr>
            <w:r>
              <w:rPr>
                <w:sz w:val="1"/>
                <w:szCs w:val="24"/>
              </w:rPr>
            </w:r>
          </w:p>
        </w:tc>
        <w:tc>
          <w:tcPr>
            <w:tcW w:type="dxa" w:w="1219"/>
            <w:tcBorders>
              <w:top w:val="nil"/>
              <w:left w:val="nil"/>
              <w:bottom w:val="nil"/>
              <w:right w:val="nil"/>
            </w:tcBorders>
            <w:shd w:fill="auto" w:val="clear"/>
            <w:vAlign w:val="center"/>
          </w:tcPr>
          <w:p>
            <w:pPr>
              <w:pStyle w:val="style0"/>
              <w:rPr>
                <w:sz w:val="1"/>
                <w:szCs w:val="24"/>
              </w:rPr>
            </w:pPr>
            <w:r>
              <w:rPr>
                <w:sz w:val="1"/>
                <w:szCs w:val="24"/>
              </w:rPr>
            </w:r>
          </w:p>
        </w:tc>
        <w:tc>
          <w:tcPr>
            <w:tcW w:type="dxa" w:w="122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0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80"/>
            <w:tcBorders>
              <w:top w:val="nil"/>
              <w:left w:val="nil"/>
              <w:bottom w:val="nil"/>
              <w:right w:val="nil"/>
            </w:tcBorders>
            <w:shd w:fill="auto" w:val="clear"/>
            <w:tcMar>
              <w:left w:type="dxa" w:w="144"/>
            </w:tcMar>
            <w:vAlign w:val="bottom"/>
          </w:tcPr>
          <w:p>
            <w:pPr>
              <w:pStyle w:val="style65"/>
              <w:ind w:hanging="0" w:left="202" w:right="86"/>
              <w:rPr/>
            </w:pPr>
            <w:r>
              <w:rPr/>
              <w:t> </w:t>
            </w:r>
          </w:p>
        </w:tc>
        <w:tc>
          <w:tcPr>
            <w:tcW w:type="dxa" w:w="1219"/>
            <w:tcBorders>
              <w:top w:val="nil"/>
              <w:left w:val="nil"/>
              <w:bottom w:val="nil"/>
              <w:right w:val="nil"/>
            </w:tcBorders>
            <w:shd w:fill="auto" w:val="clear"/>
            <w:tcMar>
              <w:left w:type="dxa" w:w="144"/>
            </w:tcMar>
            <w:vAlign w:val="bottom"/>
          </w:tcPr>
          <w:p>
            <w:pPr>
              <w:pStyle w:val="style65"/>
              <w:ind w:hanging="0" w:left="202" w:right="86"/>
              <w:rPr/>
            </w:pPr>
            <w:r>
              <w:rPr/>
              <w:t> </w:t>
            </w:r>
          </w:p>
        </w:tc>
        <w:tc>
          <w:tcPr>
            <w:tcW w:type="dxa" w:w="1221"/>
            <w:tcBorders>
              <w:top w:val="nil"/>
              <w:left w:val="nil"/>
              <w:bottom w:val="nil"/>
              <w:right w:val="nil"/>
            </w:tcBorders>
            <w:shd w:fill="auto" w:val="clear"/>
            <w:tcMar>
              <w:left w:type="dxa" w:w="144"/>
            </w:tcMar>
            <w:vAlign w:val="bottom"/>
          </w:tcPr>
          <w:p>
            <w:pPr>
              <w:pStyle w:val="style65"/>
              <w:ind w:hanging="0" w:left="202" w:right="86"/>
              <w:rPr/>
            </w:pPr>
            <w:r>
              <w:rPr/>
              <w:t> </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189" w:right="86"/>
              <w:contextualSpacing w:val="false"/>
              <w:rPr/>
            </w:pPr>
            <w:r>
              <w:rPr/>
              <w:t> </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02" w:right="86"/>
              <w:rPr>
                <w:sz w:val="8"/>
                <w:szCs w:val="24"/>
              </w:rPr>
            </w:pPr>
            <w:r>
              <w:rPr>
                <w:sz w:val="8"/>
                <w:szCs w:val="24"/>
              </w:rPr>
            </w:r>
          </w:p>
        </w:tc>
      </w:tr>
      <w:tr>
        <w:trPr>
          <w:cantSplit w:val="false"/>
        </w:trPr>
        <w:tc>
          <w:tcPr>
            <w:tcW w:type="dxa" w:w="70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Year Ended June 30,</w:t>
            </w:r>
          </w:p>
        </w:tc>
        <w:tc>
          <w:tcPr>
            <w:tcW w:type="dxa" w:w="1280"/>
            <w:tcBorders>
              <w:top w:val="nil"/>
              <w:left w:val="nil"/>
              <w:bottom w:val="nil"/>
              <w:right w:val="nil"/>
            </w:tcBorders>
            <w:shd w:fill="auto" w:val="clear"/>
            <w:tcMar>
              <w:left w:type="dxa" w:w="144"/>
            </w:tcMar>
            <w:vAlign w:val="bottom"/>
          </w:tcPr>
          <w:p>
            <w:pPr>
              <w:pStyle w:val="style0"/>
              <w:ind w:hanging="0" w:left="202" w:right="58"/>
              <w:jc w:val="right"/>
              <w:rPr>
                <w:rFonts w:ascii="Arial" w:cs="Arial" w:hAnsi="Arial"/>
                <w:b/>
                <w:bCs/>
                <w:sz w:val="15"/>
                <w:szCs w:val="15"/>
              </w:rPr>
            </w:pPr>
            <w:r>
              <w:rPr>
                <w:rFonts w:ascii="Arial" w:cs="Arial" w:hAnsi="Arial"/>
                <w:b/>
                <w:bCs/>
                <w:sz w:val="15"/>
                <w:szCs w:val="15"/>
              </w:rPr>
              <w:t>2013</w:t>
            </w:r>
          </w:p>
        </w:tc>
        <w:tc>
          <w:tcPr>
            <w:tcW w:type="dxa" w:w="1219"/>
            <w:tcBorders>
              <w:top w:val="nil"/>
              <w:left w:val="nil"/>
              <w:bottom w:val="nil"/>
              <w:right w:val="nil"/>
            </w:tcBorders>
            <w:shd w:fill="auto" w:val="clear"/>
            <w:tcMar>
              <w:left w:type="dxa" w:w="144"/>
            </w:tcMar>
            <w:vAlign w:val="bottom"/>
          </w:tcPr>
          <w:p>
            <w:pPr>
              <w:pStyle w:val="style0"/>
              <w:ind w:hanging="0" w:left="202" w:right="29"/>
              <w:jc w:val="right"/>
              <w:rPr>
                <w:rFonts w:ascii="Arial" w:cs="Arial" w:hAnsi="Arial"/>
                <w:b/>
                <w:bCs/>
                <w:sz w:val="15"/>
                <w:szCs w:val="15"/>
              </w:rPr>
            </w:pPr>
            <w:r>
              <w:rPr>
                <w:rFonts w:ascii="Arial" w:cs="Arial" w:hAnsi="Arial"/>
                <w:b/>
                <w:bCs/>
                <w:sz w:val="15"/>
                <w:szCs w:val="15"/>
              </w:rPr>
              <w:t>2012</w:t>
            </w:r>
          </w:p>
        </w:tc>
        <w:tc>
          <w:tcPr>
            <w:tcW w:type="dxa" w:w="1221"/>
            <w:tcBorders>
              <w:top w:val="nil"/>
              <w:left w:val="nil"/>
              <w:bottom w:val="nil"/>
              <w:right w:val="nil"/>
            </w:tcBorders>
            <w:shd w:fill="auto" w:val="clear"/>
            <w:tcMar>
              <w:left w:type="dxa" w:w="144"/>
            </w:tcMar>
            <w:vAlign w:val="bottom"/>
          </w:tcPr>
          <w:p>
            <w:pPr>
              <w:pStyle w:val="style0"/>
              <w:ind w:hanging="0" w:left="202" w:right="43"/>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02" w:right="86"/>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02" w:right="86"/>
              <w:rPr>
                <w:sz w:val="8"/>
                <w:szCs w:val="24"/>
              </w:rPr>
            </w:pPr>
            <w:r>
              <w:rPr>
                <w:sz w:val="8"/>
                <w:szCs w:val="24"/>
              </w:rPr>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Microsoft Office system</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w:t>
              <w:tab/>
              <w:t>  22,995</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  22,299</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  20,730</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Windows operating systems for computing devices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ab/>
              <w:t>17,529</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17,320</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17,825</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Server products and tools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ab/>
              <w:t>15,408</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14,232</w:t>
              <w:tab/>
              <w:t> </w:t>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13,251</w:t>
              <w:tab/>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Xbox 360 platform</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ab/>
              <w:t>7,100</w:t>
              <w:tab/>
              <w:t> </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8,045</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8,103</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Consulting and product support services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ab/>
              <w:t>4,372</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3,976</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3,372</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Advertising</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ab/>
              <w:t>3,387</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3,181</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2,913</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ab/>
              <w:t>7,058</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4,670</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ab/>
              <w:t>3,749</w:t>
              <w:tab/>
            </w:r>
          </w:p>
        </w:tc>
      </w:tr>
      <w:tr>
        <w:trPr>
          <w:cantSplit w:val="false"/>
        </w:trPr>
        <w:tc>
          <w:tcPr>
            <w:tcW w:type="dxa" w:w="8359"/>
            <w:gridSpan w:val="2"/>
            <w:tcBorders>
              <w:top w:val="nil"/>
              <w:left w:val="nil"/>
              <w:bottom w:val="nil"/>
              <w:right w:val="nil"/>
            </w:tcBorders>
            <w:shd w:fill="auto" w:val="clear"/>
            <w:vAlign w:val="bottom"/>
          </w:tcPr>
          <w:p>
            <w:pPr>
              <w:pStyle w:val="style59"/>
              <w:spacing w:after="0" w:before="20"/>
              <w:ind w:hanging="0" w:left="-189"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59"/>
              <w:spacing w:after="0" w:before="20"/>
              <w:ind w:hanging="0" w:left="202"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spacing w:after="0" w:before="20"/>
              <w:ind w:hanging="0" w:left="202" w:right="86"/>
              <w:contextualSpacing w:val="false"/>
              <w:rPr/>
            </w:pPr>
            <w:r>
              <w:rPr/>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02" w:right="86"/>
              <w:contextualSpacing w:val="false"/>
              <w:rPr>
                <w:rFonts w:ascii="Arial" w:cs="Arial" w:hAnsi="Arial"/>
                <w:b/>
                <w:bCs/>
                <w:sz w:val="20"/>
                <w:szCs w:val="20"/>
              </w:rPr>
            </w:pPr>
            <w:r>
              <w:rPr>
                <w:rFonts w:ascii="Arial" w:cs="Arial" w:hAnsi="Arial"/>
                <w:b/>
                <w:bCs/>
                <w:sz w:val="20"/>
                <w:szCs w:val="20"/>
              </w:rPr>
              <w:t>$</w:t>
              <w:tab/>
              <w:t>77,849</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73,723</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02" w:right="86"/>
              <w:contextualSpacing w:val="false"/>
              <w:rPr>
                <w:rFonts w:ascii="Arial" w:cs="Arial" w:hAnsi="Arial"/>
                <w:sz w:val="20"/>
                <w:szCs w:val="20"/>
              </w:rPr>
            </w:pPr>
            <w:r>
              <w:rPr>
                <w:rFonts w:ascii="Arial" w:cs="Arial" w:hAnsi="Arial"/>
                <w:sz w:val="20"/>
                <w:szCs w:val="20"/>
              </w:rPr>
              <w:t>$</w:t>
              <w:tab/>
              <w:t>69,943</w:t>
              <w:tab/>
            </w:r>
          </w:p>
        </w:tc>
      </w:tr>
      <w:tr>
        <w:trPr>
          <w:cantSplit w:val="false"/>
        </w:trPr>
        <w:tc>
          <w:tcPr>
            <w:tcW w:type="dxa" w:w="7079"/>
            <w:tcBorders>
              <w:top w:val="nil"/>
              <w:left w:val="nil"/>
              <w:bottom w:val="nil"/>
              <w:right w:val="nil"/>
            </w:tcBorders>
            <w:shd w:fill="auto" w:val="clear"/>
            <w:tcMar>
              <w:left w:type="dxa" w:w="144"/>
            </w:tcMar>
            <w:vAlign w:val="bottom"/>
          </w:tcPr>
          <w:p>
            <w:pPr>
              <w:pStyle w:val="style65"/>
              <w:rPr/>
            </w:pPr>
            <w:r>
              <w:rPr/>
              <w:t> </w:t>
            </w:r>
          </w:p>
        </w:tc>
        <w:tc>
          <w:tcPr>
            <w:tcW w:type="dxa" w:w="1280"/>
            <w:tcBorders>
              <w:top w:val="nil"/>
              <w:left w:val="nil"/>
              <w:bottom w:val="nil"/>
              <w:right w:val="nil"/>
            </w:tcBorders>
            <w:shd w:fill="auto" w:val="clear"/>
            <w:tcMar>
              <w:left w:type="dxa" w:w="144"/>
            </w:tcMar>
            <w:vAlign w:val="bottom"/>
          </w:tcPr>
          <w:p>
            <w:pPr>
              <w:pStyle w:val="style63"/>
              <w:spacing w:after="0" w:before="20"/>
              <w:ind w:hanging="0" w:left="202" w:right="86"/>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63"/>
              <w:spacing w:after="0" w:before="20"/>
              <w:ind w:hanging="0" w:left="202" w:right="86"/>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63"/>
              <w:spacing w:after="0" w:before="20"/>
              <w:ind w:hanging="0" w:left="202" w:right="86"/>
              <w:contextualSpacing w:val="false"/>
              <w:rPr/>
            </w:pPr>
            <w:r>
              <w:rPr/>
              <w:t> </w:t>
            </w:r>
          </w:p>
        </w:tc>
      </w:tr>
    </w:tbl>
    <w:p>
      <w:pPr>
        <w:pStyle w:val="style62"/>
        <w:pageBreakBefore/>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Assets are not allocated to segments for internal reporting presentations. A portion of amortization and depreciation is included with various other costs in an overhead allocation to each segment, and it is impracticable for us to separately identify the amount of amortization and depreciation by segment that is included in the measure of segment profit or loss.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Long-lived assets, excluding financial instruments and tax assets, classified by the location of the controlling statutory company and with countries over 10% of the total shown separately, were as follows: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7079"/>
        <w:gridCol w:w="1280"/>
        <w:gridCol w:w="1219"/>
        <w:gridCol w:w="1221"/>
      </w:tblGrid>
      <w:tr>
        <w:trPr>
          <w:tblHeader w:val="true"/>
          <w:cantSplit w:val="false"/>
        </w:trPr>
        <w:tc>
          <w:tcPr>
            <w:tcW w:type="dxa" w:w="7079"/>
            <w:tcBorders>
              <w:top w:val="nil"/>
              <w:left w:val="nil"/>
              <w:bottom w:val="nil"/>
              <w:right w:val="nil"/>
            </w:tcBorders>
            <w:shd w:fill="auto" w:val="clear"/>
            <w:vAlign w:val="center"/>
          </w:tcPr>
          <w:p>
            <w:pPr>
              <w:pStyle w:val="style0"/>
              <w:rPr>
                <w:sz w:val="1"/>
                <w:szCs w:val="24"/>
              </w:rPr>
            </w:pPr>
            <w:r>
              <w:rPr>
                <w:sz w:val="1"/>
                <w:szCs w:val="24"/>
              </w:rPr>
            </w:r>
          </w:p>
        </w:tc>
        <w:tc>
          <w:tcPr>
            <w:tcW w:type="dxa" w:w="1280"/>
            <w:tcBorders>
              <w:top w:val="nil"/>
              <w:left w:val="nil"/>
              <w:bottom w:val="nil"/>
              <w:right w:val="nil"/>
            </w:tcBorders>
            <w:shd w:fill="auto" w:val="clear"/>
            <w:vAlign w:val="center"/>
          </w:tcPr>
          <w:p>
            <w:pPr>
              <w:pStyle w:val="style0"/>
              <w:rPr>
                <w:sz w:val="1"/>
                <w:szCs w:val="24"/>
              </w:rPr>
            </w:pPr>
            <w:r>
              <w:rPr>
                <w:sz w:val="1"/>
                <w:szCs w:val="24"/>
              </w:rPr>
            </w:r>
          </w:p>
        </w:tc>
        <w:tc>
          <w:tcPr>
            <w:tcW w:type="dxa" w:w="1219"/>
            <w:tcBorders>
              <w:top w:val="nil"/>
              <w:left w:val="nil"/>
              <w:bottom w:val="nil"/>
              <w:right w:val="nil"/>
            </w:tcBorders>
            <w:shd w:fill="auto" w:val="clear"/>
            <w:vAlign w:val="center"/>
          </w:tcPr>
          <w:p>
            <w:pPr>
              <w:pStyle w:val="style0"/>
              <w:rPr>
                <w:sz w:val="1"/>
                <w:szCs w:val="24"/>
              </w:rPr>
            </w:pPr>
            <w:r>
              <w:rPr>
                <w:sz w:val="1"/>
                <w:szCs w:val="24"/>
              </w:rPr>
            </w:r>
          </w:p>
        </w:tc>
        <w:tc>
          <w:tcPr>
            <w:tcW w:type="dxa" w:w="1221"/>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70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w:t>
            </w:r>
          </w:p>
        </w:tc>
        <w:tc>
          <w:tcPr>
            <w:tcW w:type="dxa" w:w="1280"/>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219"/>
            <w:tcBorders>
              <w:top w:val="nil"/>
              <w:left w:val="nil"/>
              <w:bottom w:val="nil"/>
              <w:right w:val="nil"/>
            </w:tcBorders>
            <w:shd w:fill="auto" w:val="clear"/>
            <w:tcMar>
              <w:left w:type="dxa" w:w="144"/>
            </w:tcMar>
            <w:vAlign w:val="bottom"/>
          </w:tcPr>
          <w:p>
            <w:pPr>
              <w:pStyle w:val="style65"/>
              <w:ind w:hanging="0" w:left="216" w:right="101"/>
              <w:rPr/>
            </w:pPr>
            <w:r>
              <w:rPr/>
              <w:t> </w:t>
            </w:r>
          </w:p>
        </w:tc>
        <w:tc>
          <w:tcPr>
            <w:tcW w:type="dxa" w:w="1221"/>
            <w:tcBorders>
              <w:top w:val="nil"/>
              <w:left w:val="nil"/>
              <w:bottom w:val="nil"/>
              <w:right w:val="nil"/>
            </w:tcBorders>
            <w:shd w:fill="auto" w:val="clear"/>
            <w:tcMar>
              <w:left w:type="dxa" w:w="144"/>
            </w:tcMar>
            <w:vAlign w:val="bottom"/>
          </w:tcPr>
          <w:p>
            <w:pPr>
              <w:pStyle w:val="style65"/>
              <w:ind w:hanging="0" w:left="216" w:right="101"/>
              <w:rPr/>
            </w:pPr>
            <w:r>
              <w:rPr/>
              <w:t> </w:t>
            </w:r>
          </w:p>
        </w:tc>
      </w:tr>
      <w:tr>
        <w:trPr>
          <w:cantSplit w:val="false"/>
        </w:trPr>
        <w:tc>
          <w:tcPr>
            <w:tcW w:type="dxa" w:w="10799"/>
            <w:gridSpan w:val="4"/>
            <w:tcBorders>
              <w:top w:val="nil"/>
              <w:left w:val="nil"/>
              <w:bottom w:val="nil"/>
              <w:right w:val="nil"/>
            </w:tcBorders>
            <w:shd w:fill="auto" w:val="clear"/>
            <w:tcMar>
              <w:left w:type="dxa" w:w="144"/>
            </w:tcMar>
            <w:vAlign w:val="bottom"/>
          </w:tcPr>
          <w:p>
            <w:pPr>
              <w:pStyle w:val="style59"/>
              <w:spacing w:after="0" w:before="20"/>
              <w:ind w:hanging="0" w:left="-117" w:right="101"/>
              <w:contextualSpacing w:val="false"/>
              <w:rPr/>
            </w:pPr>
            <w:r>
              <w:rPr/>
              <w:t> </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7079"/>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June 30,</w:t>
            </w:r>
          </w:p>
        </w:tc>
        <w:tc>
          <w:tcPr>
            <w:tcW w:type="dxa" w:w="1280"/>
            <w:tcBorders>
              <w:top w:val="nil"/>
              <w:left w:val="nil"/>
              <w:bottom w:val="nil"/>
              <w:right w:val="nil"/>
            </w:tcBorders>
            <w:shd w:fill="auto" w:val="clear"/>
            <w:tcMar>
              <w:left w:type="dxa" w:w="144"/>
            </w:tcMar>
            <w:vAlign w:val="bottom"/>
          </w:tcPr>
          <w:p>
            <w:pPr>
              <w:pStyle w:val="style0"/>
              <w:ind w:hanging="0" w:left="216" w:right="58"/>
              <w:jc w:val="right"/>
              <w:rPr>
                <w:rFonts w:ascii="Arial" w:cs="Arial" w:hAnsi="Arial"/>
                <w:b/>
                <w:bCs/>
                <w:sz w:val="15"/>
                <w:szCs w:val="15"/>
              </w:rPr>
            </w:pPr>
            <w:r>
              <w:rPr>
                <w:rFonts w:ascii="Arial" w:cs="Arial" w:hAnsi="Arial"/>
                <w:b/>
                <w:bCs/>
                <w:sz w:val="15"/>
                <w:szCs w:val="15"/>
              </w:rPr>
              <w:t>2013</w:t>
            </w:r>
          </w:p>
        </w:tc>
        <w:tc>
          <w:tcPr>
            <w:tcW w:type="dxa" w:w="1219"/>
            <w:tcBorders>
              <w:top w:val="nil"/>
              <w:left w:val="nil"/>
              <w:bottom w:val="nil"/>
              <w:right w:val="nil"/>
            </w:tcBorders>
            <w:shd w:fill="auto" w:val="clear"/>
            <w:tcMar>
              <w:left w:type="dxa" w:w="144"/>
            </w:tcMar>
            <w:vAlign w:val="bottom"/>
          </w:tcPr>
          <w:p>
            <w:pPr>
              <w:pStyle w:val="style0"/>
              <w:ind w:hanging="0" w:left="216" w:right="58"/>
              <w:jc w:val="right"/>
              <w:rPr>
                <w:rFonts w:ascii="Arial" w:cs="Arial" w:hAnsi="Arial"/>
                <w:b/>
                <w:bCs/>
                <w:sz w:val="15"/>
                <w:szCs w:val="15"/>
              </w:rPr>
            </w:pPr>
            <w:r>
              <w:rPr>
                <w:rFonts w:ascii="Arial" w:cs="Arial" w:hAnsi="Arial"/>
                <w:b/>
                <w:bCs/>
                <w:sz w:val="15"/>
                <w:szCs w:val="15"/>
              </w:rPr>
              <w:t>2012</w:t>
            </w:r>
          </w:p>
        </w:tc>
        <w:tc>
          <w:tcPr>
            <w:tcW w:type="dxa" w:w="1221"/>
            <w:tcBorders>
              <w:top w:val="nil"/>
              <w:left w:val="nil"/>
              <w:bottom w:val="nil"/>
              <w:right w:val="nil"/>
            </w:tcBorders>
            <w:shd w:fill="auto" w:val="clear"/>
            <w:tcMar>
              <w:left w:type="dxa" w:w="144"/>
            </w:tcMar>
            <w:vAlign w:val="bottom"/>
          </w:tcPr>
          <w:p>
            <w:pPr>
              <w:pStyle w:val="style0"/>
              <w:ind w:hanging="0" w:left="216" w:right="58"/>
              <w:jc w:val="right"/>
              <w:rPr>
                <w:rFonts w:ascii="Arial" w:cs="Arial" w:hAnsi="Arial"/>
                <w:b/>
                <w:bCs/>
                <w:sz w:val="15"/>
                <w:szCs w:val="15"/>
              </w:rPr>
            </w:pPr>
            <w:r>
              <w:rPr>
                <w:rFonts w:ascii="Arial" w:cs="Arial" w:hAnsi="Arial"/>
                <w:b/>
                <w:bCs/>
                <w:sz w:val="15"/>
                <w:szCs w:val="15"/>
              </w:rPr>
              <w:t>2011</w:t>
            </w:r>
          </w:p>
        </w:tc>
      </w:tr>
      <w:tr>
        <w:trPr>
          <w:trHeight w:hRule="atLeast" w:val="75"/>
          <w:cantSplit w:val="false"/>
        </w:trPr>
        <w:tc>
          <w:tcPr>
            <w:tcW w:type="dxa" w:w="7079"/>
            <w:tcBorders>
              <w:top w:val="nil"/>
              <w:left w:val="nil"/>
              <w:bottom w:val="nil"/>
              <w:right w:val="nil"/>
            </w:tcBorders>
            <w:shd w:fill="auto" w:val="clear"/>
            <w:vAlign w:val="center"/>
          </w:tcPr>
          <w:p>
            <w:pPr>
              <w:pStyle w:val="style0"/>
              <w:rPr>
                <w:sz w:val="8"/>
                <w:szCs w:val="24"/>
              </w:rPr>
            </w:pPr>
            <w:r>
              <w:rPr>
                <w:sz w:val="8"/>
                <w:szCs w:val="24"/>
              </w:rPr>
            </w:r>
          </w:p>
        </w:tc>
        <w:tc>
          <w:tcPr>
            <w:tcW w:type="dxa" w:w="1280"/>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19"/>
            <w:tcBorders>
              <w:top w:val="nil"/>
              <w:left w:val="nil"/>
              <w:bottom w:val="nil"/>
              <w:right w:val="nil"/>
            </w:tcBorders>
            <w:shd w:fill="auto" w:val="clear"/>
            <w:vAlign w:val="center"/>
          </w:tcPr>
          <w:p>
            <w:pPr>
              <w:pStyle w:val="style0"/>
              <w:ind w:hanging="0" w:left="216" w:right="101"/>
              <w:rPr>
                <w:sz w:val="8"/>
                <w:szCs w:val="24"/>
              </w:rPr>
            </w:pPr>
            <w:r>
              <w:rPr>
                <w:sz w:val="8"/>
                <w:szCs w:val="24"/>
              </w:rPr>
            </w:r>
          </w:p>
        </w:tc>
        <w:tc>
          <w:tcPr>
            <w:tcW w:type="dxa" w:w="1221"/>
            <w:tcBorders>
              <w:top w:val="nil"/>
              <w:left w:val="nil"/>
              <w:bottom w:val="nil"/>
              <w:right w:val="nil"/>
            </w:tcBorders>
            <w:shd w:fill="auto" w:val="clear"/>
            <w:vAlign w:val="center"/>
          </w:tcPr>
          <w:p>
            <w:pPr>
              <w:pStyle w:val="style0"/>
              <w:ind w:hanging="0" w:left="216" w:right="101"/>
              <w:rPr>
                <w:sz w:val="8"/>
                <w:szCs w:val="24"/>
              </w:rPr>
            </w:pPr>
            <w:r>
              <w:rPr>
                <w:sz w:val="8"/>
                <w:szCs w:val="24"/>
              </w:rPr>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United States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  16,615</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14,081</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18,498</w:t>
              <w:tab/>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Luxembourg</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6,943</w:t>
              <w:tab/>
              <w:t> </w:t>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ab/>
              <w:t>6,975</w:t>
              <w:tab/>
              <w:t> </w:t>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ab/>
              <w:t>0</w:t>
              <w:tab/>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Other countries</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ab/>
              <w:t>4,171</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ab/>
              <w:t>3,835</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ab/>
              <w:t>2,989</w:t>
              <w:tab/>
            </w:r>
          </w:p>
        </w:tc>
      </w:tr>
      <w:tr>
        <w:trPr>
          <w:cantSplit w:val="false"/>
        </w:trPr>
        <w:tc>
          <w:tcPr>
            <w:tcW w:type="dxa" w:w="8359"/>
            <w:gridSpan w:val="2"/>
            <w:tcBorders>
              <w:top w:val="nil"/>
              <w:left w:val="nil"/>
              <w:bottom w:val="nil"/>
              <w:right w:val="nil"/>
            </w:tcBorders>
            <w:shd w:fill="auto" w:val="clear"/>
            <w:vAlign w:val="bottom"/>
          </w:tcPr>
          <w:p>
            <w:pPr>
              <w:pStyle w:val="style59"/>
              <w:spacing w:after="0" w:before="20"/>
              <w:ind w:hanging="0" w:left="-117" w:right="101"/>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59"/>
              <w:spacing w:after="0" w:before="20"/>
              <w:ind w:hanging="0" w:left="216" w:right="101"/>
              <w:contextualSpacing w:val="false"/>
              <w:rPr/>
            </w:pPr>
            <w:r>
              <w:rPr/>
              <w:t> </w:t>
            </w:r>
          </w:p>
        </w:tc>
      </w:tr>
      <w:tr>
        <w:trPr>
          <w:cantSplit w:val="false"/>
        </w:trPr>
        <w:tc>
          <w:tcPr>
            <w:tcW w:type="dxa" w:w="7079"/>
            <w:tcBorders>
              <w:top w:val="nil"/>
              <w:left w:val="nil"/>
              <w:bottom w:val="nil"/>
              <w:right w:val="nil"/>
            </w:tcBorders>
            <w:shd w:fill="auto" w:val="clear"/>
          </w:tcPr>
          <w:p>
            <w:pPr>
              <w:pStyle w:val="style62"/>
              <w:spacing w:after="280" w:before="280"/>
              <w:ind w:hanging="240" w:left="480" w:right="0"/>
              <w:contextualSpacing w:val="false"/>
              <w:rPr>
                <w:rFonts w:ascii="Arial" w:cs="Arial" w:hAnsi="Arial"/>
                <w:sz w:val="20"/>
                <w:szCs w:val="20"/>
              </w:rPr>
            </w:pPr>
            <w:r>
              <w:rPr>
                <w:rFonts w:ascii="Arial" w:cs="Arial" w:hAnsi="Arial"/>
                <w:sz w:val="20"/>
                <w:szCs w:val="20"/>
              </w:rPr>
              <w:t>Total</w:t>
            </w:r>
          </w:p>
        </w:tc>
        <w:tc>
          <w:tcPr>
            <w:tcW w:type="dxa" w:w="1280"/>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101"/>
              <w:contextualSpacing w:val="false"/>
              <w:rPr>
                <w:rFonts w:ascii="Arial" w:cs="Arial" w:hAnsi="Arial"/>
                <w:b/>
                <w:bCs/>
                <w:sz w:val="20"/>
                <w:szCs w:val="20"/>
              </w:rPr>
            </w:pPr>
            <w:r>
              <w:rPr>
                <w:rFonts w:ascii="Arial" w:cs="Arial" w:hAnsi="Arial"/>
                <w:b/>
                <w:bCs/>
                <w:sz w:val="20"/>
                <w:szCs w:val="20"/>
              </w:rPr>
              <w:t>$</w:t>
              <w:tab/>
              <w:t>27,729</w:t>
              <w:tab/>
            </w:r>
          </w:p>
        </w:tc>
        <w:tc>
          <w:tcPr>
            <w:tcW w:type="dxa" w:w="1219"/>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24,891</w:t>
              <w:tab/>
            </w:r>
          </w:p>
        </w:tc>
        <w:tc>
          <w:tcPr>
            <w:tcW w:type="dxa" w:w="1221"/>
            <w:tcBorders>
              <w:top w:val="nil"/>
              <w:left w:val="nil"/>
              <w:bottom w:val="nil"/>
              <w:right w:val="nil"/>
            </w:tcBorders>
            <w:shd w:fill="auto" w:val="clear"/>
            <w:tcMar>
              <w:left w:type="dxa" w:w="144"/>
            </w:tcMar>
            <w:vAlign w:val="bottom"/>
          </w:tcPr>
          <w:p>
            <w:pPr>
              <w:pStyle w:val="style62"/>
              <w:tabs>
                <w:tab w:leader="none" w:pos="1020" w:val="right"/>
                <w:tab w:leader="none" w:pos="1060" w:val="decimal"/>
              </w:tabs>
              <w:spacing w:after="280" w:before="280"/>
              <w:ind w:hanging="0" w:left="216" w:right="101"/>
              <w:contextualSpacing w:val="false"/>
              <w:rPr>
                <w:rFonts w:ascii="Arial" w:cs="Arial" w:hAnsi="Arial"/>
                <w:sz w:val="20"/>
                <w:szCs w:val="20"/>
              </w:rPr>
            </w:pPr>
            <w:r>
              <w:rPr>
                <w:rFonts w:ascii="Arial" w:cs="Arial" w:hAnsi="Arial"/>
                <w:sz w:val="20"/>
                <w:szCs w:val="20"/>
              </w:rPr>
              <w:t>$</w:t>
              <w:tab/>
              <w:t>21,487</w:t>
              <w:tab/>
            </w:r>
          </w:p>
        </w:tc>
      </w:tr>
      <w:tr>
        <w:trPr>
          <w:cantSplit w:val="false"/>
        </w:trPr>
        <w:tc>
          <w:tcPr>
            <w:tcW w:type="dxa" w:w="7079"/>
            <w:tcBorders>
              <w:top w:val="nil"/>
              <w:left w:val="nil"/>
              <w:bottom w:val="nil"/>
              <w:right w:val="nil"/>
            </w:tcBorders>
            <w:shd w:fill="auto" w:val="clear"/>
            <w:tcMar>
              <w:left w:type="dxa" w:w="144"/>
            </w:tcMar>
            <w:vAlign w:val="bottom"/>
          </w:tcPr>
          <w:p>
            <w:pPr>
              <w:pStyle w:val="style65"/>
              <w:rPr/>
            </w:pPr>
            <w:r>
              <w:rPr/>
              <w:t> </w:t>
            </w:r>
          </w:p>
        </w:tc>
        <w:tc>
          <w:tcPr>
            <w:tcW w:type="dxa" w:w="1280"/>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c>
          <w:tcPr>
            <w:tcW w:type="dxa" w:w="1219"/>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c>
          <w:tcPr>
            <w:tcW w:type="dxa" w:w="1221"/>
            <w:tcBorders>
              <w:top w:val="nil"/>
              <w:left w:val="nil"/>
              <w:bottom w:val="nil"/>
              <w:right w:val="nil"/>
            </w:tcBorders>
            <w:shd w:fill="auto" w:val="clear"/>
            <w:tcMar>
              <w:left w:type="dxa" w:w="144"/>
            </w:tcMar>
            <w:vAlign w:val="bottom"/>
          </w:tcPr>
          <w:p>
            <w:pPr>
              <w:pStyle w:val="style63"/>
              <w:spacing w:after="0" w:before="20"/>
              <w:ind w:hanging="0" w:left="216" w:right="101"/>
              <w:contextualSpacing w:val="false"/>
              <w:rPr/>
            </w:pPr>
            <w:r>
              <w:rPr/>
              <w:t> </w:t>
            </w:r>
          </w:p>
        </w:tc>
      </w:tr>
    </w:tbl>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NOTE 22 — QUARTERLY INFORMATION (UNAUDITED) </w:t>
      </w:r>
    </w:p>
    <w:p>
      <w:pPr>
        <w:pStyle w:val="style62"/>
        <w:keepNext/>
        <w:spacing w:after="280" w:before="280"/>
        <w:contextualSpacing w:val="false"/>
        <w:rPr>
          <w:sz w:val="18"/>
          <w:szCs w:val="18"/>
        </w:rPr>
      </w:pPr>
      <w:r>
        <w:rPr>
          <w:sz w:val="18"/>
          <w:szCs w:val="18"/>
        </w:rPr>
        <w:t> </w:t>
      </w:r>
    </w:p>
    <w:tbl>
      <w:tblPr>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3404"/>
        <w:gridCol w:w="1589"/>
        <w:gridCol w:w="1531"/>
        <w:gridCol w:w="1402"/>
        <w:gridCol w:w="1468"/>
        <w:gridCol w:w="1405"/>
      </w:tblGrid>
      <w:tr>
        <w:trPr>
          <w:tblHeader w:val="true"/>
          <w:cantSplit w:val="false"/>
        </w:trPr>
        <w:tc>
          <w:tcPr>
            <w:tcW w:type="dxa" w:w="3404"/>
            <w:tcBorders>
              <w:top w:val="nil"/>
              <w:left w:val="nil"/>
              <w:bottom w:val="nil"/>
              <w:right w:val="nil"/>
            </w:tcBorders>
            <w:shd w:fill="auto" w:val="clear"/>
            <w:vAlign w:val="center"/>
          </w:tcPr>
          <w:p>
            <w:pPr>
              <w:pStyle w:val="style0"/>
              <w:rPr>
                <w:sz w:val="1"/>
                <w:szCs w:val="24"/>
              </w:rPr>
            </w:pPr>
            <w:r>
              <w:rPr>
                <w:sz w:val="1"/>
                <w:szCs w:val="24"/>
              </w:rPr>
            </w:r>
          </w:p>
        </w:tc>
        <w:tc>
          <w:tcPr>
            <w:tcW w:type="dxa" w:w="1589"/>
            <w:tcBorders>
              <w:top w:val="nil"/>
              <w:left w:val="nil"/>
              <w:bottom w:val="nil"/>
              <w:right w:val="nil"/>
            </w:tcBorders>
            <w:shd w:fill="auto" w:val="clear"/>
            <w:vAlign w:val="center"/>
          </w:tcPr>
          <w:p>
            <w:pPr>
              <w:pStyle w:val="style0"/>
              <w:rPr>
                <w:sz w:val="1"/>
                <w:szCs w:val="24"/>
              </w:rPr>
            </w:pPr>
            <w:r>
              <w:rPr>
                <w:sz w:val="1"/>
                <w:szCs w:val="24"/>
              </w:rPr>
            </w:r>
          </w:p>
        </w:tc>
        <w:tc>
          <w:tcPr>
            <w:tcW w:type="dxa" w:w="1531"/>
            <w:tcBorders>
              <w:top w:val="nil"/>
              <w:left w:val="nil"/>
              <w:bottom w:val="nil"/>
              <w:right w:val="nil"/>
            </w:tcBorders>
            <w:shd w:fill="auto" w:val="clear"/>
            <w:vAlign w:val="center"/>
          </w:tcPr>
          <w:p>
            <w:pPr>
              <w:pStyle w:val="style0"/>
              <w:rPr>
                <w:sz w:val="1"/>
                <w:szCs w:val="24"/>
              </w:rPr>
            </w:pPr>
            <w:r>
              <w:rPr>
                <w:sz w:val="1"/>
                <w:szCs w:val="24"/>
              </w:rPr>
            </w:r>
          </w:p>
        </w:tc>
        <w:tc>
          <w:tcPr>
            <w:tcW w:type="dxa" w:w="1402"/>
            <w:tcBorders>
              <w:top w:val="nil"/>
              <w:left w:val="nil"/>
              <w:bottom w:val="nil"/>
              <w:right w:val="nil"/>
            </w:tcBorders>
            <w:shd w:fill="auto" w:val="clear"/>
            <w:vAlign w:val="center"/>
          </w:tcPr>
          <w:p>
            <w:pPr>
              <w:pStyle w:val="style0"/>
              <w:rPr>
                <w:sz w:val="1"/>
                <w:szCs w:val="24"/>
              </w:rPr>
            </w:pPr>
            <w:r>
              <w:rPr>
                <w:sz w:val="1"/>
                <w:szCs w:val="24"/>
              </w:rPr>
            </w:r>
          </w:p>
        </w:tc>
        <w:tc>
          <w:tcPr>
            <w:tcW w:type="dxa" w:w="1468"/>
            <w:tcBorders>
              <w:top w:val="nil"/>
              <w:left w:val="nil"/>
              <w:bottom w:val="nil"/>
              <w:right w:val="nil"/>
            </w:tcBorders>
            <w:shd w:fill="auto" w:val="clear"/>
            <w:vAlign w:val="center"/>
          </w:tcPr>
          <w:p>
            <w:pPr>
              <w:pStyle w:val="style0"/>
              <w:rPr>
                <w:sz w:val="1"/>
                <w:szCs w:val="24"/>
              </w:rPr>
            </w:pPr>
            <w:r>
              <w:rPr>
                <w:sz w:val="1"/>
                <w:szCs w:val="24"/>
              </w:rPr>
            </w:r>
          </w:p>
        </w:tc>
        <w:tc>
          <w:tcPr>
            <w:tcW w:type="dxa" w:w="1405"/>
            <w:tcBorders>
              <w:top w:val="nil"/>
              <w:left w:val="nil"/>
              <w:bottom w:val="nil"/>
              <w:right w:val="nil"/>
            </w:tcBorders>
            <w:shd w:fill="auto" w:val="clear"/>
            <w:vAlign w:val="center"/>
          </w:tcPr>
          <w:p>
            <w:pPr>
              <w:pStyle w:val="style0"/>
              <w:rPr>
                <w:sz w:val="1"/>
                <w:szCs w:val="24"/>
              </w:rPr>
            </w:pPr>
            <w:r>
              <w:rPr>
                <w:sz w:val="1"/>
                <w:szCs w:val="24"/>
              </w:rPr>
            </w:r>
          </w:p>
        </w:tc>
      </w:tr>
      <w:tr>
        <w:trPr>
          <w:tblHeader w:val="true"/>
          <w:cantSplit w:val="false"/>
        </w:trPr>
        <w:tc>
          <w:tcPr>
            <w:tcW w:type="dxa" w:w="3404"/>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(In millions, except per share amounts)</w:t>
            </w:r>
          </w:p>
        </w:tc>
        <w:tc>
          <w:tcPr>
            <w:tcW w:type="dxa" w:w="1589"/>
            <w:tcBorders>
              <w:top w:val="nil"/>
              <w:left w:val="nil"/>
              <w:bottom w:val="nil"/>
              <w:right w:val="nil"/>
            </w:tcBorders>
            <w:shd w:fill="auto" w:val="clear"/>
            <w:tcMar>
              <w:left w:type="dxa" w:w="144"/>
            </w:tcMar>
            <w:vAlign w:val="bottom"/>
          </w:tcPr>
          <w:p>
            <w:pPr>
              <w:pStyle w:val="style65"/>
              <w:ind w:hanging="0" w:left="0" w:right="216"/>
              <w:rPr/>
            </w:pPr>
            <w:r>
              <w:rPr/>
              <w:t> </w:t>
            </w:r>
          </w:p>
        </w:tc>
        <w:tc>
          <w:tcPr>
            <w:tcW w:type="dxa" w:w="1531"/>
            <w:tcBorders>
              <w:top w:val="nil"/>
              <w:left w:val="nil"/>
              <w:bottom w:val="nil"/>
              <w:right w:val="nil"/>
            </w:tcBorders>
            <w:shd w:fill="auto" w:val="clear"/>
            <w:tcMar>
              <w:left w:type="dxa" w:w="144"/>
            </w:tcMar>
            <w:vAlign w:val="bottom"/>
          </w:tcPr>
          <w:p>
            <w:pPr>
              <w:pStyle w:val="style65"/>
              <w:ind w:hanging="0" w:left="0" w:right="216"/>
              <w:rPr/>
            </w:pPr>
            <w:r>
              <w:rPr/>
              <w:t> </w:t>
            </w:r>
          </w:p>
        </w:tc>
        <w:tc>
          <w:tcPr>
            <w:tcW w:type="dxa" w:w="1402"/>
            <w:tcBorders>
              <w:top w:val="nil"/>
              <w:left w:val="nil"/>
              <w:bottom w:val="nil"/>
              <w:right w:val="nil"/>
            </w:tcBorders>
            <w:shd w:fill="auto" w:val="clear"/>
            <w:tcMar>
              <w:left w:type="dxa" w:w="144"/>
            </w:tcMar>
            <w:vAlign w:val="bottom"/>
          </w:tcPr>
          <w:p>
            <w:pPr>
              <w:pStyle w:val="style65"/>
              <w:ind w:hanging="0" w:left="0" w:right="216"/>
              <w:rPr/>
            </w:pPr>
            <w:r>
              <w:rPr/>
              <w:t> </w:t>
            </w:r>
          </w:p>
        </w:tc>
        <w:tc>
          <w:tcPr>
            <w:tcW w:type="dxa" w:w="1468"/>
            <w:tcBorders>
              <w:top w:val="nil"/>
              <w:left w:val="nil"/>
              <w:bottom w:val="nil"/>
              <w:right w:val="nil"/>
            </w:tcBorders>
            <w:shd w:fill="auto" w:val="clear"/>
            <w:tcMar>
              <w:left w:type="dxa" w:w="144"/>
            </w:tcMar>
            <w:vAlign w:val="bottom"/>
          </w:tcPr>
          <w:p>
            <w:pPr>
              <w:pStyle w:val="style65"/>
              <w:ind w:hanging="0" w:left="0" w:right="216"/>
              <w:rPr/>
            </w:pPr>
            <w:r>
              <w:rPr/>
              <w:t> </w:t>
            </w:r>
          </w:p>
        </w:tc>
        <w:tc>
          <w:tcPr>
            <w:tcW w:type="dxa" w:w="1405"/>
            <w:tcBorders>
              <w:top w:val="nil"/>
              <w:left w:val="nil"/>
              <w:bottom w:val="nil"/>
              <w:right w:val="nil"/>
            </w:tcBorders>
            <w:shd w:fill="auto" w:val="clear"/>
            <w:tcMar>
              <w:left w:type="dxa" w:w="144"/>
            </w:tcMar>
            <w:vAlign w:val="bottom"/>
          </w:tcPr>
          <w:p>
            <w:pPr>
              <w:pStyle w:val="style65"/>
              <w:ind w:hanging="0" w:left="0" w:right="216"/>
              <w:rPr/>
            </w:pPr>
            <w:r>
              <w:rPr/>
              <w:t> </w:t>
            </w:r>
          </w:p>
        </w:tc>
      </w:tr>
      <w:tr>
        <w:trPr>
          <w:cantSplit w:val="false"/>
        </w:trPr>
        <w:tc>
          <w:tcPr>
            <w:tcW w:type="dxa" w:w="10799"/>
            <w:gridSpan w:val="6"/>
            <w:tcBorders>
              <w:top w:val="nil"/>
              <w:left w:val="nil"/>
              <w:bottom w:val="nil"/>
              <w:right w:val="nil"/>
            </w:tcBorders>
            <w:shd w:fill="auto" w:val="clear"/>
            <w:tcMar>
              <w:left w:type="dxa" w:w="144"/>
            </w:tcMar>
            <w:vAlign w:val="bottom"/>
          </w:tcPr>
          <w:p>
            <w:pPr>
              <w:pStyle w:val="style59"/>
              <w:spacing w:after="0" w:before="20"/>
              <w:ind w:hanging="0" w:left="-144" w:right="216"/>
              <w:contextualSpacing w:val="false"/>
              <w:rPr/>
            </w:pPr>
            <w:r>
              <w:rPr/>
              <w:t> </w:t>
            </w:r>
          </w:p>
        </w:tc>
      </w:tr>
      <w:tr>
        <w:trPr>
          <w:trHeight w:hRule="atLeast" w:val="75"/>
          <w:cantSplit w:val="false"/>
        </w:trPr>
        <w:tc>
          <w:tcPr>
            <w:tcW w:type="dxa" w:w="3404"/>
            <w:tcBorders>
              <w:top w:val="nil"/>
              <w:left w:val="nil"/>
              <w:bottom w:val="nil"/>
              <w:right w:val="nil"/>
            </w:tcBorders>
            <w:shd w:fill="auto" w:val="clear"/>
            <w:vAlign w:val="center"/>
          </w:tcPr>
          <w:p>
            <w:pPr>
              <w:pStyle w:val="style0"/>
              <w:rPr>
                <w:sz w:val="8"/>
                <w:szCs w:val="24"/>
              </w:rPr>
            </w:pPr>
            <w:r>
              <w:rPr>
                <w:sz w:val="8"/>
                <w:szCs w:val="24"/>
              </w:rPr>
            </w:r>
          </w:p>
        </w:tc>
        <w:tc>
          <w:tcPr>
            <w:tcW w:type="dxa" w:w="1589"/>
            <w:tcBorders>
              <w:top w:val="nil"/>
              <w:left w:val="nil"/>
              <w:bottom w:val="nil"/>
              <w:right w:val="nil"/>
            </w:tcBorders>
            <w:shd w:fill="auto" w:val="clear"/>
            <w:vAlign w:val="center"/>
          </w:tcPr>
          <w:p>
            <w:pPr>
              <w:pStyle w:val="style0"/>
              <w:ind w:hanging="0" w:left="0" w:right="216"/>
              <w:rPr>
                <w:sz w:val="8"/>
                <w:szCs w:val="24"/>
              </w:rPr>
            </w:pPr>
            <w:r>
              <w:rPr>
                <w:sz w:val="8"/>
                <w:szCs w:val="24"/>
              </w:rPr>
            </w:r>
          </w:p>
        </w:tc>
        <w:tc>
          <w:tcPr>
            <w:tcW w:type="dxa" w:w="1531"/>
            <w:tcBorders>
              <w:top w:val="nil"/>
              <w:left w:val="nil"/>
              <w:bottom w:val="nil"/>
              <w:right w:val="nil"/>
            </w:tcBorders>
            <w:shd w:fill="auto" w:val="clear"/>
            <w:vAlign w:val="center"/>
          </w:tcPr>
          <w:p>
            <w:pPr>
              <w:pStyle w:val="style0"/>
              <w:ind w:hanging="0" w:left="0" w:right="216"/>
              <w:rPr>
                <w:sz w:val="8"/>
                <w:szCs w:val="24"/>
              </w:rPr>
            </w:pPr>
            <w:r>
              <w:rPr>
                <w:sz w:val="8"/>
                <w:szCs w:val="24"/>
              </w:rPr>
            </w:r>
          </w:p>
        </w:tc>
        <w:tc>
          <w:tcPr>
            <w:tcW w:type="dxa" w:w="1402"/>
            <w:tcBorders>
              <w:top w:val="nil"/>
              <w:left w:val="nil"/>
              <w:bottom w:val="nil"/>
              <w:right w:val="nil"/>
            </w:tcBorders>
            <w:shd w:fill="auto" w:val="clear"/>
            <w:vAlign w:val="center"/>
          </w:tcPr>
          <w:p>
            <w:pPr>
              <w:pStyle w:val="style0"/>
              <w:ind w:hanging="0" w:left="0" w:right="216"/>
              <w:rPr>
                <w:sz w:val="8"/>
                <w:szCs w:val="24"/>
              </w:rPr>
            </w:pPr>
            <w:r>
              <w:rPr>
                <w:sz w:val="8"/>
                <w:szCs w:val="24"/>
              </w:rPr>
            </w:r>
          </w:p>
        </w:tc>
        <w:tc>
          <w:tcPr>
            <w:tcW w:type="dxa" w:w="1468"/>
            <w:tcBorders>
              <w:top w:val="nil"/>
              <w:left w:val="nil"/>
              <w:bottom w:val="nil"/>
              <w:right w:val="nil"/>
            </w:tcBorders>
            <w:shd w:fill="auto" w:val="clear"/>
            <w:vAlign w:val="center"/>
          </w:tcPr>
          <w:p>
            <w:pPr>
              <w:pStyle w:val="style0"/>
              <w:ind w:hanging="0" w:left="0" w:right="216"/>
              <w:rPr>
                <w:sz w:val="8"/>
                <w:szCs w:val="24"/>
              </w:rPr>
            </w:pPr>
            <w:r>
              <w:rPr>
                <w:sz w:val="8"/>
                <w:szCs w:val="24"/>
              </w:rPr>
            </w:r>
          </w:p>
        </w:tc>
        <w:tc>
          <w:tcPr>
            <w:tcW w:type="dxa" w:w="1405"/>
            <w:tcBorders>
              <w:top w:val="nil"/>
              <w:left w:val="nil"/>
              <w:bottom w:val="nil"/>
              <w:right w:val="nil"/>
            </w:tcBorders>
            <w:shd w:fill="auto" w:val="clear"/>
            <w:vAlign w:val="center"/>
          </w:tcPr>
          <w:p>
            <w:pPr>
              <w:pStyle w:val="style0"/>
              <w:ind w:hanging="0" w:left="0" w:right="216"/>
              <w:rPr>
                <w:sz w:val="8"/>
                <w:szCs w:val="24"/>
              </w:rPr>
            </w:pPr>
            <w:r>
              <w:rPr>
                <w:sz w:val="8"/>
                <w:szCs w:val="24"/>
              </w:rPr>
            </w:r>
          </w:p>
        </w:tc>
      </w:tr>
      <w:tr>
        <w:trPr>
          <w:cantSplit w:val="false"/>
        </w:trPr>
        <w:tc>
          <w:tcPr>
            <w:tcW w:type="dxa" w:w="3404"/>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Quarter Ended</w:t>
            </w:r>
          </w:p>
        </w:tc>
        <w:tc>
          <w:tcPr>
            <w:tcW w:type="dxa" w:w="1589"/>
            <w:tcBorders>
              <w:top w:val="nil"/>
              <w:left w:val="nil"/>
              <w:bottom w:val="nil"/>
              <w:right w:val="nil"/>
            </w:tcBorders>
            <w:shd w:fill="auto" w:val="clear"/>
            <w:tcMar>
              <w:left w:type="dxa" w:w="144"/>
            </w:tcMar>
            <w:vAlign w:val="bottom"/>
          </w:tcPr>
          <w:p>
            <w:pPr>
              <w:pStyle w:val="style0"/>
              <w:ind w:hanging="0" w:left="0" w:right="173"/>
              <w:jc w:val="right"/>
              <w:rPr>
                <w:rFonts w:ascii="Arial" w:cs="Arial" w:hAnsi="Arial"/>
                <w:b/>
                <w:bCs/>
                <w:sz w:val="15"/>
                <w:szCs w:val="15"/>
              </w:rPr>
            </w:pPr>
            <w:r>
              <w:rPr>
                <w:rFonts w:ascii="Arial" w:cs="Arial" w:hAnsi="Arial"/>
                <w:b/>
                <w:bCs/>
                <w:sz w:val="15"/>
                <w:szCs w:val="15"/>
              </w:rPr>
              <w:t>September 30</w:t>
            </w:r>
          </w:p>
        </w:tc>
        <w:tc>
          <w:tcPr>
            <w:tcW w:type="dxa" w:w="1531"/>
            <w:tcBorders>
              <w:top w:val="nil"/>
              <w:left w:val="nil"/>
              <w:bottom w:val="nil"/>
              <w:right w:val="nil"/>
            </w:tcBorders>
            <w:shd w:fill="auto" w:val="clear"/>
            <w:tcMar>
              <w:left w:type="dxa" w:w="144"/>
            </w:tcMar>
            <w:vAlign w:val="bottom"/>
          </w:tcPr>
          <w:p>
            <w:pPr>
              <w:pStyle w:val="style0"/>
              <w:ind w:hanging="0" w:left="0" w:right="173"/>
              <w:jc w:val="right"/>
              <w:rPr>
                <w:rFonts w:ascii="Arial" w:cs="Arial" w:hAnsi="Arial"/>
                <w:b/>
                <w:bCs/>
                <w:sz w:val="15"/>
                <w:szCs w:val="15"/>
              </w:rPr>
            </w:pPr>
            <w:r>
              <w:rPr>
                <w:rFonts w:ascii="Arial" w:cs="Arial" w:hAnsi="Arial"/>
                <w:b/>
                <w:bCs/>
                <w:sz w:val="15"/>
                <w:szCs w:val="15"/>
              </w:rPr>
              <w:t>December 31</w:t>
            </w:r>
          </w:p>
        </w:tc>
        <w:tc>
          <w:tcPr>
            <w:tcW w:type="dxa" w:w="1402"/>
            <w:tcBorders>
              <w:top w:val="nil"/>
              <w:left w:val="nil"/>
              <w:bottom w:val="nil"/>
              <w:right w:val="nil"/>
            </w:tcBorders>
            <w:shd w:fill="auto" w:val="clear"/>
            <w:tcMar>
              <w:left w:type="dxa" w:w="144"/>
            </w:tcMar>
            <w:vAlign w:val="bottom"/>
          </w:tcPr>
          <w:p>
            <w:pPr>
              <w:pStyle w:val="style0"/>
              <w:ind w:hanging="0" w:left="0" w:right="173"/>
              <w:jc w:val="right"/>
              <w:rPr>
                <w:rFonts w:ascii="Arial" w:cs="Arial" w:hAnsi="Arial"/>
                <w:b/>
                <w:bCs/>
                <w:sz w:val="15"/>
                <w:szCs w:val="15"/>
              </w:rPr>
            </w:pPr>
            <w:r>
              <w:rPr>
                <w:rFonts w:ascii="Arial" w:cs="Arial" w:hAnsi="Arial"/>
                <w:b/>
                <w:bCs/>
                <w:sz w:val="15"/>
                <w:szCs w:val="15"/>
              </w:rPr>
              <w:t>March 31</w:t>
            </w:r>
          </w:p>
        </w:tc>
        <w:tc>
          <w:tcPr>
            <w:tcW w:type="dxa" w:w="1468"/>
            <w:tcBorders>
              <w:top w:val="nil"/>
              <w:left w:val="nil"/>
              <w:bottom w:val="nil"/>
              <w:right w:val="nil"/>
            </w:tcBorders>
            <w:shd w:fill="auto" w:val="clear"/>
            <w:tcMar>
              <w:left w:type="dxa" w:w="144"/>
            </w:tcMar>
            <w:vAlign w:val="bottom"/>
          </w:tcPr>
          <w:p>
            <w:pPr>
              <w:pStyle w:val="style0"/>
              <w:ind w:hanging="0" w:left="0" w:right="236"/>
              <w:jc w:val="right"/>
              <w:rPr>
                <w:rFonts w:ascii="Arial" w:cs="Arial" w:hAnsi="Arial"/>
                <w:b/>
                <w:bCs/>
                <w:sz w:val="15"/>
                <w:szCs w:val="15"/>
              </w:rPr>
            </w:pPr>
            <w:r>
              <w:rPr>
                <w:rFonts w:ascii="Arial" w:cs="Arial" w:hAnsi="Arial"/>
                <w:b/>
                <w:bCs/>
                <w:sz w:val="15"/>
                <w:szCs w:val="15"/>
              </w:rPr>
              <w:t>June 30</w:t>
            </w:r>
          </w:p>
        </w:tc>
        <w:tc>
          <w:tcPr>
            <w:tcW w:type="dxa" w:w="1405"/>
            <w:tcBorders>
              <w:top w:val="nil"/>
              <w:left w:val="nil"/>
              <w:bottom w:val="nil"/>
              <w:right w:val="nil"/>
            </w:tcBorders>
            <w:shd w:fill="auto" w:val="clear"/>
            <w:tcMar>
              <w:left w:type="dxa" w:w="144"/>
            </w:tcMar>
            <w:vAlign w:val="bottom"/>
          </w:tcPr>
          <w:p>
            <w:pPr>
              <w:pStyle w:val="style0"/>
              <w:ind w:hanging="0" w:left="0" w:right="202"/>
              <w:jc w:val="right"/>
              <w:rPr>
                <w:rFonts w:ascii="Arial" w:cs="Arial" w:hAnsi="Arial"/>
                <w:b/>
                <w:bCs/>
                <w:sz w:val="15"/>
                <w:szCs w:val="15"/>
              </w:rPr>
            </w:pPr>
            <w:r>
              <w:rPr>
                <w:rFonts w:ascii="Arial" w:cs="Arial" w:hAnsi="Arial"/>
                <w:b/>
                <w:bCs/>
                <w:sz w:val="15"/>
                <w:szCs w:val="15"/>
              </w:rPr>
              <w:t>Total</w:t>
            </w:r>
          </w:p>
        </w:tc>
      </w:tr>
      <w:tr>
        <w:trPr>
          <w:trHeight w:hRule="atLeast" w:val="75"/>
          <w:cantSplit w:val="false"/>
        </w:trPr>
        <w:tc>
          <w:tcPr>
            <w:tcW w:type="dxa" w:w="3404"/>
            <w:tcBorders>
              <w:top w:val="nil"/>
              <w:left w:val="nil"/>
              <w:bottom w:val="nil"/>
              <w:right w:val="nil"/>
            </w:tcBorders>
            <w:shd w:fill="auto" w:val="clear"/>
            <w:vAlign w:val="center"/>
          </w:tcPr>
          <w:p>
            <w:pPr>
              <w:pStyle w:val="style0"/>
              <w:rPr>
                <w:sz w:val="8"/>
                <w:szCs w:val="24"/>
              </w:rPr>
            </w:pPr>
            <w:r>
              <w:rPr>
                <w:sz w:val="8"/>
                <w:szCs w:val="24"/>
              </w:rPr>
            </w:r>
          </w:p>
        </w:tc>
        <w:tc>
          <w:tcPr>
            <w:tcW w:type="dxa" w:w="1589"/>
            <w:tcBorders>
              <w:top w:val="nil"/>
              <w:left w:val="nil"/>
              <w:bottom w:val="nil"/>
              <w:right w:val="nil"/>
            </w:tcBorders>
            <w:shd w:fill="auto" w:val="clear"/>
            <w:vAlign w:val="center"/>
          </w:tcPr>
          <w:p>
            <w:pPr>
              <w:pStyle w:val="style0"/>
              <w:ind w:hanging="0" w:left="0" w:right="216"/>
              <w:rPr>
                <w:sz w:val="8"/>
                <w:szCs w:val="24"/>
              </w:rPr>
            </w:pPr>
            <w:r>
              <w:rPr>
                <w:sz w:val="8"/>
                <w:szCs w:val="24"/>
              </w:rPr>
            </w:r>
          </w:p>
        </w:tc>
        <w:tc>
          <w:tcPr>
            <w:tcW w:type="dxa" w:w="1531"/>
            <w:tcBorders>
              <w:top w:val="nil"/>
              <w:left w:val="nil"/>
              <w:bottom w:val="nil"/>
              <w:right w:val="nil"/>
            </w:tcBorders>
            <w:shd w:fill="auto" w:val="clear"/>
            <w:vAlign w:val="center"/>
          </w:tcPr>
          <w:p>
            <w:pPr>
              <w:pStyle w:val="style0"/>
              <w:ind w:hanging="0" w:left="0" w:right="216"/>
              <w:rPr>
                <w:sz w:val="8"/>
                <w:szCs w:val="24"/>
              </w:rPr>
            </w:pPr>
            <w:r>
              <w:rPr>
                <w:sz w:val="8"/>
                <w:szCs w:val="24"/>
              </w:rPr>
            </w:r>
          </w:p>
        </w:tc>
        <w:tc>
          <w:tcPr>
            <w:tcW w:type="dxa" w:w="1402"/>
            <w:tcBorders>
              <w:top w:val="nil"/>
              <w:left w:val="nil"/>
              <w:bottom w:val="nil"/>
              <w:right w:val="nil"/>
            </w:tcBorders>
            <w:shd w:fill="auto" w:val="clear"/>
            <w:vAlign w:val="center"/>
          </w:tcPr>
          <w:p>
            <w:pPr>
              <w:pStyle w:val="style0"/>
              <w:ind w:hanging="0" w:left="0" w:right="216"/>
              <w:rPr>
                <w:sz w:val="8"/>
                <w:szCs w:val="24"/>
              </w:rPr>
            </w:pPr>
            <w:r>
              <w:rPr>
                <w:sz w:val="8"/>
                <w:szCs w:val="24"/>
              </w:rPr>
            </w:r>
          </w:p>
        </w:tc>
        <w:tc>
          <w:tcPr>
            <w:tcW w:type="dxa" w:w="1468"/>
            <w:tcBorders>
              <w:top w:val="nil"/>
              <w:left w:val="nil"/>
              <w:bottom w:val="nil"/>
              <w:right w:val="nil"/>
            </w:tcBorders>
            <w:shd w:fill="auto" w:val="clear"/>
            <w:vAlign w:val="center"/>
          </w:tcPr>
          <w:p>
            <w:pPr>
              <w:pStyle w:val="style0"/>
              <w:ind w:hanging="0" w:left="0" w:right="216"/>
              <w:rPr>
                <w:sz w:val="8"/>
                <w:szCs w:val="24"/>
              </w:rPr>
            </w:pPr>
            <w:r>
              <w:rPr>
                <w:sz w:val="8"/>
                <w:szCs w:val="24"/>
              </w:rPr>
            </w:r>
          </w:p>
        </w:tc>
        <w:tc>
          <w:tcPr>
            <w:tcW w:type="dxa" w:w="1405"/>
            <w:tcBorders>
              <w:top w:val="nil"/>
              <w:left w:val="nil"/>
              <w:bottom w:val="nil"/>
              <w:right w:val="nil"/>
            </w:tcBorders>
            <w:shd w:fill="auto" w:val="clear"/>
            <w:vAlign w:val="center"/>
          </w:tcPr>
          <w:p>
            <w:pPr>
              <w:pStyle w:val="style0"/>
              <w:ind w:hanging="0" w:left="0" w:right="216"/>
              <w:rPr>
                <w:sz w:val="8"/>
                <w:szCs w:val="24"/>
              </w:rPr>
            </w:pPr>
            <w:r>
              <w:rPr>
                <w:sz w:val="8"/>
                <w:szCs w:val="24"/>
              </w:rPr>
            </w:r>
          </w:p>
        </w:tc>
      </w:tr>
      <w:tr>
        <w:trPr>
          <w:cantSplit w:val="false"/>
        </w:trPr>
        <w:tc>
          <w:tcPr>
            <w:tcW w:type="dxa" w:w="3404"/>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Fiscal Year 2013</w:t>
            </w:r>
          </w:p>
        </w:tc>
        <w:tc>
          <w:tcPr>
            <w:tcW w:type="dxa" w:w="1589"/>
            <w:tcBorders>
              <w:top w:val="nil"/>
              <w:left w:val="nil"/>
              <w:bottom w:val="nil"/>
              <w:right w:val="nil"/>
            </w:tcBorders>
            <w:shd w:fill="auto" w:val="clear"/>
            <w:tcMar>
              <w:left w:type="dxa" w:w="144"/>
            </w:tcMar>
            <w:vAlign w:val="bottom"/>
          </w:tcPr>
          <w:p>
            <w:pPr>
              <w:pStyle w:val="style65"/>
              <w:ind w:hanging="0" w:left="0" w:right="216"/>
              <w:rPr/>
            </w:pPr>
            <w:r>
              <w:rPr/>
              <w:t> </w:t>
            </w:r>
          </w:p>
        </w:tc>
        <w:tc>
          <w:tcPr>
            <w:tcW w:type="dxa" w:w="1531"/>
            <w:tcBorders>
              <w:top w:val="nil"/>
              <w:left w:val="nil"/>
              <w:bottom w:val="nil"/>
              <w:right w:val="nil"/>
            </w:tcBorders>
            <w:shd w:fill="auto" w:val="clear"/>
            <w:tcMar>
              <w:left w:type="dxa" w:w="144"/>
            </w:tcMar>
            <w:vAlign w:val="bottom"/>
          </w:tcPr>
          <w:p>
            <w:pPr>
              <w:pStyle w:val="style65"/>
              <w:ind w:hanging="0" w:left="0" w:right="216"/>
              <w:rPr/>
            </w:pPr>
            <w:r>
              <w:rPr/>
              <w:t> </w:t>
            </w:r>
          </w:p>
        </w:tc>
        <w:tc>
          <w:tcPr>
            <w:tcW w:type="dxa" w:w="1402"/>
            <w:tcBorders>
              <w:top w:val="nil"/>
              <w:left w:val="nil"/>
              <w:bottom w:val="nil"/>
              <w:right w:val="nil"/>
            </w:tcBorders>
            <w:shd w:fill="auto" w:val="clear"/>
            <w:tcMar>
              <w:left w:type="dxa" w:w="144"/>
            </w:tcMar>
            <w:vAlign w:val="bottom"/>
          </w:tcPr>
          <w:p>
            <w:pPr>
              <w:pStyle w:val="style65"/>
              <w:ind w:hanging="0" w:left="0" w:right="216"/>
              <w:rPr/>
            </w:pPr>
            <w:r>
              <w:rPr/>
              <w:t> </w:t>
            </w:r>
          </w:p>
        </w:tc>
        <w:tc>
          <w:tcPr>
            <w:tcW w:type="dxa" w:w="1468"/>
            <w:tcBorders>
              <w:top w:val="nil"/>
              <w:left w:val="nil"/>
              <w:bottom w:val="nil"/>
              <w:right w:val="nil"/>
            </w:tcBorders>
            <w:shd w:fill="auto" w:val="clear"/>
            <w:tcMar>
              <w:left w:type="dxa" w:w="144"/>
            </w:tcMar>
            <w:vAlign w:val="bottom"/>
          </w:tcPr>
          <w:p>
            <w:pPr>
              <w:pStyle w:val="style65"/>
              <w:ind w:hanging="0" w:left="0" w:right="216"/>
              <w:rPr/>
            </w:pPr>
            <w:r>
              <w:rPr/>
              <w:t> </w:t>
            </w:r>
          </w:p>
        </w:tc>
        <w:tc>
          <w:tcPr>
            <w:tcW w:type="dxa" w:w="1405"/>
            <w:tcBorders>
              <w:top w:val="nil"/>
              <w:left w:val="nil"/>
              <w:bottom w:val="nil"/>
              <w:right w:val="nil"/>
            </w:tcBorders>
            <w:shd w:fill="auto" w:val="clear"/>
            <w:tcMar>
              <w:left w:type="dxa" w:w="144"/>
            </w:tcMar>
            <w:vAlign w:val="bottom"/>
          </w:tcPr>
          <w:p>
            <w:pPr>
              <w:pStyle w:val="style65"/>
              <w:ind w:hanging="0" w:left="0" w:right="216"/>
              <w:rPr/>
            </w:pPr>
            <w:r>
              <w:rPr/>
              <w:t> </w:t>
            </w:r>
          </w:p>
        </w:tc>
      </w:tr>
      <w:tr>
        <w:trPr>
          <w:trHeight w:hRule="atLeast" w:val="75"/>
          <w:cantSplit w:val="false"/>
        </w:trPr>
        <w:tc>
          <w:tcPr>
            <w:tcW w:type="dxa" w:w="3404"/>
            <w:tcBorders>
              <w:top w:val="nil"/>
              <w:left w:val="nil"/>
              <w:bottom w:val="nil"/>
              <w:right w:val="nil"/>
            </w:tcBorders>
            <w:shd w:fill="auto" w:val="clear"/>
            <w:vAlign w:val="center"/>
          </w:tcPr>
          <w:p>
            <w:pPr>
              <w:pStyle w:val="style0"/>
              <w:rPr>
                <w:sz w:val="8"/>
                <w:szCs w:val="24"/>
              </w:rPr>
            </w:pPr>
            <w:r>
              <w:rPr>
                <w:sz w:val="8"/>
                <w:szCs w:val="24"/>
              </w:rPr>
            </w:r>
          </w:p>
        </w:tc>
        <w:tc>
          <w:tcPr>
            <w:tcW w:type="dxa" w:w="1589"/>
            <w:tcBorders>
              <w:top w:val="nil"/>
              <w:left w:val="nil"/>
              <w:bottom w:val="nil"/>
              <w:right w:val="nil"/>
            </w:tcBorders>
            <w:shd w:fill="auto" w:val="clear"/>
            <w:vAlign w:val="center"/>
          </w:tcPr>
          <w:p>
            <w:pPr>
              <w:pStyle w:val="style0"/>
              <w:ind w:hanging="0" w:left="0" w:right="216"/>
              <w:rPr>
                <w:sz w:val="8"/>
                <w:szCs w:val="24"/>
              </w:rPr>
            </w:pPr>
            <w:r>
              <w:rPr>
                <w:sz w:val="8"/>
                <w:szCs w:val="24"/>
              </w:rPr>
            </w:r>
          </w:p>
        </w:tc>
        <w:tc>
          <w:tcPr>
            <w:tcW w:type="dxa" w:w="1531"/>
            <w:tcBorders>
              <w:top w:val="nil"/>
              <w:left w:val="nil"/>
              <w:bottom w:val="nil"/>
              <w:right w:val="nil"/>
            </w:tcBorders>
            <w:shd w:fill="auto" w:val="clear"/>
            <w:vAlign w:val="center"/>
          </w:tcPr>
          <w:p>
            <w:pPr>
              <w:pStyle w:val="style0"/>
              <w:ind w:hanging="0" w:left="0" w:right="216"/>
              <w:rPr>
                <w:sz w:val="8"/>
                <w:szCs w:val="24"/>
              </w:rPr>
            </w:pPr>
            <w:r>
              <w:rPr>
                <w:sz w:val="8"/>
                <w:szCs w:val="24"/>
              </w:rPr>
            </w:r>
          </w:p>
        </w:tc>
        <w:tc>
          <w:tcPr>
            <w:tcW w:type="dxa" w:w="1402"/>
            <w:tcBorders>
              <w:top w:val="nil"/>
              <w:left w:val="nil"/>
              <w:bottom w:val="nil"/>
              <w:right w:val="nil"/>
            </w:tcBorders>
            <w:shd w:fill="auto" w:val="clear"/>
            <w:vAlign w:val="center"/>
          </w:tcPr>
          <w:p>
            <w:pPr>
              <w:pStyle w:val="style0"/>
              <w:ind w:hanging="0" w:left="0" w:right="216"/>
              <w:rPr>
                <w:sz w:val="8"/>
                <w:szCs w:val="24"/>
              </w:rPr>
            </w:pPr>
            <w:r>
              <w:rPr>
                <w:sz w:val="8"/>
                <w:szCs w:val="24"/>
              </w:rPr>
            </w:r>
          </w:p>
        </w:tc>
        <w:tc>
          <w:tcPr>
            <w:tcW w:type="dxa" w:w="1468"/>
            <w:tcBorders>
              <w:top w:val="nil"/>
              <w:left w:val="nil"/>
              <w:bottom w:val="nil"/>
              <w:right w:val="nil"/>
            </w:tcBorders>
            <w:shd w:fill="auto" w:val="clear"/>
            <w:vAlign w:val="center"/>
          </w:tcPr>
          <w:p>
            <w:pPr>
              <w:pStyle w:val="style0"/>
              <w:ind w:hanging="0" w:left="0" w:right="216"/>
              <w:rPr>
                <w:sz w:val="8"/>
                <w:szCs w:val="24"/>
              </w:rPr>
            </w:pPr>
            <w:r>
              <w:rPr>
                <w:sz w:val="8"/>
                <w:szCs w:val="24"/>
              </w:rPr>
            </w:r>
          </w:p>
        </w:tc>
        <w:tc>
          <w:tcPr>
            <w:tcW w:type="dxa" w:w="1405"/>
            <w:tcBorders>
              <w:top w:val="nil"/>
              <w:left w:val="nil"/>
              <w:bottom w:val="nil"/>
              <w:right w:val="nil"/>
            </w:tcBorders>
            <w:shd w:fill="auto" w:val="clear"/>
            <w:vAlign w:val="center"/>
          </w:tcPr>
          <w:p>
            <w:pPr>
              <w:pStyle w:val="style0"/>
              <w:ind w:hanging="0" w:left="0" w:right="216"/>
              <w:rPr>
                <w:sz w:val="8"/>
                <w:szCs w:val="24"/>
              </w:rPr>
            </w:pPr>
            <w:r>
              <w:rPr>
                <w:sz w:val="8"/>
                <w:szCs w:val="24"/>
              </w:rPr>
            </w:r>
          </w:p>
        </w:tc>
      </w:tr>
      <w:tr>
        <w:trPr>
          <w:cantSplit w:val="false"/>
        </w:trPr>
        <w:tc>
          <w:tcPr>
            <w:tcW w:type="dxa" w:w="3404"/>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Revenue</w:t>
            </w:r>
          </w:p>
        </w:tc>
        <w:tc>
          <w:tcPr>
            <w:tcW w:type="dxa" w:w="1589"/>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403" w:right="216"/>
              <w:contextualSpacing w:val="false"/>
              <w:rPr>
                <w:rFonts w:ascii="Arial" w:cs="Arial" w:hAnsi="Arial"/>
                <w:b/>
                <w:bCs/>
                <w:sz w:val="20"/>
                <w:szCs w:val="20"/>
              </w:rPr>
            </w:pPr>
            <w:r>
              <w:rPr>
                <w:rFonts w:ascii="Arial" w:cs="Arial" w:hAnsi="Arial"/>
                <w:b/>
                <w:bCs/>
                <w:sz w:val="20"/>
                <w:szCs w:val="20"/>
              </w:rPr>
              <w:t>$</w:t>
              <w:tab/>
              <w:t>  16,008</w:t>
              <w:tab/>
              <w:t xml:space="preserve">    </w:t>
            </w:r>
          </w:p>
        </w:tc>
        <w:tc>
          <w:tcPr>
            <w:tcW w:type="dxa" w:w="15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403" w:right="216"/>
              <w:contextualSpacing w:val="false"/>
              <w:rPr>
                <w:rFonts w:ascii="Arial" w:cs="Arial" w:hAnsi="Arial"/>
                <w:b/>
                <w:bCs/>
                <w:sz w:val="20"/>
                <w:szCs w:val="20"/>
              </w:rPr>
            </w:pPr>
            <w:r>
              <w:rPr>
                <w:rFonts w:ascii="Arial" w:cs="Arial" w:hAnsi="Arial"/>
                <w:b/>
                <w:bCs/>
                <w:sz w:val="20"/>
                <w:szCs w:val="20"/>
              </w:rPr>
              <w:t>$</w:t>
              <w:tab/>
              <w:t>  21,456</w:t>
              <w:tab/>
              <w:t xml:space="preserve">    </w:t>
            </w:r>
          </w:p>
        </w:tc>
        <w:tc>
          <w:tcPr>
            <w:tcW w:type="dxa" w:w="140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w:t>
              <w:tab/>
              <w:t>  20,489</w:t>
              <w:tab/>
            </w:r>
          </w:p>
        </w:tc>
        <w:tc>
          <w:tcPr>
            <w:tcW w:type="dxa" w:w="1468"/>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w:t>
              <w:tab/>
              <w:t>  19,896</w:t>
              <w:tab/>
            </w:r>
          </w:p>
        </w:tc>
        <w:tc>
          <w:tcPr>
            <w:tcW w:type="dxa" w:w="1405"/>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w:t>
              <w:tab/>
              <w:t>  77,849</w:t>
              <w:tab/>
            </w:r>
          </w:p>
        </w:tc>
      </w:tr>
      <w:tr>
        <w:trPr>
          <w:cantSplit w:val="false"/>
        </w:trPr>
        <w:tc>
          <w:tcPr>
            <w:tcW w:type="dxa" w:w="3404"/>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Gross profit</w:t>
            </w:r>
          </w:p>
        </w:tc>
        <w:tc>
          <w:tcPr>
            <w:tcW w:type="dxa" w:w="1589"/>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403" w:right="216"/>
              <w:contextualSpacing w:val="false"/>
              <w:rPr>
                <w:rFonts w:ascii="Arial" w:cs="Arial" w:hAnsi="Arial"/>
                <w:b/>
                <w:bCs/>
                <w:sz w:val="20"/>
                <w:szCs w:val="20"/>
              </w:rPr>
            </w:pPr>
            <w:r>
              <w:rPr>
                <w:rFonts w:ascii="Arial" w:cs="Arial" w:hAnsi="Arial"/>
                <w:b/>
                <w:bCs/>
                <w:sz w:val="20"/>
                <w:szCs w:val="20"/>
              </w:rPr>
              <w:tab/>
              <w:t>11,840</w:t>
              <w:tab/>
            </w:r>
          </w:p>
        </w:tc>
        <w:tc>
          <w:tcPr>
            <w:tcW w:type="dxa" w:w="15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403" w:right="216"/>
              <w:contextualSpacing w:val="false"/>
              <w:rPr>
                <w:rFonts w:ascii="Arial" w:cs="Arial" w:hAnsi="Arial"/>
                <w:b/>
                <w:bCs/>
                <w:sz w:val="20"/>
                <w:szCs w:val="20"/>
              </w:rPr>
            </w:pPr>
            <w:r>
              <w:rPr>
                <w:rFonts w:ascii="Arial" w:cs="Arial" w:hAnsi="Arial"/>
                <w:b/>
                <w:bCs/>
                <w:sz w:val="20"/>
                <w:szCs w:val="20"/>
              </w:rPr>
              <w:tab/>
              <w:t>15,764</w:t>
              <w:tab/>
            </w:r>
          </w:p>
        </w:tc>
        <w:tc>
          <w:tcPr>
            <w:tcW w:type="dxa" w:w="140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15,702</w:t>
              <w:tab/>
            </w:r>
          </w:p>
        </w:tc>
        <w:tc>
          <w:tcPr>
            <w:tcW w:type="dxa" w:w="1468"/>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14,294</w:t>
              <w:tab/>
            </w:r>
          </w:p>
        </w:tc>
        <w:tc>
          <w:tcPr>
            <w:tcW w:type="dxa" w:w="1405"/>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57,600</w:t>
              <w:tab/>
            </w:r>
          </w:p>
        </w:tc>
      </w:tr>
      <w:tr>
        <w:trPr>
          <w:cantSplit w:val="false"/>
        </w:trPr>
        <w:tc>
          <w:tcPr>
            <w:tcW w:type="dxa" w:w="3404"/>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income</w:t>
            </w:r>
          </w:p>
        </w:tc>
        <w:tc>
          <w:tcPr>
            <w:tcW w:type="dxa" w:w="1589"/>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403" w:right="216"/>
              <w:contextualSpacing w:val="false"/>
              <w:rPr>
                <w:rFonts w:ascii="Arial" w:cs="Arial" w:hAnsi="Arial"/>
                <w:b/>
                <w:bCs/>
                <w:sz w:val="20"/>
                <w:szCs w:val="20"/>
              </w:rPr>
            </w:pPr>
            <w:r>
              <w:rPr>
                <w:rFonts w:ascii="Arial" w:cs="Arial" w:hAnsi="Arial"/>
                <w:b/>
                <w:bCs/>
                <w:sz w:val="20"/>
                <w:szCs w:val="20"/>
              </w:rPr>
              <w:tab/>
              <w:t>4,466</w:t>
              <w:tab/>
            </w:r>
          </w:p>
        </w:tc>
        <w:tc>
          <w:tcPr>
            <w:tcW w:type="dxa" w:w="15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403" w:right="216"/>
              <w:contextualSpacing w:val="false"/>
              <w:rPr>
                <w:rFonts w:ascii="Arial" w:cs="Arial" w:hAnsi="Arial"/>
                <w:b/>
                <w:bCs/>
                <w:sz w:val="20"/>
                <w:szCs w:val="20"/>
              </w:rPr>
            </w:pPr>
            <w:r>
              <w:rPr>
                <w:rFonts w:ascii="Arial" w:cs="Arial" w:hAnsi="Arial"/>
                <w:b/>
                <w:bCs/>
                <w:sz w:val="20"/>
                <w:szCs w:val="20"/>
              </w:rPr>
              <w:tab/>
              <w:t>6,377</w:t>
              <w:tab/>
            </w:r>
          </w:p>
        </w:tc>
        <w:tc>
          <w:tcPr>
            <w:tcW w:type="dxa" w:w="140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15"/>
                <w:szCs w:val="15"/>
                <w:vertAlign w:val="superscript"/>
              </w:rPr>
            </w:pPr>
            <w:r>
              <w:rPr>
                <w:rFonts w:ascii="Arial" w:cs="Arial" w:hAnsi="Arial"/>
                <w:b/>
                <w:bCs/>
                <w:sz w:val="20"/>
                <w:szCs w:val="20"/>
              </w:rPr>
              <w:tab/>
              <w:t>6,055</w:t>
              <w:tab/>
              <w:t> </w:t>
            </w:r>
            <w:r>
              <w:rPr>
                <w:rFonts w:ascii="Arial" w:cs="Arial" w:hAnsi="Arial"/>
                <w:b/>
                <w:bCs/>
                <w:sz w:val="15"/>
                <w:szCs w:val="15"/>
                <w:vertAlign w:val="superscript"/>
              </w:rPr>
              <w:t>(a)</w:t>
            </w:r>
          </w:p>
        </w:tc>
        <w:tc>
          <w:tcPr>
            <w:tcW w:type="dxa" w:w="1468"/>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15"/>
                <w:szCs w:val="15"/>
                <w:vertAlign w:val="superscript"/>
              </w:rPr>
            </w:pPr>
            <w:r>
              <w:rPr>
                <w:rFonts w:ascii="Arial" w:cs="Arial" w:hAnsi="Arial"/>
                <w:b/>
                <w:bCs/>
                <w:sz w:val="20"/>
                <w:szCs w:val="20"/>
              </w:rPr>
              <w:tab/>
              <w:t>4,965</w:t>
              <w:tab/>
              <w:t> </w:t>
            </w:r>
            <w:r>
              <w:rPr>
                <w:rFonts w:ascii="Arial" w:cs="Arial" w:hAnsi="Arial"/>
                <w:b/>
                <w:bCs/>
                <w:sz w:val="15"/>
                <w:szCs w:val="15"/>
                <w:vertAlign w:val="superscript"/>
              </w:rPr>
              <w:t>(b)</w:t>
            </w:r>
          </w:p>
        </w:tc>
        <w:tc>
          <w:tcPr>
            <w:tcW w:type="dxa" w:w="1405"/>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15"/>
                <w:szCs w:val="15"/>
                <w:vertAlign w:val="superscript"/>
              </w:rPr>
            </w:pPr>
            <w:r>
              <w:rPr>
                <w:rFonts w:ascii="Arial" w:cs="Arial" w:hAnsi="Arial"/>
                <w:b/>
                <w:bCs/>
                <w:sz w:val="20"/>
                <w:szCs w:val="20"/>
              </w:rPr>
              <w:tab/>
              <w:t>21,863</w:t>
              <w:tab/>
              <w:t> </w:t>
            </w:r>
            <w:r>
              <w:rPr>
                <w:rFonts w:ascii="Arial" w:cs="Arial" w:hAnsi="Arial"/>
                <w:b/>
                <w:bCs/>
                <w:sz w:val="15"/>
                <w:szCs w:val="15"/>
                <w:vertAlign w:val="superscript"/>
              </w:rPr>
              <w:t>(c)</w:t>
            </w:r>
          </w:p>
        </w:tc>
      </w:tr>
      <w:tr>
        <w:trPr>
          <w:cantSplit w:val="false"/>
        </w:trPr>
        <w:tc>
          <w:tcPr>
            <w:tcW w:type="dxa" w:w="3404"/>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Basic earnings per share</w:t>
            </w:r>
          </w:p>
        </w:tc>
        <w:tc>
          <w:tcPr>
            <w:tcW w:type="dxa" w:w="1589"/>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403" w:right="216"/>
              <w:contextualSpacing w:val="false"/>
              <w:rPr>
                <w:rFonts w:ascii="Arial" w:cs="Arial" w:hAnsi="Arial"/>
                <w:b/>
                <w:bCs/>
                <w:sz w:val="20"/>
                <w:szCs w:val="20"/>
              </w:rPr>
            </w:pPr>
            <w:r>
              <w:rPr>
                <w:rFonts w:ascii="Arial" w:cs="Arial" w:hAnsi="Arial"/>
                <w:b/>
                <w:bCs/>
                <w:sz w:val="20"/>
                <w:szCs w:val="20"/>
              </w:rPr>
              <w:tab/>
              <w:t>0.53</w:t>
              <w:tab/>
            </w:r>
          </w:p>
        </w:tc>
        <w:tc>
          <w:tcPr>
            <w:tcW w:type="dxa" w:w="15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403" w:right="216"/>
              <w:contextualSpacing w:val="false"/>
              <w:rPr>
                <w:rFonts w:ascii="Arial" w:cs="Arial" w:hAnsi="Arial"/>
                <w:b/>
                <w:bCs/>
                <w:sz w:val="20"/>
                <w:szCs w:val="20"/>
              </w:rPr>
            </w:pPr>
            <w:r>
              <w:rPr>
                <w:rFonts w:ascii="Arial" w:cs="Arial" w:hAnsi="Arial"/>
                <w:b/>
                <w:bCs/>
                <w:sz w:val="20"/>
                <w:szCs w:val="20"/>
              </w:rPr>
              <w:tab/>
              <w:t>0.76</w:t>
              <w:tab/>
            </w:r>
          </w:p>
        </w:tc>
        <w:tc>
          <w:tcPr>
            <w:tcW w:type="dxa" w:w="140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0.72</w:t>
              <w:tab/>
            </w:r>
          </w:p>
        </w:tc>
        <w:tc>
          <w:tcPr>
            <w:tcW w:type="dxa" w:w="1468"/>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0.59</w:t>
              <w:tab/>
            </w:r>
          </w:p>
        </w:tc>
        <w:tc>
          <w:tcPr>
            <w:tcW w:type="dxa" w:w="1405"/>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20"/>
                <w:szCs w:val="20"/>
              </w:rPr>
            </w:pPr>
            <w:r>
              <w:rPr>
                <w:rFonts w:ascii="Arial" w:cs="Arial" w:hAnsi="Arial"/>
                <w:b/>
                <w:bCs/>
                <w:sz w:val="20"/>
                <w:szCs w:val="20"/>
              </w:rPr>
              <w:tab/>
              <w:t>2.61</w:t>
              <w:tab/>
            </w:r>
          </w:p>
        </w:tc>
      </w:tr>
      <w:tr>
        <w:trPr>
          <w:cantSplit w:val="false"/>
        </w:trPr>
        <w:tc>
          <w:tcPr>
            <w:tcW w:type="dxa" w:w="3404"/>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Diluted earnings per share</w:t>
            </w:r>
          </w:p>
        </w:tc>
        <w:tc>
          <w:tcPr>
            <w:tcW w:type="dxa" w:w="1589"/>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403" w:right="216"/>
              <w:contextualSpacing w:val="false"/>
              <w:rPr>
                <w:rFonts w:ascii="Arial" w:cs="Arial" w:hAnsi="Arial"/>
                <w:b/>
                <w:bCs/>
                <w:sz w:val="20"/>
                <w:szCs w:val="20"/>
              </w:rPr>
            </w:pPr>
            <w:r>
              <w:rPr>
                <w:rFonts w:ascii="Arial" w:cs="Arial" w:hAnsi="Arial"/>
                <w:b/>
                <w:bCs/>
                <w:sz w:val="20"/>
                <w:szCs w:val="20"/>
              </w:rPr>
              <w:tab/>
              <w:t>0.53</w:t>
              <w:tab/>
            </w:r>
          </w:p>
        </w:tc>
        <w:tc>
          <w:tcPr>
            <w:tcW w:type="dxa" w:w="15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403" w:right="216"/>
              <w:contextualSpacing w:val="false"/>
              <w:rPr>
                <w:rFonts w:ascii="Arial" w:cs="Arial" w:hAnsi="Arial"/>
                <w:b/>
                <w:bCs/>
                <w:sz w:val="20"/>
                <w:szCs w:val="20"/>
              </w:rPr>
            </w:pPr>
            <w:r>
              <w:rPr>
                <w:rFonts w:ascii="Arial" w:cs="Arial" w:hAnsi="Arial"/>
                <w:b/>
                <w:bCs/>
                <w:sz w:val="20"/>
                <w:szCs w:val="20"/>
              </w:rPr>
              <w:tab/>
              <w:t>0.76</w:t>
              <w:tab/>
            </w:r>
          </w:p>
        </w:tc>
        <w:tc>
          <w:tcPr>
            <w:tcW w:type="dxa" w:w="140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15"/>
                <w:szCs w:val="15"/>
                <w:vertAlign w:val="superscript"/>
              </w:rPr>
            </w:pPr>
            <w:r>
              <w:rPr>
                <w:rFonts w:ascii="Arial" w:cs="Arial" w:hAnsi="Arial"/>
                <w:b/>
                <w:bCs/>
                <w:sz w:val="20"/>
                <w:szCs w:val="20"/>
              </w:rPr>
              <w:tab/>
              <w:t>0.72</w:t>
              <w:tab/>
              <w:t> </w:t>
            </w:r>
            <w:r>
              <w:rPr>
                <w:rFonts w:ascii="Arial" w:cs="Arial" w:hAnsi="Arial"/>
                <w:b/>
                <w:bCs/>
                <w:sz w:val="15"/>
                <w:szCs w:val="15"/>
                <w:vertAlign w:val="superscript"/>
              </w:rPr>
              <w:t>(a)</w:t>
            </w:r>
          </w:p>
        </w:tc>
        <w:tc>
          <w:tcPr>
            <w:tcW w:type="dxa" w:w="1468"/>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15"/>
                <w:szCs w:val="15"/>
                <w:vertAlign w:val="superscript"/>
              </w:rPr>
            </w:pPr>
            <w:r>
              <w:rPr>
                <w:rFonts w:ascii="Arial" w:cs="Arial" w:hAnsi="Arial"/>
                <w:b/>
                <w:bCs/>
                <w:sz w:val="20"/>
                <w:szCs w:val="20"/>
              </w:rPr>
              <w:tab/>
              <w:t>0.59</w:t>
              <w:tab/>
              <w:t> </w:t>
            </w:r>
            <w:r>
              <w:rPr>
                <w:rFonts w:ascii="Arial" w:cs="Arial" w:hAnsi="Arial"/>
                <w:b/>
                <w:bCs/>
                <w:sz w:val="15"/>
                <w:szCs w:val="15"/>
                <w:vertAlign w:val="superscript"/>
              </w:rPr>
              <w:t>(b)</w:t>
            </w:r>
          </w:p>
        </w:tc>
        <w:tc>
          <w:tcPr>
            <w:tcW w:type="dxa" w:w="1405"/>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b/>
                <w:bCs/>
                <w:sz w:val="15"/>
                <w:szCs w:val="15"/>
                <w:vertAlign w:val="superscript"/>
              </w:rPr>
            </w:pPr>
            <w:r>
              <w:rPr>
                <w:rFonts w:ascii="Arial" w:cs="Arial" w:hAnsi="Arial"/>
                <w:b/>
                <w:bCs/>
                <w:sz w:val="20"/>
                <w:szCs w:val="20"/>
              </w:rPr>
              <w:tab/>
              <w:t>2.58</w:t>
              <w:tab/>
              <w:t> </w:t>
            </w:r>
            <w:r>
              <w:rPr>
                <w:rFonts w:ascii="Arial" w:cs="Arial" w:hAnsi="Arial"/>
                <w:b/>
                <w:bCs/>
                <w:sz w:val="15"/>
                <w:szCs w:val="15"/>
                <w:vertAlign w:val="superscript"/>
              </w:rPr>
              <w:t>(c)</w:t>
            </w:r>
          </w:p>
        </w:tc>
      </w:tr>
      <w:tr>
        <w:trPr>
          <w:cantSplit w:val="false"/>
        </w:trPr>
        <w:tc>
          <w:tcPr>
            <w:tcW w:type="dxa" w:w="4995"/>
            <w:gridSpan w:val="2"/>
            <w:tcBorders>
              <w:top w:val="nil"/>
              <w:left w:val="nil"/>
              <w:bottom w:val="nil"/>
              <w:right w:val="nil"/>
            </w:tcBorders>
            <w:shd w:fill="auto" w:val="clear"/>
            <w:vAlign w:val="bottom"/>
          </w:tcPr>
          <w:p>
            <w:pPr>
              <w:pStyle w:val="style59"/>
              <w:spacing w:after="0" w:before="20"/>
              <w:ind w:hanging="0" w:left="-144" w:right="216"/>
              <w:contextualSpacing w:val="false"/>
              <w:rPr/>
            </w:pPr>
            <w:r>
              <w:rPr/>
              <w:t> </w:t>
            </w:r>
          </w:p>
        </w:tc>
        <w:tc>
          <w:tcPr>
            <w:tcW w:type="dxa" w:w="1530"/>
            <w:tcBorders>
              <w:top w:val="nil"/>
              <w:left w:val="nil"/>
              <w:bottom w:val="nil"/>
              <w:right w:val="nil"/>
            </w:tcBorders>
            <w:shd w:fill="auto" w:val="clear"/>
            <w:tcMar>
              <w:left w:type="dxa" w:w="144"/>
            </w:tcMar>
            <w:vAlign w:val="bottom"/>
          </w:tcPr>
          <w:p>
            <w:pPr>
              <w:pStyle w:val="style59"/>
              <w:spacing w:after="0" w:before="20"/>
              <w:ind w:hanging="0" w:left="403" w:right="216"/>
              <w:contextualSpacing w:val="false"/>
              <w:rPr/>
            </w:pPr>
            <w:r>
              <w:rPr/>
              <w:t> </w:t>
            </w:r>
          </w:p>
        </w:tc>
        <w:tc>
          <w:tcPr>
            <w:tcW w:type="dxa" w:w="1402"/>
            <w:tcBorders>
              <w:top w:val="nil"/>
              <w:left w:val="nil"/>
              <w:bottom w:val="nil"/>
              <w:right w:val="nil"/>
            </w:tcBorders>
            <w:shd w:fill="auto" w:val="clear"/>
            <w:tcMar>
              <w:left w:type="dxa" w:w="144"/>
            </w:tcMar>
            <w:vAlign w:val="bottom"/>
          </w:tcPr>
          <w:p>
            <w:pPr>
              <w:pStyle w:val="style59"/>
              <w:spacing w:after="0" w:before="20"/>
              <w:ind w:hanging="0" w:left="216" w:right="216"/>
              <w:contextualSpacing w:val="false"/>
              <w:rPr/>
            </w:pPr>
            <w:r>
              <w:rPr/>
              <w:t> </w:t>
            </w:r>
          </w:p>
        </w:tc>
        <w:tc>
          <w:tcPr>
            <w:tcW w:type="dxa" w:w="1469"/>
            <w:tcBorders>
              <w:top w:val="nil"/>
              <w:left w:val="nil"/>
              <w:bottom w:val="nil"/>
              <w:right w:val="nil"/>
            </w:tcBorders>
            <w:shd w:fill="auto" w:val="clear"/>
            <w:tcMar>
              <w:left w:type="dxa" w:w="144"/>
            </w:tcMar>
            <w:vAlign w:val="bottom"/>
          </w:tcPr>
          <w:p>
            <w:pPr>
              <w:pStyle w:val="style59"/>
              <w:spacing w:after="0" w:before="20"/>
              <w:ind w:hanging="0" w:left="216" w:right="216"/>
              <w:contextualSpacing w:val="false"/>
              <w:rPr/>
            </w:pPr>
            <w:r>
              <w:rPr/>
              <w:t> </w:t>
            </w:r>
          </w:p>
        </w:tc>
        <w:tc>
          <w:tcPr>
            <w:tcW w:type="dxa" w:w="1403"/>
            <w:tcBorders>
              <w:top w:val="nil"/>
              <w:left w:val="nil"/>
              <w:bottom w:val="nil"/>
              <w:right w:val="nil"/>
            </w:tcBorders>
            <w:shd w:fill="auto" w:val="clear"/>
            <w:tcMar>
              <w:left w:type="dxa" w:w="144"/>
            </w:tcMar>
            <w:vAlign w:val="bottom"/>
          </w:tcPr>
          <w:p>
            <w:pPr>
              <w:pStyle w:val="style59"/>
              <w:spacing w:after="0" w:before="20"/>
              <w:ind w:hanging="0" w:left="216" w:right="216"/>
              <w:contextualSpacing w:val="false"/>
              <w:rPr/>
            </w:pPr>
            <w:r>
              <w:rPr/>
              <w:t> </w:t>
            </w:r>
          </w:p>
        </w:tc>
      </w:tr>
      <w:tr>
        <w:trPr>
          <w:trHeight w:hRule="atLeast" w:val="75"/>
          <w:cantSplit w:val="false"/>
        </w:trPr>
        <w:tc>
          <w:tcPr>
            <w:tcW w:type="dxa" w:w="3404"/>
            <w:tcBorders>
              <w:top w:val="nil"/>
              <w:left w:val="nil"/>
              <w:bottom w:val="nil"/>
              <w:right w:val="nil"/>
            </w:tcBorders>
            <w:shd w:fill="auto" w:val="clear"/>
            <w:vAlign w:val="center"/>
          </w:tcPr>
          <w:p>
            <w:pPr>
              <w:pStyle w:val="style0"/>
              <w:rPr>
                <w:sz w:val="8"/>
                <w:szCs w:val="24"/>
              </w:rPr>
            </w:pPr>
            <w:r>
              <w:rPr>
                <w:sz w:val="8"/>
                <w:szCs w:val="24"/>
              </w:rPr>
            </w:r>
          </w:p>
        </w:tc>
        <w:tc>
          <w:tcPr>
            <w:tcW w:type="dxa" w:w="1589"/>
            <w:tcBorders>
              <w:top w:val="nil"/>
              <w:left w:val="nil"/>
              <w:bottom w:val="nil"/>
              <w:right w:val="nil"/>
            </w:tcBorders>
            <w:shd w:fill="auto" w:val="clear"/>
            <w:vAlign w:val="center"/>
          </w:tcPr>
          <w:p>
            <w:pPr>
              <w:pStyle w:val="style0"/>
              <w:ind w:hanging="0" w:left="403" w:right="216"/>
              <w:rPr>
                <w:sz w:val="8"/>
                <w:szCs w:val="24"/>
              </w:rPr>
            </w:pPr>
            <w:r>
              <w:rPr>
                <w:sz w:val="8"/>
                <w:szCs w:val="24"/>
              </w:rPr>
            </w:r>
          </w:p>
        </w:tc>
        <w:tc>
          <w:tcPr>
            <w:tcW w:type="dxa" w:w="1531"/>
            <w:tcBorders>
              <w:top w:val="nil"/>
              <w:left w:val="nil"/>
              <w:bottom w:val="nil"/>
              <w:right w:val="nil"/>
            </w:tcBorders>
            <w:shd w:fill="auto" w:val="clear"/>
            <w:vAlign w:val="center"/>
          </w:tcPr>
          <w:p>
            <w:pPr>
              <w:pStyle w:val="style0"/>
              <w:ind w:hanging="0" w:left="403" w:right="216"/>
              <w:rPr>
                <w:sz w:val="8"/>
                <w:szCs w:val="24"/>
              </w:rPr>
            </w:pPr>
            <w:r>
              <w:rPr>
                <w:sz w:val="8"/>
                <w:szCs w:val="24"/>
              </w:rPr>
            </w:r>
          </w:p>
        </w:tc>
        <w:tc>
          <w:tcPr>
            <w:tcW w:type="dxa" w:w="1402"/>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468"/>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405"/>
            <w:tcBorders>
              <w:top w:val="nil"/>
              <w:left w:val="nil"/>
              <w:bottom w:val="nil"/>
              <w:right w:val="nil"/>
            </w:tcBorders>
            <w:shd w:fill="auto" w:val="clear"/>
            <w:vAlign w:val="center"/>
          </w:tcPr>
          <w:p>
            <w:pPr>
              <w:pStyle w:val="style0"/>
              <w:ind w:hanging="0" w:left="216" w:right="216"/>
              <w:rPr>
                <w:sz w:val="8"/>
                <w:szCs w:val="24"/>
              </w:rPr>
            </w:pPr>
            <w:r>
              <w:rPr>
                <w:sz w:val="8"/>
                <w:szCs w:val="24"/>
              </w:rPr>
            </w:r>
          </w:p>
        </w:tc>
      </w:tr>
      <w:tr>
        <w:trPr>
          <w:cantSplit w:val="false"/>
        </w:trPr>
        <w:tc>
          <w:tcPr>
            <w:tcW w:type="dxa" w:w="3404"/>
            <w:tcBorders>
              <w:top w:val="nil"/>
              <w:left w:val="nil"/>
              <w:bottom w:val="nil"/>
              <w:right w:val="nil"/>
            </w:tcBorders>
            <w:shd w:fill="auto" w:val="clear"/>
            <w:vAlign w:val="bottom"/>
          </w:tcPr>
          <w:p>
            <w:pPr>
              <w:pStyle w:val="style62"/>
              <w:keepNext/>
              <w:spacing w:after="280" w:before="280"/>
              <w:contextualSpacing w:val="false"/>
              <w:rPr>
                <w:rFonts w:ascii="Arial" w:cs="Arial" w:hAnsi="Arial"/>
                <w:b/>
                <w:bCs/>
                <w:sz w:val="15"/>
                <w:szCs w:val="15"/>
              </w:rPr>
            </w:pPr>
            <w:r>
              <w:rPr>
                <w:rFonts w:ascii="Arial" w:cs="Arial" w:hAnsi="Arial"/>
                <w:b/>
                <w:bCs/>
                <w:sz w:val="15"/>
                <w:szCs w:val="15"/>
              </w:rPr>
              <w:t>Fiscal Year 2012</w:t>
            </w:r>
          </w:p>
        </w:tc>
        <w:tc>
          <w:tcPr>
            <w:tcW w:type="dxa" w:w="1589"/>
            <w:tcBorders>
              <w:top w:val="nil"/>
              <w:left w:val="nil"/>
              <w:bottom w:val="nil"/>
              <w:right w:val="nil"/>
            </w:tcBorders>
            <w:shd w:fill="auto" w:val="clear"/>
            <w:tcMar>
              <w:left w:type="dxa" w:w="144"/>
            </w:tcMar>
            <w:vAlign w:val="bottom"/>
          </w:tcPr>
          <w:p>
            <w:pPr>
              <w:pStyle w:val="style65"/>
              <w:ind w:hanging="0" w:left="403" w:right="216"/>
              <w:rPr/>
            </w:pPr>
            <w:r>
              <w:rPr/>
              <w:t> </w:t>
            </w:r>
          </w:p>
        </w:tc>
        <w:tc>
          <w:tcPr>
            <w:tcW w:type="dxa" w:w="1531"/>
            <w:tcBorders>
              <w:top w:val="nil"/>
              <w:left w:val="nil"/>
              <w:bottom w:val="nil"/>
              <w:right w:val="nil"/>
            </w:tcBorders>
            <w:shd w:fill="auto" w:val="clear"/>
            <w:tcMar>
              <w:left w:type="dxa" w:w="144"/>
            </w:tcMar>
            <w:vAlign w:val="bottom"/>
          </w:tcPr>
          <w:p>
            <w:pPr>
              <w:pStyle w:val="style65"/>
              <w:ind w:hanging="0" w:left="403" w:right="216"/>
              <w:rPr/>
            </w:pPr>
            <w:r>
              <w:rPr/>
              <w:t> </w:t>
            </w:r>
          </w:p>
        </w:tc>
        <w:tc>
          <w:tcPr>
            <w:tcW w:type="dxa" w:w="1402"/>
            <w:tcBorders>
              <w:top w:val="nil"/>
              <w:left w:val="nil"/>
              <w:bottom w:val="nil"/>
              <w:right w:val="nil"/>
            </w:tcBorders>
            <w:shd w:fill="auto" w:val="clear"/>
            <w:tcMar>
              <w:left w:type="dxa" w:w="144"/>
            </w:tcMar>
            <w:vAlign w:val="bottom"/>
          </w:tcPr>
          <w:p>
            <w:pPr>
              <w:pStyle w:val="style65"/>
              <w:ind w:hanging="0" w:left="216" w:right="216"/>
              <w:rPr/>
            </w:pPr>
            <w:r>
              <w:rPr/>
              <w:t> </w:t>
            </w:r>
          </w:p>
        </w:tc>
        <w:tc>
          <w:tcPr>
            <w:tcW w:type="dxa" w:w="1468"/>
            <w:tcBorders>
              <w:top w:val="nil"/>
              <w:left w:val="nil"/>
              <w:bottom w:val="nil"/>
              <w:right w:val="nil"/>
            </w:tcBorders>
            <w:shd w:fill="auto" w:val="clear"/>
            <w:tcMar>
              <w:left w:type="dxa" w:w="144"/>
            </w:tcMar>
            <w:vAlign w:val="bottom"/>
          </w:tcPr>
          <w:p>
            <w:pPr>
              <w:pStyle w:val="style65"/>
              <w:ind w:hanging="0" w:left="216" w:right="216"/>
              <w:rPr/>
            </w:pPr>
            <w:r>
              <w:rPr/>
              <w:t> </w:t>
            </w:r>
          </w:p>
        </w:tc>
        <w:tc>
          <w:tcPr>
            <w:tcW w:type="dxa" w:w="1405"/>
            <w:tcBorders>
              <w:top w:val="nil"/>
              <w:left w:val="nil"/>
              <w:bottom w:val="nil"/>
              <w:right w:val="nil"/>
            </w:tcBorders>
            <w:shd w:fill="auto" w:val="clear"/>
            <w:tcMar>
              <w:left w:type="dxa" w:w="144"/>
            </w:tcMar>
            <w:vAlign w:val="bottom"/>
          </w:tcPr>
          <w:p>
            <w:pPr>
              <w:pStyle w:val="style65"/>
              <w:ind w:hanging="0" w:left="216" w:right="216"/>
              <w:rPr/>
            </w:pPr>
            <w:r>
              <w:rPr/>
              <w:t> </w:t>
            </w:r>
          </w:p>
        </w:tc>
      </w:tr>
      <w:tr>
        <w:trPr>
          <w:trHeight w:hRule="atLeast" w:val="75"/>
          <w:cantSplit w:val="false"/>
        </w:trPr>
        <w:tc>
          <w:tcPr>
            <w:tcW w:type="dxa" w:w="3404"/>
            <w:tcBorders>
              <w:top w:val="nil"/>
              <w:left w:val="nil"/>
              <w:bottom w:val="nil"/>
              <w:right w:val="nil"/>
            </w:tcBorders>
            <w:shd w:fill="auto" w:val="clear"/>
            <w:vAlign w:val="center"/>
          </w:tcPr>
          <w:p>
            <w:pPr>
              <w:pStyle w:val="style0"/>
              <w:rPr>
                <w:sz w:val="8"/>
                <w:szCs w:val="24"/>
              </w:rPr>
            </w:pPr>
            <w:r>
              <w:rPr>
                <w:sz w:val="8"/>
                <w:szCs w:val="24"/>
              </w:rPr>
            </w:r>
          </w:p>
        </w:tc>
        <w:tc>
          <w:tcPr>
            <w:tcW w:type="dxa" w:w="1589"/>
            <w:tcBorders>
              <w:top w:val="nil"/>
              <w:left w:val="nil"/>
              <w:bottom w:val="nil"/>
              <w:right w:val="nil"/>
            </w:tcBorders>
            <w:shd w:fill="auto" w:val="clear"/>
            <w:vAlign w:val="center"/>
          </w:tcPr>
          <w:p>
            <w:pPr>
              <w:pStyle w:val="style0"/>
              <w:ind w:hanging="0" w:left="403" w:right="216"/>
              <w:rPr>
                <w:sz w:val="8"/>
                <w:szCs w:val="24"/>
              </w:rPr>
            </w:pPr>
            <w:r>
              <w:rPr>
                <w:sz w:val="8"/>
                <w:szCs w:val="24"/>
              </w:rPr>
            </w:r>
          </w:p>
        </w:tc>
        <w:tc>
          <w:tcPr>
            <w:tcW w:type="dxa" w:w="1531"/>
            <w:tcBorders>
              <w:top w:val="nil"/>
              <w:left w:val="nil"/>
              <w:bottom w:val="nil"/>
              <w:right w:val="nil"/>
            </w:tcBorders>
            <w:shd w:fill="auto" w:val="clear"/>
            <w:vAlign w:val="center"/>
          </w:tcPr>
          <w:p>
            <w:pPr>
              <w:pStyle w:val="style0"/>
              <w:ind w:hanging="0" w:left="403" w:right="216"/>
              <w:rPr>
                <w:sz w:val="8"/>
                <w:szCs w:val="24"/>
              </w:rPr>
            </w:pPr>
            <w:r>
              <w:rPr>
                <w:sz w:val="8"/>
                <w:szCs w:val="24"/>
              </w:rPr>
            </w:r>
          </w:p>
        </w:tc>
        <w:tc>
          <w:tcPr>
            <w:tcW w:type="dxa" w:w="1402"/>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468"/>
            <w:tcBorders>
              <w:top w:val="nil"/>
              <w:left w:val="nil"/>
              <w:bottom w:val="nil"/>
              <w:right w:val="nil"/>
            </w:tcBorders>
            <w:shd w:fill="auto" w:val="clear"/>
            <w:vAlign w:val="center"/>
          </w:tcPr>
          <w:p>
            <w:pPr>
              <w:pStyle w:val="style0"/>
              <w:ind w:hanging="0" w:left="216" w:right="216"/>
              <w:rPr>
                <w:sz w:val="8"/>
                <w:szCs w:val="24"/>
              </w:rPr>
            </w:pPr>
            <w:r>
              <w:rPr>
                <w:sz w:val="8"/>
                <w:szCs w:val="24"/>
              </w:rPr>
            </w:r>
          </w:p>
        </w:tc>
        <w:tc>
          <w:tcPr>
            <w:tcW w:type="dxa" w:w="1405"/>
            <w:tcBorders>
              <w:top w:val="nil"/>
              <w:left w:val="nil"/>
              <w:bottom w:val="nil"/>
              <w:right w:val="nil"/>
            </w:tcBorders>
            <w:shd w:fill="auto" w:val="clear"/>
            <w:vAlign w:val="center"/>
          </w:tcPr>
          <w:p>
            <w:pPr>
              <w:pStyle w:val="style0"/>
              <w:ind w:hanging="0" w:left="216" w:right="216"/>
              <w:rPr>
                <w:sz w:val="8"/>
                <w:szCs w:val="24"/>
              </w:rPr>
            </w:pPr>
            <w:r>
              <w:rPr>
                <w:sz w:val="8"/>
                <w:szCs w:val="24"/>
              </w:rPr>
            </w:r>
          </w:p>
        </w:tc>
      </w:tr>
      <w:tr>
        <w:trPr>
          <w:cantSplit w:val="false"/>
        </w:trPr>
        <w:tc>
          <w:tcPr>
            <w:tcW w:type="dxa" w:w="3404"/>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Revenue</w:t>
            </w:r>
          </w:p>
        </w:tc>
        <w:tc>
          <w:tcPr>
            <w:tcW w:type="dxa" w:w="1589"/>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403" w:right="216"/>
              <w:contextualSpacing w:val="false"/>
              <w:rPr>
                <w:rFonts w:ascii="Arial" w:cs="Arial" w:hAnsi="Arial"/>
                <w:sz w:val="20"/>
                <w:szCs w:val="20"/>
              </w:rPr>
            </w:pPr>
            <w:r>
              <w:rPr>
                <w:rFonts w:ascii="Arial" w:cs="Arial" w:hAnsi="Arial"/>
                <w:sz w:val="20"/>
                <w:szCs w:val="20"/>
              </w:rPr>
              <w:t>$</w:t>
              <w:tab/>
              <w:t>17,372</w:t>
              <w:tab/>
            </w:r>
          </w:p>
        </w:tc>
        <w:tc>
          <w:tcPr>
            <w:tcW w:type="dxa" w:w="15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403" w:right="216"/>
              <w:contextualSpacing w:val="false"/>
              <w:rPr>
                <w:rFonts w:ascii="Arial" w:cs="Arial" w:hAnsi="Arial"/>
                <w:sz w:val="20"/>
                <w:szCs w:val="20"/>
              </w:rPr>
            </w:pPr>
            <w:r>
              <w:rPr>
                <w:rFonts w:ascii="Arial" w:cs="Arial" w:hAnsi="Arial"/>
                <w:sz w:val="20"/>
                <w:szCs w:val="20"/>
              </w:rPr>
              <w:t>$</w:t>
              <w:tab/>
              <w:t>20,885</w:t>
              <w:tab/>
            </w:r>
          </w:p>
        </w:tc>
        <w:tc>
          <w:tcPr>
            <w:tcW w:type="dxa" w:w="140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w:t>
              <w:tab/>
              <w:t>17,407</w:t>
              <w:tab/>
            </w:r>
          </w:p>
        </w:tc>
        <w:tc>
          <w:tcPr>
            <w:tcW w:type="dxa" w:w="1468"/>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w:t>
              <w:tab/>
              <w:t>18,059</w:t>
              <w:tab/>
            </w:r>
          </w:p>
        </w:tc>
        <w:tc>
          <w:tcPr>
            <w:tcW w:type="dxa" w:w="1405"/>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w:t>
              <w:tab/>
              <w:t>73,723</w:t>
              <w:tab/>
            </w:r>
          </w:p>
        </w:tc>
      </w:tr>
      <w:tr>
        <w:trPr>
          <w:cantSplit w:val="false"/>
        </w:trPr>
        <w:tc>
          <w:tcPr>
            <w:tcW w:type="dxa" w:w="3404"/>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Gross profit</w:t>
            </w:r>
          </w:p>
        </w:tc>
        <w:tc>
          <w:tcPr>
            <w:tcW w:type="dxa" w:w="1589"/>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216" w:right="216"/>
              <w:contextualSpacing w:val="false"/>
              <w:rPr>
                <w:rFonts w:ascii="Arial" w:cs="Arial" w:hAnsi="Arial"/>
                <w:sz w:val="20"/>
                <w:szCs w:val="20"/>
              </w:rPr>
            </w:pPr>
            <w:r>
              <w:rPr>
                <w:rFonts w:ascii="Arial" w:cs="Arial" w:hAnsi="Arial"/>
                <w:sz w:val="20"/>
                <w:szCs w:val="20"/>
              </w:rPr>
              <w:tab/>
              <w:t>13,595</w:t>
              <w:tab/>
            </w:r>
          </w:p>
        </w:tc>
        <w:tc>
          <w:tcPr>
            <w:tcW w:type="dxa" w:w="15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216" w:right="216"/>
              <w:contextualSpacing w:val="false"/>
              <w:rPr>
                <w:rFonts w:ascii="Arial" w:cs="Arial" w:hAnsi="Arial"/>
                <w:sz w:val="20"/>
                <w:szCs w:val="20"/>
              </w:rPr>
            </w:pPr>
            <w:r>
              <w:rPr>
                <w:rFonts w:ascii="Arial" w:cs="Arial" w:hAnsi="Arial"/>
                <w:sz w:val="20"/>
                <w:szCs w:val="20"/>
              </w:rPr>
              <w:tab/>
              <w:t>15,247</w:t>
              <w:tab/>
            </w:r>
          </w:p>
        </w:tc>
        <w:tc>
          <w:tcPr>
            <w:tcW w:type="dxa" w:w="140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13,455</w:t>
              <w:tab/>
            </w:r>
          </w:p>
        </w:tc>
        <w:tc>
          <w:tcPr>
            <w:tcW w:type="dxa" w:w="1468"/>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13,896</w:t>
              <w:tab/>
            </w:r>
          </w:p>
        </w:tc>
        <w:tc>
          <w:tcPr>
            <w:tcW w:type="dxa" w:w="1405"/>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56,193</w:t>
              <w:tab/>
            </w:r>
          </w:p>
        </w:tc>
      </w:tr>
      <w:tr>
        <w:trPr>
          <w:cantSplit w:val="false"/>
        </w:trPr>
        <w:tc>
          <w:tcPr>
            <w:tcW w:type="dxa" w:w="3404"/>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Net income</w:t>
            </w:r>
          </w:p>
        </w:tc>
        <w:tc>
          <w:tcPr>
            <w:tcW w:type="dxa" w:w="1589"/>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216" w:right="216"/>
              <w:contextualSpacing w:val="false"/>
              <w:rPr>
                <w:rFonts w:ascii="Arial" w:cs="Arial" w:hAnsi="Arial"/>
                <w:sz w:val="20"/>
                <w:szCs w:val="20"/>
              </w:rPr>
            </w:pPr>
            <w:r>
              <w:rPr>
                <w:rFonts w:ascii="Arial" w:cs="Arial" w:hAnsi="Arial"/>
                <w:sz w:val="20"/>
                <w:szCs w:val="20"/>
              </w:rPr>
              <w:tab/>
              <w:t>5,738</w:t>
              <w:tab/>
            </w:r>
          </w:p>
        </w:tc>
        <w:tc>
          <w:tcPr>
            <w:tcW w:type="dxa" w:w="15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216" w:right="216"/>
              <w:contextualSpacing w:val="false"/>
              <w:rPr>
                <w:rFonts w:ascii="Arial" w:cs="Arial" w:hAnsi="Arial"/>
                <w:sz w:val="20"/>
                <w:szCs w:val="20"/>
              </w:rPr>
            </w:pPr>
            <w:r>
              <w:rPr>
                <w:rFonts w:ascii="Arial" w:cs="Arial" w:hAnsi="Arial"/>
                <w:sz w:val="20"/>
                <w:szCs w:val="20"/>
              </w:rPr>
              <w:tab/>
              <w:t>6,624</w:t>
              <w:tab/>
            </w:r>
          </w:p>
        </w:tc>
        <w:tc>
          <w:tcPr>
            <w:tcW w:type="dxa" w:w="140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5,108</w:t>
              <w:tab/>
            </w:r>
          </w:p>
        </w:tc>
        <w:tc>
          <w:tcPr>
            <w:tcW w:type="dxa" w:w="1468"/>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15"/>
                <w:szCs w:val="15"/>
                <w:vertAlign w:val="superscript"/>
              </w:rPr>
            </w:pPr>
            <w:r>
              <w:rPr>
                <w:rFonts w:ascii="Arial" w:cs="Arial" w:hAnsi="Arial"/>
                <w:sz w:val="20"/>
                <w:szCs w:val="20"/>
              </w:rPr>
              <w:tab/>
              <w:t>(492</w:t>
              <w:tab/>
              <w:t>) </w:t>
            </w:r>
            <w:r>
              <w:rPr>
                <w:rFonts w:ascii="Arial" w:cs="Arial" w:hAnsi="Arial"/>
                <w:sz w:val="15"/>
                <w:szCs w:val="15"/>
                <w:vertAlign w:val="superscript"/>
              </w:rPr>
              <w:t>(d)</w:t>
            </w:r>
          </w:p>
        </w:tc>
        <w:tc>
          <w:tcPr>
            <w:tcW w:type="dxa" w:w="1405"/>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15"/>
                <w:szCs w:val="15"/>
                <w:vertAlign w:val="superscript"/>
              </w:rPr>
            </w:pPr>
            <w:r>
              <w:rPr>
                <w:rFonts w:ascii="Arial" w:cs="Arial" w:hAnsi="Arial"/>
                <w:sz w:val="20"/>
                <w:szCs w:val="20"/>
              </w:rPr>
              <w:tab/>
              <w:t>16,978</w:t>
              <w:tab/>
              <w:t> </w:t>
            </w:r>
            <w:r>
              <w:rPr>
                <w:rFonts w:ascii="Arial" w:cs="Arial" w:hAnsi="Arial"/>
                <w:sz w:val="15"/>
                <w:szCs w:val="15"/>
                <w:vertAlign w:val="superscript"/>
              </w:rPr>
              <w:t>(d)</w:t>
            </w:r>
          </w:p>
        </w:tc>
      </w:tr>
      <w:tr>
        <w:trPr>
          <w:cantSplit w:val="false"/>
        </w:trPr>
        <w:tc>
          <w:tcPr>
            <w:tcW w:type="dxa" w:w="3404"/>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Basic earnings (loss) per share</w:t>
            </w:r>
          </w:p>
        </w:tc>
        <w:tc>
          <w:tcPr>
            <w:tcW w:type="dxa" w:w="1589"/>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216" w:right="216"/>
              <w:contextualSpacing w:val="false"/>
              <w:rPr>
                <w:rFonts w:ascii="Arial" w:cs="Arial" w:hAnsi="Arial"/>
                <w:sz w:val="20"/>
                <w:szCs w:val="20"/>
              </w:rPr>
            </w:pPr>
            <w:r>
              <w:rPr>
                <w:rFonts w:ascii="Arial" w:cs="Arial" w:hAnsi="Arial"/>
                <w:sz w:val="20"/>
                <w:szCs w:val="20"/>
              </w:rPr>
              <w:tab/>
              <w:t>0.68</w:t>
              <w:tab/>
            </w:r>
          </w:p>
        </w:tc>
        <w:tc>
          <w:tcPr>
            <w:tcW w:type="dxa" w:w="15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216" w:right="216"/>
              <w:contextualSpacing w:val="false"/>
              <w:rPr>
                <w:rFonts w:ascii="Arial" w:cs="Arial" w:hAnsi="Arial"/>
                <w:sz w:val="20"/>
                <w:szCs w:val="20"/>
              </w:rPr>
            </w:pPr>
            <w:r>
              <w:rPr>
                <w:rFonts w:ascii="Arial" w:cs="Arial" w:hAnsi="Arial"/>
                <w:sz w:val="20"/>
                <w:szCs w:val="20"/>
              </w:rPr>
              <w:tab/>
              <w:t>0.79</w:t>
              <w:tab/>
            </w:r>
          </w:p>
        </w:tc>
        <w:tc>
          <w:tcPr>
            <w:tcW w:type="dxa" w:w="140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0.61</w:t>
              <w:tab/>
            </w:r>
          </w:p>
        </w:tc>
        <w:tc>
          <w:tcPr>
            <w:tcW w:type="dxa" w:w="1468"/>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(0.06</w:t>
              <w:tab/>
              <w:t>)</w:t>
            </w:r>
          </w:p>
        </w:tc>
        <w:tc>
          <w:tcPr>
            <w:tcW w:type="dxa" w:w="1405"/>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2.02</w:t>
              <w:tab/>
            </w:r>
          </w:p>
        </w:tc>
      </w:tr>
      <w:tr>
        <w:trPr>
          <w:cantSplit w:val="false"/>
        </w:trPr>
        <w:tc>
          <w:tcPr>
            <w:tcW w:type="dxa" w:w="3404"/>
            <w:tcBorders>
              <w:top w:val="nil"/>
              <w:left w:val="nil"/>
              <w:bottom w:val="nil"/>
              <w:right w:val="nil"/>
            </w:tcBorders>
            <w:shd w:fill="auto" w:val="clear"/>
          </w:tcPr>
          <w:p>
            <w:pPr>
              <w:pStyle w:val="style62"/>
              <w:spacing w:after="280" w:before="280"/>
              <w:ind w:hanging="240" w:left="240" w:right="0"/>
              <w:contextualSpacing w:val="false"/>
              <w:rPr>
                <w:rFonts w:ascii="Arial" w:cs="Arial" w:hAnsi="Arial"/>
                <w:sz w:val="20"/>
                <w:szCs w:val="20"/>
              </w:rPr>
            </w:pPr>
            <w:r>
              <w:rPr>
                <w:rFonts w:ascii="Arial" w:cs="Arial" w:hAnsi="Arial"/>
                <w:sz w:val="20"/>
                <w:szCs w:val="20"/>
              </w:rPr>
              <w:t>Diluted earnings (loss) per share</w:t>
            </w:r>
          </w:p>
        </w:tc>
        <w:tc>
          <w:tcPr>
            <w:tcW w:type="dxa" w:w="1589"/>
            <w:tcBorders>
              <w:top w:val="nil"/>
              <w:left w:val="nil"/>
              <w:bottom w:val="nil"/>
              <w:right w:val="nil"/>
            </w:tcBorders>
            <w:shd w:fill="auto" w:val="clear"/>
            <w:tcMar>
              <w:left w:type="dxa" w:w="144"/>
            </w:tcMar>
            <w:vAlign w:val="bottom"/>
          </w:tcPr>
          <w:p>
            <w:pPr>
              <w:pStyle w:val="style62"/>
              <w:tabs>
                <w:tab w:leader="none" w:pos="1280" w:val="right"/>
                <w:tab w:leader="none" w:pos="1320" w:val="decimal"/>
              </w:tabs>
              <w:spacing w:after="280" w:before="280"/>
              <w:ind w:hanging="0" w:left="216" w:right="216"/>
              <w:contextualSpacing w:val="false"/>
              <w:rPr>
                <w:rFonts w:ascii="Arial" w:cs="Arial" w:hAnsi="Arial"/>
                <w:sz w:val="20"/>
                <w:szCs w:val="20"/>
              </w:rPr>
            </w:pPr>
            <w:r>
              <w:rPr>
                <w:rFonts w:ascii="Arial" w:cs="Arial" w:hAnsi="Arial"/>
                <w:sz w:val="20"/>
                <w:szCs w:val="20"/>
              </w:rPr>
              <w:tab/>
              <w:t>0.68</w:t>
              <w:tab/>
            </w:r>
          </w:p>
        </w:tc>
        <w:tc>
          <w:tcPr>
            <w:tcW w:type="dxa" w:w="1531"/>
            <w:tcBorders>
              <w:top w:val="nil"/>
              <w:left w:val="nil"/>
              <w:bottom w:val="nil"/>
              <w:right w:val="nil"/>
            </w:tcBorders>
            <w:shd w:fill="auto" w:val="clear"/>
            <w:tcMar>
              <w:left w:type="dxa" w:w="144"/>
            </w:tcMar>
            <w:vAlign w:val="bottom"/>
          </w:tcPr>
          <w:p>
            <w:pPr>
              <w:pStyle w:val="style62"/>
              <w:tabs>
                <w:tab w:leader="none" w:pos="1220" w:val="right"/>
                <w:tab w:leader="none" w:pos="1260" w:val="decimal"/>
              </w:tabs>
              <w:spacing w:after="280" w:before="280"/>
              <w:ind w:hanging="0" w:left="216" w:right="216"/>
              <w:contextualSpacing w:val="false"/>
              <w:rPr>
                <w:rFonts w:ascii="Arial" w:cs="Arial" w:hAnsi="Arial"/>
                <w:sz w:val="20"/>
                <w:szCs w:val="20"/>
              </w:rPr>
            </w:pPr>
            <w:r>
              <w:rPr>
                <w:rFonts w:ascii="Arial" w:cs="Arial" w:hAnsi="Arial"/>
                <w:sz w:val="20"/>
                <w:szCs w:val="20"/>
              </w:rPr>
              <w:tab/>
              <w:t>0.78</w:t>
              <w:tab/>
            </w:r>
          </w:p>
        </w:tc>
        <w:tc>
          <w:tcPr>
            <w:tcW w:type="dxa" w:w="1402"/>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20"/>
                <w:szCs w:val="20"/>
              </w:rPr>
            </w:pPr>
            <w:r>
              <w:rPr>
                <w:rFonts w:ascii="Arial" w:cs="Arial" w:hAnsi="Arial"/>
                <w:sz w:val="20"/>
                <w:szCs w:val="20"/>
              </w:rPr>
              <w:tab/>
              <w:t>0.60</w:t>
              <w:tab/>
            </w:r>
          </w:p>
        </w:tc>
        <w:tc>
          <w:tcPr>
            <w:tcW w:type="dxa" w:w="1468"/>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15"/>
                <w:szCs w:val="15"/>
                <w:vertAlign w:val="superscript"/>
              </w:rPr>
            </w:pPr>
            <w:r>
              <w:rPr>
                <w:rFonts w:ascii="Arial" w:cs="Arial" w:hAnsi="Arial"/>
                <w:sz w:val="20"/>
                <w:szCs w:val="20"/>
              </w:rPr>
              <w:tab/>
              <w:t>(0.06</w:t>
              <w:tab/>
              <w:t>) </w:t>
            </w:r>
            <w:r>
              <w:rPr>
                <w:rFonts w:ascii="Arial" w:cs="Arial" w:hAnsi="Arial"/>
                <w:sz w:val="15"/>
                <w:szCs w:val="15"/>
                <w:vertAlign w:val="superscript"/>
              </w:rPr>
              <w:t>(d)</w:t>
            </w:r>
          </w:p>
        </w:tc>
        <w:tc>
          <w:tcPr>
            <w:tcW w:type="dxa" w:w="1405"/>
            <w:tcBorders>
              <w:top w:val="nil"/>
              <w:left w:val="nil"/>
              <w:bottom w:val="nil"/>
              <w:right w:val="nil"/>
            </w:tcBorders>
            <w:shd w:fill="auto" w:val="clear"/>
            <w:tcMar>
              <w:left w:type="dxa" w:w="144"/>
            </w:tcMar>
            <w:vAlign w:val="bottom"/>
          </w:tcPr>
          <w:p>
            <w:pPr>
              <w:pStyle w:val="style62"/>
              <w:tabs>
                <w:tab w:leader="none" w:pos="1080" w:val="right"/>
                <w:tab w:leader="none" w:pos="1120" w:val="decimal"/>
              </w:tabs>
              <w:spacing w:after="280" w:before="280"/>
              <w:ind w:hanging="0" w:left="216" w:right="216"/>
              <w:contextualSpacing w:val="false"/>
              <w:rPr>
                <w:rFonts w:ascii="Arial" w:cs="Arial" w:hAnsi="Arial"/>
                <w:sz w:val="15"/>
                <w:szCs w:val="15"/>
                <w:vertAlign w:val="superscript"/>
              </w:rPr>
            </w:pPr>
            <w:r>
              <w:rPr>
                <w:rFonts w:ascii="Arial" w:cs="Arial" w:hAnsi="Arial"/>
                <w:sz w:val="20"/>
                <w:szCs w:val="20"/>
              </w:rPr>
              <w:tab/>
              <w:t>2.00</w:t>
              <w:tab/>
              <w:t> </w:t>
            </w:r>
            <w:r>
              <w:rPr>
                <w:rFonts w:ascii="Arial" w:cs="Arial" w:hAnsi="Arial"/>
                <w:sz w:val="15"/>
                <w:szCs w:val="15"/>
                <w:vertAlign w:val="superscript"/>
              </w:rPr>
              <w:t>(d)</w:t>
            </w:r>
          </w:p>
        </w:tc>
      </w:tr>
    </w:tbl>
    <w:p>
      <w:pPr>
        <w:pStyle w:val="style59"/>
        <w:pBdr>
          <w:top w:color="000001" w:space="0" w:sz="4" w:val="single"/>
          <w:left w:val="nil"/>
          <w:bottom w:val="nil"/>
          <w:insideH w:val="nil"/>
          <w:right w:val="nil"/>
          <w:insideV w:val="nil"/>
        </w:pBdr>
        <w:ind w:hanging="0" w:left="0" w:right="216"/>
        <w:rPr/>
      </w:pPr>
      <w:r>
        <w:rPr/>
        <w:t>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(a)</w:t>
        <w:tab/>
      </w:r>
      <w:r>
        <w:rPr>
          <w:rFonts w:ascii="Arial" w:cs="Arial" w:hAnsi="Arial"/>
          <w:i/>
          <w:iCs/>
          <w:sz w:val="20"/>
          <w:szCs w:val="20"/>
        </w:rPr>
        <w:t>Includes a charge related to a fine imposed by the European Commission in March 2013 which decreased net income by $733 million (€561 million) and diluted earnings per share by $0.09.</w:t>
      </w:r>
      <w:r>
        <w:rPr>
          <w:rFonts w:ascii="Arial" w:cs="Arial" w:hAnsi="Arial"/>
          <w:sz w:val="20"/>
          <w:szCs w:val="20"/>
        </w:rPr>
        <w:t xml:space="preserv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(b)</w:t>
        <w:tab/>
      </w:r>
      <w:r>
        <w:rPr>
          <w:rFonts w:ascii="Arial" w:cs="Arial" w:hAnsi="Arial"/>
          <w:i/>
          <w:iCs/>
          <w:sz w:val="20"/>
          <w:szCs w:val="20"/>
        </w:rPr>
        <w:t>Includes a charge for Surface RT inventory adjustments recorded in the fourth quarter of fiscal year 2013, which decreased net income by $596 million and diluted earnings per share by $0.07.</w:t>
      </w:r>
      <w:r>
        <w:rPr>
          <w:rFonts w:ascii="Arial" w:cs="Arial" w:hAnsi="Arial"/>
          <w:sz w:val="20"/>
          <w:szCs w:val="20"/>
        </w:rPr>
        <w:t xml:space="preserv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 xml:space="preserve">(c) </w:t>
        <w:tab/>
      </w:r>
      <w:r>
        <w:rPr>
          <w:rFonts w:ascii="Arial" w:cs="Arial" w:hAnsi="Arial"/>
          <w:i/>
          <w:iCs/>
          <w:sz w:val="20"/>
          <w:szCs w:val="20"/>
        </w:rPr>
        <w:t>Includes a charge related to a fine imposed by the European Commission in March 2013 which decreased net income by $733 million (€561 million) and diluted earnings per share by $0.09. Also includes a charge for Surface RT inventory adjustments recorded in the fourth quarter of fiscal year 2013, which decreased net income by $596 million and diluted earnings per share by $0.07.</w:t>
      </w:r>
      <w:r>
        <w:rPr>
          <w:rFonts w:ascii="Arial" w:cs="Arial" w:hAnsi="Arial"/>
          <w:sz w:val="20"/>
          <w:szCs w:val="20"/>
        </w:rPr>
        <w:t xml:space="preserv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 xml:space="preserve">(d) </w:t>
        <w:tab/>
      </w:r>
      <w:r>
        <w:rPr>
          <w:rFonts w:ascii="Arial" w:cs="Arial" w:hAnsi="Arial"/>
          <w:i/>
          <w:iCs/>
          <w:sz w:val="20"/>
          <w:szCs w:val="20"/>
        </w:rPr>
        <w:t>Includes a goodwill impairment charge related to our OSD business segment which decreased net income by $6.2 billion and diluted earnings per share by $0.73.</w:t>
      </w:r>
      <w:r>
        <w:rPr>
          <w:rFonts w:ascii="Arial" w:cs="Arial" w:hAnsi="Arial"/>
          <w:sz w:val="20"/>
          <w:szCs w:val="20"/>
        </w:rPr>
        <w:t xml:space="preserve"> </w:t>
      </w:r>
    </w:p>
    <w:p>
      <w:pPr>
        <w:pStyle w:val="style62"/>
        <w:pageBreakBefore/>
        <w:spacing w:after="280" w:before="280"/>
        <w:contextualSpacing w:val="false"/>
        <w:jc w:val="both"/>
        <w:rPr>
          <w:rFonts w:ascii="Arial" w:cs="Arial" w:hAnsi="Arial"/>
          <w:b/>
          <w:bCs/>
          <w:sz w:val="20"/>
          <w:szCs w:val="20"/>
        </w:rPr>
      </w:pPr>
      <w:r>
        <w:rPr>
          <w:sz w:val="2"/>
          <w:szCs w:val="2"/>
        </w:rPr>
        <w:t> </w:t>
      </w:r>
      <w:r>
        <w:rPr>
          <w:rFonts w:ascii="Arial" w:cs="Arial" w:hAnsi="Arial"/>
          <w:b/>
          <w:bCs/>
          <w:sz w:val="20"/>
          <w:szCs w:val="20"/>
        </w:rPr>
        <w:t xml:space="preserve">REPORT OF INDEPENDENT REGISTERED PUBLIC ACCOUNTING FIRM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To the Board of Directors and Stockholders of Microsoft Corporation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Redmond, Washington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have audited the accompanying consolidated balance sheets of Microsoft Corporation and subsidiaries (the “Company”) as of June 30, 2013 and 2012, and the related consolidated statements of income, comprehensive income, cash flows, and stockholders’ equity for each of the three years in the period ended June 30, 2013. These financial statements are the responsibility of the Company’s management. Our responsibility is to express an opinion on these financial statements based on our audits.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conducted our audits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audits provide a reasonable basis for our opinion.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our opinion, such consolidated financial statements present fairly, in all material respects, the financial position of Microsoft Corporation and subsidiaries as of June 30, 2013 and 2012, and the results of their operations and their cash flows for each of the three years in the period ended June 30, 2013, in conformity with accounting principles generally accepted in the United States of America.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have also audited, in accordance with the standards of the Public Company Accounting Oversight Board (United States), the Company’s internal control over financial reporting as of June 30, 2013, based on the criteria established in </w:t>
      </w:r>
      <w:r>
        <w:rPr>
          <w:rFonts w:ascii="Arial" w:cs="Arial" w:hAnsi="Arial"/>
          <w:i/>
          <w:iCs/>
          <w:sz w:val="20"/>
          <w:szCs w:val="20"/>
        </w:rPr>
        <w:t>Internal Control – Integrated Framework (1992)</w:t>
      </w:r>
      <w:r>
        <w:rPr>
          <w:rFonts w:ascii="Arial" w:cs="Arial" w:hAnsi="Arial"/>
          <w:sz w:val="20"/>
          <w:szCs w:val="20"/>
        </w:rPr>
        <w:t xml:space="preserve"> issued by the Committee of Sponsoring Organizations of the Treadway Commission and our report dated July 30, 2013, expressed an unqualified opinion on the Company’s internal control over financial reporting. </w:t>
      </w:r>
    </w:p>
    <w:p>
      <w:pPr>
        <w:pStyle w:val="style62"/>
        <w:spacing w:after="280" w:before="280"/>
        <w:contextualSpacing w:val="false"/>
        <w:jc w:val="both"/>
        <w:rPr>
          <w:rFonts w:ascii="Arial" w:cs="Arial" w:hAnsi="Arial"/>
          <w:sz w:val="20"/>
          <w:szCs w:val="20"/>
        </w:rPr>
      </w:pPr>
      <w:r>
        <w:rPr>
          <w:rFonts w:ascii="Arial" w:cs="Arial" w:hAnsi="Arial"/>
          <w:sz w:val="20"/>
          <w:szCs w:val="20"/>
        </w:rPr>
        <w:t>/s/     D</w:t>
      </w:r>
      <w:r>
        <w:rPr>
          <w:rFonts w:ascii="Arial" w:cs="Arial" w:hAnsi="Arial"/>
          <w:sz w:val="15"/>
          <w:szCs w:val="15"/>
        </w:rPr>
        <w:t>ELOITTE</w:t>
      </w:r>
      <w:r>
        <w:rPr>
          <w:rFonts w:ascii="Arial" w:cs="Arial" w:hAnsi="Arial"/>
          <w:sz w:val="20"/>
          <w:szCs w:val="20"/>
        </w:rPr>
        <w:t> &amp; T</w:t>
      </w:r>
      <w:r>
        <w:rPr>
          <w:rFonts w:ascii="Arial" w:cs="Arial" w:hAnsi="Arial"/>
          <w:sz w:val="15"/>
          <w:szCs w:val="15"/>
        </w:rPr>
        <w:t>OUCHE</w:t>
      </w:r>
      <w:r>
        <w:rPr>
          <w:rFonts w:ascii="Arial" w:cs="Arial" w:hAnsi="Arial"/>
          <w:sz w:val="20"/>
          <w:szCs w:val="20"/>
        </w:rPr>
        <w:t xml:space="preserve"> LLP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Seattle, Washington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July 30, 2013 </w:t>
      </w:r>
    </w:p>
    <w:p>
      <w:pPr>
        <w:pStyle w:val="style62"/>
        <w:pageBreakBefore/>
        <w:spacing w:after="280" w:before="280"/>
        <w:contextualSpacing w:val="false"/>
        <w:jc w:val="center"/>
        <w:rPr>
          <w:rFonts w:ascii="Arial" w:cs="Arial" w:hAnsi="Arial"/>
          <w:b/>
          <w:bCs/>
        </w:rPr>
      </w:pPr>
      <w:r>
        <w:rPr>
          <w:rFonts w:ascii="Arial" w:cs="Arial" w:hAnsi="Arial"/>
          <w:b/>
          <w:bCs/>
        </w:rPr>
        <w:t>CHANGES IN AND DISAGREEMENTS WITH ACCOUNTANTS ON ACCOUNTING AND FINANCIAL DISCLOSURE</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Not applicable. </w:t>
      </w:r>
    </w:p>
    <w:p>
      <w:pPr>
        <w:pStyle w:val="style62"/>
        <w:spacing w:after="280" w:before="280"/>
        <w:contextualSpacing w:val="false"/>
        <w:jc w:val="center"/>
        <w:rPr>
          <w:rFonts w:ascii="Arial" w:cs="Arial" w:hAnsi="Arial"/>
          <w:b/>
          <w:bCs/>
        </w:rPr>
      </w:pPr>
      <w:r>
        <w:rPr>
          <w:rFonts w:ascii="Arial" w:cs="Arial" w:hAnsi="Arial"/>
          <w:b/>
          <w:bCs/>
        </w:rPr>
        <w:t xml:space="preserve">CONTROLS AND PROCEDURES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REPORT OF MANAGEMENT ON INTERNAL CONTROL OVER FINANCIAL REPORTING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financial statements would be prevented or detected on a timely basis. Because of its inherent limitations, internal control over financial reporting is not intended to provide absolute assurance that a misstatement of our financial statements would be prevented or detected.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Management conducted an evaluation of the effectiveness of our internal control over financial reporting based on the framework in </w:t>
      </w:r>
      <w:r>
        <w:rPr>
          <w:rFonts w:ascii="Arial" w:cs="Arial" w:hAnsi="Arial"/>
          <w:i/>
          <w:iCs/>
          <w:sz w:val="20"/>
          <w:szCs w:val="20"/>
        </w:rPr>
        <w:t>Internal Control – Integrated Framework (1992)</w:t>
      </w:r>
      <w:r>
        <w:rPr>
          <w:rFonts w:ascii="Arial" w:cs="Arial" w:hAnsi="Arial"/>
          <w:sz w:val="20"/>
          <w:szCs w:val="20"/>
        </w:rPr>
        <w:t xml:space="preserve"> issued by the Committee of Sponsoring Organizations of the Treadway Commission. Based on this evaluation, management concluded that the company’s internal control over financial reporting was effective as of June 30, 2013. There were no changes in our internal control over financial reporting during the quarter ended June 30, 2013 that have materially affected, or are reasonably likely to materially affect, our internal control over financial reporting. Deloitte &amp; Touche LLP has audited our internal control over financial reporting as of June 30, 2013; their report follows. </w:t>
      </w:r>
    </w:p>
    <w:p>
      <w:pPr>
        <w:pStyle w:val="style62"/>
        <w:pageBreakBefore/>
        <w:spacing w:after="280" w:before="280"/>
        <w:contextualSpacing w:val="false"/>
        <w:jc w:val="both"/>
        <w:rPr>
          <w:rFonts w:ascii="Arial" w:cs="Arial" w:hAnsi="Arial"/>
          <w:b/>
          <w:bCs/>
          <w:sz w:val="20"/>
          <w:szCs w:val="20"/>
        </w:rPr>
      </w:pPr>
      <w:r>
        <w:rPr>
          <w:sz w:val="2"/>
          <w:szCs w:val="2"/>
        </w:rPr>
        <w:t> </w:t>
      </w:r>
      <w:r>
        <w:rPr>
          <w:rFonts w:ascii="Arial" w:cs="Arial" w:hAnsi="Arial"/>
          <w:b/>
          <w:bCs/>
          <w:sz w:val="20"/>
          <w:szCs w:val="20"/>
        </w:rPr>
        <w:t xml:space="preserve">REPORT OF INDEPENDENT REGISTERED PUBLIC ACCOUNTING FIRM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To the Board of Directors and Stockholders of Microsoft Corporation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Redmond, Washington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have audited the internal control over financial reporting of Microsoft Corporation and subsidiaries (the “Company”) as of June 30, 2013, based on criteria established in </w:t>
      </w:r>
      <w:r>
        <w:rPr>
          <w:rFonts w:ascii="Arial" w:cs="Arial" w:hAnsi="Arial"/>
          <w:i/>
          <w:iCs/>
          <w:sz w:val="20"/>
          <w:szCs w:val="20"/>
        </w:rPr>
        <w:t>Internal Control – Integrated Framework (1992) </w:t>
      </w:r>
      <w:r>
        <w:rPr>
          <w:rFonts w:ascii="Arial" w:cs="Arial" w:hAnsi="Arial"/>
          <w:sz w:val="20"/>
          <w:szCs w:val="20"/>
        </w:rPr>
        <w:t xml:space="preserve">issued by the Committee of Sponsoring Organizations of the Treadway Commission. 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conducted our audit in accordance with the standards of the Public Company Accounting Oversight Board (United States).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 company’s internal control over financial reporting is a process designed by, or under the supervision of, the company’s principal executive and principal financial officers, or persons performing similar functions, and effected by the company’s board of directors, management, and other personnel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Because of the inherent limitations of internal control over financial reporting, including the possibility of collusion or improper management override of controls, material misstatements due to error or fraud may not be prevented or detected on a timely basis. Also, projections of any evaluation of the effectiveness of the internal control over financial reporting to future periods are subject to the risk that the controls may become inadequate because of changes in conditions, or that the degree of compliance with the policies or procedures may deteriorate.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In our opinion, the Company maintained, in all material respects, effective internal control over financial reporting as of June 30, 2013, based on the criteria established in </w:t>
      </w:r>
      <w:r>
        <w:rPr>
          <w:rFonts w:ascii="Arial" w:cs="Arial" w:hAnsi="Arial"/>
          <w:i/>
          <w:iCs/>
          <w:sz w:val="20"/>
          <w:szCs w:val="20"/>
        </w:rPr>
        <w:t>Internal Control – Integrated Framework (1992) </w:t>
      </w:r>
      <w:r>
        <w:rPr>
          <w:rFonts w:ascii="Arial" w:cs="Arial" w:hAnsi="Arial"/>
          <w:sz w:val="20"/>
          <w:szCs w:val="20"/>
        </w:rPr>
        <w:t xml:space="preserve">issued by the Committee of Sponsoring Organizations of the Treadway Commission.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We have also audited, in accordance with the standards of the Public Company Accounting Oversight Board (United States), the consolidated financial statements as of and for the year ended June 30, 2013, of the Company and our report dated July 30, 2013, expressed an unqualified opinion on those financial statements. </w:t>
      </w:r>
    </w:p>
    <w:p>
      <w:pPr>
        <w:pStyle w:val="style62"/>
        <w:spacing w:after="280" w:before="280"/>
        <w:contextualSpacing w:val="false"/>
        <w:jc w:val="both"/>
        <w:rPr>
          <w:rFonts w:ascii="Arial" w:cs="Arial" w:hAnsi="Arial"/>
          <w:sz w:val="20"/>
          <w:szCs w:val="20"/>
        </w:rPr>
      </w:pPr>
      <w:r>
        <w:rPr>
          <w:rFonts w:ascii="Arial" w:cs="Arial" w:hAnsi="Arial"/>
          <w:sz w:val="20"/>
          <w:szCs w:val="20"/>
        </w:rPr>
        <w:t>/s/    D</w:t>
      </w:r>
      <w:r>
        <w:rPr>
          <w:rFonts w:ascii="Arial" w:cs="Arial" w:hAnsi="Arial"/>
          <w:sz w:val="15"/>
          <w:szCs w:val="15"/>
        </w:rPr>
        <w:t>ELOITTE</w:t>
      </w:r>
      <w:r>
        <w:rPr>
          <w:rFonts w:ascii="Arial" w:cs="Arial" w:hAnsi="Arial"/>
          <w:sz w:val="20"/>
          <w:szCs w:val="20"/>
        </w:rPr>
        <w:t> &amp; T</w:t>
      </w:r>
      <w:r>
        <w:rPr>
          <w:rFonts w:ascii="Arial" w:cs="Arial" w:hAnsi="Arial"/>
          <w:sz w:val="15"/>
          <w:szCs w:val="15"/>
        </w:rPr>
        <w:t>OUCHE</w:t>
      </w:r>
      <w:r>
        <w:rPr>
          <w:rFonts w:ascii="Arial" w:cs="Arial" w:hAnsi="Arial"/>
          <w:sz w:val="20"/>
          <w:szCs w:val="20"/>
        </w:rPr>
        <w:t xml:space="preserve"> LLP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Seattle, Washington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July 30, 2013 </w:t>
      </w:r>
    </w:p>
    <w:p>
      <w:pPr>
        <w:pStyle w:val="style62"/>
        <w:pageBreakBefore/>
        <w:spacing w:after="280" w:before="280"/>
        <w:contextualSpacing w:val="false"/>
        <w:jc w:val="center"/>
        <w:rPr>
          <w:rFonts w:ascii="Arial" w:cs="Arial" w:hAnsi="Arial"/>
          <w:b/>
          <w:bCs/>
        </w:rPr>
      </w:pPr>
      <w:r>
        <w:rPr>
          <w:rFonts w:ascii="Arial" w:cs="Arial" w:hAnsi="Arial"/>
          <w:b/>
          <w:bCs/>
        </w:rPr>
        <w:t>DIRECTORS AND EXECUTIVE OFFICERS OF MICROSOFT CORPORATION</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DIRECTORS</w:t>
      </w:r>
    </w:p>
    <w:p>
      <w:pPr>
        <w:pStyle w:val="style62"/>
        <w:keepNext/>
        <w:spacing w:after="280" w:before="280"/>
        <w:contextualSpacing w:val="false"/>
        <w:rPr>
          <w:sz w:val="18"/>
          <w:szCs w:val="18"/>
        </w:rPr>
      </w:pPr>
      <w:r>
        <w:rPr>
          <w:sz w:val="18"/>
          <w:szCs w:val="18"/>
        </w:rPr>
        <w:t> </w:t>
      </w:r>
    </w:p>
    <w:tbl>
      <w:tblPr>
        <w:tblW w:type="dxa" w:w="10800"/>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3347"/>
        <w:gridCol w:w="3348"/>
        <w:gridCol w:w="4105"/>
      </w:tblGrid>
      <w:tr>
        <w:trPr>
          <w:cantSplit w:val="false"/>
        </w:trPr>
        <w:tc>
          <w:tcPr>
            <w:tcW w:type="dxa" w:w="3347"/>
            <w:tcBorders>
              <w:top w:val="nil"/>
              <w:left w:val="nil"/>
              <w:bottom w:val="nil"/>
              <w:right w:val="nil"/>
            </w:tcBorders>
            <w:shd w:fill="auto" w:val="clear"/>
            <w:vAlign w:val="center"/>
          </w:tcPr>
          <w:p>
            <w:pPr>
              <w:pStyle w:val="style0"/>
              <w:rPr>
                <w:sz w:val="1"/>
                <w:szCs w:val="24"/>
              </w:rPr>
            </w:pPr>
            <w:r>
              <w:rPr>
                <w:sz w:val="1"/>
                <w:szCs w:val="24"/>
              </w:rPr>
            </w:r>
          </w:p>
        </w:tc>
        <w:tc>
          <w:tcPr>
            <w:tcW w:type="dxa" w:w="3348"/>
            <w:tcBorders>
              <w:top w:val="nil"/>
              <w:left w:val="nil"/>
              <w:bottom w:val="nil"/>
              <w:right w:val="nil"/>
            </w:tcBorders>
            <w:shd w:fill="auto" w:val="clear"/>
            <w:vAlign w:val="center"/>
          </w:tcPr>
          <w:p>
            <w:pPr>
              <w:pStyle w:val="style0"/>
              <w:rPr>
                <w:sz w:val="1"/>
                <w:szCs w:val="24"/>
              </w:rPr>
            </w:pPr>
            <w:r>
              <w:rPr>
                <w:sz w:val="1"/>
                <w:szCs w:val="24"/>
              </w:rPr>
            </w:r>
          </w:p>
        </w:tc>
        <w:tc>
          <w:tcPr>
            <w:tcW w:type="dxa" w:w="4105"/>
            <w:tcBorders>
              <w:top w:val="nil"/>
              <w:left w:val="nil"/>
              <w:bottom w:val="nil"/>
              <w:right w:val="nil"/>
            </w:tcBorders>
            <w:shd w:fill="auto" w:val="clear"/>
            <w:vAlign w:val="center"/>
          </w:tcPr>
          <w:p>
            <w:pPr>
              <w:pStyle w:val="style0"/>
              <w:rPr>
                <w:sz w:val="1"/>
                <w:szCs w:val="24"/>
              </w:rPr>
            </w:pPr>
            <w:r>
              <w:rPr>
                <w:sz w:val="1"/>
                <w:szCs w:val="24"/>
              </w:rPr>
            </w:r>
          </w:p>
        </w:tc>
      </w:tr>
      <w:tr>
        <w:trPr>
          <w:cantSplit w:val="false"/>
        </w:trPr>
        <w:tc>
          <w:tcPr>
            <w:tcW w:type="dxa" w:w="3347"/>
            <w:tcBorders>
              <w:top w:val="nil"/>
              <w:left w:val="nil"/>
              <w:bottom w:val="nil"/>
              <w:right w:val="nil"/>
            </w:tcBorders>
            <w:shd w:fill="auto" w:val="clear"/>
          </w:tcPr>
          <w:p>
            <w:pPr>
              <w:pStyle w:val="style62"/>
              <w:spacing w:after="280" w:before="280"/>
              <w:contextualSpacing w:val="false"/>
              <w:jc w:val="both"/>
              <w:rPr>
                <w:rFonts w:ascii="Arial" w:cs="Arial" w:hAnsi="Arial"/>
                <w:b/>
                <w:bCs/>
                <w:sz w:val="20"/>
                <w:szCs w:val="20"/>
              </w:rPr>
            </w:pPr>
            <w:r>
              <w:rPr>
                <w:rFonts w:ascii="Arial" w:cs="Arial" w:hAnsi="Arial"/>
                <w:b/>
                <w:bCs/>
                <w:sz w:val="20"/>
                <w:szCs w:val="20"/>
              </w:rPr>
              <w:t>William H. Gates III</w:t>
            </w:r>
          </w:p>
          <w:p>
            <w:pPr>
              <w:pStyle w:val="style62"/>
              <w:spacing w:after="280" w:before="280"/>
              <w:contextualSpacing w:val="false"/>
              <w:jc w:val="both"/>
              <w:rPr>
                <w:rFonts w:ascii="Arial" w:cs="Arial" w:hAnsi="Arial"/>
                <w:sz w:val="20"/>
                <w:szCs w:val="20"/>
              </w:rPr>
            </w:pPr>
            <w:r>
              <w:rPr>
                <w:rFonts w:ascii="Arial" w:cs="Arial" w:hAnsi="Arial"/>
                <w:sz w:val="20"/>
                <w:szCs w:val="20"/>
              </w:rPr>
              <w:t>Chairman of the Board,</w:t>
            </w:r>
          </w:p>
          <w:p>
            <w:pPr>
              <w:pStyle w:val="style62"/>
              <w:spacing w:after="280" w:before="280"/>
              <w:contextualSpacing w:val="false"/>
              <w:jc w:val="both"/>
              <w:rPr>
                <w:rFonts w:ascii="Arial" w:cs="Arial" w:hAnsi="Arial"/>
                <w:sz w:val="20"/>
                <w:szCs w:val="20"/>
              </w:rPr>
            </w:pPr>
            <w:r>
              <w:rPr>
                <w:rFonts w:ascii="Arial" w:cs="Arial" w:hAnsi="Arial"/>
                <w:sz w:val="20"/>
                <w:szCs w:val="20"/>
              </w:rPr>
              <w:t>Microsoft Corporation</w:t>
            </w:r>
          </w:p>
          <w:p>
            <w:pPr>
              <w:pStyle w:val="style62"/>
              <w:spacing w:after="280" w:before="280"/>
              <w:contextualSpacing w:val="false"/>
              <w:jc w:val="both"/>
              <w:rPr>
                <w:sz w:val="18"/>
                <w:szCs w:val="18"/>
              </w:rPr>
            </w:pPr>
            <w:r>
              <w:rPr>
                <w:sz w:val="18"/>
                <w:szCs w:val="18"/>
              </w:rPr>
              <w:t> </w:t>
            </w:r>
          </w:p>
          <w:p>
            <w:pPr>
              <w:pStyle w:val="style62"/>
              <w:spacing w:after="280" w:before="280"/>
              <w:contextualSpacing w:val="false"/>
              <w:jc w:val="both"/>
              <w:rPr>
                <w:rFonts w:ascii="Arial" w:cs="Arial" w:hAnsi="Arial"/>
                <w:b/>
                <w:bCs/>
                <w:sz w:val="20"/>
                <w:szCs w:val="20"/>
              </w:rPr>
            </w:pPr>
            <w:r>
              <w:rPr>
                <w:rFonts w:ascii="Arial" w:cs="Arial" w:hAnsi="Arial"/>
                <w:b/>
                <w:bCs/>
                <w:sz w:val="20"/>
                <w:szCs w:val="20"/>
              </w:rPr>
              <w:t>Steven A. Ballmer</w:t>
            </w:r>
          </w:p>
          <w:p>
            <w:pPr>
              <w:pStyle w:val="style62"/>
              <w:spacing w:after="280" w:before="280"/>
              <w:contextualSpacing w:val="false"/>
              <w:jc w:val="both"/>
              <w:rPr>
                <w:rFonts w:ascii="Arial" w:cs="Arial" w:hAnsi="Arial"/>
                <w:sz w:val="20"/>
                <w:szCs w:val="20"/>
              </w:rPr>
            </w:pPr>
            <w:r>
              <w:rPr>
                <w:rFonts w:ascii="Arial" w:cs="Arial" w:hAnsi="Arial"/>
                <w:sz w:val="20"/>
                <w:szCs w:val="20"/>
              </w:rPr>
              <w:t>Chief Executive Officer,</w:t>
            </w:r>
          </w:p>
          <w:p>
            <w:pPr>
              <w:pStyle w:val="style62"/>
              <w:spacing w:after="280" w:before="280"/>
              <w:contextualSpacing w:val="false"/>
              <w:jc w:val="both"/>
              <w:rPr>
                <w:rFonts w:ascii="Arial" w:cs="Arial" w:hAnsi="Arial"/>
                <w:sz w:val="20"/>
                <w:szCs w:val="20"/>
              </w:rPr>
            </w:pPr>
            <w:r>
              <w:rPr>
                <w:rFonts w:ascii="Arial" w:cs="Arial" w:hAnsi="Arial"/>
                <w:sz w:val="20"/>
                <w:szCs w:val="20"/>
              </w:rPr>
              <w:t>Microsoft Corporation</w:t>
            </w:r>
          </w:p>
          <w:p>
            <w:pPr>
              <w:pStyle w:val="style62"/>
              <w:spacing w:after="280" w:before="280"/>
              <w:contextualSpacing w:val="false"/>
              <w:jc w:val="both"/>
              <w:rPr>
                <w:sz w:val="18"/>
                <w:szCs w:val="18"/>
              </w:rPr>
            </w:pPr>
            <w:r>
              <w:rPr>
                <w:sz w:val="18"/>
                <w:szCs w:val="18"/>
              </w:rPr>
              <w:t> </w:t>
            </w:r>
          </w:p>
          <w:p>
            <w:pPr>
              <w:pStyle w:val="style62"/>
              <w:spacing w:after="280" w:before="280"/>
              <w:contextualSpacing w:val="false"/>
              <w:jc w:val="both"/>
              <w:rPr>
                <w:rFonts w:ascii="Arial" w:cs="Arial" w:hAnsi="Arial"/>
                <w:b/>
                <w:bCs/>
                <w:sz w:val="15"/>
                <w:szCs w:val="15"/>
                <w:vertAlign w:val="superscript"/>
              </w:rPr>
            </w:pPr>
            <w:r>
              <w:rPr>
                <w:rFonts w:ascii="Arial" w:cs="Arial" w:hAnsi="Arial"/>
                <w:b/>
                <w:bCs/>
                <w:sz w:val="20"/>
                <w:szCs w:val="20"/>
              </w:rPr>
              <w:t>Dina Dublon </w:t>
            </w:r>
            <w:r>
              <w:rPr>
                <w:rFonts w:ascii="Arial" w:cs="Arial" w:hAnsi="Arial"/>
                <w:b/>
                <w:bCs/>
                <w:sz w:val="15"/>
                <w:szCs w:val="15"/>
                <w:vertAlign w:val="superscript"/>
              </w:rPr>
              <w:t>1,2</w:t>
            </w:r>
          </w:p>
          <w:p>
            <w:pPr>
              <w:pStyle w:val="style62"/>
              <w:spacing w:after="280" w:before="280"/>
              <w:contextualSpacing w:val="false"/>
              <w:jc w:val="both"/>
              <w:rPr>
                <w:rFonts w:ascii="Arial" w:cs="Arial" w:hAnsi="Arial"/>
                <w:sz w:val="20"/>
                <w:szCs w:val="20"/>
              </w:rPr>
            </w:pPr>
            <w:r>
              <w:rPr>
                <w:rFonts w:ascii="Arial" w:cs="Arial" w:hAnsi="Arial"/>
                <w:sz w:val="20"/>
                <w:szCs w:val="20"/>
              </w:rPr>
              <w:t>Former Chief Financial</w:t>
            </w:r>
          </w:p>
          <w:p>
            <w:pPr>
              <w:pStyle w:val="style62"/>
              <w:spacing w:after="280" w:before="280"/>
              <w:contextualSpacing w:val="false"/>
              <w:rPr>
                <w:rFonts w:ascii="Arial" w:cs="Arial" w:hAnsi="Arial"/>
                <w:sz w:val="20"/>
                <w:szCs w:val="20"/>
              </w:rPr>
            </w:pPr>
            <w:r>
              <w:rPr>
                <w:rFonts w:ascii="Arial" w:cs="Arial" w:hAnsi="Arial"/>
                <w:sz w:val="20"/>
                <w:szCs w:val="20"/>
              </w:rPr>
              <w:t>Officer, JPMorgan Chase</w:t>
            </w:r>
          </w:p>
        </w:tc>
        <w:tc>
          <w:tcPr>
            <w:tcW w:type="dxa" w:w="3348"/>
            <w:tcBorders>
              <w:top w:val="nil"/>
              <w:left w:val="nil"/>
              <w:bottom w:val="nil"/>
              <w:right w:val="nil"/>
            </w:tcBorders>
            <w:shd w:fill="auto" w:val="clear"/>
          </w:tcPr>
          <w:p>
            <w:pPr>
              <w:pStyle w:val="style62"/>
              <w:spacing w:after="280" w:before="280"/>
              <w:contextualSpacing w:val="false"/>
              <w:jc w:val="both"/>
              <w:rPr>
                <w:rFonts w:ascii="Arial" w:cs="Arial" w:hAnsi="Arial"/>
                <w:b/>
                <w:bCs/>
                <w:sz w:val="15"/>
                <w:szCs w:val="15"/>
                <w:vertAlign w:val="superscript"/>
              </w:rPr>
            </w:pPr>
            <w:r>
              <w:rPr>
                <w:rFonts w:ascii="Arial" w:cs="Arial" w:hAnsi="Arial"/>
                <w:b/>
                <w:bCs/>
                <w:sz w:val="20"/>
                <w:szCs w:val="20"/>
              </w:rPr>
              <w:t>Maria M. Klawe </w:t>
            </w:r>
            <w:r>
              <w:rPr>
                <w:rFonts w:ascii="Arial" w:cs="Arial" w:hAnsi="Arial"/>
                <w:b/>
                <w:bCs/>
                <w:sz w:val="15"/>
                <w:szCs w:val="15"/>
                <w:vertAlign w:val="superscript"/>
              </w:rPr>
              <w:t>2,4</w:t>
            </w:r>
          </w:p>
          <w:p>
            <w:pPr>
              <w:pStyle w:val="style62"/>
              <w:spacing w:after="280" w:before="280"/>
              <w:contextualSpacing w:val="false"/>
              <w:jc w:val="both"/>
              <w:rPr>
                <w:rFonts w:ascii="Arial" w:cs="Arial" w:hAnsi="Arial"/>
                <w:sz w:val="20"/>
                <w:szCs w:val="20"/>
              </w:rPr>
            </w:pPr>
            <w:r>
              <w:rPr>
                <w:rFonts w:ascii="Arial" w:cs="Arial" w:hAnsi="Arial"/>
                <w:sz w:val="20"/>
                <w:szCs w:val="20"/>
              </w:rPr>
              <w:t>President,</w:t>
            </w:r>
          </w:p>
          <w:p>
            <w:pPr>
              <w:pStyle w:val="style62"/>
              <w:spacing w:after="280" w:before="280"/>
              <w:contextualSpacing w:val="false"/>
              <w:jc w:val="both"/>
              <w:rPr>
                <w:rFonts w:ascii="Arial" w:cs="Arial" w:hAnsi="Arial"/>
                <w:sz w:val="20"/>
                <w:szCs w:val="20"/>
              </w:rPr>
            </w:pPr>
            <w:r>
              <w:rPr>
                <w:rFonts w:ascii="Arial" w:cs="Arial" w:hAnsi="Arial"/>
                <w:sz w:val="20"/>
                <w:szCs w:val="20"/>
              </w:rPr>
              <w:t>Harvey Mudd College</w:t>
            </w:r>
          </w:p>
          <w:p>
            <w:pPr>
              <w:pStyle w:val="style62"/>
              <w:spacing w:after="280" w:before="280"/>
              <w:contextualSpacing w:val="false"/>
              <w:jc w:val="both"/>
              <w:rPr>
                <w:sz w:val="18"/>
                <w:szCs w:val="18"/>
              </w:rPr>
            </w:pPr>
            <w:r>
              <w:rPr>
                <w:sz w:val="18"/>
                <w:szCs w:val="18"/>
              </w:rPr>
              <w:t> </w:t>
            </w:r>
          </w:p>
          <w:p>
            <w:pPr>
              <w:pStyle w:val="style62"/>
              <w:spacing w:after="280" w:before="280"/>
              <w:contextualSpacing w:val="false"/>
              <w:jc w:val="both"/>
              <w:rPr>
                <w:rFonts w:ascii="Arial" w:cs="Arial" w:hAnsi="Arial"/>
                <w:b/>
                <w:bCs/>
                <w:sz w:val="15"/>
                <w:szCs w:val="15"/>
                <w:vertAlign w:val="superscript"/>
              </w:rPr>
            </w:pPr>
            <w:r>
              <w:rPr>
                <w:rFonts w:ascii="Arial" w:cs="Arial" w:hAnsi="Arial"/>
                <w:b/>
                <w:bCs/>
                <w:sz w:val="20"/>
                <w:szCs w:val="20"/>
              </w:rPr>
              <w:t>Stephen J. Luczo </w:t>
            </w:r>
            <w:r>
              <w:rPr>
                <w:rFonts w:ascii="Arial" w:cs="Arial" w:hAnsi="Arial"/>
                <w:b/>
                <w:bCs/>
                <w:sz w:val="15"/>
                <w:szCs w:val="15"/>
                <w:vertAlign w:val="superscript"/>
              </w:rPr>
              <w:t>1,2</w:t>
            </w:r>
          </w:p>
          <w:p>
            <w:pPr>
              <w:pStyle w:val="style62"/>
              <w:spacing w:after="280" w:before="280"/>
              <w:contextualSpacing w:val="false"/>
              <w:jc w:val="both"/>
              <w:rPr>
                <w:rFonts w:ascii="Arial" w:cs="Arial" w:hAnsi="Arial"/>
                <w:sz w:val="20"/>
                <w:szCs w:val="20"/>
              </w:rPr>
            </w:pPr>
            <w:r>
              <w:rPr>
                <w:rFonts w:ascii="Arial" w:cs="Arial" w:hAnsi="Arial"/>
                <w:sz w:val="20"/>
                <w:szCs w:val="20"/>
              </w:rPr>
              <w:t>Chairman, President, Chief</w:t>
            </w:r>
          </w:p>
          <w:p>
            <w:pPr>
              <w:pStyle w:val="style62"/>
              <w:spacing w:after="280" w:before="280"/>
              <w:contextualSpacing w:val="false"/>
              <w:jc w:val="both"/>
              <w:rPr>
                <w:rFonts w:ascii="Arial" w:cs="Arial" w:hAnsi="Arial"/>
                <w:sz w:val="20"/>
                <w:szCs w:val="20"/>
              </w:rPr>
            </w:pPr>
            <w:r>
              <w:rPr>
                <w:rFonts w:ascii="Arial" w:cs="Arial" w:hAnsi="Arial"/>
                <w:sz w:val="20"/>
                <w:szCs w:val="20"/>
              </w:rPr>
              <w:t>Executive Officer, Seagate</w:t>
            </w:r>
          </w:p>
          <w:p>
            <w:pPr>
              <w:pStyle w:val="style62"/>
              <w:spacing w:after="280" w:before="280"/>
              <w:contextualSpacing w:val="false"/>
              <w:jc w:val="both"/>
              <w:rPr>
                <w:rFonts w:ascii="Arial" w:cs="Arial" w:hAnsi="Arial"/>
                <w:sz w:val="20"/>
                <w:szCs w:val="20"/>
              </w:rPr>
            </w:pPr>
            <w:r>
              <w:rPr>
                <w:rFonts w:ascii="Arial" w:cs="Arial" w:hAnsi="Arial"/>
                <w:sz w:val="20"/>
                <w:szCs w:val="20"/>
              </w:rPr>
              <w:t>Technology PLC</w:t>
            </w:r>
          </w:p>
          <w:p>
            <w:pPr>
              <w:pStyle w:val="style62"/>
              <w:spacing w:after="280" w:before="280"/>
              <w:contextualSpacing w:val="false"/>
              <w:jc w:val="both"/>
              <w:rPr>
                <w:sz w:val="18"/>
                <w:szCs w:val="18"/>
              </w:rPr>
            </w:pPr>
            <w:r>
              <w:rPr>
                <w:sz w:val="18"/>
                <w:szCs w:val="18"/>
              </w:rPr>
              <w:t> </w:t>
            </w:r>
          </w:p>
          <w:p>
            <w:pPr>
              <w:pStyle w:val="style62"/>
              <w:spacing w:after="280" w:before="280"/>
              <w:contextualSpacing w:val="false"/>
              <w:jc w:val="both"/>
              <w:rPr>
                <w:rFonts w:ascii="Arial" w:cs="Arial" w:hAnsi="Arial"/>
                <w:b/>
                <w:bCs/>
                <w:sz w:val="15"/>
                <w:szCs w:val="15"/>
                <w:vertAlign w:val="superscript"/>
              </w:rPr>
            </w:pPr>
            <w:r>
              <w:rPr>
                <w:rFonts w:ascii="Arial" w:cs="Arial" w:hAnsi="Arial"/>
                <w:b/>
                <w:bCs/>
                <w:sz w:val="20"/>
                <w:szCs w:val="20"/>
              </w:rPr>
              <w:t>David F. Marquardt </w:t>
            </w:r>
            <w:r>
              <w:rPr>
                <w:rFonts w:ascii="Arial" w:cs="Arial" w:hAnsi="Arial"/>
                <w:b/>
                <w:bCs/>
                <w:sz w:val="15"/>
                <w:szCs w:val="15"/>
                <w:vertAlign w:val="superscript"/>
              </w:rPr>
              <w:t>3</w:t>
            </w:r>
          </w:p>
          <w:p>
            <w:pPr>
              <w:pStyle w:val="style62"/>
              <w:spacing w:after="280" w:before="280"/>
              <w:contextualSpacing w:val="false"/>
              <w:jc w:val="both"/>
              <w:rPr>
                <w:rFonts w:ascii="Arial" w:cs="Arial" w:hAnsi="Arial"/>
                <w:sz w:val="20"/>
                <w:szCs w:val="20"/>
              </w:rPr>
            </w:pPr>
            <w:r>
              <w:rPr>
                <w:rFonts w:ascii="Arial" w:cs="Arial" w:hAnsi="Arial"/>
                <w:sz w:val="20"/>
                <w:szCs w:val="20"/>
              </w:rPr>
              <w:t>General Partner,</w:t>
            </w:r>
          </w:p>
          <w:p>
            <w:pPr>
              <w:pStyle w:val="style62"/>
              <w:spacing w:after="280" w:before="280"/>
              <w:contextualSpacing w:val="false"/>
              <w:rPr>
                <w:rFonts w:ascii="Arial" w:cs="Arial" w:hAnsi="Arial"/>
                <w:sz w:val="20"/>
                <w:szCs w:val="20"/>
              </w:rPr>
            </w:pPr>
            <w:r>
              <w:rPr>
                <w:rFonts w:ascii="Arial" w:cs="Arial" w:hAnsi="Arial"/>
                <w:sz w:val="20"/>
                <w:szCs w:val="20"/>
              </w:rPr>
              <w:t>August Capital</w:t>
            </w:r>
          </w:p>
        </w:tc>
        <w:tc>
          <w:tcPr>
            <w:tcW w:type="dxa" w:w="4105"/>
            <w:tcBorders>
              <w:top w:val="nil"/>
              <w:left w:val="nil"/>
              <w:bottom w:val="nil"/>
              <w:right w:val="nil"/>
            </w:tcBorders>
            <w:shd w:fill="auto" w:val="clear"/>
            <w:tcMar>
              <w:left w:type="dxa" w:w="144"/>
            </w:tcMar>
          </w:tcPr>
          <w:p>
            <w:pPr>
              <w:pStyle w:val="style0"/>
              <w:jc w:val="both"/>
              <w:rPr>
                <w:rFonts w:ascii="Arial" w:cs="Arial" w:hAnsi="Arial"/>
                <w:b/>
                <w:bCs/>
                <w:sz w:val="15"/>
                <w:szCs w:val="15"/>
                <w:vertAlign w:val="superscript"/>
              </w:rPr>
            </w:pPr>
            <w:r>
              <w:rPr>
                <w:rFonts w:ascii="Arial" w:cs="Arial" w:hAnsi="Arial"/>
                <w:b/>
                <w:bCs/>
                <w:sz w:val="20"/>
              </w:rPr>
              <w:t>Charles H. Noski </w:t>
            </w:r>
            <w:r>
              <w:rPr>
                <w:rFonts w:ascii="Arial" w:cs="Arial" w:hAnsi="Arial"/>
                <w:b/>
                <w:bCs/>
                <w:sz w:val="15"/>
                <w:szCs w:val="15"/>
                <w:vertAlign w:val="superscript"/>
              </w:rPr>
              <w:t xml:space="preserve">1,3 </w:t>
            </w:r>
          </w:p>
          <w:p>
            <w:pPr>
              <w:pStyle w:val="style62"/>
              <w:spacing w:after="280" w:before="280"/>
              <w:contextualSpacing w:val="false"/>
              <w:jc w:val="both"/>
              <w:rPr>
                <w:rFonts w:ascii="Arial" w:cs="Arial" w:hAnsi="Arial"/>
                <w:sz w:val="20"/>
                <w:szCs w:val="20"/>
              </w:rPr>
            </w:pPr>
            <w:r>
              <w:rPr>
                <w:rFonts w:ascii="Arial" w:cs="Arial" w:hAnsi="Arial"/>
                <w:sz w:val="20"/>
                <w:szCs w:val="20"/>
              </w:rPr>
              <w:t>Former Vice Chairman,</w:t>
            </w:r>
          </w:p>
          <w:p>
            <w:pPr>
              <w:pStyle w:val="style62"/>
              <w:spacing w:after="280" w:before="280"/>
              <w:contextualSpacing w:val="false"/>
              <w:jc w:val="both"/>
              <w:rPr>
                <w:rFonts w:ascii="Arial" w:cs="Arial" w:hAnsi="Arial"/>
                <w:sz w:val="20"/>
                <w:szCs w:val="20"/>
              </w:rPr>
            </w:pPr>
            <w:r>
              <w:rPr>
                <w:rFonts w:ascii="Arial" w:cs="Arial" w:hAnsi="Arial"/>
                <w:sz w:val="20"/>
                <w:szCs w:val="20"/>
              </w:rPr>
              <w:t>Bank of America Corporation</w:t>
            </w:r>
          </w:p>
          <w:p>
            <w:pPr>
              <w:pStyle w:val="style62"/>
              <w:spacing w:after="280" w:before="280"/>
              <w:contextualSpacing w:val="false"/>
              <w:jc w:val="both"/>
              <w:rPr>
                <w:sz w:val="18"/>
                <w:szCs w:val="18"/>
              </w:rPr>
            </w:pPr>
            <w:r>
              <w:rPr>
                <w:sz w:val="18"/>
                <w:szCs w:val="18"/>
              </w:rPr>
              <w:t> </w:t>
            </w:r>
          </w:p>
          <w:p>
            <w:pPr>
              <w:pStyle w:val="style62"/>
              <w:spacing w:after="280" w:before="280"/>
              <w:contextualSpacing w:val="false"/>
              <w:jc w:val="both"/>
              <w:rPr>
                <w:rFonts w:ascii="Arial" w:cs="Arial" w:hAnsi="Arial"/>
                <w:b/>
                <w:bCs/>
                <w:sz w:val="15"/>
                <w:szCs w:val="15"/>
                <w:vertAlign w:val="superscript"/>
              </w:rPr>
            </w:pPr>
            <w:r>
              <w:rPr>
                <w:rFonts w:ascii="Arial" w:cs="Arial" w:hAnsi="Arial"/>
                <w:b/>
                <w:bCs/>
                <w:sz w:val="20"/>
                <w:szCs w:val="20"/>
              </w:rPr>
              <w:t>Helmut G. W. Panke </w:t>
            </w:r>
            <w:r>
              <w:rPr>
                <w:rFonts w:ascii="Arial" w:cs="Arial" w:hAnsi="Arial"/>
                <w:b/>
                <w:bCs/>
                <w:sz w:val="15"/>
                <w:szCs w:val="15"/>
                <w:vertAlign w:val="superscript"/>
              </w:rPr>
              <w:t>1,4</w:t>
            </w:r>
          </w:p>
          <w:p>
            <w:pPr>
              <w:pStyle w:val="style62"/>
              <w:spacing w:after="280" w:before="280"/>
              <w:contextualSpacing w:val="false"/>
              <w:jc w:val="both"/>
              <w:rPr>
                <w:rFonts w:ascii="Arial" w:cs="Arial" w:hAnsi="Arial"/>
                <w:sz w:val="20"/>
                <w:szCs w:val="20"/>
              </w:rPr>
            </w:pPr>
            <w:r>
              <w:rPr>
                <w:rFonts w:ascii="Arial" w:cs="Arial" w:hAnsi="Arial"/>
                <w:sz w:val="20"/>
                <w:szCs w:val="20"/>
              </w:rPr>
              <w:t>Former Chairman of the Board</w:t>
            </w:r>
          </w:p>
          <w:p>
            <w:pPr>
              <w:pStyle w:val="style62"/>
              <w:spacing w:after="280" w:before="280"/>
              <w:contextualSpacing w:val="false"/>
              <w:jc w:val="both"/>
              <w:rPr>
                <w:rFonts w:ascii="Arial" w:cs="Arial" w:hAnsi="Arial"/>
                <w:sz w:val="20"/>
                <w:szCs w:val="20"/>
              </w:rPr>
            </w:pPr>
            <w:r>
              <w:rPr>
                <w:rFonts w:ascii="Arial" w:cs="Arial" w:hAnsi="Arial"/>
                <w:sz w:val="20"/>
                <w:szCs w:val="20"/>
              </w:rPr>
              <w:t>of Management, BMW AG</w:t>
            </w:r>
          </w:p>
          <w:p>
            <w:pPr>
              <w:pStyle w:val="style62"/>
              <w:spacing w:after="280" w:before="280"/>
              <w:contextualSpacing w:val="false"/>
              <w:jc w:val="both"/>
              <w:rPr>
                <w:sz w:val="18"/>
                <w:szCs w:val="18"/>
              </w:rPr>
            </w:pPr>
            <w:r>
              <w:rPr>
                <w:sz w:val="18"/>
                <w:szCs w:val="18"/>
              </w:rPr>
              <w:t> </w:t>
            </w:r>
          </w:p>
          <w:p>
            <w:pPr>
              <w:pStyle w:val="style62"/>
              <w:spacing w:after="280" w:before="280"/>
              <w:contextualSpacing w:val="false"/>
              <w:jc w:val="both"/>
              <w:rPr>
                <w:rFonts w:ascii="Arial" w:cs="Arial" w:hAnsi="Arial"/>
                <w:b/>
                <w:bCs/>
                <w:sz w:val="15"/>
                <w:szCs w:val="15"/>
                <w:vertAlign w:val="superscript"/>
              </w:rPr>
            </w:pPr>
            <w:r>
              <w:rPr>
                <w:rFonts w:ascii="Arial" w:cs="Arial" w:hAnsi="Arial"/>
                <w:b/>
                <w:bCs/>
                <w:sz w:val="20"/>
                <w:szCs w:val="20"/>
              </w:rPr>
              <w:t>John W. Thompson </w:t>
            </w:r>
            <w:r>
              <w:rPr>
                <w:rFonts w:ascii="Arial" w:cs="Arial" w:hAnsi="Arial"/>
                <w:b/>
                <w:bCs/>
                <w:sz w:val="15"/>
                <w:szCs w:val="15"/>
                <w:vertAlign w:val="superscript"/>
              </w:rPr>
              <w:t>3,4</w:t>
            </w:r>
          </w:p>
          <w:p>
            <w:pPr>
              <w:pStyle w:val="style62"/>
              <w:spacing w:after="280" w:before="280"/>
              <w:contextualSpacing w:val="false"/>
              <w:jc w:val="both"/>
              <w:rPr>
                <w:rFonts w:ascii="Arial" w:cs="Arial" w:hAnsi="Arial"/>
                <w:sz w:val="20"/>
                <w:szCs w:val="20"/>
              </w:rPr>
            </w:pPr>
            <w:r>
              <w:rPr>
                <w:rFonts w:ascii="Arial" w:cs="Arial" w:hAnsi="Arial"/>
                <w:sz w:val="20"/>
                <w:szCs w:val="20"/>
              </w:rPr>
              <w:t>Chief Executive Officer, Virtual</w:t>
            </w:r>
          </w:p>
          <w:p>
            <w:pPr>
              <w:pStyle w:val="style62"/>
              <w:spacing w:after="280" w:before="280"/>
              <w:contextualSpacing w:val="false"/>
              <w:rPr>
                <w:rFonts w:ascii="Arial" w:cs="Arial" w:hAnsi="Arial"/>
                <w:sz w:val="20"/>
                <w:szCs w:val="20"/>
              </w:rPr>
            </w:pPr>
            <w:r>
              <w:rPr>
                <w:rFonts w:ascii="Arial" w:cs="Arial" w:hAnsi="Arial"/>
                <w:sz w:val="20"/>
                <w:szCs w:val="20"/>
              </w:rPr>
              <w:t>Instruments</w:t>
            </w:r>
          </w:p>
        </w:tc>
      </w:tr>
    </w:tbl>
    <w:p>
      <w:pPr>
        <w:pStyle w:val="style62"/>
        <w:spacing w:after="280" w:before="280"/>
        <w:contextualSpacing w:val="false"/>
        <w:jc w:val="both"/>
        <w:rPr>
          <w:rFonts w:ascii="Arial" w:cs="Arial" w:hAnsi="Arial"/>
          <w:sz w:val="20"/>
          <w:szCs w:val="20"/>
        </w:rPr>
      </w:pPr>
      <w:r>
        <w:rPr>
          <w:rFonts w:ascii="Arial" w:cs="Arial" w:hAnsi="Arial"/>
          <w:sz w:val="20"/>
          <w:szCs w:val="20"/>
        </w:rPr>
        <w:t xml:space="preserve">Board Committees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1.</w:t>
        <w:tab/>
        <w:t xml:space="preserve">Audit Committee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2.</w:t>
        <w:tab/>
        <w:t xml:space="preserve">Compensation Committee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3.</w:t>
        <w:tab/>
        <w:t xml:space="preserve">Governance and Nominating Committee </w:t>
      </w:r>
    </w:p>
    <w:p>
      <w:pPr>
        <w:pStyle w:val="style62"/>
        <w:spacing w:after="280" w:before="280"/>
        <w:ind w:hanging="490" w:left="489" w:right="0"/>
        <w:contextualSpacing w:val="false"/>
        <w:jc w:val="both"/>
        <w:rPr>
          <w:rFonts w:ascii="Arial" w:cs="Arial" w:hAnsi="Arial"/>
          <w:sz w:val="20"/>
          <w:szCs w:val="20"/>
        </w:rPr>
      </w:pPr>
      <w:r>
        <w:rPr>
          <w:rFonts w:ascii="Arial" w:cs="Arial" w:hAnsi="Arial"/>
          <w:sz w:val="20"/>
          <w:szCs w:val="20"/>
        </w:rPr>
        <w:t>4.</w:t>
        <w:tab/>
        <w:t xml:space="preserve">Regulatory and Public Policy Committee </w:t>
      </w:r>
    </w:p>
    <w:p>
      <w:pPr>
        <w:pStyle w:val="style62"/>
        <w:spacing w:after="280" w:before="280"/>
        <w:contextualSpacing w:val="false"/>
        <w:jc w:val="center"/>
        <w:rPr>
          <w:rFonts w:ascii="Arial" w:cs="Arial" w:hAnsi="Arial"/>
          <w:sz w:val="20"/>
          <w:szCs w:val="20"/>
          <w:u w:val="single"/>
        </w:rPr>
      </w:pPr>
      <w:r>
        <w:rPr>
          <w:rFonts w:ascii="Arial" w:cs="Arial" w:hAnsi="Arial"/>
          <w:sz w:val="20"/>
          <w:szCs w:val="20"/>
          <w:u w:val="single"/>
        </w:rPr>
        <w:t xml:space="preserve">EXECUTIVE OFFICERS </w:t>
      </w:r>
    </w:p>
    <w:p>
      <w:pPr>
        <w:pStyle w:val="style62"/>
        <w:keepNext/>
        <w:spacing w:after="280" w:before="280"/>
        <w:contextualSpacing w:val="false"/>
        <w:rPr>
          <w:sz w:val="18"/>
          <w:szCs w:val="18"/>
        </w:rPr>
      </w:pPr>
      <w:r>
        <w:rPr>
          <w:sz w:val="18"/>
          <w:szCs w:val="18"/>
        </w:rPr>
        <w:t> </w:t>
      </w:r>
    </w:p>
    <w:tbl>
      <w:tblPr>
        <w:tblW w:type="dxa" w:w="10800"/>
        <w:jc w:val="center"/>
        <w:tblInd w:type="dxa" w:w="0"/>
        <w:tblBorders>
          <w:top w:val="nil"/>
          <w:left w:val="nil"/>
          <w:bottom w:val="nil"/>
          <w:insideH w:val="nil"/>
          <w:right w:val="nil"/>
          <w:insideV w:val="nil"/>
        </w:tblBorders>
        <w:tblCellMar>
          <w:top w:type="dxa" w:w="0"/>
          <w:left w:type="dxa" w:w="0"/>
          <w:bottom w:type="dxa" w:w="0"/>
          <w:right w:type="dxa" w:w="0"/>
        </w:tblCellMar>
      </w:tblPr>
      <w:tblGrid>
        <w:gridCol w:w="3600"/>
        <w:gridCol w:w="3600"/>
        <w:gridCol w:w="3600"/>
      </w:tblGrid>
      <w:tr>
        <w:trPr>
          <w:cantSplit w:val="false"/>
        </w:trPr>
        <w:tc>
          <w:tcPr>
            <w:tcW w:type="dxa" w:w="3600"/>
            <w:tcBorders>
              <w:top w:val="nil"/>
              <w:left w:val="nil"/>
              <w:bottom w:val="nil"/>
              <w:right w:val="nil"/>
            </w:tcBorders>
            <w:shd w:fill="auto" w:val="clear"/>
            <w:vAlign w:val="center"/>
          </w:tcPr>
          <w:p>
            <w:pPr>
              <w:pStyle w:val="style0"/>
              <w:rPr>
                <w:sz w:val="1"/>
                <w:szCs w:val="24"/>
              </w:rPr>
            </w:pPr>
            <w:r>
              <w:rPr>
                <w:sz w:val="1"/>
                <w:szCs w:val="24"/>
              </w:rPr>
            </w:r>
          </w:p>
        </w:tc>
        <w:tc>
          <w:tcPr>
            <w:tcW w:type="dxa" w:w="3600"/>
            <w:tcBorders>
              <w:top w:val="nil"/>
              <w:left w:val="nil"/>
              <w:bottom w:val="nil"/>
              <w:right w:val="nil"/>
            </w:tcBorders>
            <w:shd w:fill="auto" w:val="clear"/>
            <w:vAlign w:val="center"/>
          </w:tcPr>
          <w:p>
            <w:pPr>
              <w:pStyle w:val="style0"/>
              <w:rPr>
                <w:sz w:val="1"/>
                <w:szCs w:val="24"/>
              </w:rPr>
            </w:pPr>
            <w:r>
              <w:rPr>
                <w:sz w:val="1"/>
                <w:szCs w:val="24"/>
              </w:rPr>
            </w:r>
          </w:p>
        </w:tc>
        <w:tc>
          <w:tcPr>
            <w:tcW w:type="dxa" w:w="3600"/>
            <w:tcBorders>
              <w:top w:val="nil"/>
              <w:left w:val="nil"/>
              <w:bottom w:val="nil"/>
              <w:right w:val="nil"/>
            </w:tcBorders>
            <w:shd w:fill="auto" w:val="clear"/>
            <w:vAlign w:val="center"/>
          </w:tcPr>
          <w:p>
            <w:pPr>
              <w:pStyle w:val="style0"/>
              <w:rPr>
                <w:sz w:val="1"/>
                <w:szCs w:val="24"/>
              </w:rPr>
            </w:pPr>
            <w:r>
              <w:rPr>
                <w:sz w:val="1"/>
                <w:szCs w:val="24"/>
              </w:rPr>
            </w:r>
          </w:p>
        </w:tc>
      </w:tr>
      <w:tr>
        <w:trPr>
          <w:cantSplit w:val="false"/>
        </w:trPr>
        <w:tc>
          <w:tcPr>
            <w:tcW w:type="dxa" w:w="3600"/>
            <w:tcBorders>
              <w:top w:val="nil"/>
              <w:left w:val="nil"/>
              <w:bottom w:val="nil"/>
              <w:right w:val="nil"/>
            </w:tcBorders>
            <w:shd w:fill="auto" w:val="clear"/>
          </w:tcPr>
          <w:p>
            <w:pPr>
              <w:pStyle w:val="style62"/>
              <w:spacing w:after="280" w:before="280"/>
              <w:contextualSpacing w:val="false"/>
              <w:jc w:val="both"/>
              <w:rPr>
                <w:rFonts w:ascii="Arial" w:cs="Arial" w:hAnsi="Arial"/>
                <w:b/>
                <w:bCs/>
                <w:sz w:val="20"/>
                <w:szCs w:val="20"/>
              </w:rPr>
            </w:pPr>
            <w:r>
              <w:rPr>
                <w:rFonts w:ascii="Arial" w:cs="Arial" w:hAnsi="Arial"/>
                <w:b/>
                <w:bCs/>
                <w:sz w:val="20"/>
                <w:szCs w:val="20"/>
              </w:rPr>
              <w:t>Steven A. Ballmer</w:t>
            </w:r>
          </w:p>
          <w:p>
            <w:pPr>
              <w:pStyle w:val="style62"/>
              <w:spacing w:after="280" w:before="280"/>
              <w:contextualSpacing w:val="false"/>
              <w:rPr>
                <w:rFonts w:ascii="Arial" w:cs="Arial" w:hAnsi="Arial"/>
                <w:sz w:val="20"/>
                <w:szCs w:val="20"/>
              </w:rPr>
            </w:pPr>
            <w:r>
              <w:rPr>
                <w:rFonts w:ascii="Arial" w:cs="Arial" w:hAnsi="Arial"/>
                <w:sz w:val="20"/>
                <w:szCs w:val="20"/>
              </w:rPr>
              <w:t>Chief Executive Officer</w:t>
            </w:r>
          </w:p>
        </w:tc>
        <w:tc>
          <w:tcPr>
            <w:tcW w:type="dxa" w:w="3600"/>
            <w:tcBorders>
              <w:top w:val="nil"/>
              <w:left w:val="nil"/>
              <w:bottom w:val="nil"/>
              <w:right w:val="nil"/>
            </w:tcBorders>
            <w:shd w:fill="auto" w:val="clear"/>
          </w:tcPr>
          <w:p>
            <w:pPr>
              <w:pStyle w:val="style62"/>
              <w:spacing w:after="280" w:before="280"/>
              <w:contextualSpacing w:val="false"/>
              <w:jc w:val="both"/>
              <w:rPr>
                <w:rFonts w:ascii="Arial" w:cs="Arial" w:hAnsi="Arial"/>
                <w:b/>
                <w:bCs/>
                <w:sz w:val="20"/>
                <w:szCs w:val="20"/>
              </w:rPr>
            </w:pPr>
            <w:r>
              <w:rPr>
                <w:rFonts w:ascii="Arial" w:cs="Arial" w:hAnsi="Arial"/>
                <w:b/>
                <w:bCs/>
                <w:sz w:val="20"/>
                <w:szCs w:val="20"/>
              </w:rPr>
              <w:t>Amy E. Hood</w:t>
            </w:r>
          </w:p>
          <w:p>
            <w:pPr>
              <w:pStyle w:val="style62"/>
              <w:spacing w:after="280" w:before="280"/>
              <w:contextualSpacing w:val="false"/>
              <w:jc w:val="both"/>
              <w:rPr>
                <w:rFonts w:ascii="Arial" w:cs="Arial" w:hAnsi="Arial"/>
                <w:sz w:val="20"/>
                <w:szCs w:val="20"/>
              </w:rPr>
            </w:pPr>
            <w:r>
              <w:rPr>
                <w:rFonts w:ascii="Arial" w:cs="Arial" w:hAnsi="Arial"/>
                <w:sz w:val="20"/>
                <w:szCs w:val="20"/>
              </w:rPr>
              <w:t>Executive Vice President,</w:t>
            </w:r>
          </w:p>
          <w:p>
            <w:pPr>
              <w:pStyle w:val="style62"/>
              <w:spacing w:after="280" w:before="280"/>
              <w:contextualSpacing w:val="false"/>
              <w:rPr>
                <w:rFonts w:ascii="Arial" w:cs="Arial" w:hAnsi="Arial"/>
                <w:sz w:val="20"/>
                <w:szCs w:val="20"/>
              </w:rPr>
            </w:pPr>
            <w:r>
              <w:rPr>
                <w:rFonts w:ascii="Arial" w:cs="Arial" w:hAnsi="Arial"/>
                <w:sz w:val="20"/>
                <w:szCs w:val="20"/>
              </w:rPr>
              <w:t>Chief Financial Officer</w:t>
            </w:r>
          </w:p>
        </w:tc>
        <w:tc>
          <w:tcPr>
            <w:tcW w:type="dxa" w:w="3600"/>
            <w:tcBorders>
              <w:top w:val="nil"/>
              <w:left w:val="nil"/>
              <w:bottom w:val="nil"/>
              <w:right w:val="nil"/>
            </w:tcBorders>
            <w:shd w:fill="auto" w:val="clear"/>
          </w:tcPr>
          <w:p>
            <w:pPr>
              <w:pStyle w:val="style62"/>
              <w:spacing w:after="280" w:before="280"/>
              <w:contextualSpacing w:val="false"/>
              <w:jc w:val="both"/>
              <w:rPr>
                <w:rFonts w:ascii="Arial" w:cs="Arial" w:hAnsi="Arial"/>
                <w:b/>
                <w:bCs/>
                <w:sz w:val="20"/>
                <w:szCs w:val="20"/>
              </w:rPr>
            </w:pPr>
            <w:r>
              <w:rPr>
                <w:rFonts w:ascii="Arial" w:cs="Arial" w:hAnsi="Arial"/>
                <w:b/>
                <w:bCs/>
                <w:sz w:val="20"/>
                <w:szCs w:val="20"/>
              </w:rPr>
              <w:t>Bradford L. Smith</w:t>
            </w:r>
          </w:p>
          <w:p>
            <w:pPr>
              <w:pStyle w:val="style62"/>
              <w:spacing w:after="280" w:before="280"/>
              <w:contextualSpacing w:val="false"/>
              <w:jc w:val="both"/>
              <w:rPr>
                <w:rFonts w:ascii="Arial" w:cs="Arial" w:hAnsi="Arial"/>
                <w:sz w:val="20"/>
                <w:szCs w:val="20"/>
              </w:rPr>
            </w:pPr>
            <w:r>
              <w:rPr>
                <w:rFonts w:ascii="Arial" w:cs="Arial" w:hAnsi="Arial"/>
                <w:sz w:val="20"/>
                <w:szCs w:val="20"/>
              </w:rPr>
              <w:t>Executive Vice President,</w:t>
            </w:r>
          </w:p>
          <w:p>
            <w:pPr>
              <w:pStyle w:val="style62"/>
              <w:spacing w:after="280" w:before="280"/>
              <w:contextualSpacing w:val="false"/>
              <w:rPr>
                <w:rFonts w:ascii="Arial" w:cs="Arial" w:hAnsi="Arial"/>
                <w:sz w:val="20"/>
                <w:szCs w:val="20"/>
              </w:rPr>
            </w:pPr>
            <w:r>
              <w:rPr>
                <w:rFonts w:ascii="Arial" w:cs="Arial" w:hAnsi="Arial"/>
                <w:sz w:val="20"/>
                <w:szCs w:val="20"/>
              </w:rPr>
              <w:t>General Counsel and Secretary</w:t>
            </w:r>
          </w:p>
        </w:tc>
      </w:tr>
      <w:tr>
        <w:trPr>
          <w:trHeight w:hRule="atLeast" w:val="240"/>
          <w:cantSplit w:val="false"/>
        </w:trPr>
        <w:tc>
          <w:tcPr>
            <w:tcW w:type="dxa" w:w="3600"/>
            <w:tcBorders>
              <w:top w:val="nil"/>
              <w:left w:val="nil"/>
              <w:bottom w:val="nil"/>
              <w:right w:val="nil"/>
            </w:tcBorders>
            <w:shd w:fill="auto" w:val="clear"/>
            <w:vAlign w:val="center"/>
          </w:tcPr>
          <w:p>
            <w:pPr>
              <w:pStyle w:val="style0"/>
              <w:rPr>
                <w:szCs w:val="24"/>
              </w:rPr>
            </w:pPr>
            <w:r>
              <w:rPr>
                <w:szCs w:val="24"/>
              </w:rPr>
            </w:r>
          </w:p>
        </w:tc>
        <w:tc>
          <w:tcPr>
            <w:tcW w:type="dxa" w:w="3600"/>
            <w:tcBorders>
              <w:top w:val="nil"/>
              <w:left w:val="nil"/>
              <w:bottom w:val="nil"/>
              <w:right w:val="nil"/>
            </w:tcBorders>
            <w:shd w:fill="auto" w:val="clear"/>
            <w:vAlign w:val="center"/>
          </w:tcPr>
          <w:p>
            <w:pPr>
              <w:pStyle w:val="style0"/>
              <w:rPr>
                <w:szCs w:val="24"/>
              </w:rPr>
            </w:pPr>
            <w:r>
              <w:rPr>
                <w:szCs w:val="24"/>
              </w:rPr>
            </w:r>
          </w:p>
        </w:tc>
        <w:tc>
          <w:tcPr>
            <w:tcW w:type="dxa" w:w="3600"/>
            <w:tcBorders>
              <w:top w:val="nil"/>
              <w:left w:val="nil"/>
              <w:bottom w:val="nil"/>
              <w:right w:val="nil"/>
            </w:tcBorders>
            <w:shd w:fill="auto" w:val="clear"/>
            <w:vAlign w:val="center"/>
          </w:tcPr>
          <w:p>
            <w:pPr>
              <w:pStyle w:val="style0"/>
              <w:rPr>
                <w:szCs w:val="24"/>
              </w:rPr>
            </w:pPr>
            <w:r>
              <w:rPr>
                <w:szCs w:val="24"/>
              </w:rPr>
            </w:r>
          </w:p>
        </w:tc>
      </w:tr>
      <w:tr>
        <w:trPr>
          <w:cantSplit w:val="false"/>
        </w:trPr>
        <w:tc>
          <w:tcPr>
            <w:tcW w:type="dxa" w:w="3600"/>
            <w:tcBorders>
              <w:top w:val="nil"/>
              <w:left w:val="nil"/>
              <w:bottom w:val="nil"/>
              <w:right w:val="nil"/>
            </w:tcBorders>
            <w:shd w:fill="auto" w:val="clear"/>
          </w:tcPr>
          <w:p>
            <w:pPr>
              <w:pStyle w:val="style62"/>
              <w:spacing w:after="280" w:before="280"/>
              <w:contextualSpacing w:val="false"/>
              <w:jc w:val="both"/>
              <w:rPr>
                <w:rFonts w:ascii="Arial" w:cs="Arial" w:hAnsi="Arial"/>
                <w:b/>
                <w:bCs/>
                <w:sz w:val="20"/>
                <w:szCs w:val="20"/>
              </w:rPr>
            </w:pPr>
            <w:r>
              <w:rPr>
                <w:rFonts w:ascii="Arial" w:cs="Arial" w:hAnsi="Arial"/>
                <w:b/>
                <w:bCs/>
                <w:sz w:val="20"/>
                <w:szCs w:val="20"/>
              </w:rPr>
              <w:t>Anthony J. Bates</w:t>
            </w:r>
          </w:p>
          <w:p>
            <w:pPr>
              <w:pStyle w:val="style62"/>
              <w:spacing w:after="280" w:before="280"/>
              <w:contextualSpacing w:val="false"/>
              <w:jc w:val="both"/>
              <w:rPr>
                <w:rFonts w:ascii="Arial" w:cs="Arial" w:hAnsi="Arial"/>
                <w:sz w:val="20"/>
                <w:szCs w:val="20"/>
              </w:rPr>
            </w:pPr>
            <w:r>
              <w:rPr>
                <w:rFonts w:ascii="Arial" w:cs="Arial" w:hAnsi="Arial"/>
                <w:sz w:val="20"/>
                <w:szCs w:val="20"/>
              </w:rPr>
              <w:t>Executive Vice President, Business</w:t>
            </w:r>
          </w:p>
          <w:p>
            <w:pPr>
              <w:pStyle w:val="style62"/>
              <w:spacing w:after="280" w:before="280"/>
              <w:contextualSpacing w:val="false"/>
              <w:rPr>
                <w:rFonts w:ascii="Arial" w:cs="Arial" w:hAnsi="Arial"/>
                <w:sz w:val="20"/>
                <w:szCs w:val="20"/>
              </w:rPr>
            </w:pPr>
            <w:r>
              <w:rPr>
                <w:rFonts w:ascii="Arial" w:cs="Arial" w:hAnsi="Arial"/>
                <w:sz w:val="20"/>
                <w:szCs w:val="20"/>
              </w:rPr>
              <w:t>Development and Evangelism</w:t>
            </w:r>
          </w:p>
        </w:tc>
        <w:tc>
          <w:tcPr>
            <w:tcW w:type="dxa" w:w="3600"/>
            <w:tcBorders>
              <w:top w:val="nil"/>
              <w:left w:val="nil"/>
              <w:bottom w:val="nil"/>
              <w:right w:val="nil"/>
            </w:tcBorders>
            <w:shd w:fill="auto" w:val="clear"/>
          </w:tcPr>
          <w:p>
            <w:pPr>
              <w:pStyle w:val="style62"/>
              <w:spacing w:after="280" w:before="280"/>
              <w:contextualSpacing w:val="false"/>
              <w:jc w:val="both"/>
              <w:rPr>
                <w:rFonts w:ascii="Arial" w:cs="Arial" w:hAnsi="Arial"/>
                <w:b/>
                <w:bCs/>
                <w:sz w:val="20"/>
                <w:szCs w:val="20"/>
              </w:rPr>
            </w:pPr>
            <w:r>
              <w:rPr>
                <w:rFonts w:ascii="Arial" w:cs="Arial" w:hAnsi="Arial"/>
                <w:b/>
                <w:bCs/>
                <w:sz w:val="20"/>
                <w:szCs w:val="20"/>
              </w:rPr>
              <w:t>Tami Reller</w:t>
            </w:r>
          </w:p>
          <w:p>
            <w:pPr>
              <w:pStyle w:val="style62"/>
              <w:spacing w:after="280" w:before="280"/>
              <w:contextualSpacing w:val="false"/>
              <w:jc w:val="both"/>
              <w:rPr>
                <w:rFonts w:ascii="Arial" w:cs="Arial" w:hAnsi="Arial"/>
                <w:sz w:val="20"/>
                <w:szCs w:val="20"/>
              </w:rPr>
            </w:pPr>
            <w:r>
              <w:rPr>
                <w:rFonts w:ascii="Arial" w:cs="Arial" w:hAnsi="Arial"/>
                <w:sz w:val="20"/>
                <w:szCs w:val="20"/>
              </w:rPr>
              <w:t>Executive Vice President,</w:t>
            </w:r>
          </w:p>
          <w:p>
            <w:pPr>
              <w:pStyle w:val="style62"/>
              <w:spacing w:after="280" w:before="280"/>
              <w:contextualSpacing w:val="false"/>
              <w:rPr>
                <w:rFonts w:ascii="Arial" w:cs="Arial" w:hAnsi="Arial"/>
                <w:sz w:val="20"/>
                <w:szCs w:val="20"/>
              </w:rPr>
            </w:pPr>
            <w:r>
              <w:rPr>
                <w:rFonts w:ascii="Arial" w:cs="Arial" w:hAnsi="Arial"/>
                <w:sz w:val="20"/>
                <w:szCs w:val="20"/>
              </w:rPr>
              <w:t>Marketing</w:t>
            </w:r>
          </w:p>
        </w:tc>
        <w:tc>
          <w:tcPr>
            <w:tcW w:type="dxa" w:w="3600"/>
            <w:tcBorders>
              <w:top w:val="nil"/>
              <w:left w:val="nil"/>
              <w:bottom w:val="nil"/>
              <w:right w:val="nil"/>
            </w:tcBorders>
            <w:shd w:fill="auto" w:val="clear"/>
          </w:tcPr>
          <w:p>
            <w:pPr>
              <w:pStyle w:val="style62"/>
              <w:spacing w:after="280" w:before="280"/>
              <w:contextualSpacing w:val="false"/>
              <w:jc w:val="both"/>
              <w:rPr>
                <w:rFonts w:ascii="Arial" w:cs="Arial" w:hAnsi="Arial"/>
                <w:b/>
                <w:bCs/>
                <w:sz w:val="20"/>
                <w:szCs w:val="20"/>
              </w:rPr>
            </w:pPr>
            <w:r>
              <w:rPr>
                <w:rFonts w:ascii="Arial" w:cs="Arial" w:hAnsi="Arial"/>
                <w:b/>
                <w:bCs/>
                <w:sz w:val="20"/>
                <w:szCs w:val="20"/>
              </w:rPr>
              <w:t>B. Kevin Turner</w:t>
            </w:r>
          </w:p>
          <w:p>
            <w:pPr>
              <w:pStyle w:val="style62"/>
              <w:spacing w:after="280" w:before="280"/>
              <w:contextualSpacing w:val="false"/>
              <w:rPr>
                <w:rFonts w:ascii="Arial" w:cs="Arial" w:hAnsi="Arial"/>
                <w:sz w:val="20"/>
                <w:szCs w:val="20"/>
              </w:rPr>
            </w:pPr>
            <w:r>
              <w:rPr>
                <w:rFonts w:ascii="Arial" w:cs="Arial" w:hAnsi="Arial"/>
                <w:sz w:val="20"/>
                <w:szCs w:val="20"/>
              </w:rPr>
              <w:t>Chief Operating Officer</w:t>
            </w:r>
          </w:p>
        </w:tc>
      </w:tr>
      <w:tr>
        <w:trPr>
          <w:trHeight w:hRule="atLeast" w:val="240"/>
          <w:cantSplit w:val="false"/>
        </w:trPr>
        <w:tc>
          <w:tcPr>
            <w:tcW w:type="dxa" w:w="3600"/>
            <w:tcBorders>
              <w:top w:val="nil"/>
              <w:left w:val="nil"/>
              <w:bottom w:val="nil"/>
              <w:right w:val="nil"/>
            </w:tcBorders>
            <w:shd w:fill="auto" w:val="clear"/>
            <w:vAlign w:val="center"/>
          </w:tcPr>
          <w:p>
            <w:pPr>
              <w:pStyle w:val="style0"/>
              <w:rPr>
                <w:szCs w:val="24"/>
              </w:rPr>
            </w:pPr>
            <w:r>
              <w:rPr>
                <w:szCs w:val="24"/>
              </w:rPr>
            </w:r>
          </w:p>
        </w:tc>
        <w:tc>
          <w:tcPr>
            <w:tcW w:type="dxa" w:w="3600"/>
            <w:tcBorders>
              <w:top w:val="nil"/>
              <w:left w:val="nil"/>
              <w:bottom w:val="nil"/>
              <w:right w:val="nil"/>
            </w:tcBorders>
            <w:shd w:fill="auto" w:val="clear"/>
            <w:vAlign w:val="center"/>
          </w:tcPr>
          <w:p>
            <w:pPr>
              <w:pStyle w:val="style0"/>
              <w:rPr>
                <w:szCs w:val="24"/>
              </w:rPr>
            </w:pPr>
            <w:r>
              <w:rPr>
                <w:szCs w:val="24"/>
              </w:rPr>
            </w:r>
          </w:p>
        </w:tc>
        <w:tc>
          <w:tcPr>
            <w:tcW w:type="dxa" w:w="3600"/>
            <w:tcBorders>
              <w:top w:val="nil"/>
              <w:left w:val="nil"/>
              <w:bottom w:val="nil"/>
              <w:right w:val="nil"/>
            </w:tcBorders>
            <w:shd w:fill="auto" w:val="clear"/>
            <w:vAlign w:val="center"/>
          </w:tcPr>
          <w:p>
            <w:pPr>
              <w:pStyle w:val="style0"/>
              <w:rPr>
                <w:szCs w:val="24"/>
              </w:rPr>
            </w:pPr>
            <w:r>
              <w:rPr>
                <w:szCs w:val="24"/>
              </w:rPr>
            </w:r>
          </w:p>
        </w:tc>
      </w:tr>
      <w:tr>
        <w:trPr>
          <w:cantSplit w:val="false"/>
        </w:trPr>
        <w:tc>
          <w:tcPr>
            <w:tcW w:type="dxa" w:w="3600"/>
            <w:tcBorders>
              <w:top w:val="nil"/>
              <w:left w:val="nil"/>
              <w:bottom w:val="nil"/>
              <w:right w:val="nil"/>
            </w:tcBorders>
            <w:shd w:fill="auto" w:val="clear"/>
          </w:tcPr>
          <w:p>
            <w:pPr>
              <w:pStyle w:val="style62"/>
              <w:spacing w:after="280" w:before="280"/>
              <w:contextualSpacing w:val="false"/>
              <w:jc w:val="both"/>
              <w:rPr>
                <w:rFonts w:ascii="Arial" w:cs="Arial" w:hAnsi="Arial"/>
                <w:b/>
                <w:bCs/>
                <w:sz w:val="20"/>
                <w:szCs w:val="20"/>
              </w:rPr>
            </w:pPr>
            <w:r>
              <w:rPr>
                <w:rFonts w:ascii="Arial" w:cs="Arial" w:hAnsi="Arial"/>
                <w:b/>
                <w:bCs/>
                <w:sz w:val="20"/>
                <w:szCs w:val="20"/>
              </w:rPr>
              <w:t>Lisa E. Brummel</w:t>
            </w:r>
          </w:p>
          <w:p>
            <w:pPr>
              <w:pStyle w:val="style62"/>
              <w:spacing w:after="280" w:before="280"/>
              <w:contextualSpacing w:val="false"/>
              <w:jc w:val="both"/>
              <w:rPr>
                <w:rFonts w:ascii="Arial" w:cs="Arial" w:hAnsi="Arial"/>
                <w:sz w:val="20"/>
                <w:szCs w:val="20"/>
              </w:rPr>
            </w:pPr>
            <w:r>
              <w:rPr>
                <w:rFonts w:ascii="Arial" w:cs="Arial" w:hAnsi="Arial"/>
                <w:sz w:val="20"/>
                <w:szCs w:val="20"/>
              </w:rPr>
              <w:t>Executive Vice President, Human</w:t>
            </w:r>
          </w:p>
          <w:p>
            <w:pPr>
              <w:pStyle w:val="style62"/>
              <w:spacing w:after="280" w:before="280"/>
              <w:contextualSpacing w:val="false"/>
              <w:rPr>
                <w:rFonts w:ascii="Arial" w:cs="Arial" w:hAnsi="Arial"/>
                <w:sz w:val="20"/>
                <w:szCs w:val="20"/>
              </w:rPr>
            </w:pPr>
            <w:r>
              <w:rPr>
                <w:rFonts w:ascii="Arial" w:cs="Arial" w:hAnsi="Arial"/>
                <w:sz w:val="20"/>
                <w:szCs w:val="20"/>
              </w:rPr>
              <w:t>Resources</w:t>
            </w:r>
          </w:p>
        </w:tc>
        <w:tc>
          <w:tcPr>
            <w:tcW w:type="dxa" w:w="3600"/>
            <w:tcBorders>
              <w:top w:val="nil"/>
              <w:left w:val="nil"/>
              <w:bottom w:val="nil"/>
              <w:right w:val="nil"/>
            </w:tcBorders>
            <w:shd w:fill="auto" w:val="clear"/>
            <w:vAlign w:val="bottom"/>
          </w:tcPr>
          <w:p>
            <w:pPr>
              <w:pStyle w:val="style62"/>
              <w:spacing w:after="280" w:before="280"/>
              <w:contextualSpacing w:val="false"/>
              <w:jc w:val="both"/>
              <w:rPr>
                <w:rFonts w:ascii="Arial" w:cs="Arial" w:hAnsi="Arial"/>
                <w:b/>
                <w:bCs/>
                <w:sz w:val="20"/>
                <w:szCs w:val="20"/>
              </w:rPr>
            </w:pPr>
            <w:r>
              <w:rPr>
                <w:rFonts w:ascii="Arial" w:cs="Arial" w:hAnsi="Arial"/>
                <w:b/>
                <w:bCs/>
                <w:sz w:val="20"/>
                <w:szCs w:val="20"/>
              </w:rPr>
              <w:t>Eric D. Rudder</w:t>
            </w:r>
          </w:p>
          <w:p>
            <w:pPr>
              <w:pStyle w:val="style62"/>
              <w:spacing w:after="280" w:before="280"/>
              <w:contextualSpacing w:val="false"/>
              <w:jc w:val="both"/>
              <w:rPr>
                <w:rFonts w:ascii="Arial" w:cs="Arial" w:hAnsi="Arial"/>
                <w:sz w:val="20"/>
                <w:szCs w:val="20"/>
              </w:rPr>
            </w:pPr>
            <w:r>
              <w:rPr>
                <w:rFonts w:ascii="Arial" w:cs="Arial" w:hAnsi="Arial"/>
                <w:sz w:val="20"/>
                <w:szCs w:val="20"/>
              </w:rPr>
              <w:t>Executive Vice President, Advanced</w:t>
            </w:r>
          </w:p>
          <w:p>
            <w:pPr>
              <w:pStyle w:val="style62"/>
              <w:spacing w:after="280" w:before="280"/>
              <w:contextualSpacing w:val="false"/>
              <w:rPr>
                <w:rFonts w:ascii="Arial" w:cs="Arial" w:hAnsi="Arial"/>
                <w:sz w:val="20"/>
                <w:szCs w:val="20"/>
              </w:rPr>
            </w:pPr>
            <w:r>
              <w:rPr>
                <w:rFonts w:ascii="Arial" w:cs="Arial" w:hAnsi="Arial"/>
                <w:sz w:val="20"/>
                <w:szCs w:val="20"/>
              </w:rPr>
              <w:t>Strategy and Research</w:t>
            </w:r>
          </w:p>
        </w:tc>
        <w:tc>
          <w:tcPr>
            <w:tcW w:type="dxa" w:w="3600"/>
            <w:tcBorders>
              <w:top w:val="nil"/>
              <w:left w:val="nil"/>
              <w:bottom w:val="nil"/>
              <w:right w:val="nil"/>
            </w:tcBorders>
            <w:shd w:fill="auto" w:val="clear"/>
            <w:tcMar>
              <w:left w:type="dxa" w:w="144"/>
            </w:tcMar>
            <w:vAlign w:val="bottom"/>
          </w:tcPr>
          <w:p>
            <w:pPr>
              <w:pStyle w:val="style65"/>
              <w:rPr/>
            </w:pPr>
            <w:r>
              <w:rPr/>
              <w:t> </w:t>
            </w:r>
          </w:p>
        </w:tc>
      </w:tr>
    </w:tbl>
    <w:p>
      <w:pPr>
        <w:pStyle w:val="style62"/>
        <w:spacing w:after="280" w:before="280"/>
        <w:contextualSpacing w:val="false"/>
        <w:jc w:val="center"/>
        <w:rPr>
          <w:rFonts w:ascii="Arial" w:cs="Arial" w:hAnsi="Arial"/>
          <w:b/>
          <w:bCs/>
        </w:rPr>
      </w:pPr>
      <w:r>
        <w:rPr>
          <w:rFonts w:ascii="Arial" w:cs="Arial" w:hAnsi="Arial"/>
          <w:b/>
          <w:bCs/>
        </w:rPr>
        <w:t xml:space="preserve"> </w:t>
      </w:r>
    </w:p>
    <w:p>
      <w:pPr>
        <w:pStyle w:val="style62"/>
        <w:pageBreakBefore/>
        <w:spacing w:after="280" w:before="280"/>
        <w:contextualSpacing w:val="false"/>
        <w:jc w:val="center"/>
        <w:rPr>
          <w:rFonts w:ascii="Arial" w:cs="Arial" w:hAnsi="Arial"/>
          <w:b/>
          <w:bCs/>
        </w:rPr>
      </w:pPr>
      <w:r>
        <w:rPr>
          <w:rFonts w:ascii="Arial" w:cs="Arial" w:hAnsi="Arial"/>
          <w:b/>
          <w:bCs/>
        </w:rPr>
        <w:t xml:space="preserve">INVESTOR RELATIONS </w:t>
      </w:r>
    </w:p>
    <w:p>
      <w:pPr>
        <w:sectPr>
          <w:headerReference r:id="rId14" w:type="even"/>
          <w:headerReference r:id="rId15" w:type="default"/>
          <w:footerReference r:id="rId16" w:type="even"/>
          <w:footerReference r:id="rId17" w:type="default"/>
          <w:type w:val="evenPage"/>
          <w:pgSz w:h="15840" w:w="12240"/>
          <w:pgMar w:bottom="777" w:footer="720" w:gutter="0" w:header="720" w:left="720" w:right="720" w:top="777"/>
          <w:pgNumType w:fmt="decimal"/>
          <w:formProt w:val="false"/>
          <w:textDirection w:val="lrTb"/>
          <w:docGrid w:charSpace="0" w:linePitch="326" w:type="default"/>
        </w:sectPr>
      </w:pPr>
    </w:p>
    <w:p>
      <w:pPr>
        <w:pStyle w:val="style62"/>
        <w:spacing w:after="280" w:before="280"/>
        <w:contextualSpacing w:val="false"/>
        <w:jc w:val="both"/>
        <w:rPr>
          <w:rFonts w:ascii="Arial" w:cs="Arial" w:hAnsi="Arial"/>
          <w:sz w:val="20"/>
          <w:szCs w:val="20"/>
          <w:u w:val="single"/>
        </w:rPr>
      </w:pPr>
      <w:r>
        <w:rPr>
          <w:rFonts w:ascii="Arial" w:cs="Arial" w:hAnsi="Arial"/>
          <w:sz w:val="20"/>
          <w:szCs w:val="20"/>
          <w:u w:val="single"/>
        </w:rPr>
        <w:t xml:space="preserve">Investor Relations </w:t>
      </w:r>
    </w:p>
    <w:p>
      <w:pPr>
        <w:pStyle w:val="style62"/>
        <w:spacing w:after="280" w:before="280"/>
        <w:contextualSpacing w:val="false"/>
        <w:jc w:val="both"/>
        <w:rPr>
          <w:rFonts w:ascii="Arial" w:cs="Arial" w:hAnsi="Arial"/>
          <w:b/>
          <w:bCs/>
          <w:sz w:val="20"/>
          <w:szCs w:val="20"/>
        </w:rPr>
      </w:pPr>
      <w:r>
        <w:rPr>
          <w:rFonts w:ascii="Arial" w:cs="Arial" w:hAnsi="Arial"/>
          <w:b/>
          <w:bCs/>
          <w:sz w:val="20"/>
          <w:szCs w:val="20"/>
        </w:rPr>
        <w:t xml:space="preserve">You can contact Microsoft Investor Relations at any time to order financial documents such as annual reports and Form 10-Ks free of charge.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Call us toll-free at (800) 285-7772 or outside the United States, call (425) 706-4400. We can be contacted between the hours of 9:00 a.m. to 5:00 p.m. Pacific Time to answer investment oriented questions about Microsoft.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For access to additional financial information, visit the Investor Relations website online at: </w:t>
      </w:r>
    </w:p>
    <w:p>
      <w:pPr>
        <w:pStyle w:val="style62"/>
        <w:spacing w:after="280" w:before="280"/>
        <w:contextualSpacing w:val="false"/>
        <w:jc w:val="both"/>
        <w:rPr>
          <w:rFonts w:ascii="Arial" w:cs="Arial" w:hAnsi="Arial"/>
          <w:sz w:val="20"/>
          <w:szCs w:val="20"/>
        </w:rPr>
      </w:pPr>
      <w:r>
        <w:rPr>
          <w:rFonts w:ascii="Arial" w:cs="Arial" w:hAnsi="Arial"/>
          <w:sz w:val="20"/>
          <w:szCs w:val="20"/>
          <w:u w:val="single"/>
        </w:rPr>
        <w:t>www.microsoft.com/investor</w:t>
      </w:r>
      <w:r>
        <w:rPr>
          <w:rFonts w:ascii="Arial" w:cs="Arial" w:hAnsi="Arial"/>
          <w:sz w:val="20"/>
          <w:szCs w:val="20"/>
        </w:rPr>
        <w:t xml:space="preserve">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e-mail is msft@microsoft.com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Our mailing address is: </w:t>
      </w:r>
    </w:p>
    <w:p>
      <w:pPr>
        <w:pStyle w:val="style62"/>
        <w:spacing w:after="280" w:before="280"/>
        <w:ind w:firstLine="405" w:left="0" w:right="0"/>
        <w:contextualSpacing w:val="false"/>
        <w:jc w:val="both"/>
        <w:rPr>
          <w:rFonts w:ascii="Arial" w:cs="Arial" w:hAnsi="Arial"/>
          <w:sz w:val="20"/>
          <w:szCs w:val="20"/>
        </w:rPr>
      </w:pPr>
      <w:r>
        <w:rPr>
          <w:rFonts w:ascii="Arial" w:cs="Arial" w:hAnsi="Arial"/>
          <w:sz w:val="20"/>
          <w:szCs w:val="20"/>
        </w:rPr>
        <w:t xml:space="preserve">Investor Relations </w:t>
      </w:r>
    </w:p>
    <w:p>
      <w:pPr>
        <w:pStyle w:val="style62"/>
        <w:spacing w:after="280" w:before="280"/>
        <w:ind w:firstLine="405" w:left="0" w:right="0"/>
        <w:contextualSpacing w:val="false"/>
        <w:jc w:val="both"/>
        <w:rPr>
          <w:rFonts w:ascii="Arial" w:cs="Arial" w:hAnsi="Arial"/>
          <w:sz w:val="20"/>
          <w:szCs w:val="20"/>
        </w:rPr>
      </w:pPr>
      <w:r>
        <w:rPr>
          <w:rFonts w:ascii="Arial" w:cs="Arial" w:hAnsi="Arial"/>
          <w:sz w:val="20"/>
          <w:szCs w:val="20"/>
        </w:rPr>
        <w:t xml:space="preserve">Microsoft Corporation </w:t>
      </w:r>
    </w:p>
    <w:p>
      <w:pPr>
        <w:pStyle w:val="style62"/>
        <w:spacing w:after="280" w:before="280"/>
        <w:ind w:firstLine="405" w:left="0" w:right="0"/>
        <w:contextualSpacing w:val="false"/>
        <w:jc w:val="both"/>
        <w:rPr>
          <w:rFonts w:ascii="Arial" w:cs="Arial" w:hAnsi="Arial"/>
          <w:sz w:val="20"/>
          <w:szCs w:val="20"/>
        </w:rPr>
      </w:pPr>
      <w:r>
        <w:rPr>
          <w:rFonts w:ascii="Arial" w:cs="Arial" w:hAnsi="Arial"/>
          <w:sz w:val="20"/>
          <w:szCs w:val="20"/>
        </w:rPr>
        <w:t xml:space="preserve">One Microsoft Way </w:t>
      </w:r>
    </w:p>
    <w:p>
      <w:pPr>
        <w:pStyle w:val="style62"/>
        <w:spacing w:after="280" w:before="280"/>
        <w:ind w:firstLine="405" w:left="0" w:right="0"/>
        <w:contextualSpacing w:val="false"/>
        <w:jc w:val="both"/>
        <w:rPr>
          <w:rFonts w:ascii="Arial" w:cs="Arial" w:hAnsi="Arial"/>
          <w:sz w:val="20"/>
          <w:szCs w:val="20"/>
        </w:rPr>
      </w:pPr>
      <w:r>
        <w:rPr>
          <w:rFonts w:ascii="Arial" w:cs="Arial" w:hAnsi="Arial"/>
          <w:sz w:val="20"/>
          <w:szCs w:val="20"/>
        </w:rPr>
        <w:t xml:space="preserve">Redmond, Washington 98052-6399 </w:t>
      </w:r>
    </w:p>
    <w:p>
      <w:pPr>
        <w:pStyle w:val="style62"/>
        <w:spacing w:after="280" w:before="280"/>
        <w:contextualSpacing w:val="false"/>
        <w:jc w:val="both"/>
        <w:rPr>
          <w:rFonts w:ascii="Arial" w:cs="Arial" w:hAnsi="Arial"/>
          <w:sz w:val="20"/>
          <w:szCs w:val="20"/>
          <w:u w:val="single"/>
        </w:rPr>
      </w:pPr>
      <w:r>
        <w:rPr>
          <w:rFonts w:ascii="Arial" w:cs="Arial" w:hAnsi="Arial"/>
          <w:sz w:val="20"/>
          <w:szCs w:val="20"/>
          <w:u w:val="single"/>
        </w:rPr>
        <w:t xml:space="preserve">Annual Meeting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8:00 a.m. Pacific Time November 19, 2013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Meydenbauer Center </w:t>
      </w:r>
    </w:p>
    <w:p>
      <w:pPr>
        <w:pStyle w:val="style62"/>
        <w:spacing w:after="280" w:before="280"/>
        <w:contextualSpacing w:val="false"/>
        <w:jc w:val="both"/>
        <w:rPr>
          <w:rFonts w:ascii="Arial" w:cs="Arial" w:hAnsi="Arial"/>
          <w:sz w:val="20"/>
          <w:szCs w:val="20"/>
        </w:rPr>
      </w:pPr>
      <w:r>
        <w:rPr>
          <w:rFonts w:ascii="Arial" w:cs="Arial" w:hAnsi="Arial"/>
          <w:sz w:val="20"/>
          <w:szCs w:val="20"/>
        </w:rPr>
        <w:t>11100 NE 6</w:t>
      </w:r>
      <w:r>
        <w:rPr>
          <w:rFonts w:ascii="Arial" w:cs="Arial" w:hAnsi="Arial"/>
          <w:sz w:val="15"/>
          <w:szCs w:val="15"/>
          <w:vertAlign w:val="superscript"/>
        </w:rPr>
        <w:t>th</w:t>
      </w:r>
      <w:r>
        <w:rPr>
          <w:rFonts w:ascii="Arial" w:cs="Arial" w:hAnsi="Arial"/>
          <w:sz w:val="20"/>
          <w:szCs w:val="20"/>
        </w:rPr>
        <w:t xml:space="preserve"> Street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Bellevue, Washington 98004 </w:t>
      </w:r>
    </w:p>
    <w:p>
      <w:pPr>
        <w:pStyle w:val="style62"/>
        <w:keepNext/>
        <w:spacing w:after="280" w:before="280"/>
        <w:contextualSpacing w:val="false"/>
        <w:jc w:val="both"/>
        <w:rPr>
          <w:rFonts w:ascii="Arial" w:cs="Arial" w:hAnsi="Arial"/>
          <w:b/>
          <w:bCs/>
          <w:sz w:val="20"/>
          <w:szCs w:val="20"/>
        </w:rPr>
      </w:pPr>
      <w:r>
        <w:rPr>
          <w:rFonts w:ascii="Arial" w:cs="Arial" w:hAnsi="Arial"/>
          <w:b/>
          <w:bCs/>
          <w:sz w:val="20"/>
          <w:szCs w:val="20"/>
        </w:rPr>
        <w:t xml:space="preserve">Proof of Ownership Required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You are entitled to attend the Annual Meeting only if you are a shareholder as of the close of business on September 13, 2013, the record date, or hold a valid proxy for the meeting. In order to be admitted to the Annual Meeting, you must present proof of ownership of Microsoft stock on the record date. </w:t>
      </w:r>
    </w:p>
    <w:p>
      <w:pPr>
        <w:pStyle w:val="style62"/>
        <w:spacing w:after="280" w:before="280"/>
        <w:ind w:hanging="241" w:left="252"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The Notice of Internet Availability of Proxy Materials </w:t>
      </w:r>
    </w:p>
    <w:p>
      <w:pPr>
        <w:pStyle w:val="style62"/>
        <w:spacing w:after="280" w:before="280"/>
        <w:ind w:hanging="241" w:left="252"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A proxy card </w:t>
      </w:r>
    </w:p>
    <w:p>
      <w:pPr>
        <w:pStyle w:val="style62"/>
        <w:spacing w:after="280" w:before="280"/>
        <w:ind w:hanging="241" w:left="252"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Legal proxy provided by your bank, broker, or nominee </w:t>
      </w:r>
    </w:p>
    <w:p>
      <w:pPr>
        <w:pStyle w:val="style62"/>
        <w:spacing w:after="280" w:before="280"/>
        <w:ind w:hanging="241" w:left="252"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Voting instruction card </w:t>
      </w:r>
    </w:p>
    <w:p>
      <w:pPr>
        <w:pStyle w:val="style62"/>
        <w:spacing w:after="280" w:before="280"/>
        <w:ind w:hanging="241" w:left="252"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If you received your proxy materials by email, a printout of the email </w:t>
      </w:r>
    </w:p>
    <w:p>
      <w:pPr>
        <w:pStyle w:val="style62"/>
        <w:spacing w:after="280" w:before="280"/>
        <w:ind w:hanging="241" w:left="252"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Brokerage statement or letter from a bank or broker indicating ownership on September 13, 2013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Any holder of a proxy from a shareholder must present the proxy card, properly executed, and a copy of the proof of ownership. Shareholders and proxy holders must also present a form of photo identification such as a driver’s license or passport. We reserve the right to deny entry to any person who does not present identification or refuses to comply with our security procedures. </w:t>
      </w:r>
    </w:p>
    <w:p>
      <w:pPr>
        <w:pStyle w:val="style62"/>
        <w:spacing w:after="280" w:before="280"/>
        <w:contextualSpacing w:val="false"/>
        <w:jc w:val="both"/>
        <w:rPr>
          <w:sz w:val="2"/>
          <w:szCs w:val="2"/>
        </w:rPr>
      </w:pPr>
      <w:r>
        <w:rPr>
          <w:sz w:val="2"/>
          <w:szCs w:val="2"/>
        </w:rPr>
        <w:t> </w:t>
      </w:r>
    </w:p>
    <w:p>
      <w:pPr>
        <w:pStyle w:val="style62"/>
        <w:spacing w:after="280" w:before="280"/>
        <w:contextualSpacing w:val="false"/>
        <w:jc w:val="both"/>
        <w:rPr>
          <w:rFonts w:ascii="Arial" w:cs="Arial" w:hAnsi="Arial"/>
          <w:sz w:val="20"/>
          <w:szCs w:val="20"/>
          <w:u w:val="single"/>
        </w:rPr>
      </w:pPr>
      <w:r>
        <w:rPr>
          <w:rFonts w:ascii="Arial" w:cs="Arial" w:hAnsi="Arial"/>
          <w:sz w:val="20"/>
          <w:szCs w:val="20"/>
          <w:u w:val="single"/>
        </w:rPr>
        <w:t xml:space="preserve">Registered Shareholder Services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American Stock Transfer &amp; Trust Company (AST), our transfer agent, can help you with a variety of shareholder related services including: </w:t>
      </w:r>
    </w:p>
    <w:p>
      <w:pPr>
        <w:pStyle w:val="style62"/>
        <w:spacing w:after="280" w:before="280"/>
        <w:ind w:hanging="274" w:left="900"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Change of address </w:t>
      </w:r>
    </w:p>
    <w:p>
      <w:pPr>
        <w:pStyle w:val="style62"/>
        <w:spacing w:after="280" w:before="280"/>
        <w:ind w:hanging="274" w:left="900"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Lost stock certificates </w:t>
      </w:r>
    </w:p>
    <w:p>
      <w:pPr>
        <w:pStyle w:val="style62"/>
        <w:spacing w:after="280" w:before="280"/>
        <w:ind w:hanging="274" w:left="900" w:right="0"/>
        <w:contextualSpacing w:val="false"/>
        <w:jc w:val="both"/>
        <w:rPr>
          <w:rFonts w:ascii="Arial" w:cs="Arial" w:hAnsi="Arial"/>
          <w:sz w:val="20"/>
          <w:szCs w:val="20"/>
        </w:rPr>
      </w:pPr>
      <w:r>
        <w:rPr>
          <w:rFonts w:ascii="Arial" w:cs="Arial" w:hAnsi="Arial"/>
          <w:sz w:val="20"/>
          <w:szCs w:val="20"/>
        </w:rPr>
        <w:t xml:space="preserve">• </w:t>
      </w:r>
      <w:r>
        <w:rPr>
          <w:rFonts w:ascii="Arial" w:cs="Arial" w:hAnsi="Arial"/>
          <w:sz w:val="20"/>
          <w:szCs w:val="20"/>
        </w:rPr>
        <w:tab/>
        <w:t xml:space="preserve">Transfer of stock to another person </w:t>
      </w:r>
    </w:p>
    <w:p>
      <w:pPr>
        <w:pStyle w:val="style62"/>
        <w:spacing w:after="280" w:before="280"/>
        <w:ind w:hanging="274" w:left="900" w:right="0"/>
        <w:contextualSpacing w:val="false"/>
        <w:jc w:val="both"/>
        <w:rPr>
          <w:rFonts w:ascii="Arial" w:cs="Arial" w:hAnsi="Arial"/>
          <w:sz w:val="20"/>
          <w:szCs w:val="20"/>
        </w:rPr>
      </w:pPr>
      <w:r>
        <w:rPr>
          <w:rFonts w:ascii="Arial" w:cs="Arial" w:hAnsi="Arial"/>
          <w:sz w:val="20"/>
          <w:szCs w:val="20"/>
        </w:rPr>
        <w:t>•</w:t>
      </w:r>
      <w:r>
        <w:rPr>
          <w:rFonts w:ascii="Arial" w:cs="Arial" w:hAnsi="Arial"/>
          <w:sz w:val="20"/>
          <w:szCs w:val="20"/>
        </w:rPr>
        <w:tab/>
        <w:t xml:space="preserve">Additional administrative services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AST also administers a direct stock purchase plan and a dividend reinvestment program for the company.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To find out more about these services and programs you may contact AST directly at 800-285-7772, option 1 between the hours of 5:00 a.m. and 5:00 p.m. Pacific Time, Monday through Fridays, or visit AST online at: </w:t>
      </w:r>
    </w:p>
    <w:p>
      <w:pPr>
        <w:pStyle w:val="style62"/>
        <w:spacing w:after="280" w:before="280"/>
        <w:contextualSpacing w:val="false"/>
        <w:jc w:val="both"/>
        <w:rPr>
          <w:rFonts w:ascii="Arial" w:cs="Arial" w:hAnsi="Arial"/>
          <w:sz w:val="20"/>
          <w:szCs w:val="20"/>
        </w:rPr>
      </w:pPr>
      <w:r>
        <w:rPr>
          <w:rFonts w:ascii="Arial" w:cs="Arial" w:hAnsi="Arial"/>
          <w:sz w:val="20"/>
          <w:szCs w:val="20"/>
          <w:u w:val="single"/>
        </w:rPr>
        <w:t>http://www.amstock.com</w:t>
      </w:r>
      <w:r>
        <w:rPr>
          <w:rFonts w:ascii="Arial" w:cs="Arial" w:hAnsi="Arial"/>
          <w:sz w:val="20"/>
          <w:szCs w:val="20"/>
        </w:rPr>
        <w:t xml:space="preserv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You can e-mail the transfer agent at: </w:t>
      </w:r>
    </w:p>
    <w:p>
      <w:pPr>
        <w:pStyle w:val="style62"/>
        <w:spacing w:after="280" w:before="280"/>
        <w:contextualSpacing w:val="false"/>
        <w:jc w:val="both"/>
        <w:rPr>
          <w:rFonts w:ascii="Arial" w:cs="Arial" w:hAnsi="Arial"/>
          <w:sz w:val="20"/>
          <w:szCs w:val="20"/>
        </w:rPr>
      </w:pPr>
      <w:r>
        <w:rPr>
          <w:rFonts w:ascii="Arial" w:cs="Arial" w:hAnsi="Arial"/>
          <w:sz w:val="20"/>
          <w:szCs w:val="20"/>
          <w:u w:val="single"/>
        </w:rPr>
        <w:t>msft@amstock.com</w:t>
      </w:r>
      <w:r>
        <w:rPr>
          <w:rFonts w:ascii="Arial" w:cs="Arial" w:hAnsi="Arial"/>
          <w:sz w:val="20"/>
          <w:szCs w:val="20"/>
        </w:rPr>
        <w:t xml:space="preserv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You can also send mail to the transfer agent at: </w:t>
      </w:r>
    </w:p>
    <w:p>
      <w:pPr>
        <w:pStyle w:val="style62"/>
        <w:spacing w:after="280" w:before="280"/>
        <w:ind w:firstLine="405" w:left="0" w:right="0"/>
        <w:contextualSpacing w:val="false"/>
        <w:jc w:val="both"/>
        <w:rPr>
          <w:rFonts w:ascii="Arial" w:cs="Arial" w:hAnsi="Arial"/>
          <w:sz w:val="20"/>
          <w:szCs w:val="20"/>
        </w:rPr>
      </w:pPr>
      <w:r>
        <w:rPr>
          <w:rFonts w:ascii="Arial" w:cs="Arial" w:hAnsi="Arial"/>
          <w:sz w:val="20"/>
          <w:szCs w:val="20"/>
        </w:rPr>
        <w:t xml:space="preserve">Microsoft Corporation </w:t>
      </w:r>
    </w:p>
    <w:p>
      <w:pPr>
        <w:pStyle w:val="style62"/>
        <w:spacing w:after="280" w:before="280"/>
        <w:ind w:firstLine="405" w:left="0" w:right="0"/>
        <w:contextualSpacing w:val="false"/>
        <w:jc w:val="both"/>
        <w:rPr>
          <w:rFonts w:ascii="Arial" w:cs="Arial" w:hAnsi="Arial"/>
          <w:sz w:val="20"/>
          <w:szCs w:val="20"/>
        </w:rPr>
      </w:pPr>
      <w:r>
        <w:rPr>
          <w:rFonts w:ascii="Arial" w:cs="Arial" w:hAnsi="Arial"/>
          <w:sz w:val="20"/>
          <w:szCs w:val="20"/>
        </w:rPr>
        <w:t xml:space="preserve">c/o American Stock Transfer &amp; Trust Company </w:t>
      </w:r>
    </w:p>
    <w:p>
      <w:pPr>
        <w:pStyle w:val="style62"/>
        <w:spacing w:after="280" w:before="280"/>
        <w:ind w:firstLine="405" w:left="0" w:right="0"/>
        <w:contextualSpacing w:val="false"/>
        <w:jc w:val="both"/>
        <w:rPr>
          <w:rFonts w:ascii="Arial" w:cs="Arial" w:hAnsi="Arial"/>
          <w:sz w:val="20"/>
          <w:szCs w:val="20"/>
        </w:rPr>
      </w:pPr>
      <w:r>
        <w:rPr>
          <w:rFonts w:ascii="Arial" w:cs="Arial" w:hAnsi="Arial"/>
          <w:sz w:val="20"/>
          <w:szCs w:val="20"/>
        </w:rPr>
        <w:t xml:space="preserve">P.O. Box 2362 </w:t>
      </w:r>
    </w:p>
    <w:p>
      <w:pPr>
        <w:pStyle w:val="style62"/>
        <w:spacing w:after="280" w:before="280"/>
        <w:ind w:firstLine="405" w:left="0" w:right="0"/>
        <w:contextualSpacing w:val="false"/>
        <w:jc w:val="both"/>
        <w:rPr>
          <w:rFonts w:ascii="Arial" w:cs="Arial" w:hAnsi="Arial"/>
          <w:sz w:val="20"/>
          <w:szCs w:val="20"/>
        </w:rPr>
      </w:pPr>
      <w:r>
        <w:rPr>
          <w:rFonts w:ascii="Arial" w:cs="Arial" w:hAnsi="Arial"/>
          <w:sz w:val="20"/>
          <w:szCs w:val="20"/>
        </w:rPr>
        <w:t xml:space="preserve">New York, NY 10272-2362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Shareholders can sign up for electronic alerts to access the annual report and proxy statement online. The service gets you the information you need faster and also gives you the power and convenience of online proxy voting. To sign up for this free service, visit the Annual Report site on the Investor Relations website at: </w:t>
      </w:r>
    </w:p>
    <w:p>
      <w:pPr>
        <w:pStyle w:val="style62"/>
        <w:spacing w:after="280" w:before="280"/>
        <w:contextualSpacing w:val="false"/>
        <w:jc w:val="both"/>
        <w:rPr>
          <w:rFonts w:ascii="Arial" w:cs="Arial" w:hAnsi="Arial"/>
          <w:sz w:val="20"/>
          <w:szCs w:val="20"/>
        </w:rPr>
      </w:pPr>
      <w:r>
        <w:rPr>
          <w:rFonts w:ascii="Arial" w:cs="Arial" w:hAnsi="Arial"/>
          <w:sz w:val="20"/>
          <w:szCs w:val="20"/>
          <w:u w:val="single"/>
        </w:rPr>
        <w:t>http://www.microsoft.com/investor/AnnualReports/default.</w:t>
        <w:br/>
        <w:t>aspx</w:t>
      </w:r>
      <w:r>
        <w:rPr>
          <w:rFonts w:ascii="Arial" w:cs="Arial" w:hAnsi="Arial"/>
          <w:sz w:val="20"/>
          <w:szCs w:val="20"/>
        </w:rPr>
        <w:t xml:space="preserve"> </w:t>
      </w:r>
    </w:p>
    <w:p>
      <w:pPr>
        <w:pStyle w:val="style62"/>
        <w:spacing w:after="280" w:before="280"/>
        <w:contextualSpacing w:val="false"/>
        <w:jc w:val="both"/>
        <w:rPr>
          <w:rFonts w:ascii="Arial" w:cs="Arial" w:hAnsi="Arial"/>
          <w:sz w:val="20"/>
          <w:szCs w:val="20"/>
          <w:u w:val="single"/>
        </w:rPr>
      </w:pPr>
      <w:r>
        <w:rPr>
          <w:rFonts w:ascii="Arial" w:cs="Arial" w:hAnsi="Arial"/>
          <w:sz w:val="20"/>
          <w:szCs w:val="20"/>
          <w:u w:val="single"/>
        </w:rPr>
        <w:t xml:space="preserve">Corporate Citizenship </w:t>
      </w:r>
    </w:p>
    <w:p>
      <w:pPr>
        <w:pStyle w:val="style62"/>
        <w:spacing w:after="280" w:before="280"/>
        <w:contextualSpacing w:val="false"/>
        <w:jc w:val="both"/>
        <w:rPr>
          <w:rFonts w:ascii="Arial" w:cs="Arial" w:hAnsi="Arial"/>
          <w:sz w:val="20"/>
          <w:szCs w:val="20"/>
        </w:rPr>
      </w:pPr>
      <w:r>
        <w:rPr>
          <w:rFonts w:ascii="Arial" w:cs="Arial" w:hAnsi="Arial"/>
          <w:sz w:val="20"/>
          <w:szCs w:val="20"/>
        </w:rPr>
        <w:t xml:space="preserve">Our mission is to help people and businesses throughout the world realize their full potential. As the world’s largest software company, Microsoft helps to create social and economic opportunities wherever we work, live, and do business. Our technology innovations, our people, our partnerships, and our day-to-day business contribute to the prosperity of communities and the sustainability of the planet. Our commitment to good corporate citizenship reflects our belief that social and economic opportunity go hand in hand. When individuals, communities, and governments thrive, so do we. </w:t>
      </w:r>
    </w:p>
    <w:p>
      <w:pPr>
        <w:pStyle w:val="style62"/>
        <w:keepNext/>
        <w:spacing w:after="280" w:before="280"/>
        <w:contextualSpacing w:val="false"/>
        <w:jc w:val="both"/>
        <w:rPr>
          <w:rFonts w:ascii="Arial" w:cs="Arial" w:hAnsi="Arial"/>
          <w:sz w:val="20"/>
          <w:szCs w:val="20"/>
        </w:rPr>
      </w:pPr>
      <w:r>
        <w:rPr>
          <w:rFonts w:ascii="Arial" w:cs="Arial" w:hAnsi="Arial"/>
          <w:sz w:val="20"/>
          <w:szCs w:val="20"/>
        </w:rPr>
        <w:t xml:space="preserve">For more about Microsoft’s corporate citizenship, including the annual report, please visit the website at: </w:t>
      </w:r>
    </w:p>
    <w:p>
      <w:pPr>
        <w:pStyle w:val="style62"/>
        <w:spacing w:after="280" w:before="280"/>
        <w:contextualSpacing w:val="false"/>
        <w:jc w:val="both"/>
        <w:rPr>
          <w:rFonts w:ascii="Arial" w:cs="Arial" w:hAnsi="Arial"/>
          <w:sz w:val="20"/>
          <w:szCs w:val="20"/>
        </w:rPr>
      </w:pPr>
      <w:r>
        <w:rPr>
          <w:rFonts w:ascii="Arial" w:cs="Arial" w:hAnsi="Arial"/>
          <w:sz w:val="20"/>
          <w:szCs w:val="20"/>
          <w:u w:val="single"/>
        </w:rPr>
        <w:t>http://www.microsoft.com/about/corporatecitizenship</w:t>
      </w:r>
      <w:r>
        <w:rPr>
          <w:rFonts w:ascii="Arial" w:cs="Arial" w:hAnsi="Arial"/>
          <w:sz w:val="20"/>
          <w:szCs w:val="20"/>
        </w:rPr>
        <w:t xml:space="preserve"> </w:t>
      </w:r>
    </w:p>
    <w:p>
      <w:pPr>
        <w:pStyle w:val="style62"/>
        <w:spacing w:after="280" w:before="280"/>
        <w:contextualSpacing w:val="false"/>
        <w:jc w:val="both"/>
        <w:rPr>
          <w:sz w:val="2"/>
          <w:szCs w:val="2"/>
        </w:rPr>
      </w:pPr>
      <w:r>
        <w:rPr>
          <w:sz w:val="2"/>
          <w:szCs w:val="2"/>
        </w:rPr>
        <w:t> </w:t>
      </w:r>
    </w:p>
    <w:p>
      <w:pPr>
        <w:pStyle w:val="style62"/>
        <w:keepNext/>
        <w:spacing w:after="280" w:before="280"/>
        <w:contextualSpacing w:val="false"/>
        <w:jc w:val="both"/>
        <w:rPr>
          <w:sz w:val="18"/>
          <w:szCs w:val="18"/>
        </w:rPr>
      </w:pPr>
      <w:r>
        <w:rPr>
          <w:sz w:val="18"/>
          <w:szCs w:val="18"/>
        </w:rPr>
        <w:t> </w:t>
      </w:r>
    </w:p>
    <w:p>
      <w:pPr>
        <w:pStyle w:val="style62"/>
        <w:keepNext/>
        <w:spacing w:after="280" w:before="280"/>
        <w:contextualSpacing w:val="false"/>
        <w:jc w:val="both"/>
        <w:rPr>
          <w:sz w:val="180"/>
          <w:szCs w:val="180"/>
        </w:rPr>
      </w:pPr>
      <w:r>
        <w:rPr>
          <w:sz w:val="180"/>
          <w:szCs w:val="180"/>
        </w:rPr>
        <w:t> </w:t>
      </w:r>
    </w:p>
    <w:p>
      <w:pPr>
        <w:pStyle w:val="style62"/>
        <w:keepNext/>
        <w:spacing w:after="280" w:before="280"/>
        <w:contextualSpacing w:val="false"/>
        <w:jc w:val="both"/>
        <w:rPr>
          <w:sz w:val="180"/>
          <w:szCs w:val="180"/>
        </w:rPr>
      </w:pPr>
      <w:r>
        <w:rPr>
          <w:sz w:val="180"/>
          <w:szCs w:val="180"/>
        </w:rPr>
        <w:t> </w:t>
      </w:r>
    </w:p>
    <w:p>
      <w:pPr>
        <w:pStyle w:val="style62"/>
        <w:keepNext/>
        <w:spacing w:after="280" w:before="280"/>
        <w:contextualSpacing w:val="false"/>
        <w:jc w:val="both"/>
        <w:rPr>
          <w:sz w:val="180"/>
          <w:szCs w:val="180"/>
        </w:rPr>
      </w:pPr>
      <w:r>
        <w:rPr>
          <w:sz w:val="180"/>
          <w:szCs w:val="180"/>
        </w:rPr>
        <w:t> </w:t>
      </w:r>
    </w:p>
    <w:p>
      <w:pPr>
        <w:pStyle w:val="style62"/>
        <w:keepNext/>
        <w:spacing w:after="280" w:before="280"/>
        <w:contextualSpacing w:val="false"/>
        <w:jc w:val="both"/>
        <w:rPr>
          <w:sz w:val="180"/>
          <w:szCs w:val="180"/>
        </w:rPr>
      </w:pPr>
      <w:r>
        <w:rPr>
          <w:sz w:val="180"/>
          <w:szCs w:val="180"/>
        </w:rPr>
        <w:t> </w:t>
      </w:r>
    </w:p>
    <w:p>
      <w:pPr>
        <w:pStyle w:val="style62"/>
        <w:spacing w:after="280" w:before="280"/>
        <w:contextualSpacing w:val="false"/>
        <w:jc w:val="center"/>
        <w:rPr/>
      </w:pPr>
      <w:r>
        <w:rPr/>
        <w:drawing>
          <wp:inline distB="0" distL="0" distR="0" distT="0">
            <wp:extent cx="1666875" cy="762000"/>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18"/>
                    <a:srcRect/>
                    <a:stretch>
                      <a:fillRect/>
                    </a:stretch>
                  </pic:blipFill>
                  <pic:spPr bwMode="auto">
                    <a:xfrm>
                      <a:off x="0" y="0"/>
                      <a:ext cx="1666875" cy="762000"/>
                    </a:xfrm>
                    <a:prstGeom prst="rect">
                      <a:avLst/>
                    </a:prstGeom>
                    <a:noFill/>
                    <a:ln w="9525">
                      <a:noFill/>
                      <a:miter lim="800000"/>
                      <a:headEnd/>
                      <a:tailEnd/>
                    </a:ln>
                  </pic:spPr>
                </pic:pic>
              </a:graphicData>
            </a:graphic>
          </wp:inline>
        </w:drawing>
      </w:r>
    </w:p>
    <w:p>
      <w:pPr>
        <w:pStyle w:val="style0"/>
        <w:jc w:val="both"/>
        <w:rPr/>
      </w:pPr>
      <w:r>
        <w:rPr/>
      </w:r>
    </w:p>
    <w:p>
      <w:pPr>
        <w:pStyle w:val="style0"/>
        <w:rPr/>
      </w:pPr>
      <w:r>
        <w:rPr/>
      </w:r>
    </w:p>
    <w:sectPr>
      <w:type w:val="continuous"/>
      <w:pgSz w:h="15840" w:w="12240"/>
      <w:pgMar w:bottom="777" w:footer="720" w:gutter="0" w:header="720" w:left="720" w:right="720" w:top="777"/>
      <w:cols w:equalWidth="true" w:num="2" w:sep="true" w:space="288"/>
      <w:formProt w:val="false"/>
      <w:textDirection w:val="lrTb"/>
      <w:docGrid w:charSpace="0" w:linePitch="326"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01"/>
    <w:family w:val="roman"/>
    <w:pitch w:val="variable"/>
  </w:font>
  <w:font w:name="Arial">
    <w:charset w:val="01"/>
    <w:family w:val="swiss"/>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1"/>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1"/>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1"/>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rPr/>
    </w:pPr>
    <w:r>
      <w:rPr/>
    </w:r>
  </w:p>
</w:hdr>
</file>

<file path=word/settings.xml><?xml version="1.0" encoding="utf-8"?>
<w:settings xmlns:w="http://schemas.openxmlformats.org/wordprocessingml/2006/main">
  <w:zoom w:percent="100"/>
  <w:defaultTabStop w:val="720"/>
  <w:evenAndOddHeaders/>
</w:settings>
</file>

<file path=word/styles.xml><?xml version="1.0" encoding="utf-8"?>
<w:styles xmlns:w="http://schemas.openxmlformats.org/wordprocessingml/2006/main">
  <w:style w:styleId="style0" w:type="paragraph">
    <w:name w:val="Normal"/>
    <w:next w:val="style0"/>
    <w:pPr>
      <w:widowControl/>
      <w:suppressAutoHyphens w:val="true"/>
    </w:pPr>
    <w:rPr>
      <w:rFonts w:ascii="Times New Roman" w:cs="Times New Roman" w:eastAsia="Times New Roman" w:hAnsi="Times New Roman"/>
      <w:color w:val="auto"/>
      <w:sz w:val="24"/>
      <w:szCs w:val="20"/>
      <w:lang w:bidi="ar-SA" w:eastAsia="en-US" w:val="en-US"/>
    </w:rPr>
  </w:style>
  <w:style w:styleId="style15" w:type="character">
    <w:name w:val="Default Paragraph Font"/>
    <w:next w:val="style15"/>
    <w:rPr/>
  </w:style>
  <w:style w:styleId="style16" w:type="character">
    <w:name w:val="doubleunderlines"/>
    <w:next w:val="style16"/>
    <w:rPr>
      <w:u w:val="double"/>
    </w:rPr>
  </w:style>
  <w:style w:styleId="style17" w:type="character">
    <w:name w:val="page number"/>
    <w:basedOn w:val="style15"/>
    <w:next w:val="style17"/>
    <w:rPr/>
  </w:style>
  <w:style w:styleId="style18" w:type="character">
    <w:name w:val="Internet Link"/>
    <w:basedOn w:val="style15"/>
    <w:next w:val="style18"/>
    <w:rPr>
      <w:color w:val="0563C1"/>
      <w:u w:val="single"/>
      <w:lang w:bidi="zxx-" w:eastAsia="zxx-" w:val="zxx-"/>
    </w:rPr>
  </w:style>
  <w:style w:styleId="style19" w:type="paragraph">
    <w:name w:val="Heading"/>
    <w:basedOn w:val="style0"/>
    <w:next w:val="style20"/>
    <w:pPr>
      <w:keepNext/>
      <w:spacing w:after="120" w:before="240"/>
      <w:contextualSpacing w:val="false"/>
    </w:pPr>
    <w:rPr>
      <w:rFonts w:ascii="Arial" w:cs="Lohit Hindi" w:eastAsia="Droid Sans" w:hAnsi="Arial"/>
      <w:sz w:val="28"/>
      <w:szCs w:val="28"/>
    </w:rPr>
  </w:style>
  <w:style w:styleId="style20" w:type="paragraph">
    <w:name w:val="Text Body"/>
    <w:basedOn w:val="style0"/>
    <w:next w:val="style20"/>
    <w:pPr>
      <w:spacing w:after="120" w:before="0"/>
      <w:contextualSpacing w:val="false"/>
    </w:pPr>
    <w:rPr/>
  </w:style>
  <w:style w:styleId="style21" w:type="paragraph">
    <w:name w:val="List"/>
    <w:basedOn w:val="style20"/>
    <w:next w:val="style21"/>
    <w:pPr/>
    <w:rPr>
      <w:rFonts w:cs="Lohit Hindi"/>
    </w:rPr>
  </w:style>
  <w:style w:styleId="style22" w:type="paragraph">
    <w:name w:val="Caption"/>
    <w:basedOn w:val="style0"/>
    <w:next w:val="style22"/>
    <w:pPr>
      <w:suppressLineNumbers/>
      <w:spacing w:after="120" w:before="120"/>
      <w:contextualSpacing w:val="false"/>
    </w:pPr>
    <w:rPr>
      <w:rFonts w:cs="Lohit Hindi"/>
      <w:i/>
      <w:iCs/>
      <w:sz w:val="24"/>
      <w:szCs w:val="24"/>
    </w:rPr>
  </w:style>
  <w:style w:styleId="style23" w:type="paragraph">
    <w:name w:val="Index"/>
    <w:basedOn w:val="style0"/>
    <w:next w:val="style23"/>
    <w:pPr>
      <w:suppressLineNumbers/>
    </w:pPr>
    <w:rPr>
      <w:rFonts w:cs="Lohit Hindi"/>
    </w:rPr>
  </w:style>
  <w:style w:styleId="style24" w:type="paragraph">
    <w:name w:val="H1"/>
    <w:next w:val="style24"/>
    <w:pPr>
      <w:widowControl/>
      <w:suppressAutoHyphens w:val="true"/>
      <w:spacing w:line="240" w:lineRule="exact"/>
      <w:jc w:val="center"/>
    </w:pPr>
    <w:rPr>
      <w:rFonts w:ascii="Times New Roman" w:cs="Times New Roman" w:eastAsia="Times New Roman" w:hAnsi="Times New Roman"/>
      <w:b/>
      <w:color w:val="auto"/>
      <w:sz w:val="20"/>
      <w:szCs w:val="20"/>
      <w:lang w:bidi="ar-SA" w:eastAsia="en-US" w:val="en-US"/>
    </w:rPr>
  </w:style>
  <w:style w:styleId="style25" w:type="paragraph">
    <w:name w:val="H2"/>
    <w:next w:val="style25"/>
    <w:pPr>
      <w:widowControl/>
      <w:suppressAutoHyphens w:val="true"/>
      <w:spacing w:line="240" w:lineRule="exact"/>
    </w:pPr>
    <w:rPr>
      <w:rFonts w:ascii="Times New Roman" w:cs="Times New Roman" w:eastAsia="Times New Roman" w:hAnsi="Times New Roman"/>
      <w:b/>
      <w:color w:val="auto"/>
      <w:sz w:val="20"/>
      <w:szCs w:val="20"/>
      <w:lang w:bidi="ar-SA" w:eastAsia="en-US" w:val="en-US"/>
    </w:rPr>
  </w:style>
  <w:style w:styleId="style26" w:type="paragraph">
    <w:name w:val="H3"/>
    <w:next w:val="style26"/>
    <w:pPr>
      <w:widowControl/>
      <w:suppressAutoHyphens w:val="true"/>
      <w:spacing w:line="240" w:lineRule="exact"/>
      <w:jc w:val="right"/>
    </w:pPr>
    <w:rPr>
      <w:rFonts w:ascii="Times New Roman" w:cs="Times New Roman" w:eastAsia="Times New Roman" w:hAnsi="Times New Roman"/>
      <w:b/>
      <w:color w:val="auto"/>
      <w:sz w:val="20"/>
      <w:szCs w:val="20"/>
      <w:lang w:bidi="ar-SA" w:eastAsia="en-US" w:val="en-US"/>
    </w:rPr>
  </w:style>
  <w:style w:styleId="style27" w:type="paragraph">
    <w:name w:val="H4"/>
    <w:next w:val="style27"/>
    <w:pPr>
      <w:widowControl/>
      <w:suppressAutoHyphens w:val="true"/>
      <w:spacing w:line="240" w:lineRule="exact"/>
      <w:jc w:val="center"/>
    </w:pPr>
    <w:rPr>
      <w:rFonts w:ascii="Times New Roman" w:cs="Times New Roman" w:eastAsia="Times New Roman" w:hAnsi="Times New Roman"/>
      <w:i/>
      <w:color w:val="auto"/>
      <w:sz w:val="20"/>
      <w:szCs w:val="20"/>
      <w:lang w:bidi="ar-SA" w:eastAsia="en-US" w:val="en-US"/>
    </w:rPr>
  </w:style>
  <w:style w:styleId="style28" w:type="paragraph">
    <w:name w:val="H4X"/>
    <w:next w:val="style28"/>
    <w:pPr>
      <w:widowControl/>
      <w:suppressAutoHyphens w:val="true"/>
      <w:spacing w:line="240" w:lineRule="exact"/>
      <w:jc w:val="center"/>
    </w:pPr>
    <w:rPr>
      <w:rFonts w:ascii="Times New Roman" w:cs="Times New Roman" w:eastAsia="Times New Roman" w:hAnsi="Times New Roman"/>
      <w:b/>
      <w:i/>
      <w:color w:val="auto"/>
      <w:sz w:val="20"/>
      <w:szCs w:val="20"/>
      <w:lang w:bidi="ar-SA" w:eastAsia="en-US" w:val="en-US"/>
    </w:rPr>
  </w:style>
  <w:style w:styleId="style29" w:type="paragraph">
    <w:name w:val="H5"/>
    <w:next w:val="style29"/>
    <w:pPr>
      <w:widowControl/>
      <w:suppressAutoHyphens w:val="true"/>
      <w:spacing w:line="240" w:lineRule="exact"/>
    </w:pPr>
    <w:rPr>
      <w:rFonts w:ascii="Times New Roman" w:cs="Times New Roman" w:eastAsia="Times New Roman" w:hAnsi="Times New Roman"/>
      <w:i/>
      <w:color w:val="auto"/>
      <w:sz w:val="20"/>
      <w:szCs w:val="20"/>
      <w:lang w:bidi="ar-SA" w:eastAsia="en-US" w:val="en-US"/>
    </w:rPr>
  </w:style>
  <w:style w:styleId="style30" w:type="paragraph">
    <w:name w:val="H5X"/>
    <w:next w:val="style30"/>
    <w:pPr>
      <w:widowControl/>
      <w:suppressAutoHyphens w:val="true"/>
      <w:spacing w:line="240" w:lineRule="exact"/>
    </w:pPr>
    <w:rPr>
      <w:rFonts w:ascii="Times New Roman" w:cs="Times New Roman" w:eastAsia="Times New Roman" w:hAnsi="Times New Roman"/>
      <w:b/>
      <w:i/>
      <w:color w:val="auto"/>
      <w:sz w:val="20"/>
      <w:szCs w:val="20"/>
      <w:lang w:bidi="ar-SA" w:eastAsia="en-US" w:val="en-US"/>
    </w:rPr>
  </w:style>
  <w:style w:styleId="style31" w:type="paragraph">
    <w:name w:val="H6"/>
    <w:next w:val="style31"/>
    <w:pPr>
      <w:widowControl/>
      <w:suppressAutoHyphens w:val="true"/>
      <w:spacing w:line="240" w:lineRule="exact"/>
      <w:jc w:val="right"/>
    </w:pPr>
    <w:rPr>
      <w:rFonts w:ascii="Times New Roman" w:cs="Times New Roman" w:eastAsia="Times New Roman" w:hAnsi="Times New Roman"/>
      <w:i/>
      <w:color w:val="auto"/>
      <w:sz w:val="20"/>
      <w:szCs w:val="20"/>
      <w:lang w:bidi="ar-SA" w:eastAsia="en-US" w:val="en-US"/>
    </w:rPr>
  </w:style>
  <w:style w:styleId="style32" w:type="paragraph">
    <w:name w:val="H6X"/>
    <w:next w:val="style32"/>
    <w:pPr>
      <w:widowControl/>
      <w:suppressAutoHyphens w:val="true"/>
      <w:spacing w:line="240" w:lineRule="exact"/>
      <w:jc w:val="right"/>
    </w:pPr>
    <w:rPr>
      <w:rFonts w:ascii="Times New Roman" w:cs="Times New Roman" w:eastAsia="Times New Roman" w:hAnsi="Times New Roman"/>
      <w:b/>
      <w:i/>
      <w:color w:val="auto"/>
      <w:sz w:val="20"/>
      <w:szCs w:val="20"/>
      <w:lang w:bidi="ar-SA" w:eastAsia="en-US" w:val="en-US"/>
    </w:rPr>
  </w:style>
  <w:style w:styleId="style33" w:type="paragraph">
    <w:name w:val="H7"/>
    <w:next w:val="style33"/>
    <w:pPr>
      <w:widowControl/>
      <w:suppressAutoHyphens w:val="true"/>
      <w:spacing w:line="240" w:lineRule="exact"/>
      <w:jc w:val="center"/>
    </w:pPr>
    <w:rPr>
      <w:rFonts w:ascii="Times New Roman" w:cs="Times New Roman" w:eastAsia="Times New Roman" w:hAnsi="Times New Roman"/>
      <w:color w:val="auto"/>
      <w:sz w:val="20"/>
      <w:szCs w:val="20"/>
      <w:lang w:bidi="ar-SA" w:eastAsia="en-US" w:val="en-US"/>
    </w:rPr>
  </w:style>
  <w:style w:styleId="style34" w:type="paragraph">
    <w:name w:val="H8"/>
    <w:next w:val="style34"/>
    <w:pPr>
      <w:widowControl/>
      <w:suppressAutoHyphens w:val="true"/>
      <w:spacing w:line="240" w:lineRule="exact"/>
    </w:pPr>
    <w:rPr>
      <w:rFonts w:ascii="Times New Roman" w:cs="Times New Roman" w:eastAsia="Times New Roman" w:hAnsi="Times New Roman"/>
      <w:color w:val="auto"/>
      <w:sz w:val="20"/>
      <w:szCs w:val="20"/>
      <w:lang w:bidi="ar-SA" w:eastAsia="en-US" w:val="en-US"/>
    </w:rPr>
  </w:style>
  <w:style w:styleId="style35" w:type="paragraph">
    <w:name w:val="H9"/>
    <w:next w:val="style35"/>
    <w:pPr>
      <w:widowControl/>
      <w:suppressAutoHyphens w:val="true"/>
      <w:spacing w:line="240" w:lineRule="exact"/>
      <w:jc w:val="right"/>
    </w:pPr>
    <w:rPr>
      <w:rFonts w:ascii="Times New Roman" w:cs="Times New Roman" w:eastAsia="Times New Roman" w:hAnsi="Times New Roman"/>
      <w:color w:val="auto"/>
      <w:sz w:val="20"/>
      <w:szCs w:val="20"/>
      <w:lang w:bidi="ar-SA" w:eastAsia="en-US" w:val="en-US"/>
    </w:rPr>
  </w:style>
  <w:style w:styleId="style36" w:type="paragraph">
    <w:name w:val="I1"/>
    <w:next w:val="style36"/>
    <w:pPr>
      <w:widowControl/>
      <w:suppressAutoHyphens w:val="true"/>
      <w:spacing w:line="240" w:lineRule="exact"/>
      <w:ind w:hanging="0" w:left="240" w:right="0"/>
    </w:pPr>
    <w:rPr>
      <w:rFonts w:ascii="Times New Roman" w:cs="Times New Roman" w:eastAsia="Times New Roman" w:hAnsi="Times New Roman"/>
      <w:color w:val="auto"/>
      <w:sz w:val="20"/>
      <w:szCs w:val="20"/>
      <w:lang w:bidi="ar-SA" w:eastAsia="en-US" w:val="en-US"/>
    </w:rPr>
  </w:style>
  <w:style w:styleId="style37" w:type="paragraph">
    <w:name w:val="I2"/>
    <w:next w:val="style37"/>
    <w:pPr>
      <w:widowControl/>
      <w:suppressAutoHyphens w:val="true"/>
      <w:spacing w:line="240" w:lineRule="exact"/>
      <w:ind w:hanging="0" w:left="480" w:right="0"/>
    </w:pPr>
    <w:rPr>
      <w:rFonts w:ascii="Times New Roman" w:cs="Times New Roman" w:eastAsia="Times New Roman" w:hAnsi="Times New Roman"/>
      <w:color w:val="auto"/>
      <w:sz w:val="20"/>
      <w:szCs w:val="20"/>
      <w:lang w:bidi="ar-SA" w:eastAsia="en-US" w:val="en-US"/>
    </w:rPr>
  </w:style>
  <w:style w:styleId="style38" w:type="paragraph">
    <w:name w:val="I3"/>
    <w:next w:val="style38"/>
    <w:pPr>
      <w:widowControl/>
      <w:suppressAutoHyphens w:val="true"/>
      <w:spacing w:line="240" w:lineRule="exact"/>
      <w:ind w:hanging="0" w:left="720" w:right="0"/>
    </w:pPr>
    <w:rPr>
      <w:rFonts w:ascii="Times New Roman" w:cs="Times New Roman" w:eastAsia="Times New Roman" w:hAnsi="Times New Roman"/>
      <w:color w:val="auto"/>
      <w:sz w:val="20"/>
      <w:szCs w:val="20"/>
      <w:lang w:bidi="ar-SA" w:eastAsia="en-US" w:val="en-US"/>
    </w:rPr>
  </w:style>
  <w:style w:styleId="style39" w:type="paragraph">
    <w:name w:val="I4"/>
    <w:next w:val="style39"/>
    <w:pPr>
      <w:widowControl/>
      <w:suppressAutoHyphens w:val="true"/>
      <w:spacing w:line="240" w:lineRule="exact"/>
      <w:ind w:hanging="0" w:left="960" w:right="0"/>
    </w:pPr>
    <w:rPr>
      <w:rFonts w:ascii="Times New Roman" w:cs="Times New Roman" w:eastAsia="Times New Roman" w:hAnsi="Times New Roman"/>
      <w:color w:val="auto"/>
      <w:sz w:val="20"/>
      <w:szCs w:val="20"/>
      <w:lang w:bidi="ar-SA" w:eastAsia="en-US" w:val="en-US"/>
    </w:rPr>
  </w:style>
  <w:style w:styleId="style40" w:type="paragraph">
    <w:name w:val="IH1"/>
    <w:next w:val="style40"/>
    <w:pPr>
      <w:widowControl/>
      <w:suppressAutoHyphens w:val="true"/>
      <w:spacing w:line="240" w:lineRule="exact"/>
      <w:ind w:hanging="200" w:left="200" w:right="0"/>
    </w:pPr>
    <w:rPr>
      <w:rFonts w:ascii="Times New Roman" w:cs="Times New Roman" w:eastAsia="Times New Roman" w:hAnsi="Times New Roman"/>
      <w:color w:val="auto"/>
      <w:sz w:val="20"/>
      <w:szCs w:val="20"/>
      <w:lang w:bidi="ar-SA" w:eastAsia="en-US" w:val="en-US"/>
    </w:rPr>
  </w:style>
  <w:style w:styleId="style41" w:type="paragraph">
    <w:name w:val="IH2"/>
    <w:next w:val="style41"/>
    <w:pPr>
      <w:widowControl/>
      <w:suppressAutoHyphens w:val="true"/>
      <w:ind w:hanging="400" w:left="400" w:right="0"/>
    </w:pPr>
    <w:rPr>
      <w:rFonts w:ascii="Times New Roman" w:cs="Times New Roman" w:eastAsia="Times New Roman" w:hAnsi="Times New Roman"/>
      <w:color w:val="auto"/>
      <w:sz w:val="20"/>
      <w:szCs w:val="20"/>
      <w:lang w:bidi="ar-SA" w:eastAsia="en-US" w:val="en-US"/>
    </w:rPr>
  </w:style>
  <w:style w:styleId="style42" w:type="paragraph">
    <w:name w:val="IH3"/>
    <w:next w:val="style42"/>
    <w:pPr>
      <w:widowControl/>
      <w:tabs>
        <w:tab w:leader="none" w:pos="2" w:val="left"/>
      </w:tabs>
      <w:suppressAutoHyphens w:val="true"/>
      <w:spacing w:line="240" w:lineRule="exact"/>
      <w:ind w:hanging="500" w:left="500" w:right="0"/>
    </w:pPr>
    <w:rPr>
      <w:rFonts w:ascii="Times New Roman" w:cs="Times New Roman" w:eastAsia="Times New Roman" w:hAnsi="Times New Roman"/>
      <w:color w:val="auto"/>
      <w:sz w:val="20"/>
      <w:szCs w:val="20"/>
      <w:lang w:bidi="ar-SA" w:eastAsia="en-US" w:val="en-US"/>
    </w:rPr>
  </w:style>
  <w:style w:styleId="style43" w:type="paragraph">
    <w:name w:val="P1"/>
    <w:next w:val="style43"/>
    <w:pPr>
      <w:widowControl/>
      <w:suppressAutoHyphens w:val="true"/>
      <w:spacing w:line="240" w:lineRule="exact"/>
    </w:pPr>
    <w:rPr>
      <w:rFonts w:ascii="Times New Roman" w:cs="Times New Roman" w:eastAsia="Times New Roman" w:hAnsi="Times New Roman"/>
      <w:color w:val="auto"/>
      <w:sz w:val="20"/>
      <w:szCs w:val="20"/>
      <w:lang w:bidi="ar-SA" w:eastAsia="en-US" w:val="en-US"/>
    </w:rPr>
  </w:style>
  <w:style w:styleId="style44" w:type="paragraph">
    <w:name w:val="P2"/>
    <w:next w:val="style44"/>
    <w:pPr>
      <w:widowControl/>
      <w:suppressAutoHyphens w:val="true"/>
      <w:spacing w:line="240" w:lineRule="exact"/>
    </w:pPr>
    <w:rPr>
      <w:rFonts w:ascii="Times New Roman" w:cs="Times New Roman" w:eastAsia="Times New Roman" w:hAnsi="Times New Roman"/>
      <w:b/>
      <w:color w:val="auto"/>
      <w:sz w:val="20"/>
      <w:szCs w:val="20"/>
      <w:lang w:bidi="ar-SA" w:eastAsia="en-US" w:val="en-US"/>
    </w:rPr>
  </w:style>
  <w:style w:styleId="style45" w:type="paragraph">
    <w:name w:val="P3"/>
    <w:next w:val="style45"/>
    <w:pPr>
      <w:widowControl/>
      <w:suppressAutoHyphens w:val="true"/>
      <w:spacing w:line="240" w:lineRule="exact"/>
    </w:pPr>
    <w:rPr>
      <w:rFonts w:ascii="Times New Roman" w:cs="Times New Roman" w:eastAsia="Times New Roman" w:hAnsi="Times New Roman"/>
      <w:i/>
      <w:color w:val="auto"/>
      <w:sz w:val="20"/>
      <w:szCs w:val="20"/>
      <w:lang w:bidi="ar-SA" w:eastAsia="en-US" w:val="en-US"/>
    </w:rPr>
  </w:style>
  <w:style w:styleId="style46" w:type="paragraph">
    <w:name w:val="P4"/>
    <w:next w:val="style46"/>
    <w:pPr>
      <w:widowControl/>
      <w:suppressAutoHyphens w:val="true"/>
      <w:spacing w:line="240" w:lineRule="exact"/>
    </w:pPr>
    <w:rPr>
      <w:rFonts w:ascii="Times New Roman" w:cs="Times New Roman" w:eastAsia="Times New Roman" w:hAnsi="Times New Roman"/>
      <w:b/>
      <w:i/>
      <w:color w:val="auto"/>
      <w:sz w:val="20"/>
      <w:szCs w:val="20"/>
      <w:lang w:bidi="ar-SA" w:eastAsia="en-US" w:val="en-US"/>
    </w:rPr>
  </w:style>
  <w:style w:styleId="style47" w:type="paragraph">
    <w:name w:val="LP10"/>
    <w:next w:val="style47"/>
    <w:pPr>
      <w:widowControl/>
      <w:suppressAutoHyphens w:val="true"/>
    </w:pPr>
    <w:rPr>
      <w:rFonts w:ascii="Times New Roman" w:cs="Times New Roman" w:eastAsia="Times New Roman" w:hAnsi="Times New Roman"/>
      <w:color w:val="auto"/>
      <w:sz w:val="20"/>
      <w:szCs w:val="20"/>
      <w:lang w:bidi="ar-SA" w:eastAsia="en-US" w:val="en-US"/>
    </w:rPr>
  </w:style>
  <w:style w:styleId="style48" w:type="paragraph">
    <w:name w:val="LP4"/>
    <w:next w:val="style48"/>
    <w:pPr>
      <w:widowControl/>
      <w:suppressAutoHyphens w:val="true"/>
    </w:pPr>
    <w:rPr>
      <w:rFonts w:ascii="Times New Roman" w:cs="Times New Roman" w:eastAsia="Times New Roman" w:hAnsi="Times New Roman"/>
      <w:color w:val="auto"/>
      <w:sz w:val="8"/>
      <w:szCs w:val="20"/>
      <w:lang w:bidi="ar-SA" w:eastAsia="en-US" w:val="en-US"/>
    </w:rPr>
  </w:style>
  <w:style w:styleId="style49" w:type="paragraph">
    <w:name w:val="LP6"/>
    <w:next w:val="style49"/>
    <w:pPr>
      <w:widowControl/>
      <w:suppressAutoHyphens w:val="true"/>
      <w:spacing w:line="120" w:lineRule="exact"/>
      <w:jc w:val="both"/>
    </w:pPr>
    <w:rPr>
      <w:rFonts w:ascii="Times New Roman" w:cs="Times New Roman" w:eastAsia="Times New Roman" w:hAnsi="Times New Roman"/>
      <w:color w:val="auto"/>
      <w:sz w:val="12"/>
      <w:szCs w:val="20"/>
      <w:lang w:bidi="ar-SA" w:eastAsia="en-US" w:val="en-US"/>
    </w:rPr>
  </w:style>
  <w:style w:styleId="style50" w:type="paragraph">
    <w:name w:val="LP8"/>
    <w:next w:val="style50"/>
    <w:pPr>
      <w:widowControl/>
      <w:suppressAutoHyphens w:val="true"/>
    </w:pPr>
    <w:rPr>
      <w:rFonts w:ascii="Times New Roman" w:cs="Times New Roman" w:eastAsia="Times New Roman" w:hAnsi="Times New Roman"/>
      <w:color w:val="auto"/>
      <w:sz w:val="16"/>
      <w:szCs w:val="20"/>
      <w:lang w:bidi="ar-SA" w:eastAsia="en-US" w:val="en-US"/>
    </w:rPr>
  </w:style>
  <w:style w:styleId="style51" w:type="paragraph">
    <w:name w:val="LP12"/>
    <w:next w:val="style51"/>
    <w:pPr>
      <w:widowControl/>
      <w:suppressAutoHyphens w:val="true"/>
      <w:spacing w:line="240" w:lineRule="exact"/>
      <w:jc w:val="both"/>
    </w:pPr>
    <w:rPr>
      <w:rFonts w:ascii="Times New Roman" w:cs="Times New Roman" w:eastAsia="Times New Roman" w:hAnsi="Times New Roman"/>
      <w:color w:val="auto"/>
      <w:sz w:val="24"/>
      <w:szCs w:val="20"/>
      <w:lang w:bidi="ar-SA" w:eastAsia="en-US" w:val="en-US"/>
    </w:rPr>
  </w:style>
  <w:style w:styleId="style52" w:type="paragraph">
    <w:name w:val="LP24"/>
    <w:next w:val="style52"/>
    <w:pPr>
      <w:widowControl/>
      <w:suppressAutoHyphens w:val="true"/>
      <w:spacing w:line="480" w:lineRule="exact"/>
      <w:jc w:val="both"/>
    </w:pPr>
    <w:rPr>
      <w:rFonts w:ascii="Times New Roman" w:cs="Times New Roman" w:eastAsia="Times New Roman" w:hAnsi="Times New Roman"/>
      <w:color w:val="auto"/>
      <w:sz w:val="48"/>
      <w:szCs w:val="20"/>
      <w:lang w:bidi="ar-SA" w:eastAsia="en-US" w:val="en-US"/>
    </w:rPr>
  </w:style>
  <w:style w:styleId="style53" w:type="paragraph">
    <w:name w:val="LP18"/>
    <w:next w:val="style53"/>
    <w:pPr>
      <w:widowControl/>
      <w:suppressAutoHyphens w:val="true"/>
      <w:spacing w:line="360" w:lineRule="exact"/>
      <w:jc w:val="both"/>
    </w:pPr>
    <w:rPr>
      <w:rFonts w:ascii="Times New Roman" w:cs="Times New Roman" w:eastAsia="Times New Roman" w:hAnsi="Times New Roman"/>
      <w:color w:val="auto"/>
      <w:sz w:val="36"/>
      <w:szCs w:val="20"/>
      <w:lang w:bidi="ar-SA" w:eastAsia="en-US" w:val="en-US"/>
    </w:rPr>
  </w:style>
  <w:style w:styleId="style54" w:type="paragraph">
    <w:name w:val="C8H"/>
    <w:next w:val="style54"/>
    <w:pPr>
      <w:widowControl/>
      <w:suppressAutoHyphens w:val="true"/>
      <w:spacing w:line="160" w:lineRule="exact"/>
      <w:jc w:val="center"/>
    </w:pPr>
    <w:rPr>
      <w:rFonts w:ascii="Times New Roman" w:cs="Times New Roman" w:eastAsia="Times New Roman" w:hAnsi="Times New Roman"/>
      <w:b/>
      <w:color w:val="auto"/>
      <w:sz w:val="16"/>
      <w:szCs w:val="20"/>
      <w:lang w:bidi="ar-SA" w:eastAsia="en-US" w:val="en-US"/>
    </w:rPr>
  </w:style>
  <w:style w:styleId="style55" w:type="paragraph">
    <w:name w:val="ST10"/>
    <w:next w:val="style55"/>
    <w:pPr>
      <w:widowControl/>
      <w:suppressAutoHyphens w:val="true"/>
      <w:spacing w:line="240" w:lineRule="exact"/>
    </w:pPr>
    <w:rPr>
      <w:rFonts w:ascii="Times New Roman" w:cs="Times New Roman" w:eastAsia="Times New Roman" w:hAnsi="Times New Roman"/>
      <w:color w:val="auto"/>
      <w:sz w:val="20"/>
      <w:szCs w:val="20"/>
      <w:lang w:bidi="ar-SA" w:eastAsia="en-US" w:val="en-US"/>
    </w:rPr>
  </w:style>
  <w:style w:styleId="style56" w:type="paragraph">
    <w:name w:val="C10"/>
    <w:next w:val="style56"/>
    <w:pPr>
      <w:widowControl/>
      <w:suppressAutoHyphens w:val="true"/>
      <w:spacing w:line="240" w:lineRule="exact"/>
      <w:jc w:val="right"/>
    </w:pPr>
    <w:rPr>
      <w:rFonts w:ascii="Times New Roman" w:cs="Times New Roman" w:eastAsia="Times New Roman" w:hAnsi="Times New Roman"/>
      <w:color w:val="auto"/>
      <w:sz w:val="20"/>
      <w:szCs w:val="20"/>
      <w:lang w:bidi="ar-SA" w:eastAsia="en-US" w:val="en-US"/>
    </w:rPr>
  </w:style>
  <w:style w:styleId="style57" w:type="paragraph">
    <w:name w:val="TABLE"/>
    <w:basedOn w:val="style0"/>
    <w:next w:val="style57"/>
    <w:pPr>
      <w:spacing w:line="240" w:lineRule="exact"/>
    </w:pPr>
    <w:rPr>
      <w:sz w:val="20"/>
    </w:rPr>
  </w:style>
  <w:style w:styleId="style58" w:type="paragraph">
    <w:name w:val="rrdColumnRule_Style"/>
    <w:basedOn w:val="style0"/>
    <w:next w:val="style58"/>
    <w:pPr>
      <w:pBdr>
        <w:top w:color="00000A" w:space="0" w:sz="6" w:val="single"/>
        <w:left w:val="nil"/>
        <w:bottom w:val="nil"/>
        <w:insideH w:val="nil"/>
        <w:right w:val="nil"/>
        <w:insideV w:val="nil"/>
      </w:pBdr>
      <w:spacing w:after="0" w:before="20" w:line="40" w:lineRule="exact"/>
      <w:contextualSpacing w:val="false"/>
      <w:jc w:val="center"/>
    </w:pPr>
    <w:rPr>
      <w:sz w:val="8"/>
      <w:szCs w:val="8"/>
    </w:rPr>
  </w:style>
  <w:style w:styleId="style59" w:type="paragraph">
    <w:name w:val="rrdsinglerule"/>
    <w:basedOn w:val="style0"/>
    <w:next w:val="style59"/>
    <w:pPr>
      <w:pBdr>
        <w:top w:color="00000A" w:space="0" w:sz="8" w:val="single"/>
        <w:left w:val="nil"/>
        <w:bottom w:val="nil"/>
        <w:insideH w:val="nil"/>
        <w:right w:val="nil"/>
        <w:insideV w:val="nil"/>
      </w:pBdr>
      <w:spacing w:after="0" w:before="20" w:line="20" w:lineRule="exact"/>
      <w:contextualSpacing w:val="false"/>
      <w:jc w:val="center"/>
    </w:pPr>
    <w:rPr>
      <w:sz w:val="8"/>
      <w:szCs w:val="8"/>
    </w:rPr>
  </w:style>
  <w:style w:styleId="style60" w:type="paragraph">
    <w:name w:val="Header"/>
    <w:basedOn w:val="style0"/>
    <w:next w:val="style60"/>
    <w:pPr>
      <w:tabs>
        <w:tab w:leader="none" w:pos="4320" w:val="center"/>
        <w:tab w:leader="none" w:pos="8640" w:val="right"/>
      </w:tabs>
    </w:pPr>
    <w:rPr/>
  </w:style>
  <w:style w:styleId="style61" w:type="paragraph">
    <w:name w:val="Footer"/>
    <w:basedOn w:val="style0"/>
    <w:next w:val="style61"/>
    <w:pPr>
      <w:tabs>
        <w:tab w:leader="none" w:pos="4320" w:val="center"/>
        <w:tab w:leader="none" w:pos="8640" w:val="right"/>
      </w:tabs>
    </w:pPr>
    <w:rPr/>
  </w:style>
  <w:style w:styleId="style62" w:type="paragraph">
    <w:name w:val="Normal (Web)"/>
    <w:basedOn w:val="style0"/>
    <w:next w:val="style62"/>
    <w:pPr>
      <w:spacing w:after="280" w:before="280"/>
      <w:contextualSpacing w:val="false"/>
    </w:pPr>
    <w:rPr>
      <w:szCs w:val="24"/>
    </w:rPr>
  </w:style>
  <w:style w:styleId="style63" w:type="paragraph">
    <w:name w:val="rrddoublerule"/>
    <w:basedOn w:val="style59"/>
    <w:next w:val="style63"/>
    <w:pPr>
      <w:pBdr>
        <w:top w:color="00000A" w:space="0" w:sz="6" w:val="double"/>
        <w:left w:val="nil"/>
        <w:bottom w:val="nil"/>
        <w:insideH w:val="nil"/>
        <w:right w:val="nil"/>
        <w:insideV w:val="nil"/>
      </w:pBdr>
    </w:pPr>
    <w:rPr/>
  </w:style>
  <w:style w:styleId="style64" w:type="paragraph">
    <w:name w:val="LA4"/>
    <w:basedOn w:val="style0"/>
    <w:next w:val="style64"/>
    <w:pPr>
      <w:spacing w:line="80" w:lineRule="exact"/>
    </w:pPr>
    <w:rPr>
      <w:sz w:val="8"/>
      <w:szCs w:val="8"/>
    </w:rPr>
  </w:style>
  <w:style w:styleId="style65" w:type="paragraph">
    <w:name w:val="la2"/>
    <w:basedOn w:val="style48"/>
    <w:next w:val="style65"/>
    <w:pPr>
      <w:spacing w:line="40" w:lineRule="exact"/>
    </w:pPr>
    <w:rPr>
      <w:szCs w:val="8"/>
    </w:rPr>
  </w:style>
  <w:style w:styleId="style66" w:type="paragraph">
    <w:name w:val="rco"/>
    <w:next w:val="style66"/>
    <w:pPr>
      <w:widowControl/>
      <w:pBdr>
        <w:top w:val="nil"/>
        <w:left w:val="nil"/>
        <w:bottom w:color="00000A" w:space="0" w:sz="8" w:val="single"/>
        <w:insideH w:color="00000A" w:space="0" w:sz="8" w:val="single"/>
        <w:right w:val="nil"/>
        <w:insideV w:val="nil"/>
      </w:pBdr>
      <w:suppressAutoHyphens w:val="true"/>
      <w:spacing w:line="80" w:lineRule="exact"/>
      <w:ind w:hanging="0" w:left="4320" w:right="4320"/>
      <w:jc w:val="center"/>
    </w:pPr>
    <w:rPr>
      <w:rFonts w:ascii="Times New Roman" w:cs="Times New Roman" w:eastAsia="Times New Roman" w:hAnsi="Times New Roman"/>
      <w:color w:val="auto"/>
      <w:sz w:val="12"/>
      <w:szCs w:val="20"/>
      <w:lang w:bidi="ar-SA" w:eastAsia="en-US" w:val="en-US"/>
    </w:rPr>
  </w:style>
  <w:style w:styleId="style67" w:type="paragraph">
    <w:name w:val="rfn"/>
    <w:next w:val="style67"/>
    <w:pPr>
      <w:widowControl/>
      <w:pBdr>
        <w:top w:val="nil"/>
        <w:left w:val="nil"/>
        <w:bottom w:color="00000A" w:space="0" w:sz="6" w:val="single"/>
        <w:insideH w:color="00000A" w:space="0" w:sz="6" w:val="single"/>
        <w:right w:val="nil"/>
        <w:insideV w:val="nil"/>
      </w:pBdr>
      <w:suppressAutoHyphens w:val="true"/>
      <w:spacing w:after="60" w:before="0" w:line="120" w:lineRule="exact"/>
      <w:ind w:hanging="0" w:left="0" w:right="7200"/>
      <w:contextualSpacing w:val="false"/>
    </w:pPr>
    <w:rPr>
      <w:rFonts w:ascii="Times New Roman" w:cs="Times New Roman" w:eastAsia="Times New Roman" w:hAnsi="Times New Roman"/>
      <w:color w:val="auto"/>
      <w:sz w:val="12"/>
      <w:szCs w:val="20"/>
      <w:lang w:bidi="ar-SA" w:eastAsia="en-US" w:val="en-U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http://www.microsoft.com/en-us/news/press/2013/jul13/07-11onemicrosoft.aspx" TargetMode="Externa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hyperlink" Target="http://www.microsoft.com/en-us/news/press/2013/sep13/strategicrationale.aspx" TargetMode="External"/><Relationship Id="rId13" Type="http://schemas.openxmlformats.org/officeDocument/2006/relationships/image" Target="media/image2.jpeg"/><Relationship Id="rId14" Type="http://schemas.openxmlformats.org/officeDocument/2006/relationships/header" Target="header5.xml"/><Relationship Id="rId15" Type="http://schemas.openxmlformats.org/officeDocument/2006/relationships/header" Target="header6.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image" Target="media/image3.jpeg"/><Relationship Id="rId19" Type="http://schemas.openxmlformats.org/officeDocument/2006/relationships/fontTable" Target="fontTable.xml"/><Relationship Id="rId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2013-10-07T16:03:00Z</dcterms:created>
  <dcterms:modified xsi:type="dcterms:W3CDTF">2013-10-07T16:05:00Z</dcterms:modified>
  <cp:revision>1</cp:revision>
</cp:coreProperties>
</file>