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BBD" w:rsidRPr="00140702" w:rsidRDefault="00BA5018" w:rsidP="00140702">
      <w:pPr>
        <w:contextualSpacing/>
        <w:jc w:val="both"/>
        <w:rPr>
          <w:rFonts w:ascii="Arial" w:hAnsi="Arial" w:cs="Arial"/>
          <w:b/>
        </w:rPr>
      </w:pPr>
      <w:bookmarkStart w:id="0" w:name="_GoBack"/>
      <w:bookmarkEnd w:id="0"/>
      <w:r w:rsidRPr="00140702">
        <w:rPr>
          <w:rFonts w:ascii="Arial" w:hAnsi="Arial" w:cs="Arial"/>
          <w:b/>
        </w:rPr>
        <w:t>Chapter 2</w:t>
      </w:r>
    </w:p>
    <w:p w:rsidR="00BA5018" w:rsidRPr="00140702" w:rsidRDefault="00BA5018" w:rsidP="00140702">
      <w:pPr>
        <w:contextualSpacing/>
        <w:jc w:val="both"/>
        <w:rPr>
          <w:rFonts w:ascii="Arial" w:hAnsi="Arial" w:cs="Arial"/>
        </w:rPr>
      </w:pPr>
    </w:p>
    <w:p w:rsidR="00C819A1" w:rsidRPr="00140702" w:rsidRDefault="00C819A1" w:rsidP="00140702">
      <w:pPr>
        <w:contextualSpacing/>
        <w:jc w:val="both"/>
        <w:rPr>
          <w:rFonts w:ascii="Arial" w:hAnsi="Arial" w:cs="Arial"/>
        </w:rPr>
      </w:pPr>
      <w:r w:rsidRPr="00140702">
        <w:rPr>
          <w:rFonts w:ascii="Arial" w:hAnsi="Arial" w:cs="Arial"/>
          <w:b/>
        </w:rPr>
        <w:t>2.</w:t>
      </w:r>
      <w:r w:rsidR="0064284C" w:rsidRPr="00140702">
        <w:rPr>
          <w:rFonts w:ascii="Arial" w:hAnsi="Arial" w:cs="Arial"/>
          <w:b/>
        </w:rPr>
        <w:t>1</w:t>
      </w:r>
      <w:r w:rsidRPr="00140702">
        <w:rPr>
          <w:rFonts w:ascii="Arial" w:hAnsi="Arial" w:cs="Arial"/>
          <w:b/>
        </w:rPr>
        <w:t xml:space="preserve"> </w:t>
      </w:r>
      <w:r w:rsidR="0064284C" w:rsidRPr="00140702">
        <w:rPr>
          <w:rFonts w:ascii="Arial" w:hAnsi="Arial" w:cs="Arial"/>
          <w:b/>
        </w:rPr>
        <w:t>Introduction</w:t>
      </w:r>
    </w:p>
    <w:p w:rsidR="009239CA" w:rsidRPr="00140702" w:rsidRDefault="009239CA" w:rsidP="00140702">
      <w:pPr>
        <w:contextualSpacing/>
        <w:jc w:val="both"/>
        <w:rPr>
          <w:rFonts w:ascii="Arial" w:hAnsi="Arial" w:cs="Arial"/>
        </w:rPr>
      </w:pPr>
      <w:r w:rsidRPr="00140702">
        <w:rPr>
          <w:rFonts w:ascii="Arial" w:hAnsi="Arial" w:cs="Arial"/>
        </w:rPr>
        <w:t>The economic analysis of law is a method of observing the real effects of legal provisions.</w:t>
      </w:r>
      <w:r w:rsidRPr="00140702">
        <w:rPr>
          <w:rStyle w:val="Funotenzeichen"/>
          <w:rFonts w:ascii="Arial" w:hAnsi="Arial" w:cs="Arial"/>
        </w:rPr>
        <w:footnoteReference w:id="1"/>
      </w:r>
      <w:r w:rsidRPr="00140702">
        <w:rPr>
          <w:rFonts w:ascii="Arial" w:hAnsi="Arial" w:cs="Arial"/>
        </w:rPr>
        <w:t xml:space="preserve"> Accordingly, the economic analyses of law can be defined as “the application of economic theory and econometric methods to examine the formation, structure, processes and impact of law and legal institutions.”</w:t>
      </w:r>
      <w:r w:rsidRPr="00140702">
        <w:rPr>
          <w:rStyle w:val="Funotenzeichen"/>
          <w:rFonts w:ascii="Arial" w:hAnsi="Arial" w:cs="Arial"/>
        </w:rPr>
        <w:footnoteReference w:id="2"/>
      </w:r>
      <w:r w:rsidRPr="00140702">
        <w:rPr>
          <w:rFonts w:ascii="Arial" w:hAnsi="Arial" w:cs="Arial"/>
        </w:rPr>
        <w:t xml:space="preserve"> </w:t>
      </w:r>
    </w:p>
    <w:p w:rsidR="009239CA" w:rsidRPr="00140702" w:rsidRDefault="009239CA" w:rsidP="00140702">
      <w:pPr>
        <w:contextualSpacing/>
        <w:jc w:val="both"/>
        <w:rPr>
          <w:rFonts w:ascii="Arial" w:hAnsi="Arial" w:cs="Arial"/>
        </w:rPr>
      </w:pPr>
    </w:p>
    <w:p w:rsidR="00C819A1" w:rsidRPr="00140702" w:rsidRDefault="00242FBB" w:rsidP="00140702">
      <w:pPr>
        <w:contextualSpacing/>
        <w:jc w:val="both"/>
        <w:rPr>
          <w:rFonts w:ascii="Arial" w:hAnsi="Arial" w:cs="Arial"/>
        </w:rPr>
      </w:pPr>
      <w:r w:rsidRPr="00140702">
        <w:rPr>
          <w:rFonts w:ascii="Arial" w:hAnsi="Arial" w:cs="Arial"/>
        </w:rPr>
        <w:t xml:space="preserve">The </w:t>
      </w:r>
      <w:r w:rsidR="0071501D" w:rsidRPr="00140702">
        <w:rPr>
          <w:rFonts w:ascii="Arial" w:hAnsi="Arial" w:cs="Arial"/>
        </w:rPr>
        <w:t>usefulness of</w:t>
      </w:r>
      <w:r w:rsidRPr="00140702">
        <w:rPr>
          <w:rFonts w:ascii="Arial" w:hAnsi="Arial" w:cs="Arial"/>
        </w:rPr>
        <w:t xml:space="preserve"> apply</w:t>
      </w:r>
      <w:r w:rsidR="0071501D" w:rsidRPr="00140702">
        <w:rPr>
          <w:rFonts w:ascii="Arial" w:hAnsi="Arial" w:cs="Arial"/>
        </w:rPr>
        <w:t>ing</w:t>
      </w:r>
      <w:r w:rsidRPr="00140702">
        <w:rPr>
          <w:rFonts w:ascii="Arial" w:hAnsi="Arial" w:cs="Arial"/>
        </w:rPr>
        <w:t xml:space="preserve"> economics </w:t>
      </w:r>
      <w:r w:rsidR="0071501D" w:rsidRPr="00140702">
        <w:rPr>
          <w:rFonts w:ascii="Arial" w:hAnsi="Arial" w:cs="Arial"/>
        </w:rPr>
        <w:t>to</w:t>
      </w:r>
      <w:r w:rsidRPr="00140702">
        <w:rPr>
          <w:rFonts w:ascii="Arial" w:hAnsi="Arial" w:cs="Arial"/>
        </w:rPr>
        <w:t xml:space="preserve"> law </w:t>
      </w:r>
      <w:r w:rsidR="0071501D" w:rsidRPr="00140702">
        <w:rPr>
          <w:rFonts w:ascii="Arial" w:hAnsi="Arial" w:cs="Arial"/>
        </w:rPr>
        <w:t>originates from the fact that economics</w:t>
      </w:r>
      <w:r w:rsidRPr="00140702">
        <w:rPr>
          <w:rFonts w:ascii="Arial" w:hAnsi="Arial" w:cs="Arial"/>
        </w:rPr>
        <w:t xml:space="preserve"> provide</w:t>
      </w:r>
      <w:r w:rsidR="000A23BC" w:rsidRPr="00140702">
        <w:rPr>
          <w:rFonts w:ascii="Arial" w:hAnsi="Arial" w:cs="Arial"/>
        </w:rPr>
        <w:t>s</w:t>
      </w:r>
      <w:r w:rsidRPr="00140702">
        <w:rPr>
          <w:rFonts w:ascii="Arial" w:hAnsi="Arial" w:cs="Arial"/>
        </w:rPr>
        <w:t xml:space="preserve"> a different and</w:t>
      </w:r>
      <w:r w:rsidR="0071501D" w:rsidRPr="00140702">
        <w:rPr>
          <w:rFonts w:ascii="Arial" w:hAnsi="Arial" w:cs="Arial"/>
        </w:rPr>
        <w:t xml:space="preserve"> a</w:t>
      </w:r>
      <w:r w:rsidRPr="00140702">
        <w:rPr>
          <w:rFonts w:ascii="Arial" w:hAnsi="Arial" w:cs="Arial"/>
        </w:rPr>
        <w:t xml:space="preserve"> fresh perspective </w:t>
      </w:r>
      <w:r w:rsidR="0071501D" w:rsidRPr="00140702">
        <w:rPr>
          <w:rFonts w:ascii="Arial" w:hAnsi="Arial" w:cs="Arial"/>
        </w:rPr>
        <w:t>on</w:t>
      </w:r>
      <w:r w:rsidRPr="00140702">
        <w:rPr>
          <w:rFonts w:ascii="Arial" w:hAnsi="Arial" w:cs="Arial"/>
        </w:rPr>
        <w:t xml:space="preserve"> law.</w:t>
      </w:r>
      <w:r w:rsidR="005F043F" w:rsidRPr="00140702">
        <w:rPr>
          <w:rStyle w:val="Funotenzeichen"/>
          <w:rFonts w:ascii="Arial" w:hAnsi="Arial" w:cs="Arial"/>
        </w:rPr>
        <w:footnoteReference w:id="3"/>
      </w:r>
      <w:r w:rsidRPr="00140702">
        <w:rPr>
          <w:rFonts w:ascii="Arial" w:hAnsi="Arial" w:cs="Arial"/>
        </w:rPr>
        <w:t xml:space="preserve"> More specifically</w:t>
      </w:r>
      <w:r w:rsidR="000A23BC" w:rsidRPr="00140702">
        <w:rPr>
          <w:rFonts w:ascii="Arial" w:hAnsi="Arial" w:cs="Arial"/>
        </w:rPr>
        <w:t>,</w:t>
      </w:r>
      <w:r w:rsidRPr="00140702">
        <w:rPr>
          <w:rFonts w:ascii="Arial" w:hAnsi="Arial" w:cs="Arial"/>
        </w:rPr>
        <w:t xml:space="preserve"> economics can be used to analyse the efficiency and effectiveness of legal provisions.</w:t>
      </w:r>
      <w:r w:rsidR="00091CA6" w:rsidRPr="00140702">
        <w:rPr>
          <w:rStyle w:val="Funotenzeichen"/>
          <w:rFonts w:ascii="Arial" w:hAnsi="Arial" w:cs="Arial"/>
        </w:rPr>
        <w:footnoteReference w:id="4"/>
      </w:r>
      <w:r w:rsidRPr="00140702">
        <w:rPr>
          <w:rFonts w:ascii="Arial" w:hAnsi="Arial" w:cs="Arial"/>
        </w:rPr>
        <w:t xml:space="preserve"> This in turn </w:t>
      </w:r>
      <w:r w:rsidR="0071501D" w:rsidRPr="00140702">
        <w:rPr>
          <w:rFonts w:ascii="Arial" w:hAnsi="Arial" w:cs="Arial"/>
        </w:rPr>
        <w:t>could potentially</w:t>
      </w:r>
      <w:r w:rsidRPr="00140702">
        <w:rPr>
          <w:rFonts w:ascii="Arial" w:hAnsi="Arial" w:cs="Arial"/>
        </w:rPr>
        <w:t xml:space="preserve"> increase the effectiveness and efficiency of legal provisions.</w:t>
      </w:r>
      <w:r w:rsidR="00091CA6" w:rsidRPr="00140702">
        <w:rPr>
          <w:rStyle w:val="Funotenzeichen"/>
          <w:rFonts w:ascii="Arial" w:hAnsi="Arial" w:cs="Arial"/>
        </w:rPr>
        <w:footnoteReference w:id="5"/>
      </w:r>
      <w:r w:rsidRPr="00140702">
        <w:rPr>
          <w:rFonts w:ascii="Arial" w:hAnsi="Arial" w:cs="Arial"/>
        </w:rPr>
        <w:t xml:space="preserve"> Accordingly, the </w:t>
      </w:r>
      <w:r w:rsidR="0071501D" w:rsidRPr="00140702">
        <w:rPr>
          <w:rFonts w:ascii="Arial" w:hAnsi="Arial" w:cs="Arial"/>
        </w:rPr>
        <w:t xml:space="preserve">application of economics </w:t>
      </w:r>
      <w:r w:rsidR="0064284C" w:rsidRPr="00140702">
        <w:rPr>
          <w:rFonts w:ascii="Arial" w:hAnsi="Arial" w:cs="Arial"/>
        </w:rPr>
        <w:t>on</w:t>
      </w:r>
      <w:r w:rsidR="0071501D" w:rsidRPr="00140702">
        <w:rPr>
          <w:rFonts w:ascii="Arial" w:hAnsi="Arial" w:cs="Arial"/>
        </w:rPr>
        <w:t xml:space="preserve"> law could potentially avoid or decrease the </w:t>
      </w:r>
      <w:r w:rsidRPr="00140702">
        <w:rPr>
          <w:rFonts w:ascii="Arial" w:hAnsi="Arial" w:cs="Arial"/>
        </w:rPr>
        <w:t>drafting of</w:t>
      </w:r>
      <w:r w:rsidR="0071501D" w:rsidRPr="00140702">
        <w:rPr>
          <w:rFonts w:ascii="Arial" w:hAnsi="Arial" w:cs="Arial"/>
        </w:rPr>
        <w:t xml:space="preserve"> unnecessary and</w:t>
      </w:r>
      <w:r w:rsidR="00B26A20" w:rsidRPr="00140702">
        <w:rPr>
          <w:rFonts w:ascii="Arial" w:hAnsi="Arial" w:cs="Arial"/>
        </w:rPr>
        <w:t>/or</w:t>
      </w:r>
      <w:r w:rsidR="0071501D" w:rsidRPr="00140702">
        <w:rPr>
          <w:rFonts w:ascii="Arial" w:hAnsi="Arial" w:cs="Arial"/>
        </w:rPr>
        <w:t xml:space="preserve"> ineffective</w:t>
      </w:r>
      <w:r w:rsidRPr="00140702">
        <w:rPr>
          <w:rFonts w:ascii="Arial" w:hAnsi="Arial" w:cs="Arial"/>
        </w:rPr>
        <w:t xml:space="preserve"> legal provision</w:t>
      </w:r>
      <w:r w:rsidR="00AB759A" w:rsidRPr="00140702">
        <w:rPr>
          <w:rFonts w:ascii="Arial" w:hAnsi="Arial" w:cs="Arial"/>
        </w:rPr>
        <w:t>s</w:t>
      </w:r>
      <w:r w:rsidRPr="00140702">
        <w:rPr>
          <w:rFonts w:ascii="Arial" w:hAnsi="Arial" w:cs="Arial"/>
        </w:rPr>
        <w:t xml:space="preserve"> </w:t>
      </w:r>
      <w:r w:rsidR="00B26A20" w:rsidRPr="00140702">
        <w:rPr>
          <w:rFonts w:ascii="Arial" w:hAnsi="Arial" w:cs="Arial"/>
        </w:rPr>
        <w:t>and hence</w:t>
      </w:r>
      <w:r w:rsidR="00AB759A" w:rsidRPr="00140702">
        <w:rPr>
          <w:rFonts w:ascii="Arial" w:hAnsi="Arial" w:cs="Arial"/>
        </w:rPr>
        <w:t xml:space="preserve"> </w:t>
      </w:r>
      <w:r w:rsidR="00B26A20" w:rsidRPr="00140702">
        <w:rPr>
          <w:rFonts w:ascii="Arial" w:hAnsi="Arial" w:cs="Arial"/>
        </w:rPr>
        <w:t xml:space="preserve">save </w:t>
      </w:r>
      <w:r w:rsidR="00AB759A" w:rsidRPr="00140702">
        <w:rPr>
          <w:rFonts w:ascii="Arial" w:hAnsi="Arial" w:cs="Arial"/>
        </w:rPr>
        <w:t xml:space="preserve">an enormous amount of time and costs associated with formulating </w:t>
      </w:r>
      <w:r w:rsidR="00B26A20" w:rsidRPr="00140702">
        <w:rPr>
          <w:rFonts w:ascii="Arial" w:hAnsi="Arial" w:cs="Arial"/>
        </w:rPr>
        <w:t>ineffective</w:t>
      </w:r>
      <w:r w:rsidR="00AB759A" w:rsidRPr="00140702">
        <w:rPr>
          <w:rFonts w:ascii="Arial" w:hAnsi="Arial" w:cs="Arial"/>
        </w:rPr>
        <w:t xml:space="preserve"> legal provisions.</w:t>
      </w:r>
      <w:r w:rsidR="00091CA6" w:rsidRPr="00140702">
        <w:rPr>
          <w:rStyle w:val="Funotenzeichen"/>
          <w:rFonts w:ascii="Arial" w:hAnsi="Arial" w:cs="Arial"/>
        </w:rPr>
        <w:footnoteReference w:id="6"/>
      </w:r>
      <w:r w:rsidRPr="00140702">
        <w:rPr>
          <w:rFonts w:ascii="Arial" w:hAnsi="Arial" w:cs="Arial"/>
        </w:rPr>
        <w:t xml:space="preserve">  </w:t>
      </w:r>
    </w:p>
    <w:p w:rsidR="009239CA" w:rsidRPr="00140702" w:rsidRDefault="009239CA" w:rsidP="00140702">
      <w:pPr>
        <w:contextualSpacing/>
        <w:jc w:val="both"/>
        <w:rPr>
          <w:rFonts w:ascii="Arial" w:hAnsi="Arial" w:cs="Arial"/>
        </w:rPr>
      </w:pPr>
    </w:p>
    <w:p w:rsidR="0064284C" w:rsidRPr="00140702" w:rsidRDefault="009239CA" w:rsidP="00140702">
      <w:pPr>
        <w:contextualSpacing/>
        <w:jc w:val="both"/>
        <w:rPr>
          <w:rFonts w:ascii="Arial" w:hAnsi="Arial" w:cs="Arial"/>
        </w:rPr>
      </w:pPr>
      <w:r w:rsidRPr="00140702">
        <w:rPr>
          <w:rFonts w:ascii="Arial" w:hAnsi="Arial" w:cs="Arial"/>
        </w:rPr>
        <w:t>Economic analysis and econom</w:t>
      </w:r>
      <w:r w:rsidR="0064284C" w:rsidRPr="00140702">
        <w:rPr>
          <w:rFonts w:ascii="Arial" w:hAnsi="Arial" w:cs="Arial"/>
        </w:rPr>
        <w:t>etric</w:t>
      </w:r>
      <w:r w:rsidRPr="00140702">
        <w:rPr>
          <w:rFonts w:ascii="Arial" w:hAnsi="Arial" w:cs="Arial"/>
        </w:rPr>
        <w:t xml:space="preserve"> models have been </w:t>
      </w:r>
      <w:r w:rsidR="00502B8E" w:rsidRPr="00140702">
        <w:rPr>
          <w:rFonts w:ascii="Arial" w:hAnsi="Arial" w:cs="Arial"/>
        </w:rPr>
        <w:t>used extensively in Competition Law.</w:t>
      </w:r>
      <w:r w:rsidR="00502B8E" w:rsidRPr="00140702">
        <w:rPr>
          <w:rStyle w:val="Funotenzeichen"/>
          <w:rFonts w:ascii="Arial" w:hAnsi="Arial" w:cs="Arial"/>
        </w:rPr>
        <w:footnoteReference w:id="7"/>
      </w:r>
      <w:r w:rsidR="00502B8E" w:rsidRPr="00140702">
        <w:rPr>
          <w:rFonts w:ascii="Arial" w:hAnsi="Arial" w:cs="Arial"/>
        </w:rPr>
        <w:t xml:space="preserve"> This lead to Competition Law being defined as “Economic Law.”</w:t>
      </w:r>
      <w:r w:rsidR="0064284C" w:rsidRPr="00140702">
        <w:rPr>
          <w:rStyle w:val="Funotenzeichen"/>
          <w:rFonts w:ascii="Arial" w:hAnsi="Arial" w:cs="Arial"/>
        </w:rPr>
        <w:footnoteReference w:id="8"/>
      </w:r>
      <w:r w:rsidR="00502B8E" w:rsidRPr="00140702">
        <w:rPr>
          <w:rFonts w:ascii="Arial" w:hAnsi="Arial" w:cs="Arial"/>
        </w:rPr>
        <w:t xml:space="preserve"> Competition Law is founded upon economic ideas, concepts and principles and accordingly it is the economist’s perception of effective competition that is applicable to Competition Law.</w:t>
      </w:r>
      <w:r w:rsidR="00256A93" w:rsidRPr="00140702">
        <w:rPr>
          <w:rStyle w:val="Funotenzeichen"/>
          <w:rFonts w:ascii="Arial" w:hAnsi="Arial" w:cs="Arial"/>
        </w:rPr>
        <w:footnoteReference w:id="9"/>
      </w:r>
      <w:r w:rsidR="00C429F2" w:rsidRPr="00140702">
        <w:rPr>
          <w:rFonts w:ascii="Arial" w:hAnsi="Arial" w:cs="Arial"/>
        </w:rPr>
        <w:t xml:space="preserve"> </w:t>
      </w:r>
      <w:r w:rsidR="0064284C" w:rsidRPr="00140702">
        <w:rPr>
          <w:rFonts w:ascii="Arial" w:hAnsi="Arial" w:cs="Arial"/>
        </w:rPr>
        <w:t>For this reason</w:t>
      </w:r>
      <w:r w:rsidR="00C429F2" w:rsidRPr="00140702">
        <w:rPr>
          <w:rFonts w:ascii="Arial" w:hAnsi="Arial" w:cs="Arial"/>
        </w:rPr>
        <w:t>, the study of Competition Law without a basic knowledge of its economic foundations is futile.</w:t>
      </w:r>
      <w:r w:rsidR="00C429F2" w:rsidRPr="00140702">
        <w:rPr>
          <w:rStyle w:val="Funotenzeichen"/>
          <w:rFonts w:ascii="Arial" w:hAnsi="Arial" w:cs="Arial"/>
        </w:rPr>
        <w:footnoteReference w:id="10"/>
      </w:r>
      <w:r w:rsidR="00C429F2" w:rsidRPr="00140702">
        <w:rPr>
          <w:rFonts w:ascii="Arial" w:hAnsi="Arial" w:cs="Arial"/>
        </w:rPr>
        <w:t xml:space="preserve">  </w:t>
      </w:r>
    </w:p>
    <w:p w:rsidR="0064284C" w:rsidRPr="00140702" w:rsidRDefault="0064284C" w:rsidP="00140702">
      <w:pPr>
        <w:contextualSpacing/>
        <w:jc w:val="both"/>
        <w:rPr>
          <w:rFonts w:ascii="Arial" w:hAnsi="Arial" w:cs="Arial"/>
        </w:rPr>
      </w:pPr>
    </w:p>
    <w:p w:rsidR="00256A93" w:rsidRPr="00140702" w:rsidRDefault="004A576F" w:rsidP="00140702">
      <w:pPr>
        <w:contextualSpacing/>
        <w:jc w:val="both"/>
        <w:rPr>
          <w:rFonts w:ascii="Arial" w:hAnsi="Arial" w:cs="Arial"/>
        </w:rPr>
      </w:pPr>
      <w:r w:rsidRPr="00140702">
        <w:rPr>
          <w:rFonts w:ascii="Arial" w:hAnsi="Arial" w:cs="Arial"/>
        </w:rPr>
        <w:t>Accordingly, this chapter will provide a brief overview of the economic principles underlying Competition Law. This chapter will also provide a brief overview of the historical development of Competition Law in South Africa.</w:t>
      </w:r>
      <w:r w:rsidR="006A4C72" w:rsidRPr="00140702">
        <w:rPr>
          <w:rFonts w:ascii="Arial" w:hAnsi="Arial" w:cs="Arial"/>
        </w:rPr>
        <w:t xml:space="preserve"> After reading this chapter </w:t>
      </w:r>
      <w:r w:rsidR="006A4C72" w:rsidRPr="00140702">
        <w:rPr>
          <w:rFonts w:ascii="Arial" w:hAnsi="Arial" w:cs="Arial"/>
        </w:rPr>
        <w:lastRenderedPageBreak/>
        <w:t xml:space="preserve">the reader should have the basic knowledge </w:t>
      </w:r>
      <w:r w:rsidR="00CB1BE9" w:rsidRPr="00140702">
        <w:rPr>
          <w:rFonts w:ascii="Arial" w:hAnsi="Arial" w:cs="Arial"/>
        </w:rPr>
        <w:t>required</w:t>
      </w:r>
      <w:r w:rsidR="006A4C72" w:rsidRPr="00140702">
        <w:rPr>
          <w:rFonts w:ascii="Arial" w:hAnsi="Arial" w:cs="Arial"/>
        </w:rPr>
        <w:t xml:space="preserve"> to comprehend the necessity and functioning of Competition Law in South Africa which </w:t>
      </w:r>
      <w:r w:rsidR="0064284C" w:rsidRPr="00140702">
        <w:rPr>
          <w:rFonts w:ascii="Arial" w:hAnsi="Arial" w:cs="Arial"/>
        </w:rPr>
        <w:t xml:space="preserve">in turn </w:t>
      </w:r>
      <w:r w:rsidR="006A4C72" w:rsidRPr="00140702">
        <w:rPr>
          <w:rFonts w:ascii="Arial" w:hAnsi="Arial" w:cs="Arial"/>
        </w:rPr>
        <w:t xml:space="preserve">is necessary for understanding the relevance of the subsequent chapters </w:t>
      </w:r>
      <w:r w:rsidR="00CB1BE9" w:rsidRPr="00140702">
        <w:rPr>
          <w:rFonts w:ascii="Arial" w:hAnsi="Arial" w:cs="Arial"/>
        </w:rPr>
        <w:t xml:space="preserve">and hence the object </w:t>
      </w:r>
      <w:r w:rsidR="006A4C72" w:rsidRPr="00140702">
        <w:rPr>
          <w:rFonts w:ascii="Arial" w:hAnsi="Arial" w:cs="Arial"/>
        </w:rPr>
        <w:t xml:space="preserve">of this paper. </w:t>
      </w:r>
    </w:p>
    <w:p w:rsidR="00C429F2" w:rsidRPr="00140702" w:rsidRDefault="00C429F2" w:rsidP="00140702">
      <w:pPr>
        <w:contextualSpacing/>
        <w:jc w:val="both"/>
        <w:rPr>
          <w:rFonts w:ascii="Arial" w:hAnsi="Arial" w:cs="Arial"/>
          <w:b/>
        </w:rPr>
      </w:pPr>
    </w:p>
    <w:p w:rsidR="00CE5BD5" w:rsidRPr="00140702" w:rsidRDefault="00D126BF" w:rsidP="00140702">
      <w:pPr>
        <w:contextualSpacing/>
        <w:jc w:val="both"/>
        <w:rPr>
          <w:rFonts w:ascii="Arial" w:hAnsi="Arial" w:cs="Arial"/>
        </w:rPr>
      </w:pPr>
      <w:r w:rsidRPr="00140702">
        <w:rPr>
          <w:rFonts w:ascii="Arial" w:hAnsi="Arial" w:cs="Arial"/>
          <w:b/>
        </w:rPr>
        <w:t>2.</w:t>
      </w:r>
      <w:r w:rsidR="0064284C" w:rsidRPr="00140702">
        <w:rPr>
          <w:rFonts w:ascii="Arial" w:hAnsi="Arial" w:cs="Arial"/>
          <w:b/>
        </w:rPr>
        <w:t>2</w:t>
      </w:r>
      <w:r w:rsidR="000946E9" w:rsidRPr="00140702">
        <w:rPr>
          <w:rFonts w:ascii="Arial" w:hAnsi="Arial" w:cs="Arial"/>
          <w:b/>
        </w:rPr>
        <w:t xml:space="preserve"> The </w:t>
      </w:r>
      <w:r w:rsidR="001D041F" w:rsidRPr="00140702">
        <w:rPr>
          <w:rFonts w:ascii="Arial" w:hAnsi="Arial" w:cs="Arial"/>
          <w:b/>
        </w:rPr>
        <w:t>necessity</w:t>
      </w:r>
      <w:r w:rsidR="000946E9" w:rsidRPr="00140702">
        <w:rPr>
          <w:rFonts w:ascii="Arial" w:hAnsi="Arial" w:cs="Arial"/>
          <w:b/>
        </w:rPr>
        <w:t xml:space="preserve"> </w:t>
      </w:r>
      <w:r w:rsidR="001D041F" w:rsidRPr="00140702">
        <w:rPr>
          <w:rFonts w:ascii="Arial" w:hAnsi="Arial" w:cs="Arial"/>
          <w:b/>
        </w:rPr>
        <w:t>for Competition L</w:t>
      </w:r>
      <w:r w:rsidR="002D630D" w:rsidRPr="00140702">
        <w:rPr>
          <w:rFonts w:ascii="Arial" w:hAnsi="Arial" w:cs="Arial"/>
          <w:b/>
        </w:rPr>
        <w:t>aw</w:t>
      </w:r>
    </w:p>
    <w:p w:rsidR="007D4B88" w:rsidRPr="00140702" w:rsidRDefault="007D4B88" w:rsidP="00140702">
      <w:pPr>
        <w:contextualSpacing/>
        <w:jc w:val="both"/>
        <w:rPr>
          <w:rFonts w:ascii="Arial" w:hAnsi="Arial" w:cs="Arial"/>
        </w:rPr>
      </w:pPr>
    </w:p>
    <w:p w:rsidR="00477530" w:rsidRPr="00140702" w:rsidRDefault="0081127C" w:rsidP="00140702">
      <w:pPr>
        <w:contextualSpacing/>
        <w:jc w:val="both"/>
        <w:rPr>
          <w:rFonts w:ascii="Arial" w:hAnsi="Arial" w:cs="Arial"/>
        </w:rPr>
      </w:pPr>
      <w:r w:rsidRPr="00140702">
        <w:rPr>
          <w:rFonts w:ascii="Arial" w:hAnsi="Arial" w:cs="Arial"/>
        </w:rPr>
        <w:t>2.</w:t>
      </w:r>
      <w:r w:rsidR="001D041F" w:rsidRPr="00140702">
        <w:rPr>
          <w:rFonts w:ascii="Arial" w:hAnsi="Arial" w:cs="Arial"/>
        </w:rPr>
        <w:t>2</w:t>
      </w:r>
      <w:r w:rsidRPr="00140702">
        <w:rPr>
          <w:rFonts w:ascii="Arial" w:hAnsi="Arial" w:cs="Arial"/>
        </w:rPr>
        <w:t xml:space="preserve">.1 </w:t>
      </w:r>
      <w:r w:rsidR="002D630D" w:rsidRPr="00140702">
        <w:rPr>
          <w:rFonts w:ascii="Arial" w:hAnsi="Arial" w:cs="Arial"/>
        </w:rPr>
        <w:t>The economising problem</w:t>
      </w:r>
    </w:p>
    <w:p w:rsidR="00804824" w:rsidRPr="00140702" w:rsidRDefault="00B80211" w:rsidP="00140702">
      <w:pPr>
        <w:contextualSpacing/>
        <w:jc w:val="both"/>
        <w:rPr>
          <w:rFonts w:ascii="Arial" w:hAnsi="Arial" w:cs="Arial"/>
        </w:rPr>
      </w:pPr>
      <w:r w:rsidRPr="00140702">
        <w:rPr>
          <w:rFonts w:ascii="Arial" w:hAnsi="Arial" w:cs="Arial"/>
        </w:rPr>
        <w:t>Central to economics is the problem of scarcity</w:t>
      </w:r>
      <w:r w:rsidR="00732A99" w:rsidRPr="00140702">
        <w:rPr>
          <w:rFonts w:ascii="Arial" w:hAnsi="Arial" w:cs="Arial"/>
        </w:rPr>
        <w:t xml:space="preserve"> which derives from the fact that </w:t>
      </w:r>
      <w:r w:rsidR="00804824" w:rsidRPr="00140702">
        <w:rPr>
          <w:rFonts w:ascii="Arial" w:hAnsi="Arial" w:cs="Arial"/>
        </w:rPr>
        <w:t>s</w:t>
      </w:r>
      <w:r w:rsidR="00F26575" w:rsidRPr="00140702">
        <w:rPr>
          <w:rFonts w:ascii="Arial" w:hAnsi="Arial" w:cs="Arial"/>
        </w:rPr>
        <w:t>ociety’s demand for goods and services are unquenchable, yet any given society has only a limited quantity of economic resources</w:t>
      </w:r>
      <w:r w:rsidR="001E4217" w:rsidRPr="00140702">
        <w:rPr>
          <w:rStyle w:val="Funotenzeichen"/>
          <w:rFonts w:ascii="Arial" w:hAnsi="Arial" w:cs="Arial"/>
        </w:rPr>
        <w:footnoteReference w:id="11"/>
      </w:r>
      <w:r w:rsidRPr="00140702">
        <w:rPr>
          <w:rFonts w:ascii="Arial" w:hAnsi="Arial" w:cs="Arial"/>
        </w:rPr>
        <w:t xml:space="preserve"> available to its disposal.</w:t>
      </w:r>
      <w:r w:rsidR="0001564C" w:rsidRPr="00140702">
        <w:rPr>
          <w:rStyle w:val="Funotenzeichen"/>
          <w:rFonts w:ascii="Arial" w:hAnsi="Arial" w:cs="Arial"/>
        </w:rPr>
        <w:footnoteReference w:id="12"/>
      </w:r>
      <w:r w:rsidRPr="00140702">
        <w:rPr>
          <w:rFonts w:ascii="Arial" w:hAnsi="Arial" w:cs="Arial"/>
        </w:rPr>
        <w:t xml:space="preserve"> </w:t>
      </w:r>
      <w:r w:rsidR="00732A99" w:rsidRPr="00140702">
        <w:rPr>
          <w:rFonts w:ascii="Arial" w:hAnsi="Arial" w:cs="Arial"/>
        </w:rPr>
        <w:t>Accordingly, economic resources are scarce relative to the demand thereof.</w:t>
      </w:r>
      <w:r w:rsidR="0001564C" w:rsidRPr="00140702">
        <w:rPr>
          <w:rStyle w:val="Funotenzeichen"/>
          <w:rFonts w:ascii="Arial" w:hAnsi="Arial" w:cs="Arial"/>
        </w:rPr>
        <w:footnoteReference w:id="13"/>
      </w:r>
      <w:r w:rsidR="00732A99" w:rsidRPr="00140702">
        <w:rPr>
          <w:rFonts w:ascii="Arial" w:hAnsi="Arial" w:cs="Arial"/>
        </w:rPr>
        <w:t xml:space="preserve"> This in turn implies that goods and services are limited and hence society is forced to make decision</w:t>
      </w:r>
      <w:r w:rsidR="00804824" w:rsidRPr="00140702">
        <w:rPr>
          <w:rFonts w:ascii="Arial" w:hAnsi="Arial" w:cs="Arial"/>
        </w:rPr>
        <w:t>s</w:t>
      </w:r>
      <w:r w:rsidR="00732A99" w:rsidRPr="00140702">
        <w:rPr>
          <w:rFonts w:ascii="Arial" w:hAnsi="Arial" w:cs="Arial"/>
        </w:rPr>
        <w:t xml:space="preserve"> on </w:t>
      </w:r>
      <w:r w:rsidR="00804824" w:rsidRPr="00140702">
        <w:rPr>
          <w:rFonts w:ascii="Arial" w:hAnsi="Arial" w:cs="Arial"/>
        </w:rPr>
        <w:t>the</w:t>
      </w:r>
      <w:r w:rsidR="00732A99" w:rsidRPr="00140702">
        <w:rPr>
          <w:rFonts w:ascii="Arial" w:hAnsi="Arial" w:cs="Arial"/>
        </w:rPr>
        <w:t xml:space="preserve"> goods and/or </w:t>
      </w:r>
      <w:r w:rsidR="0001564C" w:rsidRPr="00140702">
        <w:rPr>
          <w:rFonts w:ascii="Arial" w:hAnsi="Arial" w:cs="Arial"/>
        </w:rPr>
        <w:t>services it is going to demand</w:t>
      </w:r>
      <w:r w:rsidR="00804824" w:rsidRPr="00140702">
        <w:rPr>
          <w:rFonts w:ascii="Arial" w:hAnsi="Arial" w:cs="Arial"/>
        </w:rPr>
        <w:t xml:space="preserve"> and produce</w:t>
      </w:r>
      <w:r w:rsidR="00732A99" w:rsidRPr="00140702">
        <w:rPr>
          <w:rFonts w:ascii="Arial" w:hAnsi="Arial" w:cs="Arial"/>
        </w:rPr>
        <w:t>.</w:t>
      </w:r>
      <w:r w:rsidR="0001564C" w:rsidRPr="00140702">
        <w:rPr>
          <w:rStyle w:val="Funotenzeichen"/>
          <w:rFonts w:ascii="Arial" w:hAnsi="Arial" w:cs="Arial"/>
        </w:rPr>
        <w:footnoteReference w:id="14"/>
      </w:r>
      <w:r w:rsidR="00732A99" w:rsidRPr="00140702">
        <w:rPr>
          <w:rFonts w:ascii="Arial" w:hAnsi="Arial" w:cs="Arial"/>
        </w:rPr>
        <w:t xml:space="preserve"> </w:t>
      </w:r>
    </w:p>
    <w:p w:rsidR="00804824" w:rsidRPr="00140702" w:rsidRDefault="00804824" w:rsidP="00140702">
      <w:pPr>
        <w:contextualSpacing/>
        <w:jc w:val="both"/>
        <w:rPr>
          <w:rFonts w:ascii="Arial" w:hAnsi="Arial" w:cs="Arial"/>
        </w:rPr>
      </w:pPr>
    </w:p>
    <w:p w:rsidR="00F26575" w:rsidRPr="00140702" w:rsidRDefault="000771C6" w:rsidP="00140702">
      <w:pPr>
        <w:contextualSpacing/>
        <w:jc w:val="both"/>
        <w:rPr>
          <w:rFonts w:ascii="Arial" w:hAnsi="Arial" w:cs="Arial"/>
        </w:rPr>
      </w:pPr>
      <w:r w:rsidRPr="00140702">
        <w:rPr>
          <w:rFonts w:ascii="Arial" w:hAnsi="Arial" w:cs="Arial"/>
        </w:rPr>
        <w:t xml:space="preserve">This decision </w:t>
      </w:r>
      <w:r w:rsidR="00054762" w:rsidRPr="00140702">
        <w:rPr>
          <w:rFonts w:ascii="Arial" w:hAnsi="Arial" w:cs="Arial"/>
        </w:rPr>
        <w:t>process is known as the economis</w:t>
      </w:r>
      <w:r w:rsidRPr="00140702">
        <w:rPr>
          <w:rFonts w:ascii="Arial" w:hAnsi="Arial" w:cs="Arial"/>
        </w:rPr>
        <w:t>ing problem.</w:t>
      </w:r>
      <w:r w:rsidRPr="00140702">
        <w:rPr>
          <w:rStyle w:val="Funotenzeichen"/>
          <w:rFonts w:ascii="Arial" w:hAnsi="Arial" w:cs="Arial"/>
        </w:rPr>
        <w:footnoteReference w:id="15"/>
      </w:r>
      <w:r w:rsidR="000B7878" w:rsidRPr="00140702">
        <w:rPr>
          <w:rFonts w:ascii="Arial" w:hAnsi="Arial" w:cs="Arial"/>
        </w:rPr>
        <w:t xml:space="preserve"> </w:t>
      </w:r>
      <w:r w:rsidR="00170D27" w:rsidRPr="00140702">
        <w:rPr>
          <w:rFonts w:ascii="Arial" w:hAnsi="Arial" w:cs="Arial"/>
        </w:rPr>
        <w:t>Th</w:t>
      </w:r>
      <w:r w:rsidR="00804824" w:rsidRPr="00140702">
        <w:rPr>
          <w:rFonts w:ascii="Arial" w:hAnsi="Arial" w:cs="Arial"/>
        </w:rPr>
        <w:t>e</w:t>
      </w:r>
      <w:r w:rsidR="00170D27" w:rsidRPr="00140702">
        <w:rPr>
          <w:rFonts w:ascii="Arial" w:hAnsi="Arial" w:cs="Arial"/>
        </w:rPr>
        <w:t xml:space="preserve"> economising problem</w:t>
      </w:r>
      <w:r w:rsidR="00804824" w:rsidRPr="00140702">
        <w:rPr>
          <w:rFonts w:ascii="Arial" w:hAnsi="Arial" w:cs="Arial"/>
        </w:rPr>
        <w:t>,</w:t>
      </w:r>
      <w:r w:rsidR="00170D27" w:rsidRPr="00140702">
        <w:rPr>
          <w:rFonts w:ascii="Arial" w:hAnsi="Arial" w:cs="Arial"/>
        </w:rPr>
        <w:t xml:space="preserve"> which is caused by the relative scarcity of economic resources lead to economics being defined as “the social science concerned with how individuals, institutions and society make optimal choices under conditions of scarcity.”</w:t>
      </w:r>
      <w:r w:rsidR="00170D27" w:rsidRPr="00140702">
        <w:rPr>
          <w:rStyle w:val="Funotenzeichen"/>
          <w:rFonts w:ascii="Arial" w:hAnsi="Arial" w:cs="Arial"/>
        </w:rPr>
        <w:footnoteReference w:id="16"/>
      </w:r>
      <w:r w:rsidR="00BE16C7" w:rsidRPr="00140702">
        <w:rPr>
          <w:rFonts w:ascii="Arial" w:hAnsi="Arial" w:cs="Arial"/>
        </w:rPr>
        <w:t xml:space="preserve">  Economics can also be defined as </w:t>
      </w:r>
      <w:r w:rsidR="0029124F" w:rsidRPr="00140702">
        <w:rPr>
          <w:rFonts w:ascii="Arial" w:hAnsi="Arial" w:cs="Arial"/>
        </w:rPr>
        <w:t xml:space="preserve">a “philosophical inquiry...which outlines how society allocates </w:t>
      </w:r>
      <w:r w:rsidR="001F47F1" w:rsidRPr="00140702">
        <w:rPr>
          <w:rFonts w:ascii="Arial" w:hAnsi="Arial" w:cs="Arial"/>
        </w:rPr>
        <w:t>its</w:t>
      </w:r>
      <w:r w:rsidR="0029124F" w:rsidRPr="00140702">
        <w:rPr>
          <w:rFonts w:ascii="Arial" w:hAnsi="Arial" w:cs="Arial"/>
        </w:rPr>
        <w:t xml:space="preserve"> scarce resources to achieve prosperity and well-being for its citizens.”</w:t>
      </w:r>
      <w:r w:rsidR="0029124F" w:rsidRPr="00140702">
        <w:rPr>
          <w:rStyle w:val="Funotenzeichen"/>
          <w:rFonts w:ascii="Arial" w:hAnsi="Arial" w:cs="Arial"/>
        </w:rPr>
        <w:footnoteReference w:id="17"/>
      </w:r>
      <w:r w:rsidR="001F47F1" w:rsidRPr="00140702">
        <w:rPr>
          <w:rFonts w:ascii="Arial" w:hAnsi="Arial" w:cs="Arial"/>
        </w:rPr>
        <w:t xml:space="preserve"> These definitions of economics imply that economics is concerned with maximising the social welfare of a country’s citizens.</w:t>
      </w:r>
      <w:r w:rsidR="006F1F01" w:rsidRPr="00140702">
        <w:rPr>
          <w:rStyle w:val="Funotenzeichen"/>
          <w:rFonts w:ascii="Arial" w:hAnsi="Arial" w:cs="Arial"/>
        </w:rPr>
        <w:footnoteReference w:id="18"/>
      </w:r>
      <w:r w:rsidR="001F47F1" w:rsidRPr="00140702">
        <w:rPr>
          <w:rFonts w:ascii="Arial" w:hAnsi="Arial" w:cs="Arial"/>
        </w:rPr>
        <w:t xml:space="preserve"> </w:t>
      </w:r>
      <w:r w:rsidR="007617B6" w:rsidRPr="00140702">
        <w:rPr>
          <w:rFonts w:ascii="Arial" w:hAnsi="Arial" w:cs="Arial"/>
        </w:rPr>
        <w:t xml:space="preserve">Social welfare in turn is defined as the happiness of society which is measured by the total satisfaction </w:t>
      </w:r>
      <w:r w:rsidR="007617B6" w:rsidRPr="00140702">
        <w:rPr>
          <w:rFonts w:ascii="Arial" w:hAnsi="Arial" w:cs="Arial"/>
        </w:rPr>
        <w:lastRenderedPageBreak/>
        <w:t>(utility) consumers derive from consuming a particular combination of goods and services subject to limited resources.</w:t>
      </w:r>
      <w:r w:rsidR="007617B6" w:rsidRPr="00140702">
        <w:rPr>
          <w:rStyle w:val="Funotenzeichen"/>
          <w:rFonts w:ascii="Arial" w:hAnsi="Arial" w:cs="Arial"/>
        </w:rPr>
        <w:footnoteReference w:id="19"/>
      </w:r>
    </w:p>
    <w:p w:rsidR="00054762" w:rsidRPr="00140702" w:rsidRDefault="00054762" w:rsidP="00140702">
      <w:pPr>
        <w:contextualSpacing/>
        <w:jc w:val="both"/>
        <w:rPr>
          <w:rFonts w:ascii="Arial" w:hAnsi="Arial" w:cs="Arial"/>
        </w:rPr>
      </w:pPr>
    </w:p>
    <w:p w:rsidR="00054762" w:rsidRPr="00140702" w:rsidRDefault="00054762" w:rsidP="00140702">
      <w:pPr>
        <w:contextualSpacing/>
        <w:jc w:val="both"/>
        <w:rPr>
          <w:rFonts w:ascii="Arial" w:hAnsi="Arial" w:cs="Arial"/>
        </w:rPr>
      </w:pPr>
      <w:r w:rsidRPr="00140702">
        <w:rPr>
          <w:rFonts w:ascii="Arial" w:hAnsi="Arial" w:cs="Arial"/>
        </w:rPr>
        <w:t xml:space="preserve">In order to </w:t>
      </w:r>
      <w:r w:rsidR="003022F4" w:rsidRPr="00140702">
        <w:rPr>
          <w:rFonts w:ascii="Arial" w:hAnsi="Arial" w:cs="Arial"/>
        </w:rPr>
        <w:t>govern</w:t>
      </w:r>
      <w:r w:rsidRPr="00140702">
        <w:rPr>
          <w:rFonts w:ascii="Arial" w:hAnsi="Arial" w:cs="Arial"/>
        </w:rPr>
        <w:t xml:space="preserve"> the economising problem every country (society) </w:t>
      </w:r>
      <w:r w:rsidR="003022F4" w:rsidRPr="00140702">
        <w:rPr>
          <w:rFonts w:ascii="Arial" w:hAnsi="Arial" w:cs="Arial"/>
        </w:rPr>
        <w:t>requires an economic system.</w:t>
      </w:r>
      <w:r w:rsidR="003022F4" w:rsidRPr="00140702">
        <w:rPr>
          <w:rStyle w:val="Funotenzeichen"/>
          <w:rFonts w:ascii="Arial" w:hAnsi="Arial" w:cs="Arial"/>
        </w:rPr>
        <w:footnoteReference w:id="20"/>
      </w:r>
      <w:r w:rsidR="00170D27" w:rsidRPr="00140702">
        <w:rPr>
          <w:rFonts w:ascii="Arial" w:hAnsi="Arial" w:cs="Arial"/>
        </w:rPr>
        <w:t xml:space="preserve"> </w:t>
      </w:r>
      <w:r w:rsidR="00BE16C7" w:rsidRPr="00140702">
        <w:rPr>
          <w:rFonts w:ascii="Arial" w:hAnsi="Arial" w:cs="Arial"/>
        </w:rPr>
        <w:t xml:space="preserve">Consequently, </w:t>
      </w:r>
      <w:r w:rsidR="00583D48" w:rsidRPr="00140702">
        <w:rPr>
          <w:rFonts w:ascii="Arial" w:hAnsi="Arial" w:cs="Arial"/>
        </w:rPr>
        <w:t>a</w:t>
      </w:r>
      <w:r w:rsidR="00170D27" w:rsidRPr="00140702">
        <w:rPr>
          <w:rFonts w:ascii="Arial" w:hAnsi="Arial" w:cs="Arial"/>
        </w:rPr>
        <w:t>n economic system can be described as “a particular set of</w:t>
      </w:r>
      <w:r w:rsidR="00C34589" w:rsidRPr="00140702">
        <w:rPr>
          <w:rFonts w:ascii="Arial" w:hAnsi="Arial" w:cs="Arial"/>
        </w:rPr>
        <w:t xml:space="preserve"> </w:t>
      </w:r>
      <w:r w:rsidR="00170D27" w:rsidRPr="00140702">
        <w:rPr>
          <w:rFonts w:ascii="Arial" w:hAnsi="Arial" w:cs="Arial"/>
        </w:rPr>
        <w:t>institutional arrangements and a coordinating mechanism</w:t>
      </w:r>
      <w:r w:rsidR="00583D48" w:rsidRPr="00140702">
        <w:rPr>
          <w:rFonts w:ascii="Arial" w:hAnsi="Arial" w:cs="Arial"/>
        </w:rPr>
        <w:t xml:space="preserve"> designed to respond to the economising problem.</w:t>
      </w:r>
      <w:r w:rsidR="00170D27" w:rsidRPr="00140702">
        <w:rPr>
          <w:rFonts w:ascii="Arial" w:hAnsi="Arial" w:cs="Arial"/>
        </w:rPr>
        <w:t>”</w:t>
      </w:r>
      <w:r w:rsidR="00583D48" w:rsidRPr="00140702">
        <w:rPr>
          <w:rStyle w:val="Funotenzeichen"/>
          <w:rFonts w:ascii="Arial" w:hAnsi="Arial" w:cs="Arial"/>
        </w:rPr>
        <w:footnoteReference w:id="21"/>
      </w:r>
      <w:r w:rsidR="00C34589" w:rsidRPr="00140702">
        <w:rPr>
          <w:rFonts w:ascii="Arial" w:hAnsi="Arial" w:cs="Arial"/>
        </w:rPr>
        <w:t xml:space="preserve"> Stated differently, the economic system </w:t>
      </w:r>
      <w:r w:rsidR="00272DDC" w:rsidRPr="00140702">
        <w:rPr>
          <w:rFonts w:ascii="Arial" w:hAnsi="Arial" w:cs="Arial"/>
        </w:rPr>
        <w:t>of a country is that</w:t>
      </w:r>
      <w:r w:rsidR="00C34589" w:rsidRPr="00140702">
        <w:rPr>
          <w:rFonts w:ascii="Arial" w:hAnsi="Arial" w:cs="Arial"/>
        </w:rPr>
        <w:t xml:space="preserve"> </w:t>
      </w:r>
      <w:r w:rsidR="00BE16C7" w:rsidRPr="00140702">
        <w:rPr>
          <w:rFonts w:ascii="Arial" w:hAnsi="Arial" w:cs="Arial"/>
        </w:rPr>
        <w:t xml:space="preserve">country’s </w:t>
      </w:r>
      <w:r w:rsidR="00C34589" w:rsidRPr="00140702">
        <w:rPr>
          <w:rFonts w:ascii="Arial" w:hAnsi="Arial" w:cs="Arial"/>
        </w:rPr>
        <w:t>economic policy determin</w:t>
      </w:r>
      <w:r w:rsidR="00272DDC" w:rsidRPr="00140702">
        <w:rPr>
          <w:rFonts w:ascii="Arial" w:hAnsi="Arial" w:cs="Arial"/>
        </w:rPr>
        <w:t>ing</w:t>
      </w:r>
      <w:r w:rsidR="00C34589" w:rsidRPr="00140702">
        <w:rPr>
          <w:rFonts w:ascii="Arial" w:hAnsi="Arial" w:cs="Arial"/>
        </w:rPr>
        <w:t xml:space="preserve"> </w:t>
      </w:r>
      <w:r w:rsidR="006804CC" w:rsidRPr="00140702">
        <w:rPr>
          <w:rFonts w:ascii="Arial" w:hAnsi="Arial" w:cs="Arial"/>
        </w:rPr>
        <w:t xml:space="preserve">among other things, </w:t>
      </w:r>
      <w:r w:rsidR="00C34589" w:rsidRPr="00140702">
        <w:rPr>
          <w:rFonts w:ascii="Arial" w:hAnsi="Arial" w:cs="Arial"/>
        </w:rPr>
        <w:t>which goods and services are to be produced</w:t>
      </w:r>
      <w:r w:rsidR="00BE16C7" w:rsidRPr="00140702">
        <w:rPr>
          <w:rFonts w:ascii="Arial" w:hAnsi="Arial" w:cs="Arial"/>
        </w:rPr>
        <w:t xml:space="preserve"> within that</w:t>
      </w:r>
      <w:r w:rsidR="006804CC" w:rsidRPr="00140702">
        <w:rPr>
          <w:rFonts w:ascii="Arial" w:hAnsi="Arial" w:cs="Arial"/>
        </w:rPr>
        <w:t xml:space="preserve"> country and</w:t>
      </w:r>
      <w:r w:rsidR="00C34589" w:rsidRPr="00140702">
        <w:rPr>
          <w:rFonts w:ascii="Arial" w:hAnsi="Arial" w:cs="Arial"/>
        </w:rPr>
        <w:t xml:space="preserve"> who is going to produce them</w:t>
      </w:r>
      <w:r w:rsidR="006804CC" w:rsidRPr="00140702">
        <w:rPr>
          <w:rFonts w:ascii="Arial" w:hAnsi="Arial" w:cs="Arial"/>
        </w:rPr>
        <w:t>.</w:t>
      </w:r>
      <w:r w:rsidR="006804CC" w:rsidRPr="00140702">
        <w:rPr>
          <w:rStyle w:val="Funotenzeichen"/>
          <w:rFonts w:ascii="Arial" w:hAnsi="Arial" w:cs="Arial"/>
        </w:rPr>
        <w:footnoteReference w:id="22"/>
      </w:r>
      <w:r w:rsidR="00C34589" w:rsidRPr="00140702">
        <w:rPr>
          <w:rFonts w:ascii="Arial" w:hAnsi="Arial" w:cs="Arial"/>
        </w:rPr>
        <w:t xml:space="preserve"> </w:t>
      </w:r>
    </w:p>
    <w:p w:rsidR="00187225" w:rsidRPr="00140702" w:rsidRDefault="00187225" w:rsidP="00140702">
      <w:pPr>
        <w:contextualSpacing/>
        <w:jc w:val="both"/>
        <w:rPr>
          <w:rFonts w:ascii="Arial" w:hAnsi="Arial" w:cs="Arial"/>
        </w:rPr>
      </w:pPr>
    </w:p>
    <w:p w:rsidR="002D630D" w:rsidRPr="00140702" w:rsidRDefault="002D630D" w:rsidP="00140702">
      <w:pPr>
        <w:pStyle w:val="western"/>
        <w:spacing w:line="360" w:lineRule="auto"/>
        <w:contextualSpacing/>
        <w:jc w:val="both"/>
        <w:rPr>
          <w:rFonts w:ascii="Arial" w:hAnsi="Arial" w:cs="Arial"/>
        </w:rPr>
      </w:pPr>
      <w:r w:rsidRPr="00140702">
        <w:rPr>
          <w:rFonts w:ascii="Arial" w:hAnsi="Arial" w:cs="Arial"/>
        </w:rPr>
        <w:t>2.</w:t>
      </w:r>
      <w:r w:rsidR="001F50A7" w:rsidRPr="00140702">
        <w:rPr>
          <w:rFonts w:ascii="Arial" w:hAnsi="Arial" w:cs="Arial"/>
        </w:rPr>
        <w:t>2</w:t>
      </w:r>
      <w:r w:rsidRPr="00140702">
        <w:rPr>
          <w:rFonts w:ascii="Arial" w:hAnsi="Arial" w:cs="Arial"/>
        </w:rPr>
        <w:t>.2 Types of economic systems</w:t>
      </w:r>
    </w:p>
    <w:p w:rsidR="005B0324" w:rsidRPr="00140702" w:rsidRDefault="00187225" w:rsidP="00140702">
      <w:pPr>
        <w:pStyle w:val="western"/>
        <w:spacing w:line="360" w:lineRule="auto"/>
        <w:contextualSpacing/>
        <w:jc w:val="both"/>
        <w:rPr>
          <w:rFonts w:ascii="Arial" w:hAnsi="Arial" w:cs="Arial"/>
        </w:rPr>
      </w:pPr>
      <w:r w:rsidRPr="00140702">
        <w:rPr>
          <w:rFonts w:ascii="Arial" w:hAnsi="Arial" w:cs="Arial"/>
        </w:rPr>
        <w:t>Broadly speaking there are 3 types of economic systems</w:t>
      </w:r>
      <w:r w:rsidR="008D3B94" w:rsidRPr="00140702">
        <w:rPr>
          <w:rFonts w:ascii="Arial" w:hAnsi="Arial" w:cs="Arial"/>
        </w:rPr>
        <w:t xml:space="preserve"> each varying with regard to the owners of the factors of production</w:t>
      </w:r>
      <w:r w:rsidR="008D3B94" w:rsidRPr="00140702">
        <w:rPr>
          <w:rStyle w:val="Funotenzeichen"/>
          <w:rFonts w:ascii="Arial" w:hAnsi="Arial" w:cs="Arial"/>
        </w:rPr>
        <w:footnoteReference w:id="23"/>
      </w:r>
      <w:r w:rsidR="008D3B94" w:rsidRPr="00140702">
        <w:rPr>
          <w:rFonts w:ascii="Arial" w:hAnsi="Arial" w:cs="Arial"/>
        </w:rPr>
        <w:t xml:space="preserve"> and the method used to motivate, coordinate and direct economic activity.</w:t>
      </w:r>
      <w:r w:rsidR="006159DF" w:rsidRPr="00140702">
        <w:rPr>
          <w:rStyle w:val="Funotenzeichen"/>
          <w:rFonts w:ascii="Arial" w:hAnsi="Arial" w:cs="Arial"/>
        </w:rPr>
        <w:footnoteReference w:id="24"/>
      </w:r>
      <w:r w:rsidR="008D3B94" w:rsidRPr="00140702">
        <w:rPr>
          <w:rFonts w:ascii="Arial" w:hAnsi="Arial" w:cs="Arial"/>
        </w:rPr>
        <w:t xml:space="preserve">   </w:t>
      </w:r>
    </w:p>
    <w:p w:rsidR="005B0324" w:rsidRPr="00140702" w:rsidRDefault="005B0324" w:rsidP="00140702">
      <w:pPr>
        <w:pStyle w:val="western"/>
        <w:spacing w:line="360" w:lineRule="auto"/>
        <w:contextualSpacing/>
        <w:jc w:val="both"/>
        <w:rPr>
          <w:rFonts w:ascii="Arial" w:hAnsi="Arial" w:cs="Arial"/>
        </w:rPr>
      </w:pPr>
    </w:p>
    <w:p w:rsidR="002D630D" w:rsidRPr="00140702" w:rsidRDefault="002D630D" w:rsidP="00140702">
      <w:pPr>
        <w:pStyle w:val="western"/>
        <w:spacing w:line="360" w:lineRule="auto"/>
        <w:contextualSpacing/>
        <w:jc w:val="both"/>
        <w:rPr>
          <w:rFonts w:ascii="Arial" w:hAnsi="Arial" w:cs="Arial"/>
        </w:rPr>
      </w:pPr>
      <w:r w:rsidRPr="00140702">
        <w:rPr>
          <w:rFonts w:ascii="Arial" w:hAnsi="Arial" w:cs="Arial"/>
        </w:rPr>
        <w:t>2.</w:t>
      </w:r>
      <w:r w:rsidR="001F50A7" w:rsidRPr="00140702">
        <w:rPr>
          <w:rFonts w:ascii="Arial" w:hAnsi="Arial" w:cs="Arial"/>
        </w:rPr>
        <w:t>2</w:t>
      </w:r>
      <w:r w:rsidRPr="00140702">
        <w:rPr>
          <w:rFonts w:ascii="Arial" w:hAnsi="Arial" w:cs="Arial"/>
        </w:rPr>
        <w:t>.2.1 The planned system</w:t>
      </w:r>
    </w:p>
    <w:p w:rsidR="007D4B88" w:rsidRPr="00140702" w:rsidRDefault="000969A2" w:rsidP="00140702">
      <w:pPr>
        <w:pStyle w:val="western"/>
        <w:spacing w:line="360" w:lineRule="auto"/>
        <w:contextualSpacing/>
        <w:jc w:val="both"/>
        <w:rPr>
          <w:rFonts w:ascii="Arial" w:hAnsi="Arial" w:cs="Arial"/>
        </w:rPr>
      </w:pPr>
      <w:r w:rsidRPr="00140702">
        <w:rPr>
          <w:rFonts w:ascii="Arial" w:hAnsi="Arial" w:cs="Arial"/>
        </w:rPr>
        <w:t>The f</w:t>
      </w:r>
      <w:r w:rsidR="00676300" w:rsidRPr="00140702">
        <w:rPr>
          <w:rFonts w:ascii="Arial" w:hAnsi="Arial" w:cs="Arial"/>
        </w:rPr>
        <w:t>irst</w:t>
      </w:r>
      <w:r w:rsidRPr="00140702">
        <w:rPr>
          <w:rFonts w:ascii="Arial" w:hAnsi="Arial" w:cs="Arial"/>
        </w:rPr>
        <w:t xml:space="preserve"> type of economic system is called the</w:t>
      </w:r>
      <w:r w:rsidR="009F1DEC" w:rsidRPr="00140702">
        <w:rPr>
          <w:rFonts w:ascii="Arial" w:hAnsi="Arial" w:cs="Arial"/>
        </w:rPr>
        <w:t xml:space="preserve"> command or planned system.</w:t>
      </w:r>
      <w:r w:rsidR="007D4B88" w:rsidRPr="00140702">
        <w:rPr>
          <w:rStyle w:val="Funotenzeichen"/>
          <w:rFonts w:ascii="Arial" w:hAnsi="Arial" w:cs="Arial"/>
        </w:rPr>
        <w:footnoteReference w:id="25"/>
      </w:r>
      <w:r w:rsidR="009F1DEC" w:rsidRPr="00140702">
        <w:rPr>
          <w:rFonts w:ascii="Arial" w:hAnsi="Arial" w:cs="Arial"/>
        </w:rPr>
        <w:t xml:space="preserve"> In this economic system</w:t>
      </w:r>
      <w:r w:rsidR="005B0324" w:rsidRPr="00140702">
        <w:rPr>
          <w:rFonts w:ascii="Arial" w:hAnsi="Arial" w:cs="Arial"/>
        </w:rPr>
        <w:t>,</w:t>
      </w:r>
      <w:r w:rsidR="009F1DEC" w:rsidRPr="00140702">
        <w:rPr>
          <w:rFonts w:ascii="Arial" w:hAnsi="Arial" w:cs="Arial"/>
        </w:rPr>
        <w:t xml:space="preserve"> property resources</w:t>
      </w:r>
      <w:r w:rsidR="001524FE" w:rsidRPr="00140702">
        <w:rPr>
          <w:rStyle w:val="Funotenzeichen"/>
          <w:rFonts w:ascii="Arial" w:hAnsi="Arial" w:cs="Arial"/>
        </w:rPr>
        <w:footnoteReference w:id="26"/>
      </w:r>
      <w:r w:rsidR="009F1DEC" w:rsidRPr="00140702">
        <w:rPr>
          <w:rFonts w:ascii="Arial" w:hAnsi="Arial" w:cs="Arial"/>
        </w:rPr>
        <w:t xml:space="preserve"> are owned by the </w:t>
      </w:r>
      <w:r w:rsidR="007D4B88" w:rsidRPr="00140702">
        <w:rPr>
          <w:rFonts w:ascii="Arial" w:hAnsi="Arial" w:cs="Arial"/>
        </w:rPr>
        <w:t>government</w:t>
      </w:r>
      <w:r w:rsidR="009F1DEC" w:rsidRPr="00140702">
        <w:rPr>
          <w:rFonts w:ascii="Arial" w:hAnsi="Arial" w:cs="Arial"/>
        </w:rPr>
        <w:t xml:space="preserve"> </w:t>
      </w:r>
      <w:r w:rsidR="005B0324" w:rsidRPr="00140702">
        <w:rPr>
          <w:rFonts w:ascii="Arial" w:hAnsi="Arial" w:cs="Arial"/>
        </w:rPr>
        <w:t>and decision</w:t>
      </w:r>
      <w:r w:rsidR="007D4B88" w:rsidRPr="00140702">
        <w:rPr>
          <w:rFonts w:ascii="Arial" w:hAnsi="Arial" w:cs="Arial"/>
        </w:rPr>
        <w:t>s</w:t>
      </w:r>
      <w:r w:rsidR="005B0324" w:rsidRPr="00140702">
        <w:rPr>
          <w:rFonts w:ascii="Arial" w:hAnsi="Arial" w:cs="Arial"/>
        </w:rPr>
        <w:t xml:space="preserve"> regarding the use of economic resources, </w:t>
      </w:r>
      <w:r w:rsidR="007D4B88" w:rsidRPr="00140702">
        <w:rPr>
          <w:rFonts w:ascii="Arial" w:hAnsi="Arial" w:cs="Arial"/>
        </w:rPr>
        <w:t xml:space="preserve">the </w:t>
      </w:r>
      <w:r w:rsidR="005B0324" w:rsidRPr="00140702">
        <w:rPr>
          <w:rFonts w:ascii="Arial" w:hAnsi="Arial" w:cs="Arial"/>
        </w:rPr>
        <w:t xml:space="preserve">distribution of goods and services and also prices are </w:t>
      </w:r>
      <w:r w:rsidR="00E2489B" w:rsidRPr="00140702">
        <w:rPr>
          <w:rFonts w:ascii="Arial" w:hAnsi="Arial" w:cs="Arial"/>
        </w:rPr>
        <w:t>made</w:t>
      </w:r>
      <w:r w:rsidR="005B0324" w:rsidRPr="00140702">
        <w:rPr>
          <w:rFonts w:ascii="Arial" w:hAnsi="Arial" w:cs="Arial"/>
        </w:rPr>
        <w:t xml:space="preserve"> by the </w:t>
      </w:r>
      <w:r w:rsidR="007D4B88" w:rsidRPr="00140702">
        <w:rPr>
          <w:rFonts w:ascii="Arial" w:hAnsi="Arial" w:cs="Arial"/>
        </w:rPr>
        <w:t>government</w:t>
      </w:r>
      <w:r w:rsidR="005B0324" w:rsidRPr="00140702">
        <w:rPr>
          <w:rFonts w:ascii="Arial" w:hAnsi="Arial" w:cs="Arial"/>
        </w:rPr>
        <w:t>.</w:t>
      </w:r>
      <w:r w:rsidR="00374B15" w:rsidRPr="00140702">
        <w:rPr>
          <w:rStyle w:val="Funotenzeichen"/>
          <w:rFonts w:ascii="Arial" w:hAnsi="Arial" w:cs="Arial"/>
        </w:rPr>
        <w:footnoteReference w:id="27"/>
      </w:r>
      <w:r w:rsidR="005B0324" w:rsidRPr="00140702">
        <w:rPr>
          <w:rFonts w:ascii="Arial" w:hAnsi="Arial" w:cs="Arial"/>
        </w:rPr>
        <w:t xml:space="preserve"> </w:t>
      </w:r>
    </w:p>
    <w:p w:rsidR="007D4B88" w:rsidRPr="00140702" w:rsidRDefault="007D4B88" w:rsidP="00140702">
      <w:pPr>
        <w:pStyle w:val="western"/>
        <w:spacing w:line="360" w:lineRule="auto"/>
        <w:contextualSpacing/>
        <w:jc w:val="both"/>
        <w:rPr>
          <w:rFonts w:ascii="Arial" w:hAnsi="Arial" w:cs="Arial"/>
        </w:rPr>
      </w:pPr>
    </w:p>
    <w:p w:rsidR="00C47EBA" w:rsidRPr="00140702" w:rsidRDefault="005B0324" w:rsidP="00140702">
      <w:pPr>
        <w:pStyle w:val="western"/>
        <w:spacing w:line="360" w:lineRule="auto"/>
        <w:contextualSpacing/>
        <w:jc w:val="both"/>
        <w:rPr>
          <w:rFonts w:ascii="Arial" w:hAnsi="Arial" w:cs="Arial"/>
        </w:rPr>
      </w:pPr>
      <w:r w:rsidRPr="00140702">
        <w:rPr>
          <w:rFonts w:ascii="Arial" w:hAnsi="Arial" w:cs="Arial"/>
        </w:rPr>
        <w:t xml:space="preserve">Accordingly, in </w:t>
      </w:r>
      <w:r w:rsidR="00625CF5" w:rsidRPr="00140702">
        <w:rPr>
          <w:rFonts w:ascii="Arial" w:hAnsi="Arial" w:cs="Arial"/>
        </w:rPr>
        <w:t xml:space="preserve">the </w:t>
      </w:r>
      <w:r w:rsidR="007D4B88" w:rsidRPr="00140702">
        <w:rPr>
          <w:rFonts w:ascii="Arial" w:hAnsi="Arial" w:cs="Arial"/>
        </w:rPr>
        <w:t>planned</w:t>
      </w:r>
      <w:r w:rsidR="00625CF5" w:rsidRPr="00140702">
        <w:rPr>
          <w:rFonts w:ascii="Arial" w:hAnsi="Arial" w:cs="Arial"/>
        </w:rPr>
        <w:t xml:space="preserve"> system the economy is controlled and directed by the </w:t>
      </w:r>
      <w:r w:rsidR="007D4B88" w:rsidRPr="00140702">
        <w:rPr>
          <w:rFonts w:ascii="Arial" w:hAnsi="Arial" w:cs="Arial"/>
        </w:rPr>
        <w:t>government</w:t>
      </w:r>
      <w:r w:rsidR="00625CF5" w:rsidRPr="00140702">
        <w:rPr>
          <w:rFonts w:ascii="Arial" w:hAnsi="Arial" w:cs="Arial"/>
        </w:rPr>
        <w:t xml:space="preserve"> and therefore </w:t>
      </w:r>
      <w:r w:rsidR="007D4B88" w:rsidRPr="00140702">
        <w:rPr>
          <w:rFonts w:ascii="Arial" w:hAnsi="Arial" w:cs="Arial"/>
        </w:rPr>
        <w:t xml:space="preserve">the </w:t>
      </w:r>
      <w:r w:rsidR="00625CF5" w:rsidRPr="00140702">
        <w:rPr>
          <w:rFonts w:ascii="Arial" w:hAnsi="Arial" w:cs="Arial"/>
        </w:rPr>
        <w:t>market forces</w:t>
      </w:r>
      <w:r w:rsidR="00924BCC" w:rsidRPr="00140702">
        <w:rPr>
          <w:rStyle w:val="Funotenzeichen"/>
          <w:rFonts w:ascii="Arial" w:hAnsi="Arial" w:cs="Arial"/>
        </w:rPr>
        <w:footnoteReference w:id="28"/>
      </w:r>
      <w:r w:rsidR="00625CF5" w:rsidRPr="00140702">
        <w:rPr>
          <w:rFonts w:ascii="Arial" w:hAnsi="Arial" w:cs="Arial"/>
        </w:rPr>
        <w:t xml:space="preserve"> play an insignificant role in that economy.</w:t>
      </w:r>
      <w:r w:rsidR="009C0913" w:rsidRPr="00140702">
        <w:rPr>
          <w:rStyle w:val="Funotenzeichen"/>
          <w:rFonts w:ascii="Arial" w:hAnsi="Arial" w:cs="Arial"/>
        </w:rPr>
        <w:footnoteReference w:id="29"/>
      </w:r>
      <w:r w:rsidR="003C6A62" w:rsidRPr="00140702">
        <w:rPr>
          <w:rFonts w:ascii="Arial" w:hAnsi="Arial" w:cs="Arial"/>
        </w:rPr>
        <w:t xml:space="preserve"> </w:t>
      </w:r>
      <w:r w:rsidR="009C0913" w:rsidRPr="00140702">
        <w:rPr>
          <w:rFonts w:ascii="Arial" w:hAnsi="Arial" w:cs="Arial"/>
        </w:rPr>
        <w:t>The allocatio</w:t>
      </w:r>
      <w:r w:rsidR="00F73D97" w:rsidRPr="00140702">
        <w:rPr>
          <w:rFonts w:ascii="Arial" w:hAnsi="Arial" w:cs="Arial"/>
        </w:rPr>
        <w:t xml:space="preserve">n of resources between consumer goods </w:t>
      </w:r>
      <w:r w:rsidR="009C0913" w:rsidRPr="00140702">
        <w:rPr>
          <w:rFonts w:ascii="Arial" w:hAnsi="Arial" w:cs="Arial"/>
        </w:rPr>
        <w:t xml:space="preserve">and capital </w:t>
      </w:r>
      <w:r w:rsidR="00F73D97" w:rsidRPr="00140702">
        <w:rPr>
          <w:rFonts w:ascii="Arial" w:hAnsi="Arial" w:cs="Arial"/>
        </w:rPr>
        <w:t xml:space="preserve">goods </w:t>
      </w:r>
      <w:r w:rsidR="009C0913" w:rsidRPr="00140702">
        <w:rPr>
          <w:rFonts w:ascii="Arial" w:hAnsi="Arial" w:cs="Arial"/>
        </w:rPr>
        <w:t xml:space="preserve">is also determined </w:t>
      </w:r>
      <w:r w:rsidR="00F73D97" w:rsidRPr="00140702">
        <w:rPr>
          <w:rFonts w:ascii="Arial" w:hAnsi="Arial" w:cs="Arial"/>
        </w:rPr>
        <w:t xml:space="preserve">by </w:t>
      </w:r>
      <w:r w:rsidR="009C0913" w:rsidRPr="00140702">
        <w:rPr>
          <w:rFonts w:ascii="Arial" w:hAnsi="Arial" w:cs="Arial"/>
        </w:rPr>
        <w:t xml:space="preserve">the </w:t>
      </w:r>
      <w:r w:rsidR="00F73D97" w:rsidRPr="00140702">
        <w:rPr>
          <w:rFonts w:ascii="Arial" w:hAnsi="Arial" w:cs="Arial"/>
        </w:rPr>
        <w:t>government</w:t>
      </w:r>
      <w:r w:rsidR="009C0913" w:rsidRPr="00140702">
        <w:rPr>
          <w:rFonts w:ascii="Arial" w:hAnsi="Arial" w:cs="Arial"/>
        </w:rPr>
        <w:t>.</w:t>
      </w:r>
      <w:r w:rsidR="009C0913" w:rsidRPr="00140702">
        <w:rPr>
          <w:rStyle w:val="Funotenzeichen"/>
          <w:rFonts w:ascii="Arial" w:hAnsi="Arial" w:cs="Arial"/>
        </w:rPr>
        <w:footnoteReference w:id="30"/>
      </w:r>
      <w:r w:rsidR="009C0913" w:rsidRPr="00140702">
        <w:rPr>
          <w:rFonts w:ascii="Arial" w:hAnsi="Arial" w:cs="Arial"/>
        </w:rPr>
        <w:t xml:space="preserve"> </w:t>
      </w:r>
    </w:p>
    <w:p w:rsidR="00C47EBA" w:rsidRPr="00140702" w:rsidRDefault="00C47EBA" w:rsidP="00140702">
      <w:pPr>
        <w:pStyle w:val="western"/>
        <w:spacing w:line="360" w:lineRule="auto"/>
        <w:contextualSpacing/>
        <w:jc w:val="both"/>
        <w:rPr>
          <w:rFonts w:ascii="Arial" w:hAnsi="Arial" w:cs="Arial"/>
        </w:rPr>
      </w:pPr>
    </w:p>
    <w:p w:rsidR="005B0324" w:rsidRPr="00140702" w:rsidRDefault="00F73D97" w:rsidP="00140702">
      <w:pPr>
        <w:pStyle w:val="western"/>
        <w:spacing w:line="360" w:lineRule="auto"/>
        <w:contextualSpacing/>
        <w:jc w:val="both"/>
        <w:rPr>
          <w:rFonts w:ascii="Arial" w:hAnsi="Arial" w:cs="Arial"/>
        </w:rPr>
      </w:pPr>
      <w:r w:rsidRPr="00140702">
        <w:rPr>
          <w:rFonts w:ascii="Arial" w:hAnsi="Arial" w:cs="Arial"/>
        </w:rPr>
        <w:t>T</w:t>
      </w:r>
      <w:r w:rsidR="009C0913" w:rsidRPr="00140702">
        <w:rPr>
          <w:rFonts w:ascii="Arial" w:hAnsi="Arial" w:cs="Arial"/>
        </w:rPr>
        <w:t xml:space="preserve">he command or planned economic system </w:t>
      </w:r>
      <w:r w:rsidRPr="00140702">
        <w:rPr>
          <w:rFonts w:ascii="Arial" w:hAnsi="Arial" w:cs="Arial"/>
        </w:rPr>
        <w:t>is sometimes referred to as</w:t>
      </w:r>
      <w:r w:rsidR="009C0913" w:rsidRPr="00140702">
        <w:rPr>
          <w:rFonts w:ascii="Arial" w:hAnsi="Arial" w:cs="Arial"/>
        </w:rPr>
        <w:t xml:space="preserve"> socialism or communism.</w:t>
      </w:r>
      <w:r w:rsidR="009C0913" w:rsidRPr="00140702">
        <w:rPr>
          <w:rStyle w:val="Funotenzeichen"/>
          <w:rFonts w:ascii="Arial" w:hAnsi="Arial" w:cs="Arial"/>
        </w:rPr>
        <w:footnoteReference w:id="31"/>
      </w:r>
      <w:r w:rsidR="009C0913" w:rsidRPr="00140702">
        <w:rPr>
          <w:rFonts w:ascii="Arial" w:hAnsi="Arial" w:cs="Arial"/>
        </w:rPr>
        <w:t xml:space="preserve"> </w:t>
      </w:r>
      <w:r w:rsidR="00855760" w:rsidRPr="00140702">
        <w:rPr>
          <w:rFonts w:ascii="Arial" w:hAnsi="Arial" w:cs="Arial"/>
        </w:rPr>
        <w:t xml:space="preserve">The most important failure of the planned </w:t>
      </w:r>
      <w:r w:rsidR="003C6A62" w:rsidRPr="00140702">
        <w:rPr>
          <w:rFonts w:ascii="Arial" w:hAnsi="Arial" w:cs="Arial"/>
        </w:rPr>
        <w:t>system</w:t>
      </w:r>
      <w:r w:rsidR="00855760" w:rsidRPr="00140702">
        <w:rPr>
          <w:rFonts w:ascii="Arial" w:hAnsi="Arial" w:cs="Arial"/>
        </w:rPr>
        <w:t xml:space="preserve"> is its failure to determine the efficient allocation</w:t>
      </w:r>
      <w:r w:rsidR="004A6650" w:rsidRPr="00140702">
        <w:rPr>
          <w:rStyle w:val="Funotenzeichen"/>
          <w:rFonts w:ascii="Arial" w:hAnsi="Arial" w:cs="Arial"/>
        </w:rPr>
        <w:footnoteReference w:id="32"/>
      </w:r>
      <w:r w:rsidR="00855760" w:rsidRPr="00140702">
        <w:rPr>
          <w:rFonts w:ascii="Arial" w:hAnsi="Arial" w:cs="Arial"/>
        </w:rPr>
        <w:t xml:space="preserve"> of the scarce economic resources.</w:t>
      </w:r>
      <w:r w:rsidR="00E60FA7" w:rsidRPr="00140702">
        <w:rPr>
          <w:rStyle w:val="Funotenzeichen"/>
          <w:rFonts w:ascii="Arial" w:hAnsi="Arial" w:cs="Arial"/>
        </w:rPr>
        <w:footnoteReference w:id="33"/>
      </w:r>
    </w:p>
    <w:p w:rsidR="00B4218A" w:rsidRPr="00140702" w:rsidRDefault="00B4218A" w:rsidP="00140702">
      <w:pPr>
        <w:pStyle w:val="western"/>
        <w:spacing w:line="360" w:lineRule="auto"/>
        <w:contextualSpacing/>
        <w:jc w:val="both"/>
        <w:rPr>
          <w:rFonts w:ascii="Arial" w:hAnsi="Arial" w:cs="Arial"/>
        </w:rPr>
      </w:pPr>
    </w:p>
    <w:p w:rsidR="002D630D" w:rsidRPr="00140702" w:rsidRDefault="002D630D" w:rsidP="00140702">
      <w:pPr>
        <w:pStyle w:val="western"/>
        <w:spacing w:line="360" w:lineRule="auto"/>
        <w:contextualSpacing/>
        <w:jc w:val="both"/>
        <w:rPr>
          <w:rFonts w:ascii="Arial" w:hAnsi="Arial" w:cs="Arial"/>
        </w:rPr>
      </w:pPr>
      <w:r w:rsidRPr="00140702">
        <w:rPr>
          <w:rFonts w:ascii="Arial" w:hAnsi="Arial" w:cs="Arial"/>
        </w:rPr>
        <w:t>2.</w:t>
      </w:r>
      <w:r w:rsidR="003C6A62" w:rsidRPr="00140702">
        <w:rPr>
          <w:rFonts w:ascii="Arial" w:hAnsi="Arial" w:cs="Arial"/>
        </w:rPr>
        <w:t>2</w:t>
      </w:r>
      <w:r w:rsidRPr="00140702">
        <w:rPr>
          <w:rFonts w:ascii="Arial" w:hAnsi="Arial" w:cs="Arial"/>
        </w:rPr>
        <w:t>.2.2 The market system</w:t>
      </w:r>
    </w:p>
    <w:p w:rsidR="00AB401F" w:rsidRPr="00140702" w:rsidRDefault="00B4218A" w:rsidP="00140702">
      <w:pPr>
        <w:pStyle w:val="western"/>
        <w:spacing w:line="360" w:lineRule="auto"/>
        <w:contextualSpacing/>
        <w:jc w:val="both"/>
        <w:rPr>
          <w:rFonts w:ascii="Arial" w:hAnsi="Arial" w:cs="Arial"/>
        </w:rPr>
      </w:pPr>
      <w:r w:rsidRPr="00140702">
        <w:rPr>
          <w:rFonts w:ascii="Arial" w:hAnsi="Arial" w:cs="Arial"/>
        </w:rPr>
        <w:t xml:space="preserve">The second type of economic system is called </w:t>
      </w:r>
      <w:r w:rsidR="00D90CD4" w:rsidRPr="00140702">
        <w:rPr>
          <w:rFonts w:ascii="Arial" w:hAnsi="Arial" w:cs="Arial"/>
        </w:rPr>
        <w:t>the market system.</w:t>
      </w:r>
      <w:r w:rsidR="0090144D" w:rsidRPr="00140702">
        <w:rPr>
          <w:rStyle w:val="Funotenzeichen"/>
          <w:rFonts w:ascii="Arial" w:hAnsi="Arial" w:cs="Arial"/>
        </w:rPr>
        <w:footnoteReference w:id="34"/>
      </w:r>
      <w:r w:rsidR="002B4BA3" w:rsidRPr="00140702">
        <w:rPr>
          <w:rFonts w:ascii="Arial" w:hAnsi="Arial" w:cs="Arial"/>
        </w:rPr>
        <w:t xml:space="preserve"> The market system is “characterised by private ownership of </w:t>
      </w:r>
      <w:r w:rsidR="003A514D" w:rsidRPr="00140702">
        <w:rPr>
          <w:rFonts w:ascii="Arial" w:hAnsi="Arial" w:cs="Arial"/>
        </w:rPr>
        <w:t xml:space="preserve">property </w:t>
      </w:r>
      <w:r w:rsidR="002B4BA3" w:rsidRPr="00140702">
        <w:rPr>
          <w:rFonts w:ascii="Arial" w:hAnsi="Arial" w:cs="Arial"/>
        </w:rPr>
        <w:t>resources and the use of markets and prices to coordinate and direct economic activity.”</w:t>
      </w:r>
      <w:r w:rsidR="002B4BA3" w:rsidRPr="00140702">
        <w:rPr>
          <w:rStyle w:val="Funotenzeichen"/>
          <w:rFonts w:ascii="Arial" w:hAnsi="Arial" w:cs="Arial"/>
        </w:rPr>
        <w:footnoteReference w:id="35"/>
      </w:r>
      <w:r w:rsidR="00372A16" w:rsidRPr="00140702">
        <w:rPr>
          <w:rFonts w:ascii="Arial" w:hAnsi="Arial" w:cs="Arial"/>
        </w:rPr>
        <w:t xml:space="preserve"> More specifically</w:t>
      </w:r>
      <w:r w:rsidR="00AB401F" w:rsidRPr="00140702">
        <w:rPr>
          <w:rFonts w:ascii="Arial" w:hAnsi="Arial" w:cs="Arial"/>
        </w:rPr>
        <w:t>,</w:t>
      </w:r>
      <w:r w:rsidR="00E5560D" w:rsidRPr="00140702">
        <w:rPr>
          <w:rFonts w:ascii="Arial" w:hAnsi="Arial" w:cs="Arial"/>
        </w:rPr>
        <w:t xml:space="preserve"> this economic system permits</w:t>
      </w:r>
      <w:r w:rsidR="00372A16" w:rsidRPr="00140702">
        <w:rPr>
          <w:rFonts w:ascii="Arial" w:hAnsi="Arial" w:cs="Arial"/>
        </w:rPr>
        <w:t xml:space="preserve"> the private ownership of capital,</w:t>
      </w:r>
      <w:r w:rsidR="00E5560D" w:rsidRPr="00140702">
        <w:rPr>
          <w:rFonts w:ascii="Arial" w:hAnsi="Arial" w:cs="Arial"/>
        </w:rPr>
        <w:t xml:space="preserve"> it</w:t>
      </w:r>
      <w:r w:rsidR="00372A16" w:rsidRPr="00140702">
        <w:rPr>
          <w:rFonts w:ascii="Arial" w:hAnsi="Arial" w:cs="Arial"/>
        </w:rPr>
        <w:t xml:space="preserve"> communicates through prices and </w:t>
      </w:r>
      <w:r w:rsidR="006F44B1" w:rsidRPr="00140702">
        <w:rPr>
          <w:rFonts w:ascii="Arial" w:hAnsi="Arial" w:cs="Arial"/>
        </w:rPr>
        <w:t>coordinate</w:t>
      </w:r>
      <w:r w:rsidR="00372A16" w:rsidRPr="00140702">
        <w:rPr>
          <w:rFonts w:ascii="Arial" w:hAnsi="Arial" w:cs="Arial"/>
        </w:rPr>
        <w:t xml:space="preserve"> and </w:t>
      </w:r>
      <w:r w:rsidR="006F44B1" w:rsidRPr="00140702">
        <w:rPr>
          <w:rFonts w:ascii="Arial" w:hAnsi="Arial" w:cs="Arial"/>
        </w:rPr>
        <w:t>direct</w:t>
      </w:r>
      <w:r w:rsidR="00372A16" w:rsidRPr="00140702">
        <w:rPr>
          <w:rFonts w:ascii="Arial" w:hAnsi="Arial" w:cs="Arial"/>
        </w:rPr>
        <w:t xml:space="preserve"> economic activity through markets.</w:t>
      </w:r>
      <w:r w:rsidR="00372A16" w:rsidRPr="00140702">
        <w:rPr>
          <w:rStyle w:val="Funotenzeichen"/>
          <w:rFonts w:ascii="Arial" w:hAnsi="Arial" w:cs="Arial"/>
        </w:rPr>
        <w:footnoteReference w:id="36"/>
      </w:r>
      <w:r w:rsidR="006F44B1" w:rsidRPr="00140702">
        <w:rPr>
          <w:rFonts w:ascii="Arial" w:hAnsi="Arial" w:cs="Arial"/>
        </w:rPr>
        <w:t xml:space="preserve"> </w:t>
      </w:r>
      <w:r w:rsidR="00DE61EF" w:rsidRPr="00140702">
        <w:rPr>
          <w:rFonts w:ascii="Arial" w:hAnsi="Arial" w:cs="Arial"/>
        </w:rPr>
        <w:t xml:space="preserve">The result of this economic system is the creation of competition between the individual consumers and the individual </w:t>
      </w:r>
      <w:r w:rsidR="003D30F9" w:rsidRPr="00140702">
        <w:rPr>
          <w:rFonts w:ascii="Arial" w:hAnsi="Arial" w:cs="Arial"/>
        </w:rPr>
        <w:t>firm</w:t>
      </w:r>
      <w:r w:rsidR="00DE61EF" w:rsidRPr="00140702">
        <w:rPr>
          <w:rFonts w:ascii="Arial" w:hAnsi="Arial" w:cs="Arial"/>
        </w:rPr>
        <w:t>s.</w:t>
      </w:r>
      <w:r w:rsidR="00DE61EF" w:rsidRPr="00140702">
        <w:rPr>
          <w:rStyle w:val="Funotenzeichen"/>
          <w:rFonts w:ascii="Arial" w:hAnsi="Arial" w:cs="Arial"/>
        </w:rPr>
        <w:footnoteReference w:id="37"/>
      </w:r>
      <w:r w:rsidR="00DE61EF" w:rsidRPr="00140702">
        <w:rPr>
          <w:rFonts w:ascii="Arial" w:hAnsi="Arial" w:cs="Arial"/>
        </w:rPr>
        <w:t xml:space="preserve"> </w:t>
      </w:r>
    </w:p>
    <w:p w:rsidR="002F1F74" w:rsidRPr="00140702" w:rsidRDefault="002F1F74" w:rsidP="00140702">
      <w:pPr>
        <w:pStyle w:val="western"/>
        <w:spacing w:line="360" w:lineRule="auto"/>
        <w:contextualSpacing/>
        <w:jc w:val="both"/>
        <w:rPr>
          <w:rFonts w:ascii="Arial" w:hAnsi="Arial" w:cs="Arial"/>
        </w:rPr>
      </w:pPr>
    </w:p>
    <w:p w:rsidR="007805F9" w:rsidRPr="00140702" w:rsidRDefault="00DE61EF" w:rsidP="00140702">
      <w:pPr>
        <w:pStyle w:val="western"/>
        <w:spacing w:line="360" w:lineRule="auto"/>
        <w:contextualSpacing/>
        <w:jc w:val="both"/>
        <w:rPr>
          <w:rFonts w:ascii="Arial" w:hAnsi="Arial" w:cs="Arial"/>
        </w:rPr>
      </w:pPr>
      <w:r w:rsidRPr="00140702">
        <w:rPr>
          <w:rFonts w:ascii="Arial" w:hAnsi="Arial" w:cs="Arial"/>
        </w:rPr>
        <w:t xml:space="preserve">More </w:t>
      </w:r>
      <w:r w:rsidR="00AB401F" w:rsidRPr="00140702">
        <w:rPr>
          <w:rFonts w:ascii="Arial" w:hAnsi="Arial" w:cs="Arial"/>
        </w:rPr>
        <w:t>importantly</w:t>
      </w:r>
      <w:r w:rsidRPr="00140702">
        <w:rPr>
          <w:rFonts w:ascii="Arial" w:hAnsi="Arial" w:cs="Arial"/>
        </w:rPr>
        <w:t xml:space="preserve">, this economic system creates what is called “free competition” because it ensures that anyone who wants to participate in the economy </w:t>
      </w:r>
      <w:r w:rsidR="000765AA" w:rsidRPr="00140702">
        <w:rPr>
          <w:rFonts w:ascii="Arial" w:hAnsi="Arial" w:cs="Arial"/>
        </w:rPr>
        <w:t>is</w:t>
      </w:r>
      <w:r w:rsidR="00F659A3" w:rsidRPr="00140702">
        <w:rPr>
          <w:rFonts w:ascii="Arial" w:hAnsi="Arial" w:cs="Arial"/>
        </w:rPr>
        <w:t xml:space="preserve"> able and</w:t>
      </w:r>
      <w:r w:rsidR="000765AA" w:rsidRPr="00140702">
        <w:rPr>
          <w:rFonts w:ascii="Arial" w:hAnsi="Arial" w:cs="Arial"/>
        </w:rPr>
        <w:t xml:space="preserve"> </w:t>
      </w:r>
      <w:r w:rsidRPr="00140702">
        <w:rPr>
          <w:rFonts w:ascii="Arial" w:hAnsi="Arial" w:cs="Arial"/>
        </w:rPr>
        <w:t>permitted to do so.</w:t>
      </w:r>
      <w:r w:rsidR="00A13E01" w:rsidRPr="00140702">
        <w:rPr>
          <w:rStyle w:val="Funotenzeichen"/>
          <w:rFonts w:ascii="Arial" w:hAnsi="Arial" w:cs="Arial"/>
        </w:rPr>
        <w:footnoteReference w:id="38"/>
      </w:r>
      <w:r w:rsidRPr="00140702">
        <w:rPr>
          <w:rFonts w:ascii="Arial" w:hAnsi="Arial" w:cs="Arial"/>
        </w:rPr>
        <w:t xml:space="preserve"> </w:t>
      </w:r>
    </w:p>
    <w:p w:rsidR="002F1F74" w:rsidRPr="00140702" w:rsidRDefault="002F1F74" w:rsidP="00140702">
      <w:pPr>
        <w:pStyle w:val="western"/>
        <w:spacing w:line="360" w:lineRule="auto"/>
        <w:contextualSpacing/>
        <w:jc w:val="both"/>
        <w:rPr>
          <w:rFonts w:ascii="Arial" w:hAnsi="Arial" w:cs="Arial"/>
        </w:rPr>
      </w:pPr>
    </w:p>
    <w:p w:rsidR="00DE61EF" w:rsidRPr="00140702" w:rsidRDefault="00BE0B54" w:rsidP="00140702">
      <w:pPr>
        <w:pStyle w:val="western"/>
        <w:spacing w:line="360" w:lineRule="auto"/>
        <w:contextualSpacing/>
        <w:jc w:val="both"/>
        <w:rPr>
          <w:rFonts w:ascii="Arial" w:hAnsi="Arial" w:cs="Arial"/>
        </w:rPr>
      </w:pPr>
      <w:r w:rsidRPr="00140702">
        <w:rPr>
          <w:rFonts w:ascii="Arial" w:hAnsi="Arial" w:cs="Arial"/>
        </w:rPr>
        <w:t xml:space="preserve">Of primary importance for </w:t>
      </w:r>
      <w:r w:rsidR="00E5560D" w:rsidRPr="00140702">
        <w:rPr>
          <w:rFonts w:ascii="Arial" w:hAnsi="Arial" w:cs="Arial"/>
        </w:rPr>
        <w:t>the</w:t>
      </w:r>
      <w:r w:rsidRPr="00140702">
        <w:rPr>
          <w:rFonts w:ascii="Arial" w:hAnsi="Arial" w:cs="Arial"/>
        </w:rPr>
        <w:t xml:space="preserve"> market</w:t>
      </w:r>
      <w:r w:rsidR="00E5560D" w:rsidRPr="00140702">
        <w:rPr>
          <w:rFonts w:ascii="Arial" w:hAnsi="Arial" w:cs="Arial"/>
        </w:rPr>
        <w:t xml:space="preserve"> system (free market)</w:t>
      </w:r>
      <w:r w:rsidRPr="00140702">
        <w:rPr>
          <w:rFonts w:ascii="Arial" w:hAnsi="Arial" w:cs="Arial"/>
        </w:rPr>
        <w:t xml:space="preserve"> is the idea of </w:t>
      </w:r>
      <w:r w:rsidRPr="00140702">
        <w:rPr>
          <w:rFonts w:ascii="Arial" w:hAnsi="Arial" w:cs="Arial"/>
          <w:i/>
        </w:rPr>
        <w:t xml:space="preserve">laissez </w:t>
      </w:r>
      <w:r w:rsidR="00512452" w:rsidRPr="00140702">
        <w:rPr>
          <w:rFonts w:ascii="Arial" w:hAnsi="Arial" w:cs="Arial"/>
          <w:i/>
        </w:rPr>
        <w:t>–faire</w:t>
      </w:r>
      <w:r w:rsidR="00075F5F" w:rsidRPr="00140702">
        <w:rPr>
          <w:rStyle w:val="Funotenzeichen"/>
          <w:rFonts w:ascii="Arial" w:hAnsi="Arial" w:cs="Arial"/>
          <w:i/>
        </w:rPr>
        <w:footnoteReference w:id="39"/>
      </w:r>
      <w:r w:rsidR="00512452" w:rsidRPr="00140702">
        <w:rPr>
          <w:rFonts w:ascii="Arial" w:hAnsi="Arial" w:cs="Arial"/>
        </w:rPr>
        <w:t xml:space="preserve"> which implies little or no </w:t>
      </w:r>
      <w:r w:rsidR="007743F6" w:rsidRPr="00140702">
        <w:rPr>
          <w:rFonts w:ascii="Arial" w:hAnsi="Arial" w:cs="Arial"/>
        </w:rPr>
        <w:t>government</w:t>
      </w:r>
      <w:r w:rsidR="007805F9" w:rsidRPr="00140702">
        <w:rPr>
          <w:rFonts w:ascii="Arial" w:hAnsi="Arial" w:cs="Arial"/>
        </w:rPr>
        <w:t xml:space="preserve"> interference</w:t>
      </w:r>
      <w:r w:rsidR="00512452" w:rsidRPr="00140702">
        <w:rPr>
          <w:rFonts w:ascii="Arial" w:hAnsi="Arial" w:cs="Arial"/>
        </w:rPr>
        <w:t xml:space="preserve"> </w:t>
      </w:r>
      <w:r w:rsidR="007805F9" w:rsidRPr="00140702">
        <w:rPr>
          <w:rFonts w:ascii="Arial" w:hAnsi="Arial" w:cs="Arial"/>
        </w:rPr>
        <w:t>with</w:t>
      </w:r>
      <w:r w:rsidR="00512452" w:rsidRPr="00140702">
        <w:rPr>
          <w:rFonts w:ascii="Arial" w:hAnsi="Arial" w:cs="Arial"/>
        </w:rPr>
        <w:t>in the economy.</w:t>
      </w:r>
      <w:r w:rsidR="00512452" w:rsidRPr="00140702">
        <w:rPr>
          <w:rStyle w:val="Funotenzeichen"/>
          <w:rFonts w:ascii="Arial" w:hAnsi="Arial" w:cs="Arial"/>
        </w:rPr>
        <w:footnoteReference w:id="40"/>
      </w:r>
      <w:r w:rsidR="00075F5F" w:rsidRPr="00140702">
        <w:rPr>
          <w:rFonts w:ascii="Arial" w:hAnsi="Arial" w:cs="Arial"/>
        </w:rPr>
        <w:t xml:space="preserve"> The reason for this limitation on </w:t>
      </w:r>
      <w:r w:rsidR="007743F6" w:rsidRPr="00140702">
        <w:rPr>
          <w:rFonts w:ascii="Arial" w:hAnsi="Arial" w:cs="Arial"/>
        </w:rPr>
        <w:t xml:space="preserve">government </w:t>
      </w:r>
      <w:r w:rsidR="007805F9" w:rsidRPr="00140702">
        <w:rPr>
          <w:rFonts w:ascii="Arial" w:hAnsi="Arial" w:cs="Arial"/>
        </w:rPr>
        <w:t>interference</w:t>
      </w:r>
      <w:r w:rsidR="00075F5F" w:rsidRPr="00140702">
        <w:rPr>
          <w:rFonts w:ascii="Arial" w:hAnsi="Arial" w:cs="Arial"/>
        </w:rPr>
        <w:t xml:space="preserve"> </w:t>
      </w:r>
      <w:r w:rsidR="007805F9" w:rsidRPr="00140702">
        <w:rPr>
          <w:rFonts w:ascii="Arial" w:hAnsi="Arial" w:cs="Arial"/>
        </w:rPr>
        <w:t>with</w:t>
      </w:r>
      <w:r w:rsidR="00075F5F" w:rsidRPr="00140702">
        <w:rPr>
          <w:rFonts w:ascii="Arial" w:hAnsi="Arial" w:cs="Arial"/>
        </w:rPr>
        <w:t>in the economy is the idea that</w:t>
      </w:r>
      <w:r w:rsidR="007805F9" w:rsidRPr="00140702">
        <w:rPr>
          <w:rFonts w:ascii="Arial" w:hAnsi="Arial" w:cs="Arial"/>
        </w:rPr>
        <w:t xml:space="preserve"> </w:t>
      </w:r>
      <w:r w:rsidR="00075F5F" w:rsidRPr="00140702">
        <w:rPr>
          <w:rFonts w:ascii="Arial" w:hAnsi="Arial" w:cs="Arial"/>
        </w:rPr>
        <w:t>if markets are organised</w:t>
      </w:r>
      <w:r w:rsidR="007743F6" w:rsidRPr="00140702">
        <w:rPr>
          <w:rFonts w:ascii="Arial" w:hAnsi="Arial" w:cs="Arial"/>
        </w:rPr>
        <w:t xml:space="preserve"> </w:t>
      </w:r>
      <w:r w:rsidR="00075F5F" w:rsidRPr="00140702">
        <w:rPr>
          <w:rFonts w:ascii="Arial" w:hAnsi="Arial" w:cs="Arial"/>
        </w:rPr>
        <w:t>by their market forces</w:t>
      </w:r>
      <w:r w:rsidR="00E849CA" w:rsidRPr="00140702">
        <w:rPr>
          <w:rStyle w:val="Funotenzeichen"/>
          <w:rFonts w:ascii="Arial" w:hAnsi="Arial" w:cs="Arial"/>
        </w:rPr>
        <w:footnoteReference w:id="41"/>
      </w:r>
      <w:r w:rsidR="00075F5F" w:rsidRPr="00140702">
        <w:rPr>
          <w:rFonts w:ascii="Arial" w:hAnsi="Arial" w:cs="Arial"/>
        </w:rPr>
        <w:t xml:space="preserve"> and not by </w:t>
      </w:r>
      <w:r w:rsidR="007743F6" w:rsidRPr="00140702">
        <w:rPr>
          <w:rFonts w:ascii="Arial" w:hAnsi="Arial" w:cs="Arial"/>
        </w:rPr>
        <w:t>government</w:t>
      </w:r>
      <w:r w:rsidR="00075F5F" w:rsidRPr="00140702">
        <w:rPr>
          <w:rFonts w:ascii="Arial" w:hAnsi="Arial" w:cs="Arial"/>
        </w:rPr>
        <w:t xml:space="preserve">, then this </w:t>
      </w:r>
      <w:r w:rsidR="007805F9" w:rsidRPr="00140702">
        <w:rPr>
          <w:rFonts w:ascii="Arial" w:hAnsi="Arial" w:cs="Arial"/>
        </w:rPr>
        <w:t>will lead to the most efficient allocation of the scarce economic resources.</w:t>
      </w:r>
      <w:r w:rsidR="007805F9" w:rsidRPr="00140702">
        <w:rPr>
          <w:rStyle w:val="Funotenzeichen"/>
          <w:rFonts w:ascii="Arial" w:hAnsi="Arial" w:cs="Arial"/>
        </w:rPr>
        <w:footnoteReference w:id="42"/>
      </w:r>
      <w:r w:rsidR="005220D3" w:rsidRPr="00140702">
        <w:rPr>
          <w:rFonts w:ascii="Arial" w:hAnsi="Arial" w:cs="Arial"/>
        </w:rPr>
        <w:t xml:space="preserve"> </w:t>
      </w:r>
      <w:r w:rsidR="007743F6" w:rsidRPr="00140702">
        <w:rPr>
          <w:rFonts w:ascii="Arial" w:hAnsi="Arial" w:cs="Arial"/>
        </w:rPr>
        <w:t>Government</w:t>
      </w:r>
      <w:r w:rsidR="005220D3" w:rsidRPr="00140702">
        <w:rPr>
          <w:rFonts w:ascii="Arial" w:hAnsi="Arial" w:cs="Arial"/>
        </w:rPr>
        <w:t xml:space="preserve"> interference </w:t>
      </w:r>
      <w:r w:rsidR="007743F6" w:rsidRPr="00140702">
        <w:rPr>
          <w:rFonts w:ascii="Arial" w:hAnsi="Arial" w:cs="Arial"/>
        </w:rPr>
        <w:t>with</w:t>
      </w:r>
      <w:r w:rsidR="005220D3" w:rsidRPr="00140702">
        <w:rPr>
          <w:rFonts w:ascii="Arial" w:hAnsi="Arial" w:cs="Arial"/>
        </w:rPr>
        <w:t>in the economy is limited to the protection of private property and the creation of an appropriate environment for the proper functioning of the market system.</w:t>
      </w:r>
      <w:r w:rsidR="005220D3" w:rsidRPr="00140702">
        <w:rPr>
          <w:rStyle w:val="Funotenzeichen"/>
          <w:rFonts w:ascii="Arial" w:hAnsi="Arial" w:cs="Arial"/>
        </w:rPr>
        <w:footnoteReference w:id="43"/>
      </w:r>
    </w:p>
    <w:p w:rsidR="003F21FD" w:rsidRPr="00140702" w:rsidRDefault="003F21FD" w:rsidP="00140702">
      <w:pPr>
        <w:pStyle w:val="western"/>
        <w:spacing w:line="360" w:lineRule="auto"/>
        <w:contextualSpacing/>
        <w:jc w:val="both"/>
        <w:rPr>
          <w:rFonts w:ascii="Arial" w:hAnsi="Arial" w:cs="Arial"/>
        </w:rPr>
      </w:pPr>
    </w:p>
    <w:p w:rsidR="00A4771F" w:rsidRPr="00140702" w:rsidRDefault="006F44B1" w:rsidP="00140702">
      <w:pPr>
        <w:pStyle w:val="western"/>
        <w:spacing w:line="360" w:lineRule="auto"/>
        <w:contextualSpacing/>
        <w:jc w:val="both"/>
        <w:rPr>
          <w:rFonts w:ascii="Arial" w:hAnsi="Arial" w:cs="Arial"/>
        </w:rPr>
      </w:pPr>
      <w:r w:rsidRPr="00140702">
        <w:rPr>
          <w:rFonts w:ascii="Arial" w:hAnsi="Arial" w:cs="Arial"/>
        </w:rPr>
        <w:t>This type of economic system is also commonly referred to as capitalism.</w:t>
      </w:r>
      <w:r w:rsidR="009D6985" w:rsidRPr="00140702">
        <w:rPr>
          <w:rStyle w:val="Funotenzeichen"/>
          <w:rFonts w:ascii="Arial" w:hAnsi="Arial" w:cs="Arial"/>
        </w:rPr>
        <w:footnoteReference w:id="44"/>
      </w:r>
      <w:r w:rsidRPr="00140702">
        <w:rPr>
          <w:rFonts w:ascii="Arial" w:hAnsi="Arial" w:cs="Arial"/>
        </w:rPr>
        <w:t xml:space="preserve"> The reason being that capitalism is defined as “An economic system characterized by a predominance of privately owned wealth, individual initiative, freedom of contract and a free market system.”</w:t>
      </w:r>
      <w:r w:rsidR="00253B71" w:rsidRPr="00140702">
        <w:rPr>
          <w:rStyle w:val="Funotenzeichen"/>
          <w:rFonts w:ascii="Arial" w:hAnsi="Arial" w:cs="Arial"/>
        </w:rPr>
        <w:footnoteReference w:id="45"/>
      </w:r>
      <w:r w:rsidR="009B0B89" w:rsidRPr="00140702">
        <w:rPr>
          <w:rFonts w:ascii="Arial" w:hAnsi="Arial" w:cs="Arial"/>
        </w:rPr>
        <w:t xml:space="preserve"> </w:t>
      </w:r>
    </w:p>
    <w:p w:rsidR="00A4771F" w:rsidRPr="00140702" w:rsidRDefault="00A4771F" w:rsidP="00140702">
      <w:pPr>
        <w:pStyle w:val="western"/>
        <w:spacing w:line="360" w:lineRule="auto"/>
        <w:contextualSpacing/>
        <w:jc w:val="both"/>
        <w:rPr>
          <w:rFonts w:ascii="Arial" w:hAnsi="Arial" w:cs="Arial"/>
        </w:rPr>
      </w:pPr>
    </w:p>
    <w:p w:rsidR="00756C72" w:rsidRPr="00140702" w:rsidRDefault="006F3EAC" w:rsidP="00140702">
      <w:pPr>
        <w:pStyle w:val="western"/>
        <w:spacing w:line="360" w:lineRule="auto"/>
        <w:contextualSpacing/>
        <w:jc w:val="both"/>
        <w:rPr>
          <w:rFonts w:ascii="Arial" w:hAnsi="Arial" w:cs="Arial"/>
        </w:rPr>
      </w:pPr>
      <w:r w:rsidRPr="00140702">
        <w:rPr>
          <w:rFonts w:ascii="Arial" w:hAnsi="Arial" w:cs="Arial"/>
        </w:rPr>
        <w:t>To avoid confusion it should be noted that capitalism</w:t>
      </w:r>
      <w:r w:rsidR="00914F56" w:rsidRPr="00140702">
        <w:rPr>
          <w:rFonts w:ascii="Arial" w:hAnsi="Arial" w:cs="Arial"/>
        </w:rPr>
        <w:t xml:space="preserve"> includes the idea</w:t>
      </w:r>
      <w:r w:rsidR="00A4771F" w:rsidRPr="00140702">
        <w:rPr>
          <w:rFonts w:ascii="Arial" w:hAnsi="Arial" w:cs="Arial"/>
        </w:rPr>
        <w:t xml:space="preserve"> of</w:t>
      </w:r>
      <w:r w:rsidR="00914F56" w:rsidRPr="00140702">
        <w:rPr>
          <w:rFonts w:ascii="Arial" w:hAnsi="Arial" w:cs="Arial"/>
        </w:rPr>
        <w:t xml:space="preserve"> </w:t>
      </w:r>
      <w:r w:rsidR="00885143" w:rsidRPr="00140702">
        <w:rPr>
          <w:rFonts w:ascii="Arial" w:hAnsi="Arial" w:cs="Arial"/>
        </w:rPr>
        <w:t>the</w:t>
      </w:r>
      <w:r w:rsidR="00914F56" w:rsidRPr="00140702">
        <w:rPr>
          <w:rFonts w:ascii="Arial" w:hAnsi="Arial" w:cs="Arial"/>
        </w:rPr>
        <w:t xml:space="preserve"> market</w:t>
      </w:r>
      <w:r w:rsidR="00885143" w:rsidRPr="00140702">
        <w:rPr>
          <w:rFonts w:ascii="Arial" w:hAnsi="Arial" w:cs="Arial"/>
        </w:rPr>
        <w:t xml:space="preserve"> system</w:t>
      </w:r>
      <w:r w:rsidR="00914F56" w:rsidRPr="00140702">
        <w:rPr>
          <w:rFonts w:ascii="Arial" w:hAnsi="Arial" w:cs="Arial"/>
        </w:rPr>
        <w:t xml:space="preserve"> but in essence capitalism </w:t>
      </w:r>
      <w:r w:rsidR="00A4771F" w:rsidRPr="00140702">
        <w:rPr>
          <w:rFonts w:ascii="Arial" w:hAnsi="Arial" w:cs="Arial"/>
        </w:rPr>
        <w:t>is “a social system based on private ownership of the means of production. It is characterized by the pursuit of material self-interest under freedom and it rests on a foundation of the cultural influence of reason. Based on its foundations and essential nature, capitalism is further characterized by saving and capital accumulation, exchange and money, financial self-interest and the profit motive, the freedoms of economic competition and economic inequality, the price system, economic progress, and a harmony of the material self-interests of all the individuals who participate in it.”</w:t>
      </w:r>
      <w:r w:rsidR="00A4771F" w:rsidRPr="00140702">
        <w:rPr>
          <w:rStyle w:val="Funotenzeichen"/>
          <w:rFonts w:ascii="Arial" w:hAnsi="Arial" w:cs="Arial"/>
        </w:rPr>
        <w:footnoteReference w:id="46"/>
      </w:r>
      <w:r w:rsidR="00A4771F" w:rsidRPr="00140702">
        <w:rPr>
          <w:rFonts w:ascii="Arial" w:hAnsi="Arial" w:cs="Arial"/>
        </w:rPr>
        <w:t xml:space="preserve"> </w:t>
      </w:r>
      <w:r w:rsidR="00563BC6" w:rsidRPr="00140702">
        <w:rPr>
          <w:rFonts w:ascii="Arial" w:hAnsi="Arial" w:cs="Arial"/>
        </w:rPr>
        <w:t xml:space="preserve">In view of </w:t>
      </w:r>
      <w:r w:rsidR="00885143" w:rsidRPr="00140702">
        <w:rPr>
          <w:rFonts w:ascii="Arial" w:hAnsi="Arial" w:cs="Arial"/>
        </w:rPr>
        <w:t>this</w:t>
      </w:r>
      <w:r w:rsidR="00A4771F" w:rsidRPr="00140702">
        <w:rPr>
          <w:rFonts w:ascii="Arial" w:hAnsi="Arial" w:cs="Arial"/>
        </w:rPr>
        <w:t xml:space="preserve">, it is clear that the term </w:t>
      </w:r>
      <w:r w:rsidR="00563BC6" w:rsidRPr="00140702">
        <w:rPr>
          <w:rFonts w:ascii="Arial" w:hAnsi="Arial" w:cs="Arial"/>
        </w:rPr>
        <w:t>“</w:t>
      </w:r>
      <w:r w:rsidR="00A4771F" w:rsidRPr="00140702">
        <w:rPr>
          <w:rFonts w:ascii="Arial" w:hAnsi="Arial" w:cs="Arial"/>
        </w:rPr>
        <w:t>capitalism</w:t>
      </w:r>
      <w:r w:rsidR="00563BC6" w:rsidRPr="00140702">
        <w:rPr>
          <w:rFonts w:ascii="Arial" w:hAnsi="Arial" w:cs="Arial"/>
        </w:rPr>
        <w:t>”</w:t>
      </w:r>
      <w:r w:rsidR="00A4771F" w:rsidRPr="00140702">
        <w:rPr>
          <w:rFonts w:ascii="Arial" w:hAnsi="Arial" w:cs="Arial"/>
        </w:rPr>
        <w:t xml:space="preserve"> stretches much further than the term </w:t>
      </w:r>
      <w:r w:rsidR="00563BC6" w:rsidRPr="00140702">
        <w:rPr>
          <w:rFonts w:ascii="Arial" w:hAnsi="Arial" w:cs="Arial"/>
        </w:rPr>
        <w:t>“</w:t>
      </w:r>
      <w:r w:rsidR="00D41A11" w:rsidRPr="00140702">
        <w:rPr>
          <w:rFonts w:ascii="Arial" w:hAnsi="Arial" w:cs="Arial"/>
        </w:rPr>
        <w:t xml:space="preserve">the </w:t>
      </w:r>
      <w:r w:rsidR="00A4771F" w:rsidRPr="00140702">
        <w:rPr>
          <w:rFonts w:ascii="Arial" w:hAnsi="Arial" w:cs="Arial"/>
        </w:rPr>
        <w:t>market</w:t>
      </w:r>
      <w:r w:rsidR="00885143" w:rsidRPr="00140702">
        <w:rPr>
          <w:rFonts w:ascii="Arial" w:hAnsi="Arial" w:cs="Arial"/>
        </w:rPr>
        <w:t xml:space="preserve"> system</w:t>
      </w:r>
      <w:r w:rsidR="009E1DDD" w:rsidRPr="00140702">
        <w:rPr>
          <w:rFonts w:ascii="Arial" w:hAnsi="Arial" w:cs="Arial"/>
        </w:rPr>
        <w:t>.</w:t>
      </w:r>
      <w:r w:rsidR="00563BC6" w:rsidRPr="00140702">
        <w:rPr>
          <w:rFonts w:ascii="Arial" w:hAnsi="Arial" w:cs="Arial"/>
        </w:rPr>
        <w:t xml:space="preserve">” </w:t>
      </w:r>
    </w:p>
    <w:p w:rsidR="00756C72" w:rsidRPr="00140702" w:rsidRDefault="00756C72" w:rsidP="00140702">
      <w:pPr>
        <w:pStyle w:val="western"/>
        <w:spacing w:line="360" w:lineRule="auto"/>
        <w:contextualSpacing/>
        <w:jc w:val="both"/>
        <w:rPr>
          <w:rFonts w:ascii="Arial" w:hAnsi="Arial" w:cs="Arial"/>
        </w:rPr>
      </w:pPr>
    </w:p>
    <w:p w:rsidR="00415AEB" w:rsidRPr="00140702" w:rsidRDefault="009E1DDD" w:rsidP="00140702">
      <w:pPr>
        <w:pStyle w:val="western"/>
        <w:spacing w:line="360" w:lineRule="auto"/>
        <w:contextualSpacing/>
        <w:jc w:val="both"/>
        <w:rPr>
          <w:rFonts w:ascii="Arial" w:hAnsi="Arial" w:cs="Arial"/>
        </w:rPr>
      </w:pPr>
      <w:r w:rsidRPr="00140702">
        <w:rPr>
          <w:rFonts w:ascii="Arial" w:hAnsi="Arial" w:cs="Arial"/>
        </w:rPr>
        <w:t>The</w:t>
      </w:r>
      <w:r w:rsidR="00563BC6" w:rsidRPr="00140702">
        <w:rPr>
          <w:rFonts w:ascii="Arial" w:hAnsi="Arial" w:cs="Arial"/>
        </w:rPr>
        <w:t xml:space="preserve"> market system</w:t>
      </w:r>
      <w:r w:rsidRPr="00140702">
        <w:rPr>
          <w:rFonts w:ascii="Arial" w:hAnsi="Arial" w:cs="Arial"/>
        </w:rPr>
        <w:t xml:space="preserve"> does however contribute</w:t>
      </w:r>
      <w:r w:rsidR="00563BC6" w:rsidRPr="00140702">
        <w:rPr>
          <w:rFonts w:ascii="Arial" w:hAnsi="Arial" w:cs="Arial"/>
        </w:rPr>
        <w:t xml:space="preserve"> to</w:t>
      </w:r>
      <w:r w:rsidRPr="00140702">
        <w:rPr>
          <w:rFonts w:ascii="Arial" w:hAnsi="Arial" w:cs="Arial"/>
        </w:rPr>
        <w:t xml:space="preserve"> capitalism since it enhances </w:t>
      </w:r>
      <w:r w:rsidR="00902ABC" w:rsidRPr="00140702">
        <w:rPr>
          <w:rFonts w:ascii="Arial" w:hAnsi="Arial" w:cs="Arial"/>
        </w:rPr>
        <w:t>“</w:t>
      </w:r>
      <w:r w:rsidR="00563BC6" w:rsidRPr="00140702">
        <w:rPr>
          <w:rFonts w:ascii="Arial" w:hAnsi="Arial" w:cs="Arial"/>
        </w:rPr>
        <w:t>political freedom because it separates economic power from political power and in this way enables the one to offset the other</w:t>
      </w:r>
      <w:r w:rsidR="00902ABC" w:rsidRPr="00140702">
        <w:rPr>
          <w:rFonts w:ascii="Arial" w:hAnsi="Arial" w:cs="Arial"/>
        </w:rPr>
        <w:t>.”</w:t>
      </w:r>
      <w:r w:rsidR="00885143" w:rsidRPr="00140702">
        <w:rPr>
          <w:rStyle w:val="Funotenzeichen"/>
          <w:rFonts w:ascii="Arial" w:hAnsi="Arial" w:cs="Arial"/>
        </w:rPr>
        <w:footnoteReference w:id="47"/>
      </w:r>
      <w:r w:rsidR="00563BC6" w:rsidRPr="00140702">
        <w:rPr>
          <w:rFonts w:ascii="Arial" w:hAnsi="Arial" w:cs="Arial"/>
        </w:rPr>
        <w:t xml:space="preserve"> </w:t>
      </w:r>
    </w:p>
    <w:p w:rsidR="00CD69C8" w:rsidRPr="00140702" w:rsidRDefault="00CD69C8" w:rsidP="00140702">
      <w:pPr>
        <w:pStyle w:val="western"/>
        <w:spacing w:line="360" w:lineRule="auto"/>
        <w:contextualSpacing/>
        <w:jc w:val="both"/>
        <w:rPr>
          <w:rFonts w:ascii="Arial" w:hAnsi="Arial" w:cs="Arial"/>
        </w:rPr>
      </w:pPr>
    </w:p>
    <w:p w:rsidR="00CD69C8" w:rsidRPr="00140702" w:rsidRDefault="00CD69C8" w:rsidP="00140702">
      <w:pPr>
        <w:pStyle w:val="western"/>
        <w:spacing w:line="360" w:lineRule="auto"/>
        <w:contextualSpacing/>
        <w:jc w:val="both"/>
        <w:rPr>
          <w:rFonts w:ascii="Arial" w:hAnsi="Arial" w:cs="Arial"/>
        </w:rPr>
      </w:pPr>
      <w:r w:rsidRPr="00140702">
        <w:rPr>
          <w:rFonts w:ascii="Arial" w:eastAsiaTheme="minorHAnsi" w:hAnsi="Arial" w:cs="Arial"/>
          <w:lang w:eastAsia="en-US"/>
        </w:rPr>
        <w:t>2.</w:t>
      </w:r>
      <w:r w:rsidR="00EE7A54" w:rsidRPr="00140702">
        <w:rPr>
          <w:rFonts w:ascii="Arial" w:eastAsiaTheme="minorHAnsi" w:hAnsi="Arial" w:cs="Arial"/>
          <w:lang w:eastAsia="en-US"/>
        </w:rPr>
        <w:t>2</w:t>
      </w:r>
      <w:r w:rsidRPr="00140702">
        <w:rPr>
          <w:rFonts w:ascii="Arial" w:eastAsiaTheme="minorHAnsi" w:hAnsi="Arial" w:cs="Arial"/>
          <w:lang w:eastAsia="en-US"/>
        </w:rPr>
        <w:t xml:space="preserve">.2.3 </w:t>
      </w:r>
      <w:r w:rsidRPr="00140702">
        <w:rPr>
          <w:rFonts w:ascii="Arial" w:hAnsi="Arial" w:cs="Arial"/>
        </w:rPr>
        <w:t>Mixed system</w:t>
      </w:r>
    </w:p>
    <w:p w:rsidR="00CD69C8" w:rsidRPr="00140702" w:rsidRDefault="00CD69C8" w:rsidP="00140702">
      <w:pPr>
        <w:pStyle w:val="western"/>
        <w:spacing w:line="360" w:lineRule="auto"/>
        <w:contextualSpacing/>
        <w:jc w:val="both"/>
        <w:rPr>
          <w:rFonts w:ascii="Arial" w:hAnsi="Arial" w:cs="Arial"/>
        </w:rPr>
      </w:pPr>
      <w:r w:rsidRPr="00140702">
        <w:rPr>
          <w:rFonts w:ascii="Arial" w:hAnsi="Arial" w:cs="Arial"/>
        </w:rPr>
        <w:t>The third type of economic system is called the mixed economic system.</w:t>
      </w:r>
      <w:r w:rsidRPr="00140702">
        <w:rPr>
          <w:rStyle w:val="Funotenzeichen"/>
          <w:rFonts w:ascii="Arial" w:hAnsi="Arial" w:cs="Arial"/>
        </w:rPr>
        <w:footnoteReference w:id="48"/>
      </w:r>
      <w:r w:rsidRPr="00140702">
        <w:rPr>
          <w:rFonts w:ascii="Arial" w:hAnsi="Arial" w:cs="Arial"/>
        </w:rPr>
        <w:t xml:space="preserve"> This economic system encompasses components of both the planned economic system and the market economic system.</w:t>
      </w:r>
      <w:r w:rsidRPr="00140702">
        <w:rPr>
          <w:rStyle w:val="Funotenzeichen"/>
          <w:rFonts w:ascii="Arial" w:hAnsi="Arial" w:cs="Arial"/>
        </w:rPr>
        <w:footnoteReference w:id="49"/>
      </w:r>
      <w:r w:rsidRPr="00140702">
        <w:rPr>
          <w:rFonts w:ascii="Arial" w:hAnsi="Arial" w:cs="Arial"/>
        </w:rPr>
        <w:t xml:space="preserve"> In practices, this means that a country’s economic system will predominantly mimic either the planned economic system or the market economic system but also contain elements of the other type of economic system.</w:t>
      </w:r>
      <w:r w:rsidRPr="00140702">
        <w:rPr>
          <w:rStyle w:val="Funotenzeichen"/>
          <w:rFonts w:ascii="Arial" w:hAnsi="Arial" w:cs="Arial"/>
        </w:rPr>
        <w:footnoteReference w:id="50"/>
      </w:r>
      <w:r w:rsidRPr="00140702">
        <w:rPr>
          <w:rFonts w:ascii="Arial" w:hAnsi="Arial" w:cs="Arial"/>
        </w:rPr>
        <w:t xml:space="preserve"> </w:t>
      </w:r>
    </w:p>
    <w:p w:rsidR="00CD69C8" w:rsidRPr="00140702" w:rsidRDefault="00CD69C8" w:rsidP="00140702">
      <w:pPr>
        <w:pStyle w:val="western"/>
        <w:spacing w:line="360" w:lineRule="auto"/>
        <w:contextualSpacing/>
        <w:jc w:val="both"/>
        <w:rPr>
          <w:rFonts w:ascii="Arial" w:hAnsi="Arial" w:cs="Arial"/>
        </w:rPr>
      </w:pPr>
    </w:p>
    <w:p w:rsidR="00CD69C8" w:rsidRPr="00140702" w:rsidRDefault="00CD69C8" w:rsidP="00140702">
      <w:pPr>
        <w:pStyle w:val="western"/>
        <w:spacing w:line="360" w:lineRule="auto"/>
        <w:contextualSpacing/>
        <w:jc w:val="both"/>
        <w:rPr>
          <w:rFonts w:ascii="Arial" w:hAnsi="Arial" w:cs="Arial"/>
        </w:rPr>
      </w:pPr>
      <w:r w:rsidRPr="00140702">
        <w:rPr>
          <w:rFonts w:ascii="Arial" w:hAnsi="Arial" w:cs="Arial"/>
        </w:rPr>
        <w:t>Countries following a mixed economic system will more often than not be a country which predominantly follows the market economic system but where the government plays a significant role in the economy.</w:t>
      </w:r>
      <w:r w:rsidRPr="00140702">
        <w:rPr>
          <w:rStyle w:val="Funotenzeichen"/>
          <w:rFonts w:ascii="Arial" w:hAnsi="Arial" w:cs="Arial"/>
        </w:rPr>
        <w:footnoteReference w:id="51"/>
      </w:r>
      <w:r w:rsidRPr="00140702">
        <w:rPr>
          <w:rFonts w:ascii="Arial" w:hAnsi="Arial" w:cs="Arial"/>
        </w:rPr>
        <w:t xml:space="preserve"> What is important is that although the government plays a significant role in the economy it is not the dominant economic force coordinating and directing the economic activity.</w:t>
      </w:r>
      <w:r w:rsidRPr="00140702">
        <w:rPr>
          <w:rStyle w:val="Funotenzeichen"/>
          <w:rFonts w:ascii="Arial" w:hAnsi="Arial" w:cs="Arial"/>
        </w:rPr>
        <w:footnoteReference w:id="52"/>
      </w:r>
      <w:r w:rsidRPr="00140702">
        <w:rPr>
          <w:rFonts w:ascii="Arial" w:hAnsi="Arial" w:cs="Arial"/>
        </w:rPr>
        <w:t xml:space="preserve"> That role still belongs to the market force i.e. supply and demand.</w:t>
      </w:r>
      <w:r w:rsidRPr="00140702">
        <w:rPr>
          <w:rStyle w:val="Funotenzeichen"/>
          <w:rFonts w:ascii="Arial" w:hAnsi="Arial" w:cs="Arial"/>
        </w:rPr>
        <w:footnoteReference w:id="53"/>
      </w:r>
      <w:r w:rsidRPr="00140702">
        <w:rPr>
          <w:rFonts w:ascii="Arial" w:hAnsi="Arial" w:cs="Arial"/>
        </w:rPr>
        <w:t xml:space="preserve"> </w:t>
      </w:r>
    </w:p>
    <w:p w:rsidR="00CD69C8" w:rsidRPr="00140702" w:rsidRDefault="00CD69C8" w:rsidP="00140702">
      <w:pPr>
        <w:pStyle w:val="western"/>
        <w:spacing w:line="360" w:lineRule="auto"/>
        <w:contextualSpacing/>
        <w:jc w:val="both"/>
        <w:rPr>
          <w:rFonts w:ascii="Arial" w:hAnsi="Arial" w:cs="Arial"/>
        </w:rPr>
      </w:pPr>
    </w:p>
    <w:p w:rsidR="00CD69C8" w:rsidRPr="00140702" w:rsidRDefault="00CD69C8" w:rsidP="00140702">
      <w:pPr>
        <w:pStyle w:val="western"/>
        <w:spacing w:line="360" w:lineRule="auto"/>
        <w:contextualSpacing/>
        <w:jc w:val="both"/>
        <w:rPr>
          <w:rFonts w:ascii="Arial" w:hAnsi="Arial" w:cs="Arial"/>
        </w:rPr>
      </w:pPr>
      <w:r w:rsidRPr="00140702">
        <w:rPr>
          <w:rFonts w:ascii="Arial" w:hAnsi="Arial" w:cs="Arial"/>
        </w:rPr>
        <w:t xml:space="preserve">Of primary importance to this paper is the market system. </w:t>
      </w:r>
      <w:r w:rsidR="00D56619" w:rsidRPr="00140702">
        <w:rPr>
          <w:rFonts w:ascii="Arial" w:hAnsi="Arial" w:cs="Arial"/>
        </w:rPr>
        <w:t>As a result</w:t>
      </w:r>
      <w:r w:rsidRPr="00140702">
        <w:rPr>
          <w:rFonts w:ascii="Arial" w:hAnsi="Arial" w:cs="Arial"/>
        </w:rPr>
        <w:t xml:space="preserve">, several elements of this system will be discussed </w:t>
      </w:r>
      <w:r w:rsidR="00D56619" w:rsidRPr="00140702">
        <w:rPr>
          <w:rFonts w:ascii="Arial" w:hAnsi="Arial" w:cs="Arial"/>
        </w:rPr>
        <w:t xml:space="preserve">in the subsequent sections in order </w:t>
      </w:r>
      <w:r w:rsidRPr="00140702">
        <w:rPr>
          <w:rFonts w:ascii="Arial" w:hAnsi="Arial" w:cs="Arial"/>
        </w:rPr>
        <w:t>to give the reader a</w:t>
      </w:r>
      <w:r w:rsidR="00D56619" w:rsidRPr="00140702">
        <w:rPr>
          <w:rFonts w:ascii="Arial" w:hAnsi="Arial" w:cs="Arial"/>
        </w:rPr>
        <w:t>n</w:t>
      </w:r>
      <w:r w:rsidRPr="00140702">
        <w:rPr>
          <w:rFonts w:ascii="Arial" w:hAnsi="Arial" w:cs="Arial"/>
        </w:rPr>
        <w:t xml:space="preserve"> </w:t>
      </w:r>
      <w:r w:rsidR="00D56619" w:rsidRPr="00140702">
        <w:rPr>
          <w:rFonts w:ascii="Arial" w:hAnsi="Arial" w:cs="Arial"/>
        </w:rPr>
        <w:t>improved</w:t>
      </w:r>
      <w:r w:rsidRPr="00140702">
        <w:rPr>
          <w:rFonts w:ascii="Arial" w:hAnsi="Arial" w:cs="Arial"/>
        </w:rPr>
        <w:t xml:space="preserve"> understanding of the market system and the importance thereof. </w:t>
      </w:r>
    </w:p>
    <w:p w:rsidR="00CD69C8" w:rsidRPr="00140702" w:rsidRDefault="00CD69C8" w:rsidP="00140702">
      <w:pPr>
        <w:pStyle w:val="western"/>
        <w:spacing w:line="360" w:lineRule="auto"/>
        <w:contextualSpacing/>
        <w:jc w:val="both"/>
        <w:rPr>
          <w:rFonts w:ascii="Arial" w:hAnsi="Arial" w:cs="Arial"/>
        </w:rPr>
      </w:pPr>
    </w:p>
    <w:p w:rsidR="00F26575" w:rsidRPr="00140702" w:rsidRDefault="002A7F36" w:rsidP="00140702">
      <w:pPr>
        <w:contextualSpacing/>
        <w:jc w:val="both"/>
        <w:rPr>
          <w:rFonts w:ascii="Arial" w:hAnsi="Arial" w:cs="Arial"/>
        </w:rPr>
      </w:pPr>
      <w:r w:rsidRPr="00140702">
        <w:rPr>
          <w:rFonts w:ascii="Arial" w:hAnsi="Arial" w:cs="Arial"/>
        </w:rPr>
        <w:t>2.</w:t>
      </w:r>
      <w:r w:rsidR="00EE7A54" w:rsidRPr="00140702">
        <w:rPr>
          <w:rFonts w:ascii="Arial" w:hAnsi="Arial" w:cs="Arial"/>
        </w:rPr>
        <w:t>2</w:t>
      </w:r>
      <w:r w:rsidRPr="00140702">
        <w:rPr>
          <w:rFonts w:ascii="Arial" w:hAnsi="Arial" w:cs="Arial"/>
        </w:rPr>
        <w:t>.</w:t>
      </w:r>
      <w:r w:rsidR="001F26EB" w:rsidRPr="00140702">
        <w:rPr>
          <w:rFonts w:ascii="Arial" w:hAnsi="Arial" w:cs="Arial"/>
        </w:rPr>
        <w:t>3</w:t>
      </w:r>
      <w:r w:rsidRPr="00140702">
        <w:rPr>
          <w:rFonts w:ascii="Arial" w:hAnsi="Arial" w:cs="Arial"/>
        </w:rPr>
        <w:t xml:space="preserve"> </w:t>
      </w:r>
      <w:r w:rsidR="00415AEB" w:rsidRPr="00140702">
        <w:rPr>
          <w:rFonts w:ascii="Arial" w:hAnsi="Arial" w:cs="Arial"/>
        </w:rPr>
        <w:t>C</w:t>
      </w:r>
      <w:r w:rsidR="00034901" w:rsidRPr="00140702">
        <w:rPr>
          <w:rFonts w:ascii="Arial" w:hAnsi="Arial" w:cs="Arial"/>
        </w:rPr>
        <w:t xml:space="preserve">haracteristics </w:t>
      </w:r>
      <w:r w:rsidR="00614F80" w:rsidRPr="00140702">
        <w:rPr>
          <w:rFonts w:ascii="Arial" w:hAnsi="Arial" w:cs="Arial"/>
        </w:rPr>
        <w:t>of the market system</w:t>
      </w:r>
    </w:p>
    <w:p w:rsidR="00477530" w:rsidRPr="00140702" w:rsidRDefault="00614F80" w:rsidP="00140702">
      <w:pPr>
        <w:contextualSpacing/>
        <w:jc w:val="both"/>
        <w:rPr>
          <w:rFonts w:ascii="Arial" w:hAnsi="Arial" w:cs="Arial"/>
        </w:rPr>
      </w:pPr>
      <w:r w:rsidRPr="00140702">
        <w:rPr>
          <w:rFonts w:ascii="Arial" w:hAnsi="Arial" w:cs="Arial"/>
        </w:rPr>
        <w:t xml:space="preserve">The </w:t>
      </w:r>
      <w:r w:rsidR="00A764E4" w:rsidRPr="00140702">
        <w:rPr>
          <w:rFonts w:ascii="Arial" w:hAnsi="Arial" w:cs="Arial"/>
        </w:rPr>
        <w:t xml:space="preserve">market system has </w:t>
      </w:r>
      <w:r w:rsidRPr="00140702">
        <w:rPr>
          <w:rFonts w:ascii="Arial" w:hAnsi="Arial" w:cs="Arial"/>
        </w:rPr>
        <w:t>several characteristics.</w:t>
      </w:r>
      <w:r w:rsidR="00AA2DE8" w:rsidRPr="00140702">
        <w:rPr>
          <w:rStyle w:val="Funotenzeichen"/>
          <w:rFonts w:ascii="Arial" w:hAnsi="Arial" w:cs="Arial"/>
        </w:rPr>
        <w:footnoteReference w:id="54"/>
      </w:r>
      <w:r w:rsidRPr="00140702">
        <w:rPr>
          <w:rFonts w:ascii="Arial" w:hAnsi="Arial" w:cs="Arial"/>
        </w:rPr>
        <w:t xml:space="preserve"> Following here after are those that are most relevant to this paper.</w:t>
      </w:r>
    </w:p>
    <w:p w:rsidR="0074373B" w:rsidRPr="00140702" w:rsidRDefault="0074373B" w:rsidP="00140702">
      <w:pPr>
        <w:contextualSpacing/>
        <w:jc w:val="both"/>
        <w:rPr>
          <w:rFonts w:ascii="Arial" w:hAnsi="Arial" w:cs="Arial"/>
          <w:i/>
        </w:rPr>
      </w:pPr>
    </w:p>
    <w:p w:rsidR="00130D30" w:rsidRPr="00140702" w:rsidRDefault="002A7F36" w:rsidP="00140702">
      <w:pPr>
        <w:contextualSpacing/>
        <w:jc w:val="both"/>
        <w:rPr>
          <w:rFonts w:ascii="Arial" w:hAnsi="Arial" w:cs="Arial"/>
        </w:rPr>
      </w:pPr>
      <w:r w:rsidRPr="00140702">
        <w:rPr>
          <w:rFonts w:ascii="Arial" w:hAnsi="Arial" w:cs="Arial"/>
        </w:rPr>
        <w:t>2.</w:t>
      </w:r>
      <w:r w:rsidR="00EE7A54" w:rsidRPr="00140702">
        <w:rPr>
          <w:rFonts w:ascii="Arial" w:hAnsi="Arial" w:cs="Arial"/>
        </w:rPr>
        <w:t>2</w:t>
      </w:r>
      <w:r w:rsidRPr="00140702">
        <w:rPr>
          <w:rFonts w:ascii="Arial" w:hAnsi="Arial" w:cs="Arial"/>
        </w:rPr>
        <w:t>.</w:t>
      </w:r>
      <w:r w:rsidR="001F26EB" w:rsidRPr="00140702">
        <w:rPr>
          <w:rFonts w:ascii="Arial" w:hAnsi="Arial" w:cs="Arial"/>
        </w:rPr>
        <w:t>3</w:t>
      </w:r>
      <w:r w:rsidRPr="00140702">
        <w:rPr>
          <w:rFonts w:ascii="Arial" w:hAnsi="Arial" w:cs="Arial"/>
        </w:rPr>
        <w:t>.</w:t>
      </w:r>
      <w:r w:rsidR="003269CE" w:rsidRPr="00140702">
        <w:rPr>
          <w:rFonts w:ascii="Arial" w:hAnsi="Arial" w:cs="Arial"/>
        </w:rPr>
        <w:t>1</w:t>
      </w:r>
      <w:r w:rsidRPr="00140702">
        <w:rPr>
          <w:rFonts w:ascii="Arial" w:hAnsi="Arial" w:cs="Arial"/>
        </w:rPr>
        <w:t xml:space="preserve"> </w:t>
      </w:r>
      <w:r w:rsidR="000D1924" w:rsidRPr="00140702">
        <w:rPr>
          <w:rFonts w:ascii="Arial" w:hAnsi="Arial" w:cs="Arial"/>
        </w:rPr>
        <w:t xml:space="preserve">The right </w:t>
      </w:r>
      <w:r w:rsidR="004732B1" w:rsidRPr="00140702">
        <w:rPr>
          <w:rFonts w:ascii="Arial" w:hAnsi="Arial" w:cs="Arial"/>
        </w:rPr>
        <w:t xml:space="preserve">to </w:t>
      </w:r>
      <w:r w:rsidR="00EE7A54" w:rsidRPr="00140702">
        <w:rPr>
          <w:rFonts w:ascii="Arial" w:hAnsi="Arial" w:cs="Arial"/>
        </w:rPr>
        <w:t>p</w:t>
      </w:r>
      <w:r w:rsidR="004732B1" w:rsidRPr="00140702">
        <w:rPr>
          <w:rFonts w:ascii="Arial" w:hAnsi="Arial" w:cs="Arial"/>
        </w:rPr>
        <w:t>rivate</w:t>
      </w:r>
      <w:r w:rsidR="00130D30" w:rsidRPr="00140702">
        <w:rPr>
          <w:rFonts w:ascii="Arial" w:hAnsi="Arial" w:cs="Arial"/>
        </w:rPr>
        <w:t xml:space="preserve"> property</w:t>
      </w:r>
    </w:p>
    <w:p w:rsidR="00130D30" w:rsidRPr="00140702" w:rsidRDefault="001524FE" w:rsidP="00140702">
      <w:pPr>
        <w:contextualSpacing/>
        <w:jc w:val="both"/>
        <w:rPr>
          <w:rFonts w:ascii="Arial" w:hAnsi="Arial" w:cs="Arial"/>
        </w:rPr>
      </w:pPr>
      <w:r w:rsidRPr="00140702">
        <w:rPr>
          <w:rFonts w:ascii="Arial" w:hAnsi="Arial" w:cs="Arial"/>
        </w:rPr>
        <w:t>As mentioned earlier</w:t>
      </w:r>
      <w:r w:rsidR="000241F6" w:rsidRPr="00140702">
        <w:rPr>
          <w:rFonts w:ascii="Arial" w:hAnsi="Arial" w:cs="Arial"/>
        </w:rPr>
        <w:t>,</w:t>
      </w:r>
      <w:r w:rsidRPr="00140702">
        <w:rPr>
          <w:rFonts w:ascii="Arial" w:hAnsi="Arial" w:cs="Arial"/>
        </w:rPr>
        <w:t xml:space="preserve"> </w:t>
      </w:r>
      <w:r w:rsidR="000241F6" w:rsidRPr="00140702">
        <w:rPr>
          <w:rFonts w:ascii="Arial" w:hAnsi="Arial" w:cs="Arial"/>
        </w:rPr>
        <w:t xml:space="preserve">in contrast to the </w:t>
      </w:r>
      <w:r w:rsidRPr="00140702">
        <w:rPr>
          <w:rFonts w:ascii="Arial" w:hAnsi="Arial" w:cs="Arial"/>
        </w:rPr>
        <w:t xml:space="preserve">planned economic system </w:t>
      </w:r>
      <w:r w:rsidR="000241F6" w:rsidRPr="00140702">
        <w:rPr>
          <w:rFonts w:ascii="Arial" w:hAnsi="Arial" w:cs="Arial"/>
        </w:rPr>
        <w:t>where property resources are owned by the state, the</w:t>
      </w:r>
      <w:r w:rsidR="000D1924" w:rsidRPr="00140702">
        <w:rPr>
          <w:rFonts w:ascii="Arial" w:hAnsi="Arial" w:cs="Arial"/>
        </w:rPr>
        <w:t xml:space="preserve"> market system allows for private ownership of these property resources.</w:t>
      </w:r>
      <w:r w:rsidR="00A764E4" w:rsidRPr="00140702">
        <w:rPr>
          <w:rStyle w:val="Funotenzeichen"/>
          <w:rFonts w:ascii="Arial" w:hAnsi="Arial" w:cs="Arial"/>
        </w:rPr>
        <w:footnoteReference w:id="55"/>
      </w:r>
      <w:r w:rsidR="000241F6" w:rsidRPr="00140702">
        <w:rPr>
          <w:rFonts w:ascii="Arial" w:hAnsi="Arial" w:cs="Arial"/>
        </w:rPr>
        <w:t xml:space="preserve"> </w:t>
      </w:r>
      <w:r w:rsidR="000D1924" w:rsidRPr="00140702">
        <w:rPr>
          <w:rFonts w:ascii="Arial" w:hAnsi="Arial" w:cs="Arial"/>
        </w:rPr>
        <w:t xml:space="preserve">This right to private property </w:t>
      </w:r>
      <w:r w:rsidR="0074373B" w:rsidRPr="00140702">
        <w:rPr>
          <w:rFonts w:ascii="Arial" w:hAnsi="Arial" w:cs="Arial"/>
        </w:rPr>
        <w:t xml:space="preserve">together with the right to conclude binding contracts </w:t>
      </w:r>
      <w:r w:rsidR="00EE7A54" w:rsidRPr="00140702">
        <w:rPr>
          <w:rFonts w:ascii="Arial" w:hAnsi="Arial" w:cs="Arial"/>
        </w:rPr>
        <w:t>enables</w:t>
      </w:r>
      <w:r w:rsidR="000D1924" w:rsidRPr="00140702">
        <w:rPr>
          <w:rFonts w:ascii="Arial" w:hAnsi="Arial" w:cs="Arial"/>
        </w:rPr>
        <w:t xml:space="preserve"> </w:t>
      </w:r>
      <w:r w:rsidR="00EE7A54" w:rsidRPr="00140702">
        <w:rPr>
          <w:rFonts w:ascii="Arial" w:hAnsi="Arial" w:cs="Arial"/>
        </w:rPr>
        <w:t>firms</w:t>
      </w:r>
      <w:r w:rsidR="000D1924" w:rsidRPr="00140702">
        <w:rPr>
          <w:rFonts w:ascii="Arial" w:hAnsi="Arial" w:cs="Arial"/>
        </w:rPr>
        <w:t xml:space="preserve"> and individuals to </w:t>
      </w:r>
      <w:r w:rsidR="00EE7A54" w:rsidRPr="00140702">
        <w:rPr>
          <w:rFonts w:ascii="Arial" w:hAnsi="Arial" w:cs="Arial"/>
        </w:rPr>
        <w:t>acquire</w:t>
      </w:r>
      <w:r w:rsidR="000D1924" w:rsidRPr="00140702">
        <w:rPr>
          <w:rFonts w:ascii="Arial" w:hAnsi="Arial" w:cs="Arial"/>
        </w:rPr>
        <w:t xml:space="preserve">, use and dispose of their </w:t>
      </w:r>
      <w:r w:rsidR="00A83FB4" w:rsidRPr="00140702">
        <w:rPr>
          <w:rFonts w:ascii="Arial" w:hAnsi="Arial" w:cs="Arial"/>
        </w:rPr>
        <w:t xml:space="preserve">property resources as they </w:t>
      </w:r>
      <w:r w:rsidR="00EE7A54" w:rsidRPr="00140702">
        <w:rPr>
          <w:rFonts w:ascii="Arial" w:hAnsi="Arial" w:cs="Arial"/>
        </w:rPr>
        <w:t>want to</w:t>
      </w:r>
      <w:r w:rsidR="00A83FB4" w:rsidRPr="00140702">
        <w:rPr>
          <w:rFonts w:ascii="Arial" w:hAnsi="Arial" w:cs="Arial"/>
        </w:rPr>
        <w:t>.</w:t>
      </w:r>
      <w:r w:rsidR="00A83FB4" w:rsidRPr="00140702">
        <w:rPr>
          <w:rStyle w:val="Funotenzeichen"/>
          <w:rFonts w:ascii="Arial" w:hAnsi="Arial" w:cs="Arial"/>
        </w:rPr>
        <w:footnoteReference w:id="56"/>
      </w:r>
      <w:r w:rsidR="00A83FB4" w:rsidRPr="00140702">
        <w:rPr>
          <w:rFonts w:ascii="Arial" w:hAnsi="Arial" w:cs="Arial"/>
        </w:rPr>
        <w:t xml:space="preserve"> This right to private property </w:t>
      </w:r>
      <w:r w:rsidR="000650E4" w:rsidRPr="00140702">
        <w:rPr>
          <w:rFonts w:ascii="Arial" w:hAnsi="Arial" w:cs="Arial"/>
        </w:rPr>
        <w:t xml:space="preserve">also </w:t>
      </w:r>
      <w:r w:rsidR="00A83FB4" w:rsidRPr="00140702">
        <w:rPr>
          <w:rFonts w:ascii="Arial" w:hAnsi="Arial" w:cs="Arial"/>
        </w:rPr>
        <w:t xml:space="preserve">has several </w:t>
      </w:r>
      <w:r w:rsidR="00A9732D" w:rsidRPr="00140702">
        <w:rPr>
          <w:rFonts w:ascii="Arial" w:hAnsi="Arial" w:cs="Arial"/>
        </w:rPr>
        <w:t xml:space="preserve">positive </w:t>
      </w:r>
      <w:r w:rsidR="00A83FB4" w:rsidRPr="00140702">
        <w:rPr>
          <w:rFonts w:ascii="Arial" w:hAnsi="Arial" w:cs="Arial"/>
        </w:rPr>
        <w:t>economic consequences such as that it promotes among other things exchange, investment, innovation and economic growth</w:t>
      </w:r>
      <w:r w:rsidR="00A9732D" w:rsidRPr="00140702">
        <w:rPr>
          <w:rFonts w:ascii="Arial" w:hAnsi="Arial" w:cs="Arial"/>
        </w:rPr>
        <w:t>.</w:t>
      </w:r>
      <w:r w:rsidR="00A9732D" w:rsidRPr="00140702">
        <w:rPr>
          <w:rStyle w:val="Funotenzeichen"/>
          <w:rFonts w:ascii="Arial" w:hAnsi="Arial" w:cs="Arial"/>
        </w:rPr>
        <w:footnoteReference w:id="57"/>
      </w:r>
      <w:r w:rsidR="00A83FB4" w:rsidRPr="00140702">
        <w:rPr>
          <w:rFonts w:ascii="Arial" w:hAnsi="Arial" w:cs="Arial"/>
        </w:rPr>
        <w:t xml:space="preserve"> </w:t>
      </w:r>
    </w:p>
    <w:p w:rsidR="00726451" w:rsidRPr="00140702" w:rsidRDefault="00726451" w:rsidP="00140702">
      <w:pPr>
        <w:contextualSpacing/>
        <w:jc w:val="both"/>
        <w:rPr>
          <w:rFonts w:ascii="Arial" w:hAnsi="Arial" w:cs="Arial"/>
        </w:rPr>
      </w:pPr>
    </w:p>
    <w:p w:rsidR="00726451" w:rsidRPr="00140702" w:rsidRDefault="002A7F36" w:rsidP="00140702">
      <w:pPr>
        <w:contextualSpacing/>
        <w:jc w:val="both"/>
        <w:rPr>
          <w:rFonts w:ascii="Arial" w:hAnsi="Arial" w:cs="Arial"/>
        </w:rPr>
      </w:pPr>
      <w:r w:rsidRPr="00140702">
        <w:rPr>
          <w:rFonts w:ascii="Arial" w:hAnsi="Arial" w:cs="Arial"/>
        </w:rPr>
        <w:t>2.</w:t>
      </w:r>
      <w:r w:rsidR="00D23CFC" w:rsidRPr="00140702">
        <w:rPr>
          <w:rFonts w:ascii="Arial" w:hAnsi="Arial" w:cs="Arial"/>
        </w:rPr>
        <w:t>2</w:t>
      </w:r>
      <w:r w:rsidRPr="00140702">
        <w:rPr>
          <w:rFonts w:ascii="Arial" w:hAnsi="Arial" w:cs="Arial"/>
        </w:rPr>
        <w:t>.</w:t>
      </w:r>
      <w:r w:rsidR="003269CE" w:rsidRPr="00140702">
        <w:rPr>
          <w:rFonts w:ascii="Arial" w:hAnsi="Arial" w:cs="Arial"/>
        </w:rPr>
        <w:t>3</w:t>
      </w:r>
      <w:r w:rsidRPr="00140702">
        <w:rPr>
          <w:rFonts w:ascii="Arial" w:hAnsi="Arial" w:cs="Arial"/>
        </w:rPr>
        <w:t>.</w:t>
      </w:r>
      <w:r w:rsidR="003269CE" w:rsidRPr="00140702">
        <w:rPr>
          <w:rFonts w:ascii="Arial" w:hAnsi="Arial" w:cs="Arial"/>
        </w:rPr>
        <w:t>2</w:t>
      </w:r>
      <w:r w:rsidR="00726451" w:rsidRPr="00140702">
        <w:rPr>
          <w:rFonts w:ascii="Arial" w:hAnsi="Arial" w:cs="Arial"/>
        </w:rPr>
        <w:t xml:space="preserve"> Freedom of enterprise</w:t>
      </w:r>
      <w:r w:rsidR="003150B8" w:rsidRPr="00140702">
        <w:rPr>
          <w:rFonts w:ascii="Arial" w:hAnsi="Arial" w:cs="Arial"/>
        </w:rPr>
        <w:t xml:space="preserve"> and choice</w:t>
      </w:r>
    </w:p>
    <w:p w:rsidR="00572767" w:rsidRPr="00140702" w:rsidRDefault="003150B8" w:rsidP="00140702">
      <w:pPr>
        <w:contextualSpacing/>
        <w:jc w:val="both"/>
        <w:rPr>
          <w:rFonts w:ascii="Arial" w:hAnsi="Arial" w:cs="Arial"/>
        </w:rPr>
      </w:pPr>
      <w:r w:rsidRPr="00140702">
        <w:rPr>
          <w:rFonts w:ascii="Arial" w:hAnsi="Arial" w:cs="Arial"/>
        </w:rPr>
        <w:t xml:space="preserve">Another important characteristic of the market system is that it </w:t>
      </w:r>
      <w:r w:rsidR="008D2B23" w:rsidRPr="00140702">
        <w:rPr>
          <w:rFonts w:ascii="Arial" w:hAnsi="Arial" w:cs="Arial"/>
        </w:rPr>
        <w:t>requires</w:t>
      </w:r>
      <w:r w:rsidRPr="00140702">
        <w:rPr>
          <w:rFonts w:ascii="Arial" w:hAnsi="Arial" w:cs="Arial"/>
        </w:rPr>
        <w:t xml:space="preserve"> 2 very important freedoms namely the freedom of enterprise and the freedom of choice.</w:t>
      </w:r>
      <w:r w:rsidRPr="00140702">
        <w:rPr>
          <w:rStyle w:val="Funotenzeichen"/>
          <w:rFonts w:ascii="Arial" w:hAnsi="Arial" w:cs="Arial"/>
        </w:rPr>
        <w:footnoteReference w:id="58"/>
      </w:r>
      <w:r w:rsidR="00F24A18" w:rsidRPr="00140702">
        <w:rPr>
          <w:rFonts w:ascii="Arial" w:hAnsi="Arial" w:cs="Arial"/>
        </w:rPr>
        <w:t xml:space="preserve"> </w:t>
      </w:r>
    </w:p>
    <w:p w:rsidR="00572767" w:rsidRPr="00140702" w:rsidRDefault="00572767" w:rsidP="00140702">
      <w:pPr>
        <w:contextualSpacing/>
        <w:jc w:val="both"/>
        <w:rPr>
          <w:rFonts w:ascii="Arial" w:hAnsi="Arial" w:cs="Arial"/>
        </w:rPr>
      </w:pPr>
    </w:p>
    <w:p w:rsidR="008D2B23" w:rsidRPr="00140702" w:rsidRDefault="00F24A18" w:rsidP="00140702">
      <w:pPr>
        <w:contextualSpacing/>
        <w:jc w:val="both"/>
        <w:rPr>
          <w:rFonts w:ascii="Arial" w:hAnsi="Arial" w:cs="Arial"/>
        </w:rPr>
      </w:pPr>
      <w:r w:rsidRPr="00140702">
        <w:rPr>
          <w:rFonts w:ascii="Arial" w:hAnsi="Arial" w:cs="Arial"/>
        </w:rPr>
        <w:t xml:space="preserve">The </w:t>
      </w:r>
      <w:r w:rsidR="00DC79D3" w:rsidRPr="00140702">
        <w:rPr>
          <w:rFonts w:ascii="Arial" w:hAnsi="Arial" w:cs="Arial"/>
        </w:rPr>
        <w:t>freedom of enterprise requires</w:t>
      </w:r>
      <w:r w:rsidRPr="00140702">
        <w:rPr>
          <w:rFonts w:ascii="Arial" w:hAnsi="Arial" w:cs="Arial"/>
        </w:rPr>
        <w:t xml:space="preserve"> that entrepreneurs and </w:t>
      </w:r>
      <w:r w:rsidR="00D23CFC" w:rsidRPr="00140702">
        <w:rPr>
          <w:rFonts w:ascii="Arial" w:hAnsi="Arial" w:cs="Arial"/>
        </w:rPr>
        <w:t>firms</w:t>
      </w:r>
      <w:r w:rsidRPr="00140702">
        <w:rPr>
          <w:rFonts w:ascii="Arial" w:hAnsi="Arial" w:cs="Arial"/>
        </w:rPr>
        <w:t xml:space="preserve"> are free to obtain and use economic resources, to produce that </w:t>
      </w:r>
      <w:r w:rsidR="00F869A3" w:rsidRPr="00140702">
        <w:rPr>
          <w:rFonts w:ascii="Arial" w:hAnsi="Arial" w:cs="Arial"/>
        </w:rPr>
        <w:t>combination</w:t>
      </w:r>
      <w:r w:rsidRPr="00140702">
        <w:rPr>
          <w:rFonts w:ascii="Arial" w:hAnsi="Arial" w:cs="Arial"/>
        </w:rPr>
        <w:t xml:space="preserve"> of goods and/or services that they wish and lastly to sell their produc</w:t>
      </w:r>
      <w:r w:rsidR="00F869A3" w:rsidRPr="00140702">
        <w:rPr>
          <w:rFonts w:ascii="Arial" w:hAnsi="Arial" w:cs="Arial"/>
        </w:rPr>
        <w:t>ts</w:t>
      </w:r>
      <w:r w:rsidRPr="00140702">
        <w:rPr>
          <w:rFonts w:ascii="Arial" w:hAnsi="Arial" w:cs="Arial"/>
        </w:rPr>
        <w:t xml:space="preserve"> in any market they </w:t>
      </w:r>
      <w:r w:rsidR="008D2B23" w:rsidRPr="00140702">
        <w:rPr>
          <w:rFonts w:ascii="Arial" w:hAnsi="Arial" w:cs="Arial"/>
        </w:rPr>
        <w:t>choose</w:t>
      </w:r>
      <w:r w:rsidRPr="00140702">
        <w:rPr>
          <w:rFonts w:ascii="Arial" w:hAnsi="Arial" w:cs="Arial"/>
        </w:rPr>
        <w:t>.</w:t>
      </w:r>
      <w:r w:rsidR="00572767" w:rsidRPr="00140702">
        <w:rPr>
          <w:rStyle w:val="Funotenzeichen"/>
          <w:rFonts w:ascii="Arial" w:hAnsi="Arial" w:cs="Arial"/>
        </w:rPr>
        <w:footnoteReference w:id="59"/>
      </w:r>
      <w:r w:rsidRPr="00140702">
        <w:rPr>
          <w:rFonts w:ascii="Arial" w:hAnsi="Arial" w:cs="Arial"/>
        </w:rPr>
        <w:t xml:space="preserve"> </w:t>
      </w:r>
    </w:p>
    <w:p w:rsidR="008D2B23" w:rsidRPr="00140702" w:rsidRDefault="008D2B23" w:rsidP="00140702">
      <w:pPr>
        <w:contextualSpacing/>
        <w:jc w:val="both"/>
        <w:rPr>
          <w:rFonts w:ascii="Arial" w:hAnsi="Arial" w:cs="Arial"/>
        </w:rPr>
      </w:pPr>
    </w:p>
    <w:p w:rsidR="003150B8" w:rsidRPr="00140702" w:rsidRDefault="00F24A18" w:rsidP="00140702">
      <w:pPr>
        <w:contextualSpacing/>
        <w:jc w:val="both"/>
        <w:rPr>
          <w:rFonts w:ascii="Arial" w:hAnsi="Arial" w:cs="Arial"/>
        </w:rPr>
      </w:pPr>
      <w:r w:rsidRPr="00140702">
        <w:rPr>
          <w:rFonts w:ascii="Arial" w:hAnsi="Arial" w:cs="Arial"/>
        </w:rPr>
        <w:t xml:space="preserve">The freedom of choice on the other hand requires that </w:t>
      </w:r>
      <w:r w:rsidR="003D322E" w:rsidRPr="00140702">
        <w:rPr>
          <w:rFonts w:ascii="Arial" w:hAnsi="Arial" w:cs="Arial"/>
        </w:rPr>
        <w:t xml:space="preserve">the owners of property are free to obtain, use and dispose of their property and money as they </w:t>
      </w:r>
      <w:r w:rsidR="008D2B23" w:rsidRPr="00140702">
        <w:rPr>
          <w:rFonts w:ascii="Arial" w:hAnsi="Arial" w:cs="Arial"/>
        </w:rPr>
        <w:t>choose</w:t>
      </w:r>
      <w:r w:rsidR="003D322E" w:rsidRPr="00140702">
        <w:rPr>
          <w:rFonts w:ascii="Arial" w:hAnsi="Arial" w:cs="Arial"/>
        </w:rPr>
        <w:t>.</w:t>
      </w:r>
      <w:r w:rsidR="00BA2332" w:rsidRPr="00140702">
        <w:rPr>
          <w:rStyle w:val="Funotenzeichen"/>
          <w:rFonts w:ascii="Arial" w:hAnsi="Arial" w:cs="Arial"/>
        </w:rPr>
        <w:footnoteReference w:id="60"/>
      </w:r>
      <w:r w:rsidR="003D322E" w:rsidRPr="00140702">
        <w:rPr>
          <w:rFonts w:ascii="Arial" w:hAnsi="Arial" w:cs="Arial"/>
        </w:rPr>
        <w:t xml:space="preserve"> It also allows individual</w:t>
      </w:r>
      <w:r w:rsidR="008D2B23" w:rsidRPr="00140702">
        <w:rPr>
          <w:rFonts w:ascii="Arial" w:hAnsi="Arial" w:cs="Arial"/>
        </w:rPr>
        <w:t>s</w:t>
      </w:r>
      <w:r w:rsidR="003D322E" w:rsidRPr="00140702">
        <w:rPr>
          <w:rFonts w:ascii="Arial" w:hAnsi="Arial" w:cs="Arial"/>
        </w:rPr>
        <w:t xml:space="preserve"> to perform any work for which they are qualified to do and lastly it also requires that consumers are free to buy, within their budget constrain</w:t>
      </w:r>
      <w:r w:rsidR="00F869A3" w:rsidRPr="00140702">
        <w:rPr>
          <w:rFonts w:ascii="Arial" w:hAnsi="Arial" w:cs="Arial"/>
        </w:rPr>
        <w:t>ts</w:t>
      </w:r>
      <w:r w:rsidR="003D322E" w:rsidRPr="00140702">
        <w:rPr>
          <w:rFonts w:ascii="Arial" w:hAnsi="Arial" w:cs="Arial"/>
        </w:rPr>
        <w:t xml:space="preserve">, that </w:t>
      </w:r>
      <w:r w:rsidR="00F869A3" w:rsidRPr="00140702">
        <w:rPr>
          <w:rFonts w:ascii="Arial" w:hAnsi="Arial" w:cs="Arial"/>
        </w:rPr>
        <w:t>combination</w:t>
      </w:r>
      <w:r w:rsidR="003D322E" w:rsidRPr="00140702">
        <w:rPr>
          <w:rFonts w:ascii="Arial" w:hAnsi="Arial" w:cs="Arial"/>
        </w:rPr>
        <w:t xml:space="preserve"> of goods and services from which they derive the most satisfaction</w:t>
      </w:r>
      <w:r w:rsidR="008D2B23" w:rsidRPr="00140702">
        <w:rPr>
          <w:rFonts w:ascii="Arial" w:hAnsi="Arial" w:cs="Arial"/>
        </w:rPr>
        <w:t xml:space="preserve"> (utility)</w:t>
      </w:r>
      <w:r w:rsidR="003D322E" w:rsidRPr="00140702">
        <w:rPr>
          <w:rFonts w:ascii="Arial" w:hAnsi="Arial" w:cs="Arial"/>
        </w:rPr>
        <w:t>.</w:t>
      </w:r>
      <w:r w:rsidR="00BA2332" w:rsidRPr="00140702">
        <w:rPr>
          <w:rStyle w:val="Funotenzeichen"/>
          <w:rFonts w:ascii="Arial" w:hAnsi="Arial" w:cs="Arial"/>
        </w:rPr>
        <w:footnoteReference w:id="61"/>
      </w:r>
    </w:p>
    <w:p w:rsidR="009E32A1" w:rsidRPr="00140702" w:rsidRDefault="009E32A1" w:rsidP="00140702">
      <w:pPr>
        <w:contextualSpacing/>
        <w:jc w:val="both"/>
        <w:rPr>
          <w:rFonts w:ascii="Arial" w:hAnsi="Arial" w:cs="Arial"/>
        </w:rPr>
      </w:pPr>
    </w:p>
    <w:p w:rsidR="0074373B" w:rsidRPr="00140702" w:rsidRDefault="0074373B" w:rsidP="00140702">
      <w:pPr>
        <w:contextualSpacing/>
        <w:jc w:val="both"/>
        <w:rPr>
          <w:rFonts w:ascii="Arial" w:hAnsi="Arial" w:cs="Arial"/>
        </w:rPr>
      </w:pPr>
      <w:r w:rsidRPr="00140702">
        <w:rPr>
          <w:rFonts w:ascii="Arial" w:hAnsi="Arial" w:cs="Arial"/>
        </w:rPr>
        <w:t xml:space="preserve">The right to private property coupled with the freedoms of enterprise and choice </w:t>
      </w:r>
      <w:r w:rsidR="00654A76" w:rsidRPr="00140702">
        <w:rPr>
          <w:rFonts w:ascii="Arial" w:hAnsi="Arial" w:cs="Arial"/>
        </w:rPr>
        <w:t>are</w:t>
      </w:r>
      <w:r w:rsidR="00FE6587" w:rsidRPr="00140702">
        <w:rPr>
          <w:rFonts w:ascii="Arial" w:hAnsi="Arial" w:cs="Arial"/>
        </w:rPr>
        <w:t xml:space="preserve"> the </w:t>
      </w:r>
      <w:r w:rsidR="002D6142" w:rsidRPr="00140702">
        <w:rPr>
          <w:rFonts w:ascii="Arial" w:hAnsi="Arial" w:cs="Arial"/>
        </w:rPr>
        <w:t xml:space="preserve">building blocks </w:t>
      </w:r>
      <w:r w:rsidR="00654A76" w:rsidRPr="00140702">
        <w:rPr>
          <w:rFonts w:ascii="Arial" w:hAnsi="Arial" w:cs="Arial"/>
        </w:rPr>
        <w:t>for</w:t>
      </w:r>
      <w:r w:rsidR="002D6142" w:rsidRPr="00140702">
        <w:rPr>
          <w:rFonts w:ascii="Arial" w:hAnsi="Arial" w:cs="Arial"/>
        </w:rPr>
        <w:t xml:space="preserve"> the market system.</w:t>
      </w:r>
      <w:r w:rsidR="002D6142" w:rsidRPr="00140702">
        <w:rPr>
          <w:rStyle w:val="Funotenzeichen"/>
          <w:rFonts w:ascii="Arial" w:hAnsi="Arial" w:cs="Arial"/>
        </w:rPr>
        <w:footnoteReference w:id="62"/>
      </w:r>
    </w:p>
    <w:p w:rsidR="00FE6587" w:rsidRPr="00140702" w:rsidRDefault="00FE6587" w:rsidP="00140702">
      <w:pPr>
        <w:contextualSpacing/>
        <w:jc w:val="both"/>
        <w:rPr>
          <w:rFonts w:ascii="Arial" w:hAnsi="Arial" w:cs="Arial"/>
        </w:rPr>
      </w:pPr>
    </w:p>
    <w:p w:rsidR="00FE6587" w:rsidRPr="00140702" w:rsidRDefault="00FE6587" w:rsidP="00140702">
      <w:pPr>
        <w:contextualSpacing/>
        <w:jc w:val="both"/>
        <w:rPr>
          <w:rFonts w:ascii="Arial" w:hAnsi="Arial" w:cs="Arial"/>
        </w:rPr>
      </w:pPr>
      <w:r w:rsidRPr="00140702">
        <w:rPr>
          <w:rFonts w:ascii="Arial" w:hAnsi="Arial" w:cs="Arial"/>
        </w:rPr>
        <w:t>2.</w:t>
      </w:r>
      <w:r w:rsidR="000F5862" w:rsidRPr="00140702">
        <w:rPr>
          <w:rFonts w:ascii="Arial" w:hAnsi="Arial" w:cs="Arial"/>
        </w:rPr>
        <w:t>2</w:t>
      </w:r>
      <w:r w:rsidRPr="00140702">
        <w:rPr>
          <w:rFonts w:ascii="Arial" w:hAnsi="Arial" w:cs="Arial"/>
        </w:rPr>
        <w:t>.</w:t>
      </w:r>
      <w:r w:rsidR="003269CE" w:rsidRPr="00140702">
        <w:rPr>
          <w:rFonts w:ascii="Arial" w:hAnsi="Arial" w:cs="Arial"/>
        </w:rPr>
        <w:t>3</w:t>
      </w:r>
      <w:r w:rsidRPr="00140702">
        <w:rPr>
          <w:rFonts w:ascii="Arial" w:hAnsi="Arial" w:cs="Arial"/>
        </w:rPr>
        <w:t xml:space="preserve">.3 </w:t>
      </w:r>
      <w:r w:rsidR="00F869A3" w:rsidRPr="00140702">
        <w:rPr>
          <w:rFonts w:ascii="Arial" w:hAnsi="Arial" w:cs="Arial"/>
        </w:rPr>
        <w:t>Laissez</w:t>
      </w:r>
      <w:r w:rsidR="000C53D2" w:rsidRPr="00140702">
        <w:rPr>
          <w:rFonts w:ascii="Arial" w:hAnsi="Arial" w:cs="Arial"/>
        </w:rPr>
        <w:t xml:space="preserve"> –faire</w:t>
      </w:r>
    </w:p>
    <w:p w:rsidR="008D2B23" w:rsidRPr="00140702" w:rsidRDefault="006B6C2F" w:rsidP="00140702">
      <w:pPr>
        <w:contextualSpacing/>
        <w:jc w:val="both"/>
        <w:rPr>
          <w:rFonts w:ascii="Arial" w:hAnsi="Arial" w:cs="Arial"/>
        </w:rPr>
      </w:pPr>
      <w:r w:rsidRPr="00140702">
        <w:rPr>
          <w:rFonts w:ascii="Arial" w:hAnsi="Arial" w:cs="Arial"/>
        </w:rPr>
        <w:t xml:space="preserve">Another important characteristic of the market system is the idea that </w:t>
      </w:r>
      <w:r w:rsidR="008D2B23" w:rsidRPr="00140702">
        <w:rPr>
          <w:rFonts w:ascii="Arial" w:hAnsi="Arial" w:cs="Arial"/>
        </w:rPr>
        <w:t>consumers</w:t>
      </w:r>
      <w:r w:rsidRPr="00140702">
        <w:rPr>
          <w:rFonts w:ascii="Arial" w:hAnsi="Arial" w:cs="Arial"/>
        </w:rPr>
        <w:t xml:space="preserve"> and </w:t>
      </w:r>
      <w:r w:rsidR="00562DAD" w:rsidRPr="00140702">
        <w:rPr>
          <w:rFonts w:ascii="Arial" w:hAnsi="Arial" w:cs="Arial"/>
        </w:rPr>
        <w:t>property owners</w:t>
      </w:r>
      <w:r w:rsidRPr="00140702">
        <w:rPr>
          <w:rFonts w:ascii="Arial" w:hAnsi="Arial" w:cs="Arial"/>
        </w:rPr>
        <w:t xml:space="preserve"> should be left alone by government so that they can exercise their right to private property</w:t>
      </w:r>
      <w:r w:rsidR="00DC79D3" w:rsidRPr="00140702">
        <w:rPr>
          <w:rFonts w:ascii="Arial" w:hAnsi="Arial" w:cs="Arial"/>
        </w:rPr>
        <w:t>, their</w:t>
      </w:r>
      <w:r w:rsidRPr="00140702">
        <w:rPr>
          <w:rFonts w:ascii="Arial" w:hAnsi="Arial" w:cs="Arial"/>
        </w:rPr>
        <w:t xml:space="preserve"> right to freedom of enterprise and</w:t>
      </w:r>
      <w:r w:rsidR="00DC79D3" w:rsidRPr="00140702">
        <w:rPr>
          <w:rFonts w:ascii="Arial" w:hAnsi="Arial" w:cs="Arial"/>
        </w:rPr>
        <w:t xml:space="preserve"> their right to</w:t>
      </w:r>
      <w:r w:rsidRPr="00140702">
        <w:rPr>
          <w:rFonts w:ascii="Arial" w:hAnsi="Arial" w:cs="Arial"/>
        </w:rPr>
        <w:t xml:space="preserve"> freedom of choice </w:t>
      </w:r>
      <w:r w:rsidR="00DC79D3" w:rsidRPr="00140702">
        <w:rPr>
          <w:rFonts w:ascii="Arial" w:hAnsi="Arial" w:cs="Arial"/>
        </w:rPr>
        <w:t>in pursuit of their self interest.</w:t>
      </w:r>
      <w:r w:rsidR="00DC79D3" w:rsidRPr="00140702">
        <w:rPr>
          <w:rStyle w:val="Funotenzeichen"/>
          <w:rFonts w:ascii="Arial" w:hAnsi="Arial" w:cs="Arial"/>
        </w:rPr>
        <w:footnoteReference w:id="63"/>
      </w:r>
      <w:r w:rsidR="00DC79D3" w:rsidRPr="00140702">
        <w:rPr>
          <w:rFonts w:ascii="Arial" w:hAnsi="Arial" w:cs="Arial"/>
        </w:rPr>
        <w:t xml:space="preserve"> </w:t>
      </w:r>
      <w:r w:rsidR="00C428CB" w:rsidRPr="00140702">
        <w:rPr>
          <w:rFonts w:ascii="Arial" w:hAnsi="Arial" w:cs="Arial"/>
        </w:rPr>
        <w:t xml:space="preserve">Self interest is the motivating factor in the market economy and it is thought that only when </w:t>
      </w:r>
      <w:r w:rsidR="006734BA" w:rsidRPr="00140702">
        <w:rPr>
          <w:rFonts w:ascii="Arial" w:hAnsi="Arial" w:cs="Arial"/>
        </w:rPr>
        <w:t>consumers</w:t>
      </w:r>
      <w:r w:rsidR="00C428CB" w:rsidRPr="00140702">
        <w:rPr>
          <w:rFonts w:ascii="Arial" w:hAnsi="Arial" w:cs="Arial"/>
        </w:rPr>
        <w:t xml:space="preserve"> and </w:t>
      </w:r>
      <w:r w:rsidR="00562DAD" w:rsidRPr="00140702">
        <w:rPr>
          <w:rFonts w:ascii="Arial" w:hAnsi="Arial" w:cs="Arial"/>
        </w:rPr>
        <w:t>property owners</w:t>
      </w:r>
      <w:r w:rsidR="00C428CB" w:rsidRPr="00140702">
        <w:rPr>
          <w:rFonts w:ascii="Arial" w:hAnsi="Arial" w:cs="Arial"/>
        </w:rPr>
        <w:t xml:space="preserve"> pursue their </w:t>
      </w:r>
      <w:r w:rsidR="007B2BAA" w:rsidRPr="00140702">
        <w:rPr>
          <w:rFonts w:ascii="Arial" w:hAnsi="Arial" w:cs="Arial"/>
        </w:rPr>
        <w:t>self</w:t>
      </w:r>
      <w:r w:rsidR="00C428CB" w:rsidRPr="00140702">
        <w:rPr>
          <w:rFonts w:ascii="Arial" w:hAnsi="Arial" w:cs="Arial"/>
        </w:rPr>
        <w:t xml:space="preserve"> interest would the </w:t>
      </w:r>
      <w:r w:rsidR="008D2B23" w:rsidRPr="00140702">
        <w:rPr>
          <w:rFonts w:ascii="Arial" w:hAnsi="Arial" w:cs="Arial"/>
        </w:rPr>
        <w:t>market system</w:t>
      </w:r>
      <w:r w:rsidR="00C428CB" w:rsidRPr="00140702">
        <w:rPr>
          <w:rFonts w:ascii="Arial" w:hAnsi="Arial" w:cs="Arial"/>
        </w:rPr>
        <w:t xml:space="preserve"> obtain a position of equilibrium.</w:t>
      </w:r>
      <w:r w:rsidR="00C428CB" w:rsidRPr="00140702">
        <w:rPr>
          <w:rStyle w:val="Funotenzeichen"/>
          <w:rFonts w:ascii="Arial" w:hAnsi="Arial" w:cs="Arial"/>
        </w:rPr>
        <w:footnoteReference w:id="64"/>
      </w:r>
      <w:r w:rsidR="00562DAD" w:rsidRPr="00140702">
        <w:rPr>
          <w:rFonts w:ascii="Arial" w:hAnsi="Arial" w:cs="Arial"/>
        </w:rPr>
        <w:t xml:space="preserve"> </w:t>
      </w:r>
    </w:p>
    <w:p w:rsidR="008D2B23" w:rsidRPr="00140702" w:rsidRDefault="008D2B23" w:rsidP="00140702">
      <w:pPr>
        <w:contextualSpacing/>
        <w:jc w:val="both"/>
        <w:rPr>
          <w:rFonts w:ascii="Arial" w:hAnsi="Arial" w:cs="Arial"/>
        </w:rPr>
      </w:pPr>
    </w:p>
    <w:p w:rsidR="006B6C2F" w:rsidRPr="00140702" w:rsidRDefault="00562DAD" w:rsidP="00140702">
      <w:pPr>
        <w:contextualSpacing/>
        <w:jc w:val="both"/>
        <w:rPr>
          <w:rFonts w:ascii="Arial" w:hAnsi="Arial" w:cs="Arial"/>
        </w:rPr>
      </w:pPr>
      <w:r w:rsidRPr="00140702">
        <w:rPr>
          <w:rFonts w:ascii="Arial" w:hAnsi="Arial" w:cs="Arial"/>
        </w:rPr>
        <w:t>It is also this endeavour to achieve one’s</w:t>
      </w:r>
      <w:r w:rsidR="000F5862" w:rsidRPr="00140702">
        <w:rPr>
          <w:rFonts w:ascii="Arial" w:hAnsi="Arial" w:cs="Arial"/>
        </w:rPr>
        <w:t xml:space="preserve"> own</w:t>
      </w:r>
      <w:r w:rsidRPr="00140702">
        <w:rPr>
          <w:rFonts w:ascii="Arial" w:hAnsi="Arial" w:cs="Arial"/>
        </w:rPr>
        <w:t xml:space="preserve"> </w:t>
      </w:r>
      <w:r w:rsidR="007B2BAA" w:rsidRPr="00140702">
        <w:rPr>
          <w:rFonts w:ascii="Arial" w:hAnsi="Arial" w:cs="Arial"/>
        </w:rPr>
        <w:t>self</w:t>
      </w:r>
      <w:r w:rsidRPr="00140702">
        <w:rPr>
          <w:rFonts w:ascii="Arial" w:hAnsi="Arial" w:cs="Arial"/>
        </w:rPr>
        <w:t xml:space="preserve"> interest which causes employees and property owners to engage in economic activity since this endeavour requires employees and property owners to exchange something </w:t>
      </w:r>
      <w:r w:rsidR="006734BA" w:rsidRPr="00140702">
        <w:rPr>
          <w:rFonts w:ascii="Arial" w:hAnsi="Arial" w:cs="Arial"/>
        </w:rPr>
        <w:t>in order to obtain</w:t>
      </w:r>
      <w:r w:rsidRPr="00140702">
        <w:rPr>
          <w:rFonts w:ascii="Arial" w:hAnsi="Arial" w:cs="Arial"/>
        </w:rPr>
        <w:t xml:space="preserve"> something else </w:t>
      </w:r>
      <w:r w:rsidR="006734BA" w:rsidRPr="00140702">
        <w:rPr>
          <w:rFonts w:ascii="Arial" w:hAnsi="Arial" w:cs="Arial"/>
        </w:rPr>
        <w:t>so as</w:t>
      </w:r>
      <w:r w:rsidRPr="00140702">
        <w:rPr>
          <w:rFonts w:ascii="Arial" w:hAnsi="Arial" w:cs="Arial"/>
        </w:rPr>
        <w:t xml:space="preserve"> to enhance their </w:t>
      </w:r>
      <w:r w:rsidR="000F5862" w:rsidRPr="00140702">
        <w:rPr>
          <w:rFonts w:ascii="Arial" w:hAnsi="Arial" w:cs="Arial"/>
        </w:rPr>
        <w:t xml:space="preserve">own </w:t>
      </w:r>
      <w:r w:rsidRPr="00140702">
        <w:rPr>
          <w:rFonts w:ascii="Arial" w:hAnsi="Arial" w:cs="Arial"/>
        </w:rPr>
        <w:t>self interest.</w:t>
      </w:r>
      <w:r w:rsidRPr="00140702">
        <w:rPr>
          <w:rStyle w:val="Funotenzeichen"/>
          <w:rFonts w:ascii="Arial" w:hAnsi="Arial" w:cs="Arial"/>
        </w:rPr>
        <w:footnoteReference w:id="65"/>
      </w:r>
      <w:r w:rsidRPr="00140702">
        <w:rPr>
          <w:rFonts w:ascii="Arial" w:hAnsi="Arial" w:cs="Arial"/>
        </w:rPr>
        <w:t xml:space="preserve"> </w:t>
      </w:r>
    </w:p>
    <w:p w:rsidR="00F11D42" w:rsidRPr="00140702" w:rsidRDefault="00F11D42" w:rsidP="00140702">
      <w:pPr>
        <w:contextualSpacing/>
        <w:jc w:val="both"/>
        <w:rPr>
          <w:rFonts w:ascii="Arial" w:hAnsi="Arial" w:cs="Arial"/>
        </w:rPr>
      </w:pPr>
    </w:p>
    <w:p w:rsidR="00F11D42" w:rsidRPr="00140702" w:rsidRDefault="00114BD6" w:rsidP="00140702">
      <w:pPr>
        <w:contextualSpacing/>
        <w:jc w:val="both"/>
        <w:rPr>
          <w:rFonts w:ascii="Arial" w:hAnsi="Arial" w:cs="Arial"/>
        </w:rPr>
      </w:pPr>
      <w:r w:rsidRPr="00140702">
        <w:rPr>
          <w:rFonts w:ascii="Arial" w:hAnsi="Arial" w:cs="Arial"/>
        </w:rPr>
        <w:t>2.</w:t>
      </w:r>
      <w:r w:rsidR="000F5862" w:rsidRPr="00140702">
        <w:rPr>
          <w:rFonts w:ascii="Arial" w:hAnsi="Arial" w:cs="Arial"/>
        </w:rPr>
        <w:t>2</w:t>
      </w:r>
      <w:r w:rsidRPr="00140702">
        <w:rPr>
          <w:rFonts w:ascii="Arial" w:hAnsi="Arial" w:cs="Arial"/>
        </w:rPr>
        <w:t>.</w:t>
      </w:r>
      <w:r w:rsidR="00EB2AF8" w:rsidRPr="00140702">
        <w:rPr>
          <w:rFonts w:ascii="Arial" w:hAnsi="Arial" w:cs="Arial"/>
        </w:rPr>
        <w:t>4</w:t>
      </w:r>
      <w:r w:rsidRPr="00140702">
        <w:rPr>
          <w:rFonts w:ascii="Arial" w:hAnsi="Arial" w:cs="Arial"/>
        </w:rPr>
        <w:t xml:space="preserve"> </w:t>
      </w:r>
      <w:r w:rsidR="003F2428" w:rsidRPr="00140702">
        <w:rPr>
          <w:rFonts w:ascii="Arial" w:hAnsi="Arial" w:cs="Arial"/>
        </w:rPr>
        <w:t>The f</w:t>
      </w:r>
      <w:r w:rsidR="00F11D42" w:rsidRPr="00140702">
        <w:rPr>
          <w:rFonts w:ascii="Arial" w:hAnsi="Arial" w:cs="Arial"/>
        </w:rPr>
        <w:t>unctioning of the market system</w:t>
      </w:r>
    </w:p>
    <w:p w:rsidR="00F369B3" w:rsidRPr="00140702" w:rsidRDefault="005451F9" w:rsidP="00140702">
      <w:pPr>
        <w:contextualSpacing/>
        <w:jc w:val="both"/>
        <w:rPr>
          <w:rFonts w:ascii="Arial" w:hAnsi="Arial" w:cs="Arial"/>
        </w:rPr>
      </w:pPr>
      <w:r w:rsidRPr="00140702">
        <w:rPr>
          <w:rFonts w:ascii="Arial" w:hAnsi="Arial" w:cs="Arial"/>
        </w:rPr>
        <w:t xml:space="preserve">The right to private property, the freedoms of enterprise and choice and </w:t>
      </w:r>
      <w:r w:rsidR="0069487E" w:rsidRPr="00140702">
        <w:rPr>
          <w:rFonts w:ascii="Arial" w:hAnsi="Arial" w:cs="Arial"/>
        </w:rPr>
        <w:t xml:space="preserve">ultimately </w:t>
      </w:r>
      <w:r w:rsidRPr="00140702">
        <w:rPr>
          <w:rFonts w:ascii="Arial" w:hAnsi="Arial" w:cs="Arial"/>
        </w:rPr>
        <w:t xml:space="preserve">the right to </w:t>
      </w:r>
      <w:r w:rsidR="00BD68A9" w:rsidRPr="00140702">
        <w:rPr>
          <w:rFonts w:ascii="Arial" w:hAnsi="Arial" w:cs="Arial"/>
        </w:rPr>
        <w:t xml:space="preserve">advance one’s </w:t>
      </w:r>
      <w:r w:rsidR="00C8194F" w:rsidRPr="00140702">
        <w:rPr>
          <w:rFonts w:ascii="Arial" w:hAnsi="Arial" w:cs="Arial"/>
        </w:rPr>
        <w:t xml:space="preserve">own </w:t>
      </w:r>
      <w:r w:rsidR="00BD68A9" w:rsidRPr="00140702">
        <w:rPr>
          <w:rFonts w:ascii="Arial" w:hAnsi="Arial" w:cs="Arial"/>
        </w:rPr>
        <w:t xml:space="preserve">self interest lead to the creation of the competition process between </w:t>
      </w:r>
      <w:r w:rsidR="00610625" w:rsidRPr="00140702">
        <w:rPr>
          <w:rFonts w:ascii="Arial" w:hAnsi="Arial" w:cs="Arial"/>
        </w:rPr>
        <w:t>the various economic agents</w:t>
      </w:r>
      <w:r w:rsidR="00BD68A9" w:rsidRPr="00140702">
        <w:rPr>
          <w:rFonts w:ascii="Arial" w:hAnsi="Arial" w:cs="Arial"/>
        </w:rPr>
        <w:t>.</w:t>
      </w:r>
      <w:r w:rsidR="00333F9F" w:rsidRPr="00140702">
        <w:rPr>
          <w:rStyle w:val="Funotenzeichen"/>
          <w:rFonts w:ascii="Arial" w:hAnsi="Arial" w:cs="Arial"/>
        </w:rPr>
        <w:footnoteReference w:id="66"/>
      </w:r>
      <w:r w:rsidR="00BD68A9" w:rsidRPr="00140702">
        <w:rPr>
          <w:rFonts w:ascii="Arial" w:hAnsi="Arial" w:cs="Arial"/>
        </w:rPr>
        <w:t xml:space="preserve"> </w:t>
      </w:r>
      <w:r w:rsidR="00610625" w:rsidRPr="00140702">
        <w:rPr>
          <w:rFonts w:ascii="Arial" w:hAnsi="Arial" w:cs="Arial"/>
        </w:rPr>
        <w:t xml:space="preserve">It </w:t>
      </w:r>
      <w:r w:rsidR="00BD68A9" w:rsidRPr="00140702">
        <w:rPr>
          <w:rFonts w:ascii="Arial" w:hAnsi="Arial" w:cs="Arial"/>
        </w:rPr>
        <w:t>is</w:t>
      </w:r>
      <w:r w:rsidR="00610625" w:rsidRPr="00140702">
        <w:rPr>
          <w:rFonts w:ascii="Arial" w:hAnsi="Arial" w:cs="Arial"/>
        </w:rPr>
        <w:t xml:space="preserve"> this</w:t>
      </w:r>
      <w:r w:rsidR="00BD68A9" w:rsidRPr="00140702">
        <w:rPr>
          <w:rFonts w:ascii="Arial" w:hAnsi="Arial" w:cs="Arial"/>
        </w:rPr>
        <w:t xml:space="preserve"> competition process between </w:t>
      </w:r>
      <w:r w:rsidR="00610625" w:rsidRPr="00140702">
        <w:rPr>
          <w:rFonts w:ascii="Arial" w:hAnsi="Arial" w:cs="Arial"/>
        </w:rPr>
        <w:t>the various economic agents</w:t>
      </w:r>
      <w:r w:rsidR="00D6657C" w:rsidRPr="00140702">
        <w:rPr>
          <w:rFonts w:ascii="Arial" w:hAnsi="Arial" w:cs="Arial"/>
        </w:rPr>
        <w:t xml:space="preserve"> </w:t>
      </w:r>
      <w:r w:rsidR="00610625" w:rsidRPr="00140702">
        <w:rPr>
          <w:rFonts w:ascii="Arial" w:hAnsi="Arial" w:cs="Arial"/>
        </w:rPr>
        <w:t xml:space="preserve">that </w:t>
      </w:r>
      <w:r w:rsidR="00D6657C" w:rsidRPr="00140702">
        <w:rPr>
          <w:rFonts w:ascii="Arial" w:hAnsi="Arial" w:cs="Arial"/>
        </w:rPr>
        <w:t xml:space="preserve">is argued to </w:t>
      </w:r>
      <w:r w:rsidR="00DD285C" w:rsidRPr="00140702">
        <w:rPr>
          <w:rFonts w:ascii="Arial" w:hAnsi="Arial" w:cs="Arial"/>
        </w:rPr>
        <w:t xml:space="preserve">cause the market system to </w:t>
      </w:r>
      <w:r w:rsidR="00D6657C" w:rsidRPr="00140702">
        <w:rPr>
          <w:rFonts w:ascii="Arial" w:hAnsi="Arial" w:cs="Arial"/>
        </w:rPr>
        <w:t>achieve the</w:t>
      </w:r>
      <w:r w:rsidR="004945DF" w:rsidRPr="00140702">
        <w:rPr>
          <w:rFonts w:ascii="Arial" w:hAnsi="Arial" w:cs="Arial"/>
        </w:rPr>
        <w:t xml:space="preserve"> most</w:t>
      </w:r>
      <w:r w:rsidR="00D6657C" w:rsidRPr="00140702">
        <w:rPr>
          <w:rFonts w:ascii="Arial" w:hAnsi="Arial" w:cs="Arial"/>
        </w:rPr>
        <w:t xml:space="preserve"> </w:t>
      </w:r>
      <w:r w:rsidR="0045196F" w:rsidRPr="00140702">
        <w:rPr>
          <w:rFonts w:ascii="Arial" w:hAnsi="Arial" w:cs="Arial"/>
        </w:rPr>
        <w:t>efficient</w:t>
      </w:r>
      <w:r w:rsidR="00D6657C" w:rsidRPr="00140702">
        <w:rPr>
          <w:rFonts w:ascii="Arial" w:hAnsi="Arial" w:cs="Arial"/>
        </w:rPr>
        <w:t xml:space="preserve"> allocation of resources</w:t>
      </w:r>
      <w:r w:rsidR="00D6657C" w:rsidRPr="00140702">
        <w:rPr>
          <w:rStyle w:val="Funotenzeichen"/>
          <w:rFonts w:ascii="Arial" w:hAnsi="Arial" w:cs="Arial"/>
        </w:rPr>
        <w:footnoteReference w:id="67"/>
      </w:r>
      <w:r w:rsidR="00D6657C" w:rsidRPr="00140702">
        <w:rPr>
          <w:rFonts w:ascii="Arial" w:hAnsi="Arial" w:cs="Arial"/>
        </w:rPr>
        <w:t xml:space="preserve"> within the economy.</w:t>
      </w:r>
      <w:r w:rsidR="00610625" w:rsidRPr="00140702">
        <w:rPr>
          <w:rStyle w:val="Funotenzeichen"/>
          <w:rFonts w:ascii="Arial" w:hAnsi="Arial" w:cs="Arial"/>
        </w:rPr>
        <w:footnoteReference w:id="68"/>
      </w:r>
      <w:r w:rsidR="00D6657C" w:rsidRPr="00140702">
        <w:rPr>
          <w:rFonts w:ascii="Arial" w:hAnsi="Arial" w:cs="Arial"/>
        </w:rPr>
        <w:t xml:space="preserve"> This competition process will howe</w:t>
      </w:r>
      <w:r w:rsidR="00756924" w:rsidRPr="00140702">
        <w:rPr>
          <w:rFonts w:ascii="Arial" w:hAnsi="Arial" w:cs="Arial"/>
        </w:rPr>
        <w:t>ver only lead to the market equilibriu</w:t>
      </w:r>
      <w:r w:rsidR="00C7361A" w:rsidRPr="00140702">
        <w:rPr>
          <w:rFonts w:ascii="Arial" w:hAnsi="Arial" w:cs="Arial"/>
        </w:rPr>
        <w:t>m if this competition process is left to the market forces.</w:t>
      </w:r>
      <w:r w:rsidR="00EB550A" w:rsidRPr="00140702">
        <w:rPr>
          <w:rStyle w:val="Funotenzeichen"/>
          <w:rFonts w:ascii="Arial" w:hAnsi="Arial" w:cs="Arial"/>
        </w:rPr>
        <w:footnoteReference w:id="69"/>
      </w:r>
      <w:r w:rsidR="00C7361A" w:rsidRPr="00140702">
        <w:rPr>
          <w:rFonts w:ascii="Arial" w:hAnsi="Arial" w:cs="Arial"/>
        </w:rPr>
        <w:t xml:space="preserve"> Accordingly, </w:t>
      </w:r>
      <w:r w:rsidR="0045196F" w:rsidRPr="00140702">
        <w:rPr>
          <w:rFonts w:ascii="Arial" w:hAnsi="Arial" w:cs="Arial"/>
        </w:rPr>
        <w:t xml:space="preserve">government </w:t>
      </w:r>
      <w:r w:rsidR="00C7361A" w:rsidRPr="00140702">
        <w:rPr>
          <w:rFonts w:ascii="Arial" w:hAnsi="Arial" w:cs="Arial"/>
        </w:rPr>
        <w:t>interference within the economy is viewed unfavourably</w:t>
      </w:r>
      <w:r w:rsidR="00333F9F" w:rsidRPr="00140702">
        <w:rPr>
          <w:rFonts w:ascii="Arial" w:hAnsi="Arial" w:cs="Arial"/>
        </w:rPr>
        <w:t>.</w:t>
      </w:r>
      <w:r w:rsidR="00420F94" w:rsidRPr="00140702">
        <w:rPr>
          <w:rStyle w:val="Funotenzeichen"/>
          <w:rFonts w:ascii="Arial" w:hAnsi="Arial" w:cs="Arial"/>
        </w:rPr>
        <w:footnoteReference w:id="70"/>
      </w:r>
      <w:r w:rsidR="00C47308" w:rsidRPr="00140702">
        <w:rPr>
          <w:rFonts w:ascii="Arial" w:hAnsi="Arial" w:cs="Arial"/>
        </w:rPr>
        <w:t xml:space="preserve"> Hence, the term “free markets” is derived from the limited </w:t>
      </w:r>
      <w:r w:rsidR="0045196F" w:rsidRPr="00140702">
        <w:rPr>
          <w:rFonts w:ascii="Arial" w:hAnsi="Arial" w:cs="Arial"/>
        </w:rPr>
        <w:t>government</w:t>
      </w:r>
      <w:r w:rsidR="00C47308" w:rsidRPr="00140702">
        <w:rPr>
          <w:rFonts w:ascii="Arial" w:hAnsi="Arial" w:cs="Arial"/>
        </w:rPr>
        <w:t xml:space="preserve"> interference within the economy i.e. the market forces are free to determine the </w:t>
      </w:r>
      <w:r w:rsidR="004945DF" w:rsidRPr="00140702">
        <w:rPr>
          <w:rFonts w:ascii="Arial" w:hAnsi="Arial" w:cs="Arial"/>
        </w:rPr>
        <w:t>most efficient</w:t>
      </w:r>
      <w:r w:rsidR="00C47308" w:rsidRPr="00140702">
        <w:rPr>
          <w:rFonts w:ascii="Arial" w:hAnsi="Arial" w:cs="Arial"/>
        </w:rPr>
        <w:t xml:space="preserve"> allocation of resources.</w:t>
      </w:r>
      <w:r w:rsidR="00C47308" w:rsidRPr="00140702">
        <w:rPr>
          <w:rStyle w:val="Funotenzeichen"/>
          <w:rFonts w:ascii="Arial" w:hAnsi="Arial" w:cs="Arial"/>
        </w:rPr>
        <w:footnoteReference w:id="71"/>
      </w:r>
      <w:r w:rsidR="00C47308" w:rsidRPr="00140702">
        <w:rPr>
          <w:rFonts w:ascii="Arial" w:hAnsi="Arial" w:cs="Arial"/>
        </w:rPr>
        <w:t xml:space="preserve"> </w:t>
      </w:r>
    </w:p>
    <w:p w:rsidR="00C738E1" w:rsidRPr="00140702" w:rsidRDefault="00C738E1" w:rsidP="00140702">
      <w:pPr>
        <w:contextualSpacing/>
        <w:jc w:val="both"/>
        <w:rPr>
          <w:rFonts w:ascii="Arial" w:hAnsi="Arial" w:cs="Arial"/>
        </w:rPr>
      </w:pPr>
    </w:p>
    <w:p w:rsidR="00C042B3" w:rsidRPr="00140702" w:rsidRDefault="00EF6F83" w:rsidP="00140702">
      <w:pPr>
        <w:contextualSpacing/>
        <w:jc w:val="both"/>
        <w:rPr>
          <w:rFonts w:ascii="Arial" w:hAnsi="Arial" w:cs="Arial"/>
        </w:rPr>
      </w:pPr>
      <w:r w:rsidRPr="00140702">
        <w:rPr>
          <w:rFonts w:ascii="Arial" w:hAnsi="Arial" w:cs="Arial"/>
        </w:rPr>
        <w:t>A</w:t>
      </w:r>
      <w:r w:rsidR="00070BBE" w:rsidRPr="00140702">
        <w:rPr>
          <w:rFonts w:ascii="Arial" w:hAnsi="Arial" w:cs="Arial"/>
        </w:rPr>
        <w:t xml:space="preserve">s stated earlier, the market system coordinates and directs economic activity in order to obtain the most efficient allocation of resources. </w:t>
      </w:r>
      <w:r w:rsidR="00A26954" w:rsidRPr="00140702">
        <w:rPr>
          <w:rFonts w:ascii="Arial" w:hAnsi="Arial" w:cs="Arial"/>
        </w:rPr>
        <w:t>The question now is</w:t>
      </w:r>
      <w:r w:rsidR="00472B42" w:rsidRPr="00140702">
        <w:rPr>
          <w:rFonts w:ascii="Arial" w:hAnsi="Arial" w:cs="Arial"/>
        </w:rPr>
        <w:t>,</w:t>
      </w:r>
      <w:r w:rsidR="00A26954" w:rsidRPr="00140702">
        <w:rPr>
          <w:rFonts w:ascii="Arial" w:hAnsi="Arial" w:cs="Arial"/>
        </w:rPr>
        <w:t xml:space="preserve"> </w:t>
      </w:r>
      <w:r w:rsidR="00472B42" w:rsidRPr="00140702">
        <w:rPr>
          <w:rFonts w:ascii="Arial" w:hAnsi="Arial" w:cs="Arial"/>
        </w:rPr>
        <w:t>how</w:t>
      </w:r>
      <w:r w:rsidR="00070BBE" w:rsidRPr="00140702">
        <w:rPr>
          <w:rFonts w:ascii="Arial" w:hAnsi="Arial" w:cs="Arial"/>
        </w:rPr>
        <w:t xml:space="preserve"> does the market system go about obtaining </w:t>
      </w:r>
      <w:r w:rsidR="00472B42" w:rsidRPr="00140702">
        <w:rPr>
          <w:rFonts w:ascii="Arial" w:hAnsi="Arial" w:cs="Arial"/>
        </w:rPr>
        <w:t>the most efficient allocation of resources</w:t>
      </w:r>
      <w:r w:rsidR="00070BBE" w:rsidRPr="00140702">
        <w:rPr>
          <w:rFonts w:ascii="Arial" w:hAnsi="Arial" w:cs="Arial"/>
        </w:rPr>
        <w:t xml:space="preserve"> in a situation where there is no </w:t>
      </w:r>
      <w:r w:rsidRPr="00140702">
        <w:rPr>
          <w:rFonts w:ascii="Arial" w:hAnsi="Arial" w:cs="Arial"/>
        </w:rPr>
        <w:t>government</w:t>
      </w:r>
      <w:r w:rsidR="00070BBE" w:rsidRPr="00140702">
        <w:rPr>
          <w:rFonts w:ascii="Arial" w:hAnsi="Arial" w:cs="Arial"/>
        </w:rPr>
        <w:t xml:space="preserve"> inter</w:t>
      </w:r>
      <w:r w:rsidR="008D37EC" w:rsidRPr="00140702">
        <w:rPr>
          <w:rFonts w:ascii="Arial" w:hAnsi="Arial" w:cs="Arial"/>
        </w:rPr>
        <w:t>ference</w:t>
      </w:r>
      <w:r w:rsidR="00070BBE" w:rsidRPr="00140702">
        <w:rPr>
          <w:rFonts w:ascii="Arial" w:hAnsi="Arial" w:cs="Arial"/>
        </w:rPr>
        <w:t xml:space="preserve"> and where every consumer and </w:t>
      </w:r>
      <w:r w:rsidR="003D30F9" w:rsidRPr="00140702">
        <w:rPr>
          <w:rFonts w:ascii="Arial" w:hAnsi="Arial" w:cs="Arial"/>
        </w:rPr>
        <w:t>firm</w:t>
      </w:r>
      <w:r w:rsidR="00070BBE" w:rsidRPr="00140702">
        <w:rPr>
          <w:rFonts w:ascii="Arial" w:hAnsi="Arial" w:cs="Arial"/>
        </w:rPr>
        <w:t xml:space="preserve"> only </w:t>
      </w:r>
      <w:r w:rsidRPr="00140702">
        <w:rPr>
          <w:rFonts w:ascii="Arial" w:hAnsi="Arial" w:cs="Arial"/>
        </w:rPr>
        <w:t>strives</w:t>
      </w:r>
      <w:r w:rsidR="00070BBE" w:rsidRPr="00140702">
        <w:rPr>
          <w:rFonts w:ascii="Arial" w:hAnsi="Arial" w:cs="Arial"/>
        </w:rPr>
        <w:t xml:space="preserve"> to achieve his</w:t>
      </w:r>
      <w:r w:rsidR="00472B42" w:rsidRPr="00140702">
        <w:rPr>
          <w:rFonts w:ascii="Arial" w:hAnsi="Arial" w:cs="Arial"/>
        </w:rPr>
        <w:t>/her</w:t>
      </w:r>
      <w:r w:rsidR="00070BBE" w:rsidRPr="00140702">
        <w:rPr>
          <w:rFonts w:ascii="Arial" w:hAnsi="Arial" w:cs="Arial"/>
        </w:rPr>
        <w:t xml:space="preserve"> </w:t>
      </w:r>
      <w:r w:rsidR="008D37EC" w:rsidRPr="00140702">
        <w:rPr>
          <w:rFonts w:ascii="Arial" w:hAnsi="Arial" w:cs="Arial"/>
        </w:rPr>
        <w:t xml:space="preserve">own </w:t>
      </w:r>
      <w:r w:rsidR="00070BBE" w:rsidRPr="00140702">
        <w:rPr>
          <w:rFonts w:ascii="Arial" w:hAnsi="Arial" w:cs="Arial"/>
        </w:rPr>
        <w:t>self interest</w:t>
      </w:r>
      <w:r w:rsidR="00472B42" w:rsidRPr="00140702">
        <w:rPr>
          <w:rFonts w:ascii="Arial" w:hAnsi="Arial" w:cs="Arial"/>
        </w:rPr>
        <w:t xml:space="preserve"> i.e. maximise his/her </w:t>
      </w:r>
      <w:r w:rsidRPr="00140702">
        <w:rPr>
          <w:rFonts w:ascii="Arial" w:hAnsi="Arial" w:cs="Arial"/>
        </w:rPr>
        <w:t xml:space="preserve">own </w:t>
      </w:r>
      <w:r w:rsidR="00472B42" w:rsidRPr="00140702">
        <w:rPr>
          <w:rFonts w:ascii="Arial" w:hAnsi="Arial" w:cs="Arial"/>
        </w:rPr>
        <w:t>satisfaction</w:t>
      </w:r>
      <w:r w:rsidR="00070BBE" w:rsidRPr="00140702">
        <w:rPr>
          <w:rFonts w:ascii="Arial" w:hAnsi="Arial" w:cs="Arial"/>
        </w:rPr>
        <w:t xml:space="preserve">? The </w:t>
      </w:r>
      <w:r w:rsidR="00A26954" w:rsidRPr="00140702">
        <w:rPr>
          <w:rFonts w:ascii="Arial" w:hAnsi="Arial" w:cs="Arial"/>
        </w:rPr>
        <w:t>answer</w:t>
      </w:r>
      <w:r w:rsidR="00070BBE" w:rsidRPr="00140702">
        <w:rPr>
          <w:rFonts w:ascii="Arial" w:hAnsi="Arial" w:cs="Arial"/>
        </w:rPr>
        <w:t xml:space="preserve"> lays in </w:t>
      </w:r>
      <w:r w:rsidR="00731FDE" w:rsidRPr="00140702">
        <w:rPr>
          <w:rFonts w:ascii="Arial" w:hAnsi="Arial" w:cs="Arial"/>
        </w:rPr>
        <w:t xml:space="preserve">the creation </w:t>
      </w:r>
      <w:r w:rsidR="00202579" w:rsidRPr="00140702">
        <w:rPr>
          <w:rFonts w:ascii="Arial" w:hAnsi="Arial" w:cs="Arial"/>
        </w:rPr>
        <w:t>of markets</w:t>
      </w:r>
      <w:r w:rsidR="00731FDE" w:rsidRPr="00140702">
        <w:rPr>
          <w:rFonts w:ascii="Arial" w:hAnsi="Arial" w:cs="Arial"/>
        </w:rPr>
        <w:t xml:space="preserve"> and </w:t>
      </w:r>
      <w:r w:rsidR="00070BBE" w:rsidRPr="00140702">
        <w:rPr>
          <w:rFonts w:ascii="Arial" w:hAnsi="Arial" w:cs="Arial"/>
        </w:rPr>
        <w:t>prices.</w:t>
      </w:r>
      <w:r w:rsidR="00472B42" w:rsidRPr="00140702">
        <w:rPr>
          <w:rStyle w:val="Funotenzeichen"/>
          <w:rFonts w:ascii="Arial" w:hAnsi="Arial" w:cs="Arial"/>
        </w:rPr>
        <w:footnoteReference w:id="72"/>
      </w:r>
      <w:r w:rsidR="00070BBE" w:rsidRPr="00140702">
        <w:rPr>
          <w:rFonts w:ascii="Arial" w:hAnsi="Arial" w:cs="Arial"/>
        </w:rPr>
        <w:t xml:space="preserve"> </w:t>
      </w:r>
    </w:p>
    <w:p w:rsidR="00C042B3" w:rsidRPr="00140702" w:rsidRDefault="00C042B3" w:rsidP="00140702">
      <w:pPr>
        <w:contextualSpacing/>
        <w:jc w:val="both"/>
        <w:rPr>
          <w:rFonts w:ascii="Arial" w:hAnsi="Arial" w:cs="Arial"/>
        </w:rPr>
      </w:pPr>
    </w:p>
    <w:p w:rsidR="005643A3" w:rsidRPr="00140702" w:rsidRDefault="00731FDE" w:rsidP="00140702">
      <w:pPr>
        <w:contextualSpacing/>
        <w:jc w:val="both"/>
        <w:rPr>
          <w:rFonts w:ascii="Arial" w:hAnsi="Arial" w:cs="Arial"/>
        </w:rPr>
      </w:pPr>
      <w:r w:rsidRPr="00140702">
        <w:rPr>
          <w:rFonts w:ascii="Arial" w:hAnsi="Arial" w:cs="Arial"/>
        </w:rPr>
        <w:t>The market is a place where buyers and sellers meet to exchange goods and/or services.</w:t>
      </w:r>
      <w:r w:rsidR="00B05352" w:rsidRPr="00140702">
        <w:rPr>
          <w:rStyle w:val="Funotenzeichen"/>
          <w:rFonts w:ascii="Arial" w:hAnsi="Arial" w:cs="Arial"/>
        </w:rPr>
        <w:footnoteReference w:id="73"/>
      </w:r>
      <w:r w:rsidRPr="00140702">
        <w:rPr>
          <w:rFonts w:ascii="Arial" w:hAnsi="Arial" w:cs="Arial"/>
        </w:rPr>
        <w:t xml:space="preserve"> Accordingly, the market</w:t>
      </w:r>
      <w:r w:rsidR="00212F64" w:rsidRPr="00140702">
        <w:rPr>
          <w:rFonts w:ascii="Arial" w:hAnsi="Arial" w:cs="Arial"/>
        </w:rPr>
        <w:t xml:space="preserve"> facilitates the flow of information between </w:t>
      </w:r>
      <w:r w:rsidR="003D7757" w:rsidRPr="00140702">
        <w:rPr>
          <w:rFonts w:ascii="Arial" w:hAnsi="Arial" w:cs="Arial"/>
        </w:rPr>
        <w:t>buyers</w:t>
      </w:r>
      <w:r w:rsidR="00B05352" w:rsidRPr="00140702">
        <w:rPr>
          <w:rFonts w:ascii="Arial" w:hAnsi="Arial" w:cs="Arial"/>
        </w:rPr>
        <w:t xml:space="preserve"> and </w:t>
      </w:r>
      <w:r w:rsidR="003D7757" w:rsidRPr="00140702">
        <w:rPr>
          <w:rFonts w:ascii="Arial" w:hAnsi="Arial" w:cs="Arial"/>
        </w:rPr>
        <w:t>sellers</w:t>
      </w:r>
      <w:r w:rsidR="00B05352" w:rsidRPr="00140702">
        <w:rPr>
          <w:rFonts w:ascii="Arial" w:hAnsi="Arial" w:cs="Arial"/>
        </w:rPr>
        <w:t xml:space="preserve"> </w:t>
      </w:r>
      <w:r w:rsidR="00212F64" w:rsidRPr="00140702">
        <w:rPr>
          <w:rFonts w:ascii="Arial" w:hAnsi="Arial" w:cs="Arial"/>
        </w:rPr>
        <w:t xml:space="preserve">regarding </w:t>
      </w:r>
      <w:r w:rsidR="00EF6F83" w:rsidRPr="00140702">
        <w:rPr>
          <w:rFonts w:ascii="Arial" w:hAnsi="Arial" w:cs="Arial"/>
        </w:rPr>
        <w:t xml:space="preserve">the </w:t>
      </w:r>
      <w:r w:rsidR="00B05352" w:rsidRPr="00140702">
        <w:rPr>
          <w:rFonts w:ascii="Arial" w:hAnsi="Arial" w:cs="Arial"/>
        </w:rPr>
        <w:t xml:space="preserve">different choices that </w:t>
      </w:r>
      <w:r w:rsidR="00EF6F83" w:rsidRPr="00140702">
        <w:rPr>
          <w:rFonts w:ascii="Arial" w:hAnsi="Arial" w:cs="Arial"/>
        </w:rPr>
        <w:t>the buyers and sellers</w:t>
      </w:r>
      <w:r w:rsidR="00B05352" w:rsidRPr="00140702">
        <w:rPr>
          <w:rFonts w:ascii="Arial" w:hAnsi="Arial" w:cs="Arial"/>
        </w:rPr>
        <w:t xml:space="preserve"> </w:t>
      </w:r>
      <w:r w:rsidR="008D37EC" w:rsidRPr="00140702">
        <w:rPr>
          <w:rFonts w:ascii="Arial" w:hAnsi="Arial" w:cs="Arial"/>
        </w:rPr>
        <w:t>have</w:t>
      </w:r>
      <w:r w:rsidR="00B05352" w:rsidRPr="00140702">
        <w:rPr>
          <w:rFonts w:ascii="Arial" w:hAnsi="Arial" w:cs="Arial"/>
        </w:rPr>
        <w:t xml:space="preserve"> made with regard to </w:t>
      </w:r>
      <w:r w:rsidR="00D54691" w:rsidRPr="00140702">
        <w:rPr>
          <w:rFonts w:ascii="Arial" w:hAnsi="Arial" w:cs="Arial"/>
        </w:rPr>
        <w:t xml:space="preserve">their </w:t>
      </w:r>
      <w:r w:rsidR="00EF6F83" w:rsidRPr="00140702">
        <w:rPr>
          <w:rFonts w:ascii="Arial" w:hAnsi="Arial" w:cs="Arial"/>
        </w:rPr>
        <w:t>demand and supply</w:t>
      </w:r>
      <w:r w:rsidR="00B05352" w:rsidRPr="00140702">
        <w:rPr>
          <w:rFonts w:ascii="Arial" w:hAnsi="Arial" w:cs="Arial"/>
        </w:rPr>
        <w:t>.</w:t>
      </w:r>
      <w:r w:rsidR="005C656A" w:rsidRPr="00140702">
        <w:rPr>
          <w:rStyle w:val="Funotenzeichen"/>
          <w:rFonts w:ascii="Arial" w:hAnsi="Arial" w:cs="Arial"/>
        </w:rPr>
        <w:footnoteReference w:id="74"/>
      </w:r>
      <w:r w:rsidR="003D7757" w:rsidRPr="00140702">
        <w:rPr>
          <w:rFonts w:ascii="Arial" w:hAnsi="Arial" w:cs="Arial"/>
        </w:rPr>
        <w:t xml:space="preserve"> These choices, regarding the type of goods and services which </w:t>
      </w:r>
      <w:r w:rsidR="008D37EC" w:rsidRPr="00140702">
        <w:rPr>
          <w:rFonts w:ascii="Arial" w:hAnsi="Arial" w:cs="Arial"/>
        </w:rPr>
        <w:t>are</w:t>
      </w:r>
      <w:r w:rsidR="003D7757" w:rsidRPr="00140702">
        <w:rPr>
          <w:rFonts w:ascii="Arial" w:hAnsi="Arial" w:cs="Arial"/>
        </w:rPr>
        <w:t xml:space="preserve"> requested by the buyers and the way in which sellers have chosen to use their resources</w:t>
      </w:r>
      <w:r w:rsidR="00D54691" w:rsidRPr="00140702">
        <w:rPr>
          <w:rFonts w:ascii="Arial" w:hAnsi="Arial" w:cs="Arial"/>
        </w:rPr>
        <w:t xml:space="preserve">, in turn </w:t>
      </w:r>
      <w:r w:rsidR="003D7757" w:rsidRPr="00140702">
        <w:rPr>
          <w:rFonts w:ascii="Arial" w:hAnsi="Arial" w:cs="Arial"/>
        </w:rPr>
        <w:t>determine</w:t>
      </w:r>
      <w:r w:rsidR="00D54691" w:rsidRPr="00140702">
        <w:rPr>
          <w:rFonts w:ascii="Arial" w:hAnsi="Arial" w:cs="Arial"/>
        </w:rPr>
        <w:t xml:space="preserve"> the</w:t>
      </w:r>
      <w:r w:rsidRPr="00140702">
        <w:rPr>
          <w:rFonts w:ascii="Arial" w:hAnsi="Arial" w:cs="Arial"/>
        </w:rPr>
        <w:t xml:space="preserve"> price for </w:t>
      </w:r>
      <w:r w:rsidR="00D54691" w:rsidRPr="00140702">
        <w:rPr>
          <w:rFonts w:ascii="Arial" w:hAnsi="Arial" w:cs="Arial"/>
        </w:rPr>
        <w:t>the different products and resources.</w:t>
      </w:r>
      <w:r w:rsidR="005643A3" w:rsidRPr="00140702">
        <w:rPr>
          <w:rStyle w:val="Funotenzeichen"/>
          <w:rFonts w:ascii="Arial" w:hAnsi="Arial" w:cs="Arial"/>
        </w:rPr>
        <w:footnoteReference w:id="75"/>
      </w:r>
      <w:r w:rsidR="00D54691" w:rsidRPr="00140702">
        <w:rPr>
          <w:rFonts w:ascii="Arial" w:hAnsi="Arial" w:cs="Arial"/>
        </w:rPr>
        <w:t xml:space="preserve"> </w:t>
      </w:r>
      <w:r w:rsidR="005643A3" w:rsidRPr="00140702">
        <w:rPr>
          <w:rFonts w:ascii="Arial" w:hAnsi="Arial" w:cs="Arial"/>
        </w:rPr>
        <w:t>These prices in turn, direct</w:t>
      </w:r>
      <w:r w:rsidR="00D54691" w:rsidRPr="00140702">
        <w:rPr>
          <w:rFonts w:ascii="Arial" w:hAnsi="Arial" w:cs="Arial"/>
        </w:rPr>
        <w:t xml:space="preserve"> the </w:t>
      </w:r>
      <w:r w:rsidR="003E31BB" w:rsidRPr="00140702">
        <w:rPr>
          <w:rFonts w:ascii="Arial" w:hAnsi="Arial" w:cs="Arial"/>
        </w:rPr>
        <w:t>various</w:t>
      </w:r>
      <w:r w:rsidR="00D54691" w:rsidRPr="00140702">
        <w:rPr>
          <w:rFonts w:ascii="Arial" w:hAnsi="Arial" w:cs="Arial"/>
        </w:rPr>
        <w:t xml:space="preserve"> choices </w:t>
      </w:r>
      <w:r w:rsidR="003E31BB" w:rsidRPr="00140702">
        <w:rPr>
          <w:rFonts w:ascii="Arial" w:hAnsi="Arial" w:cs="Arial"/>
        </w:rPr>
        <w:t xml:space="preserve">that </w:t>
      </w:r>
      <w:r w:rsidR="00D54691" w:rsidRPr="00140702">
        <w:rPr>
          <w:rFonts w:ascii="Arial" w:hAnsi="Arial" w:cs="Arial"/>
        </w:rPr>
        <w:t xml:space="preserve">the different economic agents make in the pursuit </w:t>
      </w:r>
      <w:r w:rsidR="003E31BB" w:rsidRPr="00140702">
        <w:rPr>
          <w:rFonts w:ascii="Arial" w:hAnsi="Arial" w:cs="Arial"/>
        </w:rPr>
        <w:t>of</w:t>
      </w:r>
      <w:r w:rsidR="00D54691" w:rsidRPr="00140702">
        <w:rPr>
          <w:rFonts w:ascii="Arial" w:hAnsi="Arial" w:cs="Arial"/>
        </w:rPr>
        <w:t xml:space="preserve"> their </w:t>
      </w:r>
      <w:r w:rsidR="00D642C3" w:rsidRPr="00140702">
        <w:rPr>
          <w:rFonts w:ascii="Arial" w:hAnsi="Arial" w:cs="Arial"/>
        </w:rPr>
        <w:t xml:space="preserve">own </w:t>
      </w:r>
      <w:r w:rsidR="00D54691" w:rsidRPr="00140702">
        <w:rPr>
          <w:rFonts w:ascii="Arial" w:hAnsi="Arial" w:cs="Arial"/>
        </w:rPr>
        <w:t>self interest.</w:t>
      </w:r>
      <w:r w:rsidR="005C656A" w:rsidRPr="00140702">
        <w:rPr>
          <w:rStyle w:val="Funotenzeichen"/>
          <w:rFonts w:ascii="Arial" w:hAnsi="Arial" w:cs="Arial"/>
        </w:rPr>
        <w:footnoteReference w:id="76"/>
      </w:r>
      <w:r w:rsidR="005C656A" w:rsidRPr="00140702">
        <w:rPr>
          <w:rFonts w:ascii="Arial" w:hAnsi="Arial" w:cs="Arial"/>
        </w:rPr>
        <w:t xml:space="preserve"> </w:t>
      </w:r>
    </w:p>
    <w:p w:rsidR="005643A3" w:rsidRPr="00140702" w:rsidRDefault="005643A3" w:rsidP="00140702">
      <w:pPr>
        <w:contextualSpacing/>
        <w:jc w:val="both"/>
        <w:rPr>
          <w:rFonts w:ascii="Arial" w:hAnsi="Arial" w:cs="Arial"/>
        </w:rPr>
      </w:pPr>
    </w:p>
    <w:p w:rsidR="00731FDE" w:rsidRPr="00140702" w:rsidRDefault="00B050C1" w:rsidP="00140702">
      <w:pPr>
        <w:contextualSpacing/>
        <w:jc w:val="both"/>
        <w:rPr>
          <w:rFonts w:ascii="Arial" w:hAnsi="Arial" w:cs="Arial"/>
        </w:rPr>
      </w:pPr>
      <w:r w:rsidRPr="00140702">
        <w:rPr>
          <w:rFonts w:ascii="Arial" w:hAnsi="Arial" w:cs="Arial"/>
        </w:rPr>
        <w:t xml:space="preserve">Stated differently, the market brings the buyers and sellers together and allows them to communicate with each on what goods and services are available (supplied) and </w:t>
      </w:r>
      <w:r w:rsidR="00D642C3" w:rsidRPr="00140702">
        <w:rPr>
          <w:rFonts w:ascii="Arial" w:hAnsi="Arial" w:cs="Arial"/>
        </w:rPr>
        <w:t>what goods</w:t>
      </w:r>
      <w:r w:rsidRPr="00140702">
        <w:rPr>
          <w:rFonts w:ascii="Arial" w:hAnsi="Arial" w:cs="Arial"/>
        </w:rPr>
        <w:t xml:space="preserve"> and services are requested (demanded).</w:t>
      </w:r>
      <w:r w:rsidR="0076392C" w:rsidRPr="00140702">
        <w:rPr>
          <w:rStyle w:val="Funotenzeichen"/>
          <w:rFonts w:ascii="Arial" w:hAnsi="Arial" w:cs="Arial"/>
        </w:rPr>
        <w:footnoteReference w:id="77"/>
      </w:r>
      <w:r w:rsidRPr="00140702">
        <w:rPr>
          <w:rFonts w:ascii="Arial" w:hAnsi="Arial" w:cs="Arial"/>
        </w:rPr>
        <w:t xml:space="preserve"> The demand and supply for the various goods and services in turn determines the </w:t>
      </w:r>
      <w:r w:rsidR="00AC224A" w:rsidRPr="00140702">
        <w:rPr>
          <w:rFonts w:ascii="Arial" w:hAnsi="Arial" w:cs="Arial"/>
        </w:rPr>
        <w:t xml:space="preserve">market </w:t>
      </w:r>
      <w:r w:rsidRPr="00140702">
        <w:rPr>
          <w:rFonts w:ascii="Arial" w:hAnsi="Arial" w:cs="Arial"/>
        </w:rPr>
        <w:t>price thereof.</w:t>
      </w:r>
      <w:r w:rsidR="00321225" w:rsidRPr="00140702">
        <w:rPr>
          <w:rStyle w:val="Funotenzeichen"/>
          <w:rFonts w:ascii="Arial" w:hAnsi="Arial" w:cs="Arial"/>
        </w:rPr>
        <w:footnoteReference w:id="78"/>
      </w:r>
      <w:r w:rsidRPr="00140702">
        <w:rPr>
          <w:rFonts w:ascii="Arial" w:hAnsi="Arial" w:cs="Arial"/>
        </w:rPr>
        <w:t xml:space="preserve"> The</w:t>
      </w:r>
      <w:r w:rsidR="00E96FE4" w:rsidRPr="00140702">
        <w:rPr>
          <w:rFonts w:ascii="Arial" w:hAnsi="Arial" w:cs="Arial"/>
        </w:rPr>
        <w:t xml:space="preserve"> market </w:t>
      </w:r>
      <w:r w:rsidRPr="00140702">
        <w:rPr>
          <w:rFonts w:ascii="Arial" w:hAnsi="Arial" w:cs="Arial"/>
        </w:rPr>
        <w:t xml:space="preserve">price </w:t>
      </w:r>
      <w:r w:rsidR="005643A3" w:rsidRPr="00140702">
        <w:rPr>
          <w:rFonts w:ascii="Arial" w:hAnsi="Arial" w:cs="Arial"/>
        </w:rPr>
        <w:t>of</w:t>
      </w:r>
      <w:r w:rsidR="00CB543A" w:rsidRPr="00140702">
        <w:rPr>
          <w:rFonts w:ascii="Arial" w:hAnsi="Arial" w:cs="Arial"/>
        </w:rPr>
        <w:t xml:space="preserve"> goods and services </w:t>
      </w:r>
      <w:r w:rsidRPr="00140702">
        <w:rPr>
          <w:rFonts w:ascii="Arial" w:hAnsi="Arial" w:cs="Arial"/>
        </w:rPr>
        <w:t xml:space="preserve">in turn determines the </w:t>
      </w:r>
      <w:r w:rsidR="00E96FE4" w:rsidRPr="00140702">
        <w:rPr>
          <w:rFonts w:ascii="Arial" w:hAnsi="Arial" w:cs="Arial"/>
        </w:rPr>
        <w:t>market</w:t>
      </w:r>
      <w:r w:rsidRPr="00140702">
        <w:rPr>
          <w:rFonts w:ascii="Arial" w:hAnsi="Arial" w:cs="Arial"/>
        </w:rPr>
        <w:t xml:space="preserve"> </w:t>
      </w:r>
      <w:r w:rsidR="00CB543A" w:rsidRPr="00140702">
        <w:rPr>
          <w:rFonts w:ascii="Arial" w:hAnsi="Arial" w:cs="Arial"/>
        </w:rPr>
        <w:t>demanded for that good and</w:t>
      </w:r>
      <w:r w:rsidR="00E96FE4" w:rsidRPr="00140702">
        <w:rPr>
          <w:rFonts w:ascii="Arial" w:hAnsi="Arial" w:cs="Arial"/>
        </w:rPr>
        <w:t>/or</w:t>
      </w:r>
      <w:r w:rsidR="00CB543A" w:rsidRPr="00140702">
        <w:rPr>
          <w:rFonts w:ascii="Arial" w:hAnsi="Arial" w:cs="Arial"/>
        </w:rPr>
        <w:t xml:space="preserve"> service and the </w:t>
      </w:r>
      <w:r w:rsidR="00E96FE4" w:rsidRPr="00140702">
        <w:rPr>
          <w:rFonts w:ascii="Arial" w:hAnsi="Arial" w:cs="Arial"/>
        </w:rPr>
        <w:t>market</w:t>
      </w:r>
      <w:r w:rsidR="00CB543A" w:rsidRPr="00140702">
        <w:rPr>
          <w:rFonts w:ascii="Arial" w:hAnsi="Arial" w:cs="Arial"/>
        </w:rPr>
        <w:t xml:space="preserve"> demanded in turn</w:t>
      </w:r>
      <w:r w:rsidR="006D4503" w:rsidRPr="00140702">
        <w:rPr>
          <w:rFonts w:ascii="Arial" w:hAnsi="Arial" w:cs="Arial"/>
        </w:rPr>
        <w:t>,</w:t>
      </w:r>
      <w:r w:rsidR="00CB543A" w:rsidRPr="00140702">
        <w:rPr>
          <w:rFonts w:ascii="Arial" w:hAnsi="Arial" w:cs="Arial"/>
        </w:rPr>
        <w:t xml:space="preserve"> determines the </w:t>
      </w:r>
      <w:r w:rsidR="00E96FE4" w:rsidRPr="00140702">
        <w:rPr>
          <w:rFonts w:ascii="Arial" w:hAnsi="Arial" w:cs="Arial"/>
        </w:rPr>
        <w:t xml:space="preserve">market supply </w:t>
      </w:r>
      <w:r w:rsidR="006D4503" w:rsidRPr="00140702">
        <w:rPr>
          <w:rFonts w:ascii="Arial" w:hAnsi="Arial" w:cs="Arial"/>
        </w:rPr>
        <w:t xml:space="preserve">i.e. demand and supply </w:t>
      </w:r>
      <w:r w:rsidR="00515138" w:rsidRPr="00140702">
        <w:rPr>
          <w:rFonts w:ascii="Arial" w:hAnsi="Arial" w:cs="Arial"/>
        </w:rPr>
        <w:t>determine</w:t>
      </w:r>
      <w:r w:rsidR="006D4503" w:rsidRPr="00140702">
        <w:rPr>
          <w:rFonts w:ascii="Arial" w:hAnsi="Arial" w:cs="Arial"/>
        </w:rPr>
        <w:t xml:space="preserve"> the price and output in </w:t>
      </w:r>
      <w:r w:rsidR="00515138" w:rsidRPr="00140702">
        <w:rPr>
          <w:rFonts w:ascii="Arial" w:hAnsi="Arial" w:cs="Arial"/>
        </w:rPr>
        <w:t>a</w:t>
      </w:r>
      <w:r w:rsidR="00D642C3" w:rsidRPr="00140702">
        <w:rPr>
          <w:rFonts w:ascii="Arial" w:hAnsi="Arial" w:cs="Arial"/>
        </w:rPr>
        <w:t>ny</w:t>
      </w:r>
      <w:r w:rsidR="00515138" w:rsidRPr="00140702">
        <w:rPr>
          <w:rFonts w:ascii="Arial" w:hAnsi="Arial" w:cs="Arial"/>
        </w:rPr>
        <w:t xml:space="preserve"> given</w:t>
      </w:r>
      <w:r w:rsidR="006D4503" w:rsidRPr="00140702">
        <w:rPr>
          <w:rFonts w:ascii="Arial" w:hAnsi="Arial" w:cs="Arial"/>
        </w:rPr>
        <w:t xml:space="preserve"> market</w:t>
      </w:r>
      <w:r w:rsidR="00CB543A" w:rsidRPr="00140702">
        <w:rPr>
          <w:rFonts w:ascii="Arial" w:hAnsi="Arial" w:cs="Arial"/>
        </w:rPr>
        <w:t>.</w:t>
      </w:r>
      <w:r w:rsidR="00321225" w:rsidRPr="00140702">
        <w:rPr>
          <w:rStyle w:val="Funotenzeichen"/>
          <w:rFonts w:ascii="Arial" w:hAnsi="Arial" w:cs="Arial"/>
        </w:rPr>
        <w:footnoteReference w:id="79"/>
      </w:r>
      <w:r w:rsidR="00CB543A" w:rsidRPr="00140702">
        <w:rPr>
          <w:rFonts w:ascii="Arial" w:hAnsi="Arial" w:cs="Arial"/>
        </w:rPr>
        <w:t xml:space="preserve"> Accordingly, the price in the market </w:t>
      </w:r>
      <w:r w:rsidR="00D80138" w:rsidRPr="00140702">
        <w:rPr>
          <w:rFonts w:ascii="Arial" w:hAnsi="Arial" w:cs="Arial"/>
        </w:rPr>
        <w:t>coordinates and</w:t>
      </w:r>
      <w:r w:rsidR="00CB543A" w:rsidRPr="00140702">
        <w:rPr>
          <w:rFonts w:ascii="Arial" w:hAnsi="Arial" w:cs="Arial"/>
        </w:rPr>
        <w:t xml:space="preserve"> directs economic activity</w:t>
      </w:r>
      <w:r w:rsidRPr="00140702">
        <w:rPr>
          <w:rFonts w:ascii="Arial" w:hAnsi="Arial" w:cs="Arial"/>
        </w:rPr>
        <w:t xml:space="preserve"> </w:t>
      </w:r>
      <w:r w:rsidR="00CB543A" w:rsidRPr="00140702">
        <w:rPr>
          <w:rFonts w:ascii="Arial" w:hAnsi="Arial" w:cs="Arial"/>
        </w:rPr>
        <w:t xml:space="preserve">by using the market as </w:t>
      </w:r>
      <w:r w:rsidR="00D659FC" w:rsidRPr="00140702">
        <w:rPr>
          <w:rFonts w:ascii="Arial" w:hAnsi="Arial" w:cs="Arial"/>
        </w:rPr>
        <w:t xml:space="preserve">a </w:t>
      </w:r>
      <w:r w:rsidR="00CB543A" w:rsidRPr="00140702">
        <w:rPr>
          <w:rFonts w:ascii="Arial" w:hAnsi="Arial" w:cs="Arial"/>
        </w:rPr>
        <w:t>communication instrument.</w:t>
      </w:r>
      <w:r w:rsidR="0076392C" w:rsidRPr="00140702">
        <w:rPr>
          <w:rStyle w:val="Funotenzeichen"/>
          <w:rFonts w:ascii="Arial" w:hAnsi="Arial" w:cs="Arial"/>
        </w:rPr>
        <w:footnoteReference w:id="80"/>
      </w:r>
      <w:r w:rsidR="00BA7FBA" w:rsidRPr="00140702">
        <w:rPr>
          <w:rFonts w:ascii="Arial" w:hAnsi="Arial" w:cs="Arial"/>
        </w:rPr>
        <w:t xml:space="preserve"> The price therefore enables the market economy to coordinate and direct the use of economic resources.</w:t>
      </w:r>
    </w:p>
    <w:p w:rsidR="000B7772" w:rsidRPr="00140702" w:rsidRDefault="000B7772" w:rsidP="00140702">
      <w:pPr>
        <w:contextualSpacing/>
        <w:jc w:val="both"/>
        <w:rPr>
          <w:rFonts w:ascii="Arial" w:hAnsi="Arial" w:cs="Arial"/>
        </w:rPr>
      </w:pPr>
    </w:p>
    <w:p w:rsidR="006D4503" w:rsidRPr="00140702" w:rsidRDefault="00D80138" w:rsidP="00140702">
      <w:pPr>
        <w:contextualSpacing/>
        <w:jc w:val="both"/>
        <w:rPr>
          <w:rFonts w:ascii="Arial" w:hAnsi="Arial" w:cs="Arial"/>
        </w:rPr>
      </w:pPr>
      <w:r w:rsidRPr="00140702">
        <w:rPr>
          <w:rFonts w:ascii="Arial" w:hAnsi="Arial" w:cs="Arial"/>
        </w:rPr>
        <w:t>Furthermore,</w:t>
      </w:r>
      <w:r w:rsidR="00AC224A" w:rsidRPr="00140702">
        <w:rPr>
          <w:rFonts w:ascii="Arial" w:hAnsi="Arial" w:cs="Arial"/>
        </w:rPr>
        <w:t xml:space="preserve"> the market</w:t>
      </w:r>
      <w:r w:rsidRPr="00140702">
        <w:rPr>
          <w:rFonts w:ascii="Arial" w:hAnsi="Arial" w:cs="Arial"/>
        </w:rPr>
        <w:t xml:space="preserve"> price</w:t>
      </w:r>
      <w:r w:rsidR="00AC224A" w:rsidRPr="00140702">
        <w:rPr>
          <w:rFonts w:ascii="Arial" w:hAnsi="Arial" w:cs="Arial"/>
        </w:rPr>
        <w:t xml:space="preserve"> also</w:t>
      </w:r>
      <w:r w:rsidR="0085145E" w:rsidRPr="00140702">
        <w:rPr>
          <w:rFonts w:ascii="Arial" w:hAnsi="Arial" w:cs="Arial"/>
        </w:rPr>
        <w:t xml:space="preserve"> keep</w:t>
      </w:r>
      <w:r w:rsidR="00AC224A" w:rsidRPr="00140702">
        <w:rPr>
          <w:rFonts w:ascii="Arial" w:hAnsi="Arial" w:cs="Arial"/>
        </w:rPr>
        <w:t>s</w:t>
      </w:r>
      <w:r w:rsidR="00515138" w:rsidRPr="00140702">
        <w:rPr>
          <w:rFonts w:ascii="Arial" w:hAnsi="Arial" w:cs="Arial"/>
        </w:rPr>
        <w:t xml:space="preserve"> </w:t>
      </w:r>
      <w:r w:rsidR="003D30F9" w:rsidRPr="00140702">
        <w:rPr>
          <w:rFonts w:ascii="Arial" w:hAnsi="Arial" w:cs="Arial"/>
        </w:rPr>
        <w:t>firm</w:t>
      </w:r>
      <w:r w:rsidR="0085145E" w:rsidRPr="00140702">
        <w:rPr>
          <w:rFonts w:ascii="Arial" w:hAnsi="Arial" w:cs="Arial"/>
        </w:rPr>
        <w:t xml:space="preserve">s accountable to </w:t>
      </w:r>
      <w:r w:rsidR="00AC224A" w:rsidRPr="00140702">
        <w:rPr>
          <w:rFonts w:ascii="Arial" w:hAnsi="Arial" w:cs="Arial"/>
        </w:rPr>
        <w:t>consumers</w:t>
      </w:r>
      <w:r w:rsidR="00290747" w:rsidRPr="00140702">
        <w:rPr>
          <w:rStyle w:val="Funotenzeichen"/>
          <w:rFonts w:ascii="Arial" w:hAnsi="Arial" w:cs="Arial"/>
        </w:rPr>
        <w:footnoteReference w:id="81"/>
      </w:r>
      <w:r w:rsidR="00AC224A" w:rsidRPr="00140702">
        <w:rPr>
          <w:rFonts w:ascii="Arial" w:hAnsi="Arial" w:cs="Arial"/>
        </w:rPr>
        <w:t xml:space="preserve"> because the market price determines the quantity demanded and hence also the quantity of goods and services which a firm can sell.</w:t>
      </w:r>
      <w:r w:rsidR="00771868" w:rsidRPr="00140702">
        <w:rPr>
          <w:rStyle w:val="Funotenzeichen"/>
          <w:rFonts w:ascii="Arial" w:hAnsi="Arial" w:cs="Arial"/>
        </w:rPr>
        <w:footnoteReference w:id="82"/>
      </w:r>
      <w:r w:rsidR="0085145E" w:rsidRPr="00140702">
        <w:rPr>
          <w:rFonts w:ascii="Arial" w:hAnsi="Arial" w:cs="Arial"/>
        </w:rPr>
        <w:t xml:space="preserve"> </w:t>
      </w:r>
      <w:r w:rsidR="00771868" w:rsidRPr="00140702">
        <w:rPr>
          <w:rFonts w:ascii="Arial" w:hAnsi="Arial" w:cs="Arial"/>
        </w:rPr>
        <w:t xml:space="preserve">The reason for this is due to the fact that consumers generally have the freedom to decide what they want to consume and also what quantity they want to consume given </w:t>
      </w:r>
      <w:r w:rsidR="002C77BF" w:rsidRPr="00140702">
        <w:rPr>
          <w:rFonts w:ascii="Arial" w:hAnsi="Arial" w:cs="Arial"/>
        </w:rPr>
        <w:t xml:space="preserve">the market price and </w:t>
      </w:r>
      <w:r w:rsidR="00771868" w:rsidRPr="00140702">
        <w:rPr>
          <w:rFonts w:ascii="Arial" w:hAnsi="Arial" w:cs="Arial"/>
        </w:rPr>
        <w:t xml:space="preserve">their budget </w:t>
      </w:r>
      <w:r w:rsidR="00D642C3" w:rsidRPr="00140702">
        <w:rPr>
          <w:rFonts w:ascii="Arial" w:hAnsi="Arial" w:cs="Arial"/>
        </w:rPr>
        <w:t>constraints</w:t>
      </w:r>
      <w:r w:rsidR="00771868" w:rsidRPr="00140702">
        <w:rPr>
          <w:rFonts w:ascii="Arial" w:hAnsi="Arial" w:cs="Arial"/>
        </w:rPr>
        <w:t>.</w:t>
      </w:r>
      <w:r w:rsidR="00771868" w:rsidRPr="00140702">
        <w:rPr>
          <w:rStyle w:val="Funotenzeichen"/>
          <w:rFonts w:ascii="Arial" w:hAnsi="Arial" w:cs="Arial"/>
        </w:rPr>
        <w:footnoteReference w:id="83"/>
      </w:r>
      <w:r w:rsidR="00771868" w:rsidRPr="00140702">
        <w:rPr>
          <w:rFonts w:ascii="Arial" w:hAnsi="Arial" w:cs="Arial"/>
        </w:rPr>
        <w:t xml:space="preserve"> </w:t>
      </w:r>
      <w:r w:rsidR="00290747" w:rsidRPr="00140702">
        <w:rPr>
          <w:rFonts w:ascii="Arial" w:hAnsi="Arial" w:cs="Arial"/>
        </w:rPr>
        <w:t xml:space="preserve">Consumer sovereignty </w:t>
      </w:r>
      <w:r w:rsidR="009337BD" w:rsidRPr="00140702">
        <w:rPr>
          <w:rFonts w:ascii="Arial" w:hAnsi="Arial" w:cs="Arial"/>
        </w:rPr>
        <w:t xml:space="preserve">coupled </w:t>
      </w:r>
      <w:r w:rsidR="00290747" w:rsidRPr="00140702">
        <w:rPr>
          <w:rFonts w:ascii="Arial" w:hAnsi="Arial" w:cs="Arial"/>
        </w:rPr>
        <w:t xml:space="preserve">with </w:t>
      </w:r>
      <w:r w:rsidR="009337BD" w:rsidRPr="00140702">
        <w:rPr>
          <w:rFonts w:ascii="Arial" w:hAnsi="Arial" w:cs="Arial"/>
        </w:rPr>
        <w:t xml:space="preserve">the </w:t>
      </w:r>
      <w:r w:rsidR="003D30F9" w:rsidRPr="00140702">
        <w:rPr>
          <w:rFonts w:ascii="Arial" w:hAnsi="Arial" w:cs="Arial"/>
        </w:rPr>
        <w:t>firm</w:t>
      </w:r>
      <w:r w:rsidR="00290747" w:rsidRPr="00140702">
        <w:rPr>
          <w:rFonts w:ascii="Arial" w:hAnsi="Arial" w:cs="Arial"/>
        </w:rPr>
        <w:t xml:space="preserve">’s incentive to obtain profit leads to competition between the different </w:t>
      </w:r>
      <w:r w:rsidR="003D30F9" w:rsidRPr="00140702">
        <w:rPr>
          <w:rFonts w:ascii="Arial" w:hAnsi="Arial" w:cs="Arial"/>
        </w:rPr>
        <w:t>firm</w:t>
      </w:r>
      <w:r w:rsidR="009337BD" w:rsidRPr="00140702">
        <w:rPr>
          <w:rFonts w:ascii="Arial" w:hAnsi="Arial" w:cs="Arial"/>
        </w:rPr>
        <w:t xml:space="preserve">s where each of them </w:t>
      </w:r>
      <w:r w:rsidR="00AF1C49" w:rsidRPr="00140702">
        <w:rPr>
          <w:rFonts w:ascii="Arial" w:hAnsi="Arial" w:cs="Arial"/>
        </w:rPr>
        <w:t>strives</w:t>
      </w:r>
      <w:r w:rsidR="009337BD" w:rsidRPr="00140702">
        <w:rPr>
          <w:rFonts w:ascii="Arial" w:hAnsi="Arial" w:cs="Arial"/>
        </w:rPr>
        <w:t xml:space="preserve"> to increase their profits i.e. to convince more buyers to buy their products.</w:t>
      </w:r>
      <w:r w:rsidR="008633C5" w:rsidRPr="00140702">
        <w:rPr>
          <w:rStyle w:val="Funotenzeichen"/>
          <w:rFonts w:ascii="Arial" w:hAnsi="Arial" w:cs="Arial"/>
        </w:rPr>
        <w:footnoteReference w:id="84"/>
      </w:r>
      <w:r w:rsidR="009337BD" w:rsidRPr="00140702">
        <w:rPr>
          <w:rFonts w:ascii="Arial" w:hAnsi="Arial" w:cs="Arial"/>
        </w:rPr>
        <w:t xml:space="preserve"> </w:t>
      </w:r>
    </w:p>
    <w:p w:rsidR="006D4503" w:rsidRPr="00140702" w:rsidRDefault="006D4503" w:rsidP="00140702">
      <w:pPr>
        <w:contextualSpacing/>
        <w:jc w:val="both"/>
        <w:rPr>
          <w:rFonts w:ascii="Arial" w:hAnsi="Arial" w:cs="Arial"/>
        </w:rPr>
      </w:pPr>
    </w:p>
    <w:p w:rsidR="00B65039" w:rsidRPr="00140702" w:rsidRDefault="008B014B" w:rsidP="00140702">
      <w:pPr>
        <w:contextualSpacing/>
        <w:jc w:val="both"/>
        <w:rPr>
          <w:rFonts w:ascii="Arial" w:hAnsi="Arial" w:cs="Arial"/>
        </w:rPr>
      </w:pPr>
      <w:r w:rsidRPr="00140702">
        <w:rPr>
          <w:rFonts w:ascii="Arial" w:hAnsi="Arial" w:cs="Arial"/>
        </w:rPr>
        <w:t>Competition</w:t>
      </w:r>
      <w:r w:rsidR="006D4503" w:rsidRPr="00140702">
        <w:rPr>
          <w:rFonts w:ascii="Arial" w:hAnsi="Arial" w:cs="Arial"/>
        </w:rPr>
        <w:t xml:space="preserve"> on the other hand,</w:t>
      </w:r>
      <w:r w:rsidRPr="00140702">
        <w:rPr>
          <w:rFonts w:ascii="Arial" w:hAnsi="Arial" w:cs="Arial"/>
        </w:rPr>
        <w:t xml:space="preserve"> is regarded as the regularity force of the market system because it </w:t>
      </w:r>
      <w:r w:rsidR="006F203E" w:rsidRPr="00140702">
        <w:rPr>
          <w:rFonts w:ascii="Arial" w:hAnsi="Arial" w:cs="Arial"/>
        </w:rPr>
        <w:t xml:space="preserve">prohibits </w:t>
      </w:r>
      <w:r w:rsidR="003D30F9" w:rsidRPr="00140702">
        <w:rPr>
          <w:rFonts w:ascii="Arial" w:hAnsi="Arial" w:cs="Arial"/>
        </w:rPr>
        <w:t>firm</w:t>
      </w:r>
      <w:r w:rsidR="006F203E" w:rsidRPr="00140702">
        <w:rPr>
          <w:rFonts w:ascii="Arial" w:hAnsi="Arial" w:cs="Arial"/>
        </w:rPr>
        <w:t>s from asking more than the market price for any specific good or service.</w:t>
      </w:r>
      <w:r w:rsidR="008633C5" w:rsidRPr="00140702">
        <w:rPr>
          <w:rStyle w:val="Funotenzeichen"/>
          <w:rFonts w:ascii="Arial" w:hAnsi="Arial" w:cs="Arial"/>
        </w:rPr>
        <w:footnoteReference w:id="85"/>
      </w:r>
      <w:r w:rsidR="006F203E" w:rsidRPr="00140702">
        <w:rPr>
          <w:rFonts w:ascii="Arial" w:hAnsi="Arial" w:cs="Arial"/>
        </w:rPr>
        <w:t xml:space="preserve"> If for example a </w:t>
      </w:r>
      <w:r w:rsidR="003D30F9" w:rsidRPr="00140702">
        <w:rPr>
          <w:rFonts w:ascii="Arial" w:hAnsi="Arial" w:cs="Arial"/>
        </w:rPr>
        <w:t>firm</w:t>
      </w:r>
      <w:r w:rsidR="006F203E" w:rsidRPr="00140702">
        <w:rPr>
          <w:rFonts w:ascii="Arial" w:hAnsi="Arial" w:cs="Arial"/>
        </w:rPr>
        <w:t xml:space="preserve"> does ask more than the market price, then that </w:t>
      </w:r>
      <w:r w:rsidR="003D30F9" w:rsidRPr="00140702">
        <w:rPr>
          <w:rFonts w:ascii="Arial" w:hAnsi="Arial" w:cs="Arial"/>
        </w:rPr>
        <w:t>firm</w:t>
      </w:r>
      <w:r w:rsidR="006F203E" w:rsidRPr="00140702">
        <w:rPr>
          <w:rFonts w:ascii="Arial" w:hAnsi="Arial" w:cs="Arial"/>
        </w:rPr>
        <w:t xml:space="preserve"> will lose sales to other </w:t>
      </w:r>
      <w:r w:rsidR="003D30F9" w:rsidRPr="00140702">
        <w:rPr>
          <w:rFonts w:ascii="Arial" w:hAnsi="Arial" w:cs="Arial"/>
        </w:rPr>
        <w:t>firm</w:t>
      </w:r>
      <w:r w:rsidR="006F203E" w:rsidRPr="00140702">
        <w:rPr>
          <w:rFonts w:ascii="Arial" w:hAnsi="Arial" w:cs="Arial"/>
        </w:rPr>
        <w:t>s</w:t>
      </w:r>
      <w:r w:rsidR="00EF5437" w:rsidRPr="00140702">
        <w:rPr>
          <w:rFonts w:ascii="Arial" w:hAnsi="Arial" w:cs="Arial"/>
        </w:rPr>
        <w:t>.</w:t>
      </w:r>
      <w:r w:rsidR="006F203E" w:rsidRPr="00140702">
        <w:rPr>
          <w:rFonts w:ascii="Arial" w:hAnsi="Arial" w:cs="Arial"/>
        </w:rPr>
        <w:t xml:space="preserve"> </w:t>
      </w:r>
      <w:r w:rsidR="00EF5437" w:rsidRPr="00140702">
        <w:rPr>
          <w:rFonts w:ascii="Arial" w:hAnsi="Arial" w:cs="Arial"/>
        </w:rPr>
        <w:t>In addition</w:t>
      </w:r>
      <w:r w:rsidR="006F203E" w:rsidRPr="00140702">
        <w:rPr>
          <w:rFonts w:ascii="Arial" w:hAnsi="Arial" w:cs="Arial"/>
        </w:rPr>
        <w:t xml:space="preserve"> if a firm pays lower wages than the market wage then that </w:t>
      </w:r>
      <w:r w:rsidR="003D30F9" w:rsidRPr="00140702">
        <w:rPr>
          <w:rFonts w:ascii="Arial" w:hAnsi="Arial" w:cs="Arial"/>
        </w:rPr>
        <w:t>firm</w:t>
      </w:r>
      <w:r w:rsidR="006F203E" w:rsidRPr="00140702">
        <w:rPr>
          <w:rFonts w:ascii="Arial" w:hAnsi="Arial" w:cs="Arial"/>
        </w:rPr>
        <w:t xml:space="preserve"> will lose </w:t>
      </w:r>
      <w:r w:rsidR="00773DEB" w:rsidRPr="00140702">
        <w:rPr>
          <w:rFonts w:ascii="Arial" w:hAnsi="Arial" w:cs="Arial"/>
        </w:rPr>
        <w:t xml:space="preserve">skilled </w:t>
      </w:r>
      <w:r w:rsidR="006F203E" w:rsidRPr="00140702">
        <w:rPr>
          <w:rFonts w:ascii="Arial" w:hAnsi="Arial" w:cs="Arial"/>
        </w:rPr>
        <w:t xml:space="preserve">employees to other </w:t>
      </w:r>
      <w:r w:rsidR="003D30F9" w:rsidRPr="00140702">
        <w:rPr>
          <w:rFonts w:ascii="Arial" w:hAnsi="Arial" w:cs="Arial"/>
        </w:rPr>
        <w:t>firm</w:t>
      </w:r>
      <w:r w:rsidR="006F203E" w:rsidRPr="00140702">
        <w:rPr>
          <w:rFonts w:ascii="Arial" w:hAnsi="Arial" w:cs="Arial"/>
        </w:rPr>
        <w:t>s.</w:t>
      </w:r>
      <w:r w:rsidR="008633C5" w:rsidRPr="00140702">
        <w:rPr>
          <w:rStyle w:val="Funotenzeichen"/>
          <w:rFonts w:ascii="Arial" w:hAnsi="Arial" w:cs="Arial"/>
        </w:rPr>
        <w:footnoteReference w:id="86"/>
      </w:r>
      <w:r w:rsidR="006F203E" w:rsidRPr="00140702">
        <w:rPr>
          <w:rFonts w:ascii="Arial" w:hAnsi="Arial" w:cs="Arial"/>
        </w:rPr>
        <w:t xml:space="preserve"> </w:t>
      </w:r>
    </w:p>
    <w:p w:rsidR="00B65039" w:rsidRPr="00140702" w:rsidRDefault="00B65039" w:rsidP="00140702">
      <w:pPr>
        <w:contextualSpacing/>
        <w:jc w:val="both"/>
        <w:rPr>
          <w:rFonts w:ascii="Arial" w:hAnsi="Arial" w:cs="Arial"/>
        </w:rPr>
      </w:pPr>
    </w:p>
    <w:p w:rsidR="009337BD" w:rsidRPr="00140702" w:rsidRDefault="003F4DA6" w:rsidP="00140702">
      <w:pPr>
        <w:contextualSpacing/>
        <w:jc w:val="both"/>
        <w:rPr>
          <w:rFonts w:ascii="Arial" w:hAnsi="Arial" w:cs="Arial"/>
        </w:rPr>
      </w:pPr>
      <w:r w:rsidRPr="00140702">
        <w:rPr>
          <w:rFonts w:ascii="Arial" w:hAnsi="Arial" w:cs="Arial"/>
        </w:rPr>
        <w:t>Accordingly, the</w:t>
      </w:r>
      <w:r w:rsidR="006F203E" w:rsidRPr="00140702">
        <w:rPr>
          <w:rFonts w:ascii="Arial" w:hAnsi="Arial" w:cs="Arial"/>
        </w:rPr>
        <w:t xml:space="preserve"> </w:t>
      </w:r>
      <w:r w:rsidR="008633C5" w:rsidRPr="00140702">
        <w:rPr>
          <w:rFonts w:ascii="Arial" w:hAnsi="Arial" w:cs="Arial"/>
        </w:rPr>
        <w:t>process of competition ensures</w:t>
      </w:r>
      <w:r w:rsidR="006F203E" w:rsidRPr="00140702">
        <w:rPr>
          <w:rFonts w:ascii="Arial" w:hAnsi="Arial" w:cs="Arial"/>
        </w:rPr>
        <w:t xml:space="preserve"> that </w:t>
      </w:r>
      <w:r w:rsidR="003D30F9" w:rsidRPr="00140702">
        <w:rPr>
          <w:rFonts w:ascii="Arial" w:hAnsi="Arial" w:cs="Arial"/>
        </w:rPr>
        <w:t>firm</w:t>
      </w:r>
      <w:r w:rsidR="006F203E" w:rsidRPr="00140702">
        <w:rPr>
          <w:rFonts w:ascii="Arial" w:hAnsi="Arial" w:cs="Arial"/>
        </w:rPr>
        <w:t xml:space="preserve">s </w:t>
      </w:r>
      <w:r w:rsidRPr="00140702">
        <w:rPr>
          <w:rFonts w:ascii="Arial" w:hAnsi="Arial" w:cs="Arial"/>
        </w:rPr>
        <w:t>need</w:t>
      </w:r>
      <w:r w:rsidR="006F203E" w:rsidRPr="00140702">
        <w:rPr>
          <w:rFonts w:ascii="Arial" w:hAnsi="Arial" w:cs="Arial"/>
        </w:rPr>
        <w:t xml:space="preserve"> to maximise their efficiency</w:t>
      </w:r>
      <w:r w:rsidRPr="00140702">
        <w:rPr>
          <w:rFonts w:ascii="Arial" w:hAnsi="Arial" w:cs="Arial"/>
        </w:rPr>
        <w:t xml:space="preserve"> i</w:t>
      </w:r>
      <w:r w:rsidR="00773DEB" w:rsidRPr="00140702">
        <w:rPr>
          <w:rFonts w:ascii="Arial" w:hAnsi="Arial" w:cs="Arial"/>
        </w:rPr>
        <w:t>f they want to</w:t>
      </w:r>
      <w:r w:rsidRPr="00140702">
        <w:rPr>
          <w:rFonts w:ascii="Arial" w:hAnsi="Arial" w:cs="Arial"/>
        </w:rPr>
        <w:t xml:space="preserve"> provide their products at the competitive market price</w:t>
      </w:r>
      <w:r w:rsidR="00773DEB" w:rsidRPr="00140702">
        <w:rPr>
          <w:rFonts w:ascii="Arial" w:hAnsi="Arial" w:cs="Arial"/>
        </w:rPr>
        <w:t>.</w:t>
      </w:r>
      <w:r w:rsidR="008633C5" w:rsidRPr="00140702">
        <w:rPr>
          <w:rStyle w:val="Funotenzeichen"/>
          <w:rFonts w:ascii="Arial" w:hAnsi="Arial" w:cs="Arial"/>
        </w:rPr>
        <w:footnoteReference w:id="87"/>
      </w:r>
      <w:r w:rsidR="00773DEB" w:rsidRPr="00140702">
        <w:rPr>
          <w:rFonts w:ascii="Arial" w:hAnsi="Arial" w:cs="Arial"/>
        </w:rPr>
        <w:t xml:space="preserve"> If not, they</w:t>
      </w:r>
      <w:r w:rsidRPr="00140702">
        <w:rPr>
          <w:rFonts w:ascii="Arial" w:hAnsi="Arial" w:cs="Arial"/>
        </w:rPr>
        <w:t xml:space="preserve"> face losing sales (profits) to other more efficient firms.</w:t>
      </w:r>
      <w:r w:rsidR="008633C5" w:rsidRPr="00140702">
        <w:rPr>
          <w:rStyle w:val="Funotenzeichen"/>
          <w:rFonts w:ascii="Arial" w:hAnsi="Arial" w:cs="Arial"/>
        </w:rPr>
        <w:footnoteReference w:id="88"/>
      </w:r>
      <w:r w:rsidRPr="00140702">
        <w:rPr>
          <w:rFonts w:ascii="Arial" w:hAnsi="Arial" w:cs="Arial"/>
        </w:rPr>
        <w:t xml:space="preserve"> </w:t>
      </w:r>
      <w:r w:rsidR="00B65039" w:rsidRPr="00140702">
        <w:rPr>
          <w:rFonts w:ascii="Arial" w:hAnsi="Arial" w:cs="Arial"/>
        </w:rPr>
        <w:t>Therefore, competition is the regulating mechanism ensuring that the socially efficient quantity is produced at the socially efficient price and hence it is argued that the competition process is the reason why the market system achieves the optimal allocation of resources.</w:t>
      </w:r>
      <w:r w:rsidR="00B65039" w:rsidRPr="00140702">
        <w:rPr>
          <w:rStyle w:val="Funotenzeichen"/>
          <w:rFonts w:ascii="Arial" w:hAnsi="Arial" w:cs="Arial"/>
        </w:rPr>
        <w:footnoteReference w:id="89"/>
      </w:r>
      <w:r w:rsidR="00B65039" w:rsidRPr="00140702">
        <w:rPr>
          <w:rFonts w:ascii="Arial" w:hAnsi="Arial" w:cs="Arial"/>
        </w:rPr>
        <w:t xml:space="preserve"> It goes without saying that competition is </w:t>
      </w:r>
      <w:r w:rsidR="00BE255F" w:rsidRPr="00140702">
        <w:rPr>
          <w:rFonts w:ascii="Arial" w:hAnsi="Arial" w:cs="Arial"/>
        </w:rPr>
        <w:t xml:space="preserve">one of </w:t>
      </w:r>
      <w:r w:rsidR="00B65039" w:rsidRPr="00140702">
        <w:rPr>
          <w:rFonts w:ascii="Arial" w:hAnsi="Arial" w:cs="Arial"/>
        </w:rPr>
        <w:t xml:space="preserve">the most important </w:t>
      </w:r>
      <w:r w:rsidR="002C77BF" w:rsidRPr="00140702">
        <w:rPr>
          <w:rFonts w:ascii="Arial" w:hAnsi="Arial" w:cs="Arial"/>
        </w:rPr>
        <w:t>factor</w:t>
      </w:r>
      <w:r w:rsidR="00BE255F" w:rsidRPr="00140702">
        <w:rPr>
          <w:rFonts w:ascii="Arial" w:hAnsi="Arial" w:cs="Arial"/>
        </w:rPr>
        <w:t>s</w:t>
      </w:r>
      <w:r w:rsidR="002C77BF" w:rsidRPr="00140702">
        <w:rPr>
          <w:rFonts w:ascii="Arial" w:hAnsi="Arial" w:cs="Arial"/>
        </w:rPr>
        <w:t xml:space="preserve"> influencing the efficiency of the market system.</w:t>
      </w:r>
    </w:p>
    <w:p w:rsidR="00B65039" w:rsidRPr="00140702" w:rsidRDefault="00B65039" w:rsidP="00140702">
      <w:pPr>
        <w:contextualSpacing/>
        <w:jc w:val="both"/>
        <w:rPr>
          <w:rFonts w:ascii="Arial" w:hAnsi="Arial" w:cs="Arial"/>
        </w:rPr>
      </w:pPr>
    </w:p>
    <w:p w:rsidR="00321225" w:rsidRPr="00140702" w:rsidRDefault="000D5CD6" w:rsidP="00140702">
      <w:pPr>
        <w:contextualSpacing/>
        <w:jc w:val="both"/>
        <w:rPr>
          <w:rFonts w:ascii="Arial" w:hAnsi="Arial" w:cs="Arial"/>
        </w:rPr>
      </w:pPr>
      <w:r w:rsidRPr="00140702">
        <w:rPr>
          <w:rFonts w:ascii="Arial" w:hAnsi="Arial" w:cs="Arial"/>
        </w:rPr>
        <w:t>To</w:t>
      </w:r>
      <w:r w:rsidR="00DD443B" w:rsidRPr="00140702">
        <w:rPr>
          <w:rFonts w:ascii="Arial" w:hAnsi="Arial" w:cs="Arial"/>
        </w:rPr>
        <w:t xml:space="preserve"> </w:t>
      </w:r>
      <w:r w:rsidR="00A601E6" w:rsidRPr="00140702">
        <w:rPr>
          <w:rFonts w:ascii="Arial" w:hAnsi="Arial" w:cs="Arial"/>
        </w:rPr>
        <w:t>recapitulate</w:t>
      </w:r>
      <w:r w:rsidR="00DD443B" w:rsidRPr="00140702">
        <w:rPr>
          <w:rFonts w:ascii="Arial" w:hAnsi="Arial" w:cs="Arial"/>
        </w:rPr>
        <w:t>,</w:t>
      </w:r>
      <w:r w:rsidRPr="00140702">
        <w:rPr>
          <w:rFonts w:ascii="Arial" w:hAnsi="Arial" w:cs="Arial"/>
        </w:rPr>
        <w:t xml:space="preserve"> </w:t>
      </w:r>
      <w:r w:rsidR="00DD443B" w:rsidRPr="00140702">
        <w:rPr>
          <w:rFonts w:ascii="Arial" w:hAnsi="Arial" w:cs="Arial"/>
        </w:rPr>
        <w:t>t</w:t>
      </w:r>
      <w:r w:rsidRPr="00140702">
        <w:rPr>
          <w:rFonts w:ascii="Arial" w:hAnsi="Arial" w:cs="Arial"/>
        </w:rPr>
        <w:t xml:space="preserve">he market brings </w:t>
      </w:r>
      <w:r w:rsidR="004326EA" w:rsidRPr="00140702">
        <w:rPr>
          <w:rFonts w:ascii="Arial" w:hAnsi="Arial" w:cs="Arial"/>
        </w:rPr>
        <w:t>together</w:t>
      </w:r>
      <w:r w:rsidRPr="00140702">
        <w:rPr>
          <w:rFonts w:ascii="Arial" w:hAnsi="Arial" w:cs="Arial"/>
        </w:rPr>
        <w:t xml:space="preserve"> buyers and sellers </w:t>
      </w:r>
      <w:r w:rsidR="004326EA" w:rsidRPr="00140702">
        <w:rPr>
          <w:rFonts w:ascii="Arial" w:hAnsi="Arial" w:cs="Arial"/>
        </w:rPr>
        <w:t>in order to</w:t>
      </w:r>
      <w:r w:rsidRPr="00140702">
        <w:rPr>
          <w:rFonts w:ascii="Arial" w:hAnsi="Arial" w:cs="Arial"/>
        </w:rPr>
        <w:t xml:space="preserve"> exchange information.</w:t>
      </w:r>
      <w:r w:rsidR="004326EA" w:rsidRPr="00140702">
        <w:rPr>
          <w:rStyle w:val="Funotenzeichen"/>
          <w:rFonts w:ascii="Arial" w:hAnsi="Arial" w:cs="Arial"/>
        </w:rPr>
        <w:footnoteReference w:id="90"/>
      </w:r>
      <w:r w:rsidRPr="00140702">
        <w:rPr>
          <w:rFonts w:ascii="Arial" w:hAnsi="Arial" w:cs="Arial"/>
        </w:rPr>
        <w:t xml:space="preserve"> Th</w:t>
      </w:r>
      <w:r w:rsidR="00515138" w:rsidRPr="00140702">
        <w:rPr>
          <w:rFonts w:ascii="Arial" w:hAnsi="Arial" w:cs="Arial"/>
        </w:rPr>
        <w:t>is</w:t>
      </w:r>
      <w:r w:rsidR="00446A10" w:rsidRPr="00140702">
        <w:rPr>
          <w:rFonts w:ascii="Arial" w:hAnsi="Arial" w:cs="Arial"/>
        </w:rPr>
        <w:t xml:space="preserve"> exchange of information regarding supply and demand</w:t>
      </w:r>
      <w:r w:rsidR="00773DEB" w:rsidRPr="00140702">
        <w:rPr>
          <w:rFonts w:ascii="Arial" w:hAnsi="Arial" w:cs="Arial"/>
        </w:rPr>
        <w:t xml:space="preserve"> determines the</w:t>
      </w:r>
      <w:r w:rsidRPr="00140702">
        <w:rPr>
          <w:rFonts w:ascii="Arial" w:hAnsi="Arial" w:cs="Arial"/>
        </w:rPr>
        <w:t xml:space="preserve"> market price and the market </w:t>
      </w:r>
      <w:r w:rsidR="00DD443B" w:rsidRPr="00140702">
        <w:rPr>
          <w:rFonts w:ascii="Arial" w:hAnsi="Arial" w:cs="Arial"/>
        </w:rPr>
        <w:t>price then coordinates and directs</w:t>
      </w:r>
      <w:r w:rsidRPr="00140702">
        <w:rPr>
          <w:rFonts w:ascii="Arial" w:hAnsi="Arial" w:cs="Arial"/>
        </w:rPr>
        <w:t xml:space="preserve"> </w:t>
      </w:r>
      <w:r w:rsidR="00773DEB" w:rsidRPr="00140702">
        <w:rPr>
          <w:rFonts w:ascii="Arial" w:hAnsi="Arial" w:cs="Arial"/>
        </w:rPr>
        <w:t xml:space="preserve">the </w:t>
      </w:r>
      <w:r w:rsidRPr="00140702">
        <w:rPr>
          <w:rFonts w:ascii="Arial" w:hAnsi="Arial" w:cs="Arial"/>
        </w:rPr>
        <w:t>economic activity</w:t>
      </w:r>
      <w:r w:rsidR="00773DEB" w:rsidRPr="00140702">
        <w:rPr>
          <w:rFonts w:ascii="Arial" w:hAnsi="Arial" w:cs="Arial"/>
        </w:rPr>
        <w:t xml:space="preserve"> within the relevant market</w:t>
      </w:r>
      <w:r w:rsidRPr="00140702">
        <w:rPr>
          <w:rFonts w:ascii="Arial" w:hAnsi="Arial" w:cs="Arial"/>
        </w:rPr>
        <w:t>.</w:t>
      </w:r>
      <w:r w:rsidR="004326EA" w:rsidRPr="00140702">
        <w:rPr>
          <w:rStyle w:val="Funotenzeichen"/>
          <w:rFonts w:ascii="Arial" w:hAnsi="Arial" w:cs="Arial"/>
        </w:rPr>
        <w:footnoteReference w:id="91"/>
      </w:r>
      <w:r w:rsidRPr="00140702">
        <w:rPr>
          <w:rFonts w:ascii="Arial" w:hAnsi="Arial" w:cs="Arial"/>
        </w:rPr>
        <w:t xml:space="preserve"> Competition on the other hand</w:t>
      </w:r>
      <w:r w:rsidR="00515138" w:rsidRPr="00140702">
        <w:rPr>
          <w:rFonts w:ascii="Arial" w:hAnsi="Arial" w:cs="Arial"/>
        </w:rPr>
        <w:t>,</w:t>
      </w:r>
      <w:r w:rsidRPr="00140702">
        <w:rPr>
          <w:rFonts w:ascii="Arial" w:hAnsi="Arial" w:cs="Arial"/>
        </w:rPr>
        <w:t xml:space="preserve"> is what ensures that the market system </w:t>
      </w:r>
      <w:r w:rsidR="00BA7FBA" w:rsidRPr="00140702">
        <w:rPr>
          <w:rFonts w:ascii="Arial" w:hAnsi="Arial" w:cs="Arial"/>
        </w:rPr>
        <w:t>guide</w:t>
      </w:r>
      <w:r w:rsidR="00515138" w:rsidRPr="00140702">
        <w:rPr>
          <w:rFonts w:ascii="Arial" w:hAnsi="Arial" w:cs="Arial"/>
        </w:rPr>
        <w:t>s</w:t>
      </w:r>
      <w:r w:rsidR="00BA7FBA" w:rsidRPr="00140702">
        <w:rPr>
          <w:rFonts w:ascii="Arial" w:hAnsi="Arial" w:cs="Arial"/>
        </w:rPr>
        <w:t xml:space="preserve"> the use of the economic resources</w:t>
      </w:r>
      <w:r w:rsidR="00515138" w:rsidRPr="00140702">
        <w:rPr>
          <w:rFonts w:ascii="Arial" w:hAnsi="Arial" w:cs="Arial"/>
        </w:rPr>
        <w:t xml:space="preserve"> in such a way</w:t>
      </w:r>
      <w:r w:rsidR="00BA7FBA" w:rsidRPr="00140702">
        <w:rPr>
          <w:rFonts w:ascii="Arial" w:hAnsi="Arial" w:cs="Arial"/>
        </w:rPr>
        <w:t xml:space="preserve"> that</w:t>
      </w:r>
      <w:r w:rsidRPr="00140702">
        <w:rPr>
          <w:rFonts w:ascii="Arial" w:hAnsi="Arial" w:cs="Arial"/>
        </w:rPr>
        <w:t xml:space="preserve"> the socially efficient quantity is produced at the socially efficient price</w:t>
      </w:r>
      <w:r w:rsidR="00BA7FBA" w:rsidRPr="00140702">
        <w:rPr>
          <w:rFonts w:ascii="Arial" w:hAnsi="Arial" w:cs="Arial"/>
        </w:rPr>
        <w:t xml:space="preserve"> i.e. market</w:t>
      </w:r>
      <w:r w:rsidR="005014CC" w:rsidRPr="00140702">
        <w:rPr>
          <w:rFonts w:ascii="Arial" w:hAnsi="Arial" w:cs="Arial"/>
        </w:rPr>
        <w:t xml:space="preserve"> </w:t>
      </w:r>
      <w:r w:rsidR="00BA7FBA" w:rsidRPr="00140702">
        <w:rPr>
          <w:rFonts w:ascii="Arial" w:hAnsi="Arial" w:cs="Arial"/>
        </w:rPr>
        <w:t xml:space="preserve">equilibrium is </w:t>
      </w:r>
      <w:r w:rsidR="00FF79CE">
        <w:rPr>
          <w:rFonts w:ascii="Arial" w:hAnsi="Arial" w:cs="Arial"/>
        </w:rPr>
        <w:t>obtained</w:t>
      </w:r>
      <w:r w:rsidR="00BA7FBA" w:rsidRPr="00140702">
        <w:rPr>
          <w:rFonts w:ascii="Arial" w:hAnsi="Arial" w:cs="Arial"/>
        </w:rPr>
        <w:t>.</w:t>
      </w:r>
      <w:r w:rsidR="004326EA" w:rsidRPr="00140702">
        <w:rPr>
          <w:rStyle w:val="Funotenzeichen"/>
          <w:rFonts w:ascii="Arial" w:hAnsi="Arial" w:cs="Arial"/>
        </w:rPr>
        <w:footnoteReference w:id="92"/>
      </w:r>
    </w:p>
    <w:p w:rsidR="00591415" w:rsidRPr="00140702" w:rsidRDefault="00591415" w:rsidP="00140702">
      <w:pPr>
        <w:contextualSpacing/>
        <w:jc w:val="both"/>
        <w:rPr>
          <w:rFonts w:ascii="Arial" w:hAnsi="Arial" w:cs="Arial"/>
        </w:rPr>
      </w:pPr>
    </w:p>
    <w:p w:rsidR="000F45F6" w:rsidRPr="00140702" w:rsidRDefault="005014CC" w:rsidP="00140702">
      <w:pPr>
        <w:contextualSpacing/>
        <w:jc w:val="both"/>
        <w:rPr>
          <w:rFonts w:ascii="Arial" w:hAnsi="Arial" w:cs="Arial"/>
        </w:rPr>
      </w:pPr>
      <w:r w:rsidRPr="00140702">
        <w:rPr>
          <w:rFonts w:ascii="Arial" w:hAnsi="Arial" w:cs="Arial"/>
        </w:rPr>
        <w:t>2.</w:t>
      </w:r>
      <w:r w:rsidR="00EC5E18">
        <w:rPr>
          <w:rFonts w:ascii="Arial" w:hAnsi="Arial" w:cs="Arial"/>
        </w:rPr>
        <w:t>2</w:t>
      </w:r>
      <w:r w:rsidRPr="00140702">
        <w:rPr>
          <w:rFonts w:ascii="Arial" w:hAnsi="Arial" w:cs="Arial"/>
        </w:rPr>
        <w:t>.</w:t>
      </w:r>
      <w:r w:rsidR="00EB2AF8" w:rsidRPr="00140702">
        <w:rPr>
          <w:rFonts w:ascii="Arial" w:hAnsi="Arial" w:cs="Arial"/>
        </w:rPr>
        <w:t>5</w:t>
      </w:r>
      <w:r w:rsidRPr="00140702">
        <w:rPr>
          <w:rFonts w:ascii="Arial" w:hAnsi="Arial" w:cs="Arial"/>
        </w:rPr>
        <w:t xml:space="preserve"> </w:t>
      </w:r>
      <w:r w:rsidR="00F97A00" w:rsidRPr="00140702">
        <w:rPr>
          <w:rFonts w:ascii="Arial" w:hAnsi="Arial" w:cs="Arial"/>
        </w:rPr>
        <w:t>The perfectly competitive market</w:t>
      </w:r>
      <w:r w:rsidR="00202579" w:rsidRPr="00140702">
        <w:rPr>
          <w:rFonts w:ascii="Arial" w:hAnsi="Arial" w:cs="Arial"/>
        </w:rPr>
        <w:t xml:space="preserve"> model</w:t>
      </w:r>
    </w:p>
    <w:p w:rsidR="006D0480" w:rsidRPr="00140702" w:rsidRDefault="00A605BF" w:rsidP="00140702">
      <w:pPr>
        <w:contextualSpacing/>
        <w:jc w:val="both"/>
        <w:rPr>
          <w:rFonts w:ascii="Arial" w:hAnsi="Arial" w:cs="Arial"/>
        </w:rPr>
      </w:pPr>
      <w:r w:rsidRPr="00140702">
        <w:rPr>
          <w:rFonts w:ascii="Arial" w:hAnsi="Arial" w:cs="Arial"/>
        </w:rPr>
        <w:t xml:space="preserve">The market system </w:t>
      </w:r>
      <w:r w:rsidR="003870D9" w:rsidRPr="00140702">
        <w:rPr>
          <w:rFonts w:ascii="Arial" w:hAnsi="Arial" w:cs="Arial"/>
        </w:rPr>
        <w:t xml:space="preserve">itself </w:t>
      </w:r>
      <w:r w:rsidRPr="00140702">
        <w:rPr>
          <w:rFonts w:ascii="Arial" w:hAnsi="Arial" w:cs="Arial"/>
        </w:rPr>
        <w:t>consists of different models with the so called “perfectly competitive model” being the most efficient model for the market system.</w:t>
      </w:r>
      <w:r w:rsidR="003870D9" w:rsidRPr="00140702">
        <w:rPr>
          <w:rStyle w:val="Funotenzeichen"/>
          <w:rFonts w:ascii="Arial" w:hAnsi="Arial" w:cs="Arial"/>
        </w:rPr>
        <w:footnoteReference w:id="93"/>
      </w:r>
      <w:r w:rsidR="00FD3963" w:rsidRPr="00140702">
        <w:rPr>
          <w:rFonts w:ascii="Arial" w:hAnsi="Arial" w:cs="Arial"/>
        </w:rPr>
        <w:t xml:space="preserve"> In the perfectly competitive model</w:t>
      </w:r>
      <w:r w:rsidR="00B83DCE">
        <w:rPr>
          <w:rFonts w:ascii="Arial" w:hAnsi="Arial" w:cs="Arial"/>
        </w:rPr>
        <w:t>,</w:t>
      </w:r>
      <w:r w:rsidR="00FD3963" w:rsidRPr="00140702">
        <w:rPr>
          <w:rFonts w:ascii="Arial" w:hAnsi="Arial" w:cs="Arial"/>
        </w:rPr>
        <w:t xml:space="preserve"> all </w:t>
      </w:r>
      <w:r w:rsidR="003D30F9" w:rsidRPr="00140702">
        <w:rPr>
          <w:rFonts w:ascii="Arial" w:hAnsi="Arial" w:cs="Arial"/>
        </w:rPr>
        <w:t>firm</w:t>
      </w:r>
      <w:r w:rsidR="00FD3963" w:rsidRPr="00140702">
        <w:rPr>
          <w:rFonts w:ascii="Arial" w:hAnsi="Arial" w:cs="Arial"/>
        </w:rPr>
        <w:t>s are price takers and accordingly none of them can individually influence the market price.</w:t>
      </w:r>
      <w:r w:rsidR="00D64E46" w:rsidRPr="00140702">
        <w:rPr>
          <w:rStyle w:val="Funotenzeichen"/>
          <w:rFonts w:ascii="Arial" w:hAnsi="Arial" w:cs="Arial"/>
        </w:rPr>
        <w:footnoteReference w:id="94"/>
      </w:r>
      <w:r w:rsidR="00D64E46" w:rsidRPr="00140702">
        <w:rPr>
          <w:rFonts w:ascii="Arial" w:hAnsi="Arial" w:cs="Arial"/>
        </w:rPr>
        <w:t xml:space="preserve"> The </w:t>
      </w:r>
      <w:r w:rsidR="003D30F9" w:rsidRPr="00140702">
        <w:rPr>
          <w:rFonts w:ascii="Arial" w:hAnsi="Arial" w:cs="Arial"/>
        </w:rPr>
        <w:t>firm</w:t>
      </w:r>
      <w:r w:rsidR="00D64E46" w:rsidRPr="00140702">
        <w:rPr>
          <w:rFonts w:ascii="Arial" w:hAnsi="Arial" w:cs="Arial"/>
        </w:rPr>
        <w:t xml:space="preserve">s are </w:t>
      </w:r>
      <w:r w:rsidR="003B78A7" w:rsidRPr="00140702">
        <w:rPr>
          <w:rFonts w:ascii="Arial" w:hAnsi="Arial" w:cs="Arial"/>
        </w:rPr>
        <w:t>labelled</w:t>
      </w:r>
      <w:r w:rsidR="00D64E46" w:rsidRPr="00140702">
        <w:rPr>
          <w:rFonts w:ascii="Arial" w:hAnsi="Arial" w:cs="Arial"/>
        </w:rPr>
        <w:t xml:space="preserve"> price takers because the</w:t>
      </w:r>
      <w:r w:rsidR="003B78A7" w:rsidRPr="00140702">
        <w:rPr>
          <w:rFonts w:ascii="Arial" w:hAnsi="Arial" w:cs="Arial"/>
        </w:rPr>
        <w:t xml:space="preserve"> market</w:t>
      </w:r>
      <w:r w:rsidR="00D64E46" w:rsidRPr="00140702">
        <w:rPr>
          <w:rFonts w:ascii="Arial" w:hAnsi="Arial" w:cs="Arial"/>
        </w:rPr>
        <w:t xml:space="preserve"> price</w:t>
      </w:r>
      <w:r w:rsidR="003B78A7" w:rsidRPr="00140702">
        <w:rPr>
          <w:rFonts w:ascii="Arial" w:hAnsi="Arial" w:cs="Arial"/>
        </w:rPr>
        <w:t xml:space="preserve">, which is the maximum price that these </w:t>
      </w:r>
      <w:r w:rsidR="003D30F9" w:rsidRPr="00140702">
        <w:rPr>
          <w:rFonts w:ascii="Arial" w:hAnsi="Arial" w:cs="Arial"/>
        </w:rPr>
        <w:t>firm</w:t>
      </w:r>
      <w:r w:rsidR="003B78A7" w:rsidRPr="00140702">
        <w:rPr>
          <w:rFonts w:ascii="Arial" w:hAnsi="Arial" w:cs="Arial"/>
        </w:rPr>
        <w:t>s can sell their produc</w:t>
      </w:r>
      <w:r w:rsidR="002F5FC4" w:rsidRPr="00140702">
        <w:rPr>
          <w:rFonts w:ascii="Arial" w:hAnsi="Arial" w:cs="Arial"/>
        </w:rPr>
        <w:t>ts</w:t>
      </w:r>
      <w:r w:rsidR="003B78A7" w:rsidRPr="00140702">
        <w:rPr>
          <w:rFonts w:ascii="Arial" w:hAnsi="Arial" w:cs="Arial"/>
        </w:rPr>
        <w:t xml:space="preserve"> for,</w:t>
      </w:r>
      <w:r w:rsidR="00D64E46" w:rsidRPr="00140702">
        <w:rPr>
          <w:rFonts w:ascii="Arial" w:hAnsi="Arial" w:cs="Arial"/>
        </w:rPr>
        <w:t xml:space="preserve"> is determined by the market and not by </w:t>
      </w:r>
      <w:r w:rsidR="002F5FC4" w:rsidRPr="00140702">
        <w:rPr>
          <w:rFonts w:ascii="Arial" w:hAnsi="Arial" w:cs="Arial"/>
        </w:rPr>
        <w:t>themselves</w:t>
      </w:r>
      <w:r w:rsidR="00D64E46" w:rsidRPr="00140702">
        <w:rPr>
          <w:rFonts w:ascii="Arial" w:hAnsi="Arial" w:cs="Arial"/>
        </w:rPr>
        <w:t>.</w:t>
      </w:r>
      <w:r w:rsidR="003B78A7" w:rsidRPr="00140702">
        <w:rPr>
          <w:rStyle w:val="Funotenzeichen"/>
          <w:rFonts w:ascii="Arial" w:hAnsi="Arial" w:cs="Arial"/>
        </w:rPr>
        <w:footnoteReference w:id="95"/>
      </w:r>
      <w:r w:rsidR="00D64E46" w:rsidRPr="00140702">
        <w:rPr>
          <w:rFonts w:ascii="Arial" w:hAnsi="Arial" w:cs="Arial"/>
        </w:rPr>
        <w:t xml:space="preserve"> </w:t>
      </w:r>
    </w:p>
    <w:p w:rsidR="00B83DCE" w:rsidRDefault="00B83DCE" w:rsidP="00140702">
      <w:pPr>
        <w:contextualSpacing/>
        <w:jc w:val="both"/>
        <w:rPr>
          <w:rFonts w:ascii="Arial" w:hAnsi="Arial" w:cs="Arial"/>
        </w:rPr>
      </w:pPr>
    </w:p>
    <w:p w:rsidR="002219FA" w:rsidRPr="00140702" w:rsidRDefault="003B78A7" w:rsidP="00140702">
      <w:pPr>
        <w:contextualSpacing/>
        <w:jc w:val="both"/>
        <w:rPr>
          <w:rFonts w:ascii="Arial" w:hAnsi="Arial" w:cs="Arial"/>
        </w:rPr>
      </w:pPr>
      <w:r w:rsidRPr="00140702">
        <w:rPr>
          <w:rFonts w:ascii="Arial" w:hAnsi="Arial" w:cs="Arial"/>
        </w:rPr>
        <w:t>A</w:t>
      </w:r>
      <w:r w:rsidR="00D64E46" w:rsidRPr="00140702">
        <w:rPr>
          <w:rFonts w:ascii="Arial" w:hAnsi="Arial" w:cs="Arial"/>
        </w:rPr>
        <w:t xml:space="preserve">s mentioned earlier the market </w:t>
      </w:r>
      <w:r w:rsidRPr="00140702">
        <w:rPr>
          <w:rFonts w:ascii="Arial" w:hAnsi="Arial" w:cs="Arial"/>
        </w:rPr>
        <w:t xml:space="preserve">price is derived from where the market demand is equal to the market supply i.e. </w:t>
      </w:r>
      <w:r w:rsidR="008F5479" w:rsidRPr="00140702">
        <w:rPr>
          <w:rFonts w:ascii="Arial" w:hAnsi="Arial" w:cs="Arial"/>
        </w:rPr>
        <w:t xml:space="preserve">where </w:t>
      </w:r>
      <w:r w:rsidRPr="00140702">
        <w:rPr>
          <w:rFonts w:ascii="Arial" w:hAnsi="Arial" w:cs="Arial"/>
        </w:rPr>
        <w:t>the</w:t>
      </w:r>
      <w:r w:rsidR="008F5479" w:rsidRPr="00140702">
        <w:rPr>
          <w:rFonts w:ascii="Arial" w:hAnsi="Arial" w:cs="Arial"/>
        </w:rPr>
        <w:t xml:space="preserve"> market is in</w:t>
      </w:r>
      <w:r w:rsidRPr="00140702">
        <w:rPr>
          <w:rFonts w:ascii="Arial" w:hAnsi="Arial" w:cs="Arial"/>
        </w:rPr>
        <w:t xml:space="preserve"> equilibrium.</w:t>
      </w:r>
      <w:r w:rsidRPr="00140702">
        <w:rPr>
          <w:rStyle w:val="Funotenzeichen"/>
          <w:rFonts w:ascii="Arial" w:hAnsi="Arial" w:cs="Arial"/>
        </w:rPr>
        <w:footnoteReference w:id="96"/>
      </w:r>
      <w:r w:rsidR="00FD3963" w:rsidRPr="00140702">
        <w:rPr>
          <w:rFonts w:ascii="Arial" w:hAnsi="Arial" w:cs="Arial"/>
        </w:rPr>
        <w:t xml:space="preserve"> </w:t>
      </w:r>
      <w:r w:rsidR="001E3F65" w:rsidRPr="00140702">
        <w:rPr>
          <w:rFonts w:ascii="Arial" w:hAnsi="Arial" w:cs="Arial"/>
        </w:rPr>
        <w:t>Accordingly,</w:t>
      </w:r>
      <w:r w:rsidR="00FD3963" w:rsidRPr="00140702">
        <w:rPr>
          <w:rFonts w:ascii="Arial" w:hAnsi="Arial" w:cs="Arial"/>
        </w:rPr>
        <w:t xml:space="preserve"> </w:t>
      </w:r>
      <w:r w:rsidR="00DD06DE" w:rsidRPr="00140702">
        <w:rPr>
          <w:rFonts w:ascii="Arial" w:hAnsi="Arial" w:cs="Arial"/>
        </w:rPr>
        <w:t>no</w:t>
      </w:r>
      <w:r w:rsidR="001E3F65" w:rsidRPr="00140702">
        <w:rPr>
          <w:rFonts w:ascii="Arial" w:hAnsi="Arial" w:cs="Arial"/>
        </w:rPr>
        <w:t xml:space="preserve"> individual </w:t>
      </w:r>
      <w:r w:rsidR="003D30F9" w:rsidRPr="00140702">
        <w:rPr>
          <w:rFonts w:ascii="Arial" w:hAnsi="Arial" w:cs="Arial"/>
        </w:rPr>
        <w:t>firm</w:t>
      </w:r>
      <w:r w:rsidR="00DD06DE" w:rsidRPr="00140702">
        <w:rPr>
          <w:rFonts w:ascii="Arial" w:hAnsi="Arial" w:cs="Arial"/>
        </w:rPr>
        <w:t xml:space="preserve"> </w:t>
      </w:r>
      <w:r w:rsidR="001E3F65" w:rsidRPr="00140702">
        <w:rPr>
          <w:rFonts w:ascii="Arial" w:hAnsi="Arial" w:cs="Arial"/>
        </w:rPr>
        <w:t>is</w:t>
      </w:r>
      <w:r w:rsidR="00DD06DE" w:rsidRPr="00140702">
        <w:rPr>
          <w:rFonts w:ascii="Arial" w:hAnsi="Arial" w:cs="Arial"/>
        </w:rPr>
        <w:t xml:space="preserve"> in a position to </w:t>
      </w:r>
      <w:r w:rsidR="00FD3963" w:rsidRPr="00140702">
        <w:rPr>
          <w:rFonts w:ascii="Arial" w:hAnsi="Arial" w:cs="Arial"/>
        </w:rPr>
        <w:t>coordinate and direct the economic activity within that market.</w:t>
      </w:r>
      <w:r w:rsidR="00DD06DE" w:rsidRPr="00140702">
        <w:rPr>
          <w:rFonts w:ascii="Arial" w:hAnsi="Arial" w:cs="Arial"/>
        </w:rPr>
        <w:t xml:space="preserve"> Stated differently, in a perfectly competitive market no individual </w:t>
      </w:r>
      <w:r w:rsidR="003D30F9" w:rsidRPr="00140702">
        <w:rPr>
          <w:rFonts w:ascii="Arial" w:hAnsi="Arial" w:cs="Arial"/>
        </w:rPr>
        <w:t>firm</w:t>
      </w:r>
      <w:r w:rsidR="00DD06DE" w:rsidRPr="00140702">
        <w:rPr>
          <w:rFonts w:ascii="Arial" w:hAnsi="Arial" w:cs="Arial"/>
        </w:rPr>
        <w:t xml:space="preserve"> can influence the</w:t>
      </w:r>
      <w:r w:rsidR="006154F6" w:rsidRPr="00140702">
        <w:rPr>
          <w:rFonts w:ascii="Arial" w:hAnsi="Arial" w:cs="Arial"/>
        </w:rPr>
        <w:t xml:space="preserve"> market price and accordingly no individual </w:t>
      </w:r>
      <w:r w:rsidR="003D30F9" w:rsidRPr="00140702">
        <w:rPr>
          <w:rFonts w:ascii="Arial" w:hAnsi="Arial" w:cs="Arial"/>
        </w:rPr>
        <w:t>firm</w:t>
      </w:r>
      <w:r w:rsidR="00AF7468" w:rsidRPr="00140702">
        <w:rPr>
          <w:rFonts w:ascii="Arial" w:hAnsi="Arial" w:cs="Arial"/>
        </w:rPr>
        <w:t xml:space="preserve"> has</w:t>
      </w:r>
      <w:r w:rsidR="006154F6" w:rsidRPr="00140702">
        <w:rPr>
          <w:rFonts w:ascii="Arial" w:hAnsi="Arial" w:cs="Arial"/>
        </w:rPr>
        <w:t xml:space="preserve"> control over the</w:t>
      </w:r>
      <w:r w:rsidR="00DD06DE" w:rsidRPr="00140702">
        <w:rPr>
          <w:rFonts w:ascii="Arial" w:hAnsi="Arial" w:cs="Arial"/>
        </w:rPr>
        <w:t xml:space="preserve"> quantity demanded and supplied</w:t>
      </w:r>
      <w:r w:rsidR="006154F6" w:rsidRPr="00140702">
        <w:rPr>
          <w:rFonts w:ascii="Arial" w:hAnsi="Arial" w:cs="Arial"/>
        </w:rPr>
        <w:t xml:space="preserve"> within the relevant market.</w:t>
      </w:r>
      <w:r w:rsidR="002F5FC4" w:rsidRPr="00140702">
        <w:rPr>
          <w:rStyle w:val="Funotenzeichen"/>
          <w:rFonts w:ascii="Arial" w:hAnsi="Arial" w:cs="Arial"/>
        </w:rPr>
        <w:footnoteReference w:id="97"/>
      </w:r>
      <w:r w:rsidR="006D0480" w:rsidRPr="00140702">
        <w:rPr>
          <w:rFonts w:ascii="Arial" w:hAnsi="Arial" w:cs="Arial"/>
        </w:rPr>
        <w:t xml:space="preserve"> </w:t>
      </w:r>
      <w:r w:rsidR="00A35696" w:rsidRPr="00140702">
        <w:rPr>
          <w:rFonts w:ascii="Arial" w:hAnsi="Arial" w:cs="Arial"/>
        </w:rPr>
        <w:t xml:space="preserve">Consequently, in a perfectly competitive market all the </w:t>
      </w:r>
      <w:r w:rsidR="003D30F9" w:rsidRPr="00140702">
        <w:rPr>
          <w:rFonts w:ascii="Arial" w:hAnsi="Arial" w:cs="Arial"/>
        </w:rPr>
        <w:t>firm</w:t>
      </w:r>
      <w:r w:rsidR="00A35696" w:rsidRPr="00140702">
        <w:rPr>
          <w:rFonts w:ascii="Arial" w:hAnsi="Arial" w:cs="Arial"/>
        </w:rPr>
        <w:t>s are in a position of perfect competition with each other.</w:t>
      </w:r>
      <w:r w:rsidR="00382586" w:rsidRPr="00140702">
        <w:rPr>
          <w:rStyle w:val="Funotenzeichen"/>
          <w:rFonts w:ascii="Arial" w:hAnsi="Arial" w:cs="Arial"/>
        </w:rPr>
        <w:footnoteReference w:id="98"/>
      </w:r>
      <w:r w:rsidR="002219FA" w:rsidRPr="00140702">
        <w:rPr>
          <w:rFonts w:ascii="Arial" w:hAnsi="Arial" w:cs="Arial"/>
        </w:rPr>
        <w:t xml:space="preserve"> </w:t>
      </w:r>
    </w:p>
    <w:p w:rsidR="002219FA" w:rsidRPr="00140702" w:rsidRDefault="002219FA" w:rsidP="00140702">
      <w:pPr>
        <w:contextualSpacing/>
        <w:jc w:val="both"/>
        <w:rPr>
          <w:rFonts w:ascii="Arial" w:hAnsi="Arial" w:cs="Arial"/>
        </w:rPr>
      </w:pPr>
    </w:p>
    <w:p w:rsidR="00A35696" w:rsidRPr="00140702" w:rsidRDefault="00A35696" w:rsidP="00140702">
      <w:pPr>
        <w:contextualSpacing/>
        <w:jc w:val="both"/>
        <w:rPr>
          <w:rFonts w:ascii="Arial" w:hAnsi="Arial" w:cs="Arial"/>
        </w:rPr>
      </w:pPr>
      <w:r w:rsidRPr="00140702">
        <w:rPr>
          <w:rFonts w:ascii="Arial" w:hAnsi="Arial" w:cs="Arial"/>
        </w:rPr>
        <w:t>Since the perfectly competitive market is the most efficient form of the market system it is used as the benchmark for reviewing all other markets.</w:t>
      </w:r>
      <w:r w:rsidRPr="00140702">
        <w:rPr>
          <w:rStyle w:val="Funotenzeichen"/>
          <w:rFonts w:ascii="Arial" w:hAnsi="Arial" w:cs="Arial"/>
        </w:rPr>
        <w:footnoteReference w:id="99"/>
      </w:r>
      <w:r w:rsidRPr="00140702">
        <w:rPr>
          <w:rFonts w:ascii="Arial" w:hAnsi="Arial" w:cs="Arial"/>
        </w:rPr>
        <w:t xml:space="preserve"> In real </w:t>
      </w:r>
      <w:r w:rsidR="007747FA" w:rsidRPr="00140702">
        <w:rPr>
          <w:rFonts w:ascii="Arial" w:hAnsi="Arial" w:cs="Arial"/>
        </w:rPr>
        <w:t>life</w:t>
      </w:r>
      <w:r w:rsidR="007747FA">
        <w:rPr>
          <w:rFonts w:ascii="Arial" w:hAnsi="Arial" w:cs="Arial"/>
        </w:rPr>
        <w:t xml:space="preserve"> however</w:t>
      </w:r>
      <w:r w:rsidR="007747FA" w:rsidRPr="00140702">
        <w:rPr>
          <w:rFonts w:ascii="Arial" w:hAnsi="Arial" w:cs="Arial"/>
        </w:rPr>
        <w:t>,</w:t>
      </w:r>
      <w:r w:rsidRPr="00140702">
        <w:rPr>
          <w:rFonts w:ascii="Arial" w:hAnsi="Arial" w:cs="Arial"/>
        </w:rPr>
        <w:t xml:space="preserve"> no market actually achieves the position of being perfectly competitive.</w:t>
      </w:r>
      <w:r w:rsidRPr="00140702">
        <w:rPr>
          <w:rStyle w:val="Funotenzeichen"/>
          <w:rFonts w:ascii="Arial" w:hAnsi="Arial" w:cs="Arial"/>
        </w:rPr>
        <w:footnoteReference w:id="100"/>
      </w:r>
      <w:r w:rsidRPr="00140702">
        <w:rPr>
          <w:rFonts w:ascii="Arial" w:hAnsi="Arial" w:cs="Arial"/>
        </w:rPr>
        <w:t xml:space="preserve"> </w:t>
      </w:r>
      <w:r w:rsidR="007747FA">
        <w:rPr>
          <w:rFonts w:ascii="Arial" w:hAnsi="Arial" w:cs="Arial"/>
        </w:rPr>
        <w:t>Nonetheless, t</w:t>
      </w:r>
      <w:r w:rsidRPr="00140702">
        <w:rPr>
          <w:rFonts w:ascii="Arial" w:hAnsi="Arial" w:cs="Arial"/>
        </w:rPr>
        <w:t xml:space="preserve">he perfectly competitive market does provide a very useful </w:t>
      </w:r>
      <w:r w:rsidR="00B83DCE" w:rsidRPr="00140702">
        <w:rPr>
          <w:rFonts w:ascii="Arial" w:hAnsi="Arial" w:cs="Arial"/>
        </w:rPr>
        <w:t xml:space="preserve">benchmark </w:t>
      </w:r>
      <w:r w:rsidRPr="00140702">
        <w:rPr>
          <w:rFonts w:ascii="Arial" w:hAnsi="Arial" w:cs="Arial"/>
        </w:rPr>
        <w:t xml:space="preserve">to </w:t>
      </w:r>
      <w:r w:rsidR="005240B5" w:rsidRPr="00140702">
        <w:rPr>
          <w:rFonts w:ascii="Arial" w:hAnsi="Arial" w:cs="Arial"/>
        </w:rPr>
        <w:t xml:space="preserve">estimate and </w:t>
      </w:r>
      <w:r w:rsidRPr="00140702">
        <w:rPr>
          <w:rFonts w:ascii="Arial" w:hAnsi="Arial" w:cs="Arial"/>
        </w:rPr>
        <w:t>increase the efficiency of markets.</w:t>
      </w:r>
      <w:r w:rsidRPr="00140702">
        <w:rPr>
          <w:rStyle w:val="Funotenzeichen"/>
          <w:rFonts w:ascii="Arial" w:hAnsi="Arial" w:cs="Arial"/>
        </w:rPr>
        <w:footnoteReference w:id="101"/>
      </w:r>
      <w:r w:rsidRPr="00140702">
        <w:rPr>
          <w:rFonts w:ascii="Arial" w:hAnsi="Arial" w:cs="Arial"/>
        </w:rPr>
        <w:t xml:space="preserve"> </w:t>
      </w:r>
    </w:p>
    <w:p w:rsidR="00224EDA" w:rsidRPr="00140702" w:rsidRDefault="00224EDA" w:rsidP="00140702">
      <w:pPr>
        <w:contextualSpacing/>
        <w:jc w:val="both"/>
        <w:rPr>
          <w:rFonts w:ascii="Arial" w:hAnsi="Arial" w:cs="Arial"/>
        </w:rPr>
      </w:pPr>
    </w:p>
    <w:p w:rsidR="00224EDA" w:rsidRPr="00140702" w:rsidRDefault="00224EDA" w:rsidP="00140702">
      <w:pPr>
        <w:contextualSpacing/>
        <w:jc w:val="both"/>
        <w:rPr>
          <w:rFonts w:ascii="Arial" w:hAnsi="Arial" w:cs="Arial"/>
        </w:rPr>
      </w:pPr>
      <w:r w:rsidRPr="00140702">
        <w:rPr>
          <w:rFonts w:ascii="Arial" w:hAnsi="Arial" w:cs="Arial"/>
        </w:rPr>
        <w:t>Considering that the perfectly competitive market is depended on the level of competition within that market i.e. a market requires “perfect competition” for that market to be classified as perfectly competitive, the most important concept in the perfectly competitive market is the concept of market power.</w:t>
      </w:r>
      <w:r w:rsidRPr="00140702">
        <w:rPr>
          <w:rStyle w:val="Funotenzeichen"/>
          <w:rFonts w:ascii="Arial" w:hAnsi="Arial" w:cs="Arial"/>
        </w:rPr>
        <w:footnoteReference w:id="102"/>
      </w:r>
      <w:r w:rsidRPr="00140702">
        <w:rPr>
          <w:rFonts w:ascii="Arial" w:hAnsi="Arial" w:cs="Arial"/>
        </w:rPr>
        <w:t xml:space="preserve"> Market power can be described as the power of a firm to: </w:t>
      </w:r>
    </w:p>
    <w:p w:rsidR="00224EDA" w:rsidRPr="00140702" w:rsidRDefault="00224EDA" w:rsidP="00140702">
      <w:pPr>
        <w:contextualSpacing/>
        <w:jc w:val="both"/>
        <w:rPr>
          <w:rFonts w:ascii="Arial" w:hAnsi="Arial" w:cs="Arial"/>
        </w:rPr>
      </w:pPr>
      <w:r w:rsidRPr="00140702">
        <w:rPr>
          <w:rFonts w:ascii="Arial" w:hAnsi="Arial" w:cs="Arial"/>
        </w:rPr>
        <w:tab/>
      </w:r>
      <w:r w:rsidRPr="00140702">
        <w:rPr>
          <w:rFonts w:ascii="Arial" w:hAnsi="Arial" w:cs="Arial"/>
        </w:rPr>
        <w:tab/>
        <w:t>a) “Control prices.</w:t>
      </w:r>
    </w:p>
    <w:p w:rsidR="00224EDA" w:rsidRPr="00140702" w:rsidRDefault="00224EDA" w:rsidP="00140702">
      <w:pPr>
        <w:contextualSpacing/>
        <w:jc w:val="both"/>
        <w:rPr>
          <w:rFonts w:ascii="Arial" w:hAnsi="Arial" w:cs="Arial"/>
        </w:rPr>
      </w:pPr>
      <w:r w:rsidRPr="00140702">
        <w:rPr>
          <w:rFonts w:ascii="Arial" w:hAnsi="Arial" w:cs="Arial"/>
        </w:rPr>
        <w:tab/>
      </w:r>
      <w:r w:rsidRPr="00140702">
        <w:rPr>
          <w:rFonts w:ascii="Arial" w:hAnsi="Arial" w:cs="Arial"/>
        </w:rPr>
        <w:tab/>
        <w:t xml:space="preserve">b) Exclude competition. </w:t>
      </w:r>
    </w:p>
    <w:p w:rsidR="00224EDA" w:rsidRPr="00140702" w:rsidRDefault="00224EDA" w:rsidP="00140702">
      <w:pPr>
        <w:contextualSpacing/>
        <w:jc w:val="both"/>
        <w:rPr>
          <w:rFonts w:ascii="Arial" w:hAnsi="Arial" w:cs="Arial"/>
        </w:rPr>
      </w:pPr>
      <w:r w:rsidRPr="00140702">
        <w:rPr>
          <w:rFonts w:ascii="Arial" w:hAnsi="Arial" w:cs="Arial"/>
        </w:rPr>
        <w:tab/>
      </w:r>
      <w:r w:rsidRPr="00140702">
        <w:rPr>
          <w:rFonts w:ascii="Arial" w:hAnsi="Arial" w:cs="Arial"/>
        </w:rPr>
        <w:tab/>
        <w:t xml:space="preserve">c) Behave to an appreciable extent independently from competitors, </w:t>
      </w:r>
      <w:r w:rsidRPr="00140702">
        <w:rPr>
          <w:rFonts w:ascii="Arial" w:hAnsi="Arial" w:cs="Arial"/>
        </w:rPr>
        <w:tab/>
      </w:r>
      <w:r w:rsidRPr="00140702">
        <w:rPr>
          <w:rFonts w:ascii="Arial" w:hAnsi="Arial" w:cs="Arial"/>
        </w:rPr>
        <w:tab/>
        <w:t>suppliers and customers.”</w:t>
      </w:r>
      <w:r w:rsidRPr="00140702">
        <w:rPr>
          <w:rStyle w:val="Funotenzeichen"/>
          <w:rFonts w:ascii="Arial" w:hAnsi="Arial" w:cs="Arial"/>
        </w:rPr>
        <w:footnoteReference w:id="103"/>
      </w:r>
    </w:p>
    <w:p w:rsidR="00224EDA" w:rsidRPr="00140702" w:rsidRDefault="00224EDA" w:rsidP="00140702">
      <w:pPr>
        <w:contextualSpacing/>
        <w:jc w:val="both"/>
        <w:rPr>
          <w:rFonts w:ascii="Arial" w:hAnsi="Arial" w:cs="Arial"/>
        </w:rPr>
      </w:pPr>
    </w:p>
    <w:p w:rsidR="00224EDA" w:rsidRPr="00140702" w:rsidRDefault="00224EDA" w:rsidP="00140702">
      <w:pPr>
        <w:contextualSpacing/>
        <w:jc w:val="both"/>
        <w:rPr>
          <w:rFonts w:ascii="Arial" w:hAnsi="Arial" w:cs="Arial"/>
        </w:rPr>
      </w:pPr>
      <w:r w:rsidRPr="00140702">
        <w:rPr>
          <w:rFonts w:ascii="Arial" w:hAnsi="Arial" w:cs="Arial"/>
        </w:rPr>
        <w:t>In other words market power can be described as a firm’s ability to influence the level of competition in a given market.</w:t>
      </w:r>
      <w:r w:rsidRPr="00140702">
        <w:rPr>
          <w:rStyle w:val="Funotenzeichen"/>
          <w:rFonts w:ascii="Arial" w:hAnsi="Arial" w:cs="Arial"/>
        </w:rPr>
        <w:footnoteReference w:id="104"/>
      </w:r>
      <w:r w:rsidRPr="00140702">
        <w:rPr>
          <w:rFonts w:ascii="Arial" w:hAnsi="Arial" w:cs="Arial"/>
        </w:rPr>
        <w:t xml:space="preserve"> This in turn implies that a firm can potentially change the market model from a perfectly competitive market to a model in which that firm can obtain more profit because of the absence or lower level of competition in that market.</w:t>
      </w:r>
    </w:p>
    <w:p w:rsidR="00224EDA" w:rsidRPr="00140702" w:rsidRDefault="00224EDA" w:rsidP="00140702">
      <w:pPr>
        <w:contextualSpacing/>
        <w:jc w:val="both"/>
        <w:rPr>
          <w:rFonts w:ascii="Arial" w:hAnsi="Arial" w:cs="Arial"/>
        </w:rPr>
      </w:pPr>
    </w:p>
    <w:p w:rsidR="00224EDA" w:rsidRPr="00140702" w:rsidRDefault="00224EDA" w:rsidP="00140702">
      <w:pPr>
        <w:contextualSpacing/>
        <w:jc w:val="both"/>
        <w:rPr>
          <w:rFonts w:ascii="Arial" w:hAnsi="Arial" w:cs="Arial"/>
        </w:rPr>
      </w:pPr>
      <w:r w:rsidRPr="00140702">
        <w:rPr>
          <w:rFonts w:ascii="Arial" w:hAnsi="Arial" w:cs="Arial"/>
        </w:rPr>
        <w:t>Consequently, the abuse of market power has the outcome of lessening competition in a specific market and hence also lessens the efficiency of the market system and thus causes the market to move away from its equilibrium position to a position where the most efficient allocation of economic resources are not obtained. Stated differently, the market is no longer using its scarce economic resources optimally and thus is wasting some of society’s scarce economic resources.</w:t>
      </w:r>
    </w:p>
    <w:p w:rsidR="00A605BF" w:rsidRPr="00140702" w:rsidRDefault="005240B5" w:rsidP="00140702">
      <w:pPr>
        <w:contextualSpacing/>
        <w:jc w:val="both"/>
        <w:rPr>
          <w:rFonts w:ascii="Arial" w:hAnsi="Arial" w:cs="Arial"/>
        </w:rPr>
      </w:pPr>
      <w:r w:rsidRPr="00140702">
        <w:rPr>
          <w:rFonts w:ascii="Arial" w:hAnsi="Arial" w:cs="Arial"/>
        </w:rPr>
        <w:t xml:space="preserve">The different models of the market system and the concept of market power will be discussed in detail later on in this chapter. What is of importance </w:t>
      </w:r>
      <w:r w:rsidR="00FF18DD" w:rsidRPr="00140702">
        <w:rPr>
          <w:rFonts w:ascii="Arial" w:hAnsi="Arial" w:cs="Arial"/>
        </w:rPr>
        <w:t>at th</w:t>
      </w:r>
      <w:r w:rsidR="000F45F6" w:rsidRPr="00140702">
        <w:rPr>
          <w:rFonts w:ascii="Arial" w:hAnsi="Arial" w:cs="Arial"/>
        </w:rPr>
        <w:t>is</w:t>
      </w:r>
      <w:r w:rsidR="00FF18DD" w:rsidRPr="00140702">
        <w:rPr>
          <w:rFonts w:ascii="Arial" w:hAnsi="Arial" w:cs="Arial"/>
        </w:rPr>
        <w:t xml:space="preserve"> moment</w:t>
      </w:r>
      <w:r w:rsidRPr="00140702">
        <w:rPr>
          <w:rFonts w:ascii="Arial" w:hAnsi="Arial" w:cs="Arial"/>
        </w:rPr>
        <w:t xml:space="preserve"> is the definition of competition since competition </w:t>
      </w:r>
      <w:r w:rsidR="00857706" w:rsidRPr="00140702">
        <w:rPr>
          <w:rFonts w:ascii="Arial" w:hAnsi="Arial" w:cs="Arial"/>
        </w:rPr>
        <w:t>forms the foundation of the perfectly competitive market</w:t>
      </w:r>
      <w:r w:rsidR="00FF18DD" w:rsidRPr="00140702">
        <w:rPr>
          <w:rFonts w:ascii="Arial" w:hAnsi="Arial" w:cs="Arial"/>
        </w:rPr>
        <w:t xml:space="preserve"> </w:t>
      </w:r>
      <w:r w:rsidR="000F45F6" w:rsidRPr="00140702">
        <w:rPr>
          <w:rFonts w:ascii="Arial" w:hAnsi="Arial" w:cs="Arial"/>
        </w:rPr>
        <w:t>model which is the most efficient model for the market system</w:t>
      </w:r>
      <w:r w:rsidR="00857706" w:rsidRPr="00140702">
        <w:rPr>
          <w:rFonts w:ascii="Arial" w:hAnsi="Arial" w:cs="Arial"/>
        </w:rPr>
        <w:t>.</w:t>
      </w:r>
      <w:r w:rsidR="00BD0EAD" w:rsidRPr="00140702">
        <w:rPr>
          <w:rStyle w:val="Funotenzeichen"/>
          <w:rFonts w:ascii="Arial" w:hAnsi="Arial" w:cs="Arial"/>
        </w:rPr>
        <w:footnoteReference w:id="105"/>
      </w:r>
      <w:r w:rsidR="000F45F6" w:rsidRPr="00140702">
        <w:rPr>
          <w:rFonts w:ascii="Arial" w:hAnsi="Arial" w:cs="Arial"/>
        </w:rPr>
        <w:t xml:space="preserve"> As mentioned earlier, competition is also extremely important for the market system in general.</w:t>
      </w:r>
      <w:r w:rsidR="00BD0EAD" w:rsidRPr="00140702">
        <w:rPr>
          <w:rStyle w:val="Funotenzeichen"/>
          <w:rFonts w:ascii="Arial" w:hAnsi="Arial" w:cs="Arial"/>
        </w:rPr>
        <w:footnoteReference w:id="106"/>
      </w:r>
      <w:r w:rsidR="00FF18DD" w:rsidRPr="00140702">
        <w:rPr>
          <w:rFonts w:ascii="Arial" w:hAnsi="Arial" w:cs="Arial"/>
        </w:rPr>
        <w:t xml:space="preserve"> </w:t>
      </w:r>
    </w:p>
    <w:p w:rsidR="00FF18DD" w:rsidRPr="00140702" w:rsidRDefault="00FF18DD" w:rsidP="00140702">
      <w:pPr>
        <w:contextualSpacing/>
        <w:jc w:val="both"/>
        <w:rPr>
          <w:rFonts w:ascii="Arial" w:hAnsi="Arial" w:cs="Arial"/>
        </w:rPr>
      </w:pPr>
    </w:p>
    <w:p w:rsidR="000F45F6" w:rsidRPr="00140702" w:rsidRDefault="00F17E66" w:rsidP="00140702">
      <w:pPr>
        <w:contextualSpacing/>
        <w:jc w:val="both"/>
        <w:rPr>
          <w:rFonts w:ascii="Arial" w:hAnsi="Arial" w:cs="Arial"/>
        </w:rPr>
      </w:pPr>
      <w:r w:rsidRPr="00140702">
        <w:rPr>
          <w:rFonts w:ascii="Arial" w:hAnsi="Arial" w:cs="Arial"/>
        </w:rPr>
        <w:t>2.2</w:t>
      </w:r>
      <w:r w:rsidR="00202579" w:rsidRPr="00140702">
        <w:rPr>
          <w:rFonts w:ascii="Arial" w:hAnsi="Arial" w:cs="Arial"/>
        </w:rPr>
        <w:t>.</w:t>
      </w:r>
      <w:r w:rsidR="00EB2AF8" w:rsidRPr="00140702">
        <w:rPr>
          <w:rFonts w:ascii="Arial" w:hAnsi="Arial" w:cs="Arial"/>
        </w:rPr>
        <w:t>6</w:t>
      </w:r>
      <w:r w:rsidR="00202579" w:rsidRPr="00140702">
        <w:rPr>
          <w:rFonts w:ascii="Arial" w:hAnsi="Arial" w:cs="Arial"/>
        </w:rPr>
        <w:t xml:space="preserve"> </w:t>
      </w:r>
      <w:r w:rsidR="000F45F6" w:rsidRPr="00140702">
        <w:rPr>
          <w:rFonts w:ascii="Arial" w:hAnsi="Arial" w:cs="Arial"/>
        </w:rPr>
        <w:t>The meaning of competition</w:t>
      </w:r>
    </w:p>
    <w:p w:rsidR="00FF18DD" w:rsidRPr="00140702" w:rsidRDefault="007A461B" w:rsidP="00140702">
      <w:pPr>
        <w:contextualSpacing/>
        <w:jc w:val="both"/>
        <w:rPr>
          <w:rFonts w:ascii="Arial" w:hAnsi="Arial" w:cs="Arial"/>
        </w:rPr>
      </w:pPr>
      <w:r w:rsidRPr="00140702">
        <w:rPr>
          <w:rFonts w:ascii="Arial" w:hAnsi="Arial" w:cs="Arial"/>
        </w:rPr>
        <w:t xml:space="preserve">The general definition of competition </w:t>
      </w:r>
      <w:r w:rsidR="006F0F51" w:rsidRPr="00140702">
        <w:rPr>
          <w:rFonts w:ascii="Arial" w:hAnsi="Arial" w:cs="Arial"/>
        </w:rPr>
        <w:t>in South Afri</w:t>
      </w:r>
      <w:r w:rsidR="00CF0FE9" w:rsidRPr="00140702">
        <w:rPr>
          <w:rFonts w:ascii="Arial" w:hAnsi="Arial" w:cs="Arial"/>
        </w:rPr>
        <w:t>ca is as follows: “In general terms competition involves the idea of a struggle between rivals endeavouring to obtain the same end. It may be said to exist whenever there is potential diversion of trade from one to another. For competition to exist the articles or services of the competitors should be related to the same purpose or must satisfy the same need.”</w:t>
      </w:r>
      <w:r w:rsidR="00CF0FE9" w:rsidRPr="00140702">
        <w:rPr>
          <w:rStyle w:val="Funotenzeichen"/>
          <w:rFonts w:ascii="Arial" w:hAnsi="Arial" w:cs="Arial"/>
        </w:rPr>
        <w:footnoteReference w:id="107"/>
      </w:r>
      <w:r w:rsidR="00133B5D" w:rsidRPr="00140702">
        <w:rPr>
          <w:rFonts w:ascii="Arial" w:hAnsi="Arial" w:cs="Arial"/>
        </w:rPr>
        <w:t xml:space="preserve"> </w:t>
      </w:r>
    </w:p>
    <w:p w:rsidR="00B005D7" w:rsidRPr="00140702" w:rsidRDefault="00B005D7" w:rsidP="00140702">
      <w:pPr>
        <w:contextualSpacing/>
        <w:jc w:val="both"/>
        <w:rPr>
          <w:rFonts w:ascii="Arial" w:hAnsi="Arial" w:cs="Arial"/>
        </w:rPr>
      </w:pPr>
    </w:p>
    <w:p w:rsidR="000C4DC0" w:rsidRPr="00140702" w:rsidRDefault="00B005D7" w:rsidP="00140702">
      <w:pPr>
        <w:contextualSpacing/>
        <w:jc w:val="both"/>
        <w:rPr>
          <w:rFonts w:ascii="Arial" w:hAnsi="Arial" w:cs="Arial"/>
        </w:rPr>
      </w:pPr>
      <w:r w:rsidRPr="00140702">
        <w:rPr>
          <w:rFonts w:ascii="Arial" w:hAnsi="Arial" w:cs="Arial"/>
        </w:rPr>
        <w:t>Although this definition may seem accurate and appropriate closer inspection reveals that this definition</w:t>
      </w:r>
      <w:r w:rsidR="00BB0A78" w:rsidRPr="00140702">
        <w:rPr>
          <w:rFonts w:ascii="Arial" w:hAnsi="Arial" w:cs="Arial"/>
        </w:rPr>
        <w:t xml:space="preserve"> is </w:t>
      </w:r>
      <w:r w:rsidR="0023203B" w:rsidRPr="00140702">
        <w:rPr>
          <w:rFonts w:ascii="Arial" w:hAnsi="Arial" w:cs="Arial"/>
        </w:rPr>
        <w:t>in truth</w:t>
      </w:r>
      <w:r w:rsidRPr="00140702">
        <w:rPr>
          <w:rFonts w:ascii="Arial" w:hAnsi="Arial" w:cs="Arial"/>
        </w:rPr>
        <w:t xml:space="preserve">, within the context of </w:t>
      </w:r>
      <w:r w:rsidR="00C718EB" w:rsidRPr="00140702">
        <w:rPr>
          <w:rFonts w:ascii="Arial" w:hAnsi="Arial" w:cs="Arial"/>
        </w:rPr>
        <w:t xml:space="preserve">regulating </w:t>
      </w:r>
      <w:r w:rsidRPr="00140702">
        <w:rPr>
          <w:rFonts w:ascii="Arial" w:hAnsi="Arial" w:cs="Arial"/>
        </w:rPr>
        <w:t>the market system,</w:t>
      </w:r>
      <w:r w:rsidR="0023203B" w:rsidRPr="00140702">
        <w:rPr>
          <w:rFonts w:ascii="Arial" w:hAnsi="Arial" w:cs="Arial"/>
        </w:rPr>
        <w:t xml:space="preserve"> fundamentally</w:t>
      </w:r>
      <w:r w:rsidR="00D8366F" w:rsidRPr="00140702">
        <w:rPr>
          <w:rFonts w:ascii="Arial" w:hAnsi="Arial" w:cs="Arial"/>
        </w:rPr>
        <w:t xml:space="preserve"> flawed</w:t>
      </w:r>
      <w:r w:rsidR="0023203B" w:rsidRPr="00140702">
        <w:rPr>
          <w:rFonts w:ascii="Arial" w:hAnsi="Arial" w:cs="Arial"/>
        </w:rPr>
        <w:t>.</w:t>
      </w:r>
      <w:r w:rsidR="00D8366F" w:rsidRPr="00140702">
        <w:rPr>
          <w:rStyle w:val="Funotenzeichen"/>
          <w:rFonts w:ascii="Arial" w:hAnsi="Arial" w:cs="Arial"/>
        </w:rPr>
        <w:footnoteReference w:id="108"/>
      </w:r>
      <w:r w:rsidR="0023203B" w:rsidRPr="00140702">
        <w:rPr>
          <w:rFonts w:ascii="Arial" w:hAnsi="Arial" w:cs="Arial"/>
        </w:rPr>
        <w:t xml:space="preserve"> The general definition does not provide for </w:t>
      </w:r>
      <w:r w:rsidR="00D8366F" w:rsidRPr="00140702">
        <w:rPr>
          <w:rFonts w:ascii="Arial" w:hAnsi="Arial" w:cs="Arial"/>
        </w:rPr>
        <w:t xml:space="preserve">different types of competition and also not for the </w:t>
      </w:r>
      <w:r w:rsidR="006E4E7D" w:rsidRPr="00140702">
        <w:rPr>
          <w:rFonts w:ascii="Arial" w:hAnsi="Arial" w:cs="Arial"/>
        </w:rPr>
        <w:t>degree</w:t>
      </w:r>
      <w:r w:rsidR="00D8366F" w:rsidRPr="00140702">
        <w:rPr>
          <w:rFonts w:ascii="Arial" w:hAnsi="Arial" w:cs="Arial"/>
        </w:rPr>
        <w:t xml:space="preserve"> of competition in a given market.</w:t>
      </w:r>
      <w:r w:rsidR="006E4E7D" w:rsidRPr="00140702">
        <w:rPr>
          <w:rStyle w:val="Funotenzeichen"/>
          <w:rFonts w:ascii="Arial" w:hAnsi="Arial" w:cs="Arial"/>
        </w:rPr>
        <w:footnoteReference w:id="109"/>
      </w:r>
      <w:r w:rsidR="006E4E7D" w:rsidRPr="00140702">
        <w:rPr>
          <w:rFonts w:ascii="Arial" w:hAnsi="Arial" w:cs="Arial"/>
        </w:rPr>
        <w:t xml:space="preserve"> The general definition is also ineffective when determining whether specific conduct will lessen competition in a market.</w:t>
      </w:r>
      <w:r w:rsidR="00EC0EAD" w:rsidRPr="00140702">
        <w:rPr>
          <w:rStyle w:val="Funotenzeichen"/>
          <w:rFonts w:ascii="Arial" w:hAnsi="Arial" w:cs="Arial"/>
        </w:rPr>
        <w:footnoteReference w:id="110"/>
      </w:r>
      <w:r w:rsidR="006E4E7D" w:rsidRPr="00140702">
        <w:rPr>
          <w:rFonts w:ascii="Arial" w:hAnsi="Arial" w:cs="Arial"/>
        </w:rPr>
        <w:t xml:space="preserve"> Accordingly, the general definition </w:t>
      </w:r>
      <w:r w:rsidR="00EC0EAD" w:rsidRPr="00140702">
        <w:rPr>
          <w:rFonts w:ascii="Arial" w:hAnsi="Arial" w:cs="Arial"/>
        </w:rPr>
        <w:t>is problematic</w:t>
      </w:r>
      <w:r w:rsidR="006E4E7D" w:rsidRPr="00140702">
        <w:rPr>
          <w:rFonts w:ascii="Arial" w:hAnsi="Arial" w:cs="Arial"/>
        </w:rPr>
        <w:t xml:space="preserve"> for competition authorities when regulating competition.</w:t>
      </w:r>
      <w:r w:rsidR="00EC0EAD" w:rsidRPr="00140702">
        <w:rPr>
          <w:rStyle w:val="Funotenzeichen"/>
          <w:rFonts w:ascii="Arial" w:hAnsi="Arial" w:cs="Arial"/>
        </w:rPr>
        <w:footnoteReference w:id="111"/>
      </w:r>
      <w:r w:rsidR="00D8366F" w:rsidRPr="00140702">
        <w:rPr>
          <w:rFonts w:ascii="Arial" w:hAnsi="Arial" w:cs="Arial"/>
        </w:rPr>
        <w:t xml:space="preserve"> </w:t>
      </w:r>
      <w:r w:rsidR="000C4DC0" w:rsidRPr="00140702">
        <w:rPr>
          <w:rFonts w:ascii="Arial" w:hAnsi="Arial" w:cs="Arial"/>
        </w:rPr>
        <w:t>Of course</w:t>
      </w:r>
      <w:r w:rsidR="00F03C4F" w:rsidRPr="00140702">
        <w:rPr>
          <w:rFonts w:ascii="Arial" w:hAnsi="Arial" w:cs="Arial"/>
        </w:rPr>
        <w:t xml:space="preserve">, </w:t>
      </w:r>
      <w:r w:rsidR="000C4DC0" w:rsidRPr="00140702">
        <w:rPr>
          <w:rFonts w:ascii="Arial" w:hAnsi="Arial" w:cs="Arial"/>
        </w:rPr>
        <w:t xml:space="preserve">the term competitors and </w:t>
      </w:r>
      <w:r w:rsidR="00F03C4F" w:rsidRPr="00140702">
        <w:rPr>
          <w:rFonts w:ascii="Arial" w:hAnsi="Arial" w:cs="Arial"/>
        </w:rPr>
        <w:t>the competitive relationship between competitors can be describe</w:t>
      </w:r>
      <w:r w:rsidR="00BB0A78" w:rsidRPr="00140702">
        <w:rPr>
          <w:rFonts w:ascii="Arial" w:hAnsi="Arial" w:cs="Arial"/>
        </w:rPr>
        <w:t xml:space="preserve">d </w:t>
      </w:r>
      <w:r w:rsidR="00C46D8E" w:rsidRPr="00140702">
        <w:rPr>
          <w:rFonts w:ascii="Arial" w:hAnsi="Arial" w:cs="Arial"/>
        </w:rPr>
        <w:t>using</w:t>
      </w:r>
      <w:r w:rsidR="00BB0A78" w:rsidRPr="00140702">
        <w:rPr>
          <w:rFonts w:ascii="Arial" w:hAnsi="Arial" w:cs="Arial"/>
        </w:rPr>
        <w:t xml:space="preserve"> the general definition. </w:t>
      </w:r>
    </w:p>
    <w:p w:rsidR="000C4DC0" w:rsidRPr="00140702" w:rsidRDefault="000C4DC0" w:rsidP="00140702">
      <w:pPr>
        <w:contextualSpacing/>
        <w:jc w:val="both"/>
        <w:rPr>
          <w:rFonts w:ascii="Arial" w:hAnsi="Arial" w:cs="Arial"/>
        </w:rPr>
      </w:pPr>
    </w:p>
    <w:p w:rsidR="00EC0EAD" w:rsidRPr="00140702" w:rsidRDefault="00BB0A78" w:rsidP="00140702">
      <w:pPr>
        <w:contextualSpacing/>
        <w:jc w:val="both"/>
        <w:rPr>
          <w:rFonts w:ascii="Arial" w:hAnsi="Arial" w:cs="Arial"/>
        </w:rPr>
      </w:pPr>
      <w:r w:rsidRPr="00140702">
        <w:rPr>
          <w:rFonts w:ascii="Arial" w:hAnsi="Arial" w:cs="Arial"/>
        </w:rPr>
        <w:t xml:space="preserve">Remember however, that competition in the context of the market system refers to the scenario where all the firms in a market are price takers. This means that </w:t>
      </w:r>
      <w:r w:rsidR="000C4DC0" w:rsidRPr="00140702">
        <w:rPr>
          <w:rFonts w:ascii="Arial" w:hAnsi="Arial" w:cs="Arial"/>
        </w:rPr>
        <w:t xml:space="preserve">the </w:t>
      </w:r>
      <w:r w:rsidRPr="00140702">
        <w:rPr>
          <w:rFonts w:ascii="Arial" w:hAnsi="Arial" w:cs="Arial"/>
        </w:rPr>
        <w:t xml:space="preserve">firms </w:t>
      </w:r>
      <w:r w:rsidR="000C4DC0" w:rsidRPr="00140702">
        <w:rPr>
          <w:rFonts w:ascii="Arial" w:hAnsi="Arial" w:cs="Arial"/>
        </w:rPr>
        <w:t xml:space="preserve">are unable </w:t>
      </w:r>
      <w:r w:rsidRPr="00140702">
        <w:rPr>
          <w:rFonts w:ascii="Arial" w:hAnsi="Arial" w:cs="Arial"/>
        </w:rPr>
        <w:t xml:space="preserve">to set the market price and </w:t>
      </w:r>
      <w:r w:rsidR="000C4DC0" w:rsidRPr="00140702">
        <w:rPr>
          <w:rFonts w:ascii="Arial" w:hAnsi="Arial" w:cs="Arial"/>
        </w:rPr>
        <w:t xml:space="preserve">thus determine the market supply and demand i.e. the firms are unable </w:t>
      </w:r>
      <w:r w:rsidRPr="00140702">
        <w:rPr>
          <w:rFonts w:ascii="Arial" w:hAnsi="Arial" w:cs="Arial"/>
        </w:rPr>
        <w:t>to coordinate and direct the economic activity within that market.</w:t>
      </w:r>
      <w:r w:rsidR="000C4DC0" w:rsidRPr="00140702">
        <w:rPr>
          <w:rFonts w:ascii="Arial" w:hAnsi="Arial" w:cs="Arial"/>
        </w:rPr>
        <w:t xml:space="preserve"> Hence, it is obvious that competition in this context does not refer</w:t>
      </w:r>
      <w:r w:rsidR="008570B6" w:rsidRPr="00140702">
        <w:rPr>
          <w:rFonts w:ascii="Arial" w:hAnsi="Arial" w:cs="Arial"/>
        </w:rPr>
        <w:t xml:space="preserve"> to the individual relationship</w:t>
      </w:r>
      <w:r w:rsidR="000C4DC0" w:rsidRPr="00140702">
        <w:rPr>
          <w:rFonts w:ascii="Arial" w:hAnsi="Arial" w:cs="Arial"/>
        </w:rPr>
        <w:t xml:space="preserve"> between the individual competitors but </w:t>
      </w:r>
      <w:r w:rsidR="00514374">
        <w:rPr>
          <w:rFonts w:ascii="Arial" w:hAnsi="Arial" w:cs="Arial"/>
        </w:rPr>
        <w:t>rather</w:t>
      </w:r>
      <w:r w:rsidR="000C4DC0" w:rsidRPr="00140702">
        <w:rPr>
          <w:rFonts w:ascii="Arial" w:hAnsi="Arial" w:cs="Arial"/>
        </w:rPr>
        <w:t xml:space="preserve"> to the degree of market power which the firms within a given market posses</w:t>
      </w:r>
      <w:r w:rsidR="00306409" w:rsidRPr="00140702">
        <w:rPr>
          <w:rFonts w:ascii="Arial" w:hAnsi="Arial" w:cs="Arial"/>
        </w:rPr>
        <w:t>s</w:t>
      </w:r>
      <w:r w:rsidR="000C4DC0" w:rsidRPr="00140702">
        <w:rPr>
          <w:rFonts w:ascii="Arial" w:hAnsi="Arial" w:cs="Arial"/>
        </w:rPr>
        <w:t>. Hence</w:t>
      </w:r>
      <w:r w:rsidR="00E361CA" w:rsidRPr="00140702">
        <w:rPr>
          <w:rFonts w:ascii="Arial" w:hAnsi="Arial" w:cs="Arial"/>
        </w:rPr>
        <w:t>,</w:t>
      </w:r>
      <w:r w:rsidR="000C4DC0" w:rsidRPr="00140702">
        <w:rPr>
          <w:rFonts w:ascii="Arial" w:hAnsi="Arial" w:cs="Arial"/>
        </w:rPr>
        <w:t xml:space="preserve"> competition in the context of the market system is defined as the </w:t>
      </w:r>
      <w:r w:rsidR="00E361CA" w:rsidRPr="00140702">
        <w:rPr>
          <w:rFonts w:ascii="Arial" w:hAnsi="Arial" w:cs="Arial"/>
        </w:rPr>
        <w:t>“absence of market power”</w:t>
      </w:r>
      <w:r w:rsidR="00E361CA" w:rsidRPr="00140702">
        <w:rPr>
          <w:rStyle w:val="Funotenzeichen"/>
          <w:rFonts w:ascii="Arial" w:hAnsi="Arial" w:cs="Arial"/>
        </w:rPr>
        <w:footnoteReference w:id="112"/>
      </w:r>
      <w:r w:rsidR="00E361CA" w:rsidRPr="00140702">
        <w:rPr>
          <w:rFonts w:ascii="Arial" w:hAnsi="Arial" w:cs="Arial"/>
        </w:rPr>
        <w:t xml:space="preserve"> and also as the “opposite of monopoly.”</w:t>
      </w:r>
      <w:r w:rsidR="00F82C42" w:rsidRPr="00140702">
        <w:rPr>
          <w:rStyle w:val="Funotenzeichen"/>
          <w:rFonts w:ascii="Arial" w:hAnsi="Arial" w:cs="Arial"/>
        </w:rPr>
        <w:footnoteReference w:id="113"/>
      </w:r>
      <w:r w:rsidR="00E361CA" w:rsidRPr="00140702">
        <w:rPr>
          <w:rFonts w:ascii="Arial" w:hAnsi="Arial" w:cs="Arial"/>
        </w:rPr>
        <w:t xml:space="preserve"> </w:t>
      </w:r>
      <w:r w:rsidR="00C718EB" w:rsidRPr="00140702">
        <w:rPr>
          <w:rFonts w:ascii="Arial" w:hAnsi="Arial" w:cs="Arial"/>
        </w:rPr>
        <w:t>Also</w:t>
      </w:r>
      <w:r w:rsidR="00514374">
        <w:rPr>
          <w:rFonts w:ascii="Arial" w:hAnsi="Arial" w:cs="Arial"/>
        </w:rPr>
        <w:t>,</w:t>
      </w:r>
      <w:r w:rsidR="00C718EB" w:rsidRPr="00140702">
        <w:rPr>
          <w:rFonts w:ascii="Arial" w:hAnsi="Arial" w:cs="Arial"/>
        </w:rPr>
        <w:t xml:space="preserve"> remember that Competition Law draws upon the economist’s concept of competition.</w:t>
      </w:r>
      <w:r w:rsidR="003C75CB" w:rsidRPr="00140702">
        <w:rPr>
          <w:rStyle w:val="Funotenzeichen"/>
          <w:rFonts w:ascii="Arial" w:hAnsi="Arial" w:cs="Arial"/>
        </w:rPr>
        <w:footnoteReference w:id="114"/>
      </w:r>
    </w:p>
    <w:p w:rsidR="004F2B49" w:rsidRPr="00140702" w:rsidRDefault="00EC0EAD" w:rsidP="00140702">
      <w:pPr>
        <w:contextualSpacing/>
        <w:jc w:val="both"/>
        <w:rPr>
          <w:rFonts w:ascii="Arial" w:hAnsi="Arial" w:cs="Arial"/>
        </w:rPr>
      </w:pPr>
      <w:r w:rsidRPr="00140702">
        <w:rPr>
          <w:rFonts w:ascii="Arial" w:hAnsi="Arial" w:cs="Arial"/>
        </w:rPr>
        <w:t xml:space="preserve"> </w:t>
      </w:r>
    </w:p>
    <w:p w:rsidR="00B005D7" w:rsidRPr="00140702" w:rsidRDefault="004F2B49" w:rsidP="00140702">
      <w:pPr>
        <w:contextualSpacing/>
        <w:jc w:val="both"/>
        <w:rPr>
          <w:rFonts w:ascii="Arial" w:hAnsi="Arial" w:cs="Arial"/>
        </w:rPr>
      </w:pPr>
      <w:r w:rsidRPr="00140702">
        <w:rPr>
          <w:rFonts w:ascii="Arial" w:hAnsi="Arial" w:cs="Arial"/>
        </w:rPr>
        <w:t>It is worth noting at this point that the Competition Act</w:t>
      </w:r>
      <w:r w:rsidRPr="00140702">
        <w:rPr>
          <w:rStyle w:val="Funotenzeichen"/>
          <w:rFonts w:ascii="Arial" w:hAnsi="Arial" w:cs="Arial"/>
        </w:rPr>
        <w:footnoteReference w:id="115"/>
      </w:r>
      <w:r w:rsidRPr="00140702">
        <w:rPr>
          <w:rFonts w:ascii="Arial" w:hAnsi="Arial" w:cs="Arial"/>
        </w:rPr>
        <w:t xml:space="preserve"> which aims to maintain and promote compet</w:t>
      </w:r>
      <w:r w:rsidR="0059356E" w:rsidRPr="00140702">
        <w:rPr>
          <w:rFonts w:ascii="Arial" w:hAnsi="Arial" w:cs="Arial"/>
        </w:rPr>
        <w:t>ition does not define the term “</w:t>
      </w:r>
      <w:r w:rsidRPr="00140702">
        <w:rPr>
          <w:rFonts w:ascii="Arial" w:hAnsi="Arial" w:cs="Arial"/>
        </w:rPr>
        <w:t>competition.</w:t>
      </w:r>
      <w:r w:rsidR="0059356E" w:rsidRPr="00140702">
        <w:rPr>
          <w:rFonts w:ascii="Arial" w:hAnsi="Arial" w:cs="Arial"/>
        </w:rPr>
        <w:t>”</w:t>
      </w:r>
      <w:r w:rsidR="004261F6" w:rsidRPr="00140702">
        <w:rPr>
          <w:rStyle w:val="Funotenzeichen"/>
          <w:rFonts w:ascii="Arial" w:hAnsi="Arial" w:cs="Arial"/>
        </w:rPr>
        <w:footnoteReference w:id="116"/>
      </w:r>
      <w:r w:rsidRPr="00140702">
        <w:rPr>
          <w:rFonts w:ascii="Arial" w:hAnsi="Arial" w:cs="Arial"/>
        </w:rPr>
        <w:t xml:space="preserve"> At first, this may seem odd given </w:t>
      </w:r>
      <w:r w:rsidR="004261F6" w:rsidRPr="00140702">
        <w:rPr>
          <w:rFonts w:ascii="Arial" w:hAnsi="Arial" w:cs="Arial"/>
        </w:rPr>
        <w:t>that term “competition” is the purpose and hence also the relevance of the Competition Act</w:t>
      </w:r>
      <w:r w:rsidR="00AF00A3" w:rsidRPr="00140702">
        <w:rPr>
          <w:rStyle w:val="Funotenzeichen"/>
          <w:rFonts w:ascii="Arial" w:hAnsi="Arial" w:cs="Arial"/>
        </w:rPr>
        <w:footnoteReference w:id="117"/>
      </w:r>
      <w:r w:rsidR="004261F6" w:rsidRPr="00140702">
        <w:rPr>
          <w:rFonts w:ascii="Arial" w:hAnsi="Arial" w:cs="Arial"/>
        </w:rPr>
        <w:t xml:space="preserve"> in </w:t>
      </w:r>
      <w:r w:rsidR="0059356E" w:rsidRPr="00140702">
        <w:rPr>
          <w:rFonts w:ascii="Arial" w:hAnsi="Arial" w:cs="Arial"/>
        </w:rPr>
        <w:t xml:space="preserve">South Africa’s </w:t>
      </w:r>
      <w:r w:rsidR="004261F6" w:rsidRPr="00140702">
        <w:rPr>
          <w:rFonts w:ascii="Arial" w:hAnsi="Arial" w:cs="Arial"/>
        </w:rPr>
        <w:t>legal system.</w:t>
      </w:r>
      <w:r w:rsidR="004261F6" w:rsidRPr="00140702">
        <w:rPr>
          <w:rStyle w:val="Funotenzeichen"/>
          <w:rFonts w:ascii="Arial" w:hAnsi="Arial" w:cs="Arial"/>
        </w:rPr>
        <w:footnoteReference w:id="118"/>
      </w:r>
      <w:r w:rsidR="004261F6" w:rsidRPr="00140702">
        <w:rPr>
          <w:rFonts w:ascii="Arial" w:hAnsi="Arial" w:cs="Arial"/>
        </w:rPr>
        <w:t xml:space="preserve"> The reason why the term “competition”</w:t>
      </w:r>
      <w:r w:rsidRPr="00140702">
        <w:rPr>
          <w:rFonts w:ascii="Arial" w:hAnsi="Arial" w:cs="Arial"/>
        </w:rPr>
        <w:t xml:space="preserve"> </w:t>
      </w:r>
      <w:r w:rsidR="004261F6" w:rsidRPr="00140702">
        <w:rPr>
          <w:rFonts w:ascii="Arial" w:hAnsi="Arial" w:cs="Arial"/>
        </w:rPr>
        <w:t>is not defined in the Competition Act</w:t>
      </w:r>
      <w:r w:rsidR="00C10A57" w:rsidRPr="00140702">
        <w:rPr>
          <w:rStyle w:val="Funotenzeichen"/>
          <w:rFonts w:ascii="Arial" w:hAnsi="Arial" w:cs="Arial"/>
        </w:rPr>
        <w:footnoteReference w:id="119"/>
      </w:r>
      <w:r w:rsidR="004261F6" w:rsidRPr="00140702">
        <w:rPr>
          <w:rFonts w:ascii="Arial" w:hAnsi="Arial" w:cs="Arial"/>
        </w:rPr>
        <w:t xml:space="preserve"> is because the term “competition” is dependent on the market structure</w:t>
      </w:r>
      <w:r w:rsidR="00CC56A8" w:rsidRPr="00140702">
        <w:rPr>
          <w:rFonts w:ascii="Arial" w:hAnsi="Arial" w:cs="Arial"/>
        </w:rPr>
        <w:t xml:space="preserve"> (model)</w:t>
      </w:r>
      <w:r w:rsidR="004261F6" w:rsidRPr="00140702">
        <w:rPr>
          <w:rFonts w:ascii="Arial" w:hAnsi="Arial" w:cs="Arial"/>
        </w:rPr>
        <w:t>.</w:t>
      </w:r>
      <w:r w:rsidR="00C10A57" w:rsidRPr="00140702">
        <w:rPr>
          <w:rStyle w:val="Funotenzeichen"/>
          <w:rFonts w:ascii="Arial" w:hAnsi="Arial" w:cs="Arial"/>
        </w:rPr>
        <w:footnoteReference w:id="120"/>
      </w:r>
      <w:r w:rsidR="00CC56A8" w:rsidRPr="00140702">
        <w:rPr>
          <w:rFonts w:ascii="Arial" w:hAnsi="Arial" w:cs="Arial"/>
        </w:rPr>
        <w:t xml:space="preserve"> The necessity for defining competition as the “absence of market power”</w:t>
      </w:r>
      <w:r w:rsidR="00CC56A8" w:rsidRPr="00140702">
        <w:rPr>
          <w:rStyle w:val="Funotenzeichen"/>
          <w:rFonts w:ascii="Arial" w:hAnsi="Arial" w:cs="Arial"/>
        </w:rPr>
        <w:footnoteReference w:id="121"/>
      </w:r>
      <w:r w:rsidR="00CC56A8" w:rsidRPr="00140702">
        <w:rPr>
          <w:rFonts w:ascii="Arial" w:hAnsi="Arial" w:cs="Arial"/>
        </w:rPr>
        <w:t xml:space="preserve"> or as the “opposite of monopoly”</w:t>
      </w:r>
      <w:r w:rsidR="00CC56A8" w:rsidRPr="00140702">
        <w:rPr>
          <w:rStyle w:val="Funotenzeichen"/>
          <w:rFonts w:ascii="Arial" w:hAnsi="Arial" w:cs="Arial"/>
        </w:rPr>
        <w:footnoteReference w:id="122"/>
      </w:r>
      <w:r w:rsidR="00CC56A8" w:rsidRPr="00140702">
        <w:rPr>
          <w:rFonts w:ascii="Arial" w:hAnsi="Arial" w:cs="Arial"/>
        </w:rPr>
        <w:t xml:space="preserve"> will become clear in section </w:t>
      </w:r>
      <w:r w:rsidR="007F3B93">
        <w:rPr>
          <w:rFonts w:ascii="Arial" w:hAnsi="Arial" w:cs="Arial"/>
        </w:rPr>
        <w:t>3.3.4.2.2</w:t>
      </w:r>
      <w:r w:rsidR="007264D6">
        <w:rPr>
          <w:rFonts w:ascii="Arial" w:hAnsi="Arial" w:cs="Arial"/>
        </w:rPr>
        <w:t xml:space="preserve"> where the structure element of the Structure-Conduct-Performance paradigm is discussed as</w:t>
      </w:r>
      <w:r w:rsidR="0059356E" w:rsidRPr="00140702">
        <w:rPr>
          <w:rFonts w:ascii="Arial" w:hAnsi="Arial" w:cs="Arial"/>
        </w:rPr>
        <w:t xml:space="preserve"> will the</w:t>
      </w:r>
      <w:r w:rsidR="00CC56A8" w:rsidRPr="00140702">
        <w:rPr>
          <w:rFonts w:ascii="Arial" w:hAnsi="Arial" w:cs="Arial"/>
        </w:rPr>
        <w:t xml:space="preserve"> relationship between the market structure and the meaning of competition.</w:t>
      </w:r>
      <w:r w:rsidR="007F3B93">
        <w:rPr>
          <w:rFonts w:ascii="Arial" w:hAnsi="Arial" w:cs="Arial"/>
        </w:rPr>
        <w:t xml:space="preserve"> Furthermore, the meaning of competition will be revisited by section 3.3.4.3 after the SCP paradigm has been discussed.</w:t>
      </w:r>
    </w:p>
    <w:p w:rsidR="000C4DC0" w:rsidRPr="00140702" w:rsidRDefault="000C4DC0" w:rsidP="00140702">
      <w:pPr>
        <w:contextualSpacing/>
        <w:jc w:val="both"/>
        <w:rPr>
          <w:rFonts w:ascii="Arial" w:hAnsi="Arial" w:cs="Arial"/>
        </w:rPr>
      </w:pPr>
    </w:p>
    <w:p w:rsidR="000C4DC0" w:rsidRPr="00140702" w:rsidRDefault="00703C63" w:rsidP="00140702">
      <w:pPr>
        <w:contextualSpacing/>
        <w:jc w:val="both"/>
        <w:rPr>
          <w:rFonts w:ascii="Arial" w:hAnsi="Arial" w:cs="Arial"/>
        </w:rPr>
      </w:pPr>
      <w:r w:rsidRPr="00140702">
        <w:rPr>
          <w:rFonts w:ascii="Arial" w:hAnsi="Arial" w:cs="Arial"/>
        </w:rPr>
        <w:t>2.2</w:t>
      </w:r>
      <w:r w:rsidR="00202579" w:rsidRPr="00140702">
        <w:rPr>
          <w:rFonts w:ascii="Arial" w:hAnsi="Arial" w:cs="Arial"/>
        </w:rPr>
        <w:t>.</w:t>
      </w:r>
      <w:r w:rsidR="00EB2AF8" w:rsidRPr="00140702">
        <w:rPr>
          <w:rFonts w:ascii="Arial" w:hAnsi="Arial" w:cs="Arial"/>
        </w:rPr>
        <w:t>7</w:t>
      </w:r>
      <w:r w:rsidR="00202579" w:rsidRPr="00140702">
        <w:rPr>
          <w:rFonts w:ascii="Arial" w:hAnsi="Arial" w:cs="Arial"/>
        </w:rPr>
        <w:t xml:space="preserve"> </w:t>
      </w:r>
      <w:r w:rsidR="00B52699" w:rsidRPr="00140702">
        <w:rPr>
          <w:rFonts w:ascii="Arial" w:hAnsi="Arial" w:cs="Arial"/>
        </w:rPr>
        <w:t>The failure of market systems</w:t>
      </w:r>
    </w:p>
    <w:p w:rsidR="001D2C78" w:rsidRPr="00140702" w:rsidRDefault="002D11CE" w:rsidP="00140702">
      <w:pPr>
        <w:contextualSpacing/>
        <w:jc w:val="both"/>
        <w:rPr>
          <w:rFonts w:ascii="Arial" w:hAnsi="Arial" w:cs="Arial"/>
        </w:rPr>
      </w:pPr>
      <w:r w:rsidRPr="00140702">
        <w:rPr>
          <w:rFonts w:ascii="Arial" w:hAnsi="Arial" w:cs="Arial"/>
        </w:rPr>
        <w:t>Sometimes the market system fail to achieve the socially efficient quantity at the socially efficient price i.e. markets may fail to achieve allocative efficiency.</w:t>
      </w:r>
      <w:r w:rsidR="00DA32A0" w:rsidRPr="00140702">
        <w:rPr>
          <w:rStyle w:val="Funotenzeichen"/>
          <w:rFonts w:ascii="Arial" w:hAnsi="Arial" w:cs="Arial"/>
        </w:rPr>
        <w:footnoteReference w:id="123"/>
      </w:r>
      <w:r w:rsidRPr="00140702">
        <w:rPr>
          <w:rFonts w:ascii="Arial" w:hAnsi="Arial" w:cs="Arial"/>
        </w:rPr>
        <w:t xml:space="preserve"> In general</w:t>
      </w:r>
      <w:r w:rsidR="00266DBA" w:rsidRPr="00140702">
        <w:rPr>
          <w:rFonts w:ascii="Arial" w:hAnsi="Arial" w:cs="Arial"/>
        </w:rPr>
        <w:t>,</w:t>
      </w:r>
      <w:r w:rsidRPr="00140702">
        <w:rPr>
          <w:rFonts w:ascii="Arial" w:hAnsi="Arial" w:cs="Arial"/>
        </w:rPr>
        <w:t xml:space="preserve"> markets fail because of imperfect competition, externalities influencing the functioning of the markets, the desire for public goods that can only be provided by government and </w:t>
      </w:r>
      <w:r w:rsidR="00703C63" w:rsidRPr="00140702">
        <w:rPr>
          <w:rFonts w:ascii="Arial" w:hAnsi="Arial" w:cs="Arial"/>
        </w:rPr>
        <w:t>lastly</w:t>
      </w:r>
      <w:r w:rsidRPr="00140702">
        <w:rPr>
          <w:rFonts w:ascii="Arial" w:hAnsi="Arial" w:cs="Arial"/>
        </w:rPr>
        <w:t xml:space="preserve"> due to asymmetrical</w:t>
      </w:r>
      <w:r w:rsidR="00DA32A0" w:rsidRPr="00140702">
        <w:rPr>
          <w:rFonts w:ascii="Arial" w:hAnsi="Arial" w:cs="Arial"/>
        </w:rPr>
        <w:t xml:space="preserve"> (irregular)</w:t>
      </w:r>
      <w:r w:rsidRPr="00140702">
        <w:rPr>
          <w:rFonts w:ascii="Arial" w:hAnsi="Arial" w:cs="Arial"/>
        </w:rPr>
        <w:t xml:space="preserve"> information.</w:t>
      </w:r>
      <w:r w:rsidR="00310213" w:rsidRPr="00140702">
        <w:rPr>
          <w:rStyle w:val="Funotenzeichen"/>
          <w:rFonts w:ascii="Arial" w:hAnsi="Arial" w:cs="Arial"/>
        </w:rPr>
        <w:footnoteReference w:id="124"/>
      </w:r>
      <w:r w:rsidR="00266DBA" w:rsidRPr="00140702">
        <w:rPr>
          <w:rFonts w:ascii="Arial" w:hAnsi="Arial" w:cs="Arial"/>
        </w:rPr>
        <w:t xml:space="preserve"> </w:t>
      </w:r>
      <w:r w:rsidR="00703C63" w:rsidRPr="00140702">
        <w:rPr>
          <w:rFonts w:ascii="Arial" w:hAnsi="Arial" w:cs="Arial"/>
        </w:rPr>
        <w:t>Market failure refers to a situation where</w:t>
      </w:r>
      <w:r w:rsidR="00B567C0" w:rsidRPr="00140702">
        <w:rPr>
          <w:rFonts w:ascii="Arial" w:hAnsi="Arial" w:cs="Arial"/>
        </w:rPr>
        <w:t xml:space="preserve"> the market forces are not </w:t>
      </w:r>
      <w:r w:rsidR="00703C63" w:rsidRPr="00140702">
        <w:rPr>
          <w:rFonts w:ascii="Arial" w:hAnsi="Arial" w:cs="Arial"/>
        </w:rPr>
        <w:t>functioning</w:t>
      </w:r>
      <w:r w:rsidR="00B567C0" w:rsidRPr="00140702">
        <w:rPr>
          <w:rFonts w:ascii="Arial" w:hAnsi="Arial" w:cs="Arial"/>
        </w:rPr>
        <w:t xml:space="preserve"> properly.</w:t>
      </w:r>
    </w:p>
    <w:p w:rsidR="001D2C78" w:rsidRPr="00140702" w:rsidRDefault="001D2C78" w:rsidP="00140702">
      <w:pPr>
        <w:contextualSpacing/>
        <w:jc w:val="both"/>
        <w:rPr>
          <w:rFonts w:ascii="Arial" w:hAnsi="Arial" w:cs="Arial"/>
        </w:rPr>
      </w:pPr>
    </w:p>
    <w:p w:rsidR="00FF18DD" w:rsidRPr="00140702" w:rsidRDefault="00285204" w:rsidP="00140702">
      <w:pPr>
        <w:contextualSpacing/>
        <w:jc w:val="both"/>
        <w:rPr>
          <w:rFonts w:ascii="Arial" w:hAnsi="Arial" w:cs="Arial"/>
        </w:rPr>
      </w:pPr>
      <w:r w:rsidRPr="00140702">
        <w:rPr>
          <w:rFonts w:ascii="Arial" w:hAnsi="Arial" w:cs="Arial"/>
        </w:rPr>
        <w:t>It can also be said that competition can exclude</w:t>
      </w:r>
      <w:r w:rsidR="00D63B42" w:rsidRPr="00140702">
        <w:rPr>
          <w:rFonts w:ascii="Arial" w:hAnsi="Arial" w:cs="Arial"/>
        </w:rPr>
        <w:t xml:space="preserve"> (destroy)</w:t>
      </w:r>
      <w:r w:rsidRPr="00140702">
        <w:rPr>
          <w:rFonts w:ascii="Arial" w:hAnsi="Arial" w:cs="Arial"/>
        </w:rPr>
        <w:t xml:space="preserve"> competition because it awards efficient firms with profits and inefficient firms with losses.</w:t>
      </w:r>
      <w:r w:rsidR="00564F7F" w:rsidRPr="00140702">
        <w:rPr>
          <w:rStyle w:val="Funotenzeichen"/>
          <w:rFonts w:ascii="Arial" w:hAnsi="Arial" w:cs="Arial"/>
        </w:rPr>
        <w:footnoteReference w:id="125"/>
      </w:r>
      <w:r w:rsidRPr="00140702">
        <w:rPr>
          <w:rFonts w:ascii="Arial" w:hAnsi="Arial" w:cs="Arial"/>
        </w:rPr>
        <w:t xml:space="preserve"> This implies that as insufficient firm</w:t>
      </w:r>
      <w:r w:rsidR="00D63B42" w:rsidRPr="00140702">
        <w:rPr>
          <w:rFonts w:ascii="Arial" w:hAnsi="Arial" w:cs="Arial"/>
        </w:rPr>
        <w:t>s</w:t>
      </w:r>
      <w:r w:rsidRPr="00140702">
        <w:rPr>
          <w:rFonts w:ascii="Arial" w:hAnsi="Arial" w:cs="Arial"/>
        </w:rPr>
        <w:t xml:space="preserve"> leave a particular market</w:t>
      </w:r>
      <w:r w:rsidR="002D5163" w:rsidRPr="00140702">
        <w:rPr>
          <w:rFonts w:ascii="Arial" w:hAnsi="Arial" w:cs="Arial"/>
        </w:rPr>
        <w:t xml:space="preserve"> because of their losses</w:t>
      </w:r>
      <w:r w:rsidRPr="00140702">
        <w:rPr>
          <w:rFonts w:ascii="Arial" w:hAnsi="Arial" w:cs="Arial"/>
        </w:rPr>
        <w:t xml:space="preserve">, the more efficient firms gain market power because </w:t>
      </w:r>
      <w:r w:rsidR="00D63B42" w:rsidRPr="00140702">
        <w:rPr>
          <w:rFonts w:ascii="Arial" w:hAnsi="Arial" w:cs="Arial"/>
        </w:rPr>
        <w:t>the</w:t>
      </w:r>
      <w:r w:rsidR="002D5163" w:rsidRPr="00140702">
        <w:rPr>
          <w:rFonts w:ascii="Arial" w:hAnsi="Arial" w:cs="Arial"/>
        </w:rPr>
        <w:t xml:space="preserve">re are </w:t>
      </w:r>
      <w:r w:rsidRPr="00140702">
        <w:rPr>
          <w:rFonts w:ascii="Arial" w:hAnsi="Arial" w:cs="Arial"/>
        </w:rPr>
        <w:t>fever firms to compete with and accordingly</w:t>
      </w:r>
      <w:r w:rsidR="002D5163" w:rsidRPr="00140702">
        <w:rPr>
          <w:rFonts w:ascii="Arial" w:hAnsi="Arial" w:cs="Arial"/>
        </w:rPr>
        <w:t xml:space="preserve"> the efficient firms</w:t>
      </w:r>
      <w:r w:rsidRPr="00140702">
        <w:rPr>
          <w:rFonts w:ascii="Arial" w:hAnsi="Arial" w:cs="Arial"/>
        </w:rPr>
        <w:t xml:space="preserve"> can influence the price and output in that market to a greater extent.</w:t>
      </w:r>
      <w:r w:rsidR="006806BC" w:rsidRPr="00140702">
        <w:rPr>
          <w:rStyle w:val="Funotenzeichen"/>
          <w:rFonts w:ascii="Arial" w:hAnsi="Arial" w:cs="Arial"/>
        </w:rPr>
        <w:footnoteReference w:id="126"/>
      </w:r>
      <w:r w:rsidR="00D63B42" w:rsidRPr="00140702">
        <w:rPr>
          <w:rFonts w:ascii="Arial" w:hAnsi="Arial" w:cs="Arial"/>
        </w:rPr>
        <w:t xml:space="preserve"> </w:t>
      </w:r>
      <w:r w:rsidR="002D5163" w:rsidRPr="00140702">
        <w:rPr>
          <w:rFonts w:ascii="Arial" w:hAnsi="Arial" w:cs="Arial"/>
        </w:rPr>
        <w:t>Through competition the efficient firms have in reality destroyed competition.</w:t>
      </w:r>
      <w:r w:rsidR="006806BC" w:rsidRPr="00140702">
        <w:rPr>
          <w:rStyle w:val="Funotenzeichen"/>
          <w:rFonts w:ascii="Arial" w:hAnsi="Arial" w:cs="Arial"/>
        </w:rPr>
        <w:footnoteReference w:id="127"/>
      </w:r>
      <w:r w:rsidR="002D5163" w:rsidRPr="00140702">
        <w:rPr>
          <w:rFonts w:ascii="Arial" w:hAnsi="Arial" w:cs="Arial"/>
        </w:rPr>
        <w:t xml:space="preserve"> Notice however</w:t>
      </w:r>
      <w:r w:rsidR="006806BC" w:rsidRPr="00140702">
        <w:rPr>
          <w:rFonts w:ascii="Arial" w:hAnsi="Arial" w:cs="Arial"/>
        </w:rPr>
        <w:t>,</w:t>
      </w:r>
      <w:r w:rsidR="002D5163" w:rsidRPr="00140702">
        <w:rPr>
          <w:rFonts w:ascii="Arial" w:hAnsi="Arial" w:cs="Arial"/>
        </w:rPr>
        <w:t xml:space="preserve"> that the lack of competition in this market will not cause the firms</w:t>
      </w:r>
      <w:r w:rsidR="00703C63" w:rsidRPr="00140702">
        <w:rPr>
          <w:rFonts w:ascii="Arial" w:hAnsi="Arial" w:cs="Arial"/>
        </w:rPr>
        <w:t xml:space="preserve"> and hence the market</w:t>
      </w:r>
      <w:r w:rsidR="002D5163" w:rsidRPr="00140702">
        <w:rPr>
          <w:rFonts w:ascii="Arial" w:hAnsi="Arial" w:cs="Arial"/>
        </w:rPr>
        <w:t xml:space="preserve"> to become more inefficient. The reason for this is that these firms</w:t>
      </w:r>
      <w:r w:rsidR="006508B4" w:rsidRPr="00140702">
        <w:rPr>
          <w:rFonts w:ascii="Arial" w:hAnsi="Arial" w:cs="Arial"/>
        </w:rPr>
        <w:t xml:space="preserve"> and hence the market have already achieved efficiency</w:t>
      </w:r>
      <w:r w:rsidR="002D5163" w:rsidRPr="00140702">
        <w:rPr>
          <w:rFonts w:ascii="Arial" w:hAnsi="Arial" w:cs="Arial"/>
        </w:rPr>
        <w:t xml:space="preserve">. It is only when these firms then abuse their market power that they themselves and hence also the market will become less efficient. This is also the point where the market system </w:t>
      </w:r>
      <w:r w:rsidR="006508B4" w:rsidRPr="00140702">
        <w:rPr>
          <w:rFonts w:ascii="Arial" w:hAnsi="Arial" w:cs="Arial"/>
        </w:rPr>
        <w:t>fails</w:t>
      </w:r>
      <w:r w:rsidR="002D5163" w:rsidRPr="00140702">
        <w:rPr>
          <w:rFonts w:ascii="Arial" w:hAnsi="Arial" w:cs="Arial"/>
        </w:rPr>
        <w:t>.</w:t>
      </w:r>
    </w:p>
    <w:p w:rsidR="00266DBA" w:rsidRPr="00140702" w:rsidRDefault="00266DBA" w:rsidP="00140702">
      <w:pPr>
        <w:contextualSpacing/>
        <w:jc w:val="both"/>
        <w:rPr>
          <w:rFonts w:ascii="Arial" w:hAnsi="Arial" w:cs="Arial"/>
        </w:rPr>
      </w:pPr>
    </w:p>
    <w:p w:rsidR="00266DBA" w:rsidRPr="00140702" w:rsidRDefault="00266DBA" w:rsidP="00140702">
      <w:pPr>
        <w:contextualSpacing/>
        <w:jc w:val="both"/>
        <w:rPr>
          <w:rFonts w:ascii="Arial" w:hAnsi="Arial" w:cs="Arial"/>
        </w:rPr>
      </w:pPr>
      <w:r w:rsidRPr="00140702">
        <w:rPr>
          <w:rFonts w:ascii="Arial" w:hAnsi="Arial" w:cs="Arial"/>
        </w:rPr>
        <w:t>For the reason that</w:t>
      </w:r>
      <w:r w:rsidR="006508B4" w:rsidRPr="00140702">
        <w:rPr>
          <w:rFonts w:ascii="Arial" w:hAnsi="Arial" w:cs="Arial"/>
        </w:rPr>
        <w:t xml:space="preserve"> the market system</w:t>
      </w:r>
      <w:r w:rsidRPr="00140702">
        <w:rPr>
          <w:rFonts w:ascii="Arial" w:hAnsi="Arial" w:cs="Arial"/>
        </w:rPr>
        <w:t xml:space="preserve"> fail from time to time, governments have be</w:t>
      </w:r>
      <w:r w:rsidR="006508B4" w:rsidRPr="00140702">
        <w:rPr>
          <w:rFonts w:ascii="Arial" w:hAnsi="Arial" w:cs="Arial"/>
        </w:rPr>
        <w:t>en</w:t>
      </w:r>
      <w:r w:rsidRPr="00140702">
        <w:rPr>
          <w:rFonts w:ascii="Arial" w:hAnsi="Arial" w:cs="Arial"/>
        </w:rPr>
        <w:t xml:space="preserve"> intervening in the market system</w:t>
      </w:r>
      <w:r w:rsidR="006508B4" w:rsidRPr="00140702">
        <w:rPr>
          <w:rFonts w:ascii="Arial" w:hAnsi="Arial" w:cs="Arial"/>
        </w:rPr>
        <w:t xml:space="preserve"> for years</w:t>
      </w:r>
      <w:r w:rsidRPr="00140702">
        <w:rPr>
          <w:rFonts w:ascii="Arial" w:hAnsi="Arial" w:cs="Arial"/>
        </w:rPr>
        <w:t>.</w:t>
      </w:r>
      <w:r w:rsidR="00E16347" w:rsidRPr="00140702">
        <w:rPr>
          <w:rStyle w:val="Funotenzeichen"/>
          <w:rFonts w:ascii="Arial" w:hAnsi="Arial" w:cs="Arial"/>
        </w:rPr>
        <w:footnoteReference w:id="128"/>
      </w:r>
      <w:r w:rsidRPr="00140702">
        <w:rPr>
          <w:rFonts w:ascii="Arial" w:hAnsi="Arial" w:cs="Arial"/>
        </w:rPr>
        <w:t xml:space="preserve"> The government intervention is however not aimed at coordinating and directing the economic activity within the markets but rather to ensure the proper functioning thereof.</w:t>
      </w:r>
      <w:r w:rsidR="005C4A54" w:rsidRPr="00140702">
        <w:rPr>
          <w:rStyle w:val="Funotenzeichen"/>
          <w:rFonts w:ascii="Arial" w:hAnsi="Arial" w:cs="Arial"/>
        </w:rPr>
        <w:footnoteReference w:id="129"/>
      </w:r>
      <w:r w:rsidRPr="00140702">
        <w:rPr>
          <w:rFonts w:ascii="Arial" w:hAnsi="Arial" w:cs="Arial"/>
        </w:rPr>
        <w:t xml:space="preserve"> Stated differently, governments intervene in the market system but they are not the dominant force within that market.</w:t>
      </w:r>
      <w:r w:rsidR="005C4A54" w:rsidRPr="00140702">
        <w:rPr>
          <w:rStyle w:val="Funotenzeichen"/>
          <w:rFonts w:ascii="Arial" w:hAnsi="Arial" w:cs="Arial"/>
        </w:rPr>
        <w:footnoteReference w:id="130"/>
      </w:r>
      <w:r w:rsidRPr="00140702">
        <w:rPr>
          <w:rFonts w:ascii="Arial" w:hAnsi="Arial" w:cs="Arial"/>
        </w:rPr>
        <w:t xml:space="preserve"> </w:t>
      </w:r>
      <w:r w:rsidR="005C4A54" w:rsidRPr="00140702">
        <w:rPr>
          <w:rFonts w:ascii="Arial" w:hAnsi="Arial" w:cs="Arial"/>
        </w:rPr>
        <w:t>Accordingly</w:t>
      </w:r>
      <w:r w:rsidR="00577D90" w:rsidRPr="00140702">
        <w:rPr>
          <w:rFonts w:ascii="Arial" w:hAnsi="Arial" w:cs="Arial"/>
        </w:rPr>
        <w:t>,</w:t>
      </w:r>
      <w:r w:rsidR="005C4A54" w:rsidRPr="00140702">
        <w:rPr>
          <w:rFonts w:ascii="Arial" w:hAnsi="Arial" w:cs="Arial"/>
        </w:rPr>
        <w:t xml:space="preserve"> t</w:t>
      </w:r>
      <w:r w:rsidRPr="00140702">
        <w:rPr>
          <w:rFonts w:ascii="Arial" w:hAnsi="Arial" w:cs="Arial"/>
        </w:rPr>
        <w:t xml:space="preserve">he </w:t>
      </w:r>
      <w:r w:rsidR="00D30542" w:rsidRPr="00140702">
        <w:rPr>
          <w:rFonts w:ascii="Arial" w:hAnsi="Arial" w:cs="Arial"/>
        </w:rPr>
        <w:t>plan</w:t>
      </w:r>
      <w:r w:rsidRPr="00140702">
        <w:rPr>
          <w:rFonts w:ascii="Arial" w:hAnsi="Arial" w:cs="Arial"/>
        </w:rPr>
        <w:t xml:space="preserve"> of government is to ensure that the market equilibrium is determined</w:t>
      </w:r>
      <w:r w:rsidR="006508B4" w:rsidRPr="00140702">
        <w:rPr>
          <w:rFonts w:ascii="Arial" w:hAnsi="Arial" w:cs="Arial"/>
        </w:rPr>
        <w:t xml:space="preserve"> and obtained through</w:t>
      </w:r>
      <w:r w:rsidRPr="00140702">
        <w:rPr>
          <w:rFonts w:ascii="Arial" w:hAnsi="Arial" w:cs="Arial"/>
        </w:rPr>
        <w:t xml:space="preserve"> the market forces where </w:t>
      </w:r>
      <w:r w:rsidR="006508B4" w:rsidRPr="00140702">
        <w:rPr>
          <w:rFonts w:ascii="Arial" w:hAnsi="Arial" w:cs="Arial"/>
        </w:rPr>
        <w:t xml:space="preserve">the </w:t>
      </w:r>
      <w:r w:rsidRPr="00140702">
        <w:rPr>
          <w:rFonts w:ascii="Arial" w:hAnsi="Arial" w:cs="Arial"/>
        </w:rPr>
        <w:t>market forces denote demand and supply within that market.</w:t>
      </w:r>
      <w:r w:rsidR="00577D90" w:rsidRPr="00140702">
        <w:rPr>
          <w:rStyle w:val="Funotenzeichen"/>
          <w:rFonts w:ascii="Arial" w:hAnsi="Arial" w:cs="Arial"/>
        </w:rPr>
        <w:footnoteReference w:id="131"/>
      </w:r>
      <w:r w:rsidRPr="00140702">
        <w:rPr>
          <w:rFonts w:ascii="Arial" w:hAnsi="Arial" w:cs="Arial"/>
        </w:rPr>
        <w:t xml:space="preserve"> </w:t>
      </w:r>
    </w:p>
    <w:p w:rsidR="00AD2FF3" w:rsidRPr="00140702" w:rsidRDefault="00AD2FF3" w:rsidP="00140702">
      <w:pPr>
        <w:contextualSpacing/>
        <w:jc w:val="both"/>
        <w:rPr>
          <w:rFonts w:ascii="Arial" w:hAnsi="Arial" w:cs="Arial"/>
        </w:rPr>
      </w:pPr>
    </w:p>
    <w:p w:rsidR="006F311B" w:rsidRPr="00140702" w:rsidRDefault="00147029" w:rsidP="00140702">
      <w:pPr>
        <w:contextualSpacing/>
        <w:jc w:val="both"/>
        <w:rPr>
          <w:rFonts w:ascii="Arial" w:hAnsi="Arial" w:cs="Arial"/>
        </w:rPr>
      </w:pPr>
      <w:r w:rsidRPr="00140702">
        <w:rPr>
          <w:rFonts w:ascii="Arial" w:hAnsi="Arial" w:cs="Arial"/>
        </w:rPr>
        <w:t>Governments make use of what is called “competition policy” to intervene within markets</w:t>
      </w:r>
      <w:r w:rsidR="00AD2FF3" w:rsidRPr="00140702">
        <w:rPr>
          <w:rFonts w:ascii="Arial" w:hAnsi="Arial" w:cs="Arial"/>
        </w:rPr>
        <w:t xml:space="preserve"> in order</w:t>
      </w:r>
      <w:r w:rsidRPr="00140702">
        <w:rPr>
          <w:rFonts w:ascii="Arial" w:hAnsi="Arial" w:cs="Arial"/>
        </w:rPr>
        <w:t xml:space="preserve"> to enhance the efficiency of </w:t>
      </w:r>
      <w:r w:rsidR="007D0AFF" w:rsidRPr="00140702">
        <w:rPr>
          <w:rFonts w:ascii="Arial" w:hAnsi="Arial" w:cs="Arial"/>
        </w:rPr>
        <w:t>those markets</w:t>
      </w:r>
      <w:r w:rsidRPr="00140702">
        <w:rPr>
          <w:rFonts w:ascii="Arial" w:hAnsi="Arial" w:cs="Arial"/>
        </w:rPr>
        <w:t>.</w:t>
      </w:r>
      <w:r w:rsidR="00483869" w:rsidRPr="00140702">
        <w:rPr>
          <w:rStyle w:val="Funotenzeichen"/>
          <w:rFonts w:ascii="Arial" w:hAnsi="Arial" w:cs="Arial"/>
        </w:rPr>
        <w:footnoteReference w:id="132"/>
      </w:r>
      <w:r w:rsidRPr="00140702">
        <w:rPr>
          <w:rFonts w:ascii="Arial" w:hAnsi="Arial" w:cs="Arial"/>
        </w:rPr>
        <w:t xml:space="preserve"> Competition policy can be defined as “a regulatory tool which seeks to address market failures by maintaining or creating the foundations for effective functioning </w:t>
      </w:r>
      <w:r w:rsidR="007D0AFF" w:rsidRPr="00140702">
        <w:rPr>
          <w:rFonts w:ascii="Arial" w:hAnsi="Arial" w:cs="Arial"/>
        </w:rPr>
        <w:t>markets.</w:t>
      </w:r>
      <w:r w:rsidRPr="00140702">
        <w:rPr>
          <w:rFonts w:ascii="Arial" w:hAnsi="Arial" w:cs="Arial"/>
        </w:rPr>
        <w:t>”</w:t>
      </w:r>
      <w:r w:rsidR="007D0AFF" w:rsidRPr="00140702">
        <w:rPr>
          <w:rStyle w:val="Funotenzeichen"/>
          <w:rFonts w:ascii="Arial" w:hAnsi="Arial" w:cs="Arial"/>
        </w:rPr>
        <w:footnoteReference w:id="133"/>
      </w:r>
      <w:r w:rsidR="00C218F5" w:rsidRPr="00140702">
        <w:rPr>
          <w:rFonts w:ascii="Arial" w:hAnsi="Arial" w:cs="Arial"/>
        </w:rPr>
        <w:t xml:space="preserve"> </w:t>
      </w:r>
      <w:r w:rsidR="00FE45B8" w:rsidRPr="00140702">
        <w:rPr>
          <w:rFonts w:ascii="Arial" w:hAnsi="Arial" w:cs="Arial"/>
        </w:rPr>
        <w:t>Furthermore, competition policy itself can be divided</w:t>
      </w:r>
      <w:r w:rsidR="00C218F5" w:rsidRPr="00140702">
        <w:rPr>
          <w:rFonts w:ascii="Arial" w:hAnsi="Arial" w:cs="Arial"/>
        </w:rPr>
        <w:t xml:space="preserve"> into 2 parts </w:t>
      </w:r>
      <w:r w:rsidR="00CC51FE" w:rsidRPr="00140702">
        <w:rPr>
          <w:rFonts w:ascii="Arial" w:hAnsi="Arial" w:cs="Arial"/>
        </w:rPr>
        <w:t>namely economic</w:t>
      </w:r>
      <w:r w:rsidR="00C218F5" w:rsidRPr="00140702">
        <w:rPr>
          <w:rFonts w:ascii="Arial" w:hAnsi="Arial" w:cs="Arial"/>
        </w:rPr>
        <w:t xml:space="preserve"> policy and competition law.</w:t>
      </w:r>
      <w:r w:rsidR="00C218F5" w:rsidRPr="00140702">
        <w:rPr>
          <w:rStyle w:val="Funotenzeichen"/>
          <w:rFonts w:ascii="Arial" w:hAnsi="Arial" w:cs="Arial"/>
        </w:rPr>
        <w:footnoteReference w:id="134"/>
      </w:r>
      <w:r w:rsidR="00CC51FE" w:rsidRPr="00140702">
        <w:rPr>
          <w:rFonts w:ascii="Arial" w:hAnsi="Arial" w:cs="Arial"/>
        </w:rPr>
        <w:t xml:space="preserve"> </w:t>
      </w:r>
    </w:p>
    <w:p w:rsidR="006F311B" w:rsidRPr="00140702" w:rsidRDefault="006F311B" w:rsidP="00140702">
      <w:pPr>
        <w:contextualSpacing/>
        <w:jc w:val="both"/>
        <w:rPr>
          <w:rFonts w:ascii="Arial" w:hAnsi="Arial" w:cs="Arial"/>
        </w:rPr>
      </w:pPr>
    </w:p>
    <w:p w:rsidR="006F311B" w:rsidRPr="00140702" w:rsidRDefault="00CC51FE" w:rsidP="00140702">
      <w:pPr>
        <w:contextualSpacing/>
        <w:jc w:val="both"/>
        <w:rPr>
          <w:rFonts w:ascii="Arial" w:hAnsi="Arial" w:cs="Arial"/>
        </w:rPr>
      </w:pPr>
      <w:r w:rsidRPr="00140702">
        <w:rPr>
          <w:rFonts w:ascii="Arial" w:hAnsi="Arial" w:cs="Arial"/>
        </w:rPr>
        <w:t>Economic policies are aimed at increasing competition within the national and international markets and consist of trade policies</w:t>
      </w:r>
      <w:r w:rsidR="00C8569F" w:rsidRPr="00140702">
        <w:rPr>
          <w:rStyle w:val="Funotenzeichen"/>
          <w:rFonts w:ascii="Arial" w:hAnsi="Arial" w:cs="Arial"/>
        </w:rPr>
        <w:footnoteReference w:id="135"/>
      </w:r>
      <w:r w:rsidRPr="00140702">
        <w:rPr>
          <w:rFonts w:ascii="Arial" w:hAnsi="Arial" w:cs="Arial"/>
        </w:rPr>
        <w:t>, deregulation</w:t>
      </w:r>
      <w:r w:rsidR="00C8569F" w:rsidRPr="00140702">
        <w:rPr>
          <w:rStyle w:val="Funotenzeichen"/>
          <w:rFonts w:ascii="Arial" w:hAnsi="Arial" w:cs="Arial"/>
        </w:rPr>
        <w:footnoteReference w:id="136"/>
      </w:r>
      <w:r w:rsidRPr="00140702">
        <w:rPr>
          <w:rFonts w:ascii="Arial" w:hAnsi="Arial" w:cs="Arial"/>
        </w:rPr>
        <w:t xml:space="preserve"> and privatisation.</w:t>
      </w:r>
      <w:r w:rsidRPr="00140702">
        <w:rPr>
          <w:rStyle w:val="Funotenzeichen"/>
          <w:rFonts w:ascii="Arial" w:hAnsi="Arial" w:cs="Arial"/>
        </w:rPr>
        <w:footnoteReference w:id="137"/>
      </w:r>
      <w:r w:rsidR="00072123" w:rsidRPr="00140702">
        <w:rPr>
          <w:rFonts w:ascii="Arial" w:hAnsi="Arial" w:cs="Arial"/>
        </w:rPr>
        <w:t xml:space="preserve"> Economic policies, in the context of capitalism, are thus aimed at creating a favourable environment for the </w:t>
      </w:r>
      <w:r w:rsidR="006F311B" w:rsidRPr="00140702">
        <w:rPr>
          <w:rFonts w:ascii="Arial" w:hAnsi="Arial" w:cs="Arial"/>
        </w:rPr>
        <w:t>implementation and functioning of the market system</w:t>
      </w:r>
      <w:r w:rsidR="00072123" w:rsidRPr="00140702">
        <w:rPr>
          <w:rFonts w:ascii="Arial" w:hAnsi="Arial" w:cs="Arial"/>
        </w:rPr>
        <w:t>.</w:t>
      </w:r>
    </w:p>
    <w:p w:rsidR="006F311B" w:rsidRPr="00140702" w:rsidRDefault="006F311B" w:rsidP="00140702">
      <w:pPr>
        <w:contextualSpacing/>
        <w:jc w:val="both"/>
        <w:rPr>
          <w:rFonts w:ascii="Arial" w:hAnsi="Arial" w:cs="Arial"/>
        </w:rPr>
      </w:pPr>
    </w:p>
    <w:p w:rsidR="00410CB6" w:rsidRPr="00140702" w:rsidRDefault="006F311B" w:rsidP="00140702">
      <w:pPr>
        <w:contextualSpacing/>
        <w:jc w:val="both"/>
        <w:rPr>
          <w:rFonts w:ascii="Arial" w:hAnsi="Arial" w:cs="Arial"/>
        </w:rPr>
      </w:pPr>
      <w:r w:rsidRPr="00140702">
        <w:rPr>
          <w:rFonts w:ascii="Arial" w:hAnsi="Arial" w:cs="Arial"/>
        </w:rPr>
        <w:t xml:space="preserve">Competition law on the other hand is aimed at enhancing the efficiency of the market system through </w:t>
      </w:r>
      <w:r w:rsidR="00D30001" w:rsidRPr="00140702">
        <w:rPr>
          <w:rFonts w:ascii="Arial" w:hAnsi="Arial" w:cs="Arial"/>
        </w:rPr>
        <w:t>the</w:t>
      </w:r>
      <w:r w:rsidRPr="00140702">
        <w:rPr>
          <w:rFonts w:ascii="Arial" w:hAnsi="Arial" w:cs="Arial"/>
        </w:rPr>
        <w:t xml:space="preserve"> maintenance and </w:t>
      </w:r>
      <w:r w:rsidR="00D30001" w:rsidRPr="00140702">
        <w:rPr>
          <w:rFonts w:ascii="Arial" w:hAnsi="Arial" w:cs="Arial"/>
        </w:rPr>
        <w:t>promotion</w:t>
      </w:r>
      <w:r w:rsidRPr="00140702">
        <w:rPr>
          <w:rFonts w:ascii="Arial" w:hAnsi="Arial" w:cs="Arial"/>
        </w:rPr>
        <w:t xml:space="preserve"> of competition </w:t>
      </w:r>
      <w:r w:rsidR="00FC7B4E" w:rsidRPr="00140702">
        <w:rPr>
          <w:rFonts w:ascii="Arial" w:hAnsi="Arial" w:cs="Arial"/>
        </w:rPr>
        <w:t>with</w:t>
      </w:r>
      <w:r w:rsidRPr="00140702">
        <w:rPr>
          <w:rFonts w:ascii="Arial" w:hAnsi="Arial" w:cs="Arial"/>
        </w:rPr>
        <w:t>in the different markets.</w:t>
      </w:r>
      <w:r w:rsidR="001158F2" w:rsidRPr="00140702">
        <w:rPr>
          <w:rStyle w:val="Funotenzeichen"/>
          <w:rFonts w:ascii="Arial" w:hAnsi="Arial" w:cs="Arial"/>
        </w:rPr>
        <w:footnoteReference w:id="138"/>
      </w:r>
      <w:r w:rsidR="00BA3D9E" w:rsidRPr="00140702">
        <w:rPr>
          <w:rFonts w:ascii="Arial" w:hAnsi="Arial" w:cs="Arial"/>
        </w:rPr>
        <w:t xml:space="preserve"> As mentioned </w:t>
      </w:r>
      <w:r w:rsidR="009331C7" w:rsidRPr="00140702">
        <w:rPr>
          <w:rFonts w:ascii="Arial" w:hAnsi="Arial" w:cs="Arial"/>
        </w:rPr>
        <w:t xml:space="preserve">earlier, competition can be defined as </w:t>
      </w:r>
      <w:r w:rsidR="00AD2FF3" w:rsidRPr="00140702">
        <w:rPr>
          <w:rFonts w:ascii="Arial" w:hAnsi="Arial" w:cs="Arial"/>
        </w:rPr>
        <w:t xml:space="preserve">the </w:t>
      </w:r>
      <w:r w:rsidR="009331C7" w:rsidRPr="00140702">
        <w:rPr>
          <w:rFonts w:ascii="Arial" w:hAnsi="Arial" w:cs="Arial"/>
        </w:rPr>
        <w:t>“absence of market power”</w:t>
      </w:r>
      <w:r w:rsidR="009331C7" w:rsidRPr="00140702">
        <w:rPr>
          <w:rStyle w:val="Funotenzeichen"/>
          <w:rFonts w:ascii="Arial" w:hAnsi="Arial" w:cs="Arial"/>
        </w:rPr>
        <w:footnoteReference w:id="139"/>
      </w:r>
      <w:r w:rsidR="009331C7" w:rsidRPr="00140702">
        <w:rPr>
          <w:rFonts w:ascii="Arial" w:hAnsi="Arial" w:cs="Arial"/>
        </w:rPr>
        <w:t xml:space="preserve"> and also as the “opposite of monopoly.”</w:t>
      </w:r>
      <w:r w:rsidR="009331C7" w:rsidRPr="00140702">
        <w:rPr>
          <w:rStyle w:val="Funotenzeichen"/>
          <w:rFonts w:ascii="Arial" w:hAnsi="Arial" w:cs="Arial"/>
        </w:rPr>
        <w:footnoteReference w:id="140"/>
      </w:r>
      <w:r w:rsidR="009331C7" w:rsidRPr="00140702">
        <w:rPr>
          <w:rFonts w:ascii="Arial" w:hAnsi="Arial" w:cs="Arial"/>
        </w:rPr>
        <w:t xml:space="preserve"> Accordingly, competition law is aimed at prohibiting firms from obtaining so much market power so as to allow them to abuse this power</w:t>
      </w:r>
      <w:r w:rsidR="00892721" w:rsidRPr="00140702">
        <w:rPr>
          <w:rFonts w:ascii="Arial" w:hAnsi="Arial" w:cs="Arial"/>
        </w:rPr>
        <w:t xml:space="preserve"> in order to lower the level of competition in the specific market</w:t>
      </w:r>
      <w:r w:rsidR="009331C7" w:rsidRPr="00140702">
        <w:rPr>
          <w:rFonts w:ascii="Arial" w:hAnsi="Arial" w:cs="Arial"/>
        </w:rPr>
        <w:t>.</w:t>
      </w:r>
      <w:r w:rsidR="009331C7" w:rsidRPr="00140702">
        <w:rPr>
          <w:rStyle w:val="Funotenzeichen"/>
          <w:rFonts w:ascii="Arial" w:hAnsi="Arial" w:cs="Arial"/>
        </w:rPr>
        <w:footnoteReference w:id="141"/>
      </w:r>
      <w:r w:rsidR="00410CB6" w:rsidRPr="00140702">
        <w:rPr>
          <w:rFonts w:ascii="Arial" w:hAnsi="Arial" w:cs="Arial"/>
        </w:rPr>
        <w:t xml:space="preserve"> </w:t>
      </w:r>
    </w:p>
    <w:p w:rsidR="00410CB6" w:rsidRPr="00140702" w:rsidRDefault="00410CB6" w:rsidP="00140702">
      <w:pPr>
        <w:contextualSpacing/>
        <w:jc w:val="both"/>
        <w:rPr>
          <w:rFonts w:ascii="Arial" w:hAnsi="Arial" w:cs="Arial"/>
        </w:rPr>
      </w:pPr>
    </w:p>
    <w:p w:rsidR="00410CB6" w:rsidRPr="00140702" w:rsidRDefault="004D6BD6" w:rsidP="00140702">
      <w:pPr>
        <w:contextualSpacing/>
        <w:jc w:val="both"/>
        <w:rPr>
          <w:rFonts w:ascii="Arial" w:hAnsi="Arial" w:cs="Arial"/>
        </w:rPr>
      </w:pPr>
      <w:r w:rsidRPr="00140702">
        <w:rPr>
          <w:rFonts w:ascii="Arial" w:hAnsi="Arial" w:cs="Arial"/>
        </w:rPr>
        <w:t>Bear in mind</w:t>
      </w:r>
      <w:r w:rsidR="00410CB6" w:rsidRPr="00140702">
        <w:rPr>
          <w:rFonts w:ascii="Arial" w:hAnsi="Arial" w:cs="Arial"/>
        </w:rPr>
        <w:t xml:space="preserve"> that competition is regarded as the regularity force of the market system because it prohibits firms from asking more than the market price for any specific good or service.</w:t>
      </w:r>
      <w:r w:rsidR="00410CB6" w:rsidRPr="00140702">
        <w:rPr>
          <w:rStyle w:val="Funotenzeichen"/>
          <w:rFonts w:ascii="Arial" w:hAnsi="Arial" w:cs="Arial"/>
        </w:rPr>
        <w:footnoteReference w:id="142"/>
      </w:r>
      <w:r w:rsidR="00410CB6" w:rsidRPr="00140702">
        <w:rPr>
          <w:rFonts w:ascii="Arial" w:hAnsi="Arial" w:cs="Arial"/>
        </w:rPr>
        <w:t xml:space="preserve"> Accordingly, competition ensures that firms need to maximise their efficiency if they </w:t>
      </w:r>
      <w:r w:rsidR="002858B3" w:rsidRPr="00140702">
        <w:rPr>
          <w:rFonts w:ascii="Arial" w:hAnsi="Arial" w:cs="Arial"/>
        </w:rPr>
        <w:t>desire</w:t>
      </w:r>
      <w:r w:rsidR="00410CB6" w:rsidRPr="00140702">
        <w:rPr>
          <w:rFonts w:ascii="Arial" w:hAnsi="Arial" w:cs="Arial"/>
        </w:rPr>
        <w:t xml:space="preserve"> to provide their products at the competitive market price</w:t>
      </w:r>
      <w:r w:rsidR="001D2C78" w:rsidRPr="00140702">
        <w:rPr>
          <w:rFonts w:ascii="Arial" w:hAnsi="Arial" w:cs="Arial"/>
        </w:rPr>
        <w:t xml:space="preserve"> otherwise they face exit from the market</w:t>
      </w:r>
      <w:r w:rsidR="00410CB6" w:rsidRPr="00140702">
        <w:rPr>
          <w:rFonts w:ascii="Arial" w:hAnsi="Arial" w:cs="Arial"/>
        </w:rPr>
        <w:t>.</w:t>
      </w:r>
      <w:r w:rsidR="00410CB6" w:rsidRPr="00140702">
        <w:rPr>
          <w:rStyle w:val="Funotenzeichen"/>
          <w:rFonts w:ascii="Arial" w:hAnsi="Arial" w:cs="Arial"/>
        </w:rPr>
        <w:footnoteReference w:id="143"/>
      </w:r>
      <w:r w:rsidRPr="00140702">
        <w:rPr>
          <w:rFonts w:ascii="Arial" w:hAnsi="Arial" w:cs="Arial"/>
        </w:rPr>
        <w:t xml:space="preserve"> </w:t>
      </w:r>
    </w:p>
    <w:p w:rsidR="001D2C78" w:rsidRPr="00140702" w:rsidRDefault="001D2C78" w:rsidP="00140702">
      <w:pPr>
        <w:contextualSpacing/>
        <w:jc w:val="both"/>
        <w:rPr>
          <w:rFonts w:ascii="Arial" w:hAnsi="Arial" w:cs="Arial"/>
          <w:u w:val="single"/>
        </w:rPr>
      </w:pPr>
    </w:p>
    <w:p w:rsidR="00A605BF" w:rsidRPr="00140702" w:rsidRDefault="00DD1E8B" w:rsidP="00140702">
      <w:pPr>
        <w:contextualSpacing/>
        <w:jc w:val="both"/>
        <w:rPr>
          <w:rFonts w:ascii="Arial" w:hAnsi="Arial" w:cs="Arial"/>
        </w:rPr>
      </w:pPr>
      <w:r w:rsidRPr="00140702">
        <w:rPr>
          <w:rFonts w:ascii="Arial" w:hAnsi="Arial" w:cs="Arial"/>
        </w:rPr>
        <w:t>2.2</w:t>
      </w:r>
      <w:r w:rsidR="00EB2AF8" w:rsidRPr="00140702">
        <w:rPr>
          <w:rFonts w:ascii="Arial" w:hAnsi="Arial" w:cs="Arial"/>
        </w:rPr>
        <w:t xml:space="preserve">.8 </w:t>
      </w:r>
      <w:r w:rsidR="00355F80" w:rsidRPr="00140702">
        <w:rPr>
          <w:rFonts w:ascii="Arial" w:hAnsi="Arial" w:cs="Arial"/>
        </w:rPr>
        <w:t>The South African economic system</w:t>
      </w:r>
      <w:r w:rsidR="00072123" w:rsidRPr="00140702">
        <w:rPr>
          <w:rFonts w:ascii="Arial" w:hAnsi="Arial" w:cs="Arial"/>
        </w:rPr>
        <w:t xml:space="preserve">  </w:t>
      </w:r>
    </w:p>
    <w:p w:rsidR="00034901" w:rsidRPr="00140702" w:rsidRDefault="00034901" w:rsidP="00140702">
      <w:pPr>
        <w:contextualSpacing/>
        <w:jc w:val="both"/>
        <w:rPr>
          <w:rFonts w:ascii="Arial" w:hAnsi="Arial" w:cs="Arial"/>
          <w:u w:val="single"/>
        </w:rPr>
      </w:pPr>
    </w:p>
    <w:p w:rsidR="009465E4" w:rsidRPr="00140702" w:rsidRDefault="004B4EFA" w:rsidP="00140702">
      <w:pPr>
        <w:tabs>
          <w:tab w:val="center" w:pos="4513"/>
        </w:tabs>
        <w:contextualSpacing/>
        <w:jc w:val="both"/>
        <w:rPr>
          <w:rFonts w:ascii="Arial" w:hAnsi="Arial" w:cs="Arial"/>
        </w:rPr>
      </w:pPr>
      <w:r w:rsidRPr="00140702">
        <w:rPr>
          <w:rFonts w:ascii="Arial" w:hAnsi="Arial" w:cs="Arial"/>
        </w:rPr>
        <w:t xml:space="preserve">Currently South Africa has a mixed economic system which contains </w:t>
      </w:r>
      <w:r w:rsidR="009465E4" w:rsidRPr="00140702">
        <w:rPr>
          <w:rFonts w:ascii="Arial" w:hAnsi="Arial" w:cs="Arial"/>
        </w:rPr>
        <w:t xml:space="preserve">elements of both the planned </w:t>
      </w:r>
      <w:r w:rsidR="00502C82" w:rsidRPr="00140702">
        <w:rPr>
          <w:rFonts w:ascii="Arial" w:hAnsi="Arial" w:cs="Arial"/>
        </w:rPr>
        <w:t>and the</w:t>
      </w:r>
      <w:r w:rsidR="009465E4" w:rsidRPr="00140702">
        <w:rPr>
          <w:rFonts w:ascii="Arial" w:hAnsi="Arial" w:cs="Arial"/>
        </w:rPr>
        <w:t xml:space="preserve"> market economy.</w:t>
      </w:r>
      <w:r w:rsidR="00B97C4E" w:rsidRPr="00140702">
        <w:rPr>
          <w:rStyle w:val="Funotenzeichen"/>
          <w:rFonts w:ascii="Arial" w:hAnsi="Arial" w:cs="Arial"/>
        </w:rPr>
        <w:footnoteReference w:id="144"/>
      </w:r>
      <w:r w:rsidR="009465E4" w:rsidRPr="00140702">
        <w:rPr>
          <w:rFonts w:ascii="Arial" w:hAnsi="Arial" w:cs="Arial"/>
        </w:rPr>
        <w:t xml:space="preserve">  The reason for this is the composition of South Africa's government.</w:t>
      </w:r>
      <w:r w:rsidR="00B97C4E" w:rsidRPr="00140702">
        <w:rPr>
          <w:rStyle w:val="Funotenzeichen"/>
          <w:rFonts w:ascii="Arial" w:hAnsi="Arial" w:cs="Arial"/>
        </w:rPr>
        <w:footnoteReference w:id="145"/>
      </w:r>
      <w:r w:rsidR="009465E4" w:rsidRPr="00140702">
        <w:rPr>
          <w:rFonts w:ascii="Arial" w:hAnsi="Arial" w:cs="Arial"/>
        </w:rPr>
        <w:t xml:space="preserve"> The South African government consist out of 3 parties namely the African National Congress (ANC), the South African Communist Party (SACP) and the Congress </w:t>
      </w:r>
    </w:p>
    <w:p w:rsidR="001537E3" w:rsidRPr="00140702" w:rsidRDefault="00DD1E8B" w:rsidP="00140702">
      <w:pPr>
        <w:tabs>
          <w:tab w:val="center" w:pos="4513"/>
        </w:tabs>
        <w:contextualSpacing/>
        <w:jc w:val="both"/>
        <w:rPr>
          <w:rFonts w:ascii="Arial" w:hAnsi="Arial" w:cs="Arial"/>
        </w:rPr>
      </w:pPr>
      <w:r w:rsidRPr="00140702">
        <w:rPr>
          <w:rFonts w:ascii="Arial" w:hAnsi="Arial" w:cs="Arial"/>
        </w:rPr>
        <w:t>Of</w:t>
      </w:r>
      <w:r w:rsidR="009465E4" w:rsidRPr="00140702">
        <w:rPr>
          <w:rFonts w:ascii="Arial" w:hAnsi="Arial" w:cs="Arial"/>
        </w:rPr>
        <w:t xml:space="preserve"> South African Trade Unions (Cosatu).</w:t>
      </w:r>
      <w:r w:rsidR="00B97C4E" w:rsidRPr="00140702">
        <w:rPr>
          <w:rStyle w:val="Funotenzeichen"/>
          <w:rFonts w:ascii="Arial" w:hAnsi="Arial" w:cs="Arial"/>
        </w:rPr>
        <w:footnoteReference w:id="146"/>
      </w:r>
      <w:r w:rsidR="009465E4" w:rsidRPr="00140702">
        <w:rPr>
          <w:rFonts w:ascii="Arial" w:hAnsi="Arial" w:cs="Arial"/>
        </w:rPr>
        <w:t xml:space="preserve"> These 3 parties have a history of supporting the planned socialis</w:t>
      </w:r>
      <w:r w:rsidR="00390DE1" w:rsidRPr="00140702">
        <w:rPr>
          <w:rFonts w:ascii="Arial" w:hAnsi="Arial" w:cs="Arial"/>
        </w:rPr>
        <w:t>t</w:t>
      </w:r>
      <w:r w:rsidR="009465E4" w:rsidRPr="00140702">
        <w:rPr>
          <w:rFonts w:ascii="Arial" w:hAnsi="Arial" w:cs="Arial"/>
        </w:rPr>
        <w:t xml:space="preserve"> economic system.</w:t>
      </w:r>
      <w:r w:rsidR="00B97C4E" w:rsidRPr="00140702">
        <w:rPr>
          <w:rStyle w:val="Funotenzeichen"/>
          <w:rFonts w:ascii="Arial" w:hAnsi="Arial" w:cs="Arial"/>
        </w:rPr>
        <w:footnoteReference w:id="147"/>
      </w:r>
      <w:r w:rsidR="009465E4" w:rsidRPr="00140702">
        <w:rPr>
          <w:rFonts w:ascii="Arial" w:hAnsi="Arial" w:cs="Arial"/>
        </w:rPr>
        <w:t xml:space="preserve"> </w:t>
      </w:r>
    </w:p>
    <w:p w:rsidR="00DD1E8B" w:rsidRPr="00140702" w:rsidRDefault="00DD1E8B" w:rsidP="00140702">
      <w:pPr>
        <w:tabs>
          <w:tab w:val="center" w:pos="4513"/>
        </w:tabs>
        <w:contextualSpacing/>
        <w:jc w:val="both"/>
        <w:rPr>
          <w:rFonts w:ascii="Arial" w:hAnsi="Arial" w:cs="Arial"/>
        </w:rPr>
      </w:pPr>
    </w:p>
    <w:p w:rsidR="004B4EFA" w:rsidRPr="00140702" w:rsidRDefault="009465E4" w:rsidP="00140702">
      <w:pPr>
        <w:tabs>
          <w:tab w:val="center" w:pos="4513"/>
        </w:tabs>
        <w:contextualSpacing/>
        <w:jc w:val="both"/>
        <w:rPr>
          <w:rFonts w:ascii="Arial" w:hAnsi="Arial" w:cs="Arial"/>
        </w:rPr>
      </w:pPr>
      <w:r w:rsidRPr="00140702">
        <w:rPr>
          <w:rFonts w:ascii="Arial" w:hAnsi="Arial" w:cs="Arial"/>
        </w:rPr>
        <w:t xml:space="preserve">Nevertheless, South Africa's </w:t>
      </w:r>
      <w:r w:rsidR="00390DE1" w:rsidRPr="00140702">
        <w:rPr>
          <w:rFonts w:ascii="Arial" w:hAnsi="Arial" w:cs="Arial"/>
        </w:rPr>
        <w:t xml:space="preserve">current </w:t>
      </w:r>
      <w:r w:rsidRPr="00140702">
        <w:rPr>
          <w:rFonts w:ascii="Arial" w:hAnsi="Arial" w:cs="Arial"/>
        </w:rPr>
        <w:t xml:space="preserve">economic system </w:t>
      </w:r>
      <w:r w:rsidR="00390DE1" w:rsidRPr="00140702">
        <w:rPr>
          <w:rFonts w:ascii="Arial" w:hAnsi="Arial" w:cs="Arial"/>
        </w:rPr>
        <w:t>is nearer to that of the market system even though it contains several elements of the planned economic system.</w:t>
      </w:r>
      <w:r w:rsidR="00B97C4E" w:rsidRPr="00140702">
        <w:rPr>
          <w:rStyle w:val="Funotenzeichen"/>
          <w:rFonts w:ascii="Arial" w:hAnsi="Arial" w:cs="Arial"/>
        </w:rPr>
        <w:footnoteReference w:id="148"/>
      </w:r>
      <w:r w:rsidR="00390DE1" w:rsidRPr="00140702">
        <w:rPr>
          <w:rFonts w:ascii="Arial" w:hAnsi="Arial" w:cs="Arial"/>
        </w:rPr>
        <w:t xml:space="preserve"> Accordingly, it is held that the</w:t>
      </w:r>
      <w:r w:rsidR="003151A7" w:rsidRPr="00140702">
        <w:rPr>
          <w:rFonts w:ascii="Arial" w:hAnsi="Arial" w:cs="Arial"/>
        </w:rPr>
        <w:t xml:space="preserve"> correct delineation </w:t>
      </w:r>
      <w:r w:rsidR="00B97C4E" w:rsidRPr="00140702">
        <w:rPr>
          <w:rFonts w:ascii="Arial" w:hAnsi="Arial" w:cs="Arial"/>
        </w:rPr>
        <w:t>for South Africa's economic system is that o</w:t>
      </w:r>
      <w:r w:rsidR="00390DE1" w:rsidRPr="00140702">
        <w:rPr>
          <w:rFonts w:ascii="Arial" w:hAnsi="Arial" w:cs="Arial"/>
        </w:rPr>
        <w:t>f</w:t>
      </w:r>
      <w:r w:rsidR="00B97C4E" w:rsidRPr="00140702">
        <w:rPr>
          <w:rFonts w:ascii="Arial" w:hAnsi="Arial" w:cs="Arial"/>
        </w:rPr>
        <w:t xml:space="preserve"> the </w:t>
      </w:r>
      <w:r w:rsidR="00390DE1" w:rsidRPr="00140702">
        <w:rPr>
          <w:rFonts w:ascii="Arial" w:hAnsi="Arial" w:cs="Arial"/>
        </w:rPr>
        <w:t>market</w:t>
      </w:r>
      <w:r w:rsidR="00B97C4E" w:rsidRPr="00140702">
        <w:rPr>
          <w:rFonts w:ascii="Arial" w:hAnsi="Arial" w:cs="Arial"/>
        </w:rPr>
        <w:t xml:space="preserve"> system</w:t>
      </w:r>
      <w:r w:rsidR="00502C82" w:rsidRPr="00140702">
        <w:rPr>
          <w:rFonts w:ascii="Arial" w:hAnsi="Arial" w:cs="Arial"/>
        </w:rPr>
        <w:t xml:space="preserve"> albeit imperfectly competitive</w:t>
      </w:r>
      <w:r w:rsidR="00390DE1" w:rsidRPr="00140702">
        <w:rPr>
          <w:rFonts w:ascii="Arial" w:hAnsi="Arial" w:cs="Arial"/>
        </w:rPr>
        <w:t>.</w:t>
      </w:r>
      <w:r w:rsidR="00B97C4E" w:rsidRPr="00140702">
        <w:rPr>
          <w:rStyle w:val="Funotenzeichen"/>
          <w:rFonts w:ascii="Arial" w:hAnsi="Arial" w:cs="Arial"/>
        </w:rPr>
        <w:footnoteReference w:id="149"/>
      </w:r>
      <w:r w:rsidR="00390DE1" w:rsidRPr="00140702">
        <w:rPr>
          <w:rFonts w:ascii="Arial" w:hAnsi="Arial" w:cs="Arial"/>
        </w:rPr>
        <w:t xml:space="preserve"> </w:t>
      </w:r>
    </w:p>
    <w:p w:rsidR="00034901" w:rsidRPr="00140702" w:rsidRDefault="00034901" w:rsidP="00140702">
      <w:pPr>
        <w:contextualSpacing/>
        <w:jc w:val="both"/>
        <w:rPr>
          <w:rFonts w:ascii="Arial" w:hAnsi="Arial" w:cs="Arial"/>
          <w:u w:val="single"/>
        </w:rPr>
      </w:pPr>
    </w:p>
    <w:p w:rsidR="0064504F" w:rsidRPr="00140702" w:rsidRDefault="009B5AE8" w:rsidP="00140702">
      <w:pPr>
        <w:contextualSpacing/>
        <w:jc w:val="both"/>
        <w:rPr>
          <w:rFonts w:ascii="Arial" w:hAnsi="Arial" w:cs="Arial"/>
        </w:rPr>
      </w:pPr>
      <w:r w:rsidRPr="00140702">
        <w:rPr>
          <w:rFonts w:ascii="Arial" w:hAnsi="Arial" w:cs="Arial"/>
        </w:rPr>
        <w:t>Given that</w:t>
      </w:r>
      <w:r w:rsidR="00984CD8" w:rsidRPr="00140702">
        <w:rPr>
          <w:rFonts w:ascii="Arial" w:hAnsi="Arial" w:cs="Arial"/>
        </w:rPr>
        <w:t xml:space="preserve"> South Africa follows the market system, competition and thus also competition policy is essential for the efficient functioning of South Africa's markets. </w:t>
      </w:r>
      <w:r w:rsidRPr="00140702">
        <w:rPr>
          <w:rFonts w:ascii="Arial" w:hAnsi="Arial" w:cs="Arial"/>
        </w:rPr>
        <w:t xml:space="preserve">The focus of this paper is on the competition law part of competition policy and hence the economic policy part of competition policy is largely ignored for the purposes of this paper. </w:t>
      </w:r>
    </w:p>
    <w:p w:rsidR="009B5AE8" w:rsidRPr="00140702" w:rsidRDefault="009B5AE8" w:rsidP="00140702">
      <w:pPr>
        <w:contextualSpacing/>
        <w:jc w:val="both"/>
        <w:rPr>
          <w:rFonts w:ascii="Arial" w:hAnsi="Arial" w:cs="Arial"/>
        </w:rPr>
      </w:pPr>
    </w:p>
    <w:p w:rsidR="00EC4768" w:rsidRPr="00140702" w:rsidRDefault="009B5AE8" w:rsidP="00140702">
      <w:pPr>
        <w:contextualSpacing/>
        <w:jc w:val="both"/>
        <w:rPr>
          <w:rFonts w:ascii="Arial" w:hAnsi="Arial" w:cs="Arial"/>
        </w:rPr>
      </w:pPr>
      <w:r w:rsidRPr="00140702">
        <w:rPr>
          <w:rFonts w:ascii="Arial" w:hAnsi="Arial" w:cs="Arial"/>
        </w:rPr>
        <w:t>In South Africa the competition law part of competition policy is satisfied</w:t>
      </w:r>
      <w:r w:rsidR="001537E3" w:rsidRPr="00140702">
        <w:rPr>
          <w:rFonts w:ascii="Arial" w:hAnsi="Arial" w:cs="Arial"/>
        </w:rPr>
        <w:t xml:space="preserve"> by the Competition Act 89/1998 which </w:t>
      </w:r>
      <w:r w:rsidR="00E02173" w:rsidRPr="00140702">
        <w:rPr>
          <w:rFonts w:ascii="Arial" w:hAnsi="Arial" w:cs="Arial"/>
        </w:rPr>
        <w:t>aspires</w:t>
      </w:r>
      <w:r w:rsidR="001537E3" w:rsidRPr="00140702">
        <w:rPr>
          <w:rFonts w:ascii="Arial" w:hAnsi="Arial" w:cs="Arial"/>
        </w:rPr>
        <w:t xml:space="preserve"> to maintain and promote competition </w:t>
      </w:r>
      <w:r w:rsidR="00643B36" w:rsidRPr="00140702">
        <w:rPr>
          <w:rFonts w:ascii="Arial" w:hAnsi="Arial" w:cs="Arial"/>
        </w:rPr>
        <w:t>within</w:t>
      </w:r>
      <w:r w:rsidR="001537E3" w:rsidRPr="00140702">
        <w:rPr>
          <w:rFonts w:ascii="Arial" w:hAnsi="Arial" w:cs="Arial"/>
        </w:rPr>
        <w:t xml:space="preserve"> the republic of South Africa.</w:t>
      </w:r>
      <w:r w:rsidR="00DD1E8B" w:rsidRPr="00140702">
        <w:rPr>
          <w:rStyle w:val="Funotenzeichen"/>
          <w:rFonts w:ascii="Arial" w:hAnsi="Arial" w:cs="Arial"/>
        </w:rPr>
        <w:footnoteReference w:id="150"/>
      </w:r>
      <w:r w:rsidR="001537E3" w:rsidRPr="00140702">
        <w:rPr>
          <w:rFonts w:ascii="Arial" w:hAnsi="Arial" w:cs="Arial"/>
        </w:rPr>
        <w:t xml:space="preserve"> In other words the Competition Act</w:t>
      </w:r>
      <w:r w:rsidR="001537E3" w:rsidRPr="00140702">
        <w:rPr>
          <w:rStyle w:val="Funotenzeichen"/>
          <w:rFonts w:ascii="Arial" w:hAnsi="Arial" w:cs="Arial"/>
        </w:rPr>
        <w:footnoteReference w:id="151"/>
      </w:r>
      <w:r w:rsidR="00752C46" w:rsidRPr="00140702">
        <w:rPr>
          <w:rFonts w:ascii="Arial" w:hAnsi="Arial" w:cs="Arial"/>
        </w:rPr>
        <w:t xml:space="preserve"> regulates the abuse of market power</w:t>
      </w:r>
      <w:r w:rsidR="00643B36" w:rsidRPr="00140702">
        <w:rPr>
          <w:rFonts w:ascii="Arial" w:hAnsi="Arial" w:cs="Arial"/>
        </w:rPr>
        <w:t>.</w:t>
      </w:r>
      <w:r w:rsidR="00643B36" w:rsidRPr="00140702">
        <w:rPr>
          <w:rStyle w:val="Funotenzeichen"/>
          <w:rFonts w:ascii="Arial" w:hAnsi="Arial" w:cs="Arial"/>
        </w:rPr>
        <w:footnoteReference w:id="152"/>
      </w:r>
      <w:r w:rsidR="00E02173" w:rsidRPr="00140702">
        <w:rPr>
          <w:rFonts w:ascii="Arial" w:hAnsi="Arial" w:cs="Arial"/>
        </w:rPr>
        <w:t xml:space="preserve"> This is the same as saying that the Competition Act</w:t>
      </w:r>
      <w:r w:rsidR="00E02173" w:rsidRPr="00140702">
        <w:rPr>
          <w:rStyle w:val="Funotenzeichen"/>
          <w:rFonts w:ascii="Arial" w:hAnsi="Arial" w:cs="Arial"/>
        </w:rPr>
        <w:footnoteReference w:id="153"/>
      </w:r>
      <w:r w:rsidR="00E02173" w:rsidRPr="00140702">
        <w:rPr>
          <w:rFonts w:ascii="Arial" w:hAnsi="Arial" w:cs="Arial"/>
        </w:rPr>
        <w:t xml:space="preserve"> regulates mo</w:t>
      </w:r>
      <w:r w:rsidR="00CD69C8" w:rsidRPr="00140702">
        <w:rPr>
          <w:rFonts w:ascii="Arial" w:hAnsi="Arial" w:cs="Arial"/>
        </w:rPr>
        <w:t>nopoly conduct.</w:t>
      </w:r>
    </w:p>
    <w:p w:rsidR="00277F80" w:rsidRDefault="00277F80" w:rsidP="00140702">
      <w:pPr>
        <w:contextualSpacing/>
        <w:jc w:val="both"/>
        <w:rPr>
          <w:rFonts w:ascii="Arial" w:hAnsi="Arial" w:cs="Arial"/>
          <w:b/>
        </w:rPr>
      </w:pPr>
    </w:p>
    <w:p w:rsidR="00CE5BD5" w:rsidRPr="00140702" w:rsidRDefault="00CE5BD5" w:rsidP="00140702">
      <w:pPr>
        <w:contextualSpacing/>
        <w:jc w:val="both"/>
        <w:rPr>
          <w:rFonts w:ascii="Arial" w:hAnsi="Arial" w:cs="Arial"/>
          <w:b/>
        </w:rPr>
      </w:pPr>
      <w:r w:rsidRPr="00140702">
        <w:rPr>
          <w:rFonts w:ascii="Arial" w:hAnsi="Arial" w:cs="Arial"/>
          <w:b/>
        </w:rPr>
        <w:t>2.</w:t>
      </w:r>
      <w:r w:rsidR="00D126BF" w:rsidRPr="00140702">
        <w:rPr>
          <w:rFonts w:ascii="Arial" w:hAnsi="Arial" w:cs="Arial"/>
          <w:b/>
        </w:rPr>
        <w:t>3</w:t>
      </w:r>
      <w:r w:rsidRPr="00140702">
        <w:rPr>
          <w:rFonts w:ascii="Arial" w:hAnsi="Arial" w:cs="Arial"/>
          <w:b/>
        </w:rPr>
        <w:t xml:space="preserve"> T</w:t>
      </w:r>
      <w:r w:rsidR="003B29C4" w:rsidRPr="00140702">
        <w:rPr>
          <w:rFonts w:ascii="Arial" w:hAnsi="Arial" w:cs="Arial"/>
          <w:b/>
        </w:rPr>
        <w:t>he Historical development of Monopoly regulation in South Africa</w:t>
      </w:r>
      <w:r w:rsidRPr="00140702">
        <w:rPr>
          <w:rFonts w:ascii="Arial" w:hAnsi="Arial" w:cs="Arial"/>
          <w:b/>
        </w:rPr>
        <w:t>.</w:t>
      </w:r>
      <w:r w:rsidRPr="00140702">
        <w:rPr>
          <w:rStyle w:val="Funotenzeichen"/>
          <w:rFonts w:ascii="Arial" w:hAnsi="Arial" w:cs="Arial"/>
        </w:rPr>
        <w:footnoteReference w:id="154"/>
      </w:r>
    </w:p>
    <w:p w:rsidR="00277F80" w:rsidRDefault="00277F80" w:rsidP="00140702">
      <w:pPr>
        <w:contextualSpacing/>
        <w:jc w:val="both"/>
        <w:rPr>
          <w:rFonts w:ascii="Arial" w:hAnsi="Arial" w:cs="Arial"/>
        </w:rPr>
      </w:pPr>
    </w:p>
    <w:p w:rsidR="009B5AE8" w:rsidRPr="00140702" w:rsidRDefault="003B29C4" w:rsidP="00140702">
      <w:pPr>
        <w:contextualSpacing/>
        <w:jc w:val="both"/>
        <w:rPr>
          <w:rFonts w:ascii="Arial" w:hAnsi="Arial" w:cs="Arial"/>
        </w:rPr>
      </w:pPr>
      <w:r w:rsidRPr="00140702">
        <w:rPr>
          <w:rFonts w:ascii="Arial" w:hAnsi="Arial" w:cs="Arial"/>
        </w:rPr>
        <w:t xml:space="preserve">2.3.1 </w:t>
      </w:r>
      <w:r w:rsidR="00966DD5" w:rsidRPr="00140702">
        <w:rPr>
          <w:rFonts w:ascii="Arial" w:hAnsi="Arial" w:cs="Arial"/>
        </w:rPr>
        <w:t xml:space="preserve">The </w:t>
      </w:r>
      <w:r w:rsidR="00CC02F9" w:rsidRPr="00140702">
        <w:rPr>
          <w:rFonts w:ascii="Arial" w:hAnsi="Arial" w:cs="Arial"/>
        </w:rPr>
        <w:t xml:space="preserve">South African </w:t>
      </w:r>
      <w:r w:rsidRPr="00140702">
        <w:rPr>
          <w:rFonts w:ascii="Arial" w:hAnsi="Arial" w:cs="Arial"/>
        </w:rPr>
        <w:t>Common law</w:t>
      </w:r>
    </w:p>
    <w:p w:rsidR="004C3159" w:rsidRPr="00140702" w:rsidRDefault="004C3159" w:rsidP="00140702">
      <w:pPr>
        <w:contextualSpacing/>
        <w:jc w:val="both"/>
        <w:rPr>
          <w:rFonts w:ascii="Arial" w:hAnsi="Arial" w:cs="Arial"/>
        </w:rPr>
      </w:pPr>
    </w:p>
    <w:p w:rsidR="003B29C4" w:rsidRPr="00140702" w:rsidRDefault="003B29C4" w:rsidP="00140702">
      <w:pPr>
        <w:contextualSpacing/>
        <w:jc w:val="both"/>
        <w:rPr>
          <w:rFonts w:ascii="Arial" w:hAnsi="Arial" w:cs="Arial"/>
        </w:rPr>
      </w:pPr>
      <w:r w:rsidRPr="00140702">
        <w:rPr>
          <w:rFonts w:ascii="Arial" w:hAnsi="Arial" w:cs="Arial"/>
        </w:rPr>
        <w:t>2.3.</w:t>
      </w:r>
      <w:r w:rsidR="00A57330" w:rsidRPr="00140702">
        <w:rPr>
          <w:rFonts w:ascii="Arial" w:hAnsi="Arial" w:cs="Arial"/>
        </w:rPr>
        <w:t>1</w:t>
      </w:r>
      <w:r w:rsidRPr="00140702">
        <w:rPr>
          <w:rFonts w:ascii="Arial" w:hAnsi="Arial" w:cs="Arial"/>
        </w:rPr>
        <w:t>.</w:t>
      </w:r>
      <w:r w:rsidR="000E39CE" w:rsidRPr="00140702">
        <w:rPr>
          <w:rFonts w:ascii="Arial" w:hAnsi="Arial" w:cs="Arial"/>
        </w:rPr>
        <w:t>1</w:t>
      </w:r>
      <w:r w:rsidRPr="00140702">
        <w:rPr>
          <w:rFonts w:ascii="Arial" w:hAnsi="Arial" w:cs="Arial"/>
        </w:rPr>
        <w:t xml:space="preserve"> </w:t>
      </w:r>
      <w:r w:rsidR="00A57330" w:rsidRPr="00140702">
        <w:rPr>
          <w:rFonts w:ascii="Arial" w:hAnsi="Arial" w:cs="Arial"/>
        </w:rPr>
        <w:t xml:space="preserve">Monopoly </w:t>
      </w:r>
      <w:r w:rsidR="000E39CE" w:rsidRPr="00140702">
        <w:rPr>
          <w:rFonts w:ascii="Arial" w:hAnsi="Arial" w:cs="Arial"/>
        </w:rPr>
        <w:t>regulation under Roman</w:t>
      </w:r>
      <w:r w:rsidRPr="00140702">
        <w:rPr>
          <w:rFonts w:ascii="Arial" w:hAnsi="Arial" w:cs="Arial"/>
        </w:rPr>
        <w:t xml:space="preserve"> </w:t>
      </w:r>
      <w:r w:rsidR="000E39CE" w:rsidRPr="00140702">
        <w:rPr>
          <w:rFonts w:ascii="Arial" w:hAnsi="Arial" w:cs="Arial"/>
        </w:rPr>
        <w:t>criminal law</w:t>
      </w:r>
    </w:p>
    <w:p w:rsidR="00BE4D7F" w:rsidRPr="00140702" w:rsidRDefault="00CC02F9" w:rsidP="00140702">
      <w:pPr>
        <w:contextualSpacing/>
        <w:jc w:val="both"/>
        <w:rPr>
          <w:rFonts w:ascii="Arial" w:hAnsi="Arial" w:cs="Arial"/>
        </w:rPr>
      </w:pPr>
      <w:r w:rsidRPr="00140702">
        <w:rPr>
          <w:rFonts w:ascii="Arial" w:hAnsi="Arial" w:cs="Arial"/>
        </w:rPr>
        <w:t xml:space="preserve">The first attempt to regulate monopoly was made by the </w:t>
      </w:r>
      <w:r w:rsidR="006A05E6" w:rsidRPr="00140702">
        <w:rPr>
          <w:rFonts w:ascii="Arial" w:hAnsi="Arial" w:cs="Arial"/>
        </w:rPr>
        <w:t>Roman Empire</w:t>
      </w:r>
      <w:r w:rsidR="0051542F" w:rsidRPr="00140702">
        <w:rPr>
          <w:rFonts w:ascii="Arial" w:hAnsi="Arial" w:cs="Arial"/>
        </w:rPr>
        <w:t xml:space="preserve"> some 2000 years ago</w:t>
      </w:r>
      <w:r w:rsidR="00464920" w:rsidRPr="00140702">
        <w:rPr>
          <w:rFonts w:ascii="Arial" w:hAnsi="Arial" w:cs="Arial"/>
        </w:rPr>
        <w:t>.</w:t>
      </w:r>
      <w:r w:rsidR="000D3FFF" w:rsidRPr="00140702">
        <w:rPr>
          <w:rStyle w:val="Funotenzeichen"/>
          <w:rFonts w:ascii="Arial" w:hAnsi="Arial" w:cs="Arial"/>
        </w:rPr>
        <w:footnoteReference w:id="155"/>
      </w:r>
      <w:r w:rsidR="00464920" w:rsidRPr="00140702">
        <w:rPr>
          <w:rFonts w:ascii="Arial" w:hAnsi="Arial" w:cs="Arial"/>
        </w:rPr>
        <w:t xml:space="preserve"> The Romans sought to regulate monopoly through </w:t>
      </w:r>
      <w:r w:rsidR="0051542F" w:rsidRPr="00140702">
        <w:rPr>
          <w:rFonts w:ascii="Arial" w:hAnsi="Arial" w:cs="Arial"/>
        </w:rPr>
        <w:t xml:space="preserve">the use of </w:t>
      </w:r>
      <w:r w:rsidR="00464920" w:rsidRPr="00140702">
        <w:rPr>
          <w:rFonts w:ascii="Arial" w:hAnsi="Arial" w:cs="Arial"/>
        </w:rPr>
        <w:t xml:space="preserve">criminal </w:t>
      </w:r>
      <w:r w:rsidR="006A05E6" w:rsidRPr="00140702">
        <w:rPr>
          <w:rFonts w:ascii="Arial" w:hAnsi="Arial" w:cs="Arial"/>
        </w:rPr>
        <w:t>sanctions</w:t>
      </w:r>
      <w:r w:rsidR="0051542F" w:rsidRPr="00140702">
        <w:rPr>
          <w:rFonts w:ascii="Arial" w:hAnsi="Arial" w:cs="Arial"/>
        </w:rPr>
        <w:t>.</w:t>
      </w:r>
      <w:r w:rsidR="0051542F" w:rsidRPr="00140702">
        <w:rPr>
          <w:rStyle w:val="Funotenzeichen"/>
          <w:rFonts w:ascii="Arial" w:hAnsi="Arial" w:cs="Arial"/>
        </w:rPr>
        <w:footnoteReference w:id="156"/>
      </w:r>
      <w:r w:rsidR="0051542F" w:rsidRPr="00140702">
        <w:rPr>
          <w:rFonts w:ascii="Arial" w:hAnsi="Arial" w:cs="Arial"/>
        </w:rPr>
        <w:t xml:space="preserve"> </w:t>
      </w:r>
    </w:p>
    <w:p w:rsidR="00BE4D7F" w:rsidRPr="00140702" w:rsidRDefault="00BE4D7F" w:rsidP="00140702">
      <w:pPr>
        <w:contextualSpacing/>
        <w:jc w:val="both"/>
        <w:rPr>
          <w:rFonts w:ascii="Arial" w:hAnsi="Arial" w:cs="Arial"/>
        </w:rPr>
      </w:pPr>
    </w:p>
    <w:p w:rsidR="00B44E0D" w:rsidRPr="00140702" w:rsidRDefault="0051542F" w:rsidP="00140702">
      <w:pPr>
        <w:contextualSpacing/>
        <w:jc w:val="both"/>
        <w:rPr>
          <w:rFonts w:ascii="Arial" w:hAnsi="Arial" w:cs="Arial"/>
        </w:rPr>
      </w:pPr>
      <w:r w:rsidRPr="00140702">
        <w:rPr>
          <w:rFonts w:ascii="Arial" w:hAnsi="Arial" w:cs="Arial"/>
        </w:rPr>
        <w:t xml:space="preserve">The first of these laws prohibiting monopolies </w:t>
      </w:r>
      <w:r w:rsidR="00BE4D7F" w:rsidRPr="00140702">
        <w:rPr>
          <w:rFonts w:ascii="Arial" w:hAnsi="Arial" w:cs="Arial"/>
        </w:rPr>
        <w:t xml:space="preserve">was </w:t>
      </w:r>
      <w:r w:rsidRPr="00140702">
        <w:rPr>
          <w:rFonts w:ascii="Arial" w:hAnsi="Arial" w:cs="Arial"/>
        </w:rPr>
        <w:t xml:space="preserve">the so called </w:t>
      </w:r>
      <w:r w:rsidRPr="00140702">
        <w:rPr>
          <w:rFonts w:ascii="Arial" w:hAnsi="Arial" w:cs="Arial"/>
          <w:i/>
        </w:rPr>
        <w:t xml:space="preserve">Lex Julia de </w:t>
      </w:r>
      <w:r w:rsidR="008B19B3" w:rsidRPr="00140702">
        <w:rPr>
          <w:rFonts w:ascii="Arial" w:hAnsi="Arial" w:cs="Arial"/>
          <w:i/>
        </w:rPr>
        <w:t>annona</w:t>
      </w:r>
      <w:r w:rsidR="008B19B3" w:rsidRPr="00140702">
        <w:rPr>
          <w:rFonts w:ascii="Arial" w:hAnsi="Arial" w:cs="Arial"/>
        </w:rPr>
        <w:t>.</w:t>
      </w:r>
      <w:r w:rsidR="009F7B23" w:rsidRPr="00140702">
        <w:rPr>
          <w:rStyle w:val="Funotenzeichen"/>
          <w:rFonts w:ascii="Arial" w:hAnsi="Arial" w:cs="Arial"/>
        </w:rPr>
        <w:footnoteReference w:id="157"/>
      </w:r>
      <w:r w:rsidR="00422A07" w:rsidRPr="00140702">
        <w:rPr>
          <w:rFonts w:ascii="Arial" w:hAnsi="Arial" w:cs="Arial"/>
        </w:rPr>
        <w:t xml:space="preserve"> The </w:t>
      </w:r>
      <w:r w:rsidR="00422A07" w:rsidRPr="00140702">
        <w:rPr>
          <w:rFonts w:ascii="Arial" w:hAnsi="Arial" w:cs="Arial"/>
          <w:i/>
        </w:rPr>
        <w:t xml:space="preserve">Lex Julia de </w:t>
      </w:r>
      <w:r w:rsidR="008B19B3" w:rsidRPr="00140702">
        <w:rPr>
          <w:rFonts w:ascii="Arial" w:hAnsi="Arial" w:cs="Arial"/>
          <w:i/>
        </w:rPr>
        <w:t xml:space="preserve">annona </w:t>
      </w:r>
      <w:r w:rsidR="008B19B3" w:rsidRPr="00140702">
        <w:rPr>
          <w:rFonts w:ascii="Arial" w:hAnsi="Arial" w:cs="Arial"/>
        </w:rPr>
        <w:t>was</w:t>
      </w:r>
      <w:r w:rsidR="006A05E6" w:rsidRPr="00140702">
        <w:rPr>
          <w:rFonts w:ascii="Arial" w:hAnsi="Arial" w:cs="Arial"/>
        </w:rPr>
        <w:t xml:space="preserve"> applicable to individual</w:t>
      </w:r>
      <w:r w:rsidR="00BE4D7F" w:rsidRPr="00140702">
        <w:rPr>
          <w:rFonts w:ascii="Arial" w:hAnsi="Arial" w:cs="Arial"/>
        </w:rPr>
        <w:t>s</w:t>
      </w:r>
      <w:r w:rsidR="006A05E6" w:rsidRPr="00140702">
        <w:rPr>
          <w:rFonts w:ascii="Arial" w:hAnsi="Arial" w:cs="Arial"/>
        </w:rPr>
        <w:t xml:space="preserve"> </w:t>
      </w:r>
      <w:r w:rsidR="00422A07" w:rsidRPr="00140702">
        <w:rPr>
          <w:rFonts w:ascii="Arial" w:hAnsi="Arial" w:cs="Arial"/>
        </w:rPr>
        <w:t xml:space="preserve">or a </w:t>
      </w:r>
      <w:r w:rsidR="006A05E6" w:rsidRPr="00140702">
        <w:rPr>
          <w:rFonts w:ascii="Arial" w:hAnsi="Arial" w:cs="Arial"/>
        </w:rPr>
        <w:t>group of individual</w:t>
      </w:r>
      <w:r w:rsidR="00422A07" w:rsidRPr="00140702">
        <w:rPr>
          <w:rFonts w:ascii="Arial" w:hAnsi="Arial" w:cs="Arial"/>
        </w:rPr>
        <w:t>s</w:t>
      </w:r>
      <w:r w:rsidR="00FD0F3F" w:rsidRPr="00140702">
        <w:rPr>
          <w:rFonts w:ascii="Arial" w:hAnsi="Arial" w:cs="Arial"/>
        </w:rPr>
        <w:t xml:space="preserve"> acting </w:t>
      </w:r>
      <w:r w:rsidR="006A05E6" w:rsidRPr="00140702">
        <w:rPr>
          <w:rFonts w:ascii="Arial" w:hAnsi="Arial" w:cs="Arial"/>
        </w:rPr>
        <w:t>collectively</w:t>
      </w:r>
      <w:r w:rsidR="00422A07" w:rsidRPr="00140702">
        <w:rPr>
          <w:rFonts w:ascii="Arial" w:hAnsi="Arial" w:cs="Arial"/>
        </w:rPr>
        <w:t xml:space="preserve"> to raise the price of corn</w:t>
      </w:r>
      <w:r w:rsidR="0024235C" w:rsidRPr="00140702">
        <w:rPr>
          <w:rFonts w:ascii="Arial" w:hAnsi="Arial" w:cs="Arial"/>
        </w:rPr>
        <w:t xml:space="preserve"> in an artificial manner</w:t>
      </w:r>
      <w:r w:rsidR="00422A07" w:rsidRPr="00140702">
        <w:rPr>
          <w:rFonts w:ascii="Arial" w:hAnsi="Arial" w:cs="Arial"/>
        </w:rPr>
        <w:t>.</w:t>
      </w:r>
      <w:r w:rsidR="00422A07" w:rsidRPr="00140702">
        <w:rPr>
          <w:rStyle w:val="Funotenzeichen"/>
          <w:rFonts w:ascii="Arial" w:hAnsi="Arial" w:cs="Arial"/>
        </w:rPr>
        <w:footnoteReference w:id="158"/>
      </w:r>
      <w:r w:rsidR="00422A07" w:rsidRPr="00140702">
        <w:rPr>
          <w:rFonts w:ascii="Arial" w:hAnsi="Arial" w:cs="Arial"/>
        </w:rPr>
        <w:t xml:space="preserve"> </w:t>
      </w:r>
      <w:r w:rsidR="00276B8A" w:rsidRPr="00140702">
        <w:rPr>
          <w:rFonts w:ascii="Arial" w:hAnsi="Arial" w:cs="Arial"/>
        </w:rPr>
        <w:t xml:space="preserve">The catalyst for the writing and implementation of this </w:t>
      </w:r>
      <w:r w:rsidR="0024235C" w:rsidRPr="00140702">
        <w:rPr>
          <w:rFonts w:ascii="Arial" w:hAnsi="Arial" w:cs="Arial"/>
        </w:rPr>
        <w:t>legislation</w:t>
      </w:r>
      <w:r w:rsidR="00276B8A" w:rsidRPr="00140702">
        <w:rPr>
          <w:rFonts w:ascii="Arial" w:hAnsi="Arial" w:cs="Arial"/>
        </w:rPr>
        <w:t xml:space="preserve"> was traders who bought very large quantities of corn and who then kept from selling their corn until a time when they could essentially sell it free from competition and hence increase the price of their corn dramatically.</w:t>
      </w:r>
      <w:r w:rsidR="00DF79ED" w:rsidRPr="00140702">
        <w:rPr>
          <w:rStyle w:val="Funotenzeichen"/>
          <w:rFonts w:ascii="Arial" w:hAnsi="Arial" w:cs="Arial"/>
        </w:rPr>
        <w:footnoteReference w:id="159"/>
      </w:r>
      <w:r w:rsidR="00276B8A" w:rsidRPr="00140702">
        <w:rPr>
          <w:rFonts w:ascii="Arial" w:hAnsi="Arial" w:cs="Arial"/>
        </w:rPr>
        <w:t xml:space="preserve"> This indicates that the Roman </w:t>
      </w:r>
      <w:r w:rsidR="00DA4D36" w:rsidRPr="00140702">
        <w:rPr>
          <w:rFonts w:ascii="Arial" w:hAnsi="Arial" w:cs="Arial"/>
        </w:rPr>
        <w:t>traders were</w:t>
      </w:r>
      <w:r w:rsidR="00276B8A" w:rsidRPr="00140702">
        <w:rPr>
          <w:rFonts w:ascii="Arial" w:hAnsi="Arial" w:cs="Arial"/>
        </w:rPr>
        <w:t xml:space="preserve"> fully aware </w:t>
      </w:r>
      <w:r w:rsidR="00DF79ED" w:rsidRPr="00140702">
        <w:rPr>
          <w:rFonts w:ascii="Arial" w:hAnsi="Arial" w:cs="Arial"/>
        </w:rPr>
        <w:t>that they could use scarcity to gain monopoly power (market power) to dramatically increase prices.</w:t>
      </w:r>
      <w:r w:rsidR="00DF79ED" w:rsidRPr="00140702">
        <w:rPr>
          <w:rStyle w:val="Funotenzeichen"/>
          <w:rFonts w:ascii="Arial" w:hAnsi="Arial" w:cs="Arial"/>
        </w:rPr>
        <w:footnoteReference w:id="160"/>
      </w:r>
    </w:p>
    <w:p w:rsidR="00DE3842" w:rsidRPr="00140702" w:rsidRDefault="00DE3842" w:rsidP="00140702">
      <w:pPr>
        <w:contextualSpacing/>
        <w:jc w:val="both"/>
        <w:rPr>
          <w:rFonts w:ascii="Arial" w:hAnsi="Arial" w:cs="Arial"/>
        </w:rPr>
      </w:pPr>
    </w:p>
    <w:p w:rsidR="00B44E0D" w:rsidRPr="00140702" w:rsidRDefault="00DE3842" w:rsidP="00140702">
      <w:pPr>
        <w:contextualSpacing/>
        <w:jc w:val="both"/>
        <w:rPr>
          <w:rFonts w:ascii="Arial" w:hAnsi="Arial" w:cs="Arial"/>
        </w:rPr>
      </w:pPr>
      <w:r w:rsidRPr="00140702">
        <w:rPr>
          <w:rFonts w:ascii="Arial" w:hAnsi="Arial" w:cs="Arial"/>
        </w:rPr>
        <w:t xml:space="preserve">Despite the </w:t>
      </w:r>
      <w:r w:rsidRPr="00140702">
        <w:rPr>
          <w:rFonts w:ascii="Arial" w:hAnsi="Arial" w:cs="Arial"/>
          <w:i/>
        </w:rPr>
        <w:t xml:space="preserve">Lex Julia de annona </w:t>
      </w:r>
      <w:r w:rsidRPr="00140702">
        <w:rPr>
          <w:rFonts w:ascii="Arial" w:hAnsi="Arial" w:cs="Arial"/>
        </w:rPr>
        <w:t xml:space="preserve">monopoly spread throughout the </w:t>
      </w:r>
      <w:r w:rsidR="0024235C" w:rsidRPr="00140702">
        <w:rPr>
          <w:rFonts w:ascii="Arial" w:hAnsi="Arial" w:cs="Arial"/>
        </w:rPr>
        <w:t>Roman E</w:t>
      </w:r>
      <w:r w:rsidRPr="00140702">
        <w:rPr>
          <w:rFonts w:ascii="Arial" w:hAnsi="Arial" w:cs="Arial"/>
        </w:rPr>
        <w:t>mpire and also became practiced with regard to most food types and other goods used on a daily basis.</w:t>
      </w:r>
      <w:r w:rsidR="00C31963" w:rsidRPr="00140702">
        <w:rPr>
          <w:rStyle w:val="Funotenzeichen"/>
          <w:rFonts w:ascii="Arial" w:hAnsi="Arial" w:cs="Arial"/>
        </w:rPr>
        <w:footnoteReference w:id="161"/>
      </w:r>
      <w:r w:rsidRPr="00140702">
        <w:rPr>
          <w:rFonts w:ascii="Arial" w:hAnsi="Arial" w:cs="Arial"/>
        </w:rPr>
        <w:t xml:space="preserve"> In response to the spread of monopoly</w:t>
      </w:r>
      <w:r w:rsidR="0024235C" w:rsidRPr="00140702">
        <w:rPr>
          <w:rFonts w:ascii="Arial" w:hAnsi="Arial" w:cs="Arial"/>
        </w:rPr>
        <w:t xml:space="preserve"> conduct,</w:t>
      </w:r>
      <w:r w:rsidRPr="00140702">
        <w:rPr>
          <w:rFonts w:ascii="Arial" w:hAnsi="Arial" w:cs="Arial"/>
        </w:rPr>
        <w:t xml:space="preserve"> several decrees were promulgated which increased the sanctions imposed by </w:t>
      </w:r>
      <w:r w:rsidR="0024235C" w:rsidRPr="00140702">
        <w:rPr>
          <w:rFonts w:ascii="Arial" w:hAnsi="Arial" w:cs="Arial"/>
        </w:rPr>
        <w:t>the</w:t>
      </w:r>
      <w:r w:rsidRPr="00140702">
        <w:rPr>
          <w:rFonts w:ascii="Arial" w:hAnsi="Arial" w:cs="Arial"/>
        </w:rPr>
        <w:t xml:space="preserve"> </w:t>
      </w:r>
      <w:r w:rsidR="0024235C" w:rsidRPr="00140702">
        <w:rPr>
          <w:rFonts w:ascii="Arial" w:hAnsi="Arial" w:cs="Arial"/>
          <w:i/>
        </w:rPr>
        <w:t xml:space="preserve">Lex Julia de annona </w:t>
      </w:r>
      <w:r w:rsidRPr="00140702">
        <w:rPr>
          <w:rFonts w:ascii="Arial" w:hAnsi="Arial" w:cs="Arial"/>
        </w:rPr>
        <w:t>in order to</w:t>
      </w:r>
      <w:r w:rsidR="00C31963" w:rsidRPr="00140702">
        <w:rPr>
          <w:rFonts w:ascii="Arial" w:hAnsi="Arial" w:cs="Arial"/>
        </w:rPr>
        <w:t xml:space="preserve"> try and</w:t>
      </w:r>
      <w:r w:rsidRPr="00140702">
        <w:rPr>
          <w:rFonts w:ascii="Arial" w:hAnsi="Arial" w:cs="Arial"/>
        </w:rPr>
        <w:t xml:space="preserve"> stop monopoly</w:t>
      </w:r>
      <w:r w:rsidR="0024235C" w:rsidRPr="00140702">
        <w:rPr>
          <w:rFonts w:ascii="Arial" w:hAnsi="Arial" w:cs="Arial"/>
        </w:rPr>
        <w:t xml:space="preserve"> conduct</w:t>
      </w:r>
      <w:r w:rsidRPr="00140702">
        <w:rPr>
          <w:rFonts w:ascii="Arial" w:hAnsi="Arial" w:cs="Arial"/>
        </w:rPr>
        <w:t>.</w:t>
      </w:r>
      <w:r w:rsidR="00C31963" w:rsidRPr="00140702">
        <w:rPr>
          <w:rStyle w:val="Funotenzeichen"/>
          <w:rFonts w:ascii="Arial" w:hAnsi="Arial" w:cs="Arial"/>
        </w:rPr>
        <w:footnoteReference w:id="162"/>
      </w:r>
      <w:r w:rsidRPr="00140702">
        <w:rPr>
          <w:rFonts w:ascii="Arial" w:hAnsi="Arial" w:cs="Arial"/>
        </w:rPr>
        <w:t xml:space="preserve"> </w:t>
      </w:r>
      <w:r w:rsidR="00C31963" w:rsidRPr="00140702">
        <w:rPr>
          <w:rFonts w:ascii="Arial" w:hAnsi="Arial" w:cs="Arial"/>
        </w:rPr>
        <w:t xml:space="preserve">Despite the numerous attempts to bring monopoly </w:t>
      </w:r>
      <w:r w:rsidR="0024235C" w:rsidRPr="00140702">
        <w:rPr>
          <w:rFonts w:ascii="Arial" w:hAnsi="Arial" w:cs="Arial"/>
        </w:rPr>
        <w:t xml:space="preserve">conduct </w:t>
      </w:r>
      <w:r w:rsidR="00C31963" w:rsidRPr="00140702">
        <w:rPr>
          <w:rFonts w:ascii="Arial" w:hAnsi="Arial" w:cs="Arial"/>
        </w:rPr>
        <w:t>under control it had little or no effect on the spread of monopoly.</w:t>
      </w:r>
      <w:r w:rsidR="00C31963" w:rsidRPr="00140702">
        <w:rPr>
          <w:rStyle w:val="Funotenzeichen"/>
          <w:rFonts w:ascii="Arial" w:hAnsi="Arial" w:cs="Arial"/>
        </w:rPr>
        <w:footnoteReference w:id="163"/>
      </w:r>
      <w:r w:rsidR="00C31963" w:rsidRPr="00140702">
        <w:rPr>
          <w:rFonts w:ascii="Arial" w:hAnsi="Arial" w:cs="Arial"/>
        </w:rPr>
        <w:t xml:space="preserve"> </w:t>
      </w:r>
    </w:p>
    <w:p w:rsidR="0098762E" w:rsidRPr="00140702" w:rsidRDefault="0098762E" w:rsidP="00140702">
      <w:pPr>
        <w:contextualSpacing/>
        <w:jc w:val="both"/>
        <w:rPr>
          <w:rFonts w:ascii="Arial" w:hAnsi="Arial" w:cs="Arial"/>
        </w:rPr>
      </w:pPr>
    </w:p>
    <w:p w:rsidR="0098762E" w:rsidRPr="00140702" w:rsidRDefault="0098762E" w:rsidP="00140702">
      <w:pPr>
        <w:contextualSpacing/>
        <w:jc w:val="both"/>
        <w:rPr>
          <w:rFonts w:ascii="Arial" w:hAnsi="Arial" w:cs="Arial"/>
        </w:rPr>
      </w:pPr>
      <w:r w:rsidRPr="00140702">
        <w:rPr>
          <w:rFonts w:ascii="Arial" w:hAnsi="Arial" w:cs="Arial"/>
        </w:rPr>
        <w:t xml:space="preserve">Despite the oppressive nature of monopolies the states themselves became </w:t>
      </w:r>
      <w:r w:rsidR="00DC62B7" w:rsidRPr="00140702">
        <w:rPr>
          <w:rFonts w:ascii="Arial" w:hAnsi="Arial" w:cs="Arial"/>
        </w:rPr>
        <w:t xml:space="preserve">supporters thereof during the economic crises which threatened the Western part of the </w:t>
      </w:r>
      <w:r w:rsidR="0024235C" w:rsidRPr="00140702">
        <w:rPr>
          <w:rFonts w:ascii="Arial" w:hAnsi="Arial" w:cs="Arial"/>
        </w:rPr>
        <w:t xml:space="preserve">Roman </w:t>
      </w:r>
      <w:r w:rsidR="00DC62B7" w:rsidRPr="00140702">
        <w:rPr>
          <w:rFonts w:ascii="Arial" w:hAnsi="Arial" w:cs="Arial"/>
        </w:rPr>
        <w:t>Empire.</w:t>
      </w:r>
      <w:r w:rsidR="00AD1611" w:rsidRPr="00140702">
        <w:rPr>
          <w:rStyle w:val="Funotenzeichen"/>
          <w:rFonts w:ascii="Arial" w:hAnsi="Arial" w:cs="Arial"/>
        </w:rPr>
        <w:footnoteReference w:id="164"/>
      </w:r>
      <w:r w:rsidR="00DC62B7" w:rsidRPr="00140702">
        <w:rPr>
          <w:rFonts w:ascii="Arial" w:hAnsi="Arial" w:cs="Arial"/>
        </w:rPr>
        <w:t xml:space="preserve"> </w:t>
      </w:r>
      <w:r w:rsidR="00966DD5" w:rsidRPr="00140702">
        <w:rPr>
          <w:rFonts w:ascii="Arial" w:hAnsi="Arial" w:cs="Arial"/>
        </w:rPr>
        <w:t xml:space="preserve">The economic crisis convinced the state to </w:t>
      </w:r>
      <w:r w:rsidR="00DC62B7" w:rsidRPr="00140702">
        <w:rPr>
          <w:rFonts w:ascii="Arial" w:hAnsi="Arial" w:cs="Arial"/>
        </w:rPr>
        <w:t>s</w:t>
      </w:r>
      <w:r w:rsidR="00966DD5" w:rsidRPr="00140702">
        <w:rPr>
          <w:rFonts w:ascii="Arial" w:hAnsi="Arial" w:cs="Arial"/>
        </w:rPr>
        <w:t>e</w:t>
      </w:r>
      <w:r w:rsidR="00DC62B7" w:rsidRPr="00140702">
        <w:rPr>
          <w:rFonts w:ascii="Arial" w:hAnsi="Arial" w:cs="Arial"/>
        </w:rPr>
        <w:t>l</w:t>
      </w:r>
      <w:r w:rsidR="00966DD5" w:rsidRPr="00140702">
        <w:rPr>
          <w:rFonts w:ascii="Arial" w:hAnsi="Arial" w:cs="Arial"/>
        </w:rPr>
        <w:t>l</w:t>
      </w:r>
      <w:r w:rsidR="00DC62B7" w:rsidRPr="00140702">
        <w:rPr>
          <w:rFonts w:ascii="Arial" w:hAnsi="Arial" w:cs="Arial"/>
        </w:rPr>
        <w:t xml:space="preserve"> monopoly rights to traders as </w:t>
      </w:r>
      <w:r w:rsidR="00966DD5" w:rsidRPr="00140702">
        <w:rPr>
          <w:rFonts w:ascii="Arial" w:hAnsi="Arial" w:cs="Arial"/>
        </w:rPr>
        <w:t>the state</w:t>
      </w:r>
      <w:r w:rsidR="00DC62B7" w:rsidRPr="00140702">
        <w:rPr>
          <w:rFonts w:ascii="Arial" w:hAnsi="Arial" w:cs="Arial"/>
        </w:rPr>
        <w:t xml:space="preserve"> sought to replenish </w:t>
      </w:r>
      <w:r w:rsidR="00966DD5" w:rsidRPr="00140702">
        <w:rPr>
          <w:rFonts w:ascii="Arial" w:hAnsi="Arial" w:cs="Arial"/>
        </w:rPr>
        <w:t>its</w:t>
      </w:r>
      <w:r w:rsidR="00DC62B7" w:rsidRPr="00140702">
        <w:rPr>
          <w:rFonts w:ascii="Arial" w:hAnsi="Arial" w:cs="Arial"/>
        </w:rPr>
        <w:t xml:space="preserve"> treasuries and for all practical reasons the Roman Empire became organised by state protected monopolies.</w:t>
      </w:r>
      <w:r w:rsidR="00AD1611" w:rsidRPr="00140702">
        <w:rPr>
          <w:rStyle w:val="Funotenzeichen"/>
          <w:rFonts w:ascii="Arial" w:hAnsi="Arial" w:cs="Arial"/>
        </w:rPr>
        <w:footnoteReference w:id="165"/>
      </w:r>
      <w:r w:rsidR="00092AAB" w:rsidRPr="00140702">
        <w:rPr>
          <w:rFonts w:ascii="Arial" w:hAnsi="Arial" w:cs="Arial"/>
        </w:rPr>
        <w:t xml:space="preserve"> </w:t>
      </w:r>
      <w:r w:rsidR="00966DD5" w:rsidRPr="00140702">
        <w:rPr>
          <w:rFonts w:ascii="Arial" w:hAnsi="Arial" w:cs="Arial"/>
        </w:rPr>
        <w:t>Accordingly, t</w:t>
      </w:r>
      <w:r w:rsidR="00092AAB" w:rsidRPr="00140702">
        <w:rPr>
          <w:rFonts w:ascii="Arial" w:hAnsi="Arial" w:cs="Arial"/>
        </w:rPr>
        <w:t xml:space="preserve">he </w:t>
      </w:r>
      <w:r w:rsidR="00092AAB" w:rsidRPr="00140702">
        <w:rPr>
          <w:rFonts w:ascii="Arial" w:hAnsi="Arial" w:cs="Arial"/>
          <w:i/>
        </w:rPr>
        <w:t xml:space="preserve">Lex Julia de annona </w:t>
      </w:r>
      <w:r w:rsidR="00092AAB" w:rsidRPr="00140702">
        <w:rPr>
          <w:rFonts w:ascii="Arial" w:hAnsi="Arial" w:cs="Arial"/>
        </w:rPr>
        <w:t xml:space="preserve">for all practical </w:t>
      </w:r>
      <w:r w:rsidR="00C56888" w:rsidRPr="00140702">
        <w:rPr>
          <w:rFonts w:ascii="Arial" w:hAnsi="Arial" w:cs="Arial"/>
        </w:rPr>
        <w:t xml:space="preserve">reasons </w:t>
      </w:r>
      <w:r w:rsidR="00092AAB" w:rsidRPr="00140702">
        <w:rPr>
          <w:rFonts w:ascii="Arial" w:hAnsi="Arial" w:cs="Arial"/>
        </w:rPr>
        <w:t>fell into disuse.</w:t>
      </w:r>
      <w:r w:rsidR="00C56888" w:rsidRPr="00140702">
        <w:rPr>
          <w:rStyle w:val="Funotenzeichen"/>
          <w:rFonts w:ascii="Arial" w:hAnsi="Arial" w:cs="Arial"/>
        </w:rPr>
        <w:footnoteReference w:id="166"/>
      </w:r>
    </w:p>
    <w:p w:rsidR="00952C36" w:rsidRPr="00140702" w:rsidRDefault="00952C36" w:rsidP="00140702">
      <w:pPr>
        <w:contextualSpacing/>
        <w:jc w:val="both"/>
        <w:rPr>
          <w:rFonts w:ascii="Arial" w:hAnsi="Arial" w:cs="Arial"/>
        </w:rPr>
      </w:pPr>
    </w:p>
    <w:p w:rsidR="004119F8" w:rsidRPr="00140702" w:rsidRDefault="00952C36" w:rsidP="00140702">
      <w:pPr>
        <w:contextualSpacing/>
        <w:jc w:val="both"/>
        <w:rPr>
          <w:rFonts w:ascii="Arial" w:hAnsi="Arial" w:cs="Arial"/>
        </w:rPr>
      </w:pPr>
      <w:r w:rsidRPr="00140702">
        <w:rPr>
          <w:rFonts w:ascii="Arial" w:hAnsi="Arial" w:cs="Arial"/>
        </w:rPr>
        <w:t>By the beginning of the fourth century</w:t>
      </w:r>
      <w:r w:rsidR="0024235C" w:rsidRPr="00140702">
        <w:rPr>
          <w:rFonts w:ascii="Arial" w:hAnsi="Arial" w:cs="Arial"/>
        </w:rPr>
        <w:t>,</w:t>
      </w:r>
      <w:r w:rsidRPr="00140702">
        <w:rPr>
          <w:rFonts w:ascii="Arial" w:hAnsi="Arial" w:cs="Arial"/>
        </w:rPr>
        <w:t xml:space="preserve"> monopoly </w:t>
      </w:r>
      <w:r w:rsidR="00BE0F04" w:rsidRPr="00140702">
        <w:rPr>
          <w:rFonts w:ascii="Arial" w:hAnsi="Arial" w:cs="Arial"/>
        </w:rPr>
        <w:t xml:space="preserve">had impoverished the public to such an extent that the Roman emperor, Diocletian, </w:t>
      </w:r>
      <w:r w:rsidR="00881076" w:rsidRPr="00140702">
        <w:rPr>
          <w:rFonts w:ascii="Arial" w:hAnsi="Arial" w:cs="Arial"/>
        </w:rPr>
        <w:t xml:space="preserve">in 301 A.D. </w:t>
      </w:r>
      <w:r w:rsidR="00BE0F04" w:rsidRPr="00140702">
        <w:rPr>
          <w:rFonts w:ascii="Arial" w:hAnsi="Arial" w:cs="Arial"/>
        </w:rPr>
        <w:t>was forced to</w:t>
      </w:r>
      <w:r w:rsidR="007313BD" w:rsidRPr="00140702">
        <w:rPr>
          <w:rFonts w:ascii="Arial" w:hAnsi="Arial" w:cs="Arial"/>
        </w:rPr>
        <w:t xml:space="preserve"> promulgate an edict on price control.</w:t>
      </w:r>
      <w:r w:rsidR="007313BD" w:rsidRPr="00140702">
        <w:rPr>
          <w:rStyle w:val="Funotenzeichen"/>
          <w:rFonts w:ascii="Arial" w:hAnsi="Arial" w:cs="Arial"/>
        </w:rPr>
        <w:footnoteReference w:id="167"/>
      </w:r>
      <w:r w:rsidR="007313BD" w:rsidRPr="00140702">
        <w:rPr>
          <w:rFonts w:ascii="Arial" w:hAnsi="Arial" w:cs="Arial"/>
        </w:rPr>
        <w:t xml:space="preserve"> This edict placed ceiling (maximum) prices on various goods and made contravening this Edict punishable by death.</w:t>
      </w:r>
      <w:r w:rsidR="0013163F" w:rsidRPr="00140702">
        <w:rPr>
          <w:rStyle w:val="Funotenzeichen"/>
          <w:rFonts w:ascii="Arial" w:hAnsi="Arial" w:cs="Arial"/>
        </w:rPr>
        <w:footnoteReference w:id="168"/>
      </w:r>
      <w:r w:rsidR="007313BD" w:rsidRPr="00140702">
        <w:rPr>
          <w:rFonts w:ascii="Arial" w:hAnsi="Arial" w:cs="Arial"/>
        </w:rPr>
        <w:t xml:space="preserve"> Alas, Diocletian abdicated in 305 A.D. and this Edict</w:t>
      </w:r>
      <w:r w:rsidR="008E4003" w:rsidRPr="00140702">
        <w:rPr>
          <w:rFonts w:ascii="Arial" w:hAnsi="Arial" w:cs="Arial"/>
        </w:rPr>
        <w:t xml:space="preserve"> on price control</w:t>
      </w:r>
      <w:r w:rsidR="007313BD" w:rsidRPr="00140702">
        <w:rPr>
          <w:rFonts w:ascii="Arial" w:hAnsi="Arial" w:cs="Arial"/>
        </w:rPr>
        <w:t xml:space="preserve"> was repealed immediately.</w:t>
      </w:r>
      <w:r w:rsidR="007313BD" w:rsidRPr="00140702">
        <w:rPr>
          <w:rStyle w:val="Funotenzeichen"/>
          <w:rFonts w:ascii="Arial" w:hAnsi="Arial" w:cs="Arial"/>
        </w:rPr>
        <w:footnoteReference w:id="169"/>
      </w:r>
      <w:r w:rsidR="007313BD" w:rsidRPr="00140702">
        <w:rPr>
          <w:rFonts w:ascii="Arial" w:hAnsi="Arial" w:cs="Arial"/>
        </w:rPr>
        <w:t xml:space="preserve"> </w:t>
      </w:r>
      <w:r w:rsidR="000A2251" w:rsidRPr="00140702">
        <w:rPr>
          <w:rFonts w:ascii="Arial" w:hAnsi="Arial" w:cs="Arial"/>
        </w:rPr>
        <w:t>F</w:t>
      </w:r>
      <w:r w:rsidR="008E4003" w:rsidRPr="00140702">
        <w:rPr>
          <w:rFonts w:ascii="Arial" w:hAnsi="Arial" w:cs="Arial"/>
        </w:rPr>
        <w:t>or the next 178 years monopoly conduct</w:t>
      </w:r>
      <w:r w:rsidR="000A2251" w:rsidRPr="00140702">
        <w:rPr>
          <w:rFonts w:ascii="Arial" w:hAnsi="Arial" w:cs="Arial"/>
        </w:rPr>
        <w:t xml:space="preserve"> were to be unrestricted in the Roman </w:t>
      </w:r>
      <w:r w:rsidR="004119F8" w:rsidRPr="00140702">
        <w:rPr>
          <w:rFonts w:ascii="Arial" w:hAnsi="Arial" w:cs="Arial"/>
        </w:rPr>
        <w:t>Empire.</w:t>
      </w:r>
      <w:r w:rsidR="00966DD5" w:rsidRPr="00140702">
        <w:rPr>
          <w:rStyle w:val="Funotenzeichen"/>
          <w:rFonts w:ascii="Arial" w:hAnsi="Arial" w:cs="Arial"/>
        </w:rPr>
        <w:footnoteReference w:id="170"/>
      </w:r>
    </w:p>
    <w:p w:rsidR="004119F8" w:rsidRPr="00140702" w:rsidRDefault="004119F8" w:rsidP="00140702">
      <w:pPr>
        <w:contextualSpacing/>
        <w:jc w:val="both"/>
        <w:rPr>
          <w:rFonts w:ascii="Arial" w:hAnsi="Arial" w:cs="Arial"/>
        </w:rPr>
      </w:pPr>
    </w:p>
    <w:p w:rsidR="00952C36" w:rsidRPr="00140702" w:rsidRDefault="00780E16" w:rsidP="00140702">
      <w:pPr>
        <w:contextualSpacing/>
        <w:jc w:val="both"/>
        <w:rPr>
          <w:rFonts w:ascii="Arial" w:hAnsi="Arial" w:cs="Arial"/>
        </w:rPr>
      </w:pPr>
      <w:r w:rsidRPr="00140702">
        <w:rPr>
          <w:rFonts w:ascii="Arial" w:hAnsi="Arial" w:cs="Arial"/>
        </w:rPr>
        <w:t>Then i</w:t>
      </w:r>
      <w:r w:rsidR="004119F8" w:rsidRPr="00140702">
        <w:rPr>
          <w:rFonts w:ascii="Arial" w:hAnsi="Arial" w:cs="Arial"/>
        </w:rPr>
        <w:t>n 483 A.D. Emperor Zeno promulgated an edict which prohibited monopoly conduct.</w:t>
      </w:r>
      <w:r w:rsidR="00881076" w:rsidRPr="00140702">
        <w:rPr>
          <w:rStyle w:val="Funotenzeichen"/>
          <w:rFonts w:ascii="Arial" w:hAnsi="Arial" w:cs="Arial"/>
        </w:rPr>
        <w:footnoteReference w:id="171"/>
      </w:r>
      <w:r w:rsidR="004119F8" w:rsidRPr="00140702">
        <w:rPr>
          <w:rFonts w:ascii="Arial" w:hAnsi="Arial" w:cs="Arial"/>
        </w:rPr>
        <w:t xml:space="preserve">  This Edict which came to be known as the Edict of Zeno went much further </w:t>
      </w:r>
      <w:r w:rsidR="00B33D45" w:rsidRPr="00140702">
        <w:rPr>
          <w:rFonts w:ascii="Arial" w:hAnsi="Arial" w:cs="Arial"/>
        </w:rPr>
        <w:t>than all</w:t>
      </w:r>
      <w:r w:rsidR="004119F8" w:rsidRPr="00140702">
        <w:rPr>
          <w:rFonts w:ascii="Arial" w:hAnsi="Arial" w:cs="Arial"/>
        </w:rPr>
        <w:t xml:space="preserve"> previous measures aimed at curtailing monopoly conduct</w:t>
      </w:r>
      <w:r w:rsidR="00B33D45" w:rsidRPr="00140702">
        <w:rPr>
          <w:rFonts w:ascii="Arial" w:hAnsi="Arial" w:cs="Arial"/>
        </w:rPr>
        <w:t>.</w:t>
      </w:r>
      <w:r w:rsidRPr="00140702">
        <w:rPr>
          <w:rStyle w:val="Funotenzeichen"/>
          <w:rFonts w:ascii="Arial" w:hAnsi="Arial" w:cs="Arial"/>
        </w:rPr>
        <w:footnoteReference w:id="172"/>
      </w:r>
      <w:r w:rsidR="00B33D45" w:rsidRPr="00140702">
        <w:rPr>
          <w:rFonts w:ascii="Arial" w:hAnsi="Arial" w:cs="Arial"/>
        </w:rPr>
        <w:t xml:space="preserve"> The Edict of Zeno went as far as to annul all monopoly rights obtained from previous Emperors and it also prohibited the future grant of Imperial privileges regarding monopoly rights.</w:t>
      </w:r>
      <w:r w:rsidR="00967B12" w:rsidRPr="00140702">
        <w:rPr>
          <w:rStyle w:val="Funotenzeichen"/>
          <w:rFonts w:ascii="Arial" w:hAnsi="Arial" w:cs="Arial"/>
        </w:rPr>
        <w:footnoteReference w:id="173"/>
      </w:r>
      <w:r w:rsidR="00C50471" w:rsidRPr="00140702">
        <w:rPr>
          <w:rFonts w:ascii="Arial" w:hAnsi="Arial" w:cs="Arial"/>
        </w:rPr>
        <w:t xml:space="preserve"> The Edict of Zeno even contained a provision which prohibited minimum resale price maintenance.</w:t>
      </w:r>
      <w:r w:rsidR="0072737A" w:rsidRPr="00140702">
        <w:rPr>
          <w:rStyle w:val="Funotenzeichen"/>
          <w:rFonts w:ascii="Arial" w:hAnsi="Arial" w:cs="Arial"/>
        </w:rPr>
        <w:footnoteReference w:id="174"/>
      </w:r>
      <w:r w:rsidR="00C50471" w:rsidRPr="00140702">
        <w:rPr>
          <w:rFonts w:ascii="Arial" w:hAnsi="Arial" w:cs="Arial"/>
        </w:rPr>
        <w:t xml:space="preserve"> </w:t>
      </w:r>
    </w:p>
    <w:p w:rsidR="00C50471" w:rsidRPr="00140702" w:rsidRDefault="00C50471" w:rsidP="00140702">
      <w:pPr>
        <w:contextualSpacing/>
        <w:jc w:val="both"/>
        <w:rPr>
          <w:rFonts w:ascii="Arial" w:hAnsi="Arial" w:cs="Arial"/>
        </w:rPr>
      </w:pPr>
    </w:p>
    <w:p w:rsidR="00621854" w:rsidRPr="00140702" w:rsidRDefault="00C50471" w:rsidP="00140702">
      <w:pPr>
        <w:contextualSpacing/>
        <w:jc w:val="both"/>
        <w:rPr>
          <w:rFonts w:ascii="Arial" w:hAnsi="Arial" w:cs="Arial"/>
        </w:rPr>
      </w:pPr>
      <w:r w:rsidRPr="00140702">
        <w:rPr>
          <w:rFonts w:ascii="Arial" w:hAnsi="Arial" w:cs="Arial"/>
        </w:rPr>
        <w:t>The Edict of Zeno was the pinnacle</w:t>
      </w:r>
      <w:r w:rsidR="00F2161A" w:rsidRPr="00140702">
        <w:rPr>
          <w:rFonts w:ascii="Arial" w:hAnsi="Arial" w:cs="Arial"/>
        </w:rPr>
        <w:t xml:space="preserve"> of anti-monopoly legislation in the Roman Empire and even when Justinian codified </w:t>
      </w:r>
      <w:r w:rsidR="009E1E2D" w:rsidRPr="00140702">
        <w:rPr>
          <w:rFonts w:ascii="Arial" w:hAnsi="Arial" w:cs="Arial"/>
        </w:rPr>
        <w:t xml:space="preserve">the </w:t>
      </w:r>
      <w:r w:rsidR="00F2161A" w:rsidRPr="00140702">
        <w:rPr>
          <w:rFonts w:ascii="Arial" w:hAnsi="Arial" w:cs="Arial"/>
        </w:rPr>
        <w:t xml:space="preserve">Roman law he did nothing more other than to include the Lex Julia de annona and the Edict of Zeno as the </w:t>
      </w:r>
      <w:r w:rsidR="0072737A" w:rsidRPr="00140702">
        <w:rPr>
          <w:rFonts w:ascii="Arial" w:hAnsi="Arial" w:cs="Arial"/>
        </w:rPr>
        <w:t xml:space="preserve">collective legislation regarding </w:t>
      </w:r>
      <w:r w:rsidR="009E1E2D" w:rsidRPr="00140702">
        <w:rPr>
          <w:rFonts w:ascii="Arial" w:hAnsi="Arial" w:cs="Arial"/>
        </w:rPr>
        <w:t xml:space="preserve">the regulation </w:t>
      </w:r>
      <w:r w:rsidR="0072737A" w:rsidRPr="00140702">
        <w:rPr>
          <w:rFonts w:ascii="Arial" w:hAnsi="Arial" w:cs="Arial"/>
        </w:rPr>
        <w:t>monopoly conduct.</w:t>
      </w:r>
      <w:r w:rsidR="0072737A" w:rsidRPr="00140702">
        <w:rPr>
          <w:rStyle w:val="Funotenzeichen"/>
          <w:rFonts w:ascii="Arial" w:hAnsi="Arial" w:cs="Arial"/>
        </w:rPr>
        <w:footnoteReference w:id="175"/>
      </w:r>
      <w:r w:rsidR="004E5F0D" w:rsidRPr="00140702">
        <w:rPr>
          <w:rFonts w:ascii="Arial" w:hAnsi="Arial" w:cs="Arial"/>
        </w:rPr>
        <w:t xml:space="preserve"> Nevertheless</w:t>
      </w:r>
      <w:r w:rsidR="00621854" w:rsidRPr="00140702">
        <w:rPr>
          <w:rFonts w:ascii="Arial" w:hAnsi="Arial" w:cs="Arial"/>
        </w:rPr>
        <w:t>,</w:t>
      </w:r>
      <w:r w:rsidR="004E5F0D" w:rsidRPr="00140702">
        <w:rPr>
          <w:rFonts w:ascii="Arial" w:hAnsi="Arial" w:cs="Arial"/>
        </w:rPr>
        <w:t xml:space="preserve"> </w:t>
      </w:r>
      <w:r w:rsidR="00621854" w:rsidRPr="00140702">
        <w:rPr>
          <w:rFonts w:ascii="Arial" w:hAnsi="Arial" w:cs="Arial"/>
        </w:rPr>
        <w:t>it</w:t>
      </w:r>
      <w:r w:rsidR="004E5F0D" w:rsidRPr="00140702">
        <w:rPr>
          <w:rFonts w:ascii="Arial" w:hAnsi="Arial" w:cs="Arial"/>
        </w:rPr>
        <w:t xml:space="preserve"> was only a matter of</w:t>
      </w:r>
      <w:r w:rsidR="009E1E2D" w:rsidRPr="00140702">
        <w:rPr>
          <w:rFonts w:ascii="Arial" w:hAnsi="Arial" w:cs="Arial"/>
        </w:rPr>
        <w:t xml:space="preserve"> a few short </w:t>
      </w:r>
      <w:r w:rsidR="004E5F0D" w:rsidRPr="00140702">
        <w:rPr>
          <w:rFonts w:ascii="Arial" w:hAnsi="Arial" w:cs="Arial"/>
        </w:rPr>
        <w:t xml:space="preserve">years before the Edict of Zeno also became victim of imperial circumvention and </w:t>
      </w:r>
      <w:r w:rsidR="00621854" w:rsidRPr="00140702">
        <w:rPr>
          <w:rFonts w:ascii="Arial" w:hAnsi="Arial" w:cs="Arial"/>
        </w:rPr>
        <w:t>consequently</w:t>
      </w:r>
      <w:r w:rsidR="004E5F0D" w:rsidRPr="00140702">
        <w:rPr>
          <w:rFonts w:ascii="Arial" w:hAnsi="Arial" w:cs="Arial"/>
        </w:rPr>
        <w:t xml:space="preserve"> the Edict of Zeno became largely abandoned.</w:t>
      </w:r>
      <w:r w:rsidR="00621854" w:rsidRPr="00140702">
        <w:rPr>
          <w:rStyle w:val="Funotenzeichen"/>
          <w:rFonts w:ascii="Arial" w:hAnsi="Arial" w:cs="Arial"/>
        </w:rPr>
        <w:footnoteReference w:id="176"/>
      </w:r>
      <w:r w:rsidR="009E1E2D" w:rsidRPr="00140702">
        <w:rPr>
          <w:rFonts w:ascii="Arial" w:hAnsi="Arial" w:cs="Arial"/>
        </w:rPr>
        <w:t xml:space="preserve"> Accordingly, it</w:t>
      </w:r>
      <w:r w:rsidR="00621854" w:rsidRPr="00140702">
        <w:rPr>
          <w:rFonts w:ascii="Arial" w:hAnsi="Arial" w:cs="Arial"/>
        </w:rPr>
        <w:t xml:space="preserve"> is fair to say that the regulation of monopoly conduct under Roman criminal law was decisively ineffective.</w:t>
      </w:r>
      <w:r w:rsidR="00621854" w:rsidRPr="00140702">
        <w:rPr>
          <w:rStyle w:val="Funotenzeichen"/>
          <w:rFonts w:ascii="Arial" w:hAnsi="Arial" w:cs="Arial"/>
        </w:rPr>
        <w:footnoteReference w:id="177"/>
      </w:r>
      <w:r w:rsidR="00621854" w:rsidRPr="00140702">
        <w:rPr>
          <w:rFonts w:ascii="Arial" w:hAnsi="Arial" w:cs="Arial"/>
        </w:rPr>
        <w:t xml:space="preserve"> </w:t>
      </w:r>
    </w:p>
    <w:p w:rsidR="003B29C4" w:rsidRPr="00140702" w:rsidRDefault="003B29C4" w:rsidP="00140702">
      <w:pPr>
        <w:contextualSpacing/>
        <w:jc w:val="both"/>
        <w:rPr>
          <w:rFonts w:ascii="Arial" w:hAnsi="Arial" w:cs="Arial"/>
        </w:rPr>
      </w:pPr>
      <w:r w:rsidRPr="00140702">
        <w:rPr>
          <w:rFonts w:ascii="Arial" w:hAnsi="Arial" w:cs="Arial"/>
        </w:rPr>
        <w:t>2.3.</w:t>
      </w:r>
      <w:r w:rsidR="000E39CE" w:rsidRPr="00140702">
        <w:rPr>
          <w:rFonts w:ascii="Arial" w:hAnsi="Arial" w:cs="Arial"/>
        </w:rPr>
        <w:t>1.2 Monopoly regulation under Roman-Dutch criminal law</w:t>
      </w:r>
    </w:p>
    <w:p w:rsidR="00840F4B" w:rsidRPr="00140702" w:rsidRDefault="003B40CF" w:rsidP="00140702">
      <w:pPr>
        <w:contextualSpacing/>
        <w:jc w:val="both"/>
        <w:rPr>
          <w:rFonts w:ascii="Arial" w:hAnsi="Arial" w:cs="Arial"/>
        </w:rPr>
      </w:pPr>
      <w:r w:rsidRPr="00140702">
        <w:rPr>
          <w:rFonts w:ascii="Arial" w:hAnsi="Arial" w:cs="Arial"/>
        </w:rPr>
        <w:t>To study the resurgence of Roman criminal law against monopol</w:t>
      </w:r>
      <w:r w:rsidR="006C38E3" w:rsidRPr="00140702">
        <w:rPr>
          <w:rFonts w:ascii="Arial" w:hAnsi="Arial" w:cs="Arial"/>
        </w:rPr>
        <w:t>y conduct</w:t>
      </w:r>
      <w:r w:rsidRPr="00140702">
        <w:rPr>
          <w:rFonts w:ascii="Arial" w:hAnsi="Arial" w:cs="Arial"/>
        </w:rPr>
        <w:t xml:space="preserve"> we must study </w:t>
      </w:r>
      <w:r w:rsidR="00172538" w:rsidRPr="00140702">
        <w:rPr>
          <w:rFonts w:ascii="Arial" w:hAnsi="Arial" w:cs="Arial"/>
        </w:rPr>
        <w:t xml:space="preserve">the </w:t>
      </w:r>
      <w:r w:rsidRPr="00140702">
        <w:rPr>
          <w:rFonts w:ascii="Arial" w:hAnsi="Arial" w:cs="Arial"/>
        </w:rPr>
        <w:t>European Legal systems in the Middle Ages since these systems were to implement the relevant Roman law.</w:t>
      </w:r>
      <w:r w:rsidR="00121BE8" w:rsidRPr="00140702">
        <w:rPr>
          <w:rStyle w:val="Funotenzeichen"/>
          <w:rFonts w:ascii="Arial" w:hAnsi="Arial" w:cs="Arial"/>
        </w:rPr>
        <w:footnoteReference w:id="178"/>
      </w:r>
      <w:r w:rsidRPr="00140702">
        <w:rPr>
          <w:rFonts w:ascii="Arial" w:hAnsi="Arial" w:cs="Arial"/>
        </w:rPr>
        <w:t xml:space="preserve"> Of primary </w:t>
      </w:r>
      <w:r w:rsidR="00B664C4" w:rsidRPr="00140702">
        <w:rPr>
          <w:rFonts w:ascii="Arial" w:hAnsi="Arial" w:cs="Arial"/>
        </w:rPr>
        <w:t>importance to this study is Holland’s</w:t>
      </w:r>
      <w:r w:rsidR="00B664C4" w:rsidRPr="00140702">
        <w:rPr>
          <w:rStyle w:val="Funotenzeichen"/>
          <w:rFonts w:ascii="Arial" w:hAnsi="Arial" w:cs="Arial"/>
        </w:rPr>
        <w:footnoteReference w:id="179"/>
      </w:r>
      <w:r w:rsidRPr="00140702">
        <w:rPr>
          <w:rFonts w:ascii="Arial" w:hAnsi="Arial" w:cs="Arial"/>
        </w:rPr>
        <w:t xml:space="preserve"> implementation of the Roman Laws prohibiting monopolies </w:t>
      </w:r>
      <w:r w:rsidR="00B664C4" w:rsidRPr="00140702">
        <w:rPr>
          <w:rFonts w:ascii="Arial" w:hAnsi="Arial" w:cs="Arial"/>
        </w:rPr>
        <w:t>given that</w:t>
      </w:r>
      <w:r w:rsidRPr="00140702">
        <w:rPr>
          <w:rFonts w:ascii="Arial" w:hAnsi="Arial" w:cs="Arial"/>
        </w:rPr>
        <w:t xml:space="preserve"> the Roman-Dutch Law forms </w:t>
      </w:r>
      <w:r w:rsidR="004D5577" w:rsidRPr="00140702">
        <w:rPr>
          <w:rFonts w:ascii="Arial" w:hAnsi="Arial" w:cs="Arial"/>
        </w:rPr>
        <w:t>by far the largest part</w:t>
      </w:r>
      <w:r w:rsidRPr="00140702">
        <w:rPr>
          <w:rFonts w:ascii="Arial" w:hAnsi="Arial" w:cs="Arial"/>
        </w:rPr>
        <w:t xml:space="preserve"> of South Africa’s </w:t>
      </w:r>
      <w:r w:rsidR="004D5577" w:rsidRPr="00140702">
        <w:rPr>
          <w:rFonts w:ascii="Arial" w:hAnsi="Arial" w:cs="Arial"/>
        </w:rPr>
        <w:t>common law.</w:t>
      </w:r>
      <w:r w:rsidR="00771EDB" w:rsidRPr="00140702">
        <w:rPr>
          <w:rStyle w:val="Funotenzeichen"/>
          <w:rFonts w:ascii="Arial" w:hAnsi="Arial" w:cs="Arial"/>
        </w:rPr>
        <w:footnoteReference w:id="180"/>
      </w:r>
      <w:r w:rsidR="00121BE8" w:rsidRPr="00140702">
        <w:rPr>
          <w:rFonts w:ascii="Arial" w:hAnsi="Arial" w:cs="Arial"/>
        </w:rPr>
        <w:t xml:space="preserve"> </w:t>
      </w:r>
    </w:p>
    <w:p w:rsidR="006C1BE2" w:rsidRPr="00140702" w:rsidRDefault="006C1BE2" w:rsidP="00140702">
      <w:pPr>
        <w:contextualSpacing/>
        <w:jc w:val="both"/>
        <w:rPr>
          <w:rFonts w:ascii="Arial" w:hAnsi="Arial" w:cs="Arial"/>
        </w:rPr>
      </w:pPr>
    </w:p>
    <w:p w:rsidR="006C1BE2" w:rsidRPr="00140702" w:rsidRDefault="006C1BE2" w:rsidP="00140702">
      <w:pPr>
        <w:contextualSpacing/>
        <w:jc w:val="both"/>
        <w:rPr>
          <w:rFonts w:ascii="Arial" w:hAnsi="Arial" w:cs="Arial"/>
        </w:rPr>
      </w:pPr>
      <w:r w:rsidRPr="00140702">
        <w:rPr>
          <w:rFonts w:ascii="Arial" w:hAnsi="Arial" w:cs="Arial"/>
        </w:rPr>
        <w:t>By the middle of the 16</w:t>
      </w:r>
      <w:r w:rsidRPr="00140702">
        <w:rPr>
          <w:rFonts w:ascii="Arial" w:hAnsi="Arial" w:cs="Arial"/>
          <w:vertAlign w:val="superscript"/>
        </w:rPr>
        <w:t>th</w:t>
      </w:r>
      <w:r w:rsidRPr="00140702">
        <w:rPr>
          <w:rFonts w:ascii="Arial" w:hAnsi="Arial" w:cs="Arial"/>
        </w:rPr>
        <w:t xml:space="preserve"> century the effects of monopol</w:t>
      </w:r>
      <w:r w:rsidR="006C38E3" w:rsidRPr="00140702">
        <w:rPr>
          <w:rFonts w:ascii="Arial" w:hAnsi="Arial" w:cs="Arial"/>
        </w:rPr>
        <w:t>y conduct</w:t>
      </w:r>
      <w:r w:rsidRPr="00140702">
        <w:rPr>
          <w:rFonts w:ascii="Arial" w:hAnsi="Arial" w:cs="Arial"/>
        </w:rPr>
        <w:t xml:space="preserve"> weighed so heavily</w:t>
      </w:r>
      <w:r w:rsidR="00D923EF" w:rsidRPr="00140702">
        <w:rPr>
          <w:rFonts w:ascii="Arial" w:hAnsi="Arial" w:cs="Arial"/>
        </w:rPr>
        <w:t xml:space="preserve"> on the citizens of Holland that Charles V, despite being a tyrant and against his own interest, promulgated an Edict which for all practical</w:t>
      </w:r>
      <w:r w:rsidR="007567B0" w:rsidRPr="00140702">
        <w:rPr>
          <w:rFonts w:ascii="Arial" w:hAnsi="Arial" w:cs="Arial"/>
        </w:rPr>
        <w:t xml:space="preserve"> reasons and after a thousand years</w:t>
      </w:r>
      <w:r w:rsidR="006C38E3" w:rsidRPr="00140702">
        <w:rPr>
          <w:rFonts w:ascii="Arial" w:hAnsi="Arial" w:cs="Arial"/>
        </w:rPr>
        <w:t>,</w:t>
      </w:r>
      <w:r w:rsidR="00D923EF" w:rsidRPr="00140702">
        <w:rPr>
          <w:rFonts w:ascii="Arial" w:hAnsi="Arial" w:cs="Arial"/>
        </w:rPr>
        <w:t xml:space="preserve"> re-enacted</w:t>
      </w:r>
      <w:r w:rsidR="007567B0" w:rsidRPr="00140702">
        <w:rPr>
          <w:rFonts w:ascii="Arial" w:hAnsi="Arial" w:cs="Arial"/>
        </w:rPr>
        <w:t xml:space="preserve"> the Roman laws governing monopol</w:t>
      </w:r>
      <w:r w:rsidR="006C38E3" w:rsidRPr="00140702">
        <w:rPr>
          <w:rFonts w:ascii="Arial" w:hAnsi="Arial" w:cs="Arial"/>
        </w:rPr>
        <w:t>y conduct</w:t>
      </w:r>
      <w:r w:rsidR="007567B0" w:rsidRPr="00140702">
        <w:rPr>
          <w:rFonts w:ascii="Arial" w:hAnsi="Arial" w:cs="Arial"/>
        </w:rPr>
        <w:t>.</w:t>
      </w:r>
      <w:r w:rsidR="007567B0" w:rsidRPr="00140702">
        <w:rPr>
          <w:rStyle w:val="Funotenzeichen"/>
          <w:rFonts w:ascii="Arial" w:hAnsi="Arial" w:cs="Arial"/>
        </w:rPr>
        <w:footnoteReference w:id="181"/>
      </w:r>
      <w:r w:rsidR="00D923EF" w:rsidRPr="00140702">
        <w:rPr>
          <w:rFonts w:ascii="Arial" w:hAnsi="Arial" w:cs="Arial"/>
        </w:rPr>
        <w:t xml:space="preserve"> </w:t>
      </w:r>
      <w:r w:rsidR="00E65E41" w:rsidRPr="00140702">
        <w:rPr>
          <w:rFonts w:ascii="Arial" w:hAnsi="Arial" w:cs="Arial"/>
        </w:rPr>
        <w:t>This Edict is also known as the “Placaat of 1540.”</w:t>
      </w:r>
      <w:r w:rsidR="00E65E41" w:rsidRPr="00140702">
        <w:rPr>
          <w:rStyle w:val="Funotenzeichen"/>
          <w:rFonts w:ascii="Arial" w:hAnsi="Arial" w:cs="Arial"/>
        </w:rPr>
        <w:footnoteReference w:id="182"/>
      </w:r>
    </w:p>
    <w:p w:rsidR="006B7B4A" w:rsidRPr="00140702" w:rsidRDefault="006B7B4A" w:rsidP="00140702">
      <w:pPr>
        <w:contextualSpacing/>
        <w:jc w:val="both"/>
        <w:rPr>
          <w:rFonts w:ascii="Arial" w:hAnsi="Arial" w:cs="Arial"/>
        </w:rPr>
      </w:pPr>
    </w:p>
    <w:p w:rsidR="00011F8B" w:rsidRPr="00140702" w:rsidRDefault="00F21A3D" w:rsidP="00140702">
      <w:pPr>
        <w:contextualSpacing/>
        <w:jc w:val="both"/>
        <w:rPr>
          <w:rFonts w:ascii="Arial" w:hAnsi="Arial" w:cs="Arial"/>
        </w:rPr>
      </w:pPr>
      <w:r w:rsidRPr="00140702">
        <w:rPr>
          <w:rFonts w:ascii="Arial" w:hAnsi="Arial" w:cs="Arial"/>
        </w:rPr>
        <w:t xml:space="preserve">The section prohibiting </w:t>
      </w:r>
      <w:r w:rsidR="006B7B4A" w:rsidRPr="00140702">
        <w:rPr>
          <w:rFonts w:ascii="Arial" w:hAnsi="Arial" w:cs="Arial"/>
        </w:rPr>
        <w:t>monopol</w:t>
      </w:r>
      <w:r w:rsidR="006C38E3" w:rsidRPr="00140702">
        <w:rPr>
          <w:rFonts w:ascii="Arial" w:hAnsi="Arial" w:cs="Arial"/>
        </w:rPr>
        <w:t>y conduct</w:t>
      </w:r>
      <w:r w:rsidR="006B7B4A" w:rsidRPr="00140702">
        <w:rPr>
          <w:rFonts w:ascii="Arial" w:hAnsi="Arial" w:cs="Arial"/>
        </w:rPr>
        <w:t xml:space="preserve"> </w:t>
      </w:r>
      <w:r w:rsidR="006C38E3" w:rsidRPr="00140702">
        <w:rPr>
          <w:rFonts w:ascii="Arial" w:hAnsi="Arial" w:cs="Arial"/>
        </w:rPr>
        <w:t>is</w:t>
      </w:r>
      <w:r w:rsidR="006B7B4A" w:rsidRPr="00140702">
        <w:rPr>
          <w:rFonts w:ascii="Arial" w:hAnsi="Arial" w:cs="Arial"/>
        </w:rPr>
        <w:t xml:space="preserve"> contained in paragraph 7 of the Placaat of 1540.</w:t>
      </w:r>
      <w:r w:rsidR="006B7B4A" w:rsidRPr="00140702">
        <w:rPr>
          <w:rStyle w:val="Funotenzeichen"/>
          <w:rFonts w:ascii="Arial" w:hAnsi="Arial" w:cs="Arial"/>
        </w:rPr>
        <w:footnoteReference w:id="183"/>
      </w:r>
      <w:r w:rsidR="006B7B4A" w:rsidRPr="00140702">
        <w:rPr>
          <w:rFonts w:ascii="Arial" w:hAnsi="Arial" w:cs="Arial"/>
        </w:rPr>
        <w:t xml:space="preserve"> Paragraph 7 states that </w:t>
      </w:r>
      <w:r w:rsidR="006B7B4A" w:rsidRPr="00140702">
        <w:rPr>
          <w:rFonts w:ascii="Arial" w:hAnsi="Arial" w:cs="Arial"/>
          <w:i/>
        </w:rPr>
        <w:t>“</w:t>
      </w:r>
      <w:r w:rsidR="00447ED5" w:rsidRPr="00140702">
        <w:rPr>
          <w:rFonts w:ascii="Arial" w:hAnsi="Arial" w:cs="Arial"/>
          <w:i/>
        </w:rPr>
        <w:t xml:space="preserve">to prevent from henceforth on the damage proceeding from monopolies and improper contracts which many merchants and traders make and use in our land to the </w:t>
      </w:r>
      <w:r w:rsidR="004C684D" w:rsidRPr="00140702">
        <w:rPr>
          <w:rFonts w:ascii="Arial" w:hAnsi="Arial" w:cs="Arial"/>
          <w:i/>
        </w:rPr>
        <w:t>detriment</w:t>
      </w:r>
      <w:r w:rsidR="00447ED5" w:rsidRPr="00140702">
        <w:rPr>
          <w:rFonts w:ascii="Arial" w:hAnsi="Arial" w:cs="Arial"/>
          <w:i/>
        </w:rPr>
        <w:t xml:space="preserve"> of other good and righteous merchants and traders and against the common welfare: so we have ordered and decreed, and do order and decree, that no merchant, trader, or anyone else do promote the making of contracts, pacts or agreements smacking of monopoly or prejudicial to the common welfare, such as to buy all the commodities of any sort</w:t>
      </w:r>
      <w:r w:rsidR="004C684D" w:rsidRPr="00140702">
        <w:rPr>
          <w:rFonts w:ascii="Arial" w:hAnsi="Arial" w:cs="Arial"/>
          <w:i/>
        </w:rPr>
        <w:t xml:space="preserve"> to keep them amongst themselves and afterwards to sell at excessive prices, or other similar practice, under pain of confiscation of the goods and commodities so bought, and in addition of arbitrary punishment</w:t>
      </w:r>
      <w:r w:rsidR="004C684D" w:rsidRPr="00140702">
        <w:rPr>
          <w:rFonts w:ascii="Arial" w:hAnsi="Arial" w:cs="Arial"/>
        </w:rPr>
        <w:t>.</w:t>
      </w:r>
      <w:r w:rsidR="006B7B4A" w:rsidRPr="00140702">
        <w:rPr>
          <w:rFonts w:ascii="Arial" w:hAnsi="Arial" w:cs="Arial"/>
        </w:rPr>
        <w:t>”</w:t>
      </w:r>
      <w:r w:rsidR="004C684D" w:rsidRPr="00140702">
        <w:rPr>
          <w:rStyle w:val="Funotenzeichen"/>
          <w:rFonts w:ascii="Arial" w:hAnsi="Arial" w:cs="Arial"/>
        </w:rPr>
        <w:footnoteReference w:id="184"/>
      </w:r>
    </w:p>
    <w:p w:rsidR="00011F8B" w:rsidRPr="00140702" w:rsidRDefault="00011F8B" w:rsidP="00140702">
      <w:pPr>
        <w:contextualSpacing/>
        <w:jc w:val="both"/>
        <w:rPr>
          <w:rFonts w:ascii="Arial" w:hAnsi="Arial" w:cs="Arial"/>
        </w:rPr>
      </w:pPr>
    </w:p>
    <w:p w:rsidR="00011F8B" w:rsidRPr="00140702" w:rsidRDefault="003A674C" w:rsidP="00140702">
      <w:pPr>
        <w:contextualSpacing/>
        <w:jc w:val="both"/>
        <w:rPr>
          <w:rFonts w:ascii="Arial" w:hAnsi="Arial" w:cs="Arial"/>
        </w:rPr>
      </w:pPr>
      <w:r w:rsidRPr="00140702">
        <w:rPr>
          <w:rFonts w:ascii="Arial" w:hAnsi="Arial" w:cs="Arial"/>
        </w:rPr>
        <w:t>It is clear from the preceding paragraph that the Placaat</w:t>
      </w:r>
      <w:r w:rsidR="003053D5" w:rsidRPr="00140702">
        <w:rPr>
          <w:rFonts w:ascii="Arial" w:hAnsi="Arial" w:cs="Arial"/>
        </w:rPr>
        <w:t xml:space="preserve"> 1540 prohibited conduct which was</w:t>
      </w:r>
      <w:r w:rsidRPr="00140702">
        <w:rPr>
          <w:rFonts w:ascii="Arial" w:hAnsi="Arial" w:cs="Arial"/>
        </w:rPr>
        <w:t xml:space="preserve"> </w:t>
      </w:r>
      <w:r w:rsidR="004F0556" w:rsidRPr="00140702">
        <w:rPr>
          <w:rFonts w:ascii="Arial" w:hAnsi="Arial" w:cs="Arial"/>
        </w:rPr>
        <w:t xml:space="preserve">also </w:t>
      </w:r>
      <w:r w:rsidR="003053D5" w:rsidRPr="00140702">
        <w:rPr>
          <w:rFonts w:ascii="Arial" w:hAnsi="Arial" w:cs="Arial"/>
        </w:rPr>
        <w:t xml:space="preserve">prohibited under the </w:t>
      </w:r>
      <w:r w:rsidR="003053D5" w:rsidRPr="00140702">
        <w:rPr>
          <w:rFonts w:ascii="Arial" w:hAnsi="Arial" w:cs="Arial"/>
          <w:i/>
        </w:rPr>
        <w:t>Lex Julia de annona</w:t>
      </w:r>
      <w:r w:rsidRPr="00140702">
        <w:rPr>
          <w:rFonts w:ascii="Arial" w:hAnsi="Arial" w:cs="Arial"/>
        </w:rPr>
        <w:t>,</w:t>
      </w:r>
      <w:r w:rsidRPr="00140702">
        <w:rPr>
          <w:rFonts w:ascii="Arial" w:hAnsi="Arial" w:cs="Arial"/>
          <w:i/>
        </w:rPr>
        <w:t xml:space="preserve"> </w:t>
      </w:r>
      <w:r w:rsidRPr="00140702">
        <w:rPr>
          <w:rFonts w:ascii="Arial" w:hAnsi="Arial" w:cs="Arial"/>
        </w:rPr>
        <w:t>for</w:t>
      </w:r>
      <w:r w:rsidR="007848E3" w:rsidRPr="00140702">
        <w:rPr>
          <w:rFonts w:ascii="Arial" w:hAnsi="Arial" w:cs="Arial"/>
        </w:rPr>
        <w:t>estalling in the trade of goods</w:t>
      </w:r>
      <w:r w:rsidRPr="00140702">
        <w:rPr>
          <w:rFonts w:ascii="Arial" w:hAnsi="Arial" w:cs="Arial"/>
        </w:rPr>
        <w:t>,</w:t>
      </w:r>
      <w:r w:rsidR="003053D5" w:rsidRPr="00140702">
        <w:rPr>
          <w:rFonts w:ascii="Arial" w:hAnsi="Arial" w:cs="Arial"/>
        </w:rPr>
        <w:t xml:space="preserve"> and under </w:t>
      </w:r>
      <w:r w:rsidRPr="00140702">
        <w:rPr>
          <w:rFonts w:ascii="Arial" w:hAnsi="Arial" w:cs="Arial"/>
        </w:rPr>
        <w:t xml:space="preserve">the </w:t>
      </w:r>
      <w:r w:rsidR="003053D5" w:rsidRPr="00140702">
        <w:rPr>
          <w:rFonts w:ascii="Arial" w:hAnsi="Arial" w:cs="Arial"/>
        </w:rPr>
        <w:t>Edict of Zeno</w:t>
      </w:r>
      <w:r w:rsidRPr="00140702">
        <w:rPr>
          <w:rFonts w:ascii="Arial" w:hAnsi="Arial" w:cs="Arial"/>
        </w:rPr>
        <w:t>, minimum resale price maintenance.</w:t>
      </w:r>
      <w:r w:rsidRPr="00140702">
        <w:rPr>
          <w:rStyle w:val="Funotenzeichen"/>
          <w:rFonts w:ascii="Arial" w:hAnsi="Arial" w:cs="Arial"/>
        </w:rPr>
        <w:footnoteReference w:id="185"/>
      </w:r>
      <w:r w:rsidR="005358E1" w:rsidRPr="00140702">
        <w:rPr>
          <w:rFonts w:ascii="Arial" w:hAnsi="Arial" w:cs="Arial"/>
        </w:rPr>
        <w:t xml:space="preserve"> Just as their counterparts in the Roman law, the prohibitions regarding monopol</w:t>
      </w:r>
      <w:r w:rsidR="007848E3" w:rsidRPr="00140702">
        <w:rPr>
          <w:rFonts w:ascii="Arial" w:hAnsi="Arial" w:cs="Arial"/>
        </w:rPr>
        <w:t>y conduct</w:t>
      </w:r>
      <w:r w:rsidR="005358E1" w:rsidRPr="00140702">
        <w:rPr>
          <w:rFonts w:ascii="Arial" w:hAnsi="Arial" w:cs="Arial"/>
        </w:rPr>
        <w:t xml:space="preserve"> contained in the Placaat of 1540 was dealt with under </w:t>
      </w:r>
      <w:r w:rsidR="004F0556" w:rsidRPr="00140702">
        <w:rPr>
          <w:rFonts w:ascii="Arial" w:hAnsi="Arial" w:cs="Arial"/>
        </w:rPr>
        <w:t xml:space="preserve">the criminal law </w:t>
      </w:r>
      <w:r w:rsidR="0017158C" w:rsidRPr="00140702">
        <w:rPr>
          <w:rFonts w:ascii="Arial" w:hAnsi="Arial" w:cs="Arial"/>
        </w:rPr>
        <w:t>branch</w:t>
      </w:r>
      <w:r w:rsidR="004F0556" w:rsidRPr="00140702">
        <w:rPr>
          <w:rFonts w:ascii="Arial" w:hAnsi="Arial" w:cs="Arial"/>
        </w:rPr>
        <w:t xml:space="preserve"> of Holland’s legal system.</w:t>
      </w:r>
      <w:r w:rsidR="004F0556" w:rsidRPr="00140702">
        <w:rPr>
          <w:rStyle w:val="Funotenzeichen"/>
          <w:rFonts w:ascii="Arial" w:hAnsi="Arial" w:cs="Arial"/>
        </w:rPr>
        <w:footnoteReference w:id="186"/>
      </w:r>
    </w:p>
    <w:p w:rsidR="0041449E" w:rsidRPr="00140702" w:rsidRDefault="0041449E" w:rsidP="00140702">
      <w:pPr>
        <w:contextualSpacing/>
        <w:jc w:val="both"/>
        <w:rPr>
          <w:rFonts w:ascii="Arial" w:hAnsi="Arial" w:cs="Arial"/>
        </w:rPr>
      </w:pPr>
    </w:p>
    <w:p w:rsidR="0041449E" w:rsidRPr="00140702" w:rsidRDefault="00D02F21" w:rsidP="00140702">
      <w:pPr>
        <w:contextualSpacing/>
        <w:jc w:val="both"/>
        <w:rPr>
          <w:rFonts w:ascii="Arial" w:hAnsi="Arial" w:cs="Arial"/>
        </w:rPr>
      </w:pPr>
      <w:r w:rsidRPr="00140702">
        <w:rPr>
          <w:rFonts w:ascii="Arial" w:hAnsi="Arial" w:cs="Arial"/>
        </w:rPr>
        <w:t xml:space="preserve">Despite these prohibiting provisions contained </w:t>
      </w:r>
      <w:r w:rsidR="009C427D" w:rsidRPr="00140702">
        <w:rPr>
          <w:rFonts w:ascii="Arial" w:hAnsi="Arial" w:cs="Arial"/>
        </w:rPr>
        <w:t>with</w:t>
      </w:r>
      <w:r w:rsidRPr="00140702">
        <w:rPr>
          <w:rFonts w:ascii="Arial" w:hAnsi="Arial" w:cs="Arial"/>
        </w:rPr>
        <w:t>in the Placaat of 1540 i</w:t>
      </w:r>
      <w:r w:rsidR="0041449E" w:rsidRPr="00140702">
        <w:rPr>
          <w:rFonts w:ascii="Arial" w:hAnsi="Arial" w:cs="Arial"/>
        </w:rPr>
        <w:t xml:space="preserve">t is commonly acknowledged that </w:t>
      </w:r>
      <w:r w:rsidR="00BB685E" w:rsidRPr="00140702">
        <w:rPr>
          <w:rFonts w:ascii="Arial" w:hAnsi="Arial" w:cs="Arial"/>
        </w:rPr>
        <w:t>these provisions</w:t>
      </w:r>
      <w:r w:rsidR="0041449E" w:rsidRPr="00140702">
        <w:rPr>
          <w:rFonts w:ascii="Arial" w:hAnsi="Arial" w:cs="Arial"/>
        </w:rPr>
        <w:t xml:space="preserve"> </w:t>
      </w:r>
      <w:r w:rsidR="00863A38" w:rsidRPr="00140702">
        <w:rPr>
          <w:rFonts w:ascii="Arial" w:hAnsi="Arial" w:cs="Arial"/>
        </w:rPr>
        <w:t xml:space="preserve">too </w:t>
      </w:r>
      <w:r w:rsidRPr="00140702">
        <w:rPr>
          <w:rFonts w:ascii="Arial" w:hAnsi="Arial" w:cs="Arial"/>
        </w:rPr>
        <w:t xml:space="preserve">fell into disuse and </w:t>
      </w:r>
      <w:r w:rsidR="007848E3" w:rsidRPr="00140702">
        <w:rPr>
          <w:rFonts w:ascii="Arial" w:hAnsi="Arial" w:cs="Arial"/>
        </w:rPr>
        <w:t xml:space="preserve">monopoly conduct </w:t>
      </w:r>
      <w:r w:rsidRPr="00140702">
        <w:rPr>
          <w:rFonts w:ascii="Arial" w:hAnsi="Arial" w:cs="Arial"/>
        </w:rPr>
        <w:t>became a crime in name only.</w:t>
      </w:r>
      <w:r w:rsidR="00E076F7" w:rsidRPr="00140702">
        <w:rPr>
          <w:rStyle w:val="Funotenzeichen"/>
          <w:rFonts w:ascii="Arial" w:hAnsi="Arial" w:cs="Arial"/>
        </w:rPr>
        <w:footnoteReference w:id="187"/>
      </w:r>
    </w:p>
    <w:p w:rsidR="00BB685E" w:rsidRPr="00140702" w:rsidRDefault="00BB685E" w:rsidP="00140702">
      <w:pPr>
        <w:contextualSpacing/>
        <w:jc w:val="both"/>
        <w:rPr>
          <w:rFonts w:ascii="Arial" w:hAnsi="Arial" w:cs="Arial"/>
        </w:rPr>
      </w:pPr>
    </w:p>
    <w:p w:rsidR="00BB685E" w:rsidRPr="00140702" w:rsidRDefault="00BB685E" w:rsidP="00140702">
      <w:pPr>
        <w:contextualSpacing/>
        <w:jc w:val="both"/>
        <w:rPr>
          <w:rFonts w:ascii="Arial" w:hAnsi="Arial" w:cs="Arial"/>
        </w:rPr>
      </w:pPr>
      <w:r w:rsidRPr="00140702">
        <w:rPr>
          <w:rFonts w:ascii="Arial" w:hAnsi="Arial" w:cs="Arial"/>
        </w:rPr>
        <w:t xml:space="preserve">2.3.1.3. </w:t>
      </w:r>
      <w:r w:rsidR="00940189" w:rsidRPr="00140702">
        <w:rPr>
          <w:rFonts w:ascii="Arial" w:hAnsi="Arial" w:cs="Arial"/>
        </w:rPr>
        <w:t>The South Africa</w:t>
      </w:r>
      <w:r w:rsidR="00EF1459" w:rsidRPr="00140702">
        <w:rPr>
          <w:rFonts w:ascii="Arial" w:hAnsi="Arial" w:cs="Arial"/>
        </w:rPr>
        <w:t>n context</w:t>
      </w:r>
      <w:r w:rsidR="00863A38" w:rsidRPr="00140702">
        <w:rPr>
          <w:rFonts w:ascii="Arial" w:hAnsi="Arial" w:cs="Arial"/>
        </w:rPr>
        <w:t xml:space="preserve"> </w:t>
      </w:r>
    </w:p>
    <w:p w:rsidR="00840F4B" w:rsidRPr="00140702" w:rsidRDefault="00EF1459" w:rsidP="00140702">
      <w:pPr>
        <w:contextualSpacing/>
        <w:jc w:val="both"/>
        <w:rPr>
          <w:rFonts w:ascii="Arial" w:hAnsi="Arial" w:cs="Arial"/>
        </w:rPr>
      </w:pPr>
      <w:r w:rsidRPr="00140702">
        <w:rPr>
          <w:rFonts w:ascii="Arial" w:hAnsi="Arial" w:cs="Arial"/>
        </w:rPr>
        <w:t xml:space="preserve">The </w:t>
      </w:r>
      <w:r w:rsidR="009C427D" w:rsidRPr="00140702">
        <w:rPr>
          <w:rFonts w:ascii="Arial" w:hAnsi="Arial" w:cs="Arial"/>
        </w:rPr>
        <w:t>provisions</w:t>
      </w:r>
      <w:r w:rsidRPr="00140702">
        <w:rPr>
          <w:rFonts w:ascii="Arial" w:hAnsi="Arial" w:cs="Arial"/>
        </w:rPr>
        <w:t xml:space="preserve"> contained </w:t>
      </w:r>
      <w:r w:rsidR="0054050F" w:rsidRPr="00140702">
        <w:rPr>
          <w:rFonts w:ascii="Arial" w:hAnsi="Arial" w:cs="Arial"/>
        </w:rPr>
        <w:t>with</w:t>
      </w:r>
      <w:r w:rsidRPr="00140702">
        <w:rPr>
          <w:rFonts w:ascii="Arial" w:hAnsi="Arial" w:cs="Arial"/>
        </w:rPr>
        <w:t>in the Placaat of 1540 which prohibits monopol</w:t>
      </w:r>
      <w:r w:rsidR="009C427D" w:rsidRPr="00140702">
        <w:rPr>
          <w:rFonts w:ascii="Arial" w:hAnsi="Arial" w:cs="Arial"/>
        </w:rPr>
        <w:t>y conduct</w:t>
      </w:r>
      <w:r w:rsidRPr="00140702">
        <w:rPr>
          <w:rFonts w:ascii="Arial" w:hAnsi="Arial" w:cs="Arial"/>
        </w:rPr>
        <w:t xml:space="preserve"> has never been implemented in South Africa</w:t>
      </w:r>
      <w:r w:rsidR="009C427D" w:rsidRPr="00140702">
        <w:rPr>
          <w:rFonts w:ascii="Arial" w:hAnsi="Arial" w:cs="Arial"/>
        </w:rPr>
        <w:t>’s</w:t>
      </w:r>
      <w:r w:rsidRPr="00140702">
        <w:rPr>
          <w:rFonts w:ascii="Arial" w:hAnsi="Arial" w:cs="Arial"/>
        </w:rPr>
        <w:t xml:space="preserve"> </w:t>
      </w:r>
      <w:r w:rsidR="0065458A" w:rsidRPr="00140702">
        <w:rPr>
          <w:rFonts w:ascii="Arial" w:hAnsi="Arial" w:cs="Arial"/>
        </w:rPr>
        <w:t>legal system.</w:t>
      </w:r>
      <w:r w:rsidR="00E6121F" w:rsidRPr="00140702">
        <w:rPr>
          <w:rStyle w:val="Funotenzeichen"/>
          <w:rFonts w:ascii="Arial" w:hAnsi="Arial" w:cs="Arial"/>
        </w:rPr>
        <w:footnoteReference w:id="188"/>
      </w:r>
      <w:r w:rsidR="0065458A" w:rsidRPr="00140702">
        <w:rPr>
          <w:rFonts w:ascii="Arial" w:hAnsi="Arial" w:cs="Arial"/>
        </w:rPr>
        <w:t xml:space="preserve"> The only reference in South African law to these provisions was in the case of Tothill v Gordon but this case revolved around a civil lawsuit and accordingly the court did not consider whether monopoly</w:t>
      </w:r>
      <w:r w:rsidR="009C427D" w:rsidRPr="00140702">
        <w:rPr>
          <w:rFonts w:ascii="Arial" w:hAnsi="Arial" w:cs="Arial"/>
        </w:rPr>
        <w:t xml:space="preserve"> conduct</w:t>
      </w:r>
      <w:r w:rsidR="0065458A" w:rsidRPr="00140702">
        <w:rPr>
          <w:rFonts w:ascii="Arial" w:hAnsi="Arial" w:cs="Arial"/>
        </w:rPr>
        <w:t xml:space="preserve"> is a crime in South Africa.</w:t>
      </w:r>
      <w:r w:rsidR="009E2F94" w:rsidRPr="00140702">
        <w:rPr>
          <w:rStyle w:val="Funotenzeichen"/>
          <w:rFonts w:ascii="Arial" w:hAnsi="Arial" w:cs="Arial"/>
        </w:rPr>
        <w:footnoteReference w:id="189"/>
      </w:r>
      <w:r w:rsidR="0065458A" w:rsidRPr="00140702">
        <w:rPr>
          <w:rFonts w:ascii="Arial" w:hAnsi="Arial" w:cs="Arial"/>
        </w:rPr>
        <w:t xml:space="preserve"> </w:t>
      </w:r>
      <w:r w:rsidR="00E6121F" w:rsidRPr="00140702">
        <w:rPr>
          <w:rFonts w:ascii="Arial" w:hAnsi="Arial" w:cs="Arial"/>
        </w:rPr>
        <w:t xml:space="preserve">Consequently, it is accepted </w:t>
      </w:r>
      <w:r w:rsidR="00B64D4E" w:rsidRPr="00140702">
        <w:rPr>
          <w:rFonts w:ascii="Arial" w:hAnsi="Arial" w:cs="Arial"/>
        </w:rPr>
        <w:t>that monopoly</w:t>
      </w:r>
      <w:r w:rsidR="009C427D" w:rsidRPr="00140702">
        <w:rPr>
          <w:rFonts w:ascii="Arial" w:hAnsi="Arial" w:cs="Arial"/>
        </w:rPr>
        <w:t xml:space="preserve"> conduct</w:t>
      </w:r>
      <w:r w:rsidR="0065458A" w:rsidRPr="00140702">
        <w:rPr>
          <w:rFonts w:ascii="Arial" w:hAnsi="Arial" w:cs="Arial"/>
        </w:rPr>
        <w:t xml:space="preserve"> is not a crime in South Africa.</w:t>
      </w:r>
      <w:r w:rsidR="009E2F94" w:rsidRPr="00140702">
        <w:rPr>
          <w:rStyle w:val="Funotenzeichen"/>
          <w:rFonts w:ascii="Arial" w:hAnsi="Arial" w:cs="Arial"/>
        </w:rPr>
        <w:footnoteReference w:id="190"/>
      </w:r>
      <w:r w:rsidRPr="00140702">
        <w:rPr>
          <w:rFonts w:ascii="Arial" w:hAnsi="Arial" w:cs="Arial"/>
        </w:rPr>
        <w:t xml:space="preserve"> </w:t>
      </w:r>
    </w:p>
    <w:p w:rsidR="006A74A4" w:rsidRPr="00140702" w:rsidRDefault="006A74A4" w:rsidP="00140702">
      <w:pPr>
        <w:contextualSpacing/>
        <w:jc w:val="both"/>
        <w:rPr>
          <w:rFonts w:ascii="Arial" w:hAnsi="Arial" w:cs="Arial"/>
        </w:rPr>
      </w:pPr>
    </w:p>
    <w:p w:rsidR="006A74A4" w:rsidRPr="00140702" w:rsidRDefault="006A74A4" w:rsidP="00140702">
      <w:pPr>
        <w:contextualSpacing/>
        <w:jc w:val="both"/>
        <w:rPr>
          <w:rFonts w:ascii="Arial" w:hAnsi="Arial" w:cs="Arial"/>
        </w:rPr>
      </w:pPr>
      <w:r w:rsidRPr="00140702">
        <w:rPr>
          <w:rFonts w:ascii="Arial" w:hAnsi="Arial" w:cs="Arial"/>
        </w:rPr>
        <w:t>This</w:t>
      </w:r>
      <w:r w:rsidR="009906D6" w:rsidRPr="00140702">
        <w:rPr>
          <w:rFonts w:ascii="Arial" w:hAnsi="Arial" w:cs="Arial"/>
        </w:rPr>
        <w:t xml:space="preserve"> complete</w:t>
      </w:r>
      <w:r w:rsidRPr="00140702">
        <w:rPr>
          <w:rFonts w:ascii="Arial" w:hAnsi="Arial" w:cs="Arial"/>
        </w:rPr>
        <w:t xml:space="preserve"> failure of the criminal branch of South Africa’s legal system to deal with monopol</w:t>
      </w:r>
      <w:r w:rsidR="009C427D" w:rsidRPr="00140702">
        <w:rPr>
          <w:rFonts w:ascii="Arial" w:hAnsi="Arial" w:cs="Arial"/>
        </w:rPr>
        <w:t>y conduct</w:t>
      </w:r>
      <w:r w:rsidRPr="00140702">
        <w:rPr>
          <w:rFonts w:ascii="Arial" w:hAnsi="Arial" w:cs="Arial"/>
        </w:rPr>
        <w:t xml:space="preserve"> placed the whole burden upon the civil branch of South Africa’s legal system.</w:t>
      </w:r>
      <w:r w:rsidRPr="00140702">
        <w:rPr>
          <w:rStyle w:val="Funotenzeichen"/>
          <w:rFonts w:ascii="Arial" w:hAnsi="Arial" w:cs="Arial"/>
        </w:rPr>
        <w:footnoteReference w:id="191"/>
      </w:r>
      <w:r w:rsidRPr="00140702">
        <w:rPr>
          <w:rFonts w:ascii="Arial" w:hAnsi="Arial" w:cs="Arial"/>
        </w:rPr>
        <w:t xml:space="preserve"> The civil branch pertaining to monopoly regulation will now be discussed.</w:t>
      </w:r>
    </w:p>
    <w:p w:rsidR="00840F4B" w:rsidRPr="00140702" w:rsidRDefault="00840F4B" w:rsidP="00140702">
      <w:pPr>
        <w:contextualSpacing/>
        <w:jc w:val="both"/>
        <w:rPr>
          <w:rFonts w:ascii="Arial" w:hAnsi="Arial" w:cs="Arial"/>
        </w:rPr>
      </w:pPr>
    </w:p>
    <w:p w:rsidR="000E39CE" w:rsidRPr="00140702" w:rsidRDefault="00D63EC8" w:rsidP="00140702">
      <w:pPr>
        <w:contextualSpacing/>
        <w:jc w:val="both"/>
        <w:rPr>
          <w:rFonts w:ascii="Arial" w:hAnsi="Arial" w:cs="Arial"/>
        </w:rPr>
      </w:pPr>
      <w:r w:rsidRPr="00140702">
        <w:rPr>
          <w:rFonts w:ascii="Arial" w:hAnsi="Arial" w:cs="Arial"/>
        </w:rPr>
        <w:t>2.3.2</w:t>
      </w:r>
      <w:r w:rsidR="000E39CE" w:rsidRPr="00140702">
        <w:rPr>
          <w:rFonts w:ascii="Arial" w:hAnsi="Arial" w:cs="Arial"/>
        </w:rPr>
        <w:t>.</w:t>
      </w:r>
      <w:r w:rsidRPr="00140702">
        <w:rPr>
          <w:rFonts w:ascii="Arial" w:hAnsi="Arial" w:cs="Arial"/>
        </w:rPr>
        <w:t>1</w:t>
      </w:r>
      <w:r w:rsidR="000E39CE" w:rsidRPr="00140702">
        <w:rPr>
          <w:rFonts w:ascii="Arial" w:hAnsi="Arial" w:cs="Arial"/>
        </w:rPr>
        <w:t xml:space="preserve"> Monopoly regulation</w:t>
      </w:r>
      <w:r w:rsidR="00B44E0D" w:rsidRPr="00140702">
        <w:rPr>
          <w:rFonts w:ascii="Arial" w:hAnsi="Arial" w:cs="Arial"/>
        </w:rPr>
        <w:t xml:space="preserve"> under </w:t>
      </w:r>
      <w:r w:rsidR="0073230B" w:rsidRPr="00140702">
        <w:rPr>
          <w:rFonts w:ascii="Arial" w:hAnsi="Arial" w:cs="Arial"/>
        </w:rPr>
        <w:t xml:space="preserve">South African </w:t>
      </w:r>
      <w:r w:rsidR="00B44E0D" w:rsidRPr="00140702">
        <w:rPr>
          <w:rFonts w:ascii="Arial" w:hAnsi="Arial" w:cs="Arial"/>
        </w:rPr>
        <w:t>C</w:t>
      </w:r>
      <w:r w:rsidR="000E39CE" w:rsidRPr="00140702">
        <w:rPr>
          <w:rFonts w:ascii="Arial" w:hAnsi="Arial" w:cs="Arial"/>
        </w:rPr>
        <w:t xml:space="preserve">ivil </w:t>
      </w:r>
      <w:r w:rsidR="00B44E0D" w:rsidRPr="00140702">
        <w:rPr>
          <w:rFonts w:ascii="Arial" w:hAnsi="Arial" w:cs="Arial"/>
        </w:rPr>
        <w:t>L</w:t>
      </w:r>
      <w:r w:rsidR="000E39CE" w:rsidRPr="00140702">
        <w:rPr>
          <w:rFonts w:ascii="Arial" w:hAnsi="Arial" w:cs="Arial"/>
        </w:rPr>
        <w:t>aw</w:t>
      </w:r>
    </w:p>
    <w:p w:rsidR="00B64D4E" w:rsidRPr="00140702" w:rsidRDefault="0019799F" w:rsidP="00140702">
      <w:pPr>
        <w:contextualSpacing/>
        <w:jc w:val="both"/>
        <w:rPr>
          <w:rFonts w:ascii="Arial" w:hAnsi="Arial" w:cs="Arial"/>
        </w:rPr>
      </w:pPr>
      <w:r w:rsidRPr="00140702">
        <w:rPr>
          <w:rFonts w:ascii="Arial" w:hAnsi="Arial" w:cs="Arial"/>
        </w:rPr>
        <w:t>One of the</w:t>
      </w:r>
      <w:r w:rsidR="002F1D20" w:rsidRPr="00140702">
        <w:rPr>
          <w:rFonts w:ascii="Arial" w:hAnsi="Arial" w:cs="Arial"/>
        </w:rPr>
        <w:t xml:space="preserve"> most important monopoly practice</w:t>
      </w:r>
      <w:r w:rsidRPr="00140702">
        <w:rPr>
          <w:rFonts w:ascii="Arial" w:hAnsi="Arial" w:cs="Arial"/>
        </w:rPr>
        <w:t>s</w:t>
      </w:r>
      <w:r w:rsidR="002F1D20" w:rsidRPr="00140702">
        <w:rPr>
          <w:rFonts w:ascii="Arial" w:hAnsi="Arial" w:cs="Arial"/>
        </w:rPr>
        <w:t xml:space="preserve"> regulated by the civil law is that of trade agreements</w:t>
      </w:r>
      <w:r w:rsidR="00813FAB" w:rsidRPr="00140702">
        <w:rPr>
          <w:rStyle w:val="Funotenzeichen"/>
          <w:rFonts w:ascii="Arial" w:hAnsi="Arial" w:cs="Arial"/>
        </w:rPr>
        <w:footnoteReference w:id="192"/>
      </w:r>
      <w:r w:rsidR="002F1D20" w:rsidRPr="00140702">
        <w:rPr>
          <w:rFonts w:ascii="Arial" w:hAnsi="Arial" w:cs="Arial"/>
        </w:rPr>
        <w:t xml:space="preserve"> to maintain prices.</w:t>
      </w:r>
      <w:r w:rsidR="00276089" w:rsidRPr="00140702">
        <w:rPr>
          <w:rStyle w:val="Funotenzeichen"/>
          <w:rFonts w:ascii="Arial" w:hAnsi="Arial" w:cs="Arial"/>
        </w:rPr>
        <w:footnoteReference w:id="193"/>
      </w:r>
      <w:r w:rsidR="002F1D20" w:rsidRPr="00140702">
        <w:rPr>
          <w:rFonts w:ascii="Arial" w:hAnsi="Arial" w:cs="Arial"/>
        </w:rPr>
        <w:t xml:space="preserve"> These trade agreements can be divided into 2 </w:t>
      </w:r>
      <w:r w:rsidR="0073230B" w:rsidRPr="00140702">
        <w:rPr>
          <w:rFonts w:ascii="Arial" w:hAnsi="Arial" w:cs="Arial"/>
        </w:rPr>
        <w:t>categories</w:t>
      </w:r>
      <w:r w:rsidR="002F1D20" w:rsidRPr="00140702">
        <w:rPr>
          <w:rFonts w:ascii="Arial" w:hAnsi="Arial" w:cs="Arial"/>
        </w:rPr>
        <w:t xml:space="preserve"> namely </w:t>
      </w:r>
      <w:r w:rsidR="0073230B" w:rsidRPr="00140702">
        <w:rPr>
          <w:rFonts w:ascii="Arial" w:hAnsi="Arial" w:cs="Arial"/>
        </w:rPr>
        <w:t xml:space="preserve">coöperative price maintenance agreements and </w:t>
      </w:r>
      <w:r w:rsidR="002F1D20" w:rsidRPr="00140702">
        <w:rPr>
          <w:rFonts w:ascii="Arial" w:hAnsi="Arial" w:cs="Arial"/>
        </w:rPr>
        <w:t xml:space="preserve">resale </w:t>
      </w:r>
      <w:r w:rsidR="0073230B" w:rsidRPr="00140702">
        <w:rPr>
          <w:rFonts w:ascii="Arial" w:hAnsi="Arial" w:cs="Arial"/>
        </w:rPr>
        <w:t>price maintenance agreements</w:t>
      </w:r>
      <w:r w:rsidR="00276089" w:rsidRPr="00140702">
        <w:rPr>
          <w:rFonts w:ascii="Arial" w:hAnsi="Arial" w:cs="Arial"/>
        </w:rPr>
        <w:t>.</w:t>
      </w:r>
      <w:r w:rsidR="00276089" w:rsidRPr="00140702">
        <w:rPr>
          <w:rStyle w:val="Funotenzeichen"/>
          <w:rFonts w:ascii="Arial" w:hAnsi="Arial" w:cs="Arial"/>
        </w:rPr>
        <w:footnoteReference w:id="194"/>
      </w:r>
      <w:r w:rsidR="000306E8" w:rsidRPr="00140702">
        <w:rPr>
          <w:rFonts w:ascii="Arial" w:hAnsi="Arial" w:cs="Arial"/>
        </w:rPr>
        <w:t xml:space="preserve"> </w:t>
      </w:r>
    </w:p>
    <w:p w:rsidR="000306E8" w:rsidRPr="00140702" w:rsidRDefault="000306E8" w:rsidP="00140702">
      <w:pPr>
        <w:contextualSpacing/>
        <w:jc w:val="both"/>
        <w:rPr>
          <w:rFonts w:ascii="Arial" w:hAnsi="Arial" w:cs="Arial"/>
        </w:rPr>
      </w:pPr>
    </w:p>
    <w:p w:rsidR="000306E8" w:rsidRPr="00140702" w:rsidRDefault="0073230B" w:rsidP="00140702">
      <w:pPr>
        <w:contextualSpacing/>
        <w:jc w:val="both"/>
        <w:rPr>
          <w:rFonts w:ascii="Arial" w:hAnsi="Arial" w:cs="Arial"/>
        </w:rPr>
      </w:pPr>
      <w:r w:rsidRPr="00140702">
        <w:rPr>
          <w:rFonts w:ascii="Arial" w:hAnsi="Arial" w:cs="Arial"/>
        </w:rPr>
        <w:t xml:space="preserve">A coöperative price maintenance agreement is an agreement between suppliers in </w:t>
      </w:r>
      <w:r w:rsidR="0021387D" w:rsidRPr="00140702">
        <w:rPr>
          <w:rFonts w:ascii="Arial" w:hAnsi="Arial" w:cs="Arial"/>
        </w:rPr>
        <w:t xml:space="preserve">the same industry in </w:t>
      </w:r>
      <w:r w:rsidRPr="00140702">
        <w:rPr>
          <w:rFonts w:ascii="Arial" w:hAnsi="Arial" w:cs="Arial"/>
        </w:rPr>
        <w:t xml:space="preserve">terms of which </w:t>
      </w:r>
      <w:r w:rsidR="0021387D" w:rsidRPr="00140702">
        <w:rPr>
          <w:rFonts w:ascii="Arial" w:hAnsi="Arial" w:cs="Arial"/>
        </w:rPr>
        <w:t>they fix the price at which they sell their produc</w:t>
      </w:r>
      <w:r w:rsidR="00C1606C" w:rsidRPr="00140702">
        <w:rPr>
          <w:rFonts w:ascii="Arial" w:hAnsi="Arial" w:cs="Arial"/>
        </w:rPr>
        <w:t>ts</w:t>
      </w:r>
      <w:r w:rsidR="0021387D" w:rsidRPr="00140702">
        <w:rPr>
          <w:rFonts w:ascii="Arial" w:hAnsi="Arial" w:cs="Arial"/>
        </w:rPr>
        <w:t xml:space="preserve"> to retailers and in terms of which they regulate the distribution channels for their produce.</w:t>
      </w:r>
      <w:r w:rsidR="0021387D" w:rsidRPr="00140702">
        <w:rPr>
          <w:rStyle w:val="Funotenzeichen"/>
          <w:rFonts w:ascii="Arial" w:hAnsi="Arial" w:cs="Arial"/>
        </w:rPr>
        <w:footnoteReference w:id="195"/>
      </w:r>
      <w:r w:rsidR="0021387D" w:rsidRPr="00140702">
        <w:rPr>
          <w:rFonts w:ascii="Arial" w:hAnsi="Arial" w:cs="Arial"/>
        </w:rPr>
        <w:t xml:space="preserve"> </w:t>
      </w:r>
      <w:r w:rsidR="000306E8" w:rsidRPr="00140702">
        <w:rPr>
          <w:rFonts w:ascii="Arial" w:hAnsi="Arial" w:cs="Arial"/>
        </w:rPr>
        <w:t>A price maintenance agreement</w:t>
      </w:r>
      <w:r w:rsidR="0021387D" w:rsidRPr="00140702">
        <w:rPr>
          <w:rFonts w:ascii="Arial" w:hAnsi="Arial" w:cs="Arial"/>
        </w:rPr>
        <w:t xml:space="preserve"> on the other hand</w:t>
      </w:r>
      <w:r w:rsidR="000306E8" w:rsidRPr="00140702">
        <w:rPr>
          <w:rFonts w:ascii="Arial" w:hAnsi="Arial" w:cs="Arial"/>
        </w:rPr>
        <w:t xml:space="preserve"> is an agreement between </w:t>
      </w:r>
      <w:r w:rsidR="0021387D" w:rsidRPr="00140702">
        <w:rPr>
          <w:rFonts w:ascii="Arial" w:hAnsi="Arial" w:cs="Arial"/>
        </w:rPr>
        <w:t>an</w:t>
      </w:r>
      <w:r w:rsidR="000306E8" w:rsidRPr="00140702">
        <w:rPr>
          <w:rFonts w:ascii="Arial" w:hAnsi="Arial" w:cs="Arial"/>
        </w:rPr>
        <w:t xml:space="preserve"> </w:t>
      </w:r>
      <w:r w:rsidR="0021387D" w:rsidRPr="00140702">
        <w:rPr>
          <w:rFonts w:ascii="Arial" w:hAnsi="Arial" w:cs="Arial"/>
        </w:rPr>
        <w:t xml:space="preserve">individual </w:t>
      </w:r>
      <w:r w:rsidR="000306E8" w:rsidRPr="00140702">
        <w:rPr>
          <w:rFonts w:ascii="Arial" w:hAnsi="Arial" w:cs="Arial"/>
        </w:rPr>
        <w:t xml:space="preserve">supplier and </w:t>
      </w:r>
      <w:r w:rsidR="0021387D" w:rsidRPr="00140702">
        <w:rPr>
          <w:rFonts w:ascii="Arial" w:hAnsi="Arial" w:cs="Arial"/>
        </w:rPr>
        <w:t>an</w:t>
      </w:r>
      <w:r w:rsidR="000306E8" w:rsidRPr="00140702">
        <w:rPr>
          <w:rFonts w:ascii="Arial" w:hAnsi="Arial" w:cs="Arial"/>
        </w:rPr>
        <w:t xml:space="preserve"> </w:t>
      </w:r>
      <w:r w:rsidR="0021387D" w:rsidRPr="00140702">
        <w:rPr>
          <w:rFonts w:ascii="Arial" w:hAnsi="Arial" w:cs="Arial"/>
        </w:rPr>
        <w:t xml:space="preserve">individual </w:t>
      </w:r>
      <w:r w:rsidR="000306E8" w:rsidRPr="00140702">
        <w:rPr>
          <w:rFonts w:ascii="Arial" w:hAnsi="Arial" w:cs="Arial"/>
        </w:rPr>
        <w:t xml:space="preserve">retailer in terms of which the supplier determines the price at which the retailer has to sell the suppliers goods </w:t>
      </w:r>
      <w:r w:rsidR="0021387D" w:rsidRPr="00140702">
        <w:rPr>
          <w:rFonts w:ascii="Arial" w:hAnsi="Arial" w:cs="Arial"/>
        </w:rPr>
        <w:t>to the consumers</w:t>
      </w:r>
      <w:r w:rsidR="000306E8" w:rsidRPr="00140702">
        <w:rPr>
          <w:rFonts w:ascii="Arial" w:hAnsi="Arial" w:cs="Arial"/>
        </w:rPr>
        <w:t>.</w:t>
      </w:r>
      <w:r w:rsidR="002151C6" w:rsidRPr="00140702">
        <w:rPr>
          <w:rStyle w:val="Funotenzeichen"/>
          <w:rFonts w:ascii="Arial" w:hAnsi="Arial" w:cs="Arial"/>
        </w:rPr>
        <w:footnoteReference w:id="196"/>
      </w:r>
      <w:r w:rsidR="000306E8" w:rsidRPr="00140702">
        <w:rPr>
          <w:rFonts w:ascii="Arial" w:hAnsi="Arial" w:cs="Arial"/>
        </w:rPr>
        <w:t xml:space="preserve"> </w:t>
      </w:r>
      <w:r w:rsidR="0037058E" w:rsidRPr="00140702">
        <w:rPr>
          <w:rFonts w:ascii="Arial" w:hAnsi="Arial" w:cs="Arial"/>
        </w:rPr>
        <w:t xml:space="preserve">In </w:t>
      </w:r>
      <w:r w:rsidR="000A6CA2" w:rsidRPr="00140702">
        <w:rPr>
          <w:rFonts w:ascii="Arial" w:hAnsi="Arial" w:cs="Arial"/>
        </w:rPr>
        <w:t>general coöperative</w:t>
      </w:r>
      <w:r w:rsidR="0037058E" w:rsidRPr="00140702">
        <w:rPr>
          <w:rFonts w:ascii="Arial" w:hAnsi="Arial" w:cs="Arial"/>
        </w:rPr>
        <w:t xml:space="preserve"> price maintenance agreements and resale price maintenance agreements</w:t>
      </w:r>
      <w:r w:rsidR="000A6CA2" w:rsidRPr="00140702">
        <w:rPr>
          <w:rFonts w:ascii="Arial" w:hAnsi="Arial" w:cs="Arial"/>
        </w:rPr>
        <w:t xml:space="preserve"> are regulated by the same legal principles and accordingly this paper will only consider the regulation of price maintenance agreements.</w:t>
      </w:r>
      <w:r w:rsidR="000A6CA2" w:rsidRPr="00140702">
        <w:rPr>
          <w:rStyle w:val="Funotenzeichen"/>
          <w:rFonts w:ascii="Arial" w:hAnsi="Arial" w:cs="Arial"/>
        </w:rPr>
        <w:footnoteReference w:id="197"/>
      </w:r>
      <w:r w:rsidR="00057910" w:rsidRPr="00140702">
        <w:rPr>
          <w:rFonts w:ascii="Arial" w:hAnsi="Arial" w:cs="Arial"/>
        </w:rPr>
        <w:t xml:space="preserve"> This paper will now discuss the functioning of price maintenance agreements and then it will consider its regulation under the law of contracts and the law of delict.</w:t>
      </w:r>
    </w:p>
    <w:p w:rsidR="00057910" w:rsidRPr="00140702" w:rsidRDefault="00057910" w:rsidP="00140702">
      <w:pPr>
        <w:contextualSpacing/>
        <w:jc w:val="both"/>
        <w:rPr>
          <w:rFonts w:ascii="Arial" w:hAnsi="Arial" w:cs="Arial"/>
        </w:rPr>
      </w:pPr>
    </w:p>
    <w:p w:rsidR="00057910" w:rsidRPr="00140702" w:rsidRDefault="00057910" w:rsidP="00140702">
      <w:pPr>
        <w:contextualSpacing/>
        <w:jc w:val="both"/>
        <w:rPr>
          <w:rFonts w:ascii="Arial" w:hAnsi="Arial" w:cs="Arial"/>
        </w:rPr>
      </w:pPr>
      <w:r w:rsidRPr="00140702">
        <w:rPr>
          <w:rFonts w:ascii="Arial" w:hAnsi="Arial" w:cs="Arial"/>
        </w:rPr>
        <w:t>2.3.</w:t>
      </w:r>
      <w:r w:rsidR="00D63EC8" w:rsidRPr="00140702">
        <w:rPr>
          <w:rFonts w:ascii="Arial" w:hAnsi="Arial" w:cs="Arial"/>
        </w:rPr>
        <w:t>2</w:t>
      </w:r>
      <w:r w:rsidRPr="00140702">
        <w:rPr>
          <w:rFonts w:ascii="Arial" w:hAnsi="Arial" w:cs="Arial"/>
        </w:rPr>
        <w:t>.</w:t>
      </w:r>
      <w:r w:rsidR="00D63EC8" w:rsidRPr="00140702">
        <w:rPr>
          <w:rFonts w:ascii="Arial" w:hAnsi="Arial" w:cs="Arial"/>
        </w:rPr>
        <w:t>2</w:t>
      </w:r>
      <w:r w:rsidRPr="00140702">
        <w:rPr>
          <w:rFonts w:ascii="Arial" w:hAnsi="Arial" w:cs="Arial"/>
        </w:rPr>
        <w:t xml:space="preserve"> Functioning of price maintenance agreements</w:t>
      </w:r>
    </w:p>
    <w:p w:rsidR="00AD1A40" w:rsidRPr="00140702" w:rsidRDefault="000977E0" w:rsidP="00140702">
      <w:pPr>
        <w:contextualSpacing/>
        <w:jc w:val="both"/>
        <w:rPr>
          <w:rFonts w:ascii="Arial" w:hAnsi="Arial" w:cs="Arial"/>
        </w:rPr>
      </w:pPr>
      <w:r w:rsidRPr="00140702">
        <w:rPr>
          <w:rFonts w:ascii="Arial" w:hAnsi="Arial" w:cs="Arial"/>
        </w:rPr>
        <w:t>From the preceding paragraph it is clear that the purpose of a resale price maintenance agreement is to set the price that consumers pay for a specific product.</w:t>
      </w:r>
      <w:r w:rsidRPr="00140702">
        <w:rPr>
          <w:rStyle w:val="Funotenzeichen"/>
          <w:rFonts w:ascii="Arial" w:hAnsi="Arial" w:cs="Arial"/>
        </w:rPr>
        <w:footnoteReference w:id="198"/>
      </w:r>
      <w:r w:rsidRPr="00140702">
        <w:rPr>
          <w:rFonts w:ascii="Arial" w:hAnsi="Arial" w:cs="Arial"/>
        </w:rPr>
        <w:t xml:space="preserve"> </w:t>
      </w:r>
      <w:r w:rsidR="00A93BDD" w:rsidRPr="00140702">
        <w:rPr>
          <w:rFonts w:ascii="Arial" w:hAnsi="Arial" w:cs="Arial"/>
        </w:rPr>
        <w:t>In terms of a price maintenance agreement the supplier agrees to supply the retailer with produc</w:t>
      </w:r>
      <w:r w:rsidR="00D200DC" w:rsidRPr="00140702">
        <w:rPr>
          <w:rFonts w:ascii="Arial" w:hAnsi="Arial" w:cs="Arial"/>
        </w:rPr>
        <w:t>ts</w:t>
      </w:r>
      <w:r w:rsidR="00A93BDD" w:rsidRPr="00140702">
        <w:rPr>
          <w:rFonts w:ascii="Arial" w:hAnsi="Arial" w:cs="Arial"/>
        </w:rPr>
        <w:t xml:space="preserve"> and the retailer in turn agrees n</w:t>
      </w:r>
      <w:r w:rsidR="00D200DC" w:rsidRPr="00140702">
        <w:rPr>
          <w:rFonts w:ascii="Arial" w:hAnsi="Arial" w:cs="Arial"/>
        </w:rPr>
        <w:t>ot to sell the suppliers products</w:t>
      </w:r>
      <w:r w:rsidR="00A93BDD" w:rsidRPr="00140702">
        <w:rPr>
          <w:rFonts w:ascii="Arial" w:hAnsi="Arial" w:cs="Arial"/>
        </w:rPr>
        <w:t xml:space="preserve"> at a price lower than </w:t>
      </w:r>
      <w:r w:rsidR="00607548" w:rsidRPr="00140702">
        <w:rPr>
          <w:rFonts w:ascii="Arial" w:hAnsi="Arial" w:cs="Arial"/>
        </w:rPr>
        <w:t>that</w:t>
      </w:r>
      <w:r w:rsidR="00A93BDD" w:rsidRPr="00140702">
        <w:rPr>
          <w:rFonts w:ascii="Arial" w:hAnsi="Arial" w:cs="Arial"/>
        </w:rPr>
        <w:t xml:space="preserve"> prescribed by the supplier.</w:t>
      </w:r>
      <w:r w:rsidR="00A93BDD" w:rsidRPr="00140702">
        <w:rPr>
          <w:rStyle w:val="Funotenzeichen"/>
          <w:rFonts w:ascii="Arial" w:hAnsi="Arial" w:cs="Arial"/>
        </w:rPr>
        <w:footnoteReference w:id="199"/>
      </w:r>
      <w:r w:rsidRPr="00140702">
        <w:rPr>
          <w:rFonts w:ascii="Arial" w:hAnsi="Arial" w:cs="Arial"/>
        </w:rPr>
        <w:t xml:space="preserve"> </w:t>
      </w:r>
      <w:r w:rsidR="00A93BDD" w:rsidRPr="00140702">
        <w:rPr>
          <w:rFonts w:ascii="Arial" w:hAnsi="Arial" w:cs="Arial"/>
        </w:rPr>
        <w:t>If a retailer were to break this agreement the suppliers can choose between 2 types of remedies.</w:t>
      </w:r>
      <w:r w:rsidR="00A93BDD" w:rsidRPr="00140702">
        <w:rPr>
          <w:rStyle w:val="Funotenzeichen"/>
          <w:rFonts w:ascii="Arial" w:hAnsi="Arial" w:cs="Arial"/>
        </w:rPr>
        <w:footnoteReference w:id="200"/>
      </w:r>
      <w:r w:rsidR="00A93BDD" w:rsidRPr="00140702">
        <w:rPr>
          <w:rFonts w:ascii="Arial" w:hAnsi="Arial" w:cs="Arial"/>
        </w:rPr>
        <w:t xml:space="preserve"> </w:t>
      </w:r>
    </w:p>
    <w:p w:rsidR="00AD1A40" w:rsidRPr="00140702" w:rsidRDefault="00AD1A40" w:rsidP="00140702">
      <w:pPr>
        <w:contextualSpacing/>
        <w:jc w:val="both"/>
        <w:rPr>
          <w:rFonts w:ascii="Arial" w:hAnsi="Arial" w:cs="Arial"/>
        </w:rPr>
      </w:pPr>
    </w:p>
    <w:p w:rsidR="00B64D4E" w:rsidRPr="00140702" w:rsidRDefault="00A93BDD" w:rsidP="00140702">
      <w:pPr>
        <w:contextualSpacing/>
        <w:jc w:val="both"/>
        <w:rPr>
          <w:rFonts w:ascii="Arial" w:hAnsi="Arial" w:cs="Arial"/>
        </w:rPr>
      </w:pPr>
      <w:r w:rsidRPr="00140702">
        <w:rPr>
          <w:rFonts w:ascii="Arial" w:hAnsi="Arial" w:cs="Arial"/>
        </w:rPr>
        <w:t xml:space="preserve">Firstly, the supplier can </w:t>
      </w:r>
      <w:r w:rsidR="00670CD1" w:rsidRPr="00140702">
        <w:rPr>
          <w:rFonts w:ascii="Arial" w:hAnsi="Arial" w:cs="Arial"/>
        </w:rPr>
        <w:t xml:space="preserve">sue the retailer for breach of contract </w:t>
      </w:r>
      <w:r w:rsidR="00BE687A" w:rsidRPr="00140702">
        <w:rPr>
          <w:rFonts w:ascii="Arial" w:hAnsi="Arial" w:cs="Arial"/>
        </w:rPr>
        <w:t>and secondly the supplier can stop supplying the retailer with his produc</w:t>
      </w:r>
      <w:r w:rsidR="00607548" w:rsidRPr="00140702">
        <w:rPr>
          <w:rFonts w:ascii="Arial" w:hAnsi="Arial" w:cs="Arial"/>
        </w:rPr>
        <w:t>ts</w:t>
      </w:r>
      <w:r w:rsidR="00BE687A" w:rsidRPr="00140702">
        <w:rPr>
          <w:rFonts w:ascii="Arial" w:hAnsi="Arial" w:cs="Arial"/>
        </w:rPr>
        <w:t>.</w:t>
      </w:r>
      <w:r w:rsidR="0071485D" w:rsidRPr="00140702">
        <w:rPr>
          <w:rStyle w:val="Funotenzeichen"/>
          <w:rFonts w:ascii="Arial" w:hAnsi="Arial" w:cs="Arial"/>
        </w:rPr>
        <w:footnoteReference w:id="201"/>
      </w:r>
      <w:r w:rsidR="00BE687A" w:rsidRPr="00140702">
        <w:rPr>
          <w:rFonts w:ascii="Arial" w:hAnsi="Arial" w:cs="Arial"/>
        </w:rPr>
        <w:t xml:space="preserve"> Sometimes</w:t>
      </w:r>
      <w:r w:rsidR="0071485D" w:rsidRPr="00140702">
        <w:rPr>
          <w:rFonts w:ascii="Arial" w:hAnsi="Arial" w:cs="Arial"/>
        </w:rPr>
        <w:t xml:space="preserve"> with regard to the second remedy</w:t>
      </w:r>
      <w:r w:rsidR="00DA4CF4" w:rsidRPr="00140702">
        <w:rPr>
          <w:rFonts w:ascii="Arial" w:hAnsi="Arial" w:cs="Arial"/>
        </w:rPr>
        <w:t>,</w:t>
      </w:r>
      <w:r w:rsidR="00BE687A" w:rsidRPr="00140702">
        <w:rPr>
          <w:rFonts w:ascii="Arial" w:hAnsi="Arial" w:cs="Arial"/>
        </w:rPr>
        <w:t xml:space="preserve"> </w:t>
      </w:r>
      <w:r w:rsidR="0071485D" w:rsidRPr="00140702">
        <w:rPr>
          <w:rFonts w:ascii="Arial" w:hAnsi="Arial" w:cs="Arial"/>
        </w:rPr>
        <w:t>suppliers</w:t>
      </w:r>
      <w:r w:rsidR="00BE687A" w:rsidRPr="00140702">
        <w:rPr>
          <w:rFonts w:ascii="Arial" w:hAnsi="Arial" w:cs="Arial"/>
        </w:rPr>
        <w:t xml:space="preserve"> act collectively in terms of which a defaulting retailer is placed on what is called a stop-list</w:t>
      </w:r>
      <w:r w:rsidR="00DA4CF4" w:rsidRPr="00140702">
        <w:rPr>
          <w:rFonts w:ascii="Arial" w:hAnsi="Arial" w:cs="Arial"/>
        </w:rPr>
        <w:t xml:space="preserve"> in terms of which the supply to that retailer is stopped</w:t>
      </w:r>
      <w:r w:rsidR="00BE687A" w:rsidRPr="00140702">
        <w:rPr>
          <w:rFonts w:ascii="Arial" w:hAnsi="Arial" w:cs="Arial"/>
        </w:rPr>
        <w:t>.</w:t>
      </w:r>
      <w:r w:rsidR="00DA4CF4" w:rsidRPr="00140702">
        <w:rPr>
          <w:rStyle w:val="Funotenzeichen"/>
          <w:rFonts w:ascii="Arial" w:hAnsi="Arial" w:cs="Arial"/>
        </w:rPr>
        <w:footnoteReference w:id="202"/>
      </w:r>
      <w:r w:rsidR="00BE687A" w:rsidRPr="00140702">
        <w:rPr>
          <w:rFonts w:ascii="Arial" w:hAnsi="Arial" w:cs="Arial"/>
        </w:rPr>
        <w:t xml:space="preserve"> Th</w:t>
      </w:r>
      <w:r w:rsidR="00DA4CF4" w:rsidRPr="00140702">
        <w:rPr>
          <w:rFonts w:ascii="Arial" w:hAnsi="Arial" w:cs="Arial"/>
        </w:rPr>
        <w:t>e</w:t>
      </w:r>
      <w:r w:rsidR="00BE687A" w:rsidRPr="00140702">
        <w:rPr>
          <w:rFonts w:ascii="Arial" w:hAnsi="Arial" w:cs="Arial"/>
        </w:rPr>
        <w:t xml:space="preserve"> stop list is then </w:t>
      </w:r>
      <w:r w:rsidR="0071485D" w:rsidRPr="00140702">
        <w:rPr>
          <w:rFonts w:ascii="Arial" w:hAnsi="Arial" w:cs="Arial"/>
        </w:rPr>
        <w:t xml:space="preserve">distributed between the </w:t>
      </w:r>
      <w:r w:rsidR="008E6098" w:rsidRPr="00140702">
        <w:rPr>
          <w:rFonts w:ascii="Arial" w:hAnsi="Arial" w:cs="Arial"/>
        </w:rPr>
        <w:t xml:space="preserve">various </w:t>
      </w:r>
      <w:r w:rsidR="0071485D" w:rsidRPr="00140702">
        <w:rPr>
          <w:rFonts w:ascii="Arial" w:hAnsi="Arial" w:cs="Arial"/>
        </w:rPr>
        <w:t>suppliers acting collectively</w:t>
      </w:r>
      <w:r w:rsidR="00DA4CF4" w:rsidRPr="00140702">
        <w:rPr>
          <w:rFonts w:ascii="Arial" w:hAnsi="Arial" w:cs="Arial"/>
        </w:rPr>
        <w:t xml:space="preserve"> and accordingly all the participating suppliers </w:t>
      </w:r>
      <w:r w:rsidR="008E6098" w:rsidRPr="00140702">
        <w:rPr>
          <w:rFonts w:ascii="Arial" w:hAnsi="Arial" w:cs="Arial"/>
        </w:rPr>
        <w:t>discontinue</w:t>
      </w:r>
      <w:r w:rsidR="00DA4CF4" w:rsidRPr="00140702">
        <w:rPr>
          <w:rFonts w:ascii="Arial" w:hAnsi="Arial" w:cs="Arial"/>
        </w:rPr>
        <w:t xml:space="preserve"> t</w:t>
      </w:r>
      <w:r w:rsidR="008E6098" w:rsidRPr="00140702">
        <w:rPr>
          <w:rFonts w:ascii="Arial" w:hAnsi="Arial" w:cs="Arial"/>
        </w:rPr>
        <w:t>he</w:t>
      </w:r>
      <w:r w:rsidR="00DA4CF4" w:rsidRPr="00140702">
        <w:rPr>
          <w:rFonts w:ascii="Arial" w:hAnsi="Arial" w:cs="Arial"/>
        </w:rPr>
        <w:t xml:space="preserve"> supply </w:t>
      </w:r>
      <w:r w:rsidR="008E6098" w:rsidRPr="00140702">
        <w:rPr>
          <w:rFonts w:ascii="Arial" w:hAnsi="Arial" w:cs="Arial"/>
        </w:rPr>
        <w:t xml:space="preserve">of </w:t>
      </w:r>
      <w:r w:rsidR="00DA4CF4" w:rsidRPr="00140702">
        <w:rPr>
          <w:rFonts w:ascii="Arial" w:hAnsi="Arial" w:cs="Arial"/>
        </w:rPr>
        <w:t>their produc</w:t>
      </w:r>
      <w:r w:rsidR="00607548" w:rsidRPr="00140702">
        <w:rPr>
          <w:rFonts w:ascii="Arial" w:hAnsi="Arial" w:cs="Arial"/>
        </w:rPr>
        <w:t>ts</w:t>
      </w:r>
      <w:r w:rsidR="00DA4CF4" w:rsidRPr="00140702">
        <w:rPr>
          <w:rFonts w:ascii="Arial" w:hAnsi="Arial" w:cs="Arial"/>
        </w:rPr>
        <w:t xml:space="preserve"> to the specific retailer.</w:t>
      </w:r>
      <w:r w:rsidR="008E6098" w:rsidRPr="00140702">
        <w:rPr>
          <w:rStyle w:val="Funotenzeichen"/>
          <w:rFonts w:ascii="Arial" w:hAnsi="Arial" w:cs="Arial"/>
        </w:rPr>
        <w:footnoteReference w:id="203"/>
      </w:r>
      <w:r w:rsidR="00AE5E82" w:rsidRPr="00140702">
        <w:rPr>
          <w:rFonts w:ascii="Arial" w:hAnsi="Arial" w:cs="Arial"/>
        </w:rPr>
        <w:t xml:space="preserve"> The first remedy relates to the Law of Contracts and the second remedy relates to the Law of Delict.</w:t>
      </w:r>
      <w:r w:rsidR="00AE5E82" w:rsidRPr="00140702">
        <w:rPr>
          <w:rStyle w:val="Funotenzeichen"/>
          <w:rFonts w:ascii="Arial" w:hAnsi="Arial" w:cs="Arial"/>
        </w:rPr>
        <w:footnoteReference w:id="204"/>
      </w:r>
    </w:p>
    <w:p w:rsidR="00B64D4E" w:rsidRPr="00140702" w:rsidRDefault="00B64D4E" w:rsidP="00140702">
      <w:pPr>
        <w:contextualSpacing/>
        <w:jc w:val="both"/>
        <w:rPr>
          <w:rFonts w:ascii="Arial" w:hAnsi="Arial" w:cs="Arial"/>
        </w:rPr>
      </w:pPr>
    </w:p>
    <w:p w:rsidR="00607548" w:rsidRPr="00140702" w:rsidRDefault="00607548" w:rsidP="00140702">
      <w:pPr>
        <w:contextualSpacing/>
        <w:jc w:val="both"/>
        <w:rPr>
          <w:rFonts w:ascii="Arial" w:hAnsi="Arial" w:cs="Arial"/>
        </w:rPr>
      </w:pPr>
    </w:p>
    <w:p w:rsidR="00B64D4E" w:rsidRPr="00140702" w:rsidRDefault="00057910" w:rsidP="00140702">
      <w:pPr>
        <w:contextualSpacing/>
        <w:jc w:val="both"/>
        <w:rPr>
          <w:rFonts w:ascii="Arial" w:hAnsi="Arial" w:cs="Arial"/>
        </w:rPr>
      </w:pPr>
      <w:r w:rsidRPr="00140702">
        <w:rPr>
          <w:rFonts w:ascii="Arial" w:hAnsi="Arial" w:cs="Arial"/>
        </w:rPr>
        <w:t>2.3.</w:t>
      </w:r>
      <w:r w:rsidR="00D63EC8" w:rsidRPr="00140702">
        <w:rPr>
          <w:rFonts w:ascii="Arial" w:hAnsi="Arial" w:cs="Arial"/>
        </w:rPr>
        <w:t>2</w:t>
      </w:r>
      <w:r w:rsidRPr="00140702">
        <w:rPr>
          <w:rFonts w:ascii="Arial" w:hAnsi="Arial" w:cs="Arial"/>
        </w:rPr>
        <w:t>.3</w:t>
      </w:r>
      <w:r w:rsidR="0019799F" w:rsidRPr="00140702">
        <w:rPr>
          <w:rFonts w:ascii="Arial" w:hAnsi="Arial" w:cs="Arial"/>
        </w:rPr>
        <w:t xml:space="preserve"> Law of Contract</w:t>
      </w:r>
    </w:p>
    <w:p w:rsidR="00DF0C96" w:rsidRPr="00140702" w:rsidRDefault="00DF0C96" w:rsidP="00140702">
      <w:pPr>
        <w:contextualSpacing/>
        <w:jc w:val="both"/>
        <w:rPr>
          <w:rFonts w:ascii="Arial" w:hAnsi="Arial" w:cs="Arial"/>
        </w:rPr>
      </w:pPr>
      <w:r w:rsidRPr="00140702">
        <w:rPr>
          <w:rFonts w:ascii="Arial" w:hAnsi="Arial" w:cs="Arial"/>
        </w:rPr>
        <w:t>In South African law the general principle with regard to concluding agreements is the principle that persons are free to contract on any terms provided that they do not violate any principle of public policy or any other legal principle.</w:t>
      </w:r>
      <w:r w:rsidRPr="00140702">
        <w:rPr>
          <w:rStyle w:val="Funotenzeichen"/>
          <w:rFonts w:ascii="Arial" w:hAnsi="Arial" w:cs="Arial"/>
        </w:rPr>
        <w:footnoteReference w:id="205"/>
      </w:r>
      <w:r w:rsidRPr="00140702">
        <w:rPr>
          <w:rFonts w:ascii="Arial" w:hAnsi="Arial" w:cs="Arial"/>
        </w:rPr>
        <w:t xml:space="preserve"> </w:t>
      </w:r>
      <w:r w:rsidR="00813FAB" w:rsidRPr="00140702">
        <w:rPr>
          <w:rFonts w:ascii="Arial" w:hAnsi="Arial" w:cs="Arial"/>
        </w:rPr>
        <w:t>This freedom to contract</w:t>
      </w:r>
      <w:r w:rsidR="001524CF" w:rsidRPr="00140702">
        <w:rPr>
          <w:rFonts w:ascii="Arial" w:hAnsi="Arial" w:cs="Arial"/>
        </w:rPr>
        <w:t xml:space="preserve"> in turn is limited by another principle which states that any agreement that places an unreasonable restraint of trade on a person is contrary to public policy.</w:t>
      </w:r>
      <w:r w:rsidR="001524CF" w:rsidRPr="00140702">
        <w:rPr>
          <w:rStyle w:val="Funotenzeichen"/>
          <w:rFonts w:ascii="Arial" w:hAnsi="Arial" w:cs="Arial"/>
        </w:rPr>
        <w:footnoteReference w:id="206"/>
      </w:r>
      <w:r w:rsidR="009663BB" w:rsidRPr="00140702">
        <w:rPr>
          <w:rFonts w:ascii="Arial" w:hAnsi="Arial" w:cs="Arial"/>
        </w:rPr>
        <w:t xml:space="preserve"> Accordingly, coöperative price maintenance agreements and resale price maintenance agreements are dealt with under the principle of restraint of trade.</w:t>
      </w:r>
      <w:r w:rsidR="009663BB" w:rsidRPr="00140702">
        <w:rPr>
          <w:rStyle w:val="Funotenzeichen"/>
          <w:rFonts w:ascii="Arial" w:hAnsi="Arial" w:cs="Arial"/>
        </w:rPr>
        <w:footnoteReference w:id="207"/>
      </w:r>
    </w:p>
    <w:p w:rsidR="00DF0C96" w:rsidRPr="00140702" w:rsidRDefault="00DF0C96" w:rsidP="00140702">
      <w:pPr>
        <w:contextualSpacing/>
        <w:jc w:val="both"/>
        <w:rPr>
          <w:rFonts w:ascii="Arial" w:hAnsi="Arial" w:cs="Arial"/>
        </w:rPr>
      </w:pPr>
    </w:p>
    <w:p w:rsidR="00B64D4E" w:rsidRPr="00140702" w:rsidRDefault="008C3E22" w:rsidP="00140702">
      <w:pPr>
        <w:contextualSpacing/>
        <w:jc w:val="both"/>
        <w:rPr>
          <w:rFonts w:ascii="Arial" w:hAnsi="Arial" w:cs="Arial"/>
        </w:rPr>
      </w:pPr>
      <w:r w:rsidRPr="00140702">
        <w:rPr>
          <w:rFonts w:ascii="Arial" w:hAnsi="Arial" w:cs="Arial"/>
        </w:rPr>
        <w:t>In the case of Tothill v Gordon</w:t>
      </w:r>
      <w:r w:rsidRPr="00140702">
        <w:rPr>
          <w:rStyle w:val="Funotenzeichen"/>
          <w:rFonts w:ascii="Arial" w:hAnsi="Arial" w:cs="Arial"/>
        </w:rPr>
        <w:footnoteReference w:id="208"/>
      </w:r>
      <w:r w:rsidR="00A31048" w:rsidRPr="00140702">
        <w:rPr>
          <w:rFonts w:ascii="Arial" w:hAnsi="Arial" w:cs="Arial"/>
        </w:rPr>
        <w:t xml:space="preserve"> it was decided </w:t>
      </w:r>
      <w:r w:rsidR="00420278" w:rsidRPr="00140702">
        <w:rPr>
          <w:rFonts w:ascii="Arial" w:hAnsi="Arial" w:cs="Arial"/>
        </w:rPr>
        <w:t>that those agreements</w:t>
      </w:r>
      <w:r w:rsidR="00A31048" w:rsidRPr="00140702">
        <w:rPr>
          <w:rFonts w:ascii="Arial" w:hAnsi="Arial" w:cs="Arial"/>
        </w:rPr>
        <w:t xml:space="preserve"> which </w:t>
      </w:r>
      <w:r w:rsidR="00420278" w:rsidRPr="00140702">
        <w:rPr>
          <w:rFonts w:ascii="Arial" w:hAnsi="Arial" w:cs="Arial"/>
        </w:rPr>
        <w:t>are</w:t>
      </w:r>
      <w:r w:rsidR="00A31048" w:rsidRPr="00140702">
        <w:rPr>
          <w:rFonts w:ascii="Arial" w:hAnsi="Arial" w:cs="Arial"/>
        </w:rPr>
        <w:t xml:space="preserve"> concluded in order to fix prices and the conditions under which goods are bought and sold i.e. </w:t>
      </w:r>
      <w:r w:rsidR="00C24552" w:rsidRPr="00140702">
        <w:rPr>
          <w:rFonts w:ascii="Arial" w:hAnsi="Arial" w:cs="Arial"/>
        </w:rPr>
        <w:t>coöperative price maintenance agreements and resale price maintenance agreements are not in itself contrary to South African law.</w:t>
      </w:r>
      <w:r w:rsidR="00E01DFD" w:rsidRPr="00140702">
        <w:rPr>
          <w:rStyle w:val="Funotenzeichen"/>
          <w:rFonts w:ascii="Arial" w:hAnsi="Arial" w:cs="Arial"/>
        </w:rPr>
        <w:footnoteReference w:id="209"/>
      </w:r>
      <w:r w:rsidR="00C24552" w:rsidRPr="00140702">
        <w:rPr>
          <w:rFonts w:ascii="Arial" w:hAnsi="Arial" w:cs="Arial"/>
        </w:rPr>
        <w:t xml:space="preserve"> Accordingly, these contracts are enforceable in South African law </w:t>
      </w:r>
      <w:r w:rsidR="00420278" w:rsidRPr="00140702">
        <w:rPr>
          <w:rFonts w:ascii="Arial" w:hAnsi="Arial" w:cs="Arial"/>
        </w:rPr>
        <w:t>i.e.</w:t>
      </w:r>
      <w:r w:rsidR="00C24552" w:rsidRPr="00140702">
        <w:rPr>
          <w:rFonts w:ascii="Arial" w:hAnsi="Arial" w:cs="Arial"/>
        </w:rPr>
        <w:t xml:space="preserve"> when a retailer </w:t>
      </w:r>
      <w:r w:rsidR="00420278" w:rsidRPr="00140702">
        <w:rPr>
          <w:rFonts w:ascii="Arial" w:hAnsi="Arial" w:cs="Arial"/>
        </w:rPr>
        <w:t>breach</w:t>
      </w:r>
      <w:r w:rsidR="00FC7807" w:rsidRPr="00140702">
        <w:rPr>
          <w:rFonts w:ascii="Arial" w:hAnsi="Arial" w:cs="Arial"/>
        </w:rPr>
        <w:t>es</w:t>
      </w:r>
      <w:r w:rsidR="00420278" w:rsidRPr="00140702">
        <w:rPr>
          <w:rFonts w:ascii="Arial" w:hAnsi="Arial" w:cs="Arial"/>
        </w:rPr>
        <w:t xml:space="preserve"> a </w:t>
      </w:r>
      <w:r w:rsidR="00FC7807" w:rsidRPr="00140702">
        <w:rPr>
          <w:rFonts w:ascii="Arial" w:hAnsi="Arial" w:cs="Arial"/>
        </w:rPr>
        <w:t>coöperative price maintenance agreement or a resale price maintenance agreement</w:t>
      </w:r>
      <w:r w:rsidR="00420278" w:rsidRPr="00140702">
        <w:rPr>
          <w:rFonts w:ascii="Arial" w:hAnsi="Arial" w:cs="Arial"/>
        </w:rPr>
        <w:t xml:space="preserve"> the supplier has legal recourse against him.</w:t>
      </w:r>
      <w:r w:rsidR="00E01DFD" w:rsidRPr="00140702">
        <w:rPr>
          <w:rStyle w:val="Funotenzeichen"/>
          <w:rFonts w:ascii="Arial" w:hAnsi="Arial" w:cs="Arial"/>
        </w:rPr>
        <w:footnoteReference w:id="210"/>
      </w:r>
    </w:p>
    <w:p w:rsidR="009663BB" w:rsidRPr="00140702" w:rsidRDefault="009663BB" w:rsidP="00140702">
      <w:pPr>
        <w:contextualSpacing/>
        <w:jc w:val="both"/>
        <w:rPr>
          <w:rFonts w:ascii="Arial" w:hAnsi="Arial" w:cs="Arial"/>
        </w:rPr>
      </w:pPr>
    </w:p>
    <w:p w:rsidR="006830F1" w:rsidRPr="00140702" w:rsidRDefault="00A867ED" w:rsidP="00140702">
      <w:pPr>
        <w:contextualSpacing/>
        <w:jc w:val="both"/>
        <w:rPr>
          <w:rFonts w:ascii="Arial" w:hAnsi="Arial" w:cs="Arial"/>
        </w:rPr>
      </w:pPr>
      <w:r w:rsidRPr="00140702">
        <w:rPr>
          <w:rFonts w:ascii="Arial" w:hAnsi="Arial" w:cs="Arial"/>
        </w:rPr>
        <w:t xml:space="preserve">From the preceding paragraph it is </w:t>
      </w:r>
      <w:r w:rsidR="00AE1165" w:rsidRPr="00140702">
        <w:rPr>
          <w:rFonts w:ascii="Arial" w:hAnsi="Arial" w:cs="Arial"/>
        </w:rPr>
        <w:t xml:space="preserve">quite </w:t>
      </w:r>
      <w:r w:rsidRPr="00140702">
        <w:rPr>
          <w:rFonts w:ascii="Arial" w:hAnsi="Arial" w:cs="Arial"/>
        </w:rPr>
        <w:t>clear that the South African Law of Contracts is not only inadequate in dealing with monopol</w:t>
      </w:r>
      <w:r w:rsidR="003B45CA" w:rsidRPr="00140702">
        <w:rPr>
          <w:rFonts w:ascii="Arial" w:hAnsi="Arial" w:cs="Arial"/>
        </w:rPr>
        <w:t>y conduct</w:t>
      </w:r>
      <w:r w:rsidRPr="00140702">
        <w:rPr>
          <w:rFonts w:ascii="Arial" w:hAnsi="Arial" w:cs="Arial"/>
        </w:rPr>
        <w:t xml:space="preserve"> </w:t>
      </w:r>
      <w:r w:rsidR="00BF1A58" w:rsidRPr="00140702">
        <w:rPr>
          <w:rFonts w:ascii="Arial" w:hAnsi="Arial" w:cs="Arial"/>
        </w:rPr>
        <w:t xml:space="preserve">but </w:t>
      </w:r>
      <w:r w:rsidRPr="00140702">
        <w:rPr>
          <w:rFonts w:ascii="Arial" w:hAnsi="Arial" w:cs="Arial"/>
        </w:rPr>
        <w:t xml:space="preserve">in certain instances it even </w:t>
      </w:r>
      <w:r w:rsidR="00AE1165" w:rsidRPr="00140702">
        <w:rPr>
          <w:rFonts w:ascii="Arial" w:hAnsi="Arial" w:cs="Arial"/>
        </w:rPr>
        <w:t>contributes to the use of monopol</w:t>
      </w:r>
      <w:r w:rsidR="003B45CA" w:rsidRPr="00140702">
        <w:rPr>
          <w:rFonts w:ascii="Arial" w:hAnsi="Arial" w:cs="Arial"/>
        </w:rPr>
        <w:t>y conduct</w:t>
      </w:r>
      <w:r w:rsidR="00AE1165" w:rsidRPr="00140702">
        <w:rPr>
          <w:rFonts w:ascii="Arial" w:hAnsi="Arial" w:cs="Arial"/>
        </w:rPr>
        <w:t>.</w:t>
      </w:r>
      <w:r w:rsidR="00AE1165" w:rsidRPr="00140702">
        <w:rPr>
          <w:rStyle w:val="Funotenzeichen"/>
          <w:rFonts w:ascii="Arial" w:hAnsi="Arial" w:cs="Arial"/>
        </w:rPr>
        <w:footnoteReference w:id="211"/>
      </w:r>
      <w:r w:rsidRPr="00140702">
        <w:rPr>
          <w:rFonts w:ascii="Arial" w:hAnsi="Arial" w:cs="Arial"/>
        </w:rPr>
        <w:t xml:space="preserve"> </w:t>
      </w:r>
    </w:p>
    <w:p w:rsidR="006830F1" w:rsidRPr="00140702" w:rsidRDefault="006830F1" w:rsidP="00140702">
      <w:pPr>
        <w:contextualSpacing/>
        <w:jc w:val="both"/>
        <w:rPr>
          <w:rFonts w:ascii="Arial" w:hAnsi="Arial" w:cs="Arial"/>
        </w:rPr>
      </w:pPr>
    </w:p>
    <w:p w:rsidR="000E39CE" w:rsidRPr="00140702" w:rsidRDefault="00057910" w:rsidP="00140702">
      <w:pPr>
        <w:contextualSpacing/>
        <w:jc w:val="both"/>
        <w:rPr>
          <w:rFonts w:ascii="Arial" w:hAnsi="Arial" w:cs="Arial"/>
        </w:rPr>
      </w:pPr>
      <w:r w:rsidRPr="00140702">
        <w:rPr>
          <w:rFonts w:ascii="Arial" w:hAnsi="Arial" w:cs="Arial"/>
        </w:rPr>
        <w:t>2.3.</w:t>
      </w:r>
      <w:r w:rsidR="00D63EC8" w:rsidRPr="00140702">
        <w:rPr>
          <w:rFonts w:ascii="Arial" w:hAnsi="Arial" w:cs="Arial"/>
        </w:rPr>
        <w:t>2</w:t>
      </w:r>
      <w:r w:rsidRPr="00140702">
        <w:rPr>
          <w:rFonts w:ascii="Arial" w:hAnsi="Arial" w:cs="Arial"/>
        </w:rPr>
        <w:t>.</w:t>
      </w:r>
      <w:r w:rsidR="00D63EC8" w:rsidRPr="00140702">
        <w:rPr>
          <w:rFonts w:ascii="Arial" w:hAnsi="Arial" w:cs="Arial"/>
        </w:rPr>
        <w:t>4</w:t>
      </w:r>
      <w:r w:rsidR="000E39CE" w:rsidRPr="00140702">
        <w:rPr>
          <w:rFonts w:ascii="Arial" w:hAnsi="Arial" w:cs="Arial"/>
        </w:rPr>
        <w:t xml:space="preserve"> </w:t>
      </w:r>
      <w:r w:rsidR="00B44E0D" w:rsidRPr="00140702">
        <w:rPr>
          <w:rFonts w:ascii="Arial" w:hAnsi="Arial" w:cs="Arial"/>
        </w:rPr>
        <w:t>Law of Delict</w:t>
      </w:r>
    </w:p>
    <w:p w:rsidR="000E39CE" w:rsidRPr="00140702" w:rsidRDefault="003C3A31" w:rsidP="00140702">
      <w:pPr>
        <w:contextualSpacing/>
        <w:jc w:val="both"/>
        <w:rPr>
          <w:rFonts w:ascii="Arial" w:hAnsi="Arial" w:cs="Arial"/>
        </w:rPr>
      </w:pPr>
      <w:r w:rsidRPr="00140702">
        <w:rPr>
          <w:rFonts w:ascii="Arial" w:hAnsi="Arial" w:cs="Arial"/>
        </w:rPr>
        <w:t xml:space="preserve">We now come to the </w:t>
      </w:r>
      <w:r w:rsidR="00251424" w:rsidRPr="00140702">
        <w:rPr>
          <w:rFonts w:ascii="Arial" w:hAnsi="Arial" w:cs="Arial"/>
        </w:rPr>
        <w:t>use</w:t>
      </w:r>
      <w:r w:rsidRPr="00140702">
        <w:rPr>
          <w:rFonts w:ascii="Arial" w:hAnsi="Arial" w:cs="Arial"/>
        </w:rPr>
        <w:t xml:space="preserve"> of stop-list</w:t>
      </w:r>
      <w:r w:rsidR="00251424" w:rsidRPr="00140702">
        <w:rPr>
          <w:rFonts w:ascii="Arial" w:hAnsi="Arial" w:cs="Arial"/>
        </w:rPr>
        <w:t>s</w:t>
      </w:r>
      <w:r w:rsidRPr="00140702">
        <w:rPr>
          <w:rFonts w:ascii="Arial" w:hAnsi="Arial" w:cs="Arial"/>
        </w:rPr>
        <w:t xml:space="preserve"> as previously described. I</w:t>
      </w:r>
      <w:r w:rsidR="00AE5E82" w:rsidRPr="00140702">
        <w:rPr>
          <w:rFonts w:ascii="Arial" w:hAnsi="Arial" w:cs="Arial"/>
        </w:rPr>
        <w:t>n the case of Tothill v Gordon</w:t>
      </w:r>
      <w:r w:rsidR="00AE5E82" w:rsidRPr="00140702">
        <w:rPr>
          <w:rStyle w:val="Funotenzeichen"/>
          <w:rFonts w:ascii="Arial" w:hAnsi="Arial" w:cs="Arial"/>
        </w:rPr>
        <w:footnoteReference w:id="212"/>
      </w:r>
      <w:r w:rsidR="00AE5E82" w:rsidRPr="00140702">
        <w:rPr>
          <w:rFonts w:ascii="Arial" w:hAnsi="Arial" w:cs="Arial"/>
        </w:rPr>
        <w:t xml:space="preserve"> </w:t>
      </w:r>
      <w:r w:rsidRPr="00140702">
        <w:rPr>
          <w:rFonts w:ascii="Arial" w:hAnsi="Arial" w:cs="Arial"/>
        </w:rPr>
        <w:t xml:space="preserve">the court </w:t>
      </w:r>
      <w:r w:rsidR="00AE5E82" w:rsidRPr="00140702">
        <w:rPr>
          <w:rFonts w:ascii="Arial" w:hAnsi="Arial" w:cs="Arial"/>
        </w:rPr>
        <w:t>concluded that the use of stop-lists is not contrary to South African law and hence these stop-lists are legally enforceable in South Africa.</w:t>
      </w:r>
      <w:r w:rsidR="00AE5E82" w:rsidRPr="00140702">
        <w:rPr>
          <w:rStyle w:val="Funotenzeichen"/>
          <w:rFonts w:ascii="Arial" w:hAnsi="Arial" w:cs="Arial"/>
        </w:rPr>
        <w:footnoteReference w:id="213"/>
      </w:r>
      <w:r w:rsidR="00FC7807" w:rsidRPr="00140702">
        <w:rPr>
          <w:rFonts w:ascii="Arial" w:hAnsi="Arial" w:cs="Arial"/>
        </w:rPr>
        <w:t xml:space="preserve"> This means that suppliers can legally boycott any retailer from selling the suppliers goods if the retailer acted contrary to any coöperative price maintenance agreement or a</w:t>
      </w:r>
      <w:r w:rsidR="00663FE8" w:rsidRPr="00140702">
        <w:rPr>
          <w:rFonts w:ascii="Arial" w:hAnsi="Arial" w:cs="Arial"/>
        </w:rPr>
        <w:t>ny</w:t>
      </w:r>
      <w:r w:rsidR="00FC7807" w:rsidRPr="00140702">
        <w:rPr>
          <w:rFonts w:ascii="Arial" w:hAnsi="Arial" w:cs="Arial"/>
        </w:rPr>
        <w:t xml:space="preserve"> resale price maintenance agreement.</w:t>
      </w:r>
      <w:r w:rsidR="00663FE8" w:rsidRPr="00140702">
        <w:rPr>
          <w:rStyle w:val="Funotenzeichen"/>
          <w:rFonts w:ascii="Arial" w:hAnsi="Arial" w:cs="Arial"/>
        </w:rPr>
        <w:footnoteReference w:id="214"/>
      </w:r>
    </w:p>
    <w:p w:rsidR="00097EAF" w:rsidRPr="00140702" w:rsidRDefault="00097EAF" w:rsidP="00140702">
      <w:pPr>
        <w:contextualSpacing/>
        <w:jc w:val="both"/>
        <w:rPr>
          <w:rFonts w:ascii="Arial" w:hAnsi="Arial" w:cs="Arial"/>
        </w:rPr>
      </w:pPr>
    </w:p>
    <w:p w:rsidR="003B29C4" w:rsidRPr="00140702" w:rsidRDefault="00097EAF" w:rsidP="00140702">
      <w:pPr>
        <w:contextualSpacing/>
        <w:jc w:val="both"/>
        <w:rPr>
          <w:rFonts w:ascii="Arial" w:hAnsi="Arial" w:cs="Arial"/>
        </w:rPr>
      </w:pPr>
      <w:r w:rsidRPr="00140702">
        <w:rPr>
          <w:rFonts w:ascii="Arial" w:hAnsi="Arial" w:cs="Arial"/>
        </w:rPr>
        <w:t xml:space="preserve">From the preceding paragraph it is </w:t>
      </w:r>
      <w:r w:rsidR="00A32132" w:rsidRPr="00140702">
        <w:rPr>
          <w:rFonts w:ascii="Arial" w:hAnsi="Arial" w:cs="Arial"/>
        </w:rPr>
        <w:t>pretty</w:t>
      </w:r>
      <w:r w:rsidRPr="00140702">
        <w:rPr>
          <w:rFonts w:ascii="Arial" w:hAnsi="Arial" w:cs="Arial"/>
        </w:rPr>
        <w:t xml:space="preserve"> clear that the South African Law of Delict is inadequate in dealing with monopol</w:t>
      </w:r>
      <w:r w:rsidR="00A32132" w:rsidRPr="00140702">
        <w:rPr>
          <w:rFonts w:ascii="Arial" w:hAnsi="Arial" w:cs="Arial"/>
        </w:rPr>
        <w:t>y conduct</w:t>
      </w:r>
      <w:r w:rsidRPr="00140702">
        <w:rPr>
          <w:rFonts w:ascii="Arial" w:hAnsi="Arial" w:cs="Arial"/>
        </w:rPr>
        <w:t>.</w:t>
      </w:r>
      <w:r w:rsidRPr="00140702">
        <w:rPr>
          <w:rStyle w:val="Funotenzeichen"/>
          <w:rFonts w:ascii="Arial" w:hAnsi="Arial" w:cs="Arial"/>
        </w:rPr>
        <w:footnoteReference w:id="215"/>
      </w:r>
      <w:r w:rsidR="00A07D53" w:rsidRPr="00140702">
        <w:rPr>
          <w:rFonts w:ascii="Arial" w:hAnsi="Arial" w:cs="Arial"/>
        </w:rPr>
        <w:t xml:space="preserve"> Taking into consideration the Law of Contract and the Law of Delict it is clear that the net effect of the South African Civil Law is to enhance the use of monopol</w:t>
      </w:r>
      <w:r w:rsidR="00A32132" w:rsidRPr="00140702">
        <w:rPr>
          <w:rFonts w:ascii="Arial" w:hAnsi="Arial" w:cs="Arial"/>
        </w:rPr>
        <w:t>y conduct and not to prohibit it</w:t>
      </w:r>
      <w:r w:rsidR="00A07D53" w:rsidRPr="00140702">
        <w:rPr>
          <w:rFonts w:ascii="Arial" w:hAnsi="Arial" w:cs="Arial"/>
        </w:rPr>
        <w:t>.</w:t>
      </w:r>
      <w:r w:rsidR="00762195" w:rsidRPr="00140702">
        <w:rPr>
          <w:rStyle w:val="Funotenzeichen"/>
          <w:rFonts w:ascii="Arial" w:hAnsi="Arial" w:cs="Arial"/>
        </w:rPr>
        <w:footnoteReference w:id="216"/>
      </w:r>
    </w:p>
    <w:p w:rsidR="003B29C4" w:rsidRPr="00140702" w:rsidRDefault="003B29C4" w:rsidP="00140702">
      <w:pPr>
        <w:contextualSpacing/>
        <w:jc w:val="both"/>
        <w:rPr>
          <w:rFonts w:ascii="Arial" w:hAnsi="Arial" w:cs="Arial"/>
        </w:rPr>
      </w:pPr>
    </w:p>
    <w:p w:rsidR="00D63EC8" w:rsidRPr="00140702" w:rsidRDefault="00D63EC8" w:rsidP="00140702">
      <w:pPr>
        <w:contextualSpacing/>
        <w:jc w:val="both"/>
        <w:rPr>
          <w:rFonts w:ascii="Arial" w:hAnsi="Arial" w:cs="Arial"/>
        </w:rPr>
      </w:pPr>
      <w:r w:rsidRPr="00140702">
        <w:rPr>
          <w:rFonts w:ascii="Arial" w:hAnsi="Arial" w:cs="Arial"/>
        </w:rPr>
        <w:t>2.3.2.5 The South African context</w:t>
      </w:r>
    </w:p>
    <w:p w:rsidR="00CA48C0" w:rsidRPr="00140702" w:rsidRDefault="00B21529" w:rsidP="00140702">
      <w:pPr>
        <w:pStyle w:val="western"/>
        <w:spacing w:after="0" w:line="360" w:lineRule="auto"/>
        <w:contextualSpacing/>
        <w:jc w:val="both"/>
        <w:rPr>
          <w:rFonts w:ascii="Arial" w:hAnsi="Arial" w:cs="Arial"/>
        </w:rPr>
      </w:pPr>
      <w:r w:rsidRPr="00140702">
        <w:rPr>
          <w:rFonts w:ascii="Arial" w:hAnsi="Arial" w:cs="Arial"/>
        </w:rPr>
        <w:t>The preceding paragraphs indicate that the complete inadequacy and ignorance of the South African common law regarding the regulation of monopol</w:t>
      </w:r>
      <w:r w:rsidR="00A32132" w:rsidRPr="00140702">
        <w:rPr>
          <w:rFonts w:ascii="Arial" w:hAnsi="Arial" w:cs="Arial"/>
        </w:rPr>
        <w:t>y conduct</w:t>
      </w:r>
      <w:r w:rsidRPr="00140702">
        <w:rPr>
          <w:rFonts w:ascii="Arial" w:hAnsi="Arial" w:cs="Arial"/>
        </w:rPr>
        <w:t xml:space="preserve"> contributed to the unskillfulness of the South African courts in </w:t>
      </w:r>
      <w:r w:rsidR="00F264A3" w:rsidRPr="00140702">
        <w:rPr>
          <w:rFonts w:ascii="Arial" w:hAnsi="Arial" w:cs="Arial"/>
        </w:rPr>
        <w:t xml:space="preserve">effectively </w:t>
      </w:r>
      <w:r w:rsidRPr="00140702">
        <w:rPr>
          <w:rFonts w:ascii="Arial" w:hAnsi="Arial" w:cs="Arial"/>
        </w:rPr>
        <w:t>dealing with monopol</w:t>
      </w:r>
      <w:r w:rsidR="00A32132" w:rsidRPr="00140702">
        <w:rPr>
          <w:rFonts w:ascii="Arial" w:hAnsi="Arial" w:cs="Arial"/>
        </w:rPr>
        <w:t>y conduct</w:t>
      </w:r>
      <w:r w:rsidRPr="00140702">
        <w:rPr>
          <w:rFonts w:ascii="Arial" w:hAnsi="Arial" w:cs="Arial"/>
        </w:rPr>
        <w:t>.</w:t>
      </w:r>
      <w:r w:rsidRPr="00140702">
        <w:rPr>
          <w:rStyle w:val="Funotenzeichen"/>
          <w:rFonts w:ascii="Arial" w:hAnsi="Arial" w:cs="Arial"/>
        </w:rPr>
        <w:footnoteReference w:id="217"/>
      </w:r>
      <w:r w:rsidRPr="00140702">
        <w:rPr>
          <w:rFonts w:ascii="Arial" w:hAnsi="Arial" w:cs="Arial"/>
        </w:rPr>
        <w:t xml:space="preserve"> Accordingly it has been suggested that the courts should be replaced by an administrative tribunal</w:t>
      </w:r>
      <w:r w:rsidR="00405711" w:rsidRPr="00140702">
        <w:rPr>
          <w:rFonts w:ascii="Arial" w:hAnsi="Arial" w:cs="Arial"/>
        </w:rPr>
        <w:t xml:space="preserve"> regarding the regulation of monopoly conduct</w:t>
      </w:r>
      <w:r w:rsidRPr="00140702">
        <w:rPr>
          <w:rFonts w:ascii="Arial" w:hAnsi="Arial" w:cs="Arial"/>
        </w:rPr>
        <w:t>.</w:t>
      </w:r>
      <w:r w:rsidR="00CA48C0" w:rsidRPr="00140702">
        <w:rPr>
          <w:rStyle w:val="Funotenzeichen"/>
          <w:rFonts w:ascii="Arial" w:hAnsi="Arial" w:cs="Arial"/>
        </w:rPr>
        <w:footnoteReference w:id="218"/>
      </w:r>
      <w:r w:rsidRPr="00140702">
        <w:rPr>
          <w:rFonts w:ascii="Arial" w:hAnsi="Arial" w:cs="Arial"/>
        </w:rPr>
        <w:t xml:space="preserve"> </w:t>
      </w:r>
    </w:p>
    <w:p w:rsidR="00CA48C0" w:rsidRPr="00140702" w:rsidRDefault="00CA48C0" w:rsidP="00140702">
      <w:pPr>
        <w:pStyle w:val="western"/>
        <w:spacing w:after="0" w:line="360" w:lineRule="auto"/>
        <w:contextualSpacing/>
        <w:jc w:val="both"/>
        <w:rPr>
          <w:rFonts w:ascii="Arial" w:hAnsi="Arial" w:cs="Arial"/>
        </w:rPr>
      </w:pPr>
    </w:p>
    <w:p w:rsidR="00CA48C0" w:rsidRPr="00140702" w:rsidRDefault="00CA48C0" w:rsidP="00140702">
      <w:pPr>
        <w:pStyle w:val="western"/>
        <w:spacing w:after="0" w:line="360" w:lineRule="auto"/>
        <w:contextualSpacing/>
        <w:jc w:val="both"/>
        <w:rPr>
          <w:rFonts w:ascii="Arial" w:hAnsi="Arial" w:cs="Arial"/>
        </w:rPr>
      </w:pPr>
      <w:r w:rsidRPr="00140702">
        <w:rPr>
          <w:rFonts w:ascii="Arial" w:hAnsi="Arial" w:cs="Arial"/>
        </w:rPr>
        <w:t>This administrative tribunal should however be subjected to certain requirements which include that “the public is entitled to expect that the anc</w:t>
      </w:r>
      <w:r w:rsidR="00405711" w:rsidRPr="00140702">
        <w:rPr>
          <w:rFonts w:ascii="Arial" w:hAnsi="Arial" w:cs="Arial"/>
        </w:rPr>
        <w:t>ient and honoured tradition of ju</w:t>
      </w:r>
      <w:r w:rsidRPr="00140702">
        <w:rPr>
          <w:rFonts w:ascii="Arial" w:hAnsi="Arial" w:cs="Arial"/>
        </w:rPr>
        <w:t>dicial impartiality and detachment in receiving and weighing evidence, and in interpreting and applying rules, will in no way be diminished. These qualities the Courts have never lacked. On the other hand, the Courts, on their own admission, are not suitable tribunals to adjudicate between conflicting theories of political economy. One thing, therefore, is clear: if an administrative tribunal is to do better than the Courts, it must be both judicially and technically competent in the economic sphere.”</w:t>
      </w:r>
      <w:r w:rsidRPr="00140702">
        <w:rPr>
          <w:rStyle w:val="Funotenzeichen"/>
          <w:rFonts w:ascii="Arial" w:hAnsi="Arial" w:cs="Arial"/>
        </w:rPr>
        <w:footnoteReference w:id="219"/>
      </w:r>
      <w:r w:rsidR="00405711" w:rsidRPr="00140702">
        <w:rPr>
          <w:rFonts w:ascii="Arial" w:hAnsi="Arial" w:cs="Arial"/>
        </w:rPr>
        <w:t xml:space="preserve"> </w:t>
      </w:r>
    </w:p>
    <w:p w:rsidR="00B21529" w:rsidRPr="00140702" w:rsidRDefault="00CA48C0" w:rsidP="00140702">
      <w:pPr>
        <w:contextualSpacing/>
        <w:jc w:val="both"/>
        <w:rPr>
          <w:rFonts w:ascii="Arial" w:hAnsi="Arial" w:cs="Arial"/>
        </w:rPr>
      </w:pPr>
      <w:r w:rsidRPr="00140702">
        <w:rPr>
          <w:rFonts w:ascii="Arial" w:hAnsi="Arial" w:cs="Arial"/>
        </w:rPr>
        <w:t xml:space="preserve"> </w:t>
      </w:r>
    </w:p>
    <w:p w:rsidR="00B21529" w:rsidRPr="00140702" w:rsidRDefault="00F264A3" w:rsidP="00140702">
      <w:pPr>
        <w:contextualSpacing/>
        <w:jc w:val="both"/>
        <w:rPr>
          <w:rFonts w:ascii="Arial" w:hAnsi="Arial" w:cs="Arial"/>
        </w:rPr>
      </w:pPr>
      <w:r w:rsidRPr="00140702">
        <w:rPr>
          <w:rFonts w:ascii="Arial" w:hAnsi="Arial" w:cs="Arial"/>
        </w:rPr>
        <w:t>The inadequacy of the South African common law and courts regarding the regulation of monopol</w:t>
      </w:r>
      <w:r w:rsidR="00405711" w:rsidRPr="00140702">
        <w:rPr>
          <w:rFonts w:ascii="Arial" w:hAnsi="Arial" w:cs="Arial"/>
        </w:rPr>
        <w:t>y conduct</w:t>
      </w:r>
      <w:r w:rsidRPr="00140702">
        <w:rPr>
          <w:rFonts w:ascii="Arial" w:hAnsi="Arial" w:cs="Arial"/>
        </w:rPr>
        <w:t xml:space="preserve"> left the South African government with no choice but to write statutory legislation </w:t>
      </w:r>
      <w:r w:rsidR="006465CC" w:rsidRPr="00140702">
        <w:rPr>
          <w:rFonts w:ascii="Arial" w:hAnsi="Arial" w:cs="Arial"/>
        </w:rPr>
        <w:t xml:space="preserve">and to create an administrative tribunal </w:t>
      </w:r>
      <w:r w:rsidRPr="00140702">
        <w:rPr>
          <w:rFonts w:ascii="Arial" w:hAnsi="Arial" w:cs="Arial"/>
        </w:rPr>
        <w:t>to regulate the growing problem of monopolies in South Africa.</w:t>
      </w:r>
      <w:r w:rsidRPr="00140702">
        <w:rPr>
          <w:rStyle w:val="Funotenzeichen"/>
          <w:rFonts w:ascii="Arial" w:hAnsi="Arial" w:cs="Arial"/>
        </w:rPr>
        <w:footnoteReference w:id="220"/>
      </w:r>
      <w:r w:rsidR="00405711" w:rsidRPr="00140702">
        <w:rPr>
          <w:rFonts w:ascii="Arial" w:hAnsi="Arial" w:cs="Arial"/>
        </w:rPr>
        <w:t xml:space="preserve"> </w:t>
      </w:r>
      <w:r w:rsidRPr="00140702">
        <w:rPr>
          <w:rFonts w:ascii="Arial" w:hAnsi="Arial" w:cs="Arial"/>
        </w:rPr>
        <w:t>These statutory legislations will now be discussed.</w:t>
      </w:r>
    </w:p>
    <w:p w:rsidR="00D63EC8" w:rsidRPr="00140702" w:rsidRDefault="00D63EC8" w:rsidP="00140702">
      <w:pPr>
        <w:contextualSpacing/>
        <w:jc w:val="both"/>
        <w:rPr>
          <w:rFonts w:ascii="Arial" w:hAnsi="Arial" w:cs="Arial"/>
        </w:rPr>
      </w:pPr>
    </w:p>
    <w:p w:rsidR="00405711" w:rsidRPr="00140702" w:rsidRDefault="00405711" w:rsidP="00140702">
      <w:pPr>
        <w:contextualSpacing/>
        <w:jc w:val="both"/>
        <w:rPr>
          <w:rFonts w:ascii="Arial" w:hAnsi="Arial" w:cs="Arial"/>
        </w:rPr>
      </w:pPr>
    </w:p>
    <w:p w:rsidR="00AC6E1E" w:rsidRPr="00140702" w:rsidRDefault="003B29C4" w:rsidP="00140702">
      <w:pPr>
        <w:contextualSpacing/>
        <w:jc w:val="both"/>
        <w:rPr>
          <w:rFonts w:ascii="Arial" w:hAnsi="Arial" w:cs="Arial"/>
        </w:rPr>
      </w:pPr>
      <w:r w:rsidRPr="00140702">
        <w:rPr>
          <w:rFonts w:ascii="Arial" w:hAnsi="Arial" w:cs="Arial"/>
        </w:rPr>
        <w:t>2.3.2 Statutory law</w:t>
      </w:r>
    </w:p>
    <w:p w:rsidR="00405711" w:rsidRPr="00140702" w:rsidRDefault="00405711" w:rsidP="00140702">
      <w:pPr>
        <w:contextualSpacing/>
        <w:jc w:val="both"/>
        <w:rPr>
          <w:rFonts w:ascii="Arial" w:hAnsi="Arial" w:cs="Arial"/>
        </w:rPr>
      </w:pPr>
    </w:p>
    <w:p w:rsidR="00B44E0D" w:rsidRPr="00140702" w:rsidRDefault="00B44E0D" w:rsidP="00140702">
      <w:pPr>
        <w:contextualSpacing/>
        <w:jc w:val="both"/>
        <w:rPr>
          <w:rFonts w:ascii="Arial" w:hAnsi="Arial" w:cs="Arial"/>
        </w:rPr>
      </w:pPr>
      <w:r w:rsidRPr="00140702">
        <w:rPr>
          <w:rFonts w:ascii="Arial" w:hAnsi="Arial" w:cs="Arial"/>
        </w:rPr>
        <w:t>2.3.2.1 Undue restraint of trade Act</w:t>
      </w:r>
      <w:r w:rsidR="00F810DC" w:rsidRPr="00140702">
        <w:rPr>
          <w:rStyle w:val="Funotenzeichen"/>
          <w:rFonts w:ascii="Arial" w:hAnsi="Arial" w:cs="Arial"/>
        </w:rPr>
        <w:footnoteReference w:id="221"/>
      </w:r>
    </w:p>
    <w:p w:rsidR="00DE47C0" w:rsidRPr="00140702" w:rsidRDefault="00DD71E5" w:rsidP="00140702">
      <w:pPr>
        <w:contextualSpacing/>
        <w:jc w:val="both"/>
        <w:rPr>
          <w:rFonts w:ascii="Arial" w:hAnsi="Arial" w:cs="Arial"/>
        </w:rPr>
      </w:pPr>
      <w:r w:rsidRPr="00140702">
        <w:rPr>
          <w:rFonts w:ascii="Arial" w:hAnsi="Arial" w:cs="Arial"/>
        </w:rPr>
        <w:t>The first legislation to be passed in South Africa with the purpose of controlling monopol</w:t>
      </w:r>
      <w:r w:rsidR="00405711" w:rsidRPr="00140702">
        <w:rPr>
          <w:rFonts w:ascii="Arial" w:hAnsi="Arial" w:cs="Arial"/>
        </w:rPr>
        <w:t>y conduct</w:t>
      </w:r>
      <w:r w:rsidRPr="00140702">
        <w:rPr>
          <w:rFonts w:ascii="Arial" w:hAnsi="Arial" w:cs="Arial"/>
        </w:rPr>
        <w:t xml:space="preserve"> was the Undue restraint of trade Act</w:t>
      </w:r>
      <w:r w:rsidRPr="00140702">
        <w:rPr>
          <w:rStyle w:val="Funotenzeichen"/>
          <w:rFonts w:ascii="Arial" w:hAnsi="Arial" w:cs="Arial"/>
        </w:rPr>
        <w:footnoteReference w:id="222"/>
      </w:r>
      <w:r w:rsidRPr="00140702">
        <w:rPr>
          <w:rFonts w:ascii="Arial" w:hAnsi="Arial" w:cs="Arial"/>
        </w:rPr>
        <w:t xml:space="preserve"> which became law in 1949. This Act</w:t>
      </w:r>
      <w:r w:rsidRPr="00140702">
        <w:rPr>
          <w:rStyle w:val="Funotenzeichen"/>
          <w:rFonts w:ascii="Arial" w:hAnsi="Arial" w:cs="Arial"/>
        </w:rPr>
        <w:footnoteReference w:id="223"/>
      </w:r>
      <w:r w:rsidR="00F11E5F" w:rsidRPr="00140702">
        <w:rPr>
          <w:rFonts w:ascii="Arial" w:hAnsi="Arial" w:cs="Arial"/>
        </w:rPr>
        <w:t xml:space="preserve"> prohibited various activities which hindered the trade process in South Africa.</w:t>
      </w:r>
      <w:r w:rsidR="00D71365" w:rsidRPr="00140702">
        <w:rPr>
          <w:rStyle w:val="Funotenzeichen"/>
          <w:rFonts w:ascii="Arial" w:hAnsi="Arial" w:cs="Arial"/>
        </w:rPr>
        <w:footnoteReference w:id="224"/>
      </w:r>
      <w:r w:rsidR="00F11E5F" w:rsidRPr="00140702">
        <w:rPr>
          <w:rFonts w:ascii="Arial" w:hAnsi="Arial" w:cs="Arial"/>
        </w:rPr>
        <w:t xml:space="preserve"> Of particular importance for this paper is that this Act</w:t>
      </w:r>
      <w:r w:rsidR="00D71365" w:rsidRPr="00140702">
        <w:rPr>
          <w:rStyle w:val="Funotenzeichen"/>
          <w:rFonts w:ascii="Arial" w:hAnsi="Arial" w:cs="Arial"/>
        </w:rPr>
        <w:footnoteReference w:id="225"/>
      </w:r>
      <w:r w:rsidR="00F11E5F" w:rsidRPr="00140702">
        <w:rPr>
          <w:rFonts w:ascii="Arial" w:hAnsi="Arial" w:cs="Arial"/>
        </w:rPr>
        <w:t xml:space="preserve"> </w:t>
      </w:r>
      <w:r w:rsidR="00D71365" w:rsidRPr="00140702">
        <w:rPr>
          <w:rFonts w:ascii="Arial" w:hAnsi="Arial" w:cs="Arial"/>
        </w:rPr>
        <w:t xml:space="preserve">prohibited the evil practice of resale price maintenance which up to this point </w:t>
      </w:r>
      <w:r w:rsidR="00405711" w:rsidRPr="00140702">
        <w:rPr>
          <w:rFonts w:ascii="Arial" w:hAnsi="Arial" w:cs="Arial"/>
        </w:rPr>
        <w:t>was</w:t>
      </w:r>
      <w:r w:rsidR="00D71365" w:rsidRPr="00140702">
        <w:rPr>
          <w:rFonts w:ascii="Arial" w:hAnsi="Arial" w:cs="Arial"/>
        </w:rPr>
        <w:t xml:space="preserve"> largely </w:t>
      </w:r>
      <w:r w:rsidR="00405711" w:rsidRPr="00140702">
        <w:rPr>
          <w:rFonts w:ascii="Arial" w:hAnsi="Arial" w:cs="Arial"/>
        </w:rPr>
        <w:t>legalized</w:t>
      </w:r>
      <w:r w:rsidR="00D71365" w:rsidRPr="00140702">
        <w:rPr>
          <w:rFonts w:ascii="Arial" w:hAnsi="Arial" w:cs="Arial"/>
        </w:rPr>
        <w:t xml:space="preserve"> by South African law.</w:t>
      </w:r>
      <w:r w:rsidR="00D71365" w:rsidRPr="00140702">
        <w:rPr>
          <w:rStyle w:val="Funotenzeichen"/>
          <w:rFonts w:ascii="Arial" w:hAnsi="Arial" w:cs="Arial"/>
        </w:rPr>
        <w:footnoteReference w:id="226"/>
      </w:r>
      <w:r w:rsidR="00D71365" w:rsidRPr="00140702">
        <w:rPr>
          <w:rFonts w:ascii="Arial" w:hAnsi="Arial" w:cs="Arial"/>
        </w:rPr>
        <w:t xml:space="preserve"> This Act</w:t>
      </w:r>
      <w:r w:rsidR="00F65E77" w:rsidRPr="00140702">
        <w:rPr>
          <w:rStyle w:val="Funotenzeichen"/>
          <w:rFonts w:ascii="Arial" w:hAnsi="Arial" w:cs="Arial"/>
        </w:rPr>
        <w:footnoteReference w:id="227"/>
      </w:r>
      <w:r w:rsidR="00D71365" w:rsidRPr="00140702">
        <w:rPr>
          <w:rFonts w:ascii="Arial" w:hAnsi="Arial" w:cs="Arial"/>
        </w:rPr>
        <w:t xml:space="preserve"> even went as far as to allow for criminal prosecution in the event that an act of resale price maintenance was committed</w:t>
      </w:r>
      <w:r w:rsidR="00F65E77" w:rsidRPr="00140702">
        <w:rPr>
          <w:rFonts w:ascii="Arial" w:hAnsi="Arial" w:cs="Arial"/>
        </w:rPr>
        <w:t>. This Act</w:t>
      </w:r>
      <w:r w:rsidR="00F65E77" w:rsidRPr="00140702">
        <w:rPr>
          <w:rStyle w:val="Funotenzeichen"/>
          <w:rFonts w:ascii="Arial" w:hAnsi="Arial" w:cs="Arial"/>
        </w:rPr>
        <w:footnoteReference w:id="228"/>
      </w:r>
      <w:r w:rsidR="00F65E77" w:rsidRPr="00140702">
        <w:rPr>
          <w:rFonts w:ascii="Arial" w:hAnsi="Arial" w:cs="Arial"/>
        </w:rPr>
        <w:t xml:space="preserve"> also provided for </w:t>
      </w:r>
      <w:r w:rsidR="00405711" w:rsidRPr="00140702">
        <w:rPr>
          <w:rFonts w:ascii="Arial" w:hAnsi="Arial" w:cs="Arial"/>
        </w:rPr>
        <w:t xml:space="preserve">the </w:t>
      </w:r>
      <w:r w:rsidR="00F65E77" w:rsidRPr="00140702">
        <w:rPr>
          <w:rFonts w:ascii="Arial" w:hAnsi="Arial" w:cs="Arial"/>
        </w:rPr>
        <w:t xml:space="preserve">investigation and exposure </w:t>
      </w:r>
      <w:r w:rsidR="00405711" w:rsidRPr="00140702">
        <w:rPr>
          <w:rFonts w:ascii="Arial" w:hAnsi="Arial" w:cs="Arial"/>
        </w:rPr>
        <w:t>of</w:t>
      </w:r>
      <w:r w:rsidR="00F65E77" w:rsidRPr="00140702">
        <w:rPr>
          <w:rFonts w:ascii="Arial" w:hAnsi="Arial" w:cs="Arial"/>
        </w:rPr>
        <w:t xml:space="preserve"> any monopol</w:t>
      </w:r>
      <w:r w:rsidR="00670495" w:rsidRPr="00140702">
        <w:rPr>
          <w:rFonts w:ascii="Arial" w:hAnsi="Arial" w:cs="Arial"/>
        </w:rPr>
        <w:t>y</w:t>
      </w:r>
      <w:r w:rsidR="00F65E77" w:rsidRPr="00140702">
        <w:rPr>
          <w:rFonts w:ascii="Arial" w:hAnsi="Arial" w:cs="Arial"/>
        </w:rPr>
        <w:t xml:space="preserve"> conduct.</w:t>
      </w:r>
      <w:r w:rsidR="00F65E77" w:rsidRPr="00140702">
        <w:rPr>
          <w:rStyle w:val="Funotenzeichen"/>
          <w:rFonts w:ascii="Arial" w:hAnsi="Arial" w:cs="Arial"/>
        </w:rPr>
        <w:footnoteReference w:id="229"/>
      </w:r>
      <w:r w:rsidR="00D71365" w:rsidRPr="00140702">
        <w:rPr>
          <w:rFonts w:ascii="Arial" w:hAnsi="Arial" w:cs="Arial"/>
        </w:rPr>
        <w:t xml:space="preserve">  </w:t>
      </w:r>
    </w:p>
    <w:p w:rsidR="00D905B3" w:rsidRPr="00140702" w:rsidRDefault="00D905B3" w:rsidP="00140702">
      <w:pPr>
        <w:contextualSpacing/>
        <w:jc w:val="both"/>
        <w:rPr>
          <w:rFonts w:ascii="Arial" w:hAnsi="Arial" w:cs="Arial"/>
        </w:rPr>
      </w:pPr>
    </w:p>
    <w:p w:rsidR="00F65E77" w:rsidRPr="00140702" w:rsidRDefault="00F65E77" w:rsidP="00140702">
      <w:pPr>
        <w:contextualSpacing/>
        <w:jc w:val="both"/>
        <w:rPr>
          <w:rFonts w:ascii="Arial" w:hAnsi="Arial" w:cs="Arial"/>
        </w:rPr>
      </w:pPr>
      <w:r w:rsidRPr="00140702">
        <w:rPr>
          <w:rFonts w:ascii="Arial" w:hAnsi="Arial" w:cs="Arial"/>
        </w:rPr>
        <w:t>Nevertheless this Act</w:t>
      </w:r>
      <w:r w:rsidRPr="00140702">
        <w:rPr>
          <w:rStyle w:val="Funotenzeichen"/>
          <w:rFonts w:ascii="Arial" w:hAnsi="Arial" w:cs="Arial"/>
        </w:rPr>
        <w:footnoteReference w:id="230"/>
      </w:r>
      <w:r w:rsidRPr="00140702">
        <w:rPr>
          <w:rFonts w:ascii="Arial" w:hAnsi="Arial" w:cs="Arial"/>
        </w:rPr>
        <w:t xml:space="preserve"> was always intended to be an interim measure for the regulation of monopol</w:t>
      </w:r>
      <w:r w:rsidR="00670495" w:rsidRPr="00140702">
        <w:rPr>
          <w:rFonts w:ascii="Arial" w:hAnsi="Arial" w:cs="Arial"/>
        </w:rPr>
        <w:t>y conduct</w:t>
      </w:r>
      <w:r w:rsidRPr="00140702">
        <w:rPr>
          <w:rFonts w:ascii="Arial" w:hAnsi="Arial" w:cs="Arial"/>
        </w:rPr>
        <w:t>.</w:t>
      </w:r>
      <w:r w:rsidR="000D03E1" w:rsidRPr="00140702">
        <w:rPr>
          <w:rStyle w:val="Funotenzeichen"/>
          <w:rFonts w:ascii="Arial" w:hAnsi="Arial" w:cs="Arial"/>
        </w:rPr>
        <w:footnoteReference w:id="231"/>
      </w:r>
      <w:r w:rsidRPr="00140702">
        <w:rPr>
          <w:rFonts w:ascii="Arial" w:hAnsi="Arial" w:cs="Arial"/>
        </w:rPr>
        <w:t xml:space="preserve"> </w:t>
      </w:r>
      <w:r w:rsidR="00204642" w:rsidRPr="00140702">
        <w:rPr>
          <w:rFonts w:ascii="Arial" w:hAnsi="Arial" w:cs="Arial"/>
        </w:rPr>
        <w:t>Accordingly, t</w:t>
      </w:r>
      <w:r w:rsidRPr="00140702">
        <w:rPr>
          <w:rFonts w:ascii="Arial" w:hAnsi="Arial" w:cs="Arial"/>
        </w:rPr>
        <w:t>his Act</w:t>
      </w:r>
      <w:r w:rsidRPr="00140702">
        <w:rPr>
          <w:rStyle w:val="Funotenzeichen"/>
          <w:rFonts w:ascii="Arial" w:hAnsi="Arial" w:cs="Arial"/>
        </w:rPr>
        <w:footnoteReference w:id="232"/>
      </w:r>
      <w:r w:rsidRPr="00140702">
        <w:rPr>
          <w:rFonts w:ascii="Arial" w:hAnsi="Arial" w:cs="Arial"/>
        </w:rPr>
        <w:t xml:space="preserve"> was </w:t>
      </w:r>
      <w:r w:rsidR="00204642" w:rsidRPr="00140702">
        <w:rPr>
          <w:rFonts w:ascii="Arial" w:hAnsi="Arial" w:cs="Arial"/>
        </w:rPr>
        <w:t>promptly replaced by the Regulation of Monopolistic Conditions Act.</w:t>
      </w:r>
      <w:r w:rsidR="000D03E1" w:rsidRPr="00140702">
        <w:rPr>
          <w:rStyle w:val="Funotenzeichen"/>
          <w:rFonts w:ascii="Arial" w:hAnsi="Arial" w:cs="Arial"/>
        </w:rPr>
        <w:footnoteReference w:id="233"/>
      </w:r>
    </w:p>
    <w:p w:rsidR="00DE47C0" w:rsidRPr="00140702" w:rsidRDefault="00DE47C0" w:rsidP="00140702">
      <w:pPr>
        <w:contextualSpacing/>
        <w:jc w:val="both"/>
        <w:rPr>
          <w:rFonts w:ascii="Arial" w:hAnsi="Arial" w:cs="Arial"/>
        </w:rPr>
      </w:pPr>
    </w:p>
    <w:p w:rsidR="00B44E0D" w:rsidRPr="00140702" w:rsidRDefault="00B44E0D" w:rsidP="00140702">
      <w:pPr>
        <w:contextualSpacing/>
        <w:jc w:val="both"/>
        <w:rPr>
          <w:rFonts w:ascii="Arial" w:hAnsi="Arial" w:cs="Arial"/>
        </w:rPr>
      </w:pPr>
      <w:r w:rsidRPr="00140702">
        <w:rPr>
          <w:rFonts w:ascii="Arial" w:hAnsi="Arial" w:cs="Arial"/>
        </w:rPr>
        <w:t>2.3.2.2 Regulation of Monopolistic Conditions Act</w:t>
      </w:r>
      <w:r w:rsidR="00204642" w:rsidRPr="00140702">
        <w:rPr>
          <w:rStyle w:val="Funotenzeichen"/>
          <w:rFonts w:ascii="Arial" w:hAnsi="Arial" w:cs="Arial"/>
        </w:rPr>
        <w:footnoteReference w:id="234"/>
      </w:r>
    </w:p>
    <w:p w:rsidR="00025C9E" w:rsidRPr="00140702" w:rsidRDefault="00973155" w:rsidP="00140702">
      <w:pPr>
        <w:contextualSpacing/>
        <w:jc w:val="both"/>
        <w:rPr>
          <w:rFonts w:ascii="Arial" w:hAnsi="Arial" w:cs="Arial"/>
        </w:rPr>
      </w:pPr>
      <w:r w:rsidRPr="00140702">
        <w:rPr>
          <w:rFonts w:ascii="Arial" w:hAnsi="Arial" w:cs="Arial"/>
        </w:rPr>
        <w:t>The Regulation of Monopolistic Conditions Act</w:t>
      </w:r>
      <w:r w:rsidRPr="00140702">
        <w:rPr>
          <w:rStyle w:val="Funotenzeichen"/>
          <w:rFonts w:ascii="Arial" w:hAnsi="Arial" w:cs="Arial"/>
        </w:rPr>
        <w:footnoteReference w:id="235"/>
      </w:r>
      <w:r w:rsidRPr="00140702">
        <w:rPr>
          <w:rFonts w:ascii="Arial" w:hAnsi="Arial" w:cs="Arial"/>
        </w:rPr>
        <w:t xml:space="preserve"> was South Africa’s first </w:t>
      </w:r>
      <w:r w:rsidR="003426C1" w:rsidRPr="00140702">
        <w:rPr>
          <w:rFonts w:ascii="Arial" w:hAnsi="Arial" w:cs="Arial"/>
        </w:rPr>
        <w:t>suitable</w:t>
      </w:r>
      <w:r w:rsidRPr="00140702">
        <w:rPr>
          <w:rFonts w:ascii="Arial" w:hAnsi="Arial" w:cs="Arial"/>
        </w:rPr>
        <w:t xml:space="preserve"> attempt to control monopol</w:t>
      </w:r>
      <w:r w:rsidR="003426C1" w:rsidRPr="00140702">
        <w:rPr>
          <w:rFonts w:ascii="Arial" w:hAnsi="Arial" w:cs="Arial"/>
        </w:rPr>
        <w:t>y conduct</w:t>
      </w:r>
      <w:r w:rsidRPr="00140702">
        <w:rPr>
          <w:rFonts w:ascii="Arial" w:hAnsi="Arial" w:cs="Arial"/>
        </w:rPr>
        <w:t>.</w:t>
      </w:r>
      <w:r w:rsidR="00B13CBB" w:rsidRPr="00140702">
        <w:rPr>
          <w:rStyle w:val="Funotenzeichen"/>
          <w:rFonts w:ascii="Arial" w:hAnsi="Arial" w:cs="Arial"/>
        </w:rPr>
        <w:footnoteReference w:id="236"/>
      </w:r>
      <w:r w:rsidRPr="00140702">
        <w:rPr>
          <w:rFonts w:ascii="Arial" w:hAnsi="Arial" w:cs="Arial"/>
        </w:rPr>
        <w:t xml:space="preserve"> </w:t>
      </w:r>
      <w:r w:rsidR="005218C0" w:rsidRPr="00140702">
        <w:rPr>
          <w:rFonts w:ascii="Arial" w:hAnsi="Arial" w:cs="Arial"/>
        </w:rPr>
        <w:t>The purpose of this Act</w:t>
      </w:r>
      <w:r w:rsidR="005218C0" w:rsidRPr="00140702">
        <w:rPr>
          <w:rStyle w:val="Funotenzeichen"/>
          <w:rFonts w:ascii="Arial" w:hAnsi="Arial" w:cs="Arial"/>
        </w:rPr>
        <w:footnoteReference w:id="237"/>
      </w:r>
      <w:r w:rsidR="005218C0" w:rsidRPr="00140702">
        <w:rPr>
          <w:rFonts w:ascii="Arial" w:hAnsi="Arial" w:cs="Arial"/>
        </w:rPr>
        <w:t xml:space="preserve"> was to maintain and prevent monopol</w:t>
      </w:r>
      <w:r w:rsidR="003426C1" w:rsidRPr="00140702">
        <w:rPr>
          <w:rFonts w:ascii="Arial" w:hAnsi="Arial" w:cs="Arial"/>
        </w:rPr>
        <w:t>y</w:t>
      </w:r>
      <w:r w:rsidR="005218C0" w:rsidRPr="00140702">
        <w:rPr>
          <w:rFonts w:ascii="Arial" w:hAnsi="Arial" w:cs="Arial"/>
        </w:rPr>
        <w:t xml:space="preserve"> conduct which are harmful to consumers and hence in conflict with the public interest.</w:t>
      </w:r>
      <w:r w:rsidR="005218C0" w:rsidRPr="00140702">
        <w:rPr>
          <w:rStyle w:val="Funotenzeichen"/>
          <w:rFonts w:ascii="Arial" w:hAnsi="Arial" w:cs="Arial"/>
        </w:rPr>
        <w:footnoteReference w:id="238"/>
      </w:r>
      <w:r w:rsidR="005218C0" w:rsidRPr="00140702">
        <w:rPr>
          <w:rFonts w:ascii="Arial" w:hAnsi="Arial" w:cs="Arial"/>
        </w:rPr>
        <w:t xml:space="preserve">  </w:t>
      </w:r>
      <w:r w:rsidR="00DB1B39" w:rsidRPr="00140702">
        <w:rPr>
          <w:rFonts w:ascii="Arial" w:hAnsi="Arial" w:cs="Arial"/>
        </w:rPr>
        <w:t>This Act</w:t>
      </w:r>
      <w:r w:rsidR="00DB1B39" w:rsidRPr="00140702">
        <w:rPr>
          <w:rStyle w:val="Funotenzeichen"/>
          <w:rFonts w:ascii="Arial" w:hAnsi="Arial" w:cs="Arial"/>
        </w:rPr>
        <w:footnoteReference w:id="239"/>
      </w:r>
      <w:r w:rsidR="00DB1B39" w:rsidRPr="00140702">
        <w:rPr>
          <w:rFonts w:ascii="Arial" w:hAnsi="Arial" w:cs="Arial"/>
        </w:rPr>
        <w:t xml:space="preserve"> was largely based upon a report by the Board of Trade and Industry</w:t>
      </w:r>
      <w:r w:rsidR="0018131E" w:rsidRPr="00140702">
        <w:rPr>
          <w:rStyle w:val="Funotenzeichen"/>
          <w:rFonts w:ascii="Arial" w:hAnsi="Arial" w:cs="Arial"/>
        </w:rPr>
        <w:footnoteReference w:id="240"/>
      </w:r>
      <w:r w:rsidR="00DB1B39" w:rsidRPr="00140702">
        <w:rPr>
          <w:rFonts w:ascii="Arial" w:hAnsi="Arial" w:cs="Arial"/>
        </w:rPr>
        <w:t xml:space="preserve"> which set out the principles which </w:t>
      </w:r>
      <w:r w:rsidR="0018131E" w:rsidRPr="00140702">
        <w:rPr>
          <w:rFonts w:ascii="Arial" w:hAnsi="Arial" w:cs="Arial"/>
        </w:rPr>
        <w:t xml:space="preserve">would </w:t>
      </w:r>
      <w:r w:rsidR="00DB1B39" w:rsidRPr="00140702">
        <w:rPr>
          <w:rFonts w:ascii="Arial" w:hAnsi="Arial" w:cs="Arial"/>
        </w:rPr>
        <w:t>form the foundation of this Act.</w:t>
      </w:r>
      <w:r w:rsidR="00C40FCB" w:rsidRPr="00140702">
        <w:rPr>
          <w:rStyle w:val="Funotenzeichen"/>
          <w:rFonts w:ascii="Arial" w:hAnsi="Arial" w:cs="Arial"/>
        </w:rPr>
        <w:footnoteReference w:id="241"/>
      </w:r>
      <w:r w:rsidR="00DB1B39" w:rsidRPr="00140702">
        <w:rPr>
          <w:rFonts w:ascii="Arial" w:hAnsi="Arial" w:cs="Arial"/>
        </w:rPr>
        <w:t xml:space="preserve"> </w:t>
      </w:r>
    </w:p>
    <w:p w:rsidR="00DB1B39" w:rsidRPr="00140702" w:rsidRDefault="00E26114" w:rsidP="00140702">
      <w:pPr>
        <w:contextualSpacing/>
        <w:jc w:val="both"/>
        <w:rPr>
          <w:rFonts w:ascii="Arial" w:hAnsi="Arial" w:cs="Arial"/>
        </w:rPr>
      </w:pPr>
      <w:r w:rsidRPr="00140702">
        <w:rPr>
          <w:rFonts w:ascii="Arial" w:hAnsi="Arial" w:cs="Arial"/>
        </w:rPr>
        <w:t xml:space="preserve">These principles are as follows: </w:t>
      </w:r>
    </w:p>
    <w:p w:rsidR="00E26114" w:rsidRPr="00140702" w:rsidRDefault="00E26114" w:rsidP="00140702">
      <w:pPr>
        <w:contextualSpacing/>
        <w:jc w:val="both"/>
        <w:rPr>
          <w:rFonts w:ascii="Arial" w:hAnsi="Arial" w:cs="Arial"/>
        </w:rPr>
      </w:pPr>
      <w:r w:rsidRPr="00140702">
        <w:rPr>
          <w:rFonts w:ascii="Arial" w:hAnsi="Arial" w:cs="Arial"/>
        </w:rPr>
        <w:t xml:space="preserve">a) </w:t>
      </w:r>
      <w:r w:rsidR="00025C9E" w:rsidRPr="00140702">
        <w:rPr>
          <w:rFonts w:ascii="Arial" w:hAnsi="Arial" w:cs="Arial"/>
        </w:rPr>
        <w:t xml:space="preserve">The </w:t>
      </w:r>
      <w:r w:rsidRPr="00140702">
        <w:rPr>
          <w:rFonts w:ascii="Arial" w:hAnsi="Arial" w:cs="Arial"/>
        </w:rPr>
        <w:t xml:space="preserve">condemnation of </w:t>
      </w:r>
      <w:r w:rsidR="00025C9E" w:rsidRPr="00140702">
        <w:rPr>
          <w:rFonts w:ascii="Arial" w:hAnsi="Arial" w:cs="Arial"/>
        </w:rPr>
        <w:t xml:space="preserve">all </w:t>
      </w:r>
      <w:r w:rsidRPr="00140702">
        <w:rPr>
          <w:rFonts w:ascii="Arial" w:hAnsi="Arial" w:cs="Arial"/>
        </w:rPr>
        <w:t>monopol</w:t>
      </w:r>
      <w:r w:rsidR="003426C1" w:rsidRPr="00140702">
        <w:rPr>
          <w:rFonts w:ascii="Arial" w:hAnsi="Arial" w:cs="Arial"/>
        </w:rPr>
        <w:t>y</w:t>
      </w:r>
      <w:r w:rsidRPr="00140702">
        <w:rPr>
          <w:rFonts w:ascii="Arial" w:hAnsi="Arial" w:cs="Arial"/>
        </w:rPr>
        <w:t xml:space="preserve"> </w:t>
      </w:r>
      <w:r w:rsidR="003426C1" w:rsidRPr="00140702">
        <w:rPr>
          <w:rFonts w:ascii="Arial" w:hAnsi="Arial" w:cs="Arial"/>
        </w:rPr>
        <w:t>conduct</w:t>
      </w:r>
      <w:r w:rsidRPr="00140702">
        <w:rPr>
          <w:rFonts w:ascii="Arial" w:hAnsi="Arial" w:cs="Arial"/>
        </w:rPr>
        <w:t xml:space="preserve"> </w:t>
      </w:r>
      <w:r w:rsidR="00025C9E" w:rsidRPr="00140702">
        <w:rPr>
          <w:rFonts w:ascii="Arial" w:hAnsi="Arial" w:cs="Arial"/>
        </w:rPr>
        <w:t>is unrealistic and unjustified.</w:t>
      </w:r>
      <w:r w:rsidR="00262946" w:rsidRPr="00140702">
        <w:rPr>
          <w:rStyle w:val="Funotenzeichen"/>
          <w:rFonts w:ascii="Arial" w:hAnsi="Arial" w:cs="Arial"/>
        </w:rPr>
        <w:footnoteReference w:id="242"/>
      </w:r>
      <w:r w:rsidR="00025C9E" w:rsidRPr="00140702">
        <w:rPr>
          <w:rFonts w:ascii="Arial" w:hAnsi="Arial" w:cs="Arial"/>
        </w:rPr>
        <w:t xml:space="preserve"> For this reason an </w:t>
      </w:r>
      <w:r w:rsidR="00025C9E" w:rsidRPr="00140702">
        <w:rPr>
          <w:rFonts w:ascii="Arial" w:hAnsi="Arial" w:cs="Arial"/>
          <w:i/>
        </w:rPr>
        <w:t>ad hoc</w:t>
      </w:r>
      <w:r w:rsidR="00025C9E" w:rsidRPr="00140702">
        <w:rPr>
          <w:rFonts w:ascii="Arial" w:hAnsi="Arial" w:cs="Arial"/>
        </w:rPr>
        <w:t xml:space="preserve"> approach should be followed to determine, in each case, whether the specific monopol</w:t>
      </w:r>
      <w:r w:rsidR="003426C1" w:rsidRPr="00140702">
        <w:rPr>
          <w:rFonts w:ascii="Arial" w:hAnsi="Arial" w:cs="Arial"/>
        </w:rPr>
        <w:t>y</w:t>
      </w:r>
      <w:r w:rsidR="00025C9E" w:rsidRPr="00140702">
        <w:rPr>
          <w:rFonts w:ascii="Arial" w:hAnsi="Arial" w:cs="Arial"/>
        </w:rPr>
        <w:t xml:space="preserve"> conduct should be prohibited.</w:t>
      </w:r>
      <w:r w:rsidR="00AA77A4" w:rsidRPr="00140702">
        <w:rPr>
          <w:rStyle w:val="Funotenzeichen"/>
          <w:rFonts w:ascii="Arial" w:hAnsi="Arial" w:cs="Arial"/>
        </w:rPr>
        <w:footnoteReference w:id="243"/>
      </w:r>
      <w:r w:rsidR="00025C9E" w:rsidRPr="00140702">
        <w:rPr>
          <w:rFonts w:ascii="Arial" w:hAnsi="Arial" w:cs="Arial"/>
        </w:rPr>
        <w:t xml:space="preserve"> Accordingly an approach of </w:t>
      </w:r>
      <w:r w:rsidR="00025C9E" w:rsidRPr="00140702">
        <w:rPr>
          <w:rFonts w:ascii="Arial" w:hAnsi="Arial" w:cs="Arial"/>
          <w:i/>
        </w:rPr>
        <w:t>per se</w:t>
      </w:r>
      <w:r w:rsidR="00025C9E" w:rsidRPr="00140702">
        <w:rPr>
          <w:rStyle w:val="Funotenzeichen"/>
          <w:rFonts w:ascii="Arial" w:hAnsi="Arial" w:cs="Arial"/>
          <w:i/>
        </w:rPr>
        <w:footnoteReference w:id="244"/>
      </w:r>
      <w:r w:rsidR="00025C9E" w:rsidRPr="00140702">
        <w:rPr>
          <w:rFonts w:ascii="Arial" w:hAnsi="Arial" w:cs="Arial"/>
        </w:rPr>
        <w:t xml:space="preserve"> prohibitions on monopol</w:t>
      </w:r>
      <w:r w:rsidR="003426C1" w:rsidRPr="00140702">
        <w:rPr>
          <w:rFonts w:ascii="Arial" w:hAnsi="Arial" w:cs="Arial"/>
        </w:rPr>
        <w:t>y</w:t>
      </w:r>
      <w:r w:rsidR="00025C9E" w:rsidRPr="00140702">
        <w:rPr>
          <w:rFonts w:ascii="Arial" w:hAnsi="Arial" w:cs="Arial"/>
        </w:rPr>
        <w:t xml:space="preserve"> conduct should not be undertaken.</w:t>
      </w:r>
      <w:r w:rsidR="00AA77A4" w:rsidRPr="00140702">
        <w:rPr>
          <w:rStyle w:val="Funotenzeichen"/>
          <w:rFonts w:ascii="Arial" w:hAnsi="Arial" w:cs="Arial"/>
        </w:rPr>
        <w:footnoteReference w:id="245"/>
      </w:r>
    </w:p>
    <w:p w:rsidR="00AA77A4" w:rsidRPr="00140702" w:rsidRDefault="00AA77A4" w:rsidP="00140702">
      <w:pPr>
        <w:contextualSpacing/>
        <w:jc w:val="both"/>
        <w:rPr>
          <w:rFonts w:ascii="Arial" w:hAnsi="Arial" w:cs="Arial"/>
        </w:rPr>
      </w:pPr>
      <w:r w:rsidRPr="00140702">
        <w:rPr>
          <w:rFonts w:ascii="Arial" w:hAnsi="Arial" w:cs="Arial"/>
        </w:rPr>
        <w:t>b) The market structure is not the deciding factor to determine the economic impact of monopol</w:t>
      </w:r>
      <w:r w:rsidR="00F25228" w:rsidRPr="00140702">
        <w:rPr>
          <w:rFonts w:ascii="Arial" w:hAnsi="Arial" w:cs="Arial"/>
        </w:rPr>
        <w:t>y</w:t>
      </w:r>
      <w:r w:rsidRPr="00140702">
        <w:rPr>
          <w:rFonts w:ascii="Arial" w:hAnsi="Arial" w:cs="Arial"/>
        </w:rPr>
        <w:t xml:space="preserve"> conduct.</w:t>
      </w:r>
      <w:r w:rsidRPr="00140702">
        <w:rPr>
          <w:rStyle w:val="Funotenzeichen"/>
          <w:rFonts w:ascii="Arial" w:hAnsi="Arial" w:cs="Arial"/>
        </w:rPr>
        <w:footnoteReference w:id="246"/>
      </w:r>
      <w:r w:rsidRPr="00140702">
        <w:rPr>
          <w:rFonts w:ascii="Arial" w:hAnsi="Arial" w:cs="Arial"/>
        </w:rPr>
        <w:t xml:space="preserve"> </w:t>
      </w:r>
    </w:p>
    <w:p w:rsidR="00AA77A4" w:rsidRPr="00140702" w:rsidRDefault="00AA77A4" w:rsidP="00140702">
      <w:pPr>
        <w:contextualSpacing/>
        <w:jc w:val="both"/>
        <w:rPr>
          <w:rFonts w:ascii="Arial" w:hAnsi="Arial" w:cs="Arial"/>
        </w:rPr>
      </w:pPr>
      <w:r w:rsidRPr="00140702">
        <w:rPr>
          <w:rFonts w:ascii="Arial" w:hAnsi="Arial" w:cs="Arial"/>
        </w:rPr>
        <w:t>c) The regulation of monopol</w:t>
      </w:r>
      <w:r w:rsidR="00F25228" w:rsidRPr="00140702">
        <w:rPr>
          <w:rFonts w:ascii="Arial" w:hAnsi="Arial" w:cs="Arial"/>
        </w:rPr>
        <w:t>y</w:t>
      </w:r>
      <w:r w:rsidRPr="00140702">
        <w:rPr>
          <w:rFonts w:ascii="Arial" w:hAnsi="Arial" w:cs="Arial"/>
        </w:rPr>
        <w:t xml:space="preserve"> conduct should be administered by a specialist body and not by the South African courts.</w:t>
      </w:r>
      <w:r w:rsidRPr="00140702">
        <w:rPr>
          <w:rStyle w:val="Funotenzeichen"/>
          <w:rFonts w:ascii="Arial" w:hAnsi="Arial" w:cs="Arial"/>
        </w:rPr>
        <w:footnoteReference w:id="247"/>
      </w:r>
    </w:p>
    <w:p w:rsidR="00DE3FBD" w:rsidRPr="00140702" w:rsidRDefault="00DE3FBD" w:rsidP="00140702">
      <w:pPr>
        <w:contextualSpacing/>
        <w:jc w:val="both"/>
        <w:rPr>
          <w:rFonts w:ascii="Arial" w:hAnsi="Arial" w:cs="Arial"/>
        </w:rPr>
      </w:pPr>
      <w:r w:rsidRPr="00140702">
        <w:rPr>
          <w:rFonts w:ascii="Arial" w:hAnsi="Arial" w:cs="Arial"/>
        </w:rPr>
        <w:t>d) Amalgamations such as trade unions should not be prohibited by monopoly legislation.</w:t>
      </w:r>
      <w:r w:rsidR="0038627A" w:rsidRPr="00140702">
        <w:rPr>
          <w:rStyle w:val="Funotenzeichen"/>
          <w:rFonts w:ascii="Arial" w:hAnsi="Arial" w:cs="Arial"/>
        </w:rPr>
        <w:footnoteReference w:id="248"/>
      </w:r>
      <w:r w:rsidRPr="00140702">
        <w:rPr>
          <w:rFonts w:ascii="Arial" w:hAnsi="Arial" w:cs="Arial"/>
        </w:rPr>
        <w:t xml:space="preserve"> It was contend that only the agreements among the members of such an amalgamation which could potentially </w:t>
      </w:r>
      <w:r w:rsidR="0038627A" w:rsidRPr="00140702">
        <w:rPr>
          <w:rFonts w:ascii="Arial" w:hAnsi="Arial" w:cs="Arial"/>
        </w:rPr>
        <w:t>restrict competition should be regulated</w:t>
      </w:r>
      <w:r w:rsidR="00F81186" w:rsidRPr="00140702">
        <w:rPr>
          <w:rFonts w:ascii="Arial" w:hAnsi="Arial" w:cs="Arial"/>
        </w:rPr>
        <w:t xml:space="preserve"> i.e. restricted agreements were to be regulated and not prohibited</w:t>
      </w:r>
      <w:r w:rsidR="0038627A" w:rsidRPr="00140702">
        <w:rPr>
          <w:rFonts w:ascii="Arial" w:hAnsi="Arial" w:cs="Arial"/>
        </w:rPr>
        <w:t>.</w:t>
      </w:r>
      <w:r w:rsidR="0038627A" w:rsidRPr="00140702">
        <w:rPr>
          <w:rStyle w:val="Funotenzeichen"/>
          <w:rFonts w:ascii="Arial" w:hAnsi="Arial" w:cs="Arial"/>
        </w:rPr>
        <w:footnoteReference w:id="249"/>
      </w:r>
      <w:r w:rsidR="00F81186" w:rsidRPr="00140702">
        <w:rPr>
          <w:rFonts w:ascii="Arial" w:hAnsi="Arial" w:cs="Arial"/>
        </w:rPr>
        <w:t xml:space="preserve"> </w:t>
      </w:r>
    </w:p>
    <w:p w:rsidR="00DB1B39" w:rsidRPr="00140702" w:rsidRDefault="00F81186" w:rsidP="00140702">
      <w:pPr>
        <w:contextualSpacing/>
        <w:jc w:val="both"/>
        <w:rPr>
          <w:rFonts w:ascii="Arial" w:hAnsi="Arial" w:cs="Arial"/>
        </w:rPr>
      </w:pPr>
      <w:r w:rsidRPr="00140702">
        <w:rPr>
          <w:rFonts w:ascii="Arial" w:hAnsi="Arial" w:cs="Arial"/>
        </w:rPr>
        <w:t xml:space="preserve">e) </w:t>
      </w:r>
      <w:r w:rsidR="007B11A6" w:rsidRPr="00140702">
        <w:rPr>
          <w:rFonts w:ascii="Arial" w:hAnsi="Arial" w:cs="Arial"/>
        </w:rPr>
        <w:t xml:space="preserve">Large </w:t>
      </w:r>
      <w:r w:rsidR="00FD77CD" w:rsidRPr="00140702">
        <w:rPr>
          <w:rFonts w:ascii="Arial" w:hAnsi="Arial" w:cs="Arial"/>
        </w:rPr>
        <w:t>firms</w:t>
      </w:r>
      <w:r w:rsidR="007B11A6" w:rsidRPr="00140702">
        <w:rPr>
          <w:rFonts w:ascii="Arial" w:hAnsi="Arial" w:cs="Arial"/>
        </w:rPr>
        <w:t xml:space="preserve"> and groups of large </w:t>
      </w:r>
      <w:r w:rsidR="00FD77CD" w:rsidRPr="00140702">
        <w:rPr>
          <w:rFonts w:ascii="Arial" w:hAnsi="Arial" w:cs="Arial"/>
        </w:rPr>
        <w:t>firms</w:t>
      </w:r>
      <w:r w:rsidR="007B11A6" w:rsidRPr="00140702">
        <w:rPr>
          <w:rFonts w:ascii="Arial" w:hAnsi="Arial" w:cs="Arial"/>
        </w:rPr>
        <w:t xml:space="preserve"> should not be subjected to compulsory dissolution.</w:t>
      </w:r>
      <w:r w:rsidR="007B11A6" w:rsidRPr="00140702">
        <w:rPr>
          <w:rStyle w:val="Funotenzeichen"/>
          <w:rFonts w:ascii="Arial" w:hAnsi="Arial" w:cs="Arial"/>
        </w:rPr>
        <w:footnoteReference w:id="250"/>
      </w:r>
    </w:p>
    <w:p w:rsidR="00FD77CD" w:rsidRPr="00140702" w:rsidRDefault="00FD77CD" w:rsidP="00140702">
      <w:pPr>
        <w:contextualSpacing/>
        <w:jc w:val="both"/>
        <w:rPr>
          <w:rFonts w:ascii="Arial" w:hAnsi="Arial" w:cs="Arial"/>
        </w:rPr>
      </w:pPr>
      <w:r w:rsidRPr="00140702">
        <w:rPr>
          <w:rFonts w:ascii="Arial" w:hAnsi="Arial" w:cs="Arial"/>
        </w:rPr>
        <w:t xml:space="preserve">f) State owned </w:t>
      </w:r>
      <w:r w:rsidR="006B41DF" w:rsidRPr="00140702">
        <w:rPr>
          <w:rFonts w:ascii="Arial" w:hAnsi="Arial" w:cs="Arial"/>
        </w:rPr>
        <w:t>firms should be subjected the same monopoly legislation as private firms.</w:t>
      </w:r>
      <w:r w:rsidR="006B41DF" w:rsidRPr="00140702">
        <w:rPr>
          <w:rStyle w:val="Funotenzeichen"/>
          <w:rFonts w:ascii="Arial" w:hAnsi="Arial" w:cs="Arial"/>
        </w:rPr>
        <w:footnoteReference w:id="251"/>
      </w:r>
    </w:p>
    <w:p w:rsidR="00F81186" w:rsidRPr="00140702" w:rsidRDefault="00F81186" w:rsidP="00140702">
      <w:pPr>
        <w:contextualSpacing/>
        <w:jc w:val="both"/>
        <w:rPr>
          <w:rFonts w:ascii="Arial" w:hAnsi="Arial" w:cs="Arial"/>
        </w:rPr>
      </w:pPr>
    </w:p>
    <w:p w:rsidR="00BC6B19" w:rsidRPr="00140702" w:rsidRDefault="008B3E15" w:rsidP="00140702">
      <w:pPr>
        <w:contextualSpacing/>
        <w:jc w:val="both"/>
        <w:rPr>
          <w:rFonts w:ascii="Arial" w:hAnsi="Arial" w:cs="Arial"/>
        </w:rPr>
      </w:pPr>
      <w:r w:rsidRPr="00140702">
        <w:rPr>
          <w:rFonts w:ascii="Arial" w:hAnsi="Arial" w:cs="Arial"/>
        </w:rPr>
        <w:t>This Act</w:t>
      </w:r>
      <w:r w:rsidRPr="00140702">
        <w:rPr>
          <w:rStyle w:val="Funotenzeichen"/>
          <w:rFonts w:ascii="Arial" w:hAnsi="Arial" w:cs="Arial"/>
        </w:rPr>
        <w:footnoteReference w:id="252"/>
      </w:r>
      <w:r w:rsidR="00C615EC" w:rsidRPr="00140702">
        <w:rPr>
          <w:rFonts w:ascii="Arial" w:hAnsi="Arial" w:cs="Arial"/>
        </w:rPr>
        <w:t xml:space="preserve"> was an enabling Act since it appointed the Board of Trade and Industry as the specialist body to administer monopoly legislation in South Africa.</w:t>
      </w:r>
      <w:r w:rsidR="00EB1212" w:rsidRPr="00140702">
        <w:rPr>
          <w:rStyle w:val="Funotenzeichen"/>
          <w:rFonts w:ascii="Arial" w:hAnsi="Arial" w:cs="Arial"/>
        </w:rPr>
        <w:footnoteReference w:id="253"/>
      </w:r>
      <w:r w:rsidR="00D84101" w:rsidRPr="00140702">
        <w:rPr>
          <w:rFonts w:ascii="Arial" w:hAnsi="Arial" w:cs="Arial"/>
        </w:rPr>
        <w:t xml:space="preserve"> However</w:t>
      </w:r>
      <w:r w:rsidR="002372FA" w:rsidRPr="00140702">
        <w:rPr>
          <w:rFonts w:ascii="Arial" w:hAnsi="Arial" w:cs="Arial"/>
        </w:rPr>
        <w:t>,</w:t>
      </w:r>
      <w:r w:rsidR="00D84101" w:rsidRPr="00140702">
        <w:rPr>
          <w:rFonts w:ascii="Arial" w:hAnsi="Arial" w:cs="Arial"/>
        </w:rPr>
        <w:t xml:space="preserve"> the Board of Trade and Industry </w:t>
      </w:r>
      <w:r w:rsidR="005D470A" w:rsidRPr="00140702">
        <w:rPr>
          <w:rFonts w:ascii="Arial" w:hAnsi="Arial" w:cs="Arial"/>
        </w:rPr>
        <w:t>had no</w:t>
      </w:r>
      <w:r w:rsidR="00D84101" w:rsidRPr="00140702">
        <w:rPr>
          <w:rFonts w:ascii="Arial" w:hAnsi="Arial" w:cs="Arial"/>
        </w:rPr>
        <w:t xml:space="preserve"> </w:t>
      </w:r>
      <w:r w:rsidR="005D470A" w:rsidRPr="00140702">
        <w:rPr>
          <w:rFonts w:ascii="Arial" w:hAnsi="Arial" w:cs="Arial"/>
        </w:rPr>
        <w:t xml:space="preserve">jurisdiction with regard to </w:t>
      </w:r>
      <w:r w:rsidR="002372FA" w:rsidRPr="00140702">
        <w:rPr>
          <w:rFonts w:ascii="Arial" w:hAnsi="Arial" w:cs="Arial"/>
        </w:rPr>
        <w:t>the</w:t>
      </w:r>
      <w:r w:rsidR="00307067" w:rsidRPr="00140702">
        <w:rPr>
          <w:rFonts w:ascii="Arial" w:hAnsi="Arial" w:cs="Arial"/>
        </w:rPr>
        <w:t xml:space="preserve"> initiation of</w:t>
      </w:r>
      <w:r w:rsidR="002372FA" w:rsidRPr="00140702">
        <w:rPr>
          <w:rFonts w:ascii="Arial" w:hAnsi="Arial" w:cs="Arial"/>
        </w:rPr>
        <w:t xml:space="preserve"> </w:t>
      </w:r>
      <w:r w:rsidR="005D470A" w:rsidRPr="00140702">
        <w:rPr>
          <w:rFonts w:ascii="Arial" w:hAnsi="Arial" w:cs="Arial"/>
        </w:rPr>
        <w:t>investigation</w:t>
      </w:r>
      <w:r w:rsidR="00307067" w:rsidRPr="00140702">
        <w:rPr>
          <w:rFonts w:ascii="Arial" w:hAnsi="Arial" w:cs="Arial"/>
        </w:rPr>
        <w:t>s</w:t>
      </w:r>
      <w:r w:rsidR="005D470A" w:rsidRPr="00140702">
        <w:rPr>
          <w:rFonts w:ascii="Arial" w:hAnsi="Arial" w:cs="Arial"/>
        </w:rPr>
        <w:t xml:space="preserve"> and </w:t>
      </w:r>
      <w:r w:rsidR="00307067" w:rsidRPr="00140702">
        <w:rPr>
          <w:rFonts w:ascii="Arial" w:hAnsi="Arial" w:cs="Arial"/>
        </w:rPr>
        <w:t xml:space="preserve">the </w:t>
      </w:r>
      <w:r w:rsidR="002372FA" w:rsidRPr="00140702">
        <w:rPr>
          <w:rFonts w:ascii="Arial" w:hAnsi="Arial" w:cs="Arial"/>
        </w:rPr>
        <w:t xml:space="preserve">awarding of </w:t>
      </w:r>
      <w:r w:rsidR="005D470A" w:rsidRPr="00140702">
        <w:rPr>
          <w:rFonts w:ascii="Arial" w:hAnsi="Arial" w:cs="Arial"/>
        </w:rPr>
        <w:t>relief for monopol</w:t>
      </w:r>
      <w:r w:rsidR="002372FA" w:rsidRPr="00140702">
        <w:rPr>
          <w:rFonts w:ascii="Arial" w:hAnsi="Arial" w:cs="Arial"/>
        </w:rPr>
        <w:t>y</w:t>
      </w:r>
      <w:r w:rsidR="005D470A" w:rsidRPr="00140702">
        <w:rPr>
          <w:rFonts w:ascii="Arial" w:hAnsi="Arial" w:cs="Arial"/>
        </w:rPr>
        <w:t xml:space="preserve"> conduct.</w:t>
      </w:r>
      <w:r w:rsidR="0030797E" w:rsidRPr="00140702">
        <w:rPr>
          <w:rStyle w:val="Funotenzeichen"/>
          <w:rFonts w:ascii="Arial" w:hAnsi="Arial" w:cs="Arial"/>
        </w:rPr>
        <w:footnoteReference w:id="254"/>
      </w:r>
      <w:r w:rsidR="00D84101" w:rsidRPr="00140702">
        <w:rPr>
          <w:rFonts w:ascii="Arial" w:hAnsi="Arial" w:cs="Arial"/>
        </w:rPr>
        <w:t xml:space="preserve"> </w:t>
      </w:r>
      <w:r w:rsidR="005D470A" w:rsidRPr="00140702">
        <w:rPr>
          <w:rFonts w:ascii="Arial" w:hAnsi="Arial" w:cs="Arial"/>
        </w:rPr>
        <w:t>The power to initiate investigations into monopol</w:t>
      </w:r>
      <w:r w:rsidR="002372FA" w:rsidRPr="00140702">
        <w:rPr>
          <w:rFonts w:ascii="Arial" w:hAnsi="Arial" w:cs="Arial"/>
        </w:rPr>
        <w:t>y</w:t>
      </w:r>
      <w:r w:rsidR="005D470A" w:rsidRPr="00140702">
        <w:rPr>
          <w:rFonts w:ascii="Arial" w:hAnsi="Arial" w:cs="Arial"/>
        </w:rPr>
        <w:t xml:space="preserve"> conduct and to determine the relief </w:t>
      </w:r>
      <w:r w:rsidR="00307067" w:rsidRPr="00140702">
        <w:rPr>
          <w:rFonts w:ascii="Arial" w:hAnsi="Arial" w:cs="Arial"/>
        </w:rPr>
        <w:t>awarded</w:t>
      </w:r>
      <w:r w:rsidR="005D470A" w:rsidRPr="00140702">
        <w:rPr>
          <w:rFonts w:ascii="Arial" w:hAnsi="Arial" w:cs="Arial"/>
        </w:rPr>
        <w:t xml:space="preserve"> for s</w:t>
      </w:r>
      <w:r w:rsidR="002372FA" w:rsidRPr="00140702">
        <w:rPr>
          <w:rFonts w:ascii="Arial" w:hAnsi="Arial" w:cs="Arial"/>
        </w:rPr>
        <w:t xml:space="preserve">uch conduct </w:t>
      </w:r>
      <w:r w:rsidR="00307067" w:rsidRPr="00140702">
        <w:rPr>
          <w:rFonts w:ascii="Arial" w:hAnsi="Arial" w:cs="Arial"/>
        </w:rPr>
        <w:t>vested in</w:t>
      </w:r>
      <w:r w:rsidR="002372FA" w:rsidRPr="00140702">
        <w:rPr>
          <w:rFonts w:ascii="Arial" w:hAnsi="Arial" w:cs="Arial"/>
        </w:rPr>
        <w:t xml:space="preserve"> the M</w:t>
      </w:r>
      <w:r w:rsidR="005D470A" w:rsidRPr="00140702">
        <w:rPr>
          <w:rFonts w:ascii="Arial" w:hAnsi="Arial" w:cs="Arial"/>
        </w:rPr>
        <w:t>inister of Trade and Industry</w:t>
      </w:r>
      <w:r w:rsidR="0030797E" w:rsidRPr="00140702">
        <w:rPr>
          <w:rFonts w:ascii="Arial" w:hAnsi="Arial" w:cs="Arial"/>
        </w:rPr>
        <w:t>.</w:t>
      </w:r>
      <w:r w:rsidR="0030797E" w:rsidRPr="00140702">
        <w:rPr>
          <w:rStyle w:val="Funotenzeichen"/>
          <w:rFonts w:ascii="Arial" w:hAnsi="Arial" w:cs="Arial"/>
        </w:rPr>
        <w:footnoteReference w:id="255"/>
      </w:r>
      <w:r w:rsidR="005D470A" w:rsidRPr="00140702">
        <w:rPr>
          <w:rFonts w:ascii="Arial" w:hAnsi="Arial" w:cs="Arial"/>
        </w:rPr>
        <w:t xml:space="preserve"> </w:t>
      </w:r>
      <w:r w:rsidR="002372FA" w:rsidRPr="00140702">
        <w:rPr>
          <w:rFonts w:ascii="Arial" w:hAnsi="Arial" w:cs="Arial"/>
        </w:rPr>
        <w:t>Furthermore, t</w:t>
      </w:r>
      <w:r w:rsidR="00624FDB" w:rsidRPr="00140702">
        <w:rPr>
          <w:rFonts w:ascii="Arial" w:hAnsi="Arial" w:cs="Arial"/>
        </w:rPr>
        <w:t>he standard of analysis when determining whether specific conduct should be prohibited under this Act</w:t>
      </w:r>
      <w:r w:rsidR="00624FDB" w:rsidRPr="00140702">
        <w:rPr>
          <w:rStyle w:val="Funotenzeichen"/>
          <w:rFonts w:ascii="Arial" w:hAnsi="Arial" w:cs="Arial"/>
        </w:rPr>
        <w:footnoteReference w:id="256"/>
      </w:r>
      <w:r w:rsidR="00624FDB" w:rsidRPr="00140702">
        <w:rPr>
          <w:rFonts w:ascii="Arial" w:hAnsi="Arial" w:cs="Arial"/>
        </w:rPr>
        <w:t xml:space="preserve"> was simply the “public interest” with the term “public interest” not being defined in this Act.</w:t>
      </w:r>
      <w:r w:rsidR="00624FDB" w:rsidRPr="00140702">
        <w:rPr>
          <w:rStyle w:val="Funotenzeichen"/>
          <w:rFonts w:ascii="Arial" w:hAnsi="Arial" w:cs="Arial"/>
        </w:rPr>
        <w:footnoteReference w:id="257"/>
      </w:r>
      <w:r w:rsidR="002372FA" w:rsidRPr="00140702">
        <w:rPr>
          <w:rFonts w:ascii="Arial" w:hAnsi="Arial" w:cs="Arial"/>
        </w:rPr>
        <w:t xml:space="preserve"> This caused several headaches regarding the application and functioning of this Act.</w:t>
      </w:r>
      <w:r w:rsidR="002372FA" w:rsidRPr="00140702">
        <w:rPr>
          <w:rStyle w:val="Funotenzeichen"/>
          <w:rFonts w:ascii="Arial" w:hAnsi="Arial" w:cs="Arial"/>
        </w:rPr>
        <w:footnoteReference w:id="258"/>
      </w:r>
      <w:r w:rsidR="002372FA" w:rsidRPr="00140702">
        <w:rPr>
          <w:rFonts w:ascii="Arial" w:hAnsi="Arial" w:cs="Arial"/>
        </w:rPr>
        <w:t xml:space="preserve"> </w:t>
      </w:r>
    </w:p>
    <w:p w:rsidR="00BC6B19" w:rsidRPr="00140702" w:rsidRDefault="00BC6B19" w:rsidP="00140702">
      <w:pPr>
        <w:contextualSpacing/>
        <w:jc w:val="both"/>
        <w:rPr>
          <w:rFonts w:ascii="Arial" w:hAnsi="Arial" w:cs="Arial"/>
        </w:rPr>
      </w:pPr>
    </w:p>
    <w:p w:rsidR="004C0295" w:rsidRPr="00140702" w:rsidRDefault="00BC6B19" w:rsidP="00140702">
      <w:pPr>
        <w:contextualSpacing/>
        <w:jc w:val="both"/>
        <w:rPr>
          <w:rFonts w:ascii="Arial" w:hAnsi="Arial" w:cs="Arial"/>
        </w:rPr>
      </w:pPr>
      <w:r w:rsidRPr="00140702">
        <w:rPr>
          <w:rFonts w:ascii="Arial" w:hAnsi="Arial" w:cs="Arial"/>
        </w:rPr>
        <w:t xml:space="preserve">The Board of Trade and Industry </w:t>
      </w:r>
      <w:r w:rsidR="00CB4F0B" w:rsidRPr="00140702">
        <w:rPr>
          <w:rFonts w:ascii="Arial" w:hAnsi="Arial" w:cs="Arial"/>
        </w:rPr>
        <w:t>had to be authorised by the Minister of Trade and Industry with</w:t>
      </w:r>
      <w:r w:rsidRPr="00140702">
        <w:rPr>
          <w:rFonts w:ascii="Arial" w:hAnsi="Arial" w:cs="Arial"/>
        </w:rPr>
        <w:t xml:space="preserve"> the investigation of conduct, the recommendation of remedies and lastly to negotiate and ensure compliance with this Act.</w:t>
      </w:r>
      <w:r w:rsidRPr="00140702">
        <w:rPr>
          <w:rStyle w:val="Funotenzeichen"/>
          <w:rFonts w:ascii="Arial" w:hAnsi="Arial" w:cs="Arial"/>
        </w:rPr>
        <w:footnoteReference w:id="259"/>
      </w:r>
      <w:r w:rsidRPr="00140702">
        <w:rPr>
          <w:rFonts w:ascii="Arial" w:hAnsi="Arial" w:cs="Arial"/>
        </w:rPr>
        <w:t xml:space="preserve"> The </w:t>
      </w:r>
      <w:r w:rsidR="00CB4F0B" w:rsidRPr="00140702">
        <w:rPr>
          <w:rFonts w:ascii="Arial" w:hAnsi="Arial" w:cs="Arial"/>
        </w:rPr>
        <w:t>M</w:t>
      </w:r>
      <w:r w:rsidR="00671302" w:rsidRPr="00140702">
        <w:rPr>
          <w:rFonts w:ascii="Arial" w:hAnsi="Arial" w:cs="Arial"/>
        </w:rPr>
        <w:t xml:space="preserve">inister of Trade and Industry then had the authority to either </w:t>
      </w:r>
      <w:r w:rsidR="005F6A16" w:rsidRPr="00140702">
        <w:rPr>
          <w:rFonts w:ascii="Arial" w:hAnsi="Arial" w:cs="Arial"/>
        </w:rPr>
        <w:t>accept</w:t>
      </w:r>
      <w:r w:rsidR="00671302" w:rsidRPr="00140702">
        <w:rPr>
          <w:rFonts w:ascii="Arial" w:hAnsi="Arial" w:cs="Arial"/>
        </w:rPr>
        <w:t xml:space="preserve"> </w:t>
      </w:r>
      <w:r w:rsidR="00307067" w:rsidRPr="00140702">
        <w:rPr>
          <w:rFonts w:ascii="Arial" w:hAnsi="Arial" w:cs="Arial"/>
        </w:rPr>
        <w:t>or</w:t>
      </w:r>
      <w:r w:rsidR="00671302" w:rsidRPr="00140702">
        <w:rPr>
          <w:rFonts w:ascii="Arial" w:hAnsi="Arial" w:cs="Arial"/>
        </w:rPr>
        <w:t xml:space="preserve"> reject the findings and recommendations of the Board of Trade and Industry.</w:t>
      </w:r>
      <w:r w:rsidR="00671302" w:rsidRPr="00140702">
        <w:rPr>
          <w:rStyle w:val="Funotenzeichen"/>
          <w:rFonts w:ascii="Arial" w:hAnsi="Arial" w:cs="Arial"/>
        </w:rPr>
        <w:footnoteReference w:id="260"/>
      </w:r>
      <w:r w:rsidR="005F6A16" w:rsidRPr="00140702">
        <w:rPr>
          <w:rFonts w:ascii="Arial" w:hAnsi="Arial" w:cs="Arial"/>
        </w:rPr>
        <w:t xml:space="preserve"> These investigations by the Board of Trade and Industry eventually lead to a general prohibition of resale price maintenance in 1968.</w:t>
      </w:r>
      <w:r w:rsidR="005F6A16" w:rsidRPr="00140702">
        <w:rPr>
          <w:rStyle w:val="Funotenzeichen"/>
          <w:rFonts w:ascii="Arial" w:hAnsi="Arial" w:cs="Arial"/>
        </w:rPr>
        <w:footnoteReference w:id="261"/>
      </w:r>
    </w:p>
    <w:p w:rsidR="00F65E77" w:rsidRPr="00140702" w:rsidRDefault="00F65E77" w:rsidP="00140702">
      <w:pPr>
        <w:contextualSpacing/>
        <w:jc w:val="both"/>
        <w:rPr>
          <w:rFonts w:ascii="Arial" w:hAnsi="Arial" w:cs="Arial"/>
        </w:rPr>
      </w:pPr>
    </w:p>
    <w:p w:rsidR="00556288" w:rsidRPr="00140702" w:rsidRDefault="00F57C0F" w:rsidP="00140702">
      <w:pPr>
        <w:contextualSpacing/>
        <w:jc w:val="both"/>
        <w:rPr>
          <w:rFonts w:ascii="Arial" w:hAnsi="Arial" w:cs="Arial"/>
        </w:rPr>
      </w:pPr>
      <w:r w:rsidRPr="00140702">
        <w:rPr>
          <w:rFonts w:ascii="Arial" w:hAnsi="Arial" w:cs="Arial"/>
        </w:rPr>
        <w:t xml:space="preserve">In 1975 </w:t>
      </w:r>
      <w:r w:rsidR="003E3836" w:rsidRPr="00140702">
        <w:rPr>
          <w:rFonts w:ascii="Arial" w:hAnsi="Arial" w:cs="Arial"/>
        </w:rPr>
        <w:t>a commission of enquiry was established to investigate the effectiveness of the Regulation of Monopolistic Conditions Act.</w:t>
      </w:r>
      <w:r w:rsidR="003E3836" w:rsidRPr="00140702">
        <w:rPr>
          <w:rStyle w:val="Funotenzeichen"/>
          <w:rFonts w:ascii="Arial" w:hAnsi="Arial" w:cs="Arial"/>
        </w:rPr>
        <w:footnoteReference w:id="262"/>
      </w:r>
      <w:r w:rsidR="003E3836" w:rsidRPr="00140702">
        <w:rPr>
          <w:rFonts w:ascii="Arial" w:hAnsi="Arial" w:cs="Arial"/>
        </w:rPr>
        <w:t xml:space="preserve"> This commission is known as the Mouton Commission.</w:t>
      </w:r>
      <w:r w:rsidR="003E3836" w:rsidRPr="00140702">
        <w:rPr>
          <w:rStyle w:val="Funotenzeichen"/>
          <w:rFonts w:ascii="Arial" w:hAnsi="Arial" w:cs="Arial"/>
        </w:rPr>
        <w:footnoteReference w:id="263"/>
      </w:r>
      <w:r w:rsidR="003E3836" w:rsidRPr="00140702">
        <w:rPr>
          <w:rFonts w:ascii="Arial" w:hAnsi="Arial" w:cs="Arial"/>
        </w:rPr>
        <w:t xml:space="preserve"> </w:t>
      </w:r>
      <w:r w:rsidR="005C0846" w:rsidRPr="00140702">
        <w:rPr>
          <w:rFonts w:ascii="Arial" w:hAnsi="Arial" w:cs="Arial"/>
        </w:rPr>
        <w:t>The enquir</w:t>
      </w:r>
      <w:r w:rsidR="00432305" w:rsidRPr="00140702">
        <w:rPr>
          <w:rFonts w:ascii="Arial" w:hAnsi="Arial" w:cs="Arial"/>
        </w:rPr>
        <w:t>y</w:t>
      </w:r>
      <w:r w:rsidR="005C0846" w:rsidRPr="00140702">
        <w:rPr>
          <w:rFonts w:ascii="Arial" w:hAnsi="Arial" w:cs="Arial"/>
        </w:rPr>
        <w:t xml:space="preserve"> undertaken by the Mouton Commission concluded that the Regulation of Monopolistic Conditions Act</w:t>
      </w:r>
      <w:r w:rsidR="000853F9" w:rsidRPr="00140702">
        <w:rPr>
          <w:rStyle w:val="Funotenzeichen"/>
          <w:rFonts w:ascii="Arial" w:hAnsi="Arial" w:cs="Arial"/>
        </w:rPr>
        <w:footnoteReference w:id="264"/>
      </w:r>
      <w:r w:rsidR="005C0846" w:rsidRPr="00140702">
        <w:rPr>
          <w:rFonts w:ascii="Arial" w:hAnsi="Arial" w:cs="Arial"/>
        </w:rPr>
        <w:t xml:space="preserve"> failed miserably in “preventing a dramatic increase in oligopolies.”</w:t>
      </w:r>
      <w:r w:rsidR="005C0846" w:rsidRPr="00140702">
        <w:rPr>
          <w:rStyle w:val="Funotenzeichen"/>
          <w:rFonts w:ascii="Arial" w:hAnsi="Arial" w:cs="Arial"/>
        </w:rPr>
        <w:footnoteReference w:id="265"/>
      </w:r>
      <w:r w:rsidR="000B7305" w:rsidRPr="00140702">
        <w:rPr>
          <w:rFonts w:ascii="Arial" w:hAnsi="Arial" w:cs="Arial"/>
        </w:rPr>
        <w:t xml:space="preserve"> The Mouton Commission blamed the implementation of the Regulation of Monopolistic Conditions Act</w:t>
      </w:r>
      <w:r w:rsidR="002959E1" w:rsidRPr="00140702">
        <w:rPr>
          <w:rStyle w:val="Funotenzeichen"/>
          <w:rFonts w:ascii="Arial" w:hAnsi="Arial" w:cs="Arial"/>
        </w:rPr>
        <w:footnoteReference w:id="266"/>
      </w:r>
      <w:r w:rsidR="000B7305" w:rsidRPr="00140702">
        <w:rPr>
          <w:rFonts w:ascii="Arial" w:hAnsi="Arial" w:cs="Arial"/>
        </w:rPr>
        <w:t xml:space="preserve"> </w:t>
      </w:r>
      <w:r w:rsidR="00DD28ED" w:rsidRPr="00140702">
        <w:rPr>
          <w:rFonts w:ascii="Arial" w:hAnsi="Arial" w:cs="Arial"/>
        </w:rPr>
        <w:t>for its failure.</w:t>
      </w:r>
      <w:r w:rsidR="00D7586B" w:rsidRPr="00140702">
        <w:rPr>
          <w:rStyle w:val="Funotenzeichen"/>
          <w:rFonts w:ascii="Arial" w:hAnsi="Arial" w:cs="Arial"/>
        </w:rPr>
        <w:footnoteReference w:id="267"/>
      </w:r>
      <w:r w:rsidR="00DD28ED" w:rsidRPr="00140702">
        <w:rPr>
          <w:rFonts w:ascii="Arial" w:hAnsi="Arial" w:cs="Arial"/>
        </w:rPr>
        <w:t xml:space="preserve"> Stating that the reason for this unsuccessful implementation of this Act</w:t>
      </w:r>
      <w:r w:rsidR="00CB4F0B" w:rsidRPr="00140702">
        <w:rPr>
          <w:rStyle w:val="Funotenzeichen"/>
          <w:rFonts w:ascii="Arial" w:hAnsi="Arial" w:cs="Arial"/>
        </w:rPr>
        <w:footnoteReference w:id="268"/>
      </w:r>
      <w:r w:rsidR="00DD28ED" w:rsidRPr="00140702">
        <w:rPr>
          <w:rFonts w:ascii="Arial" w:hAnsi="Arial" w:cs="Arial"/>
        </w:rPr>
        <w:t xml:space="preserve"> was due to the Minister of Trade and Industry being </w:t>
      </w:r>
      <w:r w:rsidR="00D7586B" w:rsidRPr="00140702">
        <w:rPr>
          <w:rFonts w:ascii="Arial" w:hAnsi="Arial" w:cs="Arial"/>
        </w:rPr>
        <w:t xml:space="preserve">driven by </w:t>
      </w:r>
      <w:r w:rsidR="00DD28ED" w:rsidRPr="00140702">
        <w:rPr>
          <w:rFonts w:ascii="Arial" w:hAnsi="Arial" w:cs="Arial"/>
        </w:rPr>
        <w:t xml:space="preserve">political influence and </w:t>
      </w:r>
      <w:r w:rsidR="003F55C1" w:rsidRPr="00140702">
        <w:rPr>
          <w:rFonts w:ascii="Arial" w:hAnsi="Arial" w:cs="Arial"/>
        </w:rPr>
        <w:t xml:space="preserve">citing </w:t>
      </w:r>
      <w:r w:rsidR="00DD28ED" w:rsidRPr="00140702">
        <w:rPr>
          <w:rFonts w:ascii="Arial" w:hAnsi="Arial" w:cs="Arial"/>
        </w:rPr>
        <w:t xml:space="preserve">that the Board of Trade and Industry </w:t>
      </w:r>
      <w:r w:rsidR="00D7586B" w:rsidRPr="00140702">
        <w:rPr>
          <w:rFonts w:ascii="Arial" w:hAnsi="Arial" w:cs="Arial"/>
        </w:rPr>
        <w:t xml:space="preserve">had a conflict of interest </w:t>
      </w:r>
      <w:r w:rsidR="003F55C1" w:rsidRPr="00140702">
        <w:rPr>
          <w:rFonts w:ascii="Arial" w:hAnsi="Arial" w:cs="Arial"/>
        </w:rPr>
        <w:t>regarding</w:t>
      </w:r>
      <w:r w:rsidR="00D7586B" w:rsidRPr="00140702">
        <w:rPr>
          <w:rFonts w:ascii="Arial" w:hAnsi="Arial" w:cs="Arial"/>
        </w:rPr>
        <w:t xml:space="preserve"> the application of</w:t>
      </w:r>
      <w:r w:rsidR="00CB4F0B" w:rsidRPr="00140702">
        <w:rPr>
          <w:rFonts w:ascii="Arial" w:hAnsi="Arial" w:cs="Arial"/>
        </w:rPr>
        <w:t xml:space="preserve"> the</w:t>
      </w:r>
      <w:r w:rsidR="00D7586B" w:rsidRPr="00140702">
        <w:rPr>
          <w:rFonts w:ascii="Arial" w:hAnsi="Arial" w:cs="Arial"/>
        </w:rPr>
        <w:t xml:space="preserve"> Regulation of Monopolistic Conditions Act.</w:t>
      </w:r>
      <w:r w:rsidR="00D7586B" w:rsidRPr="00140702">
        <w:rPr>
          <w:rStyle w:val="Funotenzeichen"/>
          <w:rFonts w:ascii="Arial" w:hAnsi="Arial" w:cs="Arial"/>
        </w:rPr>
        <w:footnoteReference w:id="269"/>
      </w:r>
      <w:r w:rsidR="00D7586B" w:rsidRPr="00140702">
        <w:rPr>
          <w:rFonts w:ascii="Arial" w:hAnsi="Arial" w:cs="Arial"/>
        </w:rPr>
        <w:t xml:space="preserve"> </w:t>
      </w:r>
    </w:p>
    <w:p w:rsidR="00556288" w:rsidRPr="00140702" w:rsidRDefault="00556288" w:rsidP="00140702">
      <w:pPr>
        <w:contextualSpacing/>
        <w:jc w:val="both"/>
        <w:rPr>
          <w:rFonts w:ascii="Arial" w:hAnsi="Arial" w:cs="Arial"/>
        </w:rPr>
      </w:pPr>
    </w:p>
    <w:p w:rsidR="009032C8" w:rsidRPr="00140702" w:rsidRDefault="00556288" w:rsidP="00140702">
      <w:pPr>
        <w:contextualSpacing/>
        <w:jc w:val="both"/>
        <w:rPr>
          <w:rFonts w:ascii="Arial" w:hAnsi="Arial" w:cs="Arial"/>
        </w:rPr>
      </w:pPr>
      <w:r w:rsidRPr="00140702">
        <w:rPr>
          <w:rFonts w:ascii="Arial" w:hAnsi="Arial" w:cs="Arial"/>
        </w:rPr>
        <w:t>The Regulation of Monopolistic Conditions Act</w:t>
      </w:r>
      <w:r w:rsidR="002959E1" w:rsidRPr="00140702">
        <w:rPr>
          <w:rStyle w:val="Funotenzeichen"/>
          <w:rFonts w:ascii="Arial" w:hAnsi="Arial" w:cs="Arial"/>
        </w:rPr>
        <w:footnoteReference w:id="270"/>
      </w:r>
      <w:r w:rsidRPr="00140702">
        <w:rPr>
          <w:rFonts w:ascii="Arial" w:hAnsi="Arial" w:cs="Arial"/>
        </w:rPr>
        <w:t xml:space="preserve"> also had other shortcomings such as that it did not allow for preventative action against monopol</w:t>
      </w:r>
      <w:r w:rsidR="009032C8" w:rsidRPr="00140702">
        <w:rPr>
          <w:rFonts w:ascii="Arial" w:hAnsi="Arial" w:cs="Arial"/>
        </w:rPr>
        <w:t>y conduct</w:t>
      </w:r>
      <w:r w:rsidRPr="00140702">
        <w:rPr>
          <w:rFonts w:ascii="Arial" w:hAnsi="Arial" w:cs="Arial"/>
        </w:rPr>
        <w:t>, the penalties of this Act</w:t>
      </w:r>
      <w:r w:rsidR="009032C8" w:rsidRPr="00140702">
        <w:rPr>
          <w:rStyle w:val="Funotenzeichen"/>
          <w:rFonts w:ascii="Arial" w:hAnsi="Arial" w:cs="Arial"/>
        </w:rPr>
        <w:footnoteReference w:id="271"/>
      </w:r>
      <w:r w:rsidRPr="00140702">
        <w:rPr>
          <w:rFonts w:ascii="Arial" w:hAnsi="Arial" w:cs="Arial"/>
        </w:rPr>
        <w:t xml:space="preserve"> was no longer satisfactory and lastly this Act</w:t>
      </w:r>
      <w:r w:rsidR="009032C8" w:rsidRPr="00140702">
        <w:rPr>
          <w:rStyle w:val="Funotenzeichen"/>
          <w:rFonts w:ascii="Arial" w:hAnsi="Arial" w:cs="Arial"/>
        </w:rPr>
        <w:footnoteReference w:id="272"/>
      </w:r>
      <w:r w:rsidRPr="00140702">
        <w:rPr>
          <w:rFonts w:ascii="Arial" w:hAnsi="Arial" w:cs="Arial"/>
        </w:rPr>
        <w:t xml:space="preserve"> also failed to deal with mergers and acquisitions</w:t>
      </w:r>
      <w:r w:rsidR="00C55420" w:rsidRPr="00140702">
        <w:rPr>
          <w:rFonts w:ascii="Arial" w:hAnsi="Arial" w:cs="Arial"/>
        </w:rPr>
        <w:t>.</w:t>
      </w:r>
      <w:r w:rsidR="00012FF3" w:rsidRPr="00140702">
        <w:rPr>
          <w:rStyle w:val="Funotenzeichen"/>
          <w:rFonts w:ascii="Arial" w:hAnsi="Arial" w:cs="Arial"/>
        </w:rPr>
        <w:footnoteReference w:id="273"/>
      </w:r>
      <w:r w:rsidRPr="00140702">
        <w:rPr>
          <w:rFonts w:ascii="Arial" w:hAnsi="Arial" w:cs="Arial"/>
        </w:rPr>
        <w:t xml:space="preserve"> </w:t>
      </w:r>
    </w:p>
    <w:p w:rsidR="009032C8" w:rsidRPr="00140702" w:rsidRDefault="009032C8" w:rsidP="00140702">
      <w:pPr>
        <w:contextualSpacing/>
        <w:jc w:val="both"/>
        <w:rPr>
          <w:rFonts w:ascii="Arial" w:hAnsi="Arial" w:cs="Arial"/>
        </w:rPr>
      </w:pPr>
    </w:p>
    <w:p w:rsidR="00BB0DCB" w:rsidRDefault="003E6AE5" w:rsidP="00140702">
      <w:pPr>
        <w:contextualSpacing/>
        <w:jc w:val="both"/>
        <w:rPr>
          <w:rFonts w:ascii="Arial" w:hAnsi="Arial" w:cs="Arial"/>
        </w:rPr>
      </w:pPr>
      <w:r w:rsidRPr="00140702">
        <w:rPr>
          <w:rFonts w:ascii="Arial" w:hAnsi="Arial" w:cs="Arial"/>
        </w:rPr>
        <w:t xml:space="preserve">As a result of the enquiry by the Mouton Commission </w:t>
      </w:r>
      <w:r w:rsidR="00E90D91" w:rsidRPr="00140702">
        <w:rPr>
          <w:rFonts w:ascii="Arial" w:hAnsi="Arial" w:cs="Arial"/>
        </w:rPr>
        <w:t>the Regulation</w:t>
      </w:r>
      <w:r w:rsidRPr="00140702">
        <w:rPr>
          <w:rFonts w:ascii="Arial" w:hAnsi="Arial" w:cs="Arial"/>
        </w:rPr>
        <w:t xml:space="preserve"> of Monopolistic Conditions Act</w:t>
      </w:r>
      <w:r w:rsidR="002959E1" w:rsidRPr="00140702">
        <w:rPr>
          <w:rStyle w:val="Funotenzeichen"/>
          <w:rFonts w:ascii="Arial" w:hAnsi="Arial" w:cs="Arial"/>
        </w:rPr>
        <w:footnoteReference w:id="274"/>
      </w:r>
      <w:r w:rsidRPr="00140702">
        <w:rPr>
          <w:rFonts w:ascii="Arial" w:hAnsi="Arial" w:cs="Arial"/>
        </w:rPr>
        <w:t xml:space="preserve"> was repealed by the Maintenance and Promotion of Competition Act</w:t>
      </w:r>
      <w:r w:rsidR="002959E1" w:rsidRPr="00140702">
        <w:rPr>
          <w:rStyle w:val="Funotenzeichen"/>
          <w:rFonts w:ascii="Arial" w:hAnsi="Arial" w:cs="Arial"/>
        </w:rPr>
        <w:footnoteReference w:id="275"/>
      </w:r>
      <w:r w:rsidRPr="00140702">
        <w:rPr>
          <w:rFonts w:ascii="Arial" w:hAnsi="Arial" w:cs="Arial"/>
        </w:rPr>
        <w:t xml:space="preserve"> which came into force on the 1</w:t>
      </w:r>
      <w:r w:rsidRPr="00140702">
        <w:rPr>
          <w:rFonts w:ascii="Arial" w:hAnsi="Arial" w:cs="Arial"/>
          <w:vertAlign w:val="superscript"/>
        </w:rPr>
        <w:t>st</w:t>
      </w:r>
      <w:r w:rsidRPr="00140702">
        <w:rPr>
          <w:rFonts w:ascii="Arial" w:hAnsi="Arial" w:cs="Arial"/>
        </w:rPr>
        <w:t xml:space="preserve"> of January 1980.</w:t>
      </w:r>
      <w:r w:rsidRPr="00140702">
        <w:rPr>
          <w:rStyle w:val="Funotenzeichen"/>
          <w:rFonts w:ascii="Arial" w:hAnsi="Arial" w:cs="Arial"/>
        </w:rPr>
        <w:footnoteReference w:id="276"/>
      </w:r>
    </w:p>
    <w:p w:rsidR="00B44E0D" w:rsidRPr="00140702" w:rsidRDefault="00B44E0D" w:rsidP="00140702">
      <w:pPr>
        <w:contextualSpacing/>
        <w:jc w:val="both"/>
        <w:rPr>
          <w:rFonts w:ascii="Arial" w:hAnsi="Arial" w:cs="Arial"/>
        </w:rPr>
      </w:pPr>
      <w:r w:rsidRPr="00140702">
        <w:rPr>
          <w:rFonts w:ascii="Arial" w:hAnsi="Arial" w:cs="Arial"/>
        </w:rPr>
        <w:t>2.3.2.3 Maintenance and Promotion of Competition Act</w:t>
      </w:r>
      <w:r w:rsidR="00922164" w:rsidRPr="00140702">
        <w:rPr>
          <w:rStyle w:val="Funotenzeichen"/>
          <w:rFonts w:ascii="Arial" w:hAnsi="Arial" w:cs="Arial"/>
        </w:rPr>
        <w:footnoteReference w:id="277"/>
      </w:r>
    </w:p>
    <w:p w:rsidR="00950B02" w:rsidRPr="00140702" w:rsidRDefault="00950B02" w:rsidP="00140702">
      <w:pPr>
        <w:contextualSpacing/>
        <w:jc w:val="both"/>
        <w:rPr>
          <w:rFonts w:ascii="Arial" w:hAnsi="Arial" w:cs="Arial"/>
        </w:rPr>
      </w:pPr>
    </w:p>
    <w:p w:rsidR="00950B02" w:rsidRPr="00140702" w:rsidRDefault="00950B02" w:rsidP="00140702">
      <w:pPr>
        <w:contextualSpacing/>
        <w:jc w:val="both"/>
        <w:rPr>
          <w:rFonts w:ascii="Arial" w:hAnsi="Arial" w:cs="Arial"/>
        </w:rPr>
      </w:pPr>
      <w:r w:rsidRPr="00140702">
        <w:rPr>
          <w:rFonts w:ascii="Arial" w:hAnsi="Arial" w:cs="Arial"/>
        </w:rPr>
        <w:t>2.3.2.3.1 Underlying principles</w:t>
      </w:r>
    </w:p>
    <w:p w:rsidR="007F22DD" w:rsidRPr="00140702" w:rsidRDefault="00E25654" w:rsidP="00140702">
      <w:pPr>
        <w:contextualSpacing/>
        <w:jc w:val="both"/>
        <w:rPr>
          <w:rFonts w:ascii="Arial" w:hAnsi="Arial" w:cs="Arial"/>
        </w:rPr>
      </w:pPr>
      <w:r w:rsidRPr="00140702">
        <w:rPr>
          <w:rFonts w:ascii="Arial" w:hAnsi="Arial" w:cs="Arial"/>
        </w:rPr>
        <w:t xml:space="preserve">The Mouton Commission suggested that the new </w:t>
      </w:r>
      <w:r w:rsidR="004F3800" w:rsidRPr="00140702">
        <w:rPr>
          <w:rFonts w:ascii="Arial" w:hAnsi="Arial" w:cs="Arial"/>
        </w:rPr>
        <w:t>competition Act</w:t>
      </w:r>
      <w:r w:rsidR="00EA6097" w:rsidRPr="00140702">
        <w:rPr>
          <w:rStyle w:val="Funotenzeichen"/>
          <w:rFonts w:ascii="Arial" w:hAnsi="Arial" w:cs="Arial"/>
        </w:rPr>
        <w:footnoteReference w:id="278"/>
      </w:r>
      <w:r w:rsidR="004F3800" w:rsidRPr="00140702">
        <w:rPr>
          <w:rFonts w:ascii="Arial" w:hAnsi="Arial" w:cs="Arial"/>
        </w:rPr>
        <w:t xml:space="preserve"> should provide for a new administrative authority with more resources, heavier penalties for any violation of the </w:t>
      </w:r>
      <w:r w:rsidR="00DB17C6" w:rsidRPr="00140702">
        <w:rPr>
          <w:rFonts w:ascii="Arial" w:hAnsi="Arial" w:cs="Arial"/>
        </w:rPr>
        <w:t>competition legislation and also for the inclusion of provisions for merger control.</w:t>
      </w:r>
      <w:r w:rsidR="00DB17C6" w:rsidRPr="00140702">
        <w:rPr>
          <w:rStyle w:val="Funotenzeichen"/>
          <w:rFonts w:ascii="Arial" w:hAnsi="Arial" w:cs="Arial"/>
        </w:rPr>
        <w:footnoteReference w:id="279"/>
      </w:r>
      <w:r w:rsidR="004F3800" w:rsidRPr="00140702">
        <w:rPr>
          <w:rFonts w:ascii="Arial" w:hAnsi="Arial" w:cs="Arial"/>
        </w:rPr>
        <w:t xml:space="preserve"> </w:t>
      </w:r>
      <w:r w:rsidR="00DB17C6" w:rsidRPr="00140702">
        <w:rPr>
          <w:rFonts w:ascii="Arial" w:hAnsi="Arial" w:cs="Arial"/>
        </w:rPr>
        <w:t xml:space="preserve">The Mouton Commission </w:t>
      </w:r>
      <w:r w:rsidR="007F22DD" w:rsidRPr="00140702">
        <w:rPr>
          <w:rFonts w:ascii="Arial" w:hAnsi="Arial" w:cs="Arial"/>
        </w:rPr>
        <w:t>also made recommendations on the objectives and principles of competition policy in South Africa.</w:t>
      </w:r>
      <w:r w:rsidR="00EA6097" w:rsidRPr="00140702">
        <w:rPr>
          <w:rStyle w:val="Funotenzeichen"/>
          <w:rFonts w:ascii="Arial" w:hAnsi="Arial" w:cs="Arial"/>
        </w:rPr>
        <w:footnoteReference w:id="280"/>
      </w:r>
      <w:r w:rsidR="007F22DD" w:rsidRPr="00140702">
        <w:rPr>
          <w:rFonts w:ascii="Arial" w:hAnsi="Arial" w:cs="Arial"/>
        </w:rPr>
        <w:t xml:space="preserve"> </w:t>
      </w:r>
    </w:p>
    <w:p w:rsidR="009E5DEF" w:rsidRPr="00140702" w:rsidRDefault="009E5DEF" w:rsidP="00140702">
      <w:pPr>
        <w:contextualSpacing/>
        <w:jc w:val="both"/>
        <w:rPr>
          <w:rFonts w:ascii="Arial" w:hAnsi="Arial" w:cs="Arial"/>
        </w:rPr>
      </w:pPr>
    </w:p>
    <w:p w:rsidR="00E25654" w:rsidRPr="00140702" w:rsidRDefault="007F22DD" w:rsidP="00140702">
      <w:pPr>
        <w:contextualSpacing/>
        <w:jc w:val="both"/>
        <w:rPr>
          <w:rFonts w:ascii="Arial" w:hAnsi="Arial" w:cs="Arial"/>
        </w:rPr>
      </w:pPr>
      <w:r w:rsidRPr="00140702">
        <w:rPr>
          <w:rFonts w:ascii="Arial" w:hAnsi="Arial" w:cs="Arial"/>
        </w:rPr>
        <w:t xml:space="preserve">These recommendations include the following: </w:t>
      </w:r>
    </w:p>
    <w:p w:rsidR="00E25654" w:rsidRPr="00140702" w:rsidRDefault="004B3A59" w:rsidP="00140702">
      <w:pPr>
        <w:contextualSpacing/>
        <w:jc w:val="both"/>
        <w:rPr>
          <w:rFonts w:ascii="Arial" w:hAnsi="Arial" w:cs="Arial"/>
        </w:rPr>
      </w:pPr>
      <w:r w:rsidRPr="00140702">
        <w:rPr>
          <w:rFonts w:ascii="Arial" w:hAnsi="Arial" w:cs="Arial"/>
        </w:rPr>
        <w:t xml:space="preserve">a) </w:t>
      </w:r>
      <w:r w:rsidR="00971E76" w:rsidRPr="00140702">
        <w:rPr>
          <w:rFonts w:ascii="Arial" w:hAnsi="Arial" w:cs="Arial"/>
        </w:rPr>
        <w:t>“</w:t>
      </w:r>
      <w:r w:rsidRPr="00140702">
        <w:rPr>
          <w:rFonts w:ascii="Arial" w:hAnsi="Arial" w:cs="Arial"/>
        </w:rPr>
        <w:t>A competition policy based on free enterprise, embracing the total economy, is essential for achieving the country's overall economic objectives, such as the optimum utilization of economic resources, the creation of employment, improving the balance of payments and stimulating economic growth.</w:t>
      </w:r>
      <w:r w:rsidR="00971E76" w:rsidRPr="00140702">
        <w:rPr>
          <w:rFonts w:ascii="Arial" w:hAnsi="Arial" w:cs="Arial"/>
        </w:rPr>
        <w:t>”</w:t>
      </w:r>
      <w:r w:rsidR="002609DB" w:rsidRPr="00140702">
        <w:rPr>
          <w:rStyle w:val="Funotenzeichen"/>
          <w:rFonts w:ascii="Arial" w:hAnsi="Arial" w:cs="Arial"/>
        </w:rPr>
        <w:footnoteReference w:id="281"/>
      </w:r>
    </w:p>
    <w:p w:rsidR="004B3A59" w:rsidRPr="00140702" w:rsidRDefault="004B3A59" w:rsidP="00140702">
      <w:pPr>
        <w:contextualSpacing/>
        <w:jc w:val="both"/>
        <w:rPr>
          <w:rFonts w:ascii="Arial" w:hAnsi="Arial" w:cs="Arial"/>
        </w:rPr>
      </w:pPr>
      <w:r w:rsidRPr="00140702">
        <w:rPr>
          <w:rFonts w:ascii="Arial" w:hAnsi="Arial" w:cs="Arial"/>
        </w:rPr>
        <w:t xml:space="preserve">b) Competition policy should also provide for </w:t>
      </w:r>
      <w:r w:rsidR="00971E76" w:rsidRPr="00140702">
        <w:rPr>
          <w:rFonts w:ascii="Arial" w:hAnsi="Arial" w:cs="Arial"/>
        </w:rPr>
        <w:t>co</w:t>
      </w:r>
      <w:r w:rsidR="007B129B" w:rsidRPr="00140702">
        <w:rPr>
          <w:rFonts w:ascii="Arial" w:hAnsi="Arial" w:cs="Arial"/>
        </w:rPr>
        <w:t>ö</w:t>
      </w:r>
      <w:r w:rsidR="00971E76" w:rsidRPr="00140702">
        <w:rPr>
          <w:rFonts w:ascii="Arial" w:hAnsi="Arial" w:cs="Arial"/>
        </w:rPr>
        <w:t>peration</w:t>
      </w:r>
      <w:r w:rsidRPr="00140702">
        <w:rPr>
          <w:rFonts w:ascii="Arial" w:hAnsi="Arial" w:cs="Arial"/>
        </w:rPr>
        <w:t xml:space="preserve"> between the public</w:t>
      </w:r>
      <w:r w:rsidR="00971E76" w:rsidRPr="00140702">
        <w:rPr>
          <w:rFonts w:ascii="Arial" w:hAnsi="Arial" w:cs="Arial"/>
        </w:rPr>
        <w:t xml:space="preserve"> and private establishments</w:t>
      </w:r>
      <w:r w:rsidRPr="00140702">
        <w:rPr>
          <w:rFonts w:ascii="Arial" w:hAnsi="Arial" w:cs="Arial"/>
        </w:rPr>
        <w:t>.</w:t>
      </w:r>
      <w:r w:rsidR="002609DB" w:rsidRPr="00140702">
        <w:rPr>
          <w:rStyle w:val="Funotenzeichen"/>
          <w:rFonts w:ascii="Arial" w:hAnsi="Arial" w:cs="Arial"/>
        </w:rPr>
        <w:footnoteReference w:id="282"/>
      </w:r>
    </w:p>
    <w:p w:rsidR="00971E76" w:rsidRPr="00140702" w:rsidRDefault="004B3A59" w:rsidP="00140702">
      <w:pPr>
        <w:contextualSpacing/>
        <w:jc w:val="both"/>
        <w:rPr>
          <w:rFonts w:ascii="Arial" w:hAnsi="Arial" w:cs="Arial"/>
        </w:rPr>
      </w:pPr>
      <w:r w:rsidRPr="00140702">
        <w:rPr>
          <w:rFonts w:ascii="Arial" w:hAnsi="Arial" w:cs="Arial"/>
        </w:rPr>
        <w:t xml:space="preserve">c) </w:t>
      </w:r>
      <w:r w:rsidR="00971E76" w:rsidRPr="00140702">
        <w:rPr>
          <w:rFonts w:ascii="Arial" w:hAnsi="Arial" w:cs="Arial"/>
        </w:rPr>
        <w:t>Competition policy should be aimed at protecting the public interest from the abuse of market power</w:t>
      </w:r>
      <w:r w:rsidR="002609DB" w:rsidRPr="00140702">
        <w:rPr>
          <w:rFonts w:ascii="Arial" w:hAnsi="Arial" w:cs="Arial"/>
        </w:rPr>
        <w:t xml:space="preserve"> and should contain appropriate penalties.</w:t>
      </w:r>
      <w:r w:rsidR="002609DB" w:rsidRPr="00140702">
        <w:rPr>
          <w:rStyle w:val="Funotenzeichen"/>
          <w:rFonts w:ascii="Arial" w:hAnsi="Arial" w:cs="Arial"/>
        </w:rPr>
        <w:footnoteReference w:id="283"/>
      </w:r>
      <w:r w:rsidR="007B129B" w:rsidRPr="00140702">
        <w:rPr>
          <w:rFonts w:ascii="Arial" w:hAnsi="Arial" w:cs="Arial"/>
        </w:rPr>
        <w:t xml:space="preserve"> T</w:t>
      </w:r>
      <w:r w:rsidR="00C325D7" w:rsidRPr="00140702">
        <w:rPr>
          <w:rFonts w:ascii="Arial" w:hAnsi="Arial" w:cs="Arial"/>
        </w:rPr>
        <w:t xml:space="preserve">o achieve this competition policy should promote effective competition so as to obtain the optimum allocation </w:t>
      </w:r>
      <w:r w:rsidR="009E5DEF" w:rsidRPr="00140702">
        <w:rPr>
          <w:rFonts w:ascii="Arial" w:hAnsi="Arial" w:cs="Arial"/>
        </w:rPr>
        <w:t>of the economic resources.</w:t>
      </w:r>
      <w:r w:rsidR="009E5DEF" w:rsidRPr="00140702">
        <w:rPr>
          <w:rStyle w:val="Funotenzeichen"/>
          <w:rFonts w:ascii="Arial" w:hAnsi="Arial" w:cs="Arial"/>
        </w:rPr>
        <w:footnoteReference w:id="284"/>
      </w:r>
    </w:p>
    <w:p w:rsidR="00307548" w:rsidRPr="00140702" w:rsidRDefault="009E5DEF" w:rsidP="00140702">
      <w:pPr>
        <w:contextualSpacing/>
        <w:jc w:val="both"/>
        <w:rPr>
          <w:rFonts w:ascii="Arial" w:hAnsi="Arial" w:cs="Arial"/>
        </w:rPr>
      </w:pPr>
      <w:r w:rsidRPr="00140702">
        <w:rPr>
          <w:rFonts w:ascii="Arial" w:hAnsi="Arial" w:cs="Arial"/>
        </w:rPr>
        <w:t xml:space="preserve">d) </w:t>
      </w:r>
      <w:r w:rsidR="00106479" w:rsidRPr="00140702">
        <w:rPr>
          <w:rFonts w:ascii="Arial" w:hAnsi="Arial" w:cs="Arial"/>
        </w:rPr>
        <w:t xml:space="preserve">The </w:t>
      </w:r>
      <w:r w:rsidR="00307548" w:rsidRPr="00140702">
        <w:rPr>
          <w:rFonts w:ascii="Arial" w:hAnsi="Arial" w:cs="Arial"/>
        </w:rPr>
        <w:t>Mouton C</w:t>
      </w:r>
      <w:r w:rsidR="00106479" w:rsidRPr="00140702">
        <w:rPr>
          <w:rFonts w:ascii="Arial" w:hAnsi="Arial" w:cs="Arial"/>
        </w:rPr>
        <w:t>ommission also noticed that South Africa generally has high levels of concentrati</w:t>
      </w:r>
      <w:r w:rsidR="00AE4E09" w:rsidRPr="00140702">
        <w:rPr>
          <w:rFonts w:ascii="Arial" w:hAnsi="Arial" w:cs="Arial"/>
        </w:rPr>
        <w:t>o</w:t>
      </w:r>
      <w:r w:rsidR="00106479" w:rsidRPr="00140702">
        <w:rPr>
          <w:rFonts w:ascii="Arial" w:hAnsi="Arial" w:cs="Arial"/>
        </w:rPr>
        <w:t>n</w:t>
      </w:r>
      <w:r w:rsidR="006D2E50" w:rsidRPr="00140702">
        <w:rPr>
          <w:rStyle w:val="Funotenzeichen"/>
          <w:rFonts w:ascii="Arial" w:hAnsi="Arial" w:cs="Arial"/>
        </w:rPr>
        <w:footnoteReference w:id="285"/>
      </w:r>
      <w:r w:rsidR="00106479" w:rsidRPr="00140702">
        <w:rPr>
          <w:rFonts w:ascii="Arial" w:hAnsi="Arial" w:cs="Arial"/>
        </w:rPr>
        <w:t xml:space="preserve"> of economic power within the economy but the</w:t>
      </w:r>
      <w:r w:rsidR="00307548" w:rsidRPr="00140702">
        <w:rPr>
          <w:rFonts w:ascii="Arial" w:hAnsi="Arial" w:cs="Arial"/>
        </w:rPr>
        <w:t xml:space="preserve"> Mouton C</w:t>
      </w:r>
      <w:r w:rsidR="00106479" w:rsidRPr="00140702">
        <w:rPr>
          <w:rFonts w:ascii="Arial" w:hAnsi="Arial" w:cs="Arial"/>
        </w:rPr>
        <w:t>ommission was of the opinion that these high levels of concentrations are not against public interest</w:t>
      </w:r>
      <w:r w:rsidR="00AE4E09" w:rsidRPr="00140702">
        <w:rPr>
          <w:rFonts w:ascii="Arial" w:hAnsi="Arial" w:cs="Arial"/>
        </w:rPr>
        <w:t>.</w:t>
      </w:r>
      <w:r w:rsidR="005566CE" w:rsidRPr="00140702">
        <w:rPr>
          <w:rStyle w:val="Funotenzeichen"/>
          <w:rFonts w:ascii="Arial" w:hAnsi="Arial" w:cs="Arial"/>
        </w:rPr>
        <w:footnoteReference w:id="286"/>
      </w:r>
      <w:r w:rsidR="00AE4E09" w:rsidRPr="00140702">
        <w:rPr>
          <w:rFonts w:ascii="Arial" w:hAnsi="Arial" w:cs="Arial"/>
        </w:rPr>
        <w:t xml:space="preserve"> </w:t>
      </w:r>
    </w:p>
    <w:p w:rsidR="00BB0DCB" w:rsidRDefault="00BB0DCB" w:rsidP="00140702">
      <w:pPr>
        <w:contextualSpacing/>
        <w:jc w:val="both"/>
        <w:rPr>
          <w:rFonts w:ascii="Arial" w:hAnsi="Arial" w:cs="Arial"/>
        </w:rPr>
      </w:pPr>
    </w:p>
    <w:p w:rsidR="009E5DEF" w:rsidRPr="00140702" w:rsidRDefault="00AE4E09" w:rsidP="00140702">
      <w:pPr>
        <w:contextualSpacing/>
        <w:jc w:val="both"/>
        <w:rPr>
          <w:rFonts w:ascii="Arial" w:hAnsi="Arial" w:cs="Arial"/>
        </w:rPr>
      </w:pPr>
      <w:r w:rsidRPr="00140702">
        <w:rPr>
          <w:rFonts w:ascii="Arial" w:hAnsi="Arial" w:cs="Arial"/>
        </w:rPr>
        <w:t>Accordingly</w:t>
      </w:r>
      <w:r w:rsidR="000372F1" w:rsidRPr="00140702">
        <w:rPr>
          <w:rFonts w:ascii="Arial" w:hAnsi="Arial" w:cs="Arial"/>
        </w:rPr>
        <w:t>,</w:t>
      </w:r>
      <w:r w:rsidRPr="00140702">
        <w:rPr>
          <w:rFonts w:ascii="Arial" w:hAnsi="Arial" w:cs="Arial"/>
        </w:rPr>
        <w:t xml:space="preserve"> the </w:t>
      </w:r>
      <w:r w:rsidR="00307548" w:rsidRPr="00140702">
        <w:rPr>
          <w:rFonts w:ascii="Arial" w:hAnsi="Arial" w:cs="Arial"/>
        </w:rPr>
        <w:t>Mouton C</w:t>
      </w:r>
      <w:r w:rsidR="00016B37" w:rsidRPr="00140702">
        <w:rPr>
          <w:rFonts w:ascii="Arial" w:hAnsi="Arial" w:cs="Arial"/>
        </w:rPr>
        <w:t xml:space="preserve">ommission was of the opinion that competition legislation should not contain any </w:t>
      </w:r>
      <w:r w:rsidR="00016B37" w:rsidRPr="00140702">
        <w:rPr>
          <w:rFonts w:ascii="Arial" w:hAnsi="Arial" w:cs="Arial"/>
          <w:i/>
        </w:rPr>
        <w:t>per se</w:t>
      </w:r>
      <w:r w:rsidR="00016B37" w:rsidRPr="00140702">
        <w:rPr>
          <w:rFonts w:ascii="Arial" w:hAnsi="Arial" w:cs="Arial"/>
        </w:rPr>
        <w:t xml:space="preserve"> prohibitions regarding monopol</w:t>
      </w:r>
      <w:r w:rsidR="00307548" w:rsidRPr="00140702">
        <w:rPr>
          <w:rFonts w:ascii="Arial" w:hAnsi="Arial" w:cs="Arial"/>
        </w:rPr>
        <w:t>y</w:t>
      </w:r>
      <w:r w:rsidR="00016B37" w:rsidRPr="00140702">
        <w:rPr>
          <w:rFonts w:ascii="Arial" w:hAnsi="Arial" w:cs="Arial"/>
        </w:rPr>
        <w:t xml:space="preserve"> </w:t>
      </w:r>
      <w:r w:rsidR="000372F1" w:rsidRPr="00140702">
        <w:rPr>
          <w:rFonts w:ascii="Arial" w:hAnsi="Arial" w:cs="Arial"/>
        </w:rPr>
        <w:t>conduct</w:t>
      </w:r>
      <w:r w:rsidR="00016B37" w:rsidRPr="00140702">
        <w:rPr>
          <w:rFonts w:ascii="Arial" w:hAnsi="Arial" w:cs="Arial"/>
        </w:rPr>
        <w:t xml:space="preserve"> and restrictive trade practises.</w:t>
      </w:r>
      <w:r w:rsidR="005566CE" w:rsidRPr="00140702">
        <w:rPr>
          <w:rStyle w:val="Funotenzeichen"/>
          <w:rFonts w:ascii="Arial" w:hAnsi="Arial" w:cs="Arial"/>
        </w:rPr>
        <w:footnoteReference w:id="287"/>
      </w:r>
      <w:r w:rsidR="00016B37" w:rsidRPr="00140702">
        <w:rPr>
          <w:rFonts w:ascii="Arial" w:hAnsi="Arial" w:cs="Arial"/>
        </w:rPr>
        <w:t xml:space="preserve"> </w:t>
      </w:r>
      <w:r w:rsidR="005566CE" w:rsidRPr="00140702">
        <w:rPr>
          <w:rFonts w:ascii="Arial" w:hAnsi="Arial" w:cs="Arial"/>
        </w:rPr>
        <w:t>Hence, t</w:t>
      </w:r>
      <w:r w:rsidR="00016B37" w:rsidRPr="00140702">
        <w:rPr>
          <w:rFonts w:ascii="Arial" w:hAnsi="Arial" w:cs="Arial"/>
        </w:rPr>
        <w:t xml:space="preserve">he </w:t>
      </w:r>
      <w:r w:rsidR="000372F1" w:rsidRPr="00140702">
        <w:rPr>
          <w:rFonts w:ascii="Arial" w:hAnsi="Arial" w:cs="Arial"/>
        </w:rPr>
        <w:t>Mouton C</w:t>
      </w:r>
      <w:r w:rsidR="00016B37" w:rsidRPr="00140702">
        <w:rPr>
          <w:rFonts w:ascii="Arial" w:hAnsi="Arial" w:cs="Arial"/>
        </w:rPr>
        <w:t>ommission endorsed the approach followed in the Regulation of Monopolistic Conditions Act</w:t>
      </w:r>
      <w:r w:rsidR="00D05EE0" w:rsidRPr="00140702">
        <w:rPr>
          <w:rStyle w:val="Funotenzeichen"/>
          <w:rFonts w:ascii="Arial" w:hAnsi="Arial" w:cs="Arial"/>
        </w:rPr>
        <w:footnoteReference w:id="288"/>
      </w:r>
      <w:r w:rsidR="00016B37" w:rsidRPr="00140702">
        <w:rPr>
          <w:rFonts w:ascii="Arial" w:hAnsi="Arial" w:cs="Arial"/>
        </w:rPr>
        <w:t xml:space="preserve"> in terms of which monopolistic conditions and restrictive trade practises should only be prohibited if it is found, after thorough </w:t>
      </w:r>
      <w:r w:rsidR="005566CE" w:rsidRPr="00140702">
        <w:rPr>
          <w:rFonts w:ascii="Arial" w:hAnsi="Arial" w:cs="Arial"/>
        </w:rPr>
        <w:t>investigation that it is contrary to public interest.</w:t>
      </w:r>
      <w:r w:rsidR="005566CE" w:rsidRPr="00140702">
        <w:rPr>
          <w:rStyle w:val="Funotenzeichen"/>
          <w:rFonts w:ascii="Arial" w:hAnsi="Arial" w:cs="Arial"/>
        </w:rPr>
        <w:footnoteReference w:id="289"/>
      </w:r>
    </w:p>
    <w:p w:rsidR="00D05EE0" w:rsidRPr="00140702" w:rsidRDefault="00D05EE0" w:rsidP="00140702">
      <w:pPr>
        <w:contextualSpacing/>
        <w:jc w:val="both"/>
        <w:rPr>
          <w:rFonts w:ascii="Arial" w:hAnsi="Arial" w:cs="Arial"/>
        </w:rPr>
      </w:pPr>
    </w:p>
    <w:p w:rsidR="00971E76" w:rsidRPr="00140702" w:rsidRDefault="00D05EE0" w:rsidP="00140702">
      <w:pPr>
        <w:contextualSpacing/>
        <w:jc w:val="both"/>
        <w:rPr>
          <w:rFonts w:ascii="Arial" w:hAnsi="Arial" w:cs="Arial"/>
        </w:rPr>
      </w:pPr>
      <w:r w:rsidRPr="00140702">
        <w:rPr>
          <w:rFonts w:ascii="Arial" w:hAnsi="Arial" w:cs="Arial"/>
        </w:rPr>
        <w:t>Following these recommendations the Maintenance and Promotion of Competition Act</w:t>
      </w:r>
      <w:r w:rsidRPr="00140702">
        <w:rPr>
          <w:rStyle w:val="Funotenzeichen"/>
          <w:rFonts w:ascii="Arial" w:hAnsi="Arial" w:cs="Arial"/>
        </w:rPr>
        <w:footnoteReference w:id="290"/>
      </w:r>
      <w:r w:rsidR="00A02FC3" w:rsidRPr="00140702">
        <w:rPr>
          <w:rFonts w:ascii="Arial" w:hAnsi="Arial" w:cs="Arial"/>
        </w:rPr>
        <w:t xml:space="preserve"> was drafted, accepted and became law.</w:t>
      </w:r>
      <w:r w:rsidR="00A02FC3" w:rsidRPr="00140702">
        <w:rPr>
          <w:rStyle w:val="Funotenzeichen"/>
          <w:rFonts w:ascii="Arial" w:hAnsi="Arial" w:cs="Arial"/>
        </w:rPr>
        <w:footnoteReference w:id="291"/>
      </w:r>
      <w:r w:rsidRPr="00140702">
        <w:rPr>
          <w:rFonts w:ascii="Arial" w:hAnsi="Arial" w:cs="Arial"/>
        </w:rPr>
        <w:t xml:space="preserve"> </w:t>
      </w:r>
    </w:p>
    <w:p w:rsidR="00765C33" w:rsidRPr="00140702" w:rsidRDefault="00765C33" w:rsidP="00140702">
      <w:pPr>
        <w:contextualSpacing/>
        <w:jc w:val="both"/>
        <w:rPr>
          <w:rFonts w:ascii="Arial" w:hAnsi="Arial" w:cs="Arial"/>
        </w:rPr>
      </w:pPr>
    </w:p>
    <w:p w:rsidR="00BF7132" w:rsidRPr="00140702" w:rsidRDefault="0076466C" w:rsidP="00140702">
      <w:pPr>
        <w:contextualSpacing/>
        <w:jc w:val="both"/>
        <w:rPr>
          <w:rFonts w:ascii="Arial" w:hAnsi="Arial" w:cs="Arial"/>
        </w:rPr>
      </w:pPr>
      <w:r w:rsidRPr="00140702">
        <w:rPr>
          <w:rFonts w:ascii="Arial" w:hAnsi="Arial" w:cs="Arial"/>
        </w:rPr>
        <w:t xml:space="preserve">2.3.2.3.2 </w:t>
      </w:r>
      <w:r w:rsidR="00950B02" w:rsidRPr="00140702">
        <w:rPr>
          <w:rFonts w:ascii="Arial" w:hAnsi="Arial" w:cs="Arial"/>
        </w:rPr>
        <w:t>Purpose</w:t>
      </w:r>
    </w:p>
    <w:p w:rsidR="00D920B0" w:rsidRPr="00140702" w:rsidRDefault="00BF7132" w:rsidP="00140702">
      <w:pPr>
        <w:contextualSpacing/>
        <w:jc w:val="both"/>
        <w:rPr>
          <w:rFonts w:ascii="Arial" w:hAnsi="Arial" w:cs="Arial"/>
        </w:rPr>
      </w:pPr>
      <w:r w:rsidRPr="00140702">
        <w:rPr>
          <w:rFonts w:ascii="Arial" w:hAnsi="Arial" w:cs="Arial"/>
        </w:rPr>
        <w:t>The purpose of the Maintenance and Promotion of Competition Act</w:t>
      </w:r>
      <w:r w:rsidRPr="00140702">
        <w:rPr>
          <w:rStyle w:val="Funotenzeichen"/>
          <w:rFonts w:ascii="Arial" w:hAnsi="Arial" w:cs="Arial"/>
        </w:rPr>
        <w:footnoteReference w:id="292"/>
      </w:r>
      <w:r w:rsidRPr="00140702">
        <w:rPr>
          <w:rFonts w:ascii="Arial" w:hAnsi="Arial" w:cs="Arial"/>
        </w:rPr>
        <w:t xml:space="preserve"> is to provide for the maintenance and promotion of competition in the economy, the prevention or control of restrictive practices, acquisitions and monopoly situations and for any other </w:t>
      </w:r>
      <w:r w:rsidR="0075018B" w:rsidRPr="00140702">
        <w:rPr>
          <w:rFonts w:ascii="Arial" w:hAnsi="Arial" w:cs="Arial"/>
        </w:rPr>
        <w:t xml:space="preserve">related </w:t>
      </w:r>
      <w:r w:rsidRPr="00140702">
        <w:rPr>
          <w:rFonts w:ascii="Arial" w:hAnsi="Arial" w:cs="Arial"/>
        </w:rPr>
        <w:t>matters.</w:t>
      </w:r>
      <w:r w:rsidR="0075018B" w:rsidRPr="00140702">
        <w:rPr>
          <w:rStyle w:val="Funotenzeichen"/>
          <w:rFonts w:ascii="Arial" w:hAnsi="Arial" w:cs="Arial"/>
        </w:rPr>
        <w:footnoteReference w:id="293"/>
      </w:r>
      <w:r w:rsidR="0075018B" w:rsidRPr="00140702">
        <w:rPr>
          <w:rFonts w:ascii="Arial" w:hAnsi="Arial" w:cs="Arial"/>
        </w:rPr>
        <w:t xml:space="preserve"> </w:t>
      </w:r>
      <w:r w:rsidR="00D920B0" w:rsidRPr="00140702">
        <w:rPr>
          <w:rFonts w:ascii="Arial" w:hAnsi="Arial" w:cs="Arial"/>
        </w:rPr>
        <w:t>Th</w:t>
      </w:r>
      <w:r w:rsidR="00D17507" w:rsidRPr="00140702">
        <w:rPr>
          <w:rFonts w:ascii="Arial" w:hAnsi="Arial" w:cs="Arial"/>
        </w:rPr>
        <w:t>e</w:t>
      </w:r>
      <w:r w:rsidR="00D920B0" w:rsidRPr="00140702">
        <w:rPr>
          <w:rFonts w:ascii="Arial" w:hAnsi="Arial" w:cs="Arial"/>
        </w:rPr>
        <w:t xml:space="preserve"> </w:t>
      </w:r>
      <w:r w:rsidR="00EB1870" w:rsidRPr="00140702">
        <w:rPr>
          <w:rFonts w:ascii="Arial" w:hAnsi="Arial" w:cs="Arial"/>
        </w:rPr>
        <w:t xml:space="preserve">end </w:t>
      </w:r>
      <w:r w:rsidR="00D920B0" w:rsidRPr="00140702">
        <w:rPr>
          <w:rFonts w:ascii="Arial" w:hAnsi="Arial" w:cs="Arial"/>
        </w:rPr>
        <w:t xml:space="preserve">purpose </w:t>
      </w:r>
      <w:r w:rsidR="00D17507" w:rsidRPr="00140702">
        <w:rPr>
          <w:rFonts w:ascii="Arial" w:hAnsi="Arial" w:cs="Arial"/>
        </w:rPr>
        <w:t>of the Maintenance and Promotion of Competition Act</w:t>
      </w:r>
      <w:r w:rsidR="00D17507" w:rsidRPr="00140702">
        <w:rPr>
          <w:rStyle w:val="Funotenzeichen"/>
          <w:rFonts w:ascii="Arial" w:hAnsi="Arial" w:cs="Arial"/>
        </w:rPr>
        <w:footnoteReference w:id="294"/>
      </w:r>
      <w:r w:rsidR="00D17507" w:rsidRPr="00140702">
        <w:rPr>
          <w:rFonts w:ascii="Arial" w:hAnsi="Arial" w:cs="Arial"/>
        </w:rPr>
        <w:t xml:space="preserve"> </w:t>
      </w:r>
      <w:r w:rsidR="00D920B0" w:rsidRPr="00140702">
        <w:rPr>
          <w:rFonts w:ascii="Arial" w:hAnsi="Arial" w:cs="Arial"/>
        </w:rPr>
        <w:t>is</w:t>
      </w:r>
      <w:r w:rsidR="00D17507" w:rsidRPr="00140702">
        <w:rPr>
          <w:rFonts w:ascii="Arial" w:hAnsi="Arial" w:cs="Arial"/>
        </w:rPr>
        <w:t xml:space="preserve"> thus</w:t>
      </w:r>
      <w:r w:rsidR="00D920B0" w:rsidRPr="00140702">
        <w:rPr>
          <w:rFonts w:ascii="Arial" w:hAnsi="Arial" w:cs="Arial"/>
        </w:rPr>
        <w:t xml:space="preserve"> to facilitate and promote the optimum allocation of South Africa’s economic resources.</w:t>
      </w:r>
      <w:r w:rsidR="00D920B0" w:rsidRPr="00140702">
        <w:rPr>
          <w:rStyle w:val="Funotenzeichen"/>
          <w:rFonts w:ascii="Arial" w:hAnsi="Arial" w:cs="Arial"/>
        </w:rPr>
        <w:footnoteReference w:id="295"/>
      </w:r>
      <w:r w:rsidR="00796479" w:rsidRPr="00140702">
        <w:rPr>
          <w:rFonts w:ascii="Arial" w:hAnsi="Arial" w:cs="Arial"/>
        </w:rPr>
        <w:t xml:space="preserve"> </w:t>
      </w:r>
    </w:p>
    <w:p w:rsidR="0076466C" w:rsidRPr="00140702" w:rsidRDefault="0076466C" w:rsidP="00140702">
      <w:pPr>
        <w:contextualSpacing/>
        <w:jc w:val="both"/>
        <w:rPr>
          <w:rFonts w:ascii="Arial" w:hAnsi="Arial" w:cs="Arial"/>
        </w:rPr>
      </w:pPr>
    </w:p>
    <w:p w:rsidR="0076466C" w:rsidRPr="00140702" w:rsidRDefault="0076466C" w:rsidP="00140702">
      <w:pPr>
        <w:contextualSpacing/>
        <w:jc w:val="both"/>
        <w:rPr>
          <w:rFonts w:ascii="Arial" w:hAnsi="Arial" w:cs="Arial"/>
        </w:rPr>
      </w:pPr>
      <w:r w:rsidRPr="00140702">
        <w:rPr>
          <w:rFonts w:ascii="Arial" w:hAnsi="Arial" w:cs="Arial"/>
        </w:rPr>
        <w:t>2.3.2.3.2 Functioning and evaluation</w:t>
      </w:r>
    </w:p>
    <w:p w:rsidR="00623764" w:rsidRPr="00140702" w:rsidRDefault="00796479" w:rsidP="00140702">
      <w:pPr>
        <w:contextualSpacing/>
        <w:jc w:val="both"/>
        <w:rPr>
          <w:rFonts w:ascii="Arial" w:hAnsi="Arial" w:cs="Arial"/>
        </w:rPr>
      </w:pPr>
      <w:r w:rsidRPr="00140702">
        <w:rPr>
          <w:rFonts w:ascii="Arial" w:hAnsi="Arial" w:cs="Arial"/>
        </w:rPr>
        <w:t>The Maintenance and Promotion of Competition Act</w:t>
      </w:r>
      <w:r w:rsidRPr="00140702">
        <w:rPr>
          <w:rStyle w:val="Funotenzeichen"/>
          <w:rFonts w:ascii="Arial" w:hAnsi="Arial" w:cs="Arial"/>
        </w:rPr>
        <w:footnoteReference w:id="296"/>
      </w:r>
      <w:r w:rsidRPr="00140702">
        <w:rPr>
          <w:rFonts w:ascii="Arial" w:hAnsi="Arial" w:cs="Arial"/>
        </w:rPr>
        <w:t xml:space="preserve"> provided for </w:t>
      </w:r>
      <w:r w:rsidR="00A33001" w:rsidRPr="00140702">
        <w:rPr>
          <w:rFonts w:ascii="Arial" w:hAnsi="Arial" w:cs="Arial"/>
        </w:rPr>
        <w:t>the</w:t>
      </w:r>
      <w:r w:rsidRPr="00140702">
        <w:rPr>
          <w:rFonts w:ascii="Arial" w:hAnsi="Arial" w:cs="Arial"/>
        </w:rPr>
        <w:t xml:space="preserve"> </w:t>
      </w:r>
      <w:r w:rsidR="00A33001" w:rsidRPr="00140702">
        <w:rPr>
          <w:rFonts w:ascii="Arial" w:hAnsi="Arial" w:cs="Arial"/>
        </w:rPr>
        <w:t>“</w:t>
      </w:r>
      <w:r w:rsidRPr="00140702">
        <w:rPr>
          <w:rFonts w:ascii="Arial" w:hAnsi="Arial" w:cs="Arial"/>
        </w:rPr>
        <w:t>review of mergers and acquisitions, restrictive practices and monopoly situations.</w:t>
      </w:r>
      <w:r w:rsidR="00A33001" w:rsidRPr="00140702">
        <w:rPr>
          <w:rFonts w:ascii="Arial" w:hAnsi="Arial" w:cs="Arial"/>
        </w:rPr>
        <w:t>”</w:t>
      </w:r>
      <w:r w:rsidR="00193A86" w:rsidRPr="00140702">
        <w:rPr>
          <w:rStyle w:val="Funotenzeichen"/>
          <w:rFonts w:ascii="Arial" w:hAnsi="Arial" w:cs="Arial"/>
        </w:rPr>
        <w:footnoteReference w:id="297"/>
      </w:r>
      <w:r w:rsidR="00B6187F" w:rsidRPr="00140702">
        <w:rPr>
          <w:rFonts w:ascii="Arial" w:hAnsi="Arial" w:cs="Arial"/>
        </w:rPr>
        <w:t xml:space="preserve"> </w:t>
      </w:r>
      <w:r w:rsidR="009D2B60" w:rsidRPr="00140702">
        <w:rPr>
          <w:rFonts w:ascii="Arial" w:hAnsi="Arial" w:cs="Arial"/>
        </w:rPr>
        <w:t>A restrictive practice was defined as “any agreement, understanding, act or omission, and situation which restricts competition and having or likely to have the effect of  inter alia, restricting the production or distribution of any commodity, enhancing or maintaining prices, preventing or retarding the introduction of new technology, and preventing or restricting new entrants into any market.”</w:t>
      </w:r>
      <w:r w:rsidR="009D2B60" w:rsidRPr="00140702">
        <w:rPr>
          <w:rStyle w:val="Funotenzeichen"/>
          <w:rFonts w:ascii="Arial" w:hAnsi="Arial" w:cs="Arial"/>
        </w:rPr>
        <w:footnoteReference w:id="298"/>
      </w:r>
      <w:r w:rsidR="009D2B60" w:rsidRPr="00140702">
        <w:rPr>
          <w:rFonts w:ascii="Arial" w:hAnsi="Arial" w:cs="Arial"/>
        </w:rPr>
        <w:t xml:space="preserve"> </w:t>
      </w:r>
    </w:p>
    <w:p w:rsidR="00623764" w:rsidRPr="00140702" w:rsidRDefault="00623764" w:rsidP="00140702">
      <w:pPr>
        <w:contextualSpacing/>
        <w:jc w:val="both"/>
        <w:rPr>
          <w:rFonts w:ascii="Arial" w:hAnsi="Arial" w:cs="Arial"/>
        </w:rPr>
      </w:pPr>
    </w:p>
    <w:p w:rsidR="000D1B43" w:rsidRPr="00140702" w:rsidRDefault="00A33001" w:rsidP="00140702">
      <w:pPr>
        <w:contextualSpacing/>
        <w:jc w:val="both"/>
        <w:rPr>
          <w:rFonts w:ascii="Arial" w:hAnsi="Arial" w:cs="Arial"/>
        </w:rPr>
      </w:pPr>
      <w:r w:rsidRPr="00140702">
        <w:rPr>
          <w:rFonts w:ascii="Arial" w:hAnsi="Arial" w:cs="Arial"/>
        </w:rPr>
        <w:t xml:space="preserve">A monopoly situation </w:t>
      </w:r>
      <w:r w:rsidR="000D75B7" w:rsidRPr="00140702">
        <w:rPr>
          <w:rFonts w:ascii="Arial" w:hAnsi="Arial" w:cs="Arial"/>
        </w:rPr>
        <w:t xml:space="preserve">on the other hand </w:t>
      </w:r>
      <w:r w:rsidRPr="00140702">
        <w:rPr>
          <w:rFonts w:ascii="Arial" w:hAnsi="Arial" w:cs="Arial"/>
        </w:rPr>
        <w:t>is defined as “a situation where any person, or two or more persons with a substantial economic connection, control in the Republic or any part thereof, wholly or to a large extent, the class of business in which he or they are engaged in respect of any commodity.”</w:t>
      </w:r>
      <w:r w:rsidRPr="00140702">
        <w:rPr>
          <w:rStyle w:val="Funotenzeichen"/>
          <w:rFonts w:ascii="Arial" w:hAnsi="Arial" w:cs="Arial"/>
        </w:rPr>
        <w:footnoteReference w:id="299"/>
      </w:r>
      <w:r w:rsidR="00F43251" w:rsidRPr="00140702">
        <w:rPr>
          <w:rFonts w:ascii="Arial" w:hAnsi="Arial" w:cs="Arial"/>
        </w:rPr>
        <w:t xml:space="preserve"> </w:t>
      </w:r>
      <w:r w:rsidR="00787521" w:rsidRPr="00140702">
        <w:rPr>
          <w:rFonts w:ascii="Arial" w:hAnsi="Arial" w:cs="Arial"/>
        </w:rPr>
        <w:t>Mergers and acquisitions were confined to horizontal</w:t>
      </w:r>
      <w:r w:rsidR="00787521" w:rsidRPr="00140702">
        <w:rPr>
          <w:rStyle w:val="Funotenzeichen"/>
          <w:rFonts w:ascii="Arial" w:hAnsi="Arial" w:cs="Arial"/>
        </w:rPr>
        <w:footnoteReference w:id="300"/>
      </w:r>
      <w:r w:rsidR="00787521" w:rsidRPr="00140702">
        <w:rPr>
          <w:rFonts w:ascii="Arial" w:hAnsi="Arial" w:cs="Arial"/>
        </w:rPr>
        <w:t xml:space="preserve"> mergers and acquisitions.</w:t>
      </w:r>
      <w:r w:rsidR="00787521" w:rsidRPr="00140702">
        <w:rPr>
          <w:rStyle w:val="Funotenzeichen"/>
          <w:rFonts w:ascii="Arial" w:hAnsi="Arial" w:cs="Arial"/>
        </w:rPr>
        <w:footnoteReference w:id="301"/>
      </w:r>
      <w:r w:rsidR="0049564E" w:rsidRPr="00140702">
        <w:rPr>
          <w:rFonts w:ascii="Arial" w:hAnsi="Arial" w:cs="Arial"/>
        </w:rPr>
        <w:t xml:space="preserve"> This Act</w:t>
      </w:r>
      <w:r w:rsidR="0049564E" w:rsidRPr="00140702">
        <w:rPr>
          <w:rStyle w:val="Funotenzeichen"/>
          <w:rFonts w:ascii="Arial" w:hAnsi="Arial" w:cs="Arial"/>
        </w:rPr>
        <w:footnoteReference w:id="302"/>
      </w:r>
      <w:r w:rsidR="0049564E" w:rsidRPr="00140702">
        <w:rPr>
          <w:rFonts w:ascii="Arial" w:hAnsi="Arial" w:cs="Arial"/>
        </w:rPr>
        <w:t xml:space="preserve"> thus provided for the regulation of the market structure and market conduct.</w:t>
      </w:r>
      <w:r w:rsidR="00044B8F" w:rsidRPr="00140702">
        <w:rPr>
          <w:rStyle w:val="Funotenzeichen"/>
          <w:rFonts w:ascii="Arial" w:hAnsi="Arial" w:cs="Arial"/>
        </w:rPr>
        <w:footnoteReference w:id="303"/>
      </w:r>
      <w:r w:rsidR="00C40D42" w:rsidRPr="00140702">
        <w:rPr>
          <w:rFonts w:ascii="Arial" w:hAnsi="Arial" w:cs="Arial"/>
        </w:rPr>
        <w:t xml:space="preserve"> </w:t>
      </w:r>
      <w:r w:rsidR="009D781C" w:rsidRPr="00140702">
        <w:rPr>
          <w:rFonts w:ascii="Arial" w:hAnsi="Arial" w:cs="Arial"/>
        </w:rPr>
        <w:t>Initially</w:t>
      </w:r>
      <w:r w:rsidR="00093251" w:rsidRPr="00140702">
        <w:rPr>
          <w:rFonts w:ascii="Arial" w:hAnsi="Arial" w:cs="Arial"/>
        </w:rPr>
        <w:t xml:space="preserve"> however, </w:t>
      </w:r>
      <w:r w:rsidR="009D781C" w:rsidRPr="00140702">
        <w:rPr>
          <w:rFonts w:ascii="Arial" w:hAnsi="Arial" w:cs="Arial"/>
        </w:rPr>
        <w:t>the market structure and accordingly market concentration was downplayed in their importance for competition policy.</w:t>
      </w:r>
      <w:r w:rsidR="009D781C" w:rsidRPr="00140702">
        <w:rPr>
          <w:rStyle w:val="Funotenzeichen"/>
          <w:rFonts w:ascii="Arial" w:hAnsi="Arial" w:cs="Arial"/>
        </w:rPr>
        <w:footnoteReference w:id="304"/>
      </w:r>
    </w:p>
    <w:p w:rsidR="000D1B43" w:rsidRPr="00140702" w:rsidRDefault="000D1B43" w:rsidP="00140702">
      <w:pPr>
        <w:contextualSpacing/>
        <w:jc w:val="both"/>
        <w:rPr>
          <w:rFonts w:ascii="Arial" w:hAnsi="Arial" w:cs="Arial"/>
        </w:rPr>
      </w:pPr>
    </w:p>
    <w:p w:rsidR="00796479" w:rsidRPr="00140702" w:rsidRDefault="00C40D42" w:rsidP="00140702">
      <w:pPr>
        <w:contextualSpacing/>
        <w:jc w:val="both"/>
        <w:rPr>
          <w:rFonts w:ascii="Arial" w:hAnsi="Arial" w:cs="Arial"/>
        </w:rPr>
      </w:pPr>
      <w:r w:rsidRPr="00140702">
        <w:rPr>
          <w:rFonts w:ascii="Arial" w:hAnsi="Arial" w:cs="Arial"/>
        </w:rPr>
        <w:t xml:space="preserve">When reviewing mergers and acquisitions, restrictive practices and monopoly situations the deciding factor whether or not the specific conduct was illegal was the </w:t>
      </w:r>
      <w:r w:rsidR="000D1B43" w:rsidRPr="00140702">
        <w:rPr>
          <w:rFonts w:ascii="Arial" w:hAnsi="Arial" w:cs="Arial"/>
        </w:rPr>
        <w:t>public interest.</w:t>
      </w:r>
      <w:r w:rsidR="000D1B43" w:rsidRPr="00140702">
        <w:rPr>
          <w:rStyle w:val="Funotenzeichen"/>
          <w:rFonts w:ascii="Arial" w:hAnsi="Arial" w:cs="Arial"/>
        </w:rPr>
        <w:footnoteReference w:id="305"/>
      </w:r>
      <w:r w:rsidR="000D1B43" w:rsidRPr="00140702">
        <w:rPr>
          <w:rFonts w:ascii="Arial" w:hAnsi="Arial" w:cs="Arial"/>
        </w:rPr>
        <w:t xml:space="preserve"> Public interest however was not defined by the Maintenance and Promotion of Competition Act</w:t>
      </w:r>
      <w:r w:rsidR="00093251" w:rsidRPr="00140702">
        <w:rPr>
          <w:rStyle w:val="Funotenzeichen"/>
          <w:rFonts w:ascii="Arial" w:hAnsi="Arial" w:cs="Arial"/>
        </w:rPr>
        <w:footnoteReference w:id="306"/>
      </w:r>
      <w:r w:rsidR="000D1B43" w:rsidRPr="00140702">
        <w:rPr>
          <w:rFonts w:ascii="Arial" w:hAnsi="Arial" w:cs="Arial"/>
        </w:rPr>
        <w:t xml:space="preserve"> and accordingly it gave rise to inconsistency regarding the legality of certain conduct.</w:t>
      </w:r>
      <w:r w:rsidR="000D1B43" w:rsidRPr="00140702">
        <w:rPr>
          <w:rStyle w:val="Funotenzeichen"/>
          <w:rFonts w:ascii="Arial" w:hAnsi="Arial" w:cs="Arial"/>
        </w:rPr>
        <w:footnoteReference w:id="307"/>
      </w:r>
    </w:p>
    <w:p w:rsidR="00BB0DCB" w:rsidRDefault="00BB0DCB" w:rsidP="00140702">
      <w:pPr>
        <w:contextualSpacing/>
        <w:jc w:val="both"/>
        <w:rPr>
          <w:rFonts w:ascii="Arial" w:hAnsi="Arial" w:cs="Arial"/>
        </w:rPr>
      </w:pPr>
    </w:p>
    <w:p w:rsidR="002B52C4" w:rsidRPr="00140702" w:rsidRDefault="00C033F4" w:rsidP="00140702">
      <w:pPr>
        <w:contextualSpacing/>
        <w:jc w:val="both"/>
        <w:rPr>
          <w:rFonts w:ascii="Arial" w:hAnsi="Arial" w:cs="Arial"/>
        </w:rPr>
      </w:pPr>
      <w:r w:rsidRPr="00140702">
        <w:rPr>
          <w:rFonts w:ascii="Arial" w:hAnsi="Arial" w:cs="Arial"/>
        </w:rPr>
        <w:t>Furthermore, t</w:t>
      </w:r>
      <w:r w:rsidR="00FA4506" w:rsidRPr="00140702">
        <w:rPr>
          <w:rFonts w:ascii="Arial" w:hAnsi="Arial" w:cs="Arial"/>
        </w:rPr>
        <w:t>his Act</w:t>
      </w:r>
      <w:r w:rsidR="00FA4506" w:rsidRPr="00140702">
        <w:rPr>
          <w:rStyle w:val="Funotenzeichen"/>
          <w:rFonts w:ascii="Arial" w:hAnsi="Arial" w:cs="Arial"/>
        </w:rPr>
        <w:footnoteReference w:id="308"/>
      </w:r>
      <w:r w:rsidR="00FA4506" w:rsidRPr="00140702">
        <w:rPr>
          <w:rFonts w:ascii="Arial" w:hAnsi="Arial" w:cs="Arial"/>
        </w:rPr>
        <w:t xml:space="preserve"> established the Competition Board </w:t>
      </w:r>
      <w:r w:rsidR="00977626" w:rsidRPr="00140702">
        <w:rPr>
          <w:rFonts w:ascii="Arial" w:hAnsi="Arial" w:cs="Arial"/>
        </w:rPr>
        <w:t xml:space="preserve">and </w:t>
      </w:r>
      <w:r w:rsidR="00FA4506" w:rsidRPr="00140702">
        <w:rPr>
          <w:rFonts w:ascii="Arial" w:hAnsi="Arial" w:cs="Arial"/>
        </w:rPr>
        <w:t>assigned it to administer this Act.</w:t>
      </w:r>
      <w:r w:rsidR="00FA4506" w:rsidRPr="00140702">
        <w:rPr>
          <w:rStyle w:val="Funotenzeichen"/>
          <w:rFonts w:ascii="Arial" w:hAnsi="Arial" w:cs="Arial"/>
        </w:rPr>
        <w:footnoteReference w:id="309"/>
      </w:r>
      <w:r w:rsidR="00FA4506" w:rsidRPr="00140702">
        <w:rPr>
          <w:rFonts w:ascii="Arial" w:hAnsi="Arial" w:cs="Arial"/>
        </w:rPr>
        <w:t xml:space="preserve"> Consequently, the Competition Board replaced the Board of Trade and Industry as the administrative authority regarding competition matters.</w:t>
      </w:r>
      <w:r w:rsidR="00311168" w:rsidRPr="00140702">
        <w:rPr>
          <w:rStyle w:val="Funotenzeichen"/>
          <w:rFonts w:ascii="Arial" w:hAnsi="Arial" w:cs="Arial"/>
        </w:rPr>
        <w:footnoteReference w:id="310"/>
      </w:r>
      <w:r w:rsidR="00582E90" w:rsidRPr="00140702">
        <w:rPr>
          <w:rFonts w:ascii="Arial" w:hAnsi="Arial" w:cs="Arial"/>
        </w:rPr>
        <w:t xml:space="preserve"> The Competition </w:t>
      </w:r>
      <w:r w:rsidR="00671BD0" w:rsidRPr="00140702">
        <w:rPr>
          <w:rFonts w:ascii="Arial" w:hAnsi="Arial" w:cs="Arial"/>
        </w:rPr>
        <w:t xml:space="preserve">Board </w:t>
      </w:r>
      <w:r w:rsidR="00CF51F2" w:rsidRPr="00140702">
        <w:rPr>
          <w:rFonts w:ascii="Arial" w:hAnsi="Arial" w:cs="Arial"/>
        </w:rPr>
        <w:t>had extensive</w:t>
      </w:r>
      <w:r w:rsidR="00A312FC" w:rsidRPr="00140702">
        <w:rPr>
          <w:rFonts w:ascii="Arial" w:hAnsi="Arial" w:cs="Arial"/>
        </w:rPr>
        <w:t xml:space="preserve"> authority to undertake investigations regarding mergers and acquisitions, restrictive practices and monopoly situations.</w:t>
      </w:r>
      <w:r w:rsidR="00A312FC" w:rsidRPr="00140702">
        <w:rPr>
          <w:rStyle w:val="Funotenzeichen"/>
          <w:rFonts w:ascii="Arial" w:hAnsi="Arial" w:cs="Arial"/>
        </w:rPr>
        <w:footnoteReference w:id="311"/>
      </w:r>
      <w:r w:rsidR="00A312FC" w:rsidRPr="00140702">
        <w:rPr>
          <w:rFonts w:ascii="Arial" w:hAnsi="Arial" w:cs="Arial"/>
        </w:rPr>
        <w:t xml:space="preserve"> </w:t>
      </w:r>
      <w:r w:rsidR="001202BE" w:rsidRPr="00140702">
        <w:rPr>
          <w:rFonts w:ascii="Arial" w:hAnsi="Arial" w:cs="Arial"/>
        </w:rPr>
        <w:t xml:space="preserve">The </w:t>
      </w:r>
      <w:r w:rsidR="002B52C4" w:rsidRPr="00140702">
        <w:rPr>
          <w:rFonts w:ascii="Arial" w:hAnsi="Arial" w:cs="Arial"/>
        </w:rPr>
        <w:t xml:space="preserve">mergers and </w:t>
      </w:r>
      <w:r w:rsidR="002C6E6D" w:rsidRPr="00140702">
        <w:rPr>
          <w:rFonts w:ascii="Arial" w:hAnsi="Arial" w:cs="Arial"/>
        </w:rPr>
        <w:t>acquisitions which the Board could investigate were</w:t>
      </w:r>
      <w:r w:rsidR="001202BE" w:rsidRPr="00140702">
        <w:rPr>
          <w:rFonts w:ascii="Arial" w:hAnsi="Arial" w:cs="Arial"/>
        </w:rPr>
        <w:t xml:space="preserve"> </w:t>
      </w:r>
      <w:r w:rsidR="002C6E6D" w:rsidRPr="00140702">
        <w:rPr>
          <w:rFonts w:ascii="Arial" w:hAnsi="Arial" w:cs="Arial"/>
        </w:rPr>
        <w:t xml:space="preserve">however </w:t>
      </w:r>
      <w:r w:rsidR="001202BE" w:rsidRPr="00140702">
        <w:rPr>
          <w:rFonts w:ascii="Arial" w:hAnsi="Arial" w:cs="Arial"/>
        </w:rPr>
        <w:t xml:space="preserve">limited to horizontal </w:t>
      </w:r>
      <w:r w:rsidR="002B52C4" w:rsidRPr="00140702">
        <w:rPr>
          <w:rFonts w:ascii="Arial" w:hAnsi="Arial" w:cs="Arial"/>
        </w:rPr>
        <w:t xml:space="preserve">mergers and </w:t>
      </w:r>
      <w:r w:rsidR="001202BE" w:rsidRPr="00140702">
        <w:rPr>
          <w:rFonts w:ascii="Arial" w:hAnsi="Arial" w:cs="Arial"/>
        </w:rPr>
        <w:t>acquisitions.</w:t>
      </w:r>
      <w:r w:rsidR="002C6E6D" w:rsidRPr="00140702">
        <w:rPr>
          <w:rStyle w:val="Funotenzeichen"/>
          <w:rFonts w:ascii="Arial" w:hAnsi="Arial" w:cs="Arial"/>
        </w:rPr>
        <w:footnoteReference w:id="312"/>
      </w:r>
      <w:r w:rsidR="001202BE" w:rsidRPr="00140702">
        <w:rPr>
          <w:rFonts w:ascii="Arial" w:hAnsi="Arial" w:cs="Arial"/>
        </w:rPr>
        <w:t xml:space="preserve"> Furthermore</w:t>
      </w:r>
      <w:r w:rsidR="002C6E6D" w:rsidRPr="00140702">
        <w:rPr>
          <w:rFonts w:ascii="Arial" w:hAnsi="Arial" w:cs="Arial"/>
        </w:rPr>
        <w:t>,</w:t>
      </w:r>
      <w:r w:rsidR="001202BE" w:rsidRPr="00140702">
        <w:rPr>
          <w:rFonts w:ascii="Arial" w:hAnsi="Arial" w:cs="Arial"/>
        </w:rPr>
        <w:t xml:space="preserve"> this Act</w:t>
      </w:r>
      <w:r w:rsidR="002C6E6D" w:rsidRPr="00140702">
        <w:rPr>
          <w:rStyle w:val="Funotenzeichen"/>
          <w:rFonts w:ascii="Arial" w:hAnsi="Arial" w:cs="Arial"/>
        </w:rPr>
        <w:footnoteReference w:id="313"/>
      </w:r>
      <w:r w:rsidR="001202BE" w:rsidRPr="00140702">
        <w:rPr>
          <w:rFonts w:ascii="Arial" w:hAnsi="Arial" w:cs="Arial"/>
        </w:rPr>
        <w:t xml:space="preserve"> did not </w:t>
      </w:r>
      <w:r w:rsidR="002C6E6D" w:rsidRPr="00140702">
        <w:rPr>
          <w:rFonts w:ascii="Arial" w:hAnsi="Arial" w:cs="Arial"/>
        </w:rPr>
        <w:t xml:space="preserve">require </w:t>
      </w:r>
      <w:r w:rsidR="002B52C4" w:rsidRPr="00140702">
        <w:rPr>
          <w:rFonts w:ascii="Arial" w:hAnsi="Arial" w:cs="Arial"/>
        </w:rPr>
        <w:t xml:space="preserve">pre-merger (pre-acquisition) notification and hence the Competition Board relied </w:t>
      </w:r>
      <w:r w:rsidR="00E166EE" w:rsidRPr="00140702">
        <w:rPr>
          <w:rFonts w:ascii="Arial" w:hAnsi="Arial" w:cs="Arial"/>
        </w:rPr>
        <w:t xml:space="preserve">exclusively </w:t>
      </w:r>
      <w:r w:rsidR="002B52C4" w:rsidRPr="00140702">
        <w:rPr>
          <w:rFonts w:ascii="Arial" w:hAnsi="Arial" w:cs="Arial"/>
        </w:rPr>
        <w:t>on complaints and voluntary notification</w:t>
      </w:r>
      <w:r w:rsidR="00E166EE" w:rsidRPr="00140702">
        <w:rPr>
          <w:rFonts w:ascii="Arial" w:hAnsi="Arial" w:cs="Arial"/>
        </w:rPr>
        <w:t xml:space="preserve"> in order to investigate a merger and/or acquisition</w:t>
      </w:r>
      <w:r w:rsidR="002B52C4" w:rsidRPr="00140702">
        <w:rPr>
          <w:rFonts w:ascii="Arial" w:hAnsi="Arial" w:cs="Arial"/>
        </w:rPr>
        <w:t>.</w:t>
      </w:r>
      <w:r w:rsidR="00E166EE" w:rsidRPr="00140702">
        <w:rPr>
          <w:rStyle w:val="Funotenzeichen"/>
          <w:rFonts w:ascii="Arial" w:hAnsi="Arial" w:cs="Arial"/>
        </w:rPr>
        <w:footnoteReference w:id="314"/>
      </w:r>
      <w:r w:rsidR="00E166EE" w:rsidRPr="00140702">
        <w:rPr>
          <w:rFonts w:ascii="Arial" w:hAnsi="Arial" w:cs="Arial"/>
        </w:rPr>
        <w:t xml:space="preserve"> This severely limited the efficiency of the Competition Board regarding the administration of mergers and acquisitions.</w:t>
      </w:r>
      <w:r w:rsidR="00E166EE" w:rsidRPr="00140702">
        <w:rPr>
          <w:rStyle w:val="Funotenzeichen"/>
          <w:rFonts w:ascii="Arial" w:hAnsi="Arial" w:cs="Arial"/>
        </w:rPr>
        <w:footnoteReference w:id="315"/>
      </w:r>
    </w:p>
    <w:p w:rsidR="002B52C4" w:rsidRPr="00140702" w:rsidRDefault="002B52C4" w:rsidP="00140702">
      <w:pPr>
        <w:contextualSpacing/>
        <w:jc w:val="both"/>
        <w:rPr>
          <w:rFonts w:ascii="Arial" w:hAnsi="Arial" w:cs="Arial"/>
        </w:rPr>
      </w:pPr>
    </w:p>
    <w:p w:rsidR="00A33001" w:rsidRPr="00140702" w:rsidRDefault="00A312FC" w:rsidP="00140702">
      <w:pPr>
        <w:contextualSpacing/>
        <w:jc w:val="both"/>
        <w:rPr>
          <w:rFonts w:ascii="Arial" w:hAnsi="Arial" w:cs="Arial"/>
        </w:rPr>
      </w:pPr>
      <w:r w:rsidRPr="00140702">
        <w:rPr>
          <w:rFonts w:ascii="Arial" w:hAnsi="Arial" w:cs="Arial"/>
        </w:rPr>
        <w:t xml:space="preserve">The </w:t>
      </w:r>
      <w:r w:rsidR="0029561F" w:rsidRPr="00140702">
        <w:rPr>
          <w:rFonts w:ascii="Arial" w:hAnsi="Arial" w:cs="Arial"/>
        </w:rPr>
        <w:t xml:space="preserve">main </w:t>
      </w:r>
      <w:r w:rsidRPr="00140702">
        <w:rPr>
          <w:rFonts w:ascii="Arial" w:hAnsi="Arial" w:cs="Arial"/>
        </w:rPr>
        <w:t xml:space="preserve">limitation </w:t>
      </w:r>
      <w:r w:rsidR="0029561F" w:rsidRPr="00140702">
        <w:rPr>
          <w:rFonts w:ascii="Arial" w:hAnsi="Arial" w:cs="Arial"/>
        </w:rPr>
        <w:t>regarding the efficiency of the</w:t>
      </w:r>
      <w:r w:rsidRPr="00140702">
        <w:rPr>
          <w:rFonts w:ascii="Arial" w:hAnsi="Arial" w:cs="Arial"/>
        </w:rPr>
        <w:t xml:space="preserve"> Competition Board </w:t>
      </w:r>
      <w:r w:rsidR="0029561F" w:rsidRPr="00140702">
        <w:rPr>
          <w:rFonts w:ascii="Arial" w:hAnsi="Arial" w:cs="Arial"/>
        </w:rPr>
        <w:t xml:space="preserve">was however the fact that the Competition Board was </w:t>
      </w:r>
      <w:r w:rsidRPr="00140702">
        <w:rPr>
          <w:rFonts w:ascii="Arial" w:hAnsi="Arial" w:cs="Arial"/>
        </w:rPr>
        <w:t>merely an administrative body without executive authority within the Department of Trade and Industry.</w:t>
      </w:r>
      <w:r w:rsidR="00797798" w:rsidRPr="00140702">
        <w:rPr>
          <w:rStyle w:val="Funotenzeichen"/>
          <w:rFonts w:ascii="Arial" w:hAnsi="Arial" w:cs="Arial"/>
        </w:rPr>
        <w:footnoteReference w:id="316"/>
      </w:r>
      <w:r w:rsidRPr="00140702">
        <w:rPr>
          <w:rFonts w:ascii="Arial" w:hAnsi="Arial" w:cs="Arial"/>
        </w:rPr>
        <w:t xml:space="preserve"> The Competition Board could only make recommendations to the Minister of Trade and Industry who could </w:t>
      </w:r>
      <w:r w:rsidR="0029561F" w:rsidRPr="00140702">
        <w:rPr>
          <w:rFonts w:ascii="Arial" w:hAnsi="Arial" w:cs="Arial"/>
        </w:rPr>
        <w:t xml:space="preserve">then </w:t>
      </w:r>
      <w:r w:rsidRPr="00140702">
        <w:rPr>
          <w:rFonts w:ascii="Arial" w:hAnsi="Arial" w:cs="Arial"/>
        </w:rPr>
        <w:t>either uphold or reject the Competition Boards recommendation.</w:t>
      </w:r>
      <w:r w:rsidR="001C0457" w:rsidRPr="00140702">
        <w:rPr>
          <w:rStyle w:val="Funotenzeichen"/>
          <w:rFonts w:ascii="Arial" w:hAnsi="Arial" w:cs="Arial"/>
        </w:rPr>
        <w:footnoteReference w:id="317"/>
      </w:r>
      <w:r w:rsidR="00F43251" w:rsidRPr="00140702">
        <w:rPr>
          <w:rFonts w:ascii="Arial" w:hAnsi="Arial" w:cs="Arial"/>
        </w:rPr>
        <w:t xml:space="preserve"> </w:t>
      </w:r>
      <w:r w:rsidR="00E21D12" w:rsidRPr="00140702">
        <w:rPr>
          <w:rFonts w:ascii="Arial" w:hAnsi="Arial" w:cs="Arial"/>
        </w:rPr>
        <w:t>This opened up the possibility for the Competition Board to be limited and manipulated by political forces.</w:t>
      </w:r>
      <w:r w:rsidR="00E21D12" w:rsidRPr="00140702">
        <w:rPr>
          <w:rStyle w:val="Funotenzeichen"/>
          <w:rFonts w:ascii="Arial" w:hAnsi="Arial" w:cs="Arial"/>
        </w:rPr>
        <w:footnoteReference w:id="318"/>
      </w:r>
    </w:p>
    <w:p w:rsidR="00CE1584" w:rsidRPr="00140702" w:rsidRDefault="00CE1584" w:rsidP="00140702">
      <w:pPr>
        <w:contextualSpacing/>
        <w:jc w:val="both"/>
        <w:rPr>
          <w:rFonts w:ascii="Arial" w:hAnsi="Arial" w:cs="Arial"/>
        </w:rPr>
      </w:pPr>
    </w:p>
    <w:p w:rsidR="00CE1584" w:rsidRPr="00140702" w:rsidRDefault="00CE1584" w:rsidP="00140702">
      <w:pPr>
        <w:contextualSpacing/>
        <w:jc w:val="both"/>
        <w:rPr>
          <w:rFonts w:ascii="Arial" w:hAnsi="Arial" w:cs="Arial"/>
        </w:rPr>
      </w:pPr>
      <w:r w:rsidRPr="00140702">
        <w:rPr>
          <w:rFonts w:ascii="Arial" w:hAnsi="Arial" w:cs="Arial"/>
        </w:rPr>
        <w:t>Another limitation to the efficient functioning of this Act</w:t>
      </w:r>
      <w:r w:rsidRPr="00140702">
        <w:rPr>
          <w:rStyle w:val="Funotenzeichen"/>
          <w:rFonts w:ascii="Arial" w:hAnsi="Arial" w:cs="Arial"/>
        </w:rPr>
        <w:footnoteReference w:id="319"/>
      </w:r>
      <w:r w:rsidRPr="00140702">
        <w:rPr>
          <w:rFonts w:ascii="Arial" w:hAnsi="Arial" w:cs="Arial"/>
        </w:rPr>
        <w:t xml:space="preserve"> was the fact that this Act</w:t>
      </w:r>
      <w:r w:rsidR="0008783A" w:rsidRPr="00140702">
        <w:rPr>
          <w:rStyle w:val="Funotenzeichen"/>
          <w:rFonts w:ascii="Arial" w:hAnsi="Arial" w:cs="Arial"/>
        </w:rPr>
        <w:footnoteReference w:id="320"/>
      </w:r>
      <w:r w:rsidRPr="00140702">
        <w:rPr>
          <w:rFonts w:ascii="Arial" w:hAnsi="Arial" w:cs="Arial"/>
        </w:rPr>
        <w:t xml:space="preserve"> </w:t>
      </w:r>
      <w:r w:rsidR="00C033F4" w:rsidRPr="00140702">
        <w:rPr>
          <w:rFonts w:ascii="Arial" w:hAnsi="Arial" w:cs="Arial"/>
        </w:rPr>
        <w:t xml:space="preserve">only </w:t>
      </w:r>
      <w:r w:rsidRPr="00140702">
        <w:rPr>
          <w:rFonts w:ascii="Arial" w:hAnsi="Arial" w:cs="Arial"/>
        </w:rPr>
        <w:t>provided for the review of mergers and acquisitions, restrictive practices and monopoly situations.</w:t>
      </w:r>
      <w:r w:rsidRPr="00140702">
        <w:rPr>
          <w:rStyle w:val="Funotenzeichen"/>
          <w:rFonts w:ascii="Arial" w:hAnsi="Arial" w:cs="Arial"/>
        </w:rPr>
        <w:footnoteReference w:id="321"/>
      </w:r>
      <w:r w:rsidRPr="00140702">
        <w:rPr>
          <w:rFonts w:ascii="Arial" w:hAnsi="Arial" w:cs="Arial"/>
        </w:rPr>
        <w:t xml:space="preserve"> Accordingly</w:t>
      </w:r>
      <w:r w:rsidR="00C033F4" w:rsidRPr="00140702">
        <w:rPr>
          <w:rFonts w:ascii="Arial" w:hAnsi="Arial" w:cs="Arial"/>
        </w:rPr>
        <w:t>,</w:t>
      </w:r>
      <w:r w:rsidRPr="00140702">
        <w:rPr>
          <w:rFonts w:ascii="Arial" w:hAnsi="Arial" w:cs="Arial"/>
        </w:rPr>
        <w:t xml:space="preserve"> none of these practices were prohibited </w:t>
      </w:r>
      <w:r w:rsidRPr="00140702">
        <w:rPr>
          <w:rFonts w:ascii="Arial" w:hAnsi="Arial" w:cs="Arial"/>
          <w:i/>
        </w:rPr>
        <w:t>per se</w:t>
      </w:r>
      <w:r w:rsidR="00AD321D" w:rsidRPr="00140702">
        <w:rPr>
          <w:rFonts w:ascii="Arial" w:hAnsi="Arial" w:cs="Arial"/>
        </w:rPr>
        <w:t xml:space="preserve"> i.e. restrictive and anti-competitive practices was only illegal if it was investigated by the Competition Board and found to be contrary to public interest and then only if the Competition Board’s recommendation </w:t>
      </w:r>
      <w:r w:rsidR="00C033F4" w:rsidRPr="00140702">
        <w:rPr>
          <w:rFonts w:ascii="Arial" w:hAnsi="Arial" w:cs="Arial"/>
        </w:rPr>
        <w:t>was</w:t>
      </w:r>
      <w:r w:rsidR="00AD321D" w:rsidRPr="00140702">
        <w:rPr>
          <w:rFonts w:ascii="Arial" w:hAnsi="Arial" w:cs="Arial"/>
        </w:rPr>
        <w:t xml:space="preserve"> uphold by the Minister of Trade and Industry.</w:t>
      </w:r>
      <w:r w:rsidR="00AD321D" w:rsidRPr="00140702">
        <w:rPr>
          <w:rStyle w:val="Funotenzeichen"/>
          <w:rFonts w:ascii="Arial" w:hAnsi="Arial" w:cs="Arial"/>
        </w:rPr>
        <w:footnoteReference w:id="322"/>
      </w:r>
      <w:r w:rsidR="00AD321D" w:rsidRPr="00140702">
        <w:rPr>
          <w:rFonts w:ascii="Arial" w:hAnsi="Arial" w:cs="Arial"/>
        </w:rPr>
        <w:t xml:space="preserve"> </w:t>
      </w:r>
      <w:r w:rsidR="00A85399" w:rsidRPr="00140702">
        <w:rPr>
          <w:rFonts w:ascii="Arial" w:hAnsi="Arial" w:cs="Arial"/>
        </w:rPr>
        <w:t>In 1986 however</w:t>
      </w:r>
      <w:r w:rsidR="0049564E" w:rsidRPr="00140702">
        <w:rPr>
          <w:rFonts w:ascii="Arial" w:hAnsi="Arial" w:cs="Arial"/>
        </w:rPr>
        <w:t>,</w:t>
      </w:r>
      <w:r w:rsidR="00A85399" w:rsidRPr="00140702">
        <w:rPr>
          <w:rFonts w:ascii="Arial" w:hAnsi="Arial" w:cs="Arial"/>
        </w:rPr>
        <w:t xml:space="preserve"> the Maintenance and Promotion of Competition Act</w:t>
      </w:r>
      <w:r w:rsidR="00A85399" w:rsidRPr="00140702">
        <w:rPr>
          <w:rStyle w:val="Funotenzeichen"/>
          <w:rFonts w:ascii="Arial" w:hAnsi="Arial" w:cs="Arial"/>
        </w:rPr>
        <w:footnoteReference w:id="323"/>
      </w:r>
      <w:r w:rsidR="00A85399" w:rsidRPr="00140702">
        <w:rPr>
          <w:rFonts w:ascii="Arial" w:hAnsi="Arial" w:cs="Arial"/>
        </w:rPr>
        <w:t xml:space="preserve"> was amended so as to make resale price maintenance</w:t>
      </w:r>
      <w:r w:rsidR="00671BD0" w:rsidRPr="00140702">
        <w:rPr>
          <w:rFonts w:ascii="Arial" w:hAnsi="Arial" w:cs="Arial"/>
        </w:rPr>
        <w:t xml:space="preserve"> agreements</w:t>
      </w:r>
      <w:r w:rsidR="00A85399" w:rsidRPr="00140702">
        <w:rPr>
          <w:rFonts w:ascii="Arial" w:hAnsi="Arial" w:cs="Arial"/>
        </w:rPr>
        <w:t xml:space="preserve">, horizontal price fixing, horizontal collusion </w:t>
      </w:r>
      <w:r w:rsidR="00671BD0" w:rsidRPr="00140702">
        <w:rPr>
          <w:rFonts w:ascii="Arial" w:hAnsi="Arial" w:cs="Arial"/>
        </w:rPr>
        <w:t>in order to</w:t>
      </w:r>
      <w:r w:rsidR="00A85399" w:rsidRPr="00140702">
        <w:rPr>
          <w:rFonts w:ascii="Arial" w:hAnsi="Arial" w:cs="Arial"/>
        </w:rPr>
        <w:t xml:space="preserve"> divide market</w:t>
      </w:r>
      <w:r w:rsidR="00671BD0" w:rsidRPr="00140702">
        <w:rPr>
          <w:rFonts w:ascii="Arial" w:hAnsi="Arial" w:cs="Arial"/>
        </w:rPr>
        <w:t>s</w:t>
      </w:r>
      <w:r w:rsidR="00A85399" w:rsidRPr="00140702">
        <w:rPr>
          <w:rFonts w:ascii="Arial" w:hAnsi="Arial" w:cs="Arial"/>
        </w:rPr>
        <w:t xml:space="preserve"> </w:t>
      </w:r>
      <w:r w:rsidR="00671BD0" w:rsidRPr="00140702">
        <w:rPr>
          <w:rFonts w:ascii="Arial" w:hAnsi="Arial" w:cs="Arial"/>
        </w:rPr>
        <w:t xml:space="preserve">and </w:t>
      </w:r>
      <w:r w:rsidR="00A85399" w:rsidRPr="00140702">
        <w:rPr>
          <w:rFonts w:ascii="Arial" w:hAnsi="Arial" w:cs="Arial"/>
        </w:rPr>
        <w:t>horizontal collusi</w:t>
      </w:r>
      <w:r w:rsidR="00671BD0" w:rsidRPr="00140702">
        <w:rPr>
          <w:rFonts w:ascii="Arial" w:hAnsi="Arial" w:cs="Arial"/>
        </w:rPr>
        <w:t>ve tendering</w:t>
      </w:r>
      <w:r w:rsidR="00623764" w:rsidRPr="00140702">
        <w:rPr>
          <w:rStyle w:val="Funotenzeichen"/>
          <w:rFonts w:ascii="Arial" w:hAnsi="Arial" w:cs="Arial"/>
        </w:rPr>
        <w:footnoteReference w:id="324"/>
      </w:r>
      <w:r w:rsidR="00671BD0" w:rsidRPr="00140702">
        <w:rPr>
          <w:rFonts w:ascii="Arial" w:hAnsi="Arial" w:cs="Arial"/>
        </w:rPr>
        <w:t xml:space="preserve"> </w:t>
      </w:r>
      <w:r w:rsidR="00671BD0" w:rsidRPr="00140702">
        <w:rPr>
          <w:rFonts w:ascii="Arial" w:hAnsi="Arial" w:cs="Arial"/>
          <w:i/>
        </w:rPr>
        <w:t>per se</w:t>
      </w:r>
      <w:r w:rsidR="00671BD0" w:rsidRPr="00140702">
        <w:rPr>
          <w:rFonts w:ascii="Arial" w:hAnsi="Arial" w:cs="Arial"/>
        </w:rPr>
        <w:t xml:space="preserve"> illegal activities.</w:t>
      </w:r>
      <w:r w:rsidR="00D67594" w:rsidRPr="00140702">
        <w:rPr>
          <w:rStyle w:val="Funotenzeichen"/>
          <w:rFonts w:ascii="Arial" w:hAnsi="Arial" w:cs="Arial"/>
        </w:rPr>
        <w:footnoteReference w:id="325"/>
      </w:r>
    </w:p>
    <w:p w:rsidR="00623764" w:rsidRPr="00140702" w:rsidRDefault="00623764" w:rsidP="00140702">
      <w:pPr>
        <w:contextualSpacing/>
        <w:jc w:val="both"/>
        <w:rPr>
          <w:rFonts w:ascii="Arial" w:hAnsi="Arial" w:cs="Arial"/>
        </w:rPr>
      </w:pPr>
    </w:p>
    <w:p w:rsidR="00D67594" w:rsidRPr="00140702" w:rsidRDefault="00D67594" w:rsidP="00140702">
      <w:pPr>
        <w:contextualSpacing/>
        <w:jc w:val="both"/>
        <w:rPr>
          <w:rFonts w:ascii="Arial" w:hAnsi="Arial" w:cs="Arial"/>
        </w:rPr>
      </w:pPr>
      <w:r w:rsidRPr="00140702">
        <w:rPr>
          <w:rFonts w:ascii="Arial" w:hAnsi="Arial" w:cs="Arial"/>
        </w:rPr>
        <w:t xml:space="preserve">These amendments also authorised the Competition Board </w:t>
      </w:r>
      <w:r w:rsidR="00FA5DEF" w:rsidRPr="00140702">
        <w:rPr>
          <w:rFonts w:ascii="Arial" w:hAnsi="Arial" w:cs="Arial"/>
        </w:rPr>
        <w:t>to act against existing monopolies and oligopolies.</w:t>
      </w:r>
      <w:r w:rsidR="00FA5DEF" w:rsidRPr="00140702">
        <w:rPr>
          <w:rStyle w:val="Funotenzeichen"/>
          <w:rFonts w:ascii="Arial" w:hAnsi="Arial" w:cs="Arial"/>
        </w:rPr>
        <w:footnoteReference w:id="326"/>
      </w:r>
      <w:r w:rsidR="00FA5DEF" w:rsidRPr="00140702">
        <w:rPr>
          <w:rFonts w:ascii="Arial" w:hAnsi="Arial" w:cs="Arial"/>
        </w:rPr>
        <w:t xml:space="preserve"> Prior to this amendment the Competition Board could only act against new concentrations of economic power i.e. new monopolies and </w:t>
      </w:r>
      <w:r w:rsidR="00732740" w:rsidRPr="00140702">
        <w:rPr>
          <w:rFonts w:ascii="Arial" w:hAnsi="Arial" w:cs="Arial"/>
        </w:rPr>
        <w:t xml:space="preserve">new </w:t>
      </w:r>
      <w:r w:rsidR="00FA5DEF" w:rsidRPr="00140702">
        <w:rPr>
          <w:rFonts w:ascii="Arial" w:hAnsi="Arial" w:cs="Arial"/>
        </w:rPr>
        <w:t>oligopolies.</w:t>
      </w:r>
      <w:r w:rsidR="00FA5DEF" w:rsidRPr="00140702">
        <w:rPr>
          <w:rStyle w:val="Funotenzeichen"/>
          <w:rFonts w:ascii="Arial" w:hAnsi="Arial" w:cs="Arial"/>
        </w:rPr>
        <w:footnoteReference w:id="327"/>
      </w:r>
      <w:r w:rsidRPr="00140702">
        <w:rPr>
          <w:rFonts w:ascii="Arial" w:hAnsi="Arial" w:cs="Arial"/>
        </w:rPr>
        <w:t xml:space="preserve"> </w:t>
      </w:r>
    </w:p>
    <w:p w:rsidR="00F43251" w:rsidRPr="00140702" w:rsidRDefault="00F43251" w:rsidP="00140702">
      <w:pPr>
        <w:contextualSpacing/>
        <w:jc w:val="both"/>
        <w:rPr>
          <w:rFonts w:ascii="Arial" w:hAnsi="Arial" w:cs="Arial"/>
        </w:rPr>
      </w:pPr>
    </w:p>
    <w:p w:rsidR="00F43251" w:rsidRPr="00140702" w:rsidRDefault="00633558" w:rsidP="00140702">
      <w:pPr>
        <w:contextualSpacing/>
        <w:jc w:val="both"/>
        <w:rPr>
          <w:rFonts w:ascii="Arial" w:hAnsi="Arial" w:cs="Arial"/>
        </w:rPr>
      </w:pPr>
      <w:r w:rsidRPr="00140702">
        <w:rPr>
          <w:rFonts w:ascii="Arial" w:hAnsi="Arial" w:cs="Arial"/>
        </w:rPr>
        <w:t>Despite these amendments the Maintenance and Promotion of Competition Act</w:t>
      </w:r>
      <w:r w:rsidRPr="00140702">
        <w:rPr>
          <w:rStyle w:val="Funotenzeichen"/>
          <w:rFonts w:ascii="Arial" w:hAnsi="Arial" w:cs="Arial"/>
        </w:rPr>
        <w:footnoteReference w:id="328"/>
      </w:r>
      <w:r w:rsidRPr="00140702">
        <w:rPr>
          <w:rFonts w:ascii="Arial" w:hAnsi="Arial" w:cs="Arial"/>
        </w:rPr>
        <w:t xml:space="preserve"> continued to be plagued by its various limitations and eventually it would be repealed by the Competition Act.</w:t>
      </w:r>
      <w:r w:rsidRPr="00140702">
        <w:rPr>
          <w:rStyle w:val="Funotenzeichen"/>
          <w:rFonts w:ascii="Arial" w:hAnsi="Arial" w:cs="Arial"/>
        </w:rPr>
        <w:footnoteReference w:id="329"/>
      </w:r>
    </w:p>
    <w:p w:rsidR="00633558" w:rsidRPr="00140702" w:rsidRDefault="00633558" w:rsidP="00140702">
      <w:pPr>
        <w:contextualSpacing/>
        <w:jc w:val="both"/>
        <w:rPr>
          <w:rFonts w:ascii="Arial" w:hAnsi="Arial" w:cs="Arial"/>
        </w:rPr>
      </w:pPr>
    </w:p>
    <w:p w:rsidR="00B44E0D" w:rsidRPr="00140702" w:rsidRDefault="00B44E0D" w:rsidP="00140702">
      <w:pPr>
        <w:contextualSpacing/>
        <w:jc w:val="both"/>
        <w:rPr>
          <w:rFonts w:ascii="Arial" w:hAnsi="Arial" w:cs="Arial"/>
        </w:rPr>
      </w:pPr>
      <w:r w:rsidRPr="00140702">
        <w:rPr>
          <w:rFonts w:ascii="Arial" w:hAnsi="Arial" w:cs="Arial"/>
        </w:rPr>
        <w:t xml:space="preserve">2.3.2.4 </w:t>
      </w:r>
      <w:r w:rsidR="0091419C" w:rsidRPr="00140702">
        <w:rPr>
          <w:rFonts w:ascii="Arial" w:hAnsi="Arial" w:cs="Arial"/>
        </w:rPr>
        <w:t>Towards</w:t>
      </w:r>
      <w:r w:rsidR="00267B66" w:rsidRPr="00140702">
        <w:rPr>
          <w:rFonts w:ascii="Arial" w:hAnsi="Arial" w:cs="Arial"/>
        </w:rPr>
        <w:t xml:space="preserve"> a new competition </w:t>
      </w:r>
      <w:r w:rsidR="0091419C" w:rsidRPr="00140702">
        <w:rPr>
          <w:rFonts w:ascii="Arial" w:hAnsi="Arial" w:cs="Arial"/>
        </w:rPr>
        <w:t>policy</w:t>
      </w:r>
    </w:p>
    <w:p w:rsidR="00D37C0B" w:rsidRPr="00140702" w:rsidRDefault="00D37C0B" w:rsidP="00140702">
      <w:pPr>
        <w:contextualSpacing/>
        <w:jc w:val="both"/>
        <w:rPr>
          <w:rFonts w:ascii="Arial" w:hAnsi="Arial" w:cs="Arial"/>
        </w:rPr>
      </w:pPr>
    </w:p>
    <w:p w:rsidR="00D37C0B" w:rsidRPr="00140702" w:rsidRDefault="00D37C0B" w:rsidP="00140702">
      <w:pPr>
        <w:contextualSpacing/>
        <w:jc w:val="both"/>
        <w:rPr>
          <w:rFonts w:ascii="Arial" w:hAnsi="Arial" w:cs="Arial"/>
        </w:rPr>
      </w:pPr>
      <w:r w:rsidRPr="00140702">
        <w:rPr>
          <w:rFonts w:ascii="Arial" w:hAnsi="Arial" w:cs="Arial"/>
          <w:i/>
        </w:rPr>
        <w:tab/>
        <w:t xml:space="preserve">“Recent developments in the global economy, including mega mergers and </w:t>
      </w:r>
      <w:r w:rsidR="00BB0DCB">
        <w:rPr>
          <w:rFonts w:ascii="Arial" w:hAnsi="Arial" w:cs="Arial"/>
          <w:i/>
        </w:rPr>
        <w:tab/>
      </w:r>
      <w:r w:rsidRPr="00140702">
        <w:rPr>
          <w:rFonts w:ascii="Arial" w:hAnsi="Arial" w:cs="Arial"/>
          <w:i/>
        </w:rPr>
        <w:t xml:space="preserve">the increased potential for cross-border anti-competitive practices, are of </w:t>
      </w:r>
      <w:r w:rsidR="00BB0DCB">
        <w:rPr>
          <w:rFonts w:ascii="Arial" w:hAnsi="Arial" w:cs="Arial"/>
          <w:i/>
        </w:rPr>
        <w:tab/>
      </w:r>
      <w:r w:rsidRPr="00140702">
        <w:rPr>
          <w:rFonts w:ascii="Arial" w:hAnsi="Arial" w:cs="Arial"/>
          <w:i/>
        </w:rPr>
        <w:t xml:space="preserve">direct </w:t>
      </w:r>
      <w:r w:rsidRPr="00140702">
        <w:rPr>
          <w:rFonts w:ascii="Arial" w:hAnsi="Arial" w:cs="Arial"/>
          <w:i/>
        </w:rPr>
        <w:tab/>
        <w:t xml:space="preserve">relevance to developing </w:t>
      </w:r>
      <w:r w:rsidR="00BB639C" w:rsidRPr="00140702">
        <w:rPr>
          <w:rFonts w:ascii="Arial" w:hAnsi="Arial" w:cs="Arial"/>
          <w:i/>
        </w:rPr>
        <w:t>countries’</w:t>
      </w:r>
      <w:r w:rsidRPr="00140702">
        <w:rPr>
          <w:rFonts w:ascii="Arial" w:hAnsi="Arial" w:cs="Arial"/>
          <w:i/>
        </w:rPr>
        <w:t xml:space="preserve"> growth and development and </w:t>
      </w:r>
      <w:r w:rsidR="00BB639C" w:rsidRPr="00140702">
        <w:rPr>
          <w:rFonts w:ascii="Arial" w:hAnsi="Arial" w:cs="Arial"/>
          <w:i/>
        </w:rPr>
        <w:t xml:space="preserve">also </w:t>
      </w:r>
      <w:r w:rsidR="00BB0DCB">
        <w:rPr>
          <w:rFonts w:ascii="Arial" w:hAnsi="Arial" w:cs="Arial"/>
          <w:i/>
        </w:rPr>
        <w:tab/>
      </w:r>
      <w:r w:rsidRPr="00140702">
        <w:rPr>
          <w:rFonts w:ascii="Arial" w:hAnsi="Arial" w:cs="Arial"/>
          <w:i/>
        </w:rPr>
        <w:t xml:space="preserve">have </w:t>
      </w:r>
      <w:r w:rsidR="00BB639C" w:rsidRPr="00140702">
        <w:rPr>
          <w:rFonts w:ascii="Arial" w:hAnsi="Arial" w:cs="Arial"/>
          <w:i/>
        </w:rPr>
        <w:tab/>
      </w:r>
      <w:r w:rsidRPr="00140702">
        <w:rPr>
          <w:rFonts w:ascii="Arial" w:hAnsi="Arial" w:cs="Arial"/>
          <w:i/>
        </w:rPr>
        <w:t xml:space="preserve">implications for their integration into the world economy. Evidence from </w:t>
      </w:r>
      <w:r w:rsidR="00BB0DCB">
        <w:rPr>
          <w:rFonts w:ascii="Arial" w:hAnsi="Arial" w:cs="Arial"/>
          <w:i/>
        </w:rPr>
        <w:tab/>
      </w:r>
      <w:r w:rsidRPr="00140702">
        <w:rPr>
          <w:rFonts w:ascii="Arial" w:hAnsi="Arial" w:cs="Arial"/>
          <w:i/>
        </w:rPr>
        <w:t xml:space="preserve">the experience of developing countries over the past decade suggests that </w:t>
      </w:r>
      <w:r w:rsidR="00BB0DCB">
        <w:rPr>
          <w:rFonts w:ascii="Arial" w:hAnsi="Arial" w:cs="Arial"/>
          <w:i/>
        </w:rPr>
        <w:tab/>
      </w:r>
      <w:r w:rsidRPr="00140702">
        <w:rPr>
          <w:rFonts w:ascii="Arial" w:hAnsi="Arial" w:cs="Arial"/>
          <w:i/>
        </w:rPr>
        <w:t xml:space="preserve">insufficient attention to competition issues has, in some cases, negated </w:t>
      </w:r>
      <w:r w:rsidR="00BB0DCB">
        <w:rPr>
          <w:rFonts w:ascii="Arial" w:hAnsi="Arial" w:cs="Arial"/>
          <w:i/>
        </w:rPr>
        <w:tab/>
      </w:r>
      <w:r w:rsidRPr="00140702">
        <w:rPr>
          <w:rFonts w:ascii="Arial" w:hAnsi="Arial" w:cs="Arial"/>
          <w:i/>
        </w:rPr>
        <w:t xml:space="preserve">whatever positive effects may have been gained from liberalization and </w:t>
      </w:r>
      <w:r w:rsidR="00BB0DCB">
        <w:rPr>
          <w:rFonts w:ascii="Arial" w:hAnsi="Arial" w:cs="Arial"/>
          <w:i/>
        </w:rPr>
        <w:tab/>
      </w:r>
      <w:r w:rsidRPr="00140702">
        <w:rPr>
          <w:rFonts w:ascii="Arial" w:hAnsi="Arial" w:cs="Arial"/>
          <w:i/>
        </w:rPr>
        <w:t>privatization</w:t>
      </w:r>
      <w:r w:rsidRPr="00140702">
        <w:rPr>
          <w:rFonts w:ascii="Arial" w:hAnsi="Arial" w:cs="Arial"/>
        </w:rPr>
        <w:t>...”</w:t>
      </w:r>
      <w:r w:rsidRPr="00140702">
        <w:rPr>
          <w:rStyle w:val="Funotenzeichen"/>
          <w:rFonts w:ascii="Arial" w:hAnsi="Arial" w:cs="Arial"/>
        </w:rPr>
        <w:footnoteReference w:id="330"/>
      </w:r>
    </w:p>
    <w:p w:rsidR="00D37C0B" w:rsidRPr="00140702" w:rsidRDefault="00D37C0B" w:rsidP="00140702">
      <w:pPr>
        <w:contextualSpacing/>
        <w:jc w:val="both"/>
        <w:rPr>
          <w:rFonts w:ascii="Arial" w:hAnsi="Arial" w:cs="Arial"/>
        </w:rPr>
      </w:pPr>
    </w:p>
    <w:p w:rsidR="001B6882" w:rsidRPr="00140702" w:rsidRDefault="001B6882" w:rsidP="00140702">
      <w:pPr>
        <w:contextualSpacing/>
        <w:jc w:val="both"/>
        <w:rPr>
          <w:rFonts w:ascii="Arial" w:hAnsi="Arial" w:cs="Arial"/>
        </w:rPr>
      </w:pPr>
      <w:r w:rsidRPr="00140702">
        <w:rPr>
          <w:rFonts w:ascii="Arial" w:hAnsi="Arial" w:cs="Arial"/>
        </w:rPr>
        <w:t>Prior to the 1994 elections the South African economy was in ruins</w:t>
      </w:r>
      <w:r w:rsidR="008C4F4E" w:rsidRPr="00140702">
        <w:rPr>
          <w:rFonts w:ascii="Arial" w:hAnsi="Arial" w:cs="Arial"/>
        </w:rPr>
        <w:t xml:space="preserve"> and</w:t>
      </w:r>
      <w:r w:rsidR="00E862E6" w:rsidRPr="00140702">
        <w:rPr>
          <w:rFonts w:ascii="Arial" w:hAnsi="Arial" w:cs="Arial"/>
        </w:rPr>
        <w:t xml:space="preserve"> South Africa’s economy</w:t>
      </w:r>
      <w:r w:rsidRPr="00140702">
        <w:rPr>
          <w:rFonts w:ascii="Arial" w:hAnsi="Arial" w:cs="Arial"/>
        </w:rPr>
        <w:t xml:space="preserve"> was</w:t>
      </w:r>
      <w:r w:rsidR="008C4F4E" w:rsidRPr="00140702">
        <w:rPr>
          <w:rFonts w:ascii="Arial" w:hAnsi="Arial" w:cs="Arial"/>
        </w:rPr>
        <w:t>, as is today,</w:t>
      </w:r>
      <w:r w:rsidRPr="00140702">
        <w:rPr>
          <w:rFonts w:ascii="Arial" w:hAnsi="Arial" w:cs="Arial"/>
        </w:rPr>
        <w:t xml:space="preserve"> characterised by </w:t>
      </w:r>
      <w:r w:rsidR="00E862E6" w:rsidRPr="00140702">
        <w:rPr>
          <w:rFonts w:ascii="Arial" w:hAnsi="Arial" w:cs="Arial"/>
        </w:rPr>
        <w:t>an elevated level of concentration of economic power</w:t>
      </w:r>
      <w:r w:rsidR="008C4F4E" w:rsidRPr="00140702">
        <w:rPr>
          <w:rFonts w:ascii="Arial" w:hAnsi="Arial" w:cs="Arial"/>
        </w:rPr>
        <w:t xml:space="preserve"> with </w:t>
      </w:r>
      <w:r w:rsidR="00E862E6" w:rsidRPr="00140702">
        <w:rPr>
          <w:rFonts w:ascii="Arial" w:hAnsi="Arial" w:cs="Arial"/>
        </w:rPr>
        <w:t>only five conglomerates</w:t>
      </w:r>
      <w:r w:rsidR="008C4F4E" w:rsidRPr="00140702">
        <w:rPr>
          <w:rFonts w:ascii="Arial" w:hAnsi="Arial" w:cs="Arial"/>
        </w:rPr>
        <w:t xml:space="preserve"> controlling the majority of economic activity</w:t>
      </w:r>
      <w:r w:rsidR="00E862E6" w:rsidRPr="00140702">
        <w:rPr>
          <w:rFonts w:ascii="Arial" w:hAnsi="Arial" w:cs="Arial"/>
        </w:rPr>
        <w:t>.</w:t>
      </w:r>
      <w:r w:rsidR="0091419C" w:rsidRPr="00140702">
        <w:rPr>
          <w:rStyle w:val="Funotenzeichen"/>
          <w:rFonts w:ascii="Arial" w:hAnsi="Arial" w:cs="Arial"/>
        </w:rPr>
        <w:footnoteReference w:id="331"/>
      </w:r>
      <w:r w:rsidR="00E862E6" w:rsidRPr="00140702">
        <w:rPr>
          <w:rFonts w:ascii="Arial" w:hAnsi="Arial" w:cs="Arial"/>
        </w:rPr>
        <w:t xml:space="preserve"> </w:t>
      </w:r>
      <w:r w:rsidR="008C4F4E" w:rsidRPr="00140702">
        <w:rPr>
          <w:rFonts w:ascii="Arial" w:hAnsi="Arial" w:cs="Arial"/>
        </w:rPr>
        <w:t xml:space="preserve">As recently as 1998 these five conglomerates </w:t>
      </w:r>
      <w:r w:rsidR="00FF193B" w:rsidRPr="00140702">
        <w:rPr>
          <w:rFonts w:ascii="Arial" w:hAnsi="Arial" w:cs="Arial"/>
        </w:rPr>
        <w:t>made up</w:t>
      </w:r>
      <w:r w:rsidR="008C4F4E" w:rsidRPr="00140702">
        <w:rPr>
          <w:rFonts w:ascii="Arial" w:hAnsi="Arial" w:cs="Arial"/>
        </w:rPr>
        <w:t xml:space="preserve"> 54.7 percent of the capitalisation of the Johannesburg Stock Ex</w:t>
      </w:r>
      <w:r w:rsidR="00BB0DCB">
        <w:rPr>
          <w:rFonts w:ascii="Arial" w:hAnsi="Arial" w:cs="Arial"/>
        </w:rPr>
        <w:t>change.</w:t>
      </w:r>
      <w:r w:rsidR="00BB0DCB">
        <w:rPr>
          <w:rStyle w:val="Funotenzeichen"/>
          <w:rFonts w:ascii="Arial" w:hAnsi="Arial" w:cs="Arial"/>
        </w:rPr>
        <w:footnoteReference w:id="332"/>
      </w:r>
      <w:r w:rsidR="00BB0DCB">
        <w:rPr>
          <w:rFonts w:ascii="Arial" w:hAnsi="Arial" w:cs="Arial"/>
        </w:rPr>
        <w:t xml:space="preserve"> </w:t>
      </w:r>
      <w:r w:rsidR="0091419C" w:rsidRPr="00140702">
        <w:rPr>
          <w:rFonts w:ascii="Arial" w:hAnsi="Arial" w:cs="Arial"/>
        </w:rPr>
        <w:t>As a result</w:t>
      </w:r>
      <w:r w:rsidR="00E862E6" w:rsidRPr="00140702">
        <w:rPr>
          <w:rFonts w:ascii="Arial" w:hAnsi="Arial" w:cs="Arial"/>
        </w:rPr>
        <w:t xml:space="preserve">, the majority of markets were classified as </w:t>
      </w:r>
      <w:r w:rsidR="0091419C" w:rsidRPr="00140702">
        <w:rPr>
          <w:rFonts w:ascii="Arial" w:hAnsi="Arial" w:cs="Arial"/>
        </w:rPr>
        <w:t xml:space="preserve">being </w:t>
      </w:r>
      <w:r w:rsidR="00E862E6" w:rsidRPr="00140702">
        <w:rPr>
          <w:rFonts w:ascii="Arial" w:hAnsi="Arial" w:cs="Arial"/>
        </w:rPr>
        <w:t>monopoli</w:t>
      </w:r>
      <w:r w:rsidR="00FF193B" w:rsidRPr="00140702">
        <w:rPr>
          <w:rFonts w:ascii="Arial" w:hAnsi="Arial" w:cs="Arial"/>
        </w:rPr>
        <w:t>stic in nature</w:t>
      </w:r>
      <w:r w:rsidR="0091419C" w:rsidRPr="00140702">
        <w:rPr>
          <w:rFonts w:ascii="Arial" w:hAnsi="Arial" w:cs="Arial"/>
        </w:rPr>
        <w:t>.</w:t>
      </w:r>
      <w:r w:rsidR="0091419C" w:rsidRPr="00140702">
        <w:rPr>
          <w:rStyle w:val="Funotenzeichen"/>
          <w:rFonts w:ascii="Arial" w:hAnsi="Arial" w:cs="Arial"/>
        </w:rPr>
        <w:footnoteReference w:id="333"/>
      </w:r>
      <w:r w:rsidR="0091419C" w:rsidRPr="00140702">
        <w:rPr>
          <w:rFonts w:ascii="Arial" w:hAnsi="Arial" w:cs="Arial"/>
        </w:rPr>
        <w:t xml:space="preserve"> The high degree of concentration and the monopolistic nature of markets were brought about by years of international isolation when the economic focus was on self-sufficiency.</w:t>
      </w:r>
      <w:r w:rsidR="0091419C" w:rsidRPr="00140702">
        <w:rPr>
          <w:rStyle w:val="Funotenzeichen"/>
          <w:rFonts w:ascii="Arial" w:hAnsi="Arial" w:cs="Arial"/>
        </w:rPr>
        <w:footnoteReference w:id="334"/>
      </w:r>
      <w:r w:rsidR="00FF193B" w:rsidRPr="00140702">
        <w:rPr>
          <w:rFonts w:ascii="Arial" w:hAnsi="Arial" w:cs="Arial"/>
        </w:rPr>
        <w:t xml:space="preserve"> </w:t>
      </w:r>
    </w:p>
    <w:p w:rsidR="001B6882" w:rsidRPr="00140702" w:rsidRDefault="001B6882" w:rsidP="00140702">
      <w:pPr>
        <w:contextualSpacing/>
        <w:jc w:val="both"/>
        <w:rPr>
          <w:rFonts w:ascii="Arial" w:hAnsi="Arial" w:cs="Arial"/>
        </w:rPr>
      </w:pPr>
    </w:p>
    <w:p w:rsidR="00826849" w:rsidRPr="00140702" w:rsidRDefault="00C75100" w:rsidP="00140702">
      <w:pPr>
        <w:contextualSpacing/>
        <w:jc w:val="both"/>
        <w:rPr>
          <w:rFonts w:ascii="Arial" w:hAnsi="Arial" w:cs="Arial"/>
        </w:rPr>
      </w:pPr>
      <w:r w:rsidRPr="00140702">
        <w:rPr>
          <w:rFonts w:ascii="Arial" w:hAnsi="Arial" w:cs="Arial"/>
        </w:rPr>
        <w:t xml:space="preserve">The 1994 elections </w:t>
      </w:r>
      <w:r w:rsidR="00BB39CA" w:rsidRPr="00140702">
        <w:rPr>
          <w:rFonts w:ascii="Arial" w:hAnsi="Arial" w:cs="Arial"/>
        </w:rPr>
        <w:t xml:space="preserve">paved the way </w:t>
      </w:r>
      <w:r w:rsidRPr="00140702">
        <w:rPr>
          <w:rFonts w:ascii="Arial" w:hAnsi="Arial" w:cs="Arial"/>
        </w:rPr>
        <w:t>for South Africa’s integration into the world eco</w:t>
      </w:r>
      <w:r w:rsidR="00BB39CA" w:rsidRPr="00140702">
        <w:rPr>
          <w:rFonts w:ascii="Arial" w:hAnsi="Arial" w:cs="Arial"/>
        </w:rPr>
        <w:t>no</w:t>
      </w:r>
      <w:r w:rsidRPr="00140702">
        <w:rPr>
          <w:rFonts w:ascii="Arial" w:hAnsi="Arial" w:cs="Arial"/>
        </w:rPr>
        <w:t>my.</w:t>
      </w:r>
      <w:r w:rsidR="00BB39CA" w:rsidRPr="00140702">
        <w:rPr>
          <w:rStyle w:val="Funotenzeichen"/>
          <w:rFonts w:ascii="Arial" w:hAnsi="Arial" w:cs="Arial"/>
        </w:rPr>
        <w:footnoteReference w:id="335"/>
      </w:r>
      <w:r w:rsidR="00BB39CA" w:rsidRPr="00140702">
        <w:rPr>
          <w:rFonts w:ascii="Arial" w:hAnsi="Arial" w:cs="Arial"/>
        </w:rPr>
        <w:t xml:space="preserve"> In fact</w:t>
      </w:r>
      <w:r w:rsidR="006B2208" w:rsidRPr="00140702">
        <w:rPr>
          <w:rFonts w:ascii="Arial" w:hAnsi="Arial" w:cs="Arial"/>
        </w:rPr>
        <w:t>,</w:t>
      </w:r>
      <w:r w:rsidR="00BB39CA" w:rsidRPr="00140702">
        <w:rPr>
          <w:rFonts w:ascii="Arial" w:hAnsi="Arial" w:cs="Arial"/>
        </w:rPr>
        <w:t xml:space="preserve"> South Africa did eventually become a fully fledged member of the international community and economy.</w:t>
      </w:r>
      <w:r w:rsidR="00BB39CA" w:rsidRPr="00140702">
        <w:rPr>
          <w:rStyle w:val="Funotenzeichen"/>
          <w:rFonts w:ascii="Arial" w:hAnsi="Arial" w:cs="Arial"/>
        </w:rPr>
        <w:footnoteReference w:id="336"/>
      </w:r>
      <w:r w:rsidR="003A2BEF" w:rsidRPr="00140702">
        <w:rPr>
          <w:rFonts w:ascii="Arial" w:hAnsi="Arial" w:cs="Arial"/>
        </w:rPr>
        <w:t xml:space="preserve"> South Africa achieved this by among other things becoming a member of the World Trade Organization (WTO) and by renegotiating its trade relations in international markets such as the European Union, The United States of America and Japan.</w:t>
      </w:r>
      <w:r w:rsidR="003A2BEF" w:rsidRPr="00140702">
        <w:rPr>
          <w:rStyle w:val="Funotenzeichen"/>
          <w:rFonts w:ascii="Arial" w:hAnsi="Arial" w:cs="Arial"/>
        </w:rPr>
        <w:footnoteReference w:id="337"/>
      </w:r>
      <w:r w:rsidR="003A2BEF" w:rsidRPr="00140702">
        <w:rPr>
          <w:rFonts w:ascii="Arial" w:hAnsi="Arial" w:cs="Arial"/>
        </w:rPr>
        <w:t xml:space="preserve"> South Africa also increased its integration into regional areas</w:t>
      </w:r>
      <w:r w:rsidR="006B2208" w:rsidRPr="00140702">
        <w:rPr>
          <w:rFonts w:ascii="Arial" w:hAnsi="Arial" w:cs="Arial"/>
        </w:rPr>
        <w:t xml:space="preserve"> for </w:t>
      </w:r>
      <w:r w:rsidR="00FF193B" w:rsidRPr="00140702">
        <w:rPr>
          <w:rFonts w:ascii="Arial" w:hAnsi="Arial" w:cs="Arial"/>
        </w:rPr>
        <w:t>example</w:t>
      </w:r>
      <w:r w:rsidR="003A2BEF" w:rsidRPr="00140702">
        <w:rPr>
          <w:rFonts w:ascii="Arial" w:hAnsi="Arial" w:cs="Arial"/>
        </w:rPr>
        <w:t xml:space="preserve"> by joining the Southern African </w:t>
      </w:r>
      <w:r w:rsidR="00826849" w:rsidRPr="00140702">
        <w:rPr>
          <w:rFonts w:ascii="Arial" w:hAnsi="Arial" w:cs="Arial"/>
        </w:rPr>
        <w:t>Development Community</w:t>
      </w:r>
      <w:r w:rsidR="003A2BEF" w:rsidRPr="00140702">
        <w:rPr>
          <w:rFonts w:ascii="Arial" w:hAnsi="Arial" w:cs="Arial"/>
        </w:rPr>
        <w:t xml:space="preserve"> (SADC).</w:t>
      </w:r>
      <w:r w:rsidR="003A2BEF" w:rsidRPr="00140702">
        <w:rPr>
          <w:rStyle w:val="Funotenzeichen"/>
          <w:rFonts w:ascii="Arial" w:hAnsi="Arial" w:cs="Arial"/>
        </w:rPr>
        <w:footnoteReference w:id="338"/>
      </w:r>
      <w:r w:rsidR="00725E0A" w:rsidRPr="00140702">
        <w:rPr>
          <w:rFonts w:ascii="Arial" w:hAnsi="Arial" w:cs="Arial"/>
        </w:rPr>
        <w:t xml:space="preserve"> </w:t>
      </w:r>
    </w:p>
    <w:p w:rsidR="00826849" w:rsidRPr="00140702" w:rsidRDefault="00826849" w:rsidP="00140702">
      <w:pPr>
        <w:contextualSpacing/>
        <w:jc w:val="both"/>
        <w:rPr>
          <w:rFonts w:ascii="Arial" w:hAnsi="Arial" w:cs="Arial"/>
        </w:rPr>
      </w:pPr>
    </w:p>
    <w:p w:rsidR="00826849" w:rsidRPr="00140702" w:rsidRDefault="00407661" w:rsidP="00140702">
      <w:pPr>
        <w:contextualSpacing/>
        <w:jc w:val="both"/>
        <w:rPr>
          <w:rFonts w:ascii="Arial" w:hAnsi="Arial" w:cs="Arial"/>
        </w:rPr>
      </w:pPr>
      <w:r w:rsidRPr="00140702">
        <w:rPr>
          <w:rFonts w:ascii="Arial" w:hAnsi="Arial" w:cs="Arial"/>
        </w:rPr>
        <w:t>South Africa’s integration into the world markets unfortunately had a</w:t>
      </w:r>
      <w:r w:rsidR="00826849" w:rsidRPr="00140702">
        <w:rPr>
          <w:rFonts w:ascii="Arial" w:hAnsi="Arial" w:cs="Arial"/>
        </w:rPr>
        <w:t xml:space="preserve"> very</w:t>
      </w:r>
      <w:r w:rsidRPr="00140702">
        <w:rPr>
          <w:rFonts w:ascii="Arial" w:hAnsi="Arial" w:cs="Arial"/>
        </w:rPr>
        <w:t xml:space="preserve"> harmful effect associated with it</w:t>
      </w:r>
      <w:r w:rsidR="00826849" w:rsidRPr="00140702">
        <w:rPr>
          <w:rFonts w:ascii="Arial" w:hAnsi="Arial" w:cs="Arial"/>
        </w:rPr>
        <w:t>.</w:t>
      </w:r>
      <w:r w:rsidR="00DF76B2" w:rsidRPr="00140702">
        <w:rPr>
          <w:rStyle w:val="Funotenzeichen"/>
          <w:rFonts w:ascii="Arial" w:hAnsi="Arial" w:cs="Arial"/>
        </w:rPr>
        <w:footnoteReference w:id="339"/>
      </w:r>
      <w:r w:rsidR="00826849" w:rsidRPr="00140702">
        <w:rPr>
          <w:rFonts w:ascii="Arial" w:hAnsi="Arial" w:cs="Arial"/>
        </w:rPr>
        <w:t xml:space="preserve"> This harmful effect was that the increased integration caused the South African economy to become even more concentrated than</w:t>
      </w:r>
      <w:r w:rsidR="006B2208" w:rsidRPr="00140702">
        <w:rPr>
          <w:rFonts w:ascii="Arial" w:hAnsi="Arial" w:cs="Arial"/>
        </w:rPr>
        <w:t xml:space="preserve"> ever</w:t>
      </w:r>
      <w:r w:rsidR="00826849" w:rsidRPr="00140702">
        <w:rPr>
          <w:rFonts w:ascii="Arial" w:hAnsi="Arial" w:cs="Arial"/>
        </w:rPr>
        <w:t xml:space="preserve"> before.</w:t>
      </w:r>
      <w:r w:rsidR="00DF76B2" w:rsidRPr="00140702">
        <w:rPr>
          <w:rStyle w:val="Funotenzeichen"/>
          <w:rFonts w:ascii="Arial" w:hAnsi="Arial" w:cs="Arial"/>
        </w:rPr>
        <w:footnoteReference w:id="340"/>
      </w:r>
      <w:r w:rsidR="00826849" w:rsidRPr="00140702">
        <w:rPr>
          <w:rFonts w:ascii="Arial" w:hAnsi="Arial" w:cs="Arial"/>
        </w:rPr>
        <w:t xml:space="preserve"> The reason for this was that the increased liberalisation caused smaller firms to be taken over by larger firms and it also caused firms to focus only on their </w:t>
      </w:r>
      <w:r w:rsidR="00FF193B" w:rsidRPr="00140702">
        <w:rPr>
          <w:rFonts w:ascii="Arial" w:hAnsi="Arial" w:cs="Arial"/>
        </w:rPr>
        <w:t>primary</w:t>
      </w:r>
      <w:r w:rsidR="00826849" w:rsidRPr="00140702">
        <w:rPr>
          <w:rFonts w:ascii="Arial" w:hAnsi="Arial" w:cs="Arial"/>
        </w:rPr>
        <w:t xml:space="preserve"> activities and </w:t>
      </w:r>
      <w:r w:rsidR="00FF193B" w:rsidRPr="00140702">
        <w:rPr>
          <w:rFonts w:ascii="Arial" w:hAnsi="Arial" w:cs="Arial"/>
        </w:rPr>
        <w:t>as a result</w:t>
      </w:r>
      <w:r w:rsidR="00826849" w:rsidRPr="00140702">
        <w:rPr>
          <w:rFonts w:ascii="Arial" w:hAnsi="Arial" w:cs="Arial"/>
        </w:rPr>
        <w:t xml:space="preserve"> t</w:t>
      </w:r>
      <w:r w:rsidR="00FF193B" w:rsidRPr="00140702">
        <w:rPr>
          <w:rFonts w:ascii="Arial" w:hAnsi="Arial" w:cs="Arial"/>
        </w:rPr>
        <w:t>hey</w:t>
      </w:r>
      <w:r w:rsidR="00826849" w:rsidRPr="00140702">
        <w:rPr>
          <w:rFonts w:ascii="Arial" w:hAnsi="Arial" w:cs="Arial"/>
        </w:rPr>
        <w:t xml:space="preserve"> </w:t>
      </w:r>
      <w:r w:rsidR="00FF193B" w:rsidRPr="00140702">
        <w:rPr>
          <w:rFonts w:ascii="Arial" w:hAnsi="Arial" w:cs="Arial"/>
        </w:rPr>
        <w:t>exited</w:t>
      </w:r>
      <w:r w:rsidR="00826849" w:rsidRPr="00140702">
        <w:rPr>
          <w:rFonts w:ascii="Arial" w:hAnsi="Arial" w:cs="Arial"/>
        </w:rPr>
        <w:t xml:space="preserve"> from </w:t>
      </w:r>
      <w:r w:rsidR="00FF193B" w:rsidRPr="00140702">
        <w:rPr>
          <w:rFonts w:ascii="Arial" w:hAnsi="Arial" w:cs="Arial"/>
        </w:rPr>
        <w:t>their secondary</w:t>
      </w:r>
      <w:r w:rsidR="00826849" w:rsidRPr="00140702">
        <w:rPr>
          <w:rFonts w:ascii="Arial" w:hAnsi="Arial" w:cs="Arial"/>
        </w:rPr>
        <w:t xml:space="preserve"> markets.</w:t>
      </w:r>
      <w:r w:rsidR="00DF76B2" w:rsidRPr="00140702">
        <w:rPr>
          <w:rStyle w:val="Funotenzeichen"/>
          <w:rFonts w:ascii="Arial" w:hAnsi="Arial" w:cs="Arial"/>
        </w:rPr>
        <w:footnoteReference w:id="341"/>
      </w:r>
      <w:r w:rsidR="00826849" w:rsidRPr="00140702">
        <w:rPr>
          <w:rFonts w:ascii="Arial" w:hAnsi="Arial" w:cs="Arial"/>
        </w:rPr>
        <w:t xml:space="preserve"> </w:t>
      </w:r>
      <w:r w:rsidR="00725E0A" w:rsidRPr="00140702">
        <w:rPr>
          <w:rFonts w:ascii="Arial" w:hAnsi="Arial" w:cs="Arial"/>
        </w:rPr>
        <w:t xml:space="preserve">One question however </w:t>
      </w:r>
      <w:r w:rsidRPr="00140702">
        <w:rPr>
          <w:rFonts w:ascii="Arial" w:hAnsi="Arial" w:cs="Arial"/>
        </w:rPr>
        <w:t>remained</w:t>
      </w:r>
      <w:r w:rsidR="00725E0A" w:rsidRPr="00140702">
        <w:rPr>
          <w:rFonts w:ascii="Arial" w:hAnsi="Arial" w:cs="Arial"/>
        </w:rPr>
        <w:t xml:space="preserve"> </w:t>
      </w:r>
      <w:r w:rsidR="006B2208" w:rsidRPr="00140702">
        <w:rPr>
          <w:rFonts w:ascii="Arial" w:hAnsi="Arial" w:cs="Arial"/>
        </w:rPr>
        <w:t xml:space="preserve">and that </w:t>
      </w:r>
      <w:r w:rsidR="00725E0A" w:rsidRPr="00140702">
        <w:rPr>
          <w:rFonts w:ascii="Arial" w:hAnsi="Arial" w:cs="Arial"/>
        </w:rPr>
        <w:t xml:space="preserve">was whether South Africa </w:t>
      </w:r>
      <w:r w:rsidR="006B2208" w:rsidRPr="00140702">
        <w:rPr>
          <w:rFonts w:ascii="Arial" w:hAnsi="Arial" w:cs="Arial"/>
        </w:rPr>
        <w:t xml:space="preserve">could survive in the international </w:t>
      </w:r>
      <w:r w:rsidR="00725E0A" w:rsidRPr="00140702">
        <w:rPr>
          <w:rFonts w:ascii="Arial" w:hAnsi="Arial" w:cs="Arial"/>
        </w:rPr>
        <w:t>markets.</w:t>
      </w:r>
      <w:r w:rsidR="00725E0A" w:rsidRPr="00140702">
        <w:rPr>
          <w:rStyle w:val="Funotenzeichen"/>
          <w:rFonts w:ascii="Arial" w:hAnsi="Arial" w:cs="Arial"/>
        </w:rPr>
        <w:footnoteReference w:id="342"/>
      </w:r>
      <w:r w:rsidR="00725E0A" w:rsidRPr="00140702">
        <w:rPr>
          <w:rFonts w:ascii="Arial" w:hAnsi="Arial" w:cs="Arial"/>
        </w:rPr>
        <w:t xml:space="preserve"> </w:t>
      </w:r>
      <w:r w:rsidRPr="00140702">
        <w:rPr>
          <w:rFonts w:ascii="Arial" w:hAnsi="Arial" w:cs="Arial"/>
        </w:rPr>
        <w:t xml:space="preserve"> </w:t>
      </w:r>
    </w:p>
    <w:p w:rsidR="00826849" w:rsidRPr="00140702" w:rsidRDefault="00826849" w:rsidP="00140702">
      <w:pPr>
        <w:contextualSpacing/>
        <w:jc w:val="both"/>
        <w:rPr>
          <w:rFonts w:ascii="Arial" w:hAnsi="Arial" w:cs="Arial"/>
        </w:rPr>
      </w:pPr>
    </w:p>
    <w:p w:rsidR="00765C33" w:rsidRPr="00140702" w:rsidRDefault="00725E0A" w:rsidP="00140702">
      <w:pPr>
        <w:contextualSpacing/>
        <w:jc w:val="both"/>
        <w:rPr>
          <w:rFonts w:ascii="Arial" w:hAnsi="Arial" w:cs="Arial"/>
        </w:rPr>
      </w:pPr>
      <w:r w:rsidRPr="00140702">
        <w:rPr>
          <w:rFonts w:ascii="Arial" w:hAnsi="Arial" w:cs="Arial"/>
        </w:rPr>
        <w:t xml:space="preserve">This increased integration of South Africa into world markets </w:t>
      </w:r>
      <w:r w:rsidR="006B2208" w:rsidRPr="00140702">
        <w:rPr>
          <w:rFonts w:ascii="Arial" w:hAnsi="Arial" w:cs="Arial"/>
        </w:rPr>
        <w:t xml:space="preserve">also </w:t>
      </w:r>
      <w:r w:rsidRPr="00140702">
        <w:rPr>
          <w:rFonts w:ascii="Arial" w:hAnsi="Arial" w:cs="Arial"/>
        </w:rPr>
        <w:t xml:space="preserve">lead </w:t>
      </w:r>
      <w:r w:rsidR="006B2208" w:rsidRPr="00140702">
        <w:rPr>
          <w:rFonts w:ascii="Arial" w:hAnsi="Arial" w:cs="Arial"/>
        </w:rPr>
        <w:t xml:space="preserve">to </w:t>
      </w:r>
      <w:r w:rsidRPr="00140702">
        <w:rPr>
          <w:rFonts w:ascii="Arial" w:hAnsi="Arial" w:cs="Arial"/>
        </w:rPr>
        <w:t>competition legislation taking centre stage.</w:t>
      </w:r>
      <w:r w:rsidR="00407661" w:rsidRPr="00140702">
        <w:rPr>
          <w:rStyle w:val="Funotenzeichen"/>
          <w:rFonts w:ascii="Arial" w:hAnsi="Arial" w:cs="Arial"/>
        </w:rPr>
        <w:footnoteReference w:id="343"/>
      </w:r>
      <w:r w:rsidRPr="00140702">
        <w:rPr>
          <w:rFonts w:ascii="Arial" w:hAnsi="Arial" w:cs="Arial"/>
        </w:rPr>
        <w:t xml:space="preserve"> The reason for this is that the world markets </w:t>
      </w:r>
      <w:r w:rsidR="00FF193B" w:rsidRPr="00140702">
        <w:rPr>
          <w:rFonts w:ascii="Arial" w:hAnsi="Arial" w:cs="Arial"/>
        </w:rPr>
        <w:t>(</w:t>
      </w:r>
      <w:r w:rsidRPr="00140702">
        <w:rPr>
          <w:rFonts w:ascii="Arial" w:hAnsi="Arial" w:cs="Arial"/>
        </w:rPr>
        <w:t>international trade</w:t>
      </w:r>
      <w:r w:rsidR="00FF193B" w:rsidRPr="00140702">
        <w:rPr>
          <w:rFonts w:ascii="Arial" w:hAnsi="Arial" w:cs="Arial"/>
        </w:rPr>
        <w:t>)</w:t>
      </w:r>
      <w:r w:rsidRPr="00140702">
        <w:rPr>
          <w:rFonts w:ascii="Arial" w:hAnsi="Arial" w:cs="Arial"/>
        </w:rPr>
        <w:t xml:space="preserve"> require </w:t>
      </w:r>
      <w:r w:rsidR="00407661" w:rsidRPr="00140702">
        <w:rPr>
          <w:rFonts w:ascii="Arial" w:hAnsi="Arial" w:cs="Arial"/>
        </w:rPr>
        <w:t>proficient competition policies which include competition legislation.</w:t>
      </w:r>
      <w:r w:rsidR="00407661" w:rsidRPr="00140702">
        <w:rPr>
          <w:rStyle w:val="Funotenzeichen"/>
          <w:rFonts w:ascii="Arial" w:hAnsi="Arial" w:cs="Arial"/>
        </w:rPr>
        <w:footnoteReference w:id="344"/>
      </w:r>
      <w:r w:rsidRPr="00140702">
        <w:rPr>
          <w:rFonts w:ascii="Arial" w:hAnsi="Arial" w:cs="Arial"/>
        </w:rPr>
        <w:t xml:space="preserve"> </w:t>
      </w:r>
      <w:r w:rsidR="006B2208" w:rsidRPr="00140702">
        <w:rPr>
          <w:rFonts w:ascii="Arial" w:hAnsi="Arial" w:cs="Arial"/>
        </w:rPr>
        <w:t>Accordingly</w:t>
      </w:r>
      <w:r w:rsidR="00C7727F" w:rsidRPr="00140702">
        <w:rPr>
          <w:rFonts w:ascii="Arial" w:hAnsi="Arial" w:cs="Arial"/>
        </w:rPr>
        <w:t>,</w:t>
      </w:r>
      <w:r w:rsidR="006B2208" w:rsidRPr="00140702">
        <w:rPr>
          <w:rFonts w:ascii="Arial" w:hAnsi="Arial" w:cs="Arial"/>
        </w:rPr>
        <w:t xml:space="preserve"> the South African government went about to </w:t>
      </w:r>
      <w:r w:rsidR="008C73B1" w:rsidRPr="00140702">
        <w:rPr>
          <w:rFonts w:ascii="Arial" w:hAnsi="Arial" w:cs="Arial"/>
        </w:rPr>
        <w:t xml:space="preserve">formulate </w:t>
      </w:r>
      <w:r w:rsidR="00C7727F" w:rsidRPr="00140702">
        <w:rPr>
          <w:rFonts w:ascii="Arial" w:hAnsi="Arial" w:cs="Arial"/>
        </w:rPr>
        <w:t>an ambitious competition policy reform.</w:t>
      </w:r>
      <w:r w:rsidR="00C7727F" w:rsidRPr="00140702">
        <w:rPr>
          <w:rStyle w:val="Funotenzeichen"/>
          <w:rFonts w:ascii="Arial" w:hAnsi="Arial" w:cs="Arial"/>
        </w:rPr>
        <w:footnoteReference w:id="345"/>
      </w:r>
      <w:r w:rsidRPr="00140702">
        <w:rPr>
          <w:rFonts w:ascii="Arial" w:hAnsi="Arial" w:cs="Arial"/>
        </w:rPr>
        <w:t xml:space="preserve">  </w:t>
      </w:r>
      <w:r w:rsidR="007B4B2A" w:rsidRPr="00140702">
        <w:rPr>
          <w:rFonts w:ascii="Arial" w:hAnsi="Arial" w:cs="Arial"/>
        </w:rPr>
        <w:t>This task was</w:t>
      </w:r>
      <w:r w:rsidR="00AD41F1" w:rsidRPr="00140702">
        <w:rPr>
          <w:rFonts w:ascii="Arial" w:hAnsi="Arial" w:cs="Arial"/>
        </w:rPr>
        <w:t xml:space="preserve"> to be delegated to the Department of Trade and Industry.</w:t>
      </w:r>
      <w:r w:rsidR="00AD41F1" w:rsidRPr="00140702">
        <w:rPr>
          <w:rStyle w:val="Funotenzeichen"/>
          <w:rFonts w:ascii="Arial" w:hAnsi="Arial" w:cs="Arial"/>
        </w:rPr>
        <w:footnoteReference w:id="346"/>
      </w:r>
      <w:r w:rsidR="00AD41F1" w:rsidRPr="00140702">
        <w:rPr>
          <w:rFonts w:ascii="Arial" w:hAnsi="Arial" w:cs="Arial"/>
        </w:rPr>
        <w:t xml:space="preserve"> </w:t>
      </w:r>
    </w:p>
    <w:p w:rsidR="00765C33" w:rsidRPr="00140702" w:rsidRDefault="00765C33" w:rsidP="00140702">
      <w:pPr>
        <w:contextualSpacing/>
        <w:jc w:val="both"/>
        <w:rPr>
          <w:rFonts w:ascii="Arial" w:hAnsi="Arial" w:cs="Arial"/>
        </w:rPr>
      </w:pPr>
    </w:p>
    <w:p w:rsidR="00725E0A" w:rsidRPr="00140702" w:rsidRDefault="00AD41F1" w:rsidP="00140702">
      <w:pPr>
        <w:contextualSpacing/>
        <w:jc w:val="both"/>
        <w:rPr>
          <w:rFonts w:ascii="Arial" w:hAnsi="Arial" w:cs="Arial"/>
        </w:rPr>
      </w:pPr>
      <w:r w:rsidRPr="00140702">
        <w:rPr>
          <w:rFonts w:ascii="Arial" w:hAnsi="Arial" w:cs="Arial"/>
        </w:rPr>
        <w:t xml:space="preserve">The government however indicated that competition policy should </w:t>
      </w:r>
      <w:r w:rsidR="009B7D42" w:rsidRPr="00140702">
        <w:rPr>
          <w:rFonts w:ascii="Arial" w:hAnsi="Arial" w:cs="Arial"/>
        </w:rPr>
        <w:t>embrace</w:t>
      </w:r>
      <w:r w:rsidRPr="00140702">
        <w:rPr>
          <w:rFonts w:ascii="Arial" w:hAnsi="Arial" w:cs="Arial"/>
        </w:rPr>
        <w:t xml:space="preserve"> the following.</w:t>
      </w:r>
      <w:r w:rsidR="005B4191" w:rsidRPr="00140702">
        <w:rPr>
          <w:rStyle w:val="Funotenzeichen"/>
          <w:rFonts w:ascii="Arial" w:hAnsi="Arial" w:cs="Arial"/>
        </w:rPr>
        <w:footnoteReference w:id="347"/>
      </w:r>
    </w:p>
    <w:p w:rsidR="00AD41F1" w:rsidRPr="00140702" w:rsidRDefault="00AD41F1" w:rsidP="00140702">
      <w:pPr>
        <w:contextualSpacing/>
        <w:jc w:val="both"/>
        <w:rPr>
          <w:rFonts w:ascii="Arial" w:hAnsi="Arial" w:cs="Arial"/>
        </w:rPr>
      </w:pPr>
      <w:r w:rsidRPr="00140702">
        <w:rPr>
          <w:rFonts w:ascii="Arial" w:hAnsi="Arial" w:cs="Arial"/>
        </w:rPr>
        <w:t xml:space="preserve">a) Competition policy should advance free and active competition </w:t>
      </w:r>
      <w:r w:rsidR="005B4191" w:rsidRPr="00140702">
        <w:rPr>
          <w:rFonts w:ascii="Arial" w:hAnsi="Arial" w:cs="Arial"/>
        </w:rPr>
        <w:t>in all markets, private property rights, economic efficiency, the optimum allocation of resources, transparency, international competitiveness and the entry into markets.</w:t>
      </w:r>
      <w:r w:rsidR="005B4191" w:rsidRPr="00140702">
        <w:rPr>
          <w:rStyle w:val="Funotenzeichen"/>
          <w:rFonts w:ascii="Arial" w:hAnsi="Arial" w:cs="Arial"/>
        </w:rPr>
        <w:footnoteReference w:id="348"/>
      </w:r>
      <w:r w:rsidR="005B4191" w:rsidRPr="00140702">
        <w:rPr>
          <w:rFonts w:ascii="Arial" w:hAnsi="Arial" w:cs="Arial"/>
        </w:rPr>
        <w:t xml:space="preserve"> </w:t>
      </w:r>
    </w:p>
    <w:p w:rsidR="009B7D42" w:rsidRPr="00140702" w:rsidRDefault="009B7D42" w:rsidP="00140702">
      <w:pPr>
        <w:contextualSpacing/>
        <w:jc w:val="both"/>
        <w:rPr>
          <w:rFonts w:ascii="Arial" w:hAnsi="Arial" w:cs="Arial"/>
        </w:rPr>
      </w:pPr>
      <w:r w:rsidRPr="00140702">
        <w:rPr>
          <w:rFonts w:ascii="Arial" w:hAnsi="Arial" w:cs="Arial"/>
        </w:rPr>
        <w:t xml:space="preserve">b) Competition policy should </w:t>
      </w:r>
      <w:r w:rsidR="00F7562B" w:rsidRPr="00140702">
        <w:rPr>
          <w:rFonts w:ascii="Arial" w:hAnsi="Arial" w:cs="Arial"/>
        </w:rPr>
        <w:t>include the</w:t>
      </w:r>
      <w:r w:rsidRPr="00140702">
        <w:rPr>
          <w:rFonts w:ascii="Arial" w:hAnsi="Arial" w:cs="Arial"/>
        </w:rPr>
        <w:t xml:space="preserve"> interest of consumers, employees, entrepreneurs and corporate competitors. Competition policy should also </w:t>
      </w:r>
      <w:r w:rsidR="00F7562B" w:rsidRPr="00140702">
        <w:rPr>
          <w:rFonts w:ascii="Arial" w:hAnsi="Arial" w:cs="Arial"/>
        </w:rPr>
        <w:t>protect the ability of national firms to enter international markets.</w:t>
      </w:r>
      <w:r w:rsidR="00F7562B" w:rsidRPr="00140702">
        <w:rPr>
          <w:rStyle w:val="Funotenzeichen"/>
          <w:rFonts w:ascii="Arial" w:hAnsi="Arial" w:cs="Arial"/>
        </w:rPr>
        <w:footnoteReference w:id="349"/>
      </w:r>
    </w:p>
    <w:p w:rsidR="00F7562B" w:rsidRPr="00140702" w:rsidRDefault="00F7562B" w:rsidP="00140702">
      <w:pPr>
        <w:contextualSpacing/>
        <w:jc w:val="both"/>
        <w:rPr>
          <w:rFonts w:ascii="Arial" w:hAnsi="Arial" w:cs="Arial"/>
        </w:rPr>
      </w:pPr>
      <w:r w:rsidRPr="00140702">
        <w:rPr>
          <w:rFonts w:ascii="Arial" w:hAnsi="Arial" w:cs="Arial"/>
        </w:rPr>
        <w:t>c) Competition policy should ensure that competition matters are dealt with in a speedy, consistent and procedurally fair manner.</w:t>
      </w:r>
      <w:r w:rsidR="00B9478D" w:rsidRPr="00140702">
        <w:rPr>
          <w:rStyle w:val="Funotenzeichen"/>
          <w:rFonts w:ascii="Arial" w:hAnsi="Arial" w:cs="Arial"/>
        </w:rPr>
        <w:footnoteReference w:id="350"/>
      </w:r>
    </w:p>
    <w:p w:rsidR="00AD41F1" w:rsidRPr="00140702" w:rsidRDefault="00F7562B" w:rsidP="00140702">
      <w:pPr>
        <w:contextualSpacing/>
        <w:jc w:val="both"/>
        <w:rPr>
          <w:rFonts w:ascii="Arial" w:hAnsi="Arial" w:cs="Arial"/>
        </w:rPr>
      </w:pPr>
      <w:r w:rsidRPr="00140702">
        <w:rPr>
          <w:rFonts w:ascii="Arial" w:hAnsi="Arial" w:cs="Arial"/>
        </w:rPr>
        <w:t>d) Competition policy should be “sufficiently flexible to incorporate existing policies and future modes of market regulation that extend in a coherent manner across the full spectrum of industrial and trade policy, foreign exchange policy, the attraction of foreign direct investment, the restructuring of state assets, tax reform, labour market policy, financial market regulation, consumer protection, research and development incentives, small business and affirmative action programmes, corporate governance instruments, and revised company law.”</w:t>
      </w:r>
      <w:r w:rsidRPr="00140702">
        <w:rPr>
          <w:rStyle w:val="Funotenzeichen"/>
          <w:rFonts w:ascii="Arial" w:hAnsi="Arial" w:cs="Arial"/>
        </w:rPr>
        <w:footnoteReference w:id="351"/>
      </w:r>
    </w:p>
    <w:p w:rsidR="00392A13" w:rsidRPr="00140702" w:rsidRDefault="00392A13" w:rsidP="00140702">
      <w:pPr>
        <w:contextualSpacing/>
        <w:jc w:val="both"/>
        <w:rPr>
          <w:rFonts w:ascii="Arial" w:hAnsi="Arial" w:cs="Arial"/>
        </w:rPr>
      </w:pPr>
    </w:p>
    <w:p w:rsidR="00392A13" w:rsidRPr="00140702" w:rsidRDefault="007B4B2A" w:rsidP="00140702">
      <w:pPr>
        <w:contextualSpacing/>
        <w:jc w:val="both"/>
        <w:rPr>
          <w:rFonts w:ascii="Arial" w:hAnsi="Arial" w:cs="Arial"/>
        </w:rPr>
      </w:pPr>
      <w:r w:rsidRPr="00140702">
        <w:rPr>
          <w:rFonts w:ascii="Arial" w:hAnsi="Arial" w:cs="Arial"/>
        </w:rPr>
        <w:t xml:space="preserve">The </w:t>
      </w:r>
      <w:r w:rsidR="00115F45" w:rsidRPr="00140702">
        <w:rPr>
          <w:rFonts w:ascii="Arial" w:hAnsi="Arial" w:cs="Arial"/>
        </w:rPr>
        <w:t>Department of Trade and Industry</w:t>
      </w:r>
      <w:r w:rsidRPr="00140702">
        <w:rPr>
          <w:rFonts w:ascii="Arial" w:hAnsi="Arial" w:cs="Arial"/>
        </w:rPr>
        <w:t xml:space="preserve"> then went about to formulate a new competition policy for South Africa. It was decided that the purpose of competition legislation should be </w:t>
      </w:r>
      <w:r w:rsidR="00A72FE0" w:rsidRPr="00140702">
        <w:rPr>
          <w:rFonts w:ascii="Arial" w:hAnsi="Arial" w:cs="Arial"/>
        </w:rPr>
        <w:t xml:space="preserve">to promote </w:t>
      </w:r>
      <w:r w:rsidR="00D37C0B" w:rsidRPr="00140702">
        <w:rPr>
          <w:rFonts w:ascii="Arial" w:hAnsi="Arial" w:cs="Arial"/>
        </w:rPr>
        <w:t xml:space="preserve">and maintain </w:t>
      </w:r>
      <w:r w:rsidR="00A72FE0" w:rsidRPr="00140702">
        <w:rPr>
          <w:rFonts w:ascii="Arial" w:hAnsi="Arial" w:cs="Arial"/>
        </w:rPr>
        <w:t>competition to ensure economic efficiency and adaptability, international competitiveness, facilitate market entry by Small Micro and Medium Enterprises (SMME’s)</w:t>
      </w:r>
      <w:r w:rsidR="00167C60" w:rsidRPr="00140702">
        <w:rPr>
          <w:rFonts w:ascii="Arial" w:hAnsi="Arial" w:cs="Arial"/>
        </w:rPr>
        <w:t>, facilitate the attainment of ownership for previously disadvantaged persons</w:t>
      </w:r>
      <w:r w:rsidR="00A72FE0" w:rsidRPr="00140702">
        <w:rPr>
          <w:rFonts w:ascii="Arial" w:hAnsi="Arial" w:cs="Arial"/>
        </w:rPr>
        <w:t xml:space="preserve"> and to create new jobs.</w:t>
      </w:r>
      <w:r w:rsidR="00A72FE0" w:rsidRPr="00140702">
        <w:rPr>
          <w:rStyle w:val="Funotenzeichen"/>
          <w:rFonts w:ascii="Arial" w:hAnsi="Arial" w:cs="Arial"/>
        </w:rPr>
        <w:footnoteReference w:id="352"/>
      </w:r>
    </w:p>
    <w:p w:rsidR="007B4B2A" w:rsidRPr="00140702" w:rsidRDefault="007B4B2A" w:rsidP="00140702">
      <w:pPr>
        <w:contextualSpacing/>
        <w:jc w:val="both"/>
        <w:rPr>
          <w:rFonts w:ascii="Arial" w:hAnsi="Arial" w:cs="Arial"/>
        </w:rPr>
      </w:pPr>
    </w:p>
    <w:p w:rsidR="00CD66E2" w:rsidRPr="00140702" w:rsidRDefault="00167C60" w:rsidP="00140702">
      <w:pPr>
        <w:contextualSpacing/>
        <w:jc w:val="both"/>
        <w:rPr>
          <w:rFonts w:ascii="Arial" w:hAnsi="Arial" w:cs="Arial"/>
        </w:rPr>
      </w:pPr>
      <w:r w:rsidRPr="00140702">
        <w:rPr>
          <w:rFonts w:ascii="Arial" w:hAnsi="Arial" w:cs="Arial"/>
        </w:rPr>
        <w:t xml:space="preserve">The </w:t>
      </w:r>
      <w:r w:rsidR="00115F45" w:rsidRPr="00140702">
        <w:rPr>
          <w:rFonts w:ascii="Arial" w:hAnsi="Arial" w:cs="Arial"/>
        </w:rPr>
        <w:t>Department of Trade and Industry</w:t>
      </w:r>
      <w:r w:rsidRPr="00140702">
        <w:rPr>
          <w:rFonts w:ascii="Arial" w:hAnsi="Arial" w:cs="Arial"/>
        </w:rPr>
        <w:t xml:space="preserve"> </w:t>
      </w:r>
      <w:r w:rsidR="00871A2D" w:rsidRPr="00140702">
        <w:rPr>
          <w:rFonts w:ascii="Arial" w:hAnsi="Arial" w:cs="Arial"/>
        </w:rPr>
        <w:t>aspired</w:t>
      </w:r>
      <w:r w:rsidRPr="00140702">
        <w:rPr>
          <w:rFonts w:ascii="Arial" w:hAnsi="Arial" w:cs="Arial"/>
        </w:rPr>
        <w:t xml:space="preserve"> to improve the efficiency of the South African economy</w:t>
      </w:r>
      <w:r w:rsidR="00AB58DD" w:rsidRPr="00140702">
        <w:rPr>
          <w:rFonts w:ascii="Arial" w:hAnsi="Arial" w:cs="Arial"/>
        </w:rPr>
        <w:t xml:space="preserve"> through increased competition</w:t>
      </w:r>
      <w:r w:rsidRPr="00140702">
        <w:rPr>
          <w:rFonts w:ascii="Arial" w:hAnsi="Arial" w:cs="Arial"/>
        </w:rPr>
        <w:t xml:space="preserve"> and also to enhance the public </w:t>
      </w:r>
      <w:r w:rsidR="00115F45" w:rsidRPr="00140702">
        <w:rPr>
          <w:rFonts w:ascii="Arial" w:hAnsi="Arial" w:cs="Arial"/>
        </w:rPr>
        <w:t>interest which was</w:t>
      </w:r>
      <w:r w:rsidR="00871A2D" w:rsidRPr="00140702">
        <w:rPr>
          <w:rFonts w:ascii="Arial" w:hAnsi="Arial" w:cs="Arial"/>
        </w:rPr>
        <w:t xml:space="preserve"> to be more clearly defined</w:t>
      </w:r>
      <w:r w:rsidRPr="00140702">
        <w:rPr>
          <w:rFonts w:ascii="Arial" w:hAnsi="Arial" w:cs="Arial"/>
        </w:rPr>
        <w:t xml:space="preserve"> </w:t>
      </w:r>
      <w:r w:rsidR="00115F45" w:rsidRPr="00140702">
        <w:rPr>
          <w:rFonts w:ascii="Arial" w:hAnsi="Arial" w:cs="Arial"/>
        </w:rPr>
        <w:t>in the context of the</w:t>
      </w:r>
      <w:r w:rsidRPr="00140702">
        <w:rPr>
          <w:rFonts w:ascii="Arial" w:hAnsi="Arial" w:cs="Arial"/>
        </w:rPr>
        <w:t xml:space="preserve"> market structure and firm behaviour.</w:t>
      </w:r>
      <w:r w:rsidR="00AB58DD" w:rsidRPr="00140702">
        <w:rPr>
          <w:rStyle w:val="Funotenzeichen"/>
          <w:rFonts w:ascii="Arial" w:hAnsi="Arial" w:cs="Arial"/>
        </w:rPr>
        <w:footnoteReference w:id="353"/>
      </w:r>
      <w:r w:rsidR="00115F45" w:rsidRPr="00140702">
        <w:rPr>
          <w:rFonts w:ascii="Arial" w:hAnsi="Arial" w:cs="Arial"/>
        </w:rPr>
        <w:t xml:space="preserve"> Additionally,</w:t>
      </w:r>
      <w:r w:rsidRPr="00140702">
        <w:rPr>
          <w:rFonts w:ascii="Arial" w:hAnsi="Arial" w:cs="Arial"/>
        </w:rPr>
        <w:t xml:space="preserve"> The Department of Trade and Industry believed that competition and development would be mutually supportive and hence the increase in competitiveness and efficiency </w:t>
      </w:r>
      <w:r w:rsidR="00AB58DD" w:rsidRPr="00140702">
        <w:rPr>
          <w:rFonts w:ascii="Arial" w:hAnsi="Arial" w:cs="Arial"/>
        </w:rPr>
        <w:t>could be achieved together with an increase in economic access for previously disadvantaged groups.</w:t>
      </w:r>
      <w:r w:rsidR="00AB58DD" w:rsidRPr="00140702">
        <w:rPr>
          <w:rStyle w:val="Funotenzeichen"/>
          <w:rFonts w:ascii="Arial" w:hAnsi="Arial" w:cs="Arial"/>
        </w:rPr>
        <w:footnoteReference w:id="354"/>
      </w:r>
      <w:r w:rsidR="005F5A3C" w:rsidRPr="00140702">
        <w:rPr>
          <w:rFonts w:ascii="Arial" w:hAnsi="Arial" w:cs="Arial"/>
        </w:rPr>
        <w:t xml:space="preserve"> The </w:t>
      </w:r>
      <w:r w:rsidR="00115F45" w:rsidRPr="00140702">
        <w:rPr>
          <w:rFonts w:ascii="Arial" w:hAnsi="Arial" w:cs="Arial"/>
        </w:rPr>
        <w:t>Department of Trade and Industry</w:t>
      </w:r>
      <w:r w:rsidR="005F5A3C" w:rsidRPr="00140702">
        <w:rPr>
          <w:rFonts w:ascii="Arial" w:hAnsi="Arial" w:cs="Arial"/>
        </w:rPr>
        <w:t xml:space="preserve"> thus had 2 policy considerations namely the promotion of competition and the restructuring of South Africa’s industrial organization to the benefit of previously disadvantaged groups.</w:t>
      </w:r>
      <w:r w:rsidR="005F5A3C" w:rsidRPr="00140702">
        <w:rPr>
          <w:rStyle w:val="Funotenzeichen"/>
          <w:rFonts w:ascii="Arial" w:hAnsi="Arial" w:cs="Arial"/>
        </w:rPr>
        <w:footnoteReference w:id="355"/>
      </w:r>
      <w:r w:rsidR="005F605B" w:rsidRPr="00140702">
        <w:rPr>
          <w:rFonts w:ascii="Arial" w:hAnsi="Arial" w:cs="Arial"/>
        </w:rPr>
        <w:t xml:space="preserve"> This would eventually lead to the Competition Act</w:t>
      </w:r>
      <w:r w:rsidR="005F605B" w:rsidRPr="00140702">
        <w:rPr>
          <w:rStyle w:val="Funotenzeichen"/>
          <w:rFonts w:ascii="Arial" w:hAnsi="Arial" w:cs="Arial"/>
        </w:rPr>
        <w:footnoteReference w:id="356"/>
      </w:r>
      <w:r w:rsidR="005F605B" w:rsidRPr="00140702">
        <w:rPr>
          <w:rFonts w:ascii="Arial" w:hAnsi="Arial" w:cs="Arial"/>
        </w:rPr>
        <w:t xml:space="preserve"> having to balance economic efficiency with socio-economic equity and development.</w:t>
      </w:r>
      <w:r w:rsidR="005F605B" w:rsidRPr="00140702">
        <w:rPr>
          <w:rStyle w:val="Funotenzeichen"/>
          <w:rFonts w:ascii="Arial" w:hAnsi="Arial" w:cs="Arial"/>
        </w:rPr>
        <w:footnoteReference w:id="357"/>
      </w:r>
      <w:r w:rsidR="009366DA" w:rsidRPr="00140702">
        <w:rPr>
          <w:rFonts w:ascii="Arial" w:hAnsi="Arial" w:cs="Arial"/>
        </w:rPr>
        <w:t xml:space="preserve"> </w:t>
      </w:r>
    </w:p>
    <w:p w:rsidR="00CD66E2" w:rsidRPr="00140702" w:rsidRDefault="00CD66E2" w:rsidP="00140702">
      <w:pPr>
        <w:contextualSpacing/>
        <w:jc w:val="both"/>
        <w:rPr>
          <w:rFonts w:ascii="Arial" w:hAnsi="Arial" w:cs="Arial"/>
        </w:rPr>
      </w:pPr>
    </w:p>
    <w:p w:rsidR="005F605B" w:rsidRPr="00140702" w:rsidRDefault="005F605B" w:rsidP="00140702">
      <w:pPr>
        <w:contextualSpacing/>
        <w:jc w:val="both"/>
        <w:rPr>
          <w:rFonts w:ascii="Arial" w:hAnsi="Arial" w:cs="Arial"/>
        </w:rPr>
      </w:pPr>
      <w:r w:rsidRPr="00140702">
        <w:rPr>
          <w:rFonts w:ascii="Arial" w:hAnsi="Arial" w:cs="Arial"/>
        </w:rPr>
        <w:t xml:space="preserve">Nonetheless, the </w:t>
      </w:r>
      <w:r w:rsidR="00115F45" w:rsidRPr="00140702">
        <w:rPr>
          <w:rFonts w:ascii="Arial" w:hAnsi="Arial" w:cs="Arial"/>
        </w:rPr>
        <w:t>Department of Trade and Industry</w:t>
      </w:r>
      <w:r w:rsidRPr="00140702">
        <w:rPr>
          <w:rFonts w:ascii="Arial" w:hAnsi="Arial" w:cs="Arial"/>
        </w:rPr>
        <w:t xml:space="preserve"> </w:t>
      </w:r>
      <w:r w:rsidR="00115F45" w:rsidRPr="00140702">
        <w:rPr>
          <w:rFonts w:ascii="Arial" w:hAnsi="Arial" w:cs="Arial"/>
        </w:rPr>
        <w:t>was</w:t>
      </w:r>
      <w:r w:rsidRPr="00140702">
        <w:rPr>
          <w:rFonts w:ascii="Arial" w:hAnsi="Arial" w:cs="Arial"/>
        </w:rPr>
        <w:t xml:space="preserve"> of the opinion that in the broadest sense the main objective of competition legislation should be to promote active competition </w:t>
      </w:r>
      <w:r w:rsidR="009366DA" w:rsidRPr="00140702">
        <w:rPr>
          <w:rFonts w:ascii="Arial" w:hAnsi="Arial" w:cs="Arial"/>
        </w:rPr>
        <w:t xml:space="preserve">so as </w:t>
      </w:r>
      <w:r w:rsidRPr="00140702">
        <w:rPr>
          <w:rFonts w:ascii="Arial" w:hAnsi="Arial" w:cs="Arial"/>
        </w:rPr>
        <w:t xml:space="preserve">to improve allocative efficiency without impairing productive efficiency to such an extent that no gains are achieved for </w:t>
      </w:r>
      <w:r w:rsidR="009366DA" w:rsidRPr="00140702">
        <w:rPr>
          <w:rFonts w:ascii="Arial" w:hAnsi="Arial" w:cs="Arial"/>
        </w:rPr>
        <w:t xml:space="preserve">the </w:t>
      </w:r>
      <w:r w:rsidRPr="00140702">
        <w:rPr>
          <w:rFonts w:ascii="Arial" w:hAnsi="Arial" w:cs="Arial"/>
        </w:rPr>
        <w:t>consumer welfare.</w:t>
      </w:r>
      <w:r w:rsidRPr="00140702">
        <w:rPr>
          <w:rStyle w:val="Funotenzeichen"/>
          <w:rFonts w:ascii="Arial" w:hAnsi="Arial" w:cs="Arial"/>
        </w:rPr>
        <w:footnoteReference w:id="358"/>
      </w:r>
      <w:r w:rsidRPr="00140702">
        <w:rPr>
          <w:rFonts w:ascii="Arial" w:hAnsi="Arial" w:cs="Arial"/>
        </w:rPr>
        <w:t xml:space="preserve"> The essence of competition legislation is thus to</w:t>
      </w:r>
      <w:r w:rsidR="00CA1055" w:rsidRPr="00140702">
        <w:rPr>
          <w:rFonts w:ascii="Arial" w:hAnsi="Arial" w:cs="Arial"/>
        </w:rPr>
        <w:t xml:space="preserve"> use competition as a means to</w:t>
      </w:r>
      <w:r w:rsidRPr="00140702">
        <w:rPr>
          <w:rFonts w:ascii="Arial" w:hAnsi="Arial" w:cs="Arial"/>
        </w:rPr>
        <w:t xml:space="preserve"> enhance the economic efficiency of firms and </w:t>
      </w:r>
      <w:r w:rsidR="00E77F71" w:rsidRPr="00140702">
        <w:rPr>
          <w:rFonts w:ascii="Arial" w:hAnsi="Arial" w:cs="Arial"/>
        </w:rPr>
        <w:t>consequently</w:t>
      </w:r>
      <w:r w:rsidRPr="00140702">
        <w:rPr>
          <w:rFonts w:ascii="Arial" w:hAnsi="Arial" w:cs="Arial"/>
        </w:rPr>
        <w:t xml:space="preserve"> the efficiency of the economy as a whole.</w:t>
      </w:r>
      <w:r w:rsidRPr="00140702">
        <w:rPr>
          <w:rStyle w:val="Funotenzeichen"/>
          <w:rFonts w:ascii="Arial" w:hAnsi="Arial" w:cs="Arial"/>
        </w:rPr>
        <w:footnoteReference w:id="359"/>
      </w:r>
      <w:r w:rsidR="00CA1055" w:rsidRPr="00140702">
        <w:rPr>
          <w:rFonts w:ascii="Arial" w:hAnsi="Arial" w:cs="Arial"/>
        </w:rPr>
        <w:t xml:space="preserve"> The end result of competition legislation </w:t>
      </w:r>
      <w:r w:rsidR="006E6D31" w:rsidRPr="00140702">
        <w:rPr>
          <w:rFonts w:ascii="Arial" w:hAnsi="Arial" w:cs="Arial"/>
        </w:rPr>
        <w:t>should thus be</w:t>
      </w:r>
      <w:r w:rsidR="00115F45" w:rsidRPr="00140702">
        <w:rPr>
          <w:rFonts w:ascii="Arial" w:hAnsi="Arial" w:cs="Arial"/>
        </w:rPr>
        <w:t xml:space="preserve"> the</w:t>
      </w:r>
      <w:r w:rsidR="006E6D31" w:rsidRPr="00140702">
        <w:rPr>
          <w:rFonts w:ascii="Arial" w:hAnsi="Arial" w:cs="Arial"/>
        </w:rPr>
        <w:t xml:space="preserve"> </w:t>
      </w:r>
      <w:r w:rsidR="00CA1055" w:rsidRPr="00140702">
        <w:rPr>
          <w:rFonts w:ascii="Arial" w:hAnsi="Arial" w:cs="Arial"/>
        </w:rPr>
        <w:t>maximis</w:t>
      </w:r>
      <w:r w:rsidR="006E6D31" w:rsidRPr="00140702">
        <w:rPr>
          <w:rFonts w:ascii="Arial" w:hAnsi="Arial" w:cs="Arial"/>
        </w:rPr>
        <w:t>ation of</w:t>
      </w:r>
      <w:r w:rsidR="00CA1055" w:rsidRPr="00140702">
        <w:rPr>
          <w:rFonts w:ascii="Arial" w:hAnsi="Arial" w:cs="Arial"/>
        </w:rPr>
        <w:t xml:space="preserve"> consumer welfare and this it is argued can only be achieved through the increase in efficiency resulting from competition legislation.</w:t>
      </w:r>
      <w:r w:rsidR="00CA1055" w:rsidRPr="00140702">
        <w:rPr>
          <w:rStyle w:val="Funotenzeichen"/>
          <w:rFonts w:ascii="Arial" w:hAnsi="Arial" w:cs="Arial"/>
        </w:rPr>
        <w:footnoteReference w:id="360"/>
      </w:r>
      <w:r w:rsidR="00CA1055" w:rsidRPr="00140702">
        <w:rPr>
          <w:rFonts w:ascii="Arial" w:hAnsi="Arial" w:cs="Arial"/>
        </w:rPr>
        <w:t xml:space="preserve"> </w:t>
      </w:r>
    </w:p>
    <w:p w:rsidR="00CD66E2" w:rsidRPr="00140702" w:rsidRDefault="00CD66E2" w:rsidP="00140702">
      <w:pPr>
        <w:contextualSpacing/>
        <w:jc w:val="both"/>
        <w:rPr>
          <w:rFonts w:ascii="Arial" w:hAnsi="Arial" w:cs="Arial"/>
        </w:rPr>
      </w:pPr>
    </w:p>
    <w:p w:rsidR="00221572" w:rsidRPr="00140702" w:rsidRDefault="00516639" w:rsidP="00140702">
      <w:pPr>
        <w:contextualSpacing/>
        <w:jc w:val="both"/>
        <w:rPr>
          <w:rFonts w:ascii="Arial" w:hAnsi="Arial" w:cs="Arial"/>
        </w:rPr>
      </w:pPr>
      <w:r w:rsidRPr="00140702">
        <w:rPr>
          <w:rFonts w:ascii="Arial" w:hAnsi="Arial" w:cs="Arial"/>
        </w:rPr>
        <w:t xml:space="preserve">The </w:t>
      </w:r>
      <w:r w:rsidR="00D14702" w:rsidRPr="00140702">
        <w:rPr>
          <w:rFonts w:ascii="Arial" w:hAnsi="Arial" w:cs="Arial"/>
        </w:rPr>
        <w:t>Department of Trade and Industry</w:t>
      </w:r>
      <w:r w:rsidRPr="00140702">
        <w:rPr>
          <w:rFonts w:ascii="Arial" w:hAnsi="Arial" w:cs="Arial"/>
        </w:rPr>
        <w:t xml:space="preserve"> would eventually draft a document named the</w:t>
      </w:r>
      <w:r w:rsidR="00923032" w:rsidRPr="00140702">
        <w:rPr>
          <w:rFonts w:ascii="Arial" w:hAnsi="Arial" w:cs="Arial"/>
        </w:rPr>
        <w:t xml:space="preserve"> </w:t>
      </w:r>
      <w:r w:rsidR="00C51A89" w:rsidRPr="00140702">
        <w:rPr>
          <w:rFonts w:ascii="Arial" w:hAnsi="Arial" w:cs="Arial"/>
        </w:rPr>
        <w:t>“</w:t>
      </w:r>
      <w:r w:rsidRPr="00140702">
        <w:rPr>
          <w:rFonts w:ascii="Arial" w:hAnsi="Arial" w:cs="Arial"/>
        </w:rPr>
        <w:t xml:space="preserve">A Framework for Competition, Competitiveness and Development,” </w:t>
      </w:r>
      <w:r w:rsidR="007C7947" w:rsidRPr="00140702">
        <w:rPr>
          <w:rFonts w:ascii="Arial" w:hAnsi="Arial" w:cs="Arial"/>
        </w:rPr>
        <w:t>this document was</w:t>
      </w:r>
      <w:r w:rsidRPr="00140702">
        <w:rPr>
          <w:rFonts w:ascii="Arial" w:hAnsi="Arial" w:cs="Arial"/>
        </w:rPr>
        <w:t xml:space="preserve"> to for</w:t>
      </w:r>
      <w:r w:rsidR="00765C33" w:rsidRPr="00140702">
        <w:rPr>
          <w:rFonts w:ascii="Arial" w:hAnsi="Arial" w:cs="Arial"/>
        </w:rPr>
        <w:t>m</w:t>
      </w:r>
      <w:r w:rsidRPr="00140702">
        <w:rPr>
          <w:rFonts w:ascii="Arial" w:hAnsi="Arial" w:cs="Arial"/>
        </w:rPr>
        <w:t xml:space="preserve"> the framework of the Competition Act.</w:t>
      </w:r>
      <w:r w:rsidRPr="00140702">
        <w:rPr>
          <w:rStyle w:val="Funotenzeichen"/>
          <w:rFonts w:ascii="Arial" w:hAnsi="Arial" w:cs="Arial"/>
        </w:rPr>
        <w:footnoteReference w:id="361"/>
      </w:r>
      <w:r w:rsidRPr="00140702">
        <w:rPr>
          <w:rFonts w:ascii="Arial" w:hAnsi="Arial" w:cs="Arial"/>
        </w:rPr>
        <w:t xml:space="preserve"> In January 2008 the </w:t>
      </w:r>
      <w:r w:rsidR="00D14702" w:rsidRPr="00140702">
        <w:rPr>
          <w:rFonts w:ascii="Arial" w:hAnsi="Arial" w:cs="Arial"/>
        </w:rPr>
        <w:t xml:space="preserve">Department of Trade and Industry </w:t>
      </w:r>
      <w:r w:rsidR="00653FC4" w:rsidRPr="00140702">
        <w:rPr>
          <w:rFonts w:ascii="Arial" w:hAnsi="Arial" w:cs="Arial"/>
        </w:rPr>
        <w:t>would use this document to approach the National Economic Development and Labour Council (NEDLEC) to negotiate the</w:t>
      </w:r>
      <w:r w:rsidR="00B32454" w:rsidRPr="00140702">
        <w:rPr>
          <w:rFonts w:ascii="Arial" w:hAnsi="Arial" w:cs="Arial"/>
        </w:rPr>
        <w:t xml:space="preserve"> </w:t>
      </w:r>
      <w:r w:rsidR="00653FC4" w:rsidRPr="00140702">
        <w:rPr>
          <w:rFonts w:ascii="Arial" w:hAnsi="Arial" w:cs="Arial"/>
        </w:rPr>
        <w:t>policies that were to form the</w:t>
      </w:r>
      <w:r w:rsidR="00B32454" w:rsidRPr="00140702">
        <w:rPr>
          <w:rFonts w:ascii="Arial" w:hAnsi="Arial" w:cs="Arial"/>
        </w:rPr>
        <w:t xml:space="preserve"> foundation of </w:t>
      </w:r>
      <w:r w:rsidR="00D14702" w:rsidRPr="00140702">
        <w:rPr>
          <w:rFonts w:ascii="Arial" w:hAnsi="Arial" w:cs="Arial"/>
        </w:rPr>
        <w:t xml:space="preserve"> the </w:t>
      </w:r>
      <w:r w:rsidR="00B32454" w:rsidRPr="00140702">
        <w:rPr>
          <w:rFonts w:ascii="Arial" w:hAnsi="Arial" w:cs="Arial"/>
        </w:rPr>
        <w:t>Competition</w:t>
      </w:r>
      <w:r w:rsidR="00653FC4" w:rsidRPr="00140702">
        <w:rPr>
          <w:rFonts w:ascii="Arial" w:hAnsi="Arial" w:cs="Arial"/>
        </w:rPr>
        <w:t xml:space="preserve"> Act.</w:t>
      </w:r>
      <w:r w:rsidR="00653FC4" w:rsidRPr="00140702">
        <w:rPr>
          <w:rStyle w:val="Funotenzeichen"/>
          <w:rFonts w:ascii="Arial" w:hAnsi="Arial" w:cs="Arial"/>
        </w:rPr>
        <w:footnoteReference w:id="362"/>
      </w:r>
      <w:r w:rsidR="00653FC4" w:rsidRPr="00140702">
        <w:rPr>
          <w:rFonts w:ascii="Arial" w:hAnsi="Arial" w:cs="Arial"/>
        </w:rPr>
        <w:t xml:space="preserve"> This gave firms and labour parties the opportunity to influence the formulation of the Competition Act</w:t>
      </w:r>
      <w:r w:rsidR="00EC76AB" w:rsidRPr="00140702">
        <w:rPr>
          <w:rStyle w:val="Funotenzeichen"/>
          <w:rFonts w:ascii="Arial" w:hAnsi="Arial" w:cs="Arial"/>
        </w:rPr>
        <w:footnoteReference w:id="363"/>
      </w:r>
      <w:r w:rsidR="00653FC4" w:rsidRPr="00140702">
        <w:rPr>
          <w:rFonts w:ascii="Arial" w:hAnsi="Arial" w:cs="Arial"/>
        </w:rPr>
        <w:t xml:space="preserve"> to better </w:t>
      </w:r>
      <w:r w:rsidR="00221572" w:rsidRPr="00140702">
        <w:rPr>
          <w:rFonts w:ascii="Arial" w:hAnsi="Arial" w:cs="Arial"/>
        </w:rPr>
        <w:t>balance economic</w:t>
      </w:r>
      <w:r w:rsidR="00653FC4" w:rsidRPr="00140702">
        <w:rPr>
          <w:rFonts w:ascii="Arial" w:hAnsi="Arial" w:cs="Arial"/>
        </w:rPr>
        <w:t xml:space="preserve"> efficiency with socio-economic equity and development.</w:t>
      </w:r>
      <w:r w:rsidR="00221572" w:rsidRPr="00140702">
        <w:rPr>
          <w:rStyle w:val="Funotenzeichen"/>
          <w:rFonts w:ascii="Arial" w:hAnsi="Arial" w:cs="Arial"/>
        </w:rPr>
        <w:footnoteReference w:id="364"/>
      </w:r>
    </w:p>
    <w:p w:rsidR="00221572" w:rsidRPr="00140702" w:rsidRDefault="00221572" w:rsidP="00140702">
      <w:pPr>
        <w:contextualSpacing/>
        <w:jc w:val="both"/>
        <w:rPr>
          <w:rFonts w:ascii="Arial" w:hAnsi="Arial" w:cs="Arial"/>
        </w:rPr>
      </w:pPr>
    </w:p>
    <w:p w:rsidR="00753690" w:rsidRPr="00140702" w:rsidRDefault="00221572" w:rsidP="00140702">
      <w:pPr>
        <w:contextualSpacing/>
        <w:jc w:val="both"/>
        <w:rPr>
          <w:rFonts w:ascii="Arial" w:hAnsi="Arial" w:cs="Arial"/>
        </w:rPr>
      </w:pPr>
      <w:r w:rsidRPr="00140702">
        <w:rPr>
          <w:rFonts w:ascii="Arial" w:hAnsi="Arial" w:cs="Arial"/>
        </w:rPr>
        <w:t xml:space="preserve"> In September 1998 the Competition Act</w:t>
      </w:r>
      <w:r w:rsidRPr="00140702">
        <w:rPr>
          <w:rStyle w:val="Funotenzeichen"/>
          <w:rFonts w:ascii="Arial" w:hAnsi="Arial" w:cs="Arial"/>
        </w:rPr>
        <w:footnoteReference w:id="365"/>
      </w:r>
      <w:r w:rsidRPr="00140702">
        <w:rPr>
          <w:rFonts w:ascii="Arial" w:hAnsi="Arial" w:cs="Arial"/>
        </w:rPr>
        <w:t xml:space="preserve"> were approved by government with the sections</w:t>
      </w:r>
      <w:r w:rsidRPr="00140702">
        <w:rPr>
          <w:rStyle w:val="Funotenzeichen"/>
          <w:rFonts w:ascii="Arial" w:hAnsi="Arial" w:cs="Arial"/>
        </w:rPr>
        <w:footnoteReference w:id="366"/>
      </w:r>
      <w:r w:rsidRPr="00140702">
        <w:rPr>
          <w:rFonts w:ascii="Arial" w:hAnsi="Arial" w:cs="Arial"/>
        </w:rPr>
        <w:t xml:space="preserve"> establishing the institutional framework</w:t>
      </w:r>
      <w:r w:rsidR="005719B5" w:rsidRPr="00140702">
        <w:rPr>
          <w:rStyle w:val="Funotenzeichen"/>
          <w:rFonts w:ascii="Arial" w:hAnsi="Arial" w:cs="Arial"/>
        </w:rPr>
        <w:footnoteReference w:id="367"/>
      </w:r>
      <w:r w:rsidRPr="00140702">
        <w:rPr>
          <w:rFonts w:ascii="Arial" w:hAnsi="Arial" w:cs="Arial"/>
        </w:rPr>
        <w:t xml:space="preserve"> set to commence on the 1</w:t>
      </w:r>
      <w:r w:rsidRPr="00140702">
        <w:rPr>
          <w:rFonts w:ascii="Arial" w:hAnsi="Arial" w:cs="Arial"/>
          <w:vertAlign w:val="superscript"/>
        </w:rPr>
        <w:t>st</w:t>
      </w:r>
      <w:r w:rsidRPr="00140702">
        <w:rPr>
          <w:rFonts w:ascii="Arial" w:hAnsi="Arial" w:cs="Arial"/>
        </w:rPr>
        <w:t xml:space="preserve"> of November 1998 and </w:t>
      </w:r>
      <w:r w:rsidR="00D14702" w:rsidRPr="00140702">
        <w:rPr>
          <w:rFonts w:ascii="Arial" w:hAnsi="Arial" w:cs="Arial"/>
        </w:rPr>
        <w:t xml:space="preserve">the </w:t>
      </w:r>
      <w:r w:rsidRPr="00140702">
        <w:rPr>
          <w:rFonts w:ascii="Arial" w:hAnsi="Arial" w:cs="Arial"/>
        </w:rPr>
        <w:t>remaining sections on the 1</w:t>
      </w:r>
      <w:r w:rsidRPr="00140702">
        <w:rPr>
          <w:rFonts w:ascii="Arial" w:hAnsi="Arial" w:cs="Arial"/>
          <w:vertAlign w:val="superscript"/>
        </w:rPr>
        <w:t>st</w:t>
      </w:r>
      <w:r w:rsidRPr="00140702">
        <w:rPr>
          <w:rFonts w:ascii="Arial" w:hAnsi="Arial" w:cs="Arial"/>
        </w:rPr>
        <w:t xml:space="preserve"> of September 1999.</w:t>
      </w:r>
      <w:r w:rsidRPr="00140702">
        <w:rPr>
          <w:rStyle w:val="Funotenzeichen"/>
          <w:rFonts w:ascii="Arial" w:hAnsi="Arial" w:cs="Arial"/>
        </w:rPr>
        <w:footnoteReference w:id="368"/>
      </w:r>
      <w:r w:rsidR="009D42DE" w:rsidRPr="00140702">
        <w:rPr>
          <w:rFonts w:ascii="Arial" w:hAnsi="Arial" w:cs="Arial"/>
        </w:rPr>
        <w:t xml:space="preserve"> </w:t>
      </w:r>
    </w:p>
    <w:p w:rsidR="00753690" w:rsidRPr="00140702" w:rsidRDefault="00753690" w:rsidP="00140702">
      <w:pPr>
        <w:contextualSpacing/>
        <w:jc w:val="both"/>
        <w:rPr>
          <w:rFonts w:ascii="Arial" w:hAnsi="Arial" w:cs="Arial"/>
        </w:rPr>
      </w:pPr>
    </w:p>
    <w:p w:rsidR="007B4B2A" w:rsidRPr="00140702" w:rsidRDefault="00D14702" w:rsidP="00140702">
      <w:pPr>
        <w:contextualSpacing/>
        <w:jc w:val="both"/>
        <w:rPr>
          <w:rFonts w:ascii="Arial" w:hAnsi="Arial" w:cs="Arial"/>
        </w:rPr>
      </w:pPr>
      <w:r w:rsidRPr="00140702">
        <w:rPr>
          <w:rFonts w:ascii="Arial" w:hAnsi="Arial" w:cs="Arial"/>
        </w:rPr>
        <w:t>To conclude, t</w:t>
      </w:r>
      <w:r w:rsidR="007B4B2A" w:rsidRPr="00140702">
        <w:rPr>
          <w:rFonts w:ascii="Arial" w:hAnsi="Arial" w:cs="Arial"/>
        </w:rPr>
        <w:t>h</w:t>
      </w:r>
      <w:r w:rsidR="009D42DE" w:rsidRPr="00140702">
        <w:rPr>
          <w:rFonts w:ascii="Arial" w:hAnsi="Arial" w:cs="Arial"/>
        </w:rPr>
        <w:t>e Competition Act</w:t>
      </w:r>
      <w:r w:rsidR="009D42DE" w:rsidRPr="00140702">
        <w:rPr>
          <w:rStyle w:val="Funotenzeichen"/>
          <w:rFonts w:ascii="Arial" w:hAnsi="Arial" w:cs="Arial"/>
        </w:rPr>
        <w:footnoteReference w:id="369"/>
      </w:r>
      <w:r w:rsidR="009D42DE" w:rsidRPr="00140702">
        <w:rPr>
          <w:rFonts w:ascii="Arial" w:hAnsi="Arial" w:cs="Arial"/>
        </w:rPr>
        <w:t xml:space="preserve"> </w:t>
      </w:r>
      <w:r w:rsidRPr="00140702">
        <w:rPr>
          <w:rFonts w:ascii="Arial" w:hAnsi="Arial" w:cs="Arial"/>
        </w:rPr>
        <w:t>has</w:t>
      </w:r>
      <w:r w:rsidR="00670CE3" w:rsidRPr="00140702">
        <w:rPr>
          <w:rFonts w:ascii="Arial" w:hAnsi="Arial" w:cs="Arial"/>
        </w:rPr>
        <w:t xml:space="preserve"> significant improve</w:t>
      </w:r>
      <w:r w:rsidR="00753690" w:rsidRPr="00140702">
        <w:rPr>
          <w:rFonts w:ascii="Arial" w:hAnsi="Arial" w:cs="Arial"/>
        </w:rPr>
        <w:t>me</w:t>
      </w:r>
      <w:r w:rsidR="00670CE3" w:rsidRPr="00140702">
        <w:rPr>
          <w:rFonts w:ascii="Arial" w:hAnsi="Arial" w:cs="Arial"/>
        </w:rPr>
        <w:t>nts over the Maintenance and Promo</w:t>
      </w:r>
      <w:r w:rsidR="00753690" w:rsidRPr="00140702">
        <w:rPr>
          <w:rFonts w:ascii="Arial" w:hAnsi="Arial" w:cs="Arial"/>
        </w:rPr>
        <w:t>tion of Competition Act</w:t>
      </w:r>
      <w:r w:rsidR="00753690" w:rsidRPr="00140702">
        <w:rPr>
          <w:rStyle w:val="Funotenzeichen"/>
          <w:rFonts w:ascii="Arial" w:hAnsi="Arial" w:cs="Arial"/>
        </w:rPr>
        <w:footnoteReference w:id="370"/>
      </w:r>
      <w:r w:rsidR="00753690" w:rsidRPr="00140702">
        <w:rPr>
          <w:rFonts w:ascii="Arial" w:hAnsi="Arial" w:cs="Arial"/>
        </w:rPr>
        <w:t xml:space="preserve"> and is </w:t>
      </w:r>
      <w:r w:rsidR="009D42DE" w:rsidRPr="00140702">
        <w:rPr>
          <w:rFonts w:ascii="Arial" w:hAnsi="Arial" w:cs="Arial"/>
        </w:rPr>
        <w:t xml:space="preserve">South Africa’s </w:t>
      </w:r>
      <w:r w:rsidR="00EC76AB" w:rsidRPr="00140702">
        <w:rPr>
          <w:rFonts w:ascii="Arial" w:hAnsi="Arial" w:cs="Arial"/>
        </w:rPr>
        <w:t xml:space="preserve">first </w:t>
      </w:r>
      <w:r w:rsidR="00DC164C" w:rsidRPr="00140702">
        <w:rPr>
          <w:rFonts w:ascii="Arial" w:hAnsi="Arial" w:cs="Arial"/>
        </w:rPr>
        <w:t xml:space="preserve">proper </w:t>
      </w:r>
      <w:r w:rsidR="009D42DE" w:rsidRPr="00140702">
        <w:rPr>
          <w:rFonts w:ascii="Arial" w:hAnsi="Arial" w:cs="Arial"/>
        </w:rPr>
        <w:t>attempt at effective market governance.</w:t>
      </w:r>
      <w:r w:rsidR="009D42DE" w:rsidRPr="00140702">
        <w:rPr>
          <w:rStyle w:val="Funotenzeichen"/>
          <w:rFonts w:ascii="Arial" w:hAnsi="Arial" w:cs="Arial"/>
        </w:rPr>
        <w:footnoteReference w:id="371"/>
      </w:r>
      <w:r w:rsidR="00753690" w:rsidRPr="00140702">
        <w:rPr>
          <w:rFonts w:ascii="Arial" w:hAnsi="Arial" w:cs="Arial"/>
        </w:rPr>
        <w:t xml:space="preserve"> In terms of</w:t>
      </w:r>
      <w:r w:rsidR="009D42DE" w:rsidRPr="00140702">
        <w:rPr>
          <w:rFonts w:ascii="Arial" w:hAnsi="Arial" w:cs="Arial"/>
        </w:rPr>
        <w:t xml:space="preserve"> </w:t>
      </w:r>
      <w:r w:rsidR="00753690" w:rsidRPr="00140702">
        <w:rPr>
          <w:rFonts w:ascii="Arial" w:hAnsi="Arial" w:cs="Arial"/>
        </w:rPr>
        <w:t>t</w:t>
      </w:r>
      <w:r w:rsidR="00670CE3" w:rsidRPr="00140702">
        <w:rPr>
          <w:rFonts w:ascii="Arial" w:hAnsi="Arial" w:cs="Arial"/>
        </w:rPr>
        <w:t>he Competition Act</w:t>
      </w:r>
      <w:r w:rsidR="00670CE3" w:rsidRPr="00140702">
        <w:rPr>
          <w:rStyle w:val="Funotenzeichen"/>
          <w:rFonts w:ascii="Arial" w:hAnsi="Arial" w:cs="Arial"/>
        </w:rPr>
        <w:footnoteReference w:id="372"/>
      </w:r>
      <w:r w:rsidR="00670CE3" w:rsidRPr="00140702">
        <w:rPr>
          <w:rFonts w:ascii="Arial" w:hAnsi="Arial" w:cs="Arial"/>
        </w:rPr>
        <w:t xml:space="preserve"> the Competition Board</w:t>
      </w:r>
      <w:r w:rsidR="00670CE3" w:rsidRPr="00140702">
        <w:rPr>
          <w:rStyle w:val="Funotenzeichen"/>
          <w:rFonts w:ascii="Arial" w:hAnsi="Arial" w:cs="Arial"/>
        </w:rPr>
        <w:footnoteReference w:id="373"/>
      </w:r>
      <w:r w:rsidR="00670CE3" w:rsidRPr="00140702">
        <w:rPr>
          <w:rFonts w:ascii="Arial" w:hAnsi="Arial" w:cs="Arial"/>
        </w:rPr>
        <w:t xml:space="preserve"> </w:t>
      </w:r>
      <w:r w:rsidR="00753690" w:rsidRPr="00140702">
        <w:rPr>
          <w:rFonts w:ascii="Arial" w:hAnsi="Arial" w:cs="Arial"/>
        </w:rPr>
        <w:t>was replaced with an</w:t>
      </w:r>
      <w:r w:rsidR="00670CE3" w:rsidRPr="00140702">
        <w:rPr>
          <w:rFonts w:ascii="Arial" w:hAnsi="Arial" w:cs="Arial"/>
        </w:rPr>
        <w:t xml:space="preserve"> independent competition authority tasked with administering the Competition Act.</w:t>
      </w:r>
      <w:r w:rsidR="00271B7F" w:rsidRPr="00140702">
        <w:rPr>
          <w:rStyle w:val="Funotenzeichen"/>
          <w:rFonts w:ascii="Arial" w:hAnsi="Arial" w:cs="Arial"/>
        </w:rPr>
        <w:footnoteReference w:id="374"/>
      </w:r>
      <w:r w:rsidR="00753690" w:rsidRPr="00140702">
        <w:rPr>
          <w:rFonts w:ascii="Arial" w:hAnsi="Arial" w:cs="Arial"/>
        </w:rPr>
        <w:t xml:space="preserve"> The new competition authority is also awarded with far-reaching authority to combat anti-competitive practices.</w:t>
      </w:r>
      <w:r w:rsidR="00271B7F" w:rsidRPr="00140702">
        <w:rPr>
          <w:rStyle w:val="Funotenzeichen"/>
          <w:rFonts w:ascii="Arial" w:hAnsi="Arial" w:cs="Arial"/>
        </w:rPr>
        <w:footnoteReference w:id="375"/>
      </w:r>
      <w:r w:rsidR="00753690" w:rsidRPr="00140702">
        <w:rPr>
          <w:rFonts w:ascii="Arial" w:hAnsi="Arial" w:cs="Arial"/>
        </w:rPr>
        <w:t xml:space="preserve"> Additionally, the Competition Act</w:t>
      </w:r>
      <w:r w:rsidR="00753690" w:rsidRPr="00140702">
        <w:rPr>
          <w:rStyle w:val="Funotenzeichen"/>
          <w:rFonts w:ascii="Arial" w:hAnsi="Arial" w:cs="Arial"/>
        </w:rPr>
        <w:footnoteReference w:id="376"/>
      </w:r>
      <w:r w:rsidR="00753690" w:rsidRPr="00140702">
        <w:rPr>
          <w:rFonts w:ascii="Arial" w:hAnsi="Arial" w:cs="Arial"/>
        </w:rPr>
        <w:t xml:space="preserve"> prohibits various practices which include the abuse of dominance</w:t>
      </w:r>
      <w:r w:rsidR="00271B7F" w:rsidRPr="00140702">
        <w:rPr>
          <w:rFonts w:ascii="Arial" w:hAnsi="Arial" w:cs="Arial"/>
        </w:rPr>
        <w:t>.</w:t>
      </w:r>
      <w:r w:rsidR="00271B7F" w:rsidRPr="00140702">
        <w:rPr>
          <w:rStyle w:val="Funotenzeichen"/>
          <w:rFonts w:ascii="Arial" w:hAnsi="Arial" w:cs="Arial"/>
        </w:rPr>
        <w:footnoteReference w:id="377"/>
      </w:r>
      <w:r w:rsidR="00271B7F" w:rsidRPr="00140702">
        <w:rPr>
          <w:rFonts w:ascii="Arial" w:hAnsi="Arial" w:cs="Arial"/>
        </w:rPr>
        <w:t xml:space="preserve"> Lastly, the Competition Act</w:t>
      </w:r>
      <w:r w:rsidR="00271B7F" w:rsidRPr="00140702">
        <w:rPr>
          <w:rStyle w:val="Funotenzeichen"/>
          <w:rFonts w:ascii="Arial" w:hAnsi="Arial" w:cs="Arial"/>
        </w:rPr>
        <w:footnoteReference w:id="378"/>
      </w:r>
      <w:r w:rsidR="00271B7F" w:rsidRPr="00140702">
        <w:rPr>
          <w:rFonts w:ascii="Arial" w:hAnsi="Arial" w:cs="Arial"/>
        </w:rPr>
        <w:t xml:space="preserve"> also contains a mechanism designed to supervise mergers and acquisitions.</w:t>
      </w:r>
      <w:r w:rsidR="00271B7F" w:rsidRPr="00140702">
        <w:rPr>
          <w:rStyle w:val="Funotenzeichen"/>
          <w:rFonts w:ascii="Arial" w:hAnsi="Arial" w:cs="Arial"/>
        </w:rPr>
        <w:footnoteReference w:id="379"/>
      </w:r>
      <w:r w:rsidR="00670CE3" w:rsidRPr="00140702">
        <w:rPr>
          <w:rFonts w:ascii="Arial" w:hAnsi="Arial" w:cs="Arial"/>
        </w:rPr>
        <w:t xml:space="preserve"> </w:t>
      </w:r>
    </w:p>
    <w:p w:rsidR="00AD41F1" w:rsidRPr="00140702" w:rsidRDefault="00AD41F1" w:rsidP="00140702">
      <w:pPr>
        <w:contextualSpacing/>
        <w:jc w:val="both"/>
        <w:rPr>
          <w:rFonts w:ascii="Arial" w:hAnsi="Arial" w:cs="Arial"/>
          <w:b/>
        </w:rPr>
      </w:pPr>
    </w:p>
    <w:p w:rsidR="001F6BDC" w:rsidRPr="00140702" w:rsidRDefault="00172881" w:rsidP="00140702">
      <w:pPr>
        <w:contextualSpacing/>
        <w:jc w:val="both"/>
        <w:rPr>
          <w:rFonts w:ascii="Arial" w:hAnsi="Arial" w:cs="Arial"/>
        </w:rPr>
      </w:pPr>
      <w:r w:rsidRPr="00140702">
        <w:rPr>
          <w:rFonts w:ascii="Arial" w:hAnsi="Arial" w:cs="Arial"/>
          <w:b/>
        </w:rPr>
        <w:t>2.</w:t>
      </w:r>
      <w:r w:rsidR="00D126BF" w:rsidRPr="00140702">
        <w:rPr>
          <w:rFonts w:ascii="Arial" w:hAnsi="Arial" w:cs="Arial"/>
          <w:b/>
        </w:rPr>
        <w:t>4</w:t>
      </w:r>
      <w:r w:rsidRPr="00140702">
        <w:rPr>
          <w:rFonts w:ascii="Arial" w:hAnsi="Arial" w:cs="Arial"/>
          <w:b/>
        </w:rPr>
        <w:t xml:space="preserve"> </w:t>
      </w:r>
      <w:r w:rsidR="00102437" w:rsidRPr="00140702">
        <w:rPr>
          <w:rFonts w:ascii="Arial" w:hAnsi="Arial" w:cs="Arial"/>
          <w:b/>
        </w:rPr>
        <w:t>The</w:t>
      </w:r>
      <w:r w:rsidRPr="00140702">
        <w:rPr>
          <w:rFonts w:ascii="Arial" w:hAnsi="Arial" w:cs="Arial"/>
          <w:b/>
        </w:rPr>
        <w:t xml:space="preserve"> Competition Act</w:t>
      </w:r>
      <w:r w:rsidRPr="00140702">
        <w:rPr>
          <w:rStyle w:val="Funotenzeichen"/>
          <w:rFonts w:ascii="Arial" w:hAnsi="Arial" w:cs="Arial"/>
        </w:rPr>
        <w:footnoteReference w:id="380"/>
      </w:r>
    </w:p>
    <w:p w:rsidR="00102437" w:rsidRPr="00140702" w:rsidRDefault="00102437" w:rsidP="00140702">
      <w:pPr>
        <w:contextualSpacing/>
        <w:jc w:val="both"/>
        <w:rPr>
          <w:rFonts w:ascii="Arial" w:hAnsi="Arial" w:cs="Arial"/>
        </w:rPr>
      </w:pPr>
      <w:r w:rsidRPr="00140702">
        <w:rPr>
          <w:rFonts w:ascii="Arial" w:hAnsi="Arial" w:cs="Arial"/>
        </w:rPr>
        <w:t>2.4.1 Purpose and objectives</w:t>
      </w:r>
    </w:p>
    <w:p w:rsidR="00633711" w:rsidRPr="00140702" w:rsidRDefault="006A29E0" w:rsidP="00140702">
      <w:pPr>
        <w:contextualSpacing/>
        <w:jc w:val="both"/>
        <w:rPr>
          <w:rFonts w:ascii="Arial" w:hAnsi="Arial" w:cs="Arial"/>
        </w:rPr>
      </w:pPr>
      <w:r w:rsidRPr="00140702">
        <w:rPr>
          <w:rFonts w:ascii="Arial" w:hAnsi="Arial" w:cs="Arial"/>
        </w:rPr>
        <w:t xml:space="preserve">The purpose of the </w:t>
      </w:r>
      <w:r w:rsidR="008C0982" w:rsidRPr="00140702">
        <w:rPr>
          <w:rFonts w:ascii="Arial" w:hAnsi="Arial" w:cs="Arial"/>
        </w:rPr>
        <w:t>Competition Act</w:t>
      </w:r>
      <w:r w:rsidRPr="00140702">
        <w:rPr>
          <w:rFonts w:ascii="Arial" w:hAnsi="Arial" w:cs="Arial"/>
        </w:rPr>
        <w:t>,</w:t>
      </w:r>
      <w:r w:rsidRPr="00140702">
        <w:rPr>
          <w:rStyle w:val="Funotenzeichen"/>
          <w:rFonts w:ascii="Arial" w:hAnsi="Arial" w:cs="Arial"/>
        </w:rPr>
        <w:footnoteReference w:id="381"/>
      </w:r>
      <w:r w:rsidRPr="00140702">
        <w:rPr>
          <w:rFonts w:ascii="Arial" w:hAnsi="Arial" w:cs="Arial"/>
        </w:rPr>
        <w:t xml:space="preserve"> </w:t>
      </w:r>
      <w:r w:rsidR="00754583" w:rsidRPr="00140702">
        <w:rPr>
          <w:rFonts w:ascii="Arial" w:hAnsi="Arial" w:cs="Arial"/>
        </w:rPr>
        <w:t>as described in</w:t>
      </w:r>
      <w:r w:rsidRPr="00140702">
        <w:rPr>
          <w:rFonts w:ascii="Arial" w:hAnsi="Arial" w:cs="Arial"/>
        </w:rPr>
        <w:t xml:space="preserve"> section 2,</w:t>
      </w:r>
      <w:r w:rsidR="008C0982" w:rsidRPr="00140702">
        <w:rPr>
          <w:rFonts w:ascii="Arial" w:hAnsi="Arial" w:cs="Arial"/>
        </w:rPr>
        <w:t xml:space="preserve"> is</w:t>
      </w:r>
      <w:r w:rsidR="0018259C" w:rsidRPr="00140702">
        <w:rPr>
          <w:rFonts w:ascii="Arial" w:hAnsi="Arial" w:cs="Arial"/>
        </w:rPr>
        <w:t xml:space="preserve"> to promote and maintain competition in the Republic in order -</w:t>
      </w:r>
    </w:p>
    <w:p w:rsidR="0018259C" w:rsidRPr="00140702" w:rsidRDefault="00754583" w:rsidP="00140702">
      <w:pPr>
        <w:contextualSpacing/>
        <w:jc w:val="both"/>
        <w:rPr>
          <w:rFonts w:ascii="Arial" w:hAnsi="Arial" w:cs="Arial"/>
        </w:rPr>
      </w:pPr>
      <w:r w:rsidRPr="00140702">
        <w:rPr>
          <w:rFonts w:ascii="Arial" w:hAnsi="Arial" w:cs="Arial"/>
        </w:rPr>
        <w:tab/>
      </w:r>
      <w:r w:rsidR="0018259C" w:rsidRPr="00140702">
        <w:rPr>
          <w:rFonts w:ascii="Arial" w:hAnsi="Arial" w:cs="Arial"/>
        </w:rPr>
        <w:t>(a) To promote the efficiency, adaptability and development of the economy;</w:t>
      </w:r>
    </w:p>
    <w:p w:rsidR="0018259C" w:rsidRPr="00140702" w:rsidRDefault="00754583" w:rsidP="00140702">
      <w:pPr>
        <w:contextualSpacing/>
        <w:jc w:val="both"/>
        <w:rPr>
          <w:rFonts w:ascii="Arial" w:hAnsi="Arial" w:cs="Arial"/>
        </w:rPr>
      </w:pPr>
      <w:r w:rsidRPr="00140702">
        <w:rPr>
          <w:rFonts w:ascii="Arial" w:hAnsi="Arial" w:cs="Arial"/>
        </w:rPr>
        <w:tab/>
      </w:r>
      <w:r w:rsidR="0018259C" w:rsidRPr="00140702">
        <w:rPr>
          <w:rFonts w:ascii="Arial" w:hAnsi="Arial" w:cs="Arial"/>
        </w:rPr>
        <w:t>(b) To provide consumers with competitive prices and product choices;</w:t>
      </w:r>
    </w:p>
    <w:p w:rsidR="0018259C" w:rsidRPr="00140702" w:rsidRDefault="00754583" w:rsidP="00140702">
      <w:pPr>
        <w:contextualSpacing/>
        <w:jc w:val="both"/>
        <w:rPr>
          <w:rFonts w:ascii="Arial" w:hAnsi="Arial" w:cs="Arial"/>
        </w:rPr>
      </w:pPr>
      <w:r w:rsidRPr="00140702">
        <w:rPr>
          <w:rFonts w:ascii="Arial" w:hAnsi="Arial" w:cs="Arial"/>
        </w:rPr>
        <w:tab/>
      </w:r>
      <w:r w:rsidR="0018259C" w:rsidRPr="00140702">
        <w:rPr>
          <w:rFonts w:ascii="Arial" w:hAnsi="Arial" w:cs="Arial"/>
        </w:rPr>
        <w:t xml:space="preserve">(c) To promote employment and advance the social and economic welfare of South </w:t>
      </w:r>
      <w:r w:rsidRPr="00140702">
        <w:rPr>
          <w:rFonts w:ascii="Arial" w:hAnsi="Arial" w:cs="Arial"/>
        </w:rPr>
        <w:tab/>
      </w:r>
      <w:r w:rsidR="0018259C" w:rsidRPr="00140702">
        <w:rPr>
          <w:rFonts w:ascii="Arial" w:hAnsi="Arial" w:cs="Arial"/>
        </w:rPr>
        <w:t>Africans;</w:t>
      </w:r>
    </w:p>
    <w:p w:rsidR="0018259C" w:rsidRPr="00140702" w:rsidRDefault="00754583" w:rsidP="00140702">
      <w:pPr>
        <w:contextualSpacing/>
        <w:jc w:val="both"/>
        <w:rPr>
          <w:rFonts w:ascii="Arial" w:hAnsi="Arial" w:cs="Arial"/>
        </w:rPr>
      </w:pPr>
      <w:r w:rsidRPr="00140702">
        <w:rPr>
          <w:rFonts w:ascii="Arial" w:hAnsi="Arial" w:cs="Arial"/>
        </w:rPr>
        <w:tab/>
      </w:r>
      <w:r w:rsidR="0018259C" w:rsidRPr="00140702">
        <w:rPr>
          <w:rFonts w:ascii="Arial" w:hAnsi="Arial" w:cs="Arial"/>
        </w:rPr>
        <w:t xml:space="preserve">(d) To expand opportunities for South African participation in world markets and </w:t>
      </w:r>
      <w:r w:rsidRPr="00140702">
        <w:rPr>
          <w:rFonts w:ascii="Arial" w:hAnsi="Arial" w:cs="Arial"/>
        </w:rPr>
        <w:t xml:space="preserve">to </w:t>
      </w:r>
      <w:r w:rsidRPr="00140702">
        <w:rPr>
          <w:rFonts w:ascii="Arial" w:hAnsi="Arial" w:cs="Arial"/>
        </w:rPr>
        <w:tab/>
        <w:t>recognise</w:t>
      </w:r>
      <w:r w:rsidR="0018259C" w:rsidRPr="00140702">
        <w:rPr>
          <w:rFonts w:ascii="Arial" w:hAnsi="Arial" w:cs="Arial"/>
        </w:rPr>
        <w:t xml:space="preserve"> the role of foreign competition in the Republic;</w:t>
      </w:r>
    </w:p>
    <w:p w:rsidR="0018259C" w:rsidRPr="00140702" w:rsidRDefault="00754583" w:rsidP="00140702">
      <w:pPr>
        <w:contextualSpacing/>
        <w:jc w:val="both"/>
        <w:rPr>
          <w:rFonts w:ascii="Arial" w:hAnsi="Arial" w:cs="Arial"/>
        </w:rPr>
      </w:pPr>
      <w:r w:rsidRPr="00140702">
        <w:rPr>
          <w:rFonts w:ascii="Arial" w:hAnsi="Arial" w:cs="Arial"/>
        </w:rPr>
        <w:tab/>
      </w:r>
      <w:r w:rsidR="0018259C" w:rsidRPr="00140702">
        <w:rPr>
          <w:rFonts w:ascii="Arial" w:hAnsi="Arial" w:cs="Arial"/>
        </w:rPr>
        <w:t xml:space="preserve">(e) To ensure that small and medium-sized enterprises have an equitable opportunity </w:t>
      </w:r>
      <w:r w:rsidRPr="00140702">
        <w:rPr>
          <w:rFonts w:ascii="Arial" w:hAnsi="Arial" w:cs="Arial"/>
        </w:rPr>
        <w:tab/>
      </w:r>
      <w:r w:rsidR="005849B7" w:rsidRPr="00140702">
        <w:rPr>
          <w:rFonts w:ascii="Arial" w:hAnsi="Arial" w:cs="Arial"/>
        </w:rPr>
        <w:t>to participate in the economy;</w:t>
      </w:r>
    </w:p>
    <w:p w:rsidR="00300B21" w:rsidRPr="00140702" w:rsidRDefault="00754583" w:rsidP="00140702">
      <w:pPr>
        <w:contextualSpacing/>
        <w:jc w:val="both"/>
        <w:rPr>
          <w:rFonts w:ascii="Arial" w:hAnsi="Arial" w:cs="Arial"/>
        </w:rPr>
      </w:pPr>
      <w:r w:rsidRPr="00140702">
        <w:rPr>
          <w:rFonts w:ascii="Arial" w:hAnsi="Arial" w:cs="Arial"/>
        </w:rPr>
        <w:tab/>
      </w:r>
      <w:r w:rsidR="0018259C" w:rsidRPr="00140702">
        <w:rPr>
          <w:rFonts w:ascii="Arial" w:hAnsi="Arial" w:cs="Arial"/>
        </w:rPr>
        <w:t xml:space="preserve">(f) To promote a greater spread of ownership, in particular to increase the ownership </w:t>
      </w:r>
      <w:r w:rsidRPr="00140702">
        <w:rPr>
          <w:rFonts w:ascii="Arial" w:hAnsi="Arial" w:cs="Arial"/>
        </w:rPr>
        <w:tab/>
      </w:r>
      <w:r w:rsidR="0018259C" w:rsidRPr="00140702">
        <w:rPr>
          <w:rFonts w:ascii="Arial" w:hAnsi="Arial" w:cs="Arial"/>
        </w:rPr>
        <w:t>stakes of historically disadvantaged persons.</w:t>
      </w:r>
    </w:p>
    <w:p w:rsidR="00300B21" w:rsidRPr="00140702" w:rsidRDefault="005849B7" w:rsidP="00140702">
      <w:pPr>
        <w:contextualSpacing/>
        <w:jc w:val="both"/>
        <w:rPr>
          <w:rFonts w:ascii="Arial" w:hAnsi="Arial" w:cs="Arial"/>
        </w:rPr>
      </w:pPr>
      <w:r w:rsidRPr="00140702">
        <w:rPr>
          <w:rFonts w:ascii="Arial" w:hAnsi="Arial" w:cs="Arial"/>
        </w:rPr>
        <w:tab/>
      </w:r>
      <w:r w:rsidRPr="00140702">
        <w:rPr>
          <w:rFonts w:ascii="Arial" w:hAnsi="Arial" w:cs="Arial"/>
        </w:rPr>
        <w:tab/>
      </w:r>
    </w:p>
    <w:p w:rsidR="00F226C3" w:rsidRPr="00140702" w:rsidRDefault="0091529F" w:rsidP="00140702">
      <w:pPr>
        <w:contextualSpacing/>
        <w:jc w:val="both"/>
        <w:rPr>
          <w:rFonts w:ascii="Arial" w:hAnsi="Arial" w:cs="Arial"/>
        </w:rPr>
      </w:pPr>
      <w:r w:rsidRPr="00140702">
        <w:rPr>
          <w:rFonts w:ascii="Arial" w:hAnsi="Arial" w:cs="Arial"/>
        </w:rPr>
        <w:t>The purpose of this Act</w:t>
      </w:r>
      <w:r w:rsidR="00261E2C" w:rsidRPr="00140702">
        <w:rPr>
          <w:rStyle w:val="Funotenzeichen"/>
          <w:rFonts w:ascii="Arial" w:hAnsi="Arial" w:cs="Arial"/>
        </w:rPr>
        <w:footnoteReference w:id="382"/>
      </w:r>
      <w:r w:rsidRPr="00140702">
        <w:rPr>
          <w:rFonts w:ascii="Arial" w:hAnsi="Arial" w:cs="Arial"/>
        </w:rPr>
        <w:t>, which is to promote and maintain competition, is in line with the competition laws found in several developed market economies.</w:t>
      </w:r>
      <w:r w:rsidRPr="00140702">
        <w:rPr>
          <w:rStyle w:val="Funotenzeichen"/>
          <w:rFonts w:ascii="Arial" w:hAnsi="Arial" w:cs="Arial"/>
        </w:rPr>
        <w:footnoteReference w:id="383"/>
      </w:r>
      <w:r w:rsidR="007D2339" w:rsidRPr="00140702">
        <w:rPr>
          <w:rFonts w:ascii="Arial" w:hAnsi="Arial" w:cs="Arial"/>
        </w:rPr>
        <w:t xml:space="preserve"> </w:t>
      </w:r>
      <w:r w:rsidR="006C1BEE" w:rsidRPr="00140702">
        <w:rPr>
          <w:rFonts w:ascii="Arial" w:hAnsi="Arial" w:cs="Arial"/>
        </w:rPr>
        <w:t>What makes t</w:t>
      </w:r>
      <w:r w:rsidR="00261E2C" w:rsidRPr="00140702">
        <w:rPr>
          <w:rFonts w:ascii="Arial" w:hAnsi="Arial" w:cs="Arial"/>
        </w:rPr>
        <w:t>his Act</w:t>
      </w:r>
      <w:r w:rsidR="00261E2C" w:rsidRPr="00140702">
        <w:rPr>
          <w:rStyle w:val="Funotenzeichen"/>
          <w:rFonts w:ascii="Arial" w:hAnsi="Arial" w:cs="Arial"/>
        </w:rPr>
        <w:footnoteReference w:id="384"/>
      </w:r>
      <w:r w:rsidR="00261E2C" w:rsidRPr="00140702">
        <w:rPr>
          <w:rFonts w:ascii="Arial" w:hAnsi="Arial" w:cs="Arial"/>
        </w:rPr>
        <w:t xml:space="preserve"> unique</w:t>
      </w:r>
      <w:r w:rsidR="006C1BEE" w:rsidRPr="00140702">
        <w:rPr>
          <w:rFonts w:ascii="Arial" w:hAnsi="Arial" w:cs="Arial"/>
        </w:rPr>
        <w:t xml:space="preserve"> however,</w:t>
      </w:r>
      <w:r w:rsidR="00261E2C" w:rsidRPr="00140702">
        <w:rPr>
          <w:rFonts w:ascii="Arial" w:hAnsi="Arial" w:cs="Arial"/>
        </w:rPr>
        <w:t xml:space="preserve"> is </w:t>
      </w:r>
      <w:r w:rsidR="006C1BEE" w:rsidRPr="00140702">
        <w:rPr>
          <w:rFonts w:ascii="Arial" w:hAnsi="Arial" w:cs="Arial"/>
        </w:rPr>
        <w:t>the broad scope of the objectives which is to be achieved by promoting and maintaining competition.</w:t>
      </w:r>
      <w:r w:rsidR="006C1BEE" w:rsidRPr="00140702">
        <w:rPr>
          <w:rStyle w:val="Funotenzeichen"/>
          <w:rFonts w:ascii="Arial" w:hAnsi="Arial" w:cs="Arial"/>
        </w:rPr>
        <w:footnoteReference w:id="385"/>
      </w:r>
      <w:r w:rsidR="00CF2C15" w:rsidRPr="00140702">
        <w:rPr>
          <w:rFonts w:ascii="Arial" w:hAnsi="Arial" w:cs="Arial"/>
        </w:rPr>
        <w:t xml:space="preserve"> </w:t>
      </w:r>
      <w:r w:rsidR="00683AF2" w:rsidRPr="00140702">
        <w:rPr>
          <w:rFonts w:ascii="Arial" w:hAnsi="Arial" w:cs="Arial"/>
        </w:rPr>
        <w:t xml:space="preserve">Only 2 of the 6 objectives </w:t>
      </w:r>
      <w:r w:rsidR="008A73D8" w:rsidRPr="00140702">
        <w:rPr>
          <w:rFonts w:ascii="Arial" w:hAnsi="Arial" w:cs="Arial"/>
        </w:rPr>
        <w:t xml:space="preserve">directly </w:t>
      </w:r>
      <w:r w:rsidR="00B94173" w:rsidRPr="00140702">
        <w:rPr>
          <w:rFonts w:ascii="Arial" w:hAnsi="Arial" w:cs="Arial"/>
        </w:rPr>
        <w:t>relate</w:t>
      </w:r>
      <w:r w:rsidR="008A73D8" w:rsidRPr="00140702">
        <w:rPr>
          <w:rFonts w:ascii="Arial" w:hAnsi="Arial" w:cs="Arial"/>
        </w:rPr>
        <w:t xml:space="preserve"> to competition policy </w:t>
      </w:r>
      <w:r w:rsidR="00683AF2" w:rsidRPr="00140702">
        <w:rPr>
          <w:rFonts w:ascii="Arial" w:hAnsi="Arial" w:cs="Arial"/>
        </w:rPr>
        <w:t>namely objective (a)</w:t>
      </w:r>
      <w:r w:rsidR="00B94173" w:rsidRPr="00140702">
        <w:rPr>
          <w:rFonts w:ascii="Arial" w:hAnsi="Arial" w:cs="Arial"/>
        </w:rPr>
        <w:t>,</w:t>
      </w:r>
      <w:r w:rsidR="008A73D8" w:rsidRPr="00140702">
        <w:rPr>
          <w:rFonts w:ascii="Arial" w:hAnsi="Arial" w:cs="Arial"/>
        </w:rPr>
        <w:t xml:space="preserve"> </w:t>
      </w:r>
      <w:r w:rsidR="00B94173" w:rsidRPr="00140702">
        <w:rPr>
          <w:rFonts w:ascii="Arial" w:hAnsi="Arial" w:cs="Arial"/>
        </w:rPr>
        <w:t>t</w:t>
      </w:r>
      <w:r w:rsidR="008A73D8" w:rsidRPr="00140702">
        <w:rPr>
          <w:rFonts w:ascii="Arial" w:hAnsi="Arial" w:cs="Arial"/>
        </w:rPr>
        <w:t>o promote the efficiency, adaptability and development of the economy</w:t>
      </w:r>
      <w:r w:rsidR="00B94173" w:rsidRPr="00140702">
        <w:rPr>
          <w:rFonts w:ascii="Arial" w:hAnsi="Arial" w:cs="Arial"/>
        </w:rPr>
        <w:t>,</w:t>
      </w:r>
      <w:r w:rsidR="00683AF2" w:rsidRPr="00140702">
        <w:rPr>
          <w:rFonts w:ascii="Arial" w:hAnsi="Arial" w:cs="Arial"/>
        </w:rPr>
        <w:t xml:space="preserve"> and </w:t>
      </w:r>
      <w:r w:rsidR="008A73D8" w:rsidRPr="00140702">
        <w:rPr>
          <w:rFonts w:ascii="Arial" w:hAnsi="Arial" w:cs="Arial"/>
        </w:rPr>
        <w:t xml:space="preserve">objective </w:t>
      </w:r>
      <w:r w:rsidR="00683AF2" w:rsidRPr="00140702">
        <w:rPr>
          <w:rFonts w:ascii="Arial" w:hAnsi="Arial" w:cs="Arial"/>
        </w:rPr>
        <w:t>(b)</w:t>
      </w:r>
      <w:r w:rsidR="00B94173" w:rsidRPr="00140702">
        <w:rPr>
          <w:rFonts w:ascii="Arial" w:hAnsi="Arial" w:cs="Arial"/>
        </w:rPr>
        <w:t>,</w:t>
      </w:r>
      <w:r w:rsidR="00683AF2" w:rsidRPr="00140702">
        <w:rPr>
          <w:rFonts w:ascii="Arial" w:hAnsi="Arial" w:cs="Arial"/>
        </w:rPr>
        <w:t xml:space="preserve"> </w:t>
      </w:r>
      <w:r w:rsidR="00B94173" w:rsidRPr="00140702">
        <w:rPr>
          <w:rFonts w:ascii="Arial" w:hAnsi="Arial" w:cs="Arial"/>
        </w:rPr>
        <w:t>t</w:t>
      </w:r>
      <w:r w:rsidR="008A73D8" w:rsidRPr="00140702">
        <w:rPr>
          <w:rFonts w:ascii="Arial" w:hAnsi="Arial" w:cs="Arial"/>
        </w:rPr>
        <w:t>o provide consumers with competitive prices and product choices.</w:t>
      </w:r>
      <w:r w:rsidR="008A73D8" w:rsidRPr="00140702">
        <w:rPr>
          <w:rStyle w:val="Funotenzeichen"/>
          <w:rFonts w:ascii="Arial" w:hAnsi="Arial" w:cs="Arial"/>
        </w:rPr>
        <w:footnoteReference w:id="386"/>
      </w:r>
      <w:r w:rsidR="00683AF2" w:rsidRPr="00140702">
        <w:rPr>
          <w:rFonts w:ascii="Arial" w:hAnsi="Arial" w:cs="Arial"/>
        </w:rPr>
        <w:t xml:space="preserve"> </w:t>
      </w:r>
    </w:p>
    <w:p w:rsidR="00B94173" w:rsidRPr="00140702" w:rsidRDefault="00B94173" w:rsidP="00140702">
      <w:pPr>
        <w:contextualSpacing/>
        <w:jc w:val="both"/>
        <w:rPr>
          <w:rFonts w:ascii="Arial" w:hAnsi="Arial" w:cs="Arial"/>
        </w:rPr>
      </w:pPr>
    </w:p>
    <w:p w:rsidR="00B94173" w:rsidRPr="00140702" w:rsidRDefault="00B94173" w:rsidP="00140702">
      <w:pPr>
        <w:contextualSpacing/>
        <w:jc w:val="both"/>
        <w:rPr>
          <w:rFonts w:ascii="Arial" w:hAnsi="Arial" w:cs="Arial"/>
        </w:rPr>
      </w:pPr>
      <w:r w:rsidRPr="00140702">
        <w:rPr>
          <w:rFonts w:ascii="Arial" w:hAnsi="Arial" w:cs="Arial"/>
        </w:rPr>
        <w:t>Objective (c), to promote employment and advance the social and economic welfare of South Africans, is a</w:t>
      </w:r>
      <w:r w:rsidR="00C010F7" w:rsidRPr="00140702">
        <w:rPr>
          <w:rFonts w:ascii="Arial" w:hAnsi="Arial" w:cs="Arial"/>
        </w:rPr>
        <w:t xml:space="preserve"> macroeconomic</w:t>
      </w:r>
      <w:r w:rsidR="007220A9" w:rsidRPr="00140702">
        <w:rPr>
          <w:rStyle w:val="Funotenzeichen"/>
          <w:rFonts w:ascii="Arial" w:hAnsi="Arial" w:cs="Arial"/>
        </w:rPr>
        <w:footnoteReference w:id="387"/>
      </w:r>
      <w:r w:rsidR="00C010F7" w:rsidRPr="00140702">
        <w:rPr>
          <w:rFonts w:ascii="Arial" w:hAnsi="Arial" w:cs="Arial"/>
        </w:rPr>
        <w:t xml:space="preserve"> consideration and should not be an objective of competition policy.</w:t>
      </w:r>
      <w:r w:rsidR="00C010F7" w:rsidRPr="00140702">
        <w:rPr>
          <w:rStyle w:val="Funotenzeichen"/>
          <w:rFonts w:ascii="Arial" w:hAnsi="Arial" w:cs="Arial"/>
        </w:rPr>
        <w:footnoteReference w:id="388"/>
      </w:r>
      <w:r w:rsidR="00C010F7" w:rsidRPr="00140702">
        <w:rPr>
          <w:rFonts w:ascii="Arial" w:hAnsi="Arial" w:cs="Arial"/>
        </w:rPr>
        <w:t xml:space="preserve"> Furthermore, if too much focus is placed on the promotion of employment through the use of competition legislation it could be detrimental to the realization of objectives (a) and (b).</w:t>
      </w:r>
      <w:r w:rsidR="007220A9" w:rsidRPr="00140702">
        <w:rPr>
          <w:rStyle w:val="Funotenzeichen"/>
          <w:rFonts w:ascii="Arial" w:hAnsi="Arial" w:cs="Arial"/>
        </w:rPr>
        <w:footnoteReference w:id="389"/>
      </w:r>
      <w:r w:rsidR="00C010F7" w:rsidRPr="00140702">
        <w:rPr>
          <w:rFonts w:ascii="Arial" w:hAnsi="Arial" w:cs="Arial"/>
        </w:rPr>
        <w:t xml:space="preserve"> </w:t>
      </w:r>
      <w:r w:rsidR="00511D97" w:rsidRPr="00140702">
        <w:rPr>
          <w:rFonts w:ascii="Arial" w:hAnsi="Arial" w:cs="Arial"/>
        </w:rPr>
        <w:t>The inclusion of the words “social welfare” could also lead to uncertainty in view of the fact that these words are not defined in the Competition Act.</w:t>
      </w:r>
      <w:r w:rsidR="00511D97" w:rsidRPr="00140702">
        <w:rPr>
          <w:rStyle w:val="Funotenzeichen"/>
          <w:rFonts w:ascii="Arial" w:hAnsi="Arial" w:cs="Arial"/>
        </w:rPr>
        <w:footnoteReference w:id="390"/>
      </w:r>
    </w:p>
    <w:p w:rsidR="000653CB" w:rsidRPr="00140702" w:rsidRDefault="000653CB" w:rsidP="00140702">
      <w:pPr>
        <w:contextualSpacing/>
        <w:jc w:val="both"/>
        <w:rPr>
          <w:rFonts w:ascii="Arial" w:hAnsi="Arial" w:cs="Arial"/>
        </w:rPr>
      </w:pPr>
    </w:p>
    <w:p w:rsidR="000653CB" w:rsidRPr="00140702" w:rsidRDefault="000653CB" w:rsidP="00140702">
      <w:pPr>
        <w:contextualSpacing/>
        <w:jc w:val="both"/>
        <w:rPr>
          <w:rFonts w:ascii="Arial" w:hAnsi="Arial" w:cs="Arial"/>
        </w:rPr>
      </w:pPr>
      <w:r w:rsidRPr="00140702">
        <w:rPr>
          <w:rFonts w:ascii="Arial" w:hAnsi="Arial" w:cs="Arial"/>
        </w:rPr>
        <w:t>Objective (d), to expand opportunities for South African participation in world markets and to recognise the role of foreign competition in the Republic, is also a macroeconomic consideration and again if it is emphasis</w:t>
      </w:r>
      <w:r w:rsidR="00657072" w:rsidRPr="00140702">
        <w:rPr>
          <w:rFonts w:ascii="Arial" w:hAnsi="Arial" w:cs="Arial"/>
        </w:rPr>
        <w:t>ed</w:t>
      </w:r>
      <w:r w:rsidRPr="00140702">
        <w:rPr>
          <w:rFonts w:ascii="Arial" w:hAnsi="Arial" w:cs="Arial"/>
        </w:rPr>
        <w:t xml:space="preserve"> </w:t>
      </w:r>
      <w:r w:rsidR="00657072" w:rsidRPr="00140702">
        <w:rPr>
          <w:rFonts w:ascii="Arial" w:hAnsi="Arial" w:cs="Arial"/>
        </w:rPr>
        <w:t>too</w:t>
      </w:r>
      <w:r w:rsidRPr="00140702">
        <w:rPr>
          <w:rFonts w:ascii="Arial" w:hAnsi="Arial" w:cs="Arial"/>
        </w:rPr>
        <w:t xml:space="preserve"> much it could also be detrimental to objectives (a) and (b).</w:t>
      </w:r>
      <w:r w:rsidR="00657072" w:rsidRPr="00140702">
        <w:rPr>
          <w:rStyle w:val="Funotenzeichen"/>
          <w:rFonts w:ascii="Arial" w:hAnsi="Arial" w:cs="Arial"/>
        </w:rPr>
        <w:footnoteReference w:id="391"/>
      </w:r>
      <w:r w:rsidR="00FC50CE" w:rsidRPr="00140702">
        <w:rPr>
          <w:rFonts w:ascii="Arial" w:hAnsi="Arial" w:cs="Arial"/>
        </w:rPr>
        <w:t xml:space="preserve"> </w:t>
      </w:r>
    </w:p>
    <w:p w:rsidR="00F226C3" w:rsidRPr="00140702" w:rsidRDefault="00F226C3" w:rsidP="00140702">
      <w:pPr>
        <w:contextualSpacing/>
        <w:jc w:val="both"/>
        <w:rPr>
          <w:rFonts w:ascii="Arial" w:hAnsi="Arial" w:cs="Arial"/>
        </w:rPr>
      </w:pPr>
    </w:p>
    <w:p w:rsidR="00E26A35" w:rsidRPr="00140702" w:rsidRDefault="00FC50CE" w:rsidP="00140702">
      <w:pPr>
        <w:contextualSpacing/>
        <w:jc w:val="both"/>
        <w:rPr>
          <w:rFonts w:ascii="Arial" w:hAnsi="Arial" w:cs="Arial"/>
        </w:rPr>
      </w:pPr>
      <w:r w:rsidRPr="00140702">
        <w:rPr>
          <w:rFonts w:ascii="Arial" w:hAnsi="Arial" w:cs="Arial"/>
        </w:rPr>
        <w:t xml:space="preserve">Objective (e), to ensure that small and medium-sized enterprises have an equitable opportunity to participate in the economy, </w:t>
      </w:r>
      <w:r w:rsidR="00E26A35" w:rsidRPr="00140702">
        <w:rPr>
          <w:rFonts w:ascii="Arial" w:hAnsi="Arial" w:cs="Arial"/>
        </w:rPr>
        <w:t xml:space="preserve">directly relates to competition </w:t>
      </w:r>
      <w:r w:rsidR="007E616E" w:rsidRPr="00140702">
        <w:rPr>
          <w:rFonts w:ascii="Arial" w:hAnsi="Arial" w:cs="Arial"/>
        </w:rPr>
        <w:t>policy</w:t>
      </w:r>
      <w:r w:rsidR="00E26A35" w:rsidRPr="00140702">
        <w:rPr>
          <w:rFonts w:ascii="Arial" w:hAnsi="Arial" w:cs="Arial"/>
        </w:rPr>
        <w:t>.</w:t>
      </w:r>
      <w:r w:rsidR="00185BD2" w:rsidRPr="00140702">
        <w:rPr>
          <w:rStyle w:val="Funotenzeichen"/>
          <w:rFonts w:ascii="Arial" w:hAnsi="Arial" w:cs="Arial"/>
        </w:rPr>
        <w:footnoteReference w:id="392"/>
      </w:r>
      <w:r w:rsidR="00E26A35" w:rsidRPr="00140702">
        <w:rPr>
          <w:rFonts w:ascii="Arial" w:hAnsi="Arial" w:cs="Arial"/>
        </w:rPr>
        <w:t xml:space="preserve"> </w:t>
      </w:r>
      <w:r w:rsidR="007E616E" w:rsidRPr="00140702">
        <w:rPr>
          <w:rFonts w:ascii="Arial" w:hAnsi="Arial" w:cs="Arial"/>
        </w:rPr>
        <w:t>However, o</w:t>
      </w:r>
      <w:r w:rsidR="00E26A35" w:rsidRPr="00140702">
        <w:rPr>
          <w:rFonts w:ascii="Arial" w:hAnsi="Arial" w:cs="Arial"/>
        </w:rPr>
        <w:t>bjective (e) will only relate to the promotion and maintenance of competition if the following conditions hold namely:</w:t>
      </w:r>
      <w:r w:rsidR="00185BD2" w:rsidRPr="00140702">
        <w:rPr>
          <w:rStyle w:val="Funotenzeichen"/>
          <w:rFonts w:ascii="Arial" w:hAnsi="Arial" w:cs="Arial"/>
        </w:rPr>
        <w:footnoteReference w:id="393"/>
      </w:r>
      <w:r w:rsidR="00E26A35" w:rsidRPr="00140702">
        <w:rPr>
          <w:rFonts w:ascii="Arial" w:hAnsi="Arial" w:cs="Arial"/>
        </w:rPr>
        <w:t xml:space="preserve"> </w:t>
      </w:r>
    </w:p>
    <w:p w:rsidR="00E26A35" w:rsidRPr="00140702" w:rsidRDefault="00E26A35" w:rsidP="00140702">
      <w:pPr>
        <w:contextualSpacing/>
        <w:jc w:val="both"/>
        <w:rPr>
          <w:rFonts w:ascii="Arial" w:hAnsi="Arial" w:cs="Arial"/>
        </w:rPr>
      </w:pPr>
      <w:r w:rsidRPr="00140702">
        <w:rPr>
          <w:rFonts w:ascii="Arial" w:hAnsi="Arial" w:cs="Arial"/>
        </w:rPr>
        <w:t>1. If these small and medium sized enterprises produce what consumers want</w:t>
      </w:r>
      <w:r w:rsidRPr="00140702">
        <w:rPr>
          <w:rStyle w:val="Funotenzeichen"/>
          <w:rFonts w:ascii="Arial" w:hAnsi="Arial" w:cs="Arial"/>
        </w:rPr>
        <w:footnoteReference w:id="394"/>
      </w:r>
      <w:r w:rsidRPr="00140702">
        <w:rPr>
          <w:rFonts w:ascii="Arial" w:hAnsi="Arial" w:cs="Arial"/>
        </w:rPr>
        <w:t xml:space="preserve"> and if it does so efficiently</w:t>
      </w:r>
      <w:r w:rsidR="00185BD2" w:rsidRPr="00140702">
        <w:rPr>
          <w:rStyle w:val="Funotenzeichen"/>
          <w:rFonts w:ascii="Arial" w:hAnsi="Arial" w:cs="Arial"/>
        </w:rPr>
        <w:footnoteReference w:id="395"/>
      </w:r>
      <w:r w:rsidRPr="00140702">
        <w:rPr>
          <w:rFonts w:ascii="Arial" w:hAnsi="Arial" w:cs="Arial"/>
        </w:rPr>
        <w:t xml:space="preserve"> and</w:t>
      </w:r>
    </w:p>
    <w:p w:rsidR="00F226C3" w:rsidRPr="00140702" w:rsidRDefault="00E26A35" w:rsidP="00140702">
      <w:pPr>
        <w:contextualSpacing/>
        <w:jc w:val="both"/>
        <w:rPr>
          <w:rFonts w:ascii="Arial" w:hAnsi="Arial" w:cs="Arial"/>
        </w:rPr>
      </w:pPr>
      <w:r w:rsidRPr="00140702">
        <w:rPr>
          <w:rFonts w:ascii="Arial" w:hAnsi="Arial" w:cs="Arial"/>
        </w:rPr>
        <w:t xml:space="preserve">2. </w:t>
      </w:r>
      <w:r w:rsidR="00FC50CE" w:rsidRPr="00140702">
        <w:rPr>
          <w:rFonts w:ascii="Arial" w:hAnsi="Arial" w:cs="Arial"/>
        </w:rPr>
        <w:t xml:space="preserve"> </w:t>
      </w:r>
      <w:r w:rsidR="00185BD2" w:rsidRPr="00140702">
        <w:rPr>
          <w:rFonts w:ascii="Arial" w:hAnsi="Arial" w:cs="Arial"/>
        </w:rPr>
        <w:t>If</w:t>
      </w:r>
      <w:r w:rsidRPr="00140702">
        <w:rPr>
          <w:rFonts w:ascii="Arial" w:hAnsi="Arial" w:cs="Arial"/>
        </w:rPr>
        <w:t xml:space="preserve"> there are no artificial barriers to entry preventing them or other</w:t>
      </w:r>
      <w:r w:rsidR="00185BD2" w:rsidRPr="00140702">
        <w:rPr>
          <w:rFonts w:ascii="Arial" w:hAnsi="Arial" w:cs="Arial"/>
        </w:rPr>
        <w:t xml:space="preserve"> firms</w:t>
      </w:r>
      <w:r w:rsidRPr="00140702">
        <w:rPr>
          <w:rFonts w:ascii="Arial" w:hAnsi="Arial" w:cs="Arial"/>
        </w:rPr>
        <w:t xml:space="preserve"> from </w:t>
      </w:r>
      <w:r w:rsidR="00185BD2" w:rsidRPr="00140702">
        <w:rPr>
          <w:rFonts w:ascii="Arial" w:hAnsi="Arial" w:cs="Arial"/>
        </w:rPr>
        <w:t>achievement</w:t>
      </w:r>
      <w:r w:rsidRPr="00140702">
        <w:rPr>
          <w:rFonts w:ascii="Arial" w:hAnsi="Arial" w:cs="Arial"/>
        </w:rPr>
        <w:t xml:space="preserve"> </w:t>
      </w:r>
      <w:r w:rsidR="00185BD2" w:rsidRPr="00140702">
        <w:rPr>
          <w:rFonts w:ascii="Arial" w:hAnsi="Arial" w:cs="Arial"/>
        </w:rPr>
        <w:t>this.</w:t>
      </w:r>
      <w:r w:rsidR="00185BD2" w:rsidRPr="00140702">
        <w:rPr>
          <w:rStyle w:val="Funotenzeichen"/>
          <w:rFonts w:ascii="Arial" w:hAnsi="Arial" w:cs="Arial"/>
        </w:rPr>
        <w:footnoteReference w:id="396"/>
      </w:r>
      <w:r w:rsidR="00185BD2" w:rsidRPr="00140702">
        <w:rPr>
          <w:rFonts w:ascii="Arial" w:hAnsi="Arial" w:cs="Arial"/>
        </w:rPr>
        <w:t xml:space="preserve"> The term “equitable” used in objective (e) could however be interpreted in such a manner </w:t>
      </w:r>
      <w:r w:rsidR="002A629A" w:rsidRPr="00140702">
        <w:rPr>
          <w:rFonts w:ascii="Arial" w:hAnsi="Arial" w:cs="Arial"/>
        </w:rPr>
        <w:t>as to create artificial barriers to entry.</w:t>
      </w:r>
      <w:r w:rsidR="002A629A" w:rsidRPr="00140702">
        <w:rPr>
          <w:rStyle w:val="Funotenzeichen"/>
          <w:rFonts w:ascii="Arial" w:hAnsi="Arial" w:cs="Arial"/>
        </w:rPr>
        <w:footnoteReference w:id="397"/>
      </w:r>
    </w:p>
    <w:p w:rsidR="002A629A" w:rsidRPr="00140702" w:rsidRDefault="002A629A" w:rsidP="00140702">
      <w:pPr>
        <w:contextualSpacing/>
        <w:jc w:val="both"/>
        <w:rPr>
          <w:rFonts w:ascii="Arial" w:hAnsi="Arial" w:cs="Arial"/>
        </w:rPr>
      </w:pPr>
    </w:p>
    <w:p w:rsidR="00185BD2" w:rsidRPr="00140702" w:rsidRDefault="002A629A" w:rsidP="00140702">
      <w:pPr>
        <w:contextualSpacing/>
        <w:jc w:val="both"/>
        <w:rPr>
          <w:rFonts w:ascii="Arial" w:hAnsi="Arial" w:cs="Arial"/>
        </w:rPr>
      </w:pPr>
      <w:r w:rsidRPr="00140702">
        <w:rPr>
          <w:rFonts w:ascii="Arial" w:hAnsi="Arial" w:cs="Arial"/>
        </w:rPr>
        <w:t xml:space="preserve">Objective (f), to promote a greater spread of ownership, in particular to increase the ownership stakes of historically disadvantaged persons, is clearly not a consideration for competition </w:t>
      </w:r>
      <w:r w:rsidR="004E2A8C" w:rsidRPr="00140702">
        <w:rPr>
          <w:rFonts w:ascii="Arial" w:hAnsi="Arial" w:cs="Arial"/>
        </w:rPr>
        <w:t>legislation.</w:t>
      </w:r>
      <w:r w:rsidR="00FD180F" w:rsidRPr="00140702">
        <w:rPr>
          <w:rStyle w:val="Funotenzeichen"/>
          <w:rFonts w:ascii="Arial" w:hAnsi="Arial" w:cs="Arial"/>
        </w:rPr>
        <w:footnoteReference w:id="398"/>
      </w:r>
      <w:r w:rsidR="004E2A8C" w:rsidRPr="00140702">
        <w:rPr>
          <w:rFonts w:ascii="Arial" w:hAnsi="Arial" w:cs="Arial"/>
        </w:rPr>
        <w:t xml:space="preserve"> </w:t>
      </w:r>
      <w:r w:rsidR="00FD180F" w:rsidRPr="00140702">
        <w:rPr>
          <w:rFonts w:ascii="Arial" w:hAnsi="Arial" w:cs="Arial"/>
        </w:rPr>
        <w:t>This should be achieved through either fiscal policy or capital reallocation using state asset restructuring.</w:t>
      </w:r>
      <w:r w:rsidR="00FD180F" w:rsidRPr="00140702">
        <w:rPr>
          <w:rStyle w:val="Funotenzeichen"/>
          <w:rFonts w:ascii="Arial" w:hAnsi="Arial" w:cs="Arial"/>
        </w:rPr>
        <w:footnoteReference w:id="399"/>
      </w:r>
    </w:p>
    <w:p w:rsidR="00185BD2" w:rsidRPr="00140702" w:rsidRDefault="00185BD2" w:rsidP="00140702">
      <w:pPr>
        <w:contextualSpacing/>
        <w:jc w:val="both"/>
        <w:rPr>
          <w:rFonts w:ascii="Arial" w:hAnsi="Arial" w:cs="Arial"/>
        </w:rPr>
      </w:pPr>
    </w:p>
    <w:p w:rsidR="00185BD2" w:rsidRPr="00140702" w:rsidRDefault="0028761F" w:rsidP="00140702">
      <w:pPr>
        <w:contextualSpacing/>
        <w:jc w:val="both"/>
        <w:rPr>
          <w:rFonts w:ascii="Arial" w:hAnsi="Arial" w:cs="Arial"/>
        </w:rPr>
      </w:pPr>
      <w:r w:rsidRPr="00140702">
        <w:rPr>
          <w:rFonts w:ascii="Arial" w:hAnsi="Arial" w:cs="Arial"/>
        </w:rPr>
        <w:t>It is argued that these contradictory objectives could</w:t>
      </w:r>
      <w:r w:rsidR="00757E6A" w:rsidRPr="00140702">
        <w:rPr>
          <w:rFonts w:ascii="Arial" w:hAnsi="Arial" w:cs="Arial"/>
        </w:rPr>
        <w:t xml:space="preserve"> potentially </w:t>
      </w:r>
      <w:r w:rsidRPr="00140702">
        <w:rPr>
          <w:rFonts w:ascii="Arial" w:hAnsi="Arial" w:cs="Arial"/>
        </w:rPr>
        <w:t>lead to inconsistent policy decision</w:t>
      </w:r>
      <w:r w:rsidR="00757E6A" w:rsidRPr="00140702">
        <w:rPr>
          <w:rFonts w:ascii="Arial" w:hAnsi="Arial" w:cs="Arial"/>
        </w:rPr>
        <w:t>s</w:t>
      </w:r>
      <w:r w:rsidRPr="00140702">
        <w:rPr>
          <w:rFonts w:ascii="Arial" w:hAnsi="Arial" w:cs="Arial"/>
        </w:rPr>
        <w:t xml:space="preserve"> and also lower the efficiency of the Competition Act</w:t>
      </w:r>
      <w:r w:rsidRPr="00140702">
        <w:rPr>
          <w:rStyle w:val="Funotenzeichen"/>
          <w:rFonts w:ascii="Arial" w:hAnsi="Arial" w:cs="Arial"/>
        </w:rPr>
        <w:footnoteReference w:id="400"/>
      </w:r>
      <w:r w:rsidRPr="00140702">
        <w:rPr>
          <w:rFonts w:ascii="Arial" w:hAnsi="Arial" w:cs="Arial"/>
        </w:rPr>
        <w:t xml:space="preserve"> in achieving its purpose namely to promote and maintain competition.</w:t>
      </w:r>
      <w:r w:rsidR="00757E6A" w:rsidRPr="00140702">
        <w:rPr>
          <w:rStyle w:val="Funotenzeichen"/>
          <w:rFonts w:ascii="Arial" w:hAnsi="Arial" w:cs="Arial"/>
        </w:rPr>
        <w:footnoteReference w:id="401"/>
      </w:r>
    </w:p>
    <w:p w:rsidR="00185BD2" w:rsidRPr="00140702" w:rsidRDefault="00185BD2" w:rsidP="00140702">
      <w:pPr>
        <w:contextualSpacing/>
        <w:jc w:val="both"/>
        <w:rPr>
          <w:rFonts w:ascii="Arial" w:hAnsi="Arial" w:cs="Arial"/>
        </w:rPr>
      </w:pPr>
    </w:p>
    <w:p w:rsidR="00F226C3" w:rsidRPr="00140702" w:rsidRDefault="00296C58" w:rsidP="00140702">
      <w:pPr>
        <w:contextualSpacing/>
        <w:jc w:val="both"/>
        <w:rPr>
          <w:rFonts w:ascii="Arial" w:hAnsi="Arial" w:cs="Arial"/>
        </w:rPr>
      </w:pPr>
      <w:r w:rsidRPr="00140702">
        <w:rPr>
          <w:rFonts w:ascii="Arial" w:hAnsi="Arial" w:cs="Arial"/>
        </w:rPr>
        <w:t xml:space="preserve">The heterogenous </w:t>
      </w:r>
      <w:r w:rsidR="001F0B16" w:rsidRPr="00140702">
        <w:rPr>
          <w:rFonts w:ascii="Arial" w:hAnsi="Arial" w:cs="Arial"/>
        </w:rPr>
        <w:t>nature of these objectives reveals</w:t>
      </w:r>
      <w:r w:rsidRPr="00140702">
        <w:rPr>
          <w:rFonts w:ascii="Arial" w:hAnsi="Arial" w:cs="Arial"/>
        </w:rPr>
        <w:t xml:space="preserve"> the </w:t>
      </w:r>
      <w:r w:rsidR="0050712B" w:rsidRPr="00140702">
        <w:rPr>
          <w:rFonts w:ascii="Arial" w:hAnsi="Arial" w:cs="Arial"/>
        </w:rPr>
        <w:t>contradictory demands of the various groups</w:t>
      </w:r>
      <w:r w:rsidR="0050712B" w:rsidRPr="00140702">
        <w:rPr>
          <w:rStyle w:val="Funotenzeichen"/>
          <w:rFonts w:ascii="Arial" w:hAnsi="Arial" w:cs="Arial"/>
        </w:rPr>
        <w:footnoteReference w:id="402"/>
      </w:r>
      <w:r w:rsidR="0050712B" w:rsidRPr="00140702">
        <w:rPr>
          <w:rFonts w:ascii="Arial" w:hAnsi="Arial" w:cs="Arial"/>
        </w:rPr>
        <w:t xml:space="preserve"> that influenced the formulation of the Competition Act.</w:t>
      </w:r>
      <w:r w:rsidR="0050712B" w:rsidRPr="00140702">
        <w:rPr>
          <w:rStyle w:val="Funotenzeichen"/>
          <w:rFonts w:ascii="Arial" w:hAnsi="Arial" w:cs="Arial"/>
        </w:rPr>
        <w:footnoteReference w:id="403"/>
      </w:r>
      <w:r w:rsidRPr="00140702">
        <w:rPr>
          <w:rFonts w:ascii="Arial" w:hAnsi="Arial" w:cs="Arial"/>
        </w:rPr>
        <w:t xml:space="preserve"> </w:t>
      </w:r>
      <w:r w:rsidR="001F0B16" w:rsidRPr="00140702">
        <w:rPr>
          <w:rFonts w:ascii="Arial" w:hAnsi="Arial" w:cs="Arial"/>
        </w:rPr>
        <w:t>In view of the  contradictory demands</w:t>
      </w:r>
      <w:r w:rsidR="001461BA" w:rsidRPr="00140702">
        <w:rPr>
          <w:rFonts w:ascii="Arial" w:hAnsi="Arial" w:cs="Arial"/>
        </w:rPr>
        <w:t xml:space="preserve"> the heterogenous nature </w:t>
      </w:r>
      <w:r w:rsidR="005915C7" w:rsidRPr="00140702">
        <w:rPr>
          <w:rFonts w:ascii="Arial" w:hAnsi="Arial" w:cs="Arial"/>
        </w:rPr>
        <w:t>of the</w:t>
      </w:r>
      <w:r w:rsidR="00C51C42" w:rsidRPr="00140702">
        <w:rPr>
          <w:rFonts w:ascii="Arial" w:hAnsi="Arial" w:cs="Arial"/>
        </w:rPr>
        <w:t>se</w:t>
      </w:r>
      <w:r w:rsidR="005915C7" w:rsidRPr="00140702">
        <w:rPr>
          <w:rFonts w:ascii="Arial" w:hAnsi="Arial" w:cs="Arial"/>
        </w:rPr>
        <w:t xml:space="preserve"> objectives</w:t>
      </w:r>
      <w:r w:rsidR="001461BA" w:rsidRPr="00140702">
        <w:rPr>
          <w:rFonts w:ascii="Arial" w:hAnsi="Arial" w:cs="Arial"/>
        </w:rPr>
        <w:t>, which</w:t>
      </w:r>
      <w:r w:rsidR="005915C7" w:rsidRPr="00140702">
        <w:rPr>
          <w:rFonts w:ascii="Arial" w:hAnsi="Arial" w:cs="Arial"/>
        </w:rPr>
        <w:t xml:space="preserve"> received countless discussion</w:t>
      </w:r>
      <w:r w:rsidR="00C51C42" w:rsidRPr="00140702">
        <w:rPr>
          <w:rFonts w:ascii="Arial" w:hAnsi="Arial" w:cs="Arial"/>
        </w:rPr>
        <w:t>s</w:t>
      </w:r>
      <w:r w:rsidR="005915C7" w:rsidRPr="00140702">
        <w:rPr>
          <w:rFonts w:ascii="Arial" w:hAnsi="Arial" w:cs="Arial"/>
        </w:rPr>
        <w:t xml:space="preserve"> and criticism</w:t>
      </w:r>
      <w:r w:rsidR="00C51C42" w:rsidRPr="00140702">
        <w:rPr>
          <w:rFonts w:ascii="Arial" w:hAnsi="Arial" w:cs="Arial"/>
        </w:rPr>
        <w:t>s</w:t>
      </w:r>
      <w:r w:rsidR="001461BA" w:rsidRPr="00140702">
        <w:rPr>
          <w:rFonts w:ascii="Arial" w:hAnsi="Arial" w:cs="Arial"/>
        </w:rPr>
        <w:t>,</w:t>
      </w:r>
      <w:r w:rsidR="00C51C42" w:rsidRPr="00140702">
        <w:rPr>
          <w:rFonts w:ascii="Arial" w:hAnsi="Arial" w:cs="Arial"/>
        </w:rPr>
        <w:t xml:space="preserve"> was considered necessary for obtaining the </w:t>
      </w:r>
      <w:r w:rsidR="001461BA" w:rsidRPr="00140702">
        <w:rPr>
          <w:rFonts w:ascii="Arial" w:hAnsi="Arial" w:cs="Arial"/>
        </w:rPr>
        <w:t>required</w:t>
      </w:r>
      <w:r w:rsidR="00C51C42" w:rsidRPr="00140702">
        <w:rPr>
          <w:rFonts w:ascii="Arial" w:hAnsi="Arial" w:cs="Arial"/>
        </w:rPr>
        <w:t xml:space="preserve"> political support for the </w:t>
      </w:r>
      <w:r w:rsidR="001461BA" w:rsidRPr="00140702">
        <w:rPr>
          <w:rFonts w:ascii="Arial" w:hAnsi="Arial" w:cs="Arial"/>
        </w:rPr>
        <w:t>formulation and acceptance of the Competition Act</w:t>
      </w:r>
      <w:r w:rsidR="00FF14FD" w:rsidRPr="00140702">
        <w:rPr>
          <w:rStyle w:val="Funotenzeichen"/>
          <w:rFonts w:ascii="Arial" w:hAnsi="Arial" w:cs="Arial"/>
        </w:rPr>
        <w:footnoteReference w:id="404"/>
      </w:r>
      <w:r w:rsidR="001461BA" w:rsidRPr="00140702">
        <w:rPr>
          <w:rFonts w:ascii="Arial" w:hAnsi="Arial" w:cs="Arial"/>
        </w:rPr>
        <w:t xml:space="preserve"> which were to be 1 of the most important factors to point South Africa in the direction of becoming a truly modern market economy.</w:t>
      </w:r>
      <w:r w:rsidR="00FF14FD" w:rsidRPr="00140702">
        <w:rPr>
          <w:rStyle w:val="Funotenzeichen"/>
          <w:rFonts w:ascii="Arial" w:hAnsi="Arial" w:cs="Arial"/>
        </w:rPr>
        <w:footnoteReference w:id="405"/>
      </w:r>
      <w:r w:rsidR="00CE2F51" w:rsidRPr="00140702">
        <w:rPr>
          <w:rFonts w:ascii="Arial" w:hAnsi="Arial" w:cs="Arial"/>
        </w:rPr>
        <w:t xml:space="preserve"> </w:t>
      </w:r>
    </w:p>
    <w:p w:rsidR="00CE2F51" w:rsidRPr="00140702" w:rsidRDefault="00CE2F51" w:rsidP="00140702">
      <w:pPr>
        <w:contextualSpacing/>
        <w:jc w:val="both"/>
        <w:rPr>
          <w:rFonts w:ascii="Arial" w:hAnsi="Arial" w:cs="Arial"/>
        </w:rPr>
      </w:pPr>
    </w:p>
    <w:p w:rsidR="00CE2F51" w:rsidRPr="00140702" w:rsidRDefault="00CE2F51" w:rsidP="00140702">
      <w:pPr>
        <w:contextualSpacing/>
        <w:jc w:val="both"/>
        <w:rPr>
          <w:rFonts w:ascii="Arial" w:hAnsi="Arial" w:cs="Arial"/>
        </w:rPr>
      </w:pPr>
      <w:r w:rsidRPr="00140702">
        <w:rPr>
          <w:rFonts w:ascii="Arial" w:hAnsi="Arial" w:cs="Arial"/>
        </w:rPr>
        <w:t>Whether the inclusion of the wider macro-economic o</w:t>
      </w:r>
      <w:r w:rsidR="006222A8" w:rsidRPr="00140702">
        <w:rPr>
          <w:rFonts w:ascii="Arial" w:hAnsi="Arial" w:cs="Arial"/>
        </w:rPr>
        <w:t>r</w:t>
      </w:r>
      <w:r w:rsidRPr="00140702">
        <w:rPr>
          <w:rFonts w:ascii="Arial" w:hAnsi="Arial" w:cs="Arial"/>
        </w:rPr>
        <w:t xml:space="preserve"> public interest objectives </w:t>
      </w:r>
      <w:r w:rsidR="006222A8" w:rsidRPr="00140702">
        <w:rPr>
          <w:rFonts w:ascii="Arial" w:hAnsi="Arial" w:cs="Arial"/>
        </w:rPr>
        <w:t>will deter the attainment of promoting and maintaining competition is yet to be observed.</w:t>
      </w:r>
      <w:r w:rsidR="00872A60" w:rsidRPr="00140702">
        <w:rPr>
          <w:rStyle w:val="Funotenzeichen"/>
          <w:rFonts w:ascii="Arial" w:hAnsi="Arial" w:cs="Arial"/>
        </w:rPr>
        <w:footnoteReference w:id="406"/>
      </w:r>
      <w:r w:rsidR="0010150C" w:rsidRPr="00140702">
        <w:rPr>
          <w:rFonts w:ascii="Arial" w:hAnsi="Arial" w:cs="Arial"/>
        </w:rPr>
        <w:t xml:space="preserve"> What is certain however</w:t>
      </w:r>
      <w:r w:rsidR="00AC15DE">
        <w:rPr>
          <w:rFonts w:ascii="Arial" w:hAnsi="Arial" w:cs="Arial"/>
        </w:rPr>
        <w:t>,</w:t>
      </w:r>
      <w:r w:rsidR="0010150C" w:rsidRPr="00140702">
        <w:rPr>
          <w:rFonts w:ascii="Arial" w:hAnsi="Arial" w:cs="Arial"/>
        </w:rPr>
        <w:t xml:space="preserve"> is that economic efficiency and </w:t>
      </w:r>
      <w:r w:rsidR="001F0C3C" w:rsidRPr="00140702">
        <w:rPr>
          <w:rFonts w:ascii="Arial" w:hAnsi="Arial" w:cs="Arial"/>
        </w:rPr>
        <w:t>therefore</w:t>
      </w:r>
      <w:r w:rsidR="0010150C" w:rsidRPr="00140702">
        <w:rPr>
          <w:rFonts w:ascii="Arial" w:hAnsi="Arial" w:cs="Arial"/>
        </w:rPr>
        <w:t xml:space="preserve"> consumer welfare is the overruling principle for the application of the competition Act.</w:t>
      </w:r>
      <w:r w:rsidR="0010150C" w:rsidRPr="00140702">
        <w:rPr>
          <w:rStyle w:val="Funotenzeichen"/>
          <w:rFonts w:ascii="Arial" w:hAnsi="Arial" w:cs="Arial"/>
        </w:rPr>
        <w:footnoteReference w:id="407"/>
      </w:r>
      <w:r w:rsidR="0010150C" w:rsidRPr="00140702">
        <w:rPr>
          <w:rFonts w:ascii="Arial" w:hAnsi="Arial" w:cs="Arial"/>
        </w:rPr>
        <w:t xml:space="preserve"> </w:t>
      </w:r>
      <w:r w:rsidR="001A25BC" w:rsidRPr="00140702">
        <w:rPr>
          <w:rFonts w:ascii="Arial" w:hAnsi="Arial" w:cs="Arial"/>
        </w:rPr>
        <w:t xml:space="preserve">This opinion is supported by the following comment made by the Competition Tribunal </w:t>
      </w:r>
      <w:r w:rsidR="006109BF" w:rsidRPr="00140702">
        <w:rPr>
          <w:rFonts w:ascii="Arial" w:hAnsi="Arial" w:cs="Arial"/>
        </w:rPr>
        <w:t>“The</w:t>
      </w:r>
      <w:r w:rsidR="001D2A3E" w:rsidRPr="00140702">
        <w:rPr>
          <w:rFonts w:ascii="Arial" w:hAnsi="Arial" w:cs="Arial"/>
        </w:rPr>
        <w:t xml:space="preserve"> role played by the competition authorities in defending even those aspects of the public interest listed in the Act</w:t>
      </w:r>
      <w:r w:rsidR="006109BF" w:rsidRPr="00140702">
        <w:rPr>
          <w:rStyle w:val="Funotenzeichen"/>
          <w:rFonts w:ascii="Arial" w:hAnsi="Arial" w:cs="Arial"/>
        </w:rPr>
        <w:footnoteReference w:id="408"/>
      </w:r>
      <w:r w:rsidR="001D2A3E" w:rsidRPr="00140702">
        <w:rPr>
          <w:rFonts w:ascii="Arial" w:hAnsi="Arial" w:cs="Arial"/>
        </w:rPr>
        <w:t xml:space="preserve"> is, at most, secondary to other statutory and regulatory instruments...</w:t>
      </w:r>
      <w:r w:rsidR="006109BF" w:rsidRPr="00140702">
        <w:rPr>
          <w:rFonts w:ascii="Arial" w:hAnsi="Arial" w:cs="Arial"/>
        </w:rPr>
        <w:t xml:space="preserve"> </w:t>
      </w:r>
      <w:r w:rsidR="001D2A3E" w:rsidRPr="00140702">
        <w:rPr>
          <w:rFonts w:ascii="Arial" w:hAnsi="Arial" w:cs="Arial"/>
        </w:rPr>
        <w:t>The competition authorities, however well intentioned, are well advised not to pursue their public interest mandate in an over-zealous manner lest they damage precisely those interests that they ostensibly seek to protect.”</w:t>
      </w:r>
      <w:r w:rsidR="001D2A3E" w:rsidRPr="00140702">
        <w:rPr>
          <w:rStyle w:val="Funotenzeichen"/>
          <w:rFonts w:ascii="Arial" w:hAnsi="Arial" w:cs="Arial"/>
        </w:rPr>
        <w:footnoteReference w:id="409"/>
      </w:r>
    </w:p>
    <w:p w:rsidR="005B4306" w:rsidRPr="00140702" w:rsidRDefault="005B4306" w:rsidP="00140702">
      <w:pPr>
        <w:contextualSpacing/>
        <w:jc w:val="both"/>
        <w:rPr>
          <w:rFonts w:ascii="Arial" w:hAnsi="Arial" w:cs="Arial"/>
        </w:rPr>
      </w:pPr>
    </w:p>
    <w:p w:rsidR="005B4306" w:rsidRPr="00140702" w:rsidRDefault="005B4306" w:rsidP="00140702">
      <w:pPr>
        <w:contextualSpacing/>
        <w:jc w:val="both"/>
        <w:rPr>
          <w:rFonts w:ascii="Arial" w:hAnsi="Arial" w:cs="Arial"/>
        </w:rPr>
      </w:pPr>
      <w:r w:rsidRPr="00140702">
        <w:rPr>
          <w:rFonts w:ascii="Arial" w:hAnsi="Arial" w:cs="Arial"/>
        </w:rPr>
        <w:t>In August 2009 the president signed the Competition Amendment Act</w:t>
      </w:r>
      <w:r w:rsidR="00B32A38" w:rsidRPr="00140702">
        <w:rPr>
          <w:rFonts w:ascii="Arial" w:hAnsi="Arial" w:cs="Arial"/>
        </w:rPr>
        <w:t>.</w:t>
      </w:r>
      <w:r w:rsidRPr="00140702">
        <w:rPr>
          <w:rStyle w:val="Funotenzeichen"/>
          <w:rFonts w:ascii="Arial" w:hAnsi="Arial" w:cs="Arial"/>
        </w:rPr>
        <w:footnoteReference w:id="410"/>
      </w:r>
      <w:r w:rsidR="00B32A38" w:rsidRPr="00140702">
        <w:rPr>
          <w:rFonts w:ascii="Arial" w:hAnsi="Arial" w:cs="Arial"/>
        </w:rPr>
        <w:t xml:space="preserve"> This Act</w:t>
      </w:r>
      <w:r w:rsidR="008B0B6C" w:rsidRPr="00140702">
        <w:rPr>
          <w:rStyle w:val="Funotenzeichen"/>
          <w:rFonts w:ascii="Arial" w:hAnsi="Arial" w:cs="Arial"/>
        </w:rPr>
        <w:footnoteReference w:id="411"/>
      </w:r>
      <w:r w:rsidR="00B32A38" w:rsidRPr="00140702">
        <w:rPr>
          <w:rFonts w:ascii="Arial" w:hAnsi="Arial" w:cs="Arial"/>
        </w:rPr>
        <w:t xml:space="preserve"> made numerous amendments to the Competition Act</w:t>
      </w:r>
      <w:r w:rsidR="008B0B6C" w:rsidRPr="00140702">
        <w:rPr>
          <w:rStyle w:val="Funotenzeichen"/>
          <w:rFonts w:ascii="Arial" w:hAnsi="Arial" w:cs="Arial"/>
        </w:rPr>
        <w:footnoteReference w:id="412"/>
      </w:r>
      <w:r w:rsidR="00B32A38" w:rsidRPr="00140702">
        <w:rPr>
          <w:rFonts w:ascii="Arial" w:hAnsi="Arial" w:cs="Arial"/>
        </w:rPr>
        <w:t xml:space="preserve"> but it is yet to come into force. One of the amendments made to the Competition Act</w:t>
      </w:r>
      <w:r w:rsidR="008B0B6C" w:rsidRPr="00140702">
        <w:rPr>
          <w:rStyle w:val="Funotenzeichen"/>
          <w:rFonts w:ascii="Arial" w:hAnsi="Arial" w:cs="Arial"/>
        </w:rPr>
        <w:footnoteReference w:id="413"/>
      </w:r>
      <w:r w:rsidR="00B32A38" w:rsidRPr="00140702">
        <w:rPr>
          <w:rFonts w:ascii="Arial" w:hAnsi="Arial" w:cs="Arial"/>
        </w:rPr>
        <w:t xml:space="preserve"> by the Competition Amendment Act</w:t>
      </w:r>
      <w:r w:rsidR="008B0B6C" w:rsidRPr="00140702">
        <w:rPr>
          <w:rStyle w:val="Funotenzeichen"/>
          <w:rFonts w:ascii="Arial" w:hAnsi="Arial" w:cs="Arial"/>
        </w:rPr>
        <w:footnoteReference w:id="414"/>
      </w:r>
      <w:r w:rsidR="00B32A38" w:rsidRPr="00140702">
        <w:rPr>
          <w:rFonts w:ascii="Arial" w:hAnsi="Arial" w:cs="Arial"/>
        </w:rPr>
        <w:t xml:space="preserve"> is the inclusion of the following 2 objections to section 2 of the Competition Act</w:t>
      </w:r>
      <w:r w:rsidR="008B0B6C" w:rsidRPr="00140702">
        <w:rPr>
          <w:rFonts w:ascii="Arial" w:hAnsi="Arial" w:cs="Arial"/>
        </w:rPr>
        <w:t>:</w:t>
      </w:r>
      <w:r w:rsidR="001F0B16" w:rsidRPr="00140702">
        <w:rPr>
          <w:rStyle w:val="Funotenzeichen"/>
          <w:rFonts w:ascii="Arial" w:hAnsi="Arial" w:cs="Arial"/>
        </w:rPr>
        <w:footnoteReference w:id="415"/>
      </w:r>
      <w:r w:rsidR="008B0B6C" w:rsidRPr="00140702">
        <w:rPr>
          <w:rFonts w:ascii="Arial" w:hAnsi="Arial" w:cs="Arial"/>
        </w:rPr>
        <w:t xml:space="preserve"> </w:t>
      </w:r>
    </w:p>
    <w:p w:rsidR="008B0B6C" w:rsidRPr="00140702" w:rsidRDefault="008B0B6C" w:rsidP="00140702">
      <w:pPr>
        <w:contextualSpacing/>
        <w:jc w:val="both"/>
        <w:rPr>
          <w:rFonts w:ascii="Arial" w:hAnsi="Arial" w:cs="Arial"/>
        </w:rPr>
      </w:pPr>
      <w:r w:rsidRPr="00140702">
        <w:rPr>
          <w:rFonts w:ascii="Arial" w:hAnsi="Arial" w:cs="Arial"/>
        </w:rPr>
        <w:tab/>
      </w:r>
    </w:p>
    <w:p w:rsidR="008B0B6C" w:rsidRPr="00140702" w:rsidRDefault="008B0B6C" w:rsidP="00140702">
      <w:pPr>
        <w:contextualSpacing/>
        <w:jc w:val="both"/>
        <w:rPr>
          <w:rFonts w:ascii="Arial" w:hAnsi="Arial" w:cs="Arial"/>
        </w:rPr>
      </w:pPr>
      <w:r w:rsidRPr="00140702">
        <w:rPr>
          <w:rFonts w:ascii="Arial" w:hAnsi="Arial" w:cs="Arial"/>
        </w:rPr>
        <w:tab/>
      </w:r>
      <w:r w:rsidR="00644C6E" w:rsidRPr="00140702">
        <w:rPr>
          <w:rFonts w:ascii="Arial" w:hAnsi="Arial" w:cs="Arial"/>
        </w:rPr>
        <w:t>“</w:t>
      </w:r>
      <w:r w:rsidRPr="00140702">
        <w:rPr>
          <w:rFonts w:ascii="Arial" w:hAnsi="Arial" w:cs="Arial"/>
        </w:rPr>
        <w:t xml:space="preserve">(g) ) to detect and address conditions in the market for any particular goods or </w:t>
      </w:r>
      <w:r w:rsidRPr="00140702">
        <w:rPr>
          <w:rFonts w:ascii="Arial" w:hAnsi="Arial" w:cs="Arial"/>
        </w:rPr>
        <w:tab/>
        <w:t xml:space="preserve">services, or any behaviour within such a market, that tends to prevent, restrict or </w:t>
      </w:r>
      <w:r w:rsidRPr="00140702">
        <w:rPr>
          <w:rFonts w:ascii="Arial" w:hAnsi="Arial" w:cs="Arial"/>
        </w:rPr>
        <w:tab/>
        <w:t xml:space="preserve">distort competition in connection with the supply or acquisition of those goods or </w:t>
      </w:r>
      <w:r w:rsidRPr="00140702">
        <w:rPr>
          <w:rFonts w:ascii="Arial" w:hAnsi="Arial" w:cs="Arial"/>
        </w:rPr>
        <w:tab/>
        <w:t>services within the Republic; and</w:t>
      </w:r>
    </w:p>
    <w:p w:rsidR="008B0B6C" w:rsidRPr="00140702" w:rsidRDefault="008B0B6C" w:rsidP="00140702">
      <w:pPr>
        <w:contextualSpacing/>
        <w:jc w:val="both"/>
        <w:rPr>
          <w:rFonts w:ascii="Arial" w:hAnsi="Arial" w:cs="Arial"/>
        </w:rPr>
      </w:pPr>
      <w:r w:rsidRPr="00140702">
        <w:rPr>
          <w:rFonts w:ascii="Arial" w:hAnsi="Arial" w:cs="Arial"/>
        </w:rPr>
        <w:tab/>
        <w:t xml:space="preserve">(h) To provide for consistent application of common standards and policies affecting </w:t>
      </w:r>
      <w:r w:rsidRPr="00140702">
        <w:rPr>
          <w:rFonts w:ascii="Arial" w:hAnsi="Arial" w:cs="Arial"/>
        </w:rPr>
        <w:tab/>
        <w:t>competition within all markets and sectors of the economy.</w:t>
      </w:r>
      <w:r w:rsidR="00644C6E" w:rsidRPr="00140702">
        <w:rPr>
          <w:rFonts w:ascii="Arial" w:hAnsi="Arial" w:cs="Arial"/>
        </w:rPr>
        <w:t>”</w:t>
      </w:r>
    </w:p>
    <w:p w:rsidR="008B0B6C" w:rsidRPr="00140702" w:rsidRDefault="008B0B6C" w:rsidP="00140702">
      <w:pPr>
        <w:contextualSpacing/>
        <w:jc w:val="both"/>
        <w:rPr>
          <w:rFonts w:ascii="Arial" w:hAnsi="Arial" w:cs="Arial"/>
        </w:rPr>
      </w:pPr>
    </w:p>
    <w:p w:rsidR="008B0B6C" w:rsidRPr="00140702" w:rsidRDefault="008B0B6C" w:rsidP="00140702">
      <w:pPr>
        <w:contextualSpacing/>
        <w:jc w:val="both"/>
        <w:rPr>
          <w:rFonts w:ascii="Arial" w:hAnsi="Arial" w:cs="Arial"/>
        </w:rPr>
      </w:pPr>
      <w:r w:rsidRPr="00140702">
        <w:rPr>
          <w:rFonts w:ascii="Arial" w:hAnsi="Arial" w:cs="Arial"/>
        </w:rPr>
        <w:t>This amendm</w:t>
      </w:r>
      <w:r w:rsidR="00E36AED" w:rsidRPr="00140702">
        <w:rPr>
          <w:rFonts w:ascii="Arial" w:hAnsi="Arial" w:cs="Arial"/>
        </w:rPr>
        <w:t xml:space="preserve">ent seems to support the </w:t>
      </w:r>
      <w:r w:rsidR="00A50232" w:rsidRPr="00140702">
        <w:rPr>
          <w:rFonts w:ascii="Arial" w:hAnsi="Arial" w:cs="Arial"/>
        </w:rPr>
        <w:t>opinion</w:t>
      </w:r>
      <w:r w:rsidRPr="00140702">
        <w:rPr>
          <w:rFonts w:ascii="Arial" w:hAnsi="Arial" w:cs="Arial"/>
        </w:rPr>
        <w:t xml:space="preserve"> that economic efficiency and thus </w:t>
      </w:r>
      <w:r w:rsidR="00E36AED" w:rsidRPr="00140702">
        <w:rPr>
          <w:rFonts w:ascii="Arial" w:hAnsi="Arial" w:cs="Arial"/>
        </w:rPr>
        <w:t>co</w:t>
      </w:r>
      <w:r w:rsidRPr="00140702">
        <w:rPr>
          <w:rFonts w:ascii="Arial" w:hAnsi="Arial" w:cs="Arial"/>
        </w:rPr>
        <w:t>nsumer welfare is the overruling principle</w:t>
      </w:r>
      <w:r w:rsidR="00E646F0" w:rsidRPr="00140702">
        <w:rPr>
          <w:rFonts w:ascii="Arial" w:hAnsi="Arial" w:cs="Arial"/>
        </w:rPr>
        <w:t>s</w:t>
      </w:r>
      <w:r w:rsidRPr="00140702">
        <w:rPr>
          <w:rFonts w:ascii="Arial" w:hAnsi="Arial" w:cs="Arial"/>
        </w:rPr>
        <w:t xml:space="preserve"> for the application of the </w:t>
      </w:r>
      <w:r w:rsidR="00E36AED" w:rsidRPr="00140702">
        <w:rPr>
          <w:rFonts w:ascii="Arial" w:hAnsi="Arial" w:cs="Arial"/>
        </w:rPr>
        <w:t>C</w:t>
      </w:r>
      <w:r w:rsidRPr="00140702">
        <w:rPr>
          <w:rFonts w:ascii="Arial" w:hAnsi="Arial" w:cs="Arial"/>
        </w:rPr>
        <w:t>ompetition Act</w:t>
      </w:r>
      <w:r w:rsidR="00E36AED" w:rsidRPr="00140702">
        <w:rPr>
          <w:rFonts w:ascii="Arial" w:hAnsi="Arial" w:cs="Arial"/>
        </w:rPr>
        <w:t>.</w:t>
      </w:r>
      <w:r w:rsidR="00E36AED" w:rsidRPr="00140702">
        <w:rPr>
          <w:rStyle w:val="Funotenzeichen"/>
          <w:rFonts w:ascii="Arial" w:hAnsi="Arial" w:cs="Arial"/>
        </w:rPr>
        <w:footnoteReference w:id="416"/>
      </w:r>
      <w:r w:rsidR="003A05BD" w:rsidRPr="00140702">
        <w:rPr>
          <w:rFonts w:ascii="Arial" w:hAnsi="Arial" w:cs="Arial"/>
        </w:rPr>
        <w:t xml:space="preserve"> To conclude, the Competition Act</w:t>
      </w:r>
      <w:r w:rsidR="003A05BD" w:rsidRPr="00140702">
        <w:rPr>
          <w:rStyle w:val="Funotenzeichen"/>
          <w:rFonts w:ascii="Arial" w:hAnsi="Arial" w:cs="Arial"/>
        </w:rPr>
        <w:footnoteReference w:id="417"/>
      </w:r>
      <w:r w:rsidR="003A05BD" w:rsidRPr="00140702">
        <w:rPr>
          <w:rFonts w:ascii="Arial" w:hAnsi="Arial" w:cs="Arial"/>
        </w:rPr>
        <w:t xml:space="preserve"> does not aspire to protect the individual competitors in a given market </w:t>
      </w:r>
      <w:r w:rsidR="00EE44B9" w:rsidRPr="00140702">
        <w:rPr>
          <w:rFonts w:ascii="Arial" w:hAnsi="Arial" w:cs="Arial"/>
        </w:rPr>
        <w:t>instead</w:t>
      </w:r>
      <w:r w:rsidR="003A05BD" w:rsidRPr="00140702">
        <w:rPr>
          <w:rFonts w:ascii="Arial" w:hAnsi="Arial" w:cs="Arial"/>
        </w:rPr>
        <w:t xml:space="preserve"> it aspires to protect the competition process to ensure that the individual markets and thus the economy as a whole </w:t>
      </w:r>
      <w:r w:rsidR="00EE44B9" w:rsidRPr="00140702">
        <w:rPr>
          <w:rFonts w:ascii="Arial" w:hAnsi="Arial" w:cs="Arial"/>
        </w:rPr>
        <w:t>performs efficiently</w:t>
      </w:r>
      <w:r w:rsidR="003A05BD" w:rsidRPr="00140702">
        <w:rPr>
          <w:rFonts w:ascii="Arial" w:hAnsi="Arial" w:cs="Arial"/>
        </w:rPr>
        <w:t>.</w:t>
      </w:r>
      <w:r w:rsidR="00EE44B9" w:rsidRPr="00140702">
        <w:rPr>
          <w:rStyle w:val="Funotenzeichen"/>
          <w:rFonts w:ascii="Arial" w:hAnsi="Arial" w:cs="Arial"/>
        </w:rPr>
        <w:footnoteReference w:id="418"/>
      </w:r>
    </w:p>
    <w:p w:rsidR="008B0B6C" w:rsidRPr="00140702" w:rsidRDefault="008B0B6C" w:rsidP="00140702">
      <w:pPr>
        <w:contextualSpacing/>
        <w:jc w:val="both"/>
        <w:rPr>
          <w:rFonts w:ascii="Arial" w:hAnsi="Arial" w:cs="Arial"/>
        </w:rPr>
      </w:pPr>
    </w:p>
    <w:p w:rsidR="009E738E" w:rsidRPr="00140702" w:rsidRDefault="00E64F48" w:rsidP="00140702">
      <w:pPr>
        <w:contextualSpacing/>
        <w:jc w:val="both"/>
        <w:rPr>
          <w:rFonts w:ascii="Arial" w:hAnsi="Arial" w:cs="Arial"/>
        </w:rPr>
      </w:pPr>
      <w:r w:rsidRPr="00140702">
        <w:rPr>
          <w:rFonts w:ascii="Arial" w:hAnsi="Arial" w:cs="Arial"/>
        </w:rPr>
        <w:t xml:space="preserve">2.4.2 Restrictive practises </w:t>
      </w:r>
    </w:p>
    <w:p w:rsidR="00E64C15" w:rsidRPr="00140702" w:rsidRDefault="00E64F48" w:rsidP="00140702">
      <w:pPr>
        <w:contextualSpacing/>
        <w:jc w:val="both"/>
        <w:rPr>
          <w:rFonts w:ascii="Arial" w:hAnsi="Arial" w:cs="Arial"/>
        </w:rPr>
      </w:pPr>
      <w:r w:rsidRPr="00140702">
        <w:rPr>
          <w:rFonts w:ascii="Arial" w:hAnsi="Arial" w:cs="Arial"/>
        </w:rPr>
        <w:t>The Competition Act</w:t>
      </w:r>
      <w:r w:rsidRPr="00140702">
        <w:rPr>
          <w:rStyle w:val="Funotenzeichen"/>
          <w:rFonts w:ascii="Arial" w:hAnsi="Arial" w:cs="Arial"/>
        </w:rPr>
        <w:footnoteReference w:id="419"/>
      </w:r>
      <w:r w:rsidR="00133D25" w:rsidRPr="00140702">
        <w:rPr>
          <w:rFonts w:ascii="Arial" w:hAnsi="Arial" w:cs="Arial"/>
        </w:rPr>
        <w:t xml:space="preserve"> prohibits 2 </w:t>
      </w:r>
      <w:r w:rsidR="00212505" w:rsidRPr="00140702">
        <w:rPr>
          <w:rFonts w:ascii="Arial" w:hAnsi="Arial" w:cs="Arial"/>
        </w:rPr>
        <w:t>kinds</w:t>
      </w:r>
      <w:r w:rsidR="00133D25" w:rsidRPr="00140702">
        <w:rPr>
          <w:rFonts w:ascii="Arial" w:hAnsi="Arial" w:cs="Arial"/>
        </w:rPr>
        <w:t xml:space="preserve"> of practises namely restrictive agreements and the abuse of dominance.</w:t>
      </w:r>
      <w:r w:rsidR="000D0F05" w:rsidRPr="00140702">
        <w:rPr>
          <w:rStyle w:val="Funotenzeichen"/>
          <w:rFonts w:ascii="Arial" w:hAnsi="Arial" w:cs="Arial"/>
        </w:rPr>
        <w:footnoteReference w:id="420"/>
      </w:r>
      <w:r w:rsidR="000D0531" w:rsidRPr="00140702">
        <w:rPr>
          <w:rFonts w:ascii="Arial" w:hAnsi="Arial" w:cs="Arial"/>
        </w:rPr>
        <w:t xml:space="preserve"> The restrictive agreements are further divided into </w:t>
      </w:r>
      <w:r w:rsidR="00E64C15" w:rsidRPr="00140702">
        <w:rPr>
          <w:rFonts w:ascii="Arial" w:hAnsi="Arial" w:cs="Arial"/>
        </w:rPr>
        <w:t xml:space="preserve">2 categories namely </w:t>
      </w:r>
      <w:r w:rsidR="00E1632E" w:rsidRPr="00140702">
        <w:rPr>
          <w:rFonts w:ascii="Arial" w:hAnsi="Arial" w:cs="Arial"/>
        </w:rPr>
        <w:t xml:space="preserve">restrictive </w:t>
      </w:r>
      <w:r w:rsidR="00E64C15" w:rsidRPr="00140702">
        <w:rPr>
          <w:rFonts w:ascii="Arial" w:hAnsi="Arial" w:cs="Arial"/>
        </w:rPr>
        <w:t>horizontal agreements</w:t>
      </w:r>
      <w:r w:rsidR="00E1632E" w:rsidRPr="00140702">
        <w:rPr>
          <w:rStyle w:val="Funotenzeichen"/>
          <w:rFonts w:ascii="Arial" w:hAnsi="Arial" w:cs="Arial"/>
        </w:rPr>
        <w:footnoteReference w:id="421"/>
      </w:r>
      <w:r w:rsidR="00E64C15" w:rsidRPr="00140702">
        <w:rPr>
          <w:rFonts w:ascii="Arial" w:hAnsi="Arial" w:cs="Arial"/>
        </w:rPr>
        <w:t xml:space="preserve"> and </w:t>
      </w:r>
      <w:r w:rsidR="00E1632E" w:rsidRPr="00140702">
        <w:rPr>
          <w:rFonts w:ascii="Arial" w:hAnsi="Arial" w:cs="Arial"/>
        </w:rPr>
        <w:t xml:space="preserve">restrictive </w:t>
      </w:r>
      <w:r w:rsidR="00E64C15" w:rsidRPr="00140702">
        <w:rPr>
          <w:rFonts w:ascii="Arial" w:hAnsi="Arial" w:cs="Arial"/>
        </w:rPr>
        <w:t>vertical agreements.</w:t>
      </w:r>
      <w:r w:rsidR="0011050E" w:rsidRPr="00140702">
        <w:rPr>
          <w:rStyle w:val="Funotenzeichen"/>
          <w:rFonts w:ascii="Arial" w:hAnsi="Arial" w:cs="Arial"/>
        </w:rPr>
        <w:footnoteReference w:id="422"/>
      </w:r>
      <w:r w:rsidR="00E64C15" w:rsidRPr="00140702">
        <w:rPr>
          <w:rFonts w:ascii="Arial" w:hAnsi="Arial" w:cs="Arial"/>
        </w:rPr>
        <w:t xml:space="preserve"> Horizontal agreements can be defined as agreements between competitors whereas vertical agreements can be defined as agreements between parties who are in a supplier and customer relationship.</w:t>
      </w:r>
      <w:r w:rsidR="00212505" w:rsidRPr="00140702">
        <w:rPr>
          <w:rStyle w:val="Funotenzeichen"/>
          <w:rFonts w:ascii="Arial" w:hAnsi="Arial" w:cs="Arial"/>
        </w:rPr>
        <w:footnoteReference w:id="423"/>
      </w:r>
      <w:r w:rsidR="00AC77DB" w:rsidRPr="00140702">
        <w:rPr>
          <w:rFonts w:ascii="Arial" w:hAnsi="Arial" w:cs="Arial"/>
        </w:rPr>
        <w:t xml:space="preserve"> Furthermore</w:t>
      </w:r>
      <w:r w:rsidR="003A7811" w:rsidRPr="00140702">
        <w:rPr>
          <w:rFonts w:ascii="Arial" w:hAnsi="Arial" w:cs="Arial"/>
        </w:rPr>
        <w:t xml:space="preserve">, a restrictive </w:t>
      </w:r>
      <w:r w:rsidR="00AC77DB" w:rsidRPr="00140702">
        <w:rPr>
          <w:rFonts w:ascii="Arial" w:hAnsi="Arial" w:cs="Arial"/>
        </w:rPr>
        <w:t xml:space="preserve">agreement </w:t>
      </w:r>
      <w:r w:rsidR="003A7811" w:rsidRPr="00140702">
        <w:rPr>
          <w:rFonts w:ascii="Arial" w:hAnsi="Arial" w:cs="Arial"/>
        </w:rPr>
        <w:t>is</w:t>
      </w:r>
      <w:r w:rsidR="00AC77DB" w:rsidRPr="00140702">
        <w:rPr>
          <w:rFonts w:ascii="Arial" w:hAnsi="Arial" w:cs="Arial"/>
        </w:rPr>
        <w:t xml:space="preserve"> presumed to exist between firms</w:t>
      </w:r>
      <w:r w:rsidR="003A7811" w:rsidRPr="00140702">
        <w:rPr>
          <w:rFonts w:ascii="Arial" w:hAnsi="Arial" w:cs="Arial"/>
        </w:rPr>
        <w:t xml:space="preserve"> if </w:t>
      </w:r>
      <w:r w:rsidR="00AC77DB" w:rsidRPr="00140702">
        <w:rPr>
          <w:rFonts w:ascii="Arial" w:hAnsi="Arial" w:cs="Arial"/>
        </w:rPr>
        <w:t xml:space="preserve"> </w:t>
      </w:r>
      <w:r w:rsidR="003A7811" w:rsidRPr="00140702">
        <w:rPr>
          <w:rFonts w:ascii="Arial" w:hAnsi="Arial" w:cs="Arial"/>
        </w:rPr>
        <w:t>one of them owns a significant interest in the other or if they have at least one director or substantial shareholder in common and if those  firms engage in that restrictive horizontal practice.</w:t>
      </w:r>
      <w:r w:rsidR="003A7811" w:rsidRPr="00140702">
        <w:rPr>
          <w:rStyle w:val="Funotenzeichen"/>
          <w:rFonts w:ascii="Arial" w:hAnsi="Arial" w:cs="Arial"/>
        </w:rPr>
        <w:footnoteReference w:id="424"/>
      </w:r>
    </w:p>
    <w:p w:rsidR="001170EF" w:rsidRPr="00140702" w:rsidRDefault="001170EF" w:rsidP="00140702">
      <w:pPr>
        <w:contextualSpacing/>
        <w:jc w:val="both"/>
        <w:rPr>
          <w:rFonts w:ascii="Arial" w:hAnsi="Arial" w:cs="Arial"/>
        </w:rPr>
      </w:pPr>
    </w:p>
    <w:p w:rsidR="00BB53AB" w:rsidRPr="00140702" w:rsidRDefault="00133D25" w:rsidP="00140702">
      <w:pPr>
        <w:contextualSpacing/>
        <w:jc w:val="both"/>
        <w:rPr>
          <w:rFonts w:ascii="Arial" w:hAnsi="Arial" w:cs="Arial"/>
        </w:rPr>
      </w:pPr>
      <w:r w:rsidRPr="00140702">
        <w:rPr>
          <w:rFonts w:ascii="Arial" w:hAnsi="Arial" w:cs="Arial"/>
        </w:rPr>
        <w:t>These prohibited practices</w:t>
      </w:r>
      <w:r w:rsidR="00212505" w:rsidRPr="00140702">
        <w:rPr>
          <w:rFonts w:ascii="Arial" w:hAnsi="Arial" w:cs="Arial"/>
        </w:rPr>
        <w:t xml:space="preserve"> </w:t>
      </w:r>
      <w:r w:rsidR="00FF093E" w:rsidRPr="00140702">
        <w:rPr>
          <w:rFonts w:ascii="Arial" w:hAnsi="Arial" w:cs="Arial"/>
        </w:rPr>
        <w:t>namely restrictive agreements and the abuse of dominance too</w:t>
      </w:r>
      <w:r w:rsidRPr="00140702">
        <w:rPr>
          <w:rFonts w:ascii="Arial" w:hAnsi="Arial" w:cs="Arial"/>
        </w:rPr>
        <w:t xml:space="preserve"> </w:t>
      </w:r>
      <w:r w:rsidR="00FF093E" w:rsidRPr="00140702">
        <w:rPr>
          <w:rFonts w:ascii="Arial" w:hAnsi="Arial" w:cs="Arial"/>
        </w:rPr>
        <w:t>are</w:t>
      </w:r>
      <w:r w:rsidRPr="00140702">
        <w:rPr>
          <w:rFonts w:ascii="Arial" w:hAnsi="Arial" w:cs="Arial"/>
        </w:rPr>
        <w:t xml:space="preserve"> divided into</w:t>
      </w:r>
      <w:r w:rsidR="00FF093E" w:rsidRPr="00140702">
        <w:rPr>
          <w:rFonts w:ascii="Arial" w:hAnsi="Arial" w:cs="Arial"/>
        </w:rPr>
        <w:t xml:space="preserve"> 2 categories namely</w:t>
      </w:r>
      <w:r w:rsidRPr="00140702">
        <w:rPr>
          <w:rFonts w:ascii="Arial" w:hAnsi="Arial" w:cs="Arial"/>
        </w:rPr>
        <w:t xml:space="preserve"> </w:t>
      </w:r>
      <w:r w:rsidRPr="00140702">
        <w:rPr>
          <w:rFonts w:ascii="Arial" w:hAnsi="Arial" w:cs="Arial"/>
          <w:i/>
        </w:rPr>
        <w:t>per se</w:t>
      </w:r>
      <w:r w:rsidRPr="00140702">
        <w:rPr>
          <w:rFonts w:ascii="Arial" w:hAnsi="Arial" w:cs="Arial"/>
        </w:rPr>
        <w:t xml:space="preserve"> and </w:t>
      </w:r>
      <w:r w:rsidRPr="00140702">
        <w:rPr>
          <w:rFonts w:ascii="Arial" w:hAnsi="Arial" w:cs="Arial"/>
          <w:i/>
        </w:rPr>
        <w:t>rule of reason</w:t>
      </w:r>
      <w:r w:rsidRPr="00140702">
        <w:rPr>
          <w:rFonts w:ascii="Arial" w:hAnsi="Arial" w:cs="Arial"/>
        </w:rPr>
        <w:t xml:space="preserve"> prohibitions.</w:t>
      </w:r>
      <w:r w:rsidR="0031366B" w:rsidRPr="00140702">
        <w:rPr>
          <w:rStyle w:val="Funotenzeichen"/>
          <w:rFonts w:ascii="Arial" w:hAnsi="Arial" w:cs="Arial"/>
        </w:rPr>
        <w:footnoteReference w:id="425"/>
      </w:r>
      <w:r w:rsidRPr="00140702">
        <w:rPr>
          <w:rFonts w:ascii="Arial" w:hAnsi="Arial" w:cs="Arial"/>
        </w:rPr>
        <w:t xml:space="preserve">  </w:t>
      </w:r>
      <w:r w:rsidR="004E33D3" w:rsidRPr="00140702">
        <w:rPr>
          <w:rFonts w:ascii="Arial" w:hAnsi="Arial" w:cs="Arial"/>
          <w:i/>
        </w:rPr>
        <w:t>Per se</w:t>
      </w:r>
      <w:r w:rsidR="004E33D3" w:rsidRPr="00140702">
        <w:rPr>
          <w:rFonts w:ascii="Arial" w:hAnsi="Arial" w:cs="Arial"/>
        </w:rPr>
        <w:t xml:space="preserve"> </w:t>
      </w:r>
      <w:r w:rsidR="00BB53AB" w:rsidRPr="00140702">
        <w:rPr>
          <w:rFonts w:ascii="Arial" w:hAnsi="Arial" w:cs="Arial"/>
        </w:rPr>
        <w:t>prohibitions</w:t>
      </w:r>
      <w:r w:rsidR="004E33D3" w:rsidRPr="00140702">
        <w:rPr>
          <w:rFonts w:ascii="Arial" w:hAnsi="Arial" w:cs="Arial"/>
        </w:rPr>
        <w:t xml:space="preserve"> are prohibitions for which there are no defences i.e. </w:t>
      </w:r>
      <w:r w:rsidR="00FF093E" w:rsidRPr="00140702">
        <w:rPr>
          <w:rFonts w:ascii="Arial" w:hAnsi="Arial" w:cs="Arial"/>
        </w:rPr>
        <w:t>when</w:t>
      </w:r>
      <w:r w:rsidR="004E33D3" w:rsidRPr="00140702">
        <w:rPr>
          <w:rFonts w:ascii="Arial" w:hAnsi="Arial" w:cs="Arial"/>
        </w:rPr>
        <w:t xml:space="preserve"> a firm </w:t>
      </w:r>
      <w:r w:rsidR="00AA2402" w:rsidRPr="00140702">
        <w:rPr>
          <w:rFonts w:ascii="Arial" w:hAnsi="Arial" w:cs="Arial"/>
        </w:rPr>
        <w:t xml:space="preserve">has </w:t>
      </w:r>
      <w:r w:rsidR="004E33D3" w:rsidRPr="00140702">
        <w:rPr>
          <w:rFonts w:ascii="Arial" w:hAnsi="Arial" w:cs="Arial"/>
        </w:rPr>
        <w:t xml:space="preserve">committed a </w:t>
      </w:r>
      <w:r w:rsidR="004E33D3" w:rsidRPr="00140702">
        <w:rPr>
          <w:rFonts w:ascii="Arial" w:hAnsi="Arial" w:cs="Arial"/>
          <w:i/>
        </w:rPr>
        <w:t>per se</w:t>
      </w:r>
      <w:r w:rsidR="004E33D3" w:rsidRPr="00140702">
        <w:rPr>
          <w:rFonts w:ascii="Arial" w:hAnsi="Arial" w:cs="Arial"/>
        </w:rPr>
        <w:t xml:space="preserve"> </w:t>
      </w:r>
      <w:r w:rsidR="00D658AE" w:rsidRPr="00140702">
        <w:rPr>
          <w:rFonts w:ascii="Arial" w:hAnsi="Arial" w:cs="Arial"/>
        </w:rPr>
        <w:t>prohibited</w:t>
      </w:r>
      <w:r w:rsidR="00BB53AB" w:rsidRPr="00140702">
        <w:rPr>
          <w:rFonts w:ascii="Arial" w:hAnsi="Arial" w:cs="Arial"/>
        </w:rPr>
        <w:t xml:space="preserve"> practice</w:t>
      </w:r>
      <w:r w:rsidR="004E33D3" w:rsidRPr="00140702">
        <w:rPr>
          <w:rFonts w:ascii="Arial" w:hAnsi="Arial" w:cs="Arial"/>
        </w:rPr>
        <w:t xml:space="preserve"> that firm is not allowed to raise any defence</w:t>
      </w:r>
      <w:r w:rsidR="00BB53AB" w:rsidRPr="00140702">
        <w:rPr>
          <w:rFonts w:ascii="Arial" w:hAnsi="Arial" w:cs="Arial"/>
        </w:rPr>
        <w:t>s</w:t>
      </w:r>
      <w:r w:rsidR="004E33D3" w:rsidRPr="00140702">
        <w:rPr>
          <w:rFonts w:ascii="Arial" w:hAnsi="Arial" w:cs="Arial"/>
        </w:rPr>
        <w:t>.</w:t>
      </w:r>
      <w:r w:rsidR="00AA2402" w:rsidRPr="00140702">
        <w:rPr>
          <w:rStyle w:val="Funotenzeichen"/>
          <w:rFonts w:ascii="Arial" w:hAnsi="Arial" w:cs="Arial"/>
        </w:rPr>
        <w:footnoteReference w:id="426"/>
      </w:r>
      <w:r w:rsidR="004E33D3" w:rsidRPr="00140702">
        <w:rPr>
          <w:rFonts w:ascii="Arial" w:hAnsi="Arial" w:cs="Arial"/>
        </w:rPr>
        <w:t xml:space="preserve"> </w:t>
      </w:r>
      <w:r w:rsidR="00AA2402" w:rsidRPr="00140702">
        <w:rPr>
          <w:rFonts w:ascii="Arial" w:hAnsi="Arial" w:cs="Arial"/>
        </w:rPr>
        <w:t>The p</w:t>
      </w:r>
      <w:r w:rsidR="00AA2402" w:rsidRPr="00140702">
        <w:rPr>
          <w:rFonts w:ascii="Arial" w:hAnsi="Arial" w:cs="Arial"/>
          <w:i/>
        </w:rPr>
        <w:t>er se</w:t>
      </w:r>
      <w:r w:rsidR="00AA2402" w:rsidRPr="00140702">
        <w:rPr>
          <w:rFonts w:ascii="Arial" w:hAnsi="Arial" w:cs="Arial"/>
        </w:rPr>
        <w:t xml:space="preserve"> prohibitions relate to conduct which is perceived as to always lead to anti-competitive effects and hence </w:t>
      </w:r>
      <w:r w:rsidR="007056C0" w:rsidRPr="00140702">
        <w:rPr>
          <w:rFonts w:ascii="Arial" w:hAnsi="Arial" w:cs="Arial"/>
        </w:rPr>
        <w:t xml:space="preserve">is </w:t>
      </w:r>
      <w:r w:rsidR="00BB53AB" w:rsidRPr="00140702">
        <w:rPr>
          <w:rFonts w:ascii="Arial" w:hAnsi="Arial" w:cs="Arial"/>
        </w:rPr>
        <w:t>always</w:t>
      </w:r>
      <w:r w:rsidR="00AA2402" w:rsidRPr="00140702">
        <w:rPr>
          <w:rFonts w:ascii="Arial" w:hAnsi="Arial" w:cs="Arial"/>
        </w:rPr>
        <w:t xml:space="preserve"> harmful for consumers.</w:t>
      </w:r>
      <w:r w:rsidR="00486567" w:rsidRPr="00140702">
        <w:rPr>
          <w:rStyle w:val="Funotenzeichen"/>
          <w:rFonts w:ascii="Arial" w:hAnsi="Arial" w:cs="Arial"/>
        </w:rPr>
        <w:footnoteReference w:id="427"/>
      </w:r>
      <w:r w:rsidR="000F4E27" w:rsidRPr="00140702">
        <w:rPr>
          <w:rFonts w:ascii="Arial" w:hAnsi="Arial" w:cs="Arial"/>
        </w:rPr>
        <w:t xml:space="preserve"> </w:t>
      </w:r>
    </w:p>
    <w:p w:rsidR="00BB53AB" w:rsidRPr="00140702" w:rsidRDefault="00BB53AB" w:rsidP="00140702">
      <w:pPr>
        <w:contextualSpacing/>
        <w:jc w:val="both"/>
        <w:rPr>
          <w:rFonts w:ascii="Arial" w:hAnsi="Arial" w:cs="Arial"/>
        </w:rPr>
      </w:pPr>
    </w:p>
    <w:p w:rsidR="00E64F48" w:rsidRPr="00140702" w:rsidRDefault="000F4E27" w:rsidP="00140702">
      <w:pPr>
        <w:contextualSpacing/>
        <w:jc w:val="both"/>
        <w:rPr>
          <w:rFonts w:ascii="Arial" w:hAnsi="Arial" w:cs="Arial"/>
        </w:rPr>
      </w:pPr>
      <w:r w:rsidRPr="00140702">
        <w:rPr>
          <w:rFonts w:ascii="Arial" w:hAnsi="Arial" w:cs="Arial"/>
          <w:i/>
        </w:rPr>
        <w:t>Rule of reason</w:t>
      </w:r>
      <w:r w:rsidRPr="00140702">
        <w:rPr>
          <w:rFonts w:ascii="Arial" w:hAnsi="Arial" w:cs="Arial"/>
        </w:rPr>
        <w:t xml:space="preserve"> prohibitions are prohibitions </w:t>
      </w:r>
      <w:r w:rsidR="00FF093E" w:rsidRPr="00140702">
        <w:rPr>
          <w:rFonts w:ascii="Arial" w:hAnsi="Arial" w:cs="Arial"/>
        </w:rPr>
        <w:t xml:space="preserve">for which there are defences i.e. when a firm has </w:t>
      </w:r>
      <w:r w:rsidR="00BB53AB" w:rsidRPr="00140702">
        <w:rPr>
          <w:rFonts w:ascii="Arial" w:hAnsi="Arial" w:cs="Arial"/>
        </w:rPr>
        <w:t xml:space="preserve">committed a </w:t>
      </w:r>
      <w:r w:rsidR="00BB53AB" w:rsidRPr="00140702">
        <w:rPr>
          <w:rFonts w:ascii="Arial" w:hAnsi="Arial" w:cs="Arial"/>
          <w:i/>
        </w:rPr>
        <w:t>rule of reason</w:t>
      </w:r>
      <w:r w:rsidR="00BB53AB" w:rsidRPr="00140702">
        <w:rPr>
          <w:rFonts w:ascii="Arial" w:hAnsi="Arial" w:cs="Arial"/>
        </w:rPr>
        <w:t xml:space="preserve"> prohibited practise that firm will be allowed to raise a defence.</w:t>
      </w:r>
      <w:r w:rsidR="00BC35F0" w:rsidRPr="00140702">
        <w:rPr>
          <w:rStyle w:val="Funotenzeichen"/>
          <w:rFonts w:ascii="Arial" w:hAnsi="Arial" w:cs="Arial"/>
        </w:rPr>
        <w:footnoteReference w:id="428"/>
      </w:r>
      <w:r w:rsidR="00F55465" w:rsidRPr="00140702">
        <w:rPr>
          <w:rFonts w:ascii="Arial" w:hAnsi="Arial" w:cs="Arial"/>
        </w:rPr>
        <w:t xml:space="preserve"> </w:t>
      </w:r>
      <w:r w:rsidR="00FB2FE8" w:rsidRPr="00140702">
        <w:rPr>
          <w:rFonts w:ascii="Arial" w:hAnsi="Arial" w:cs="Arial"/>
        </w:rPr>
        <w:t xml:space="preserve">The primary test regarding </w:t>
      </w:r>
      <w:r w:rsidR="00FB2FE8" w:rsidRPr="00140702">
        <w:rPr>
          <w:rFonts w:ascii="Arial" w:hAnsi="Arial" w:cs="Arial"/>
          <w:i/>
        </w:rPr>
        <w:t>rule of reason</w:t>
      </w:r>
      <w:r w:rsidR="00FB2FE8" w:rsidRPr="00140702">
        <w:rPr>
          <w:rFonts w:ascii="Arial" w:hAnsi="Arial" w:cs="Arial"/>
        </w:rPr>
        <w:t xml:space="preserve"> prohibitions is whether</w:t>
      </w:r>
      <w:r w:rsidR="0000201E" w:rsidRPr="00140702">
        <w:rPr>
          <w:rFonts w:ascii="Arial" w:hAnsi="Arial" w:cs="Arial"/>
        </w:rPr>
        <w:t xml:space="preserve"> the specific conduct substantially prevents or lessens competition in that market.</w:t>
      </w:r>
      <w:r w:rsidR="00DE691C" w:rsidRPr="00140702">
        <w:rPr>
          <w:rStyle w:val="Funotenzeichen"/>
          <w:rFonts w:ascii="Arial" w:hAnsi="Arial" w:cs="Arial"/>
        </w:rPr>
        <w:footnoteReference w:id="429"/>
      </w:r>
      <w:r w:rsidR="00DA0B0B" w:rsidRPr="00140702">
        <w:rPr>
          <w:rFonts w:ascii="Arial" w:hAnsi="Arial" w:cs="Arial"/>
        </w:rPr>
        <w:t xml:space="preserve"> </w:t>
      </w:r>
      <w:r w:rsidR="00BA549F" w:rsidRPr="00140702">
        <w:rPr>
          <w:rFonts w:ascii="Arial" w:hAnsi="Arial" w:cs="Arial"/>
        </w:rPr>
        <w:t>If proven, t</w:t>
      </w:r>
      <w:r w:rsidR="00DA0B0B" w:rsidRPr="00140702">
        <w:rPr>
          <w:rFonts w:ascii="Arial" w:hAnsi="Arial" w:cs="Arial"/>
        </w:rPr>
        <w:t>he contravening party will then have to proof that any technological, efficiency or other pro-competitive gains resulting from the prohibited practice outweigh any anticompetitive effects thereof and also that the prohibited conduct is reasonably necessary to achieve these pro-competitive gains.</w:t>
      </w:r>
      <w:r w:rsidR="00A83E87" w:rsidRPr="00140702">
        <w:rPr>
          <w:rStyle w:val="Funotenzeichen"/>
          <w:rFonts w:ascii="Arial" w:hAnsi="Arial" w:cs="Arial"/>
        </w:rPr>
        <w:footnoteReference w:id="430"/>
      </w:r>
      <w:r w:rsidR="00DA0B0B" w:rsidRPr="00140702">
        <w:rPr>
          <w:rFonts w:ascii="Arial" w:hAnsi="Arial" w:cs="Arial"/>
        </w:rPr>
        <w:t xml:space="preserve"> </w:t>
      </w:r>
    </w:p>
    <w:p w:rsidR="003835DB" w:rsidRPr="00140702" w:rsidRDefault="003835DB" w:rsidP="00140702">
      <w:pPr>
        <w:contextualSpacing/>
        <w:jc w:val="both"/>
        <w:rPr>
          <w:rFonts w:ascii="Arial" w:hAnsi="Arial" w:cs="Arial"/>
        </w:rPr>
      </w:pPr>
    </w:p>
    <w:p w:rsidR="00C75EAC" w:rsidRPr="00140702" w:rsidRDefault="00C75EAC" w:rsidP="00140702">
      <w:pPr>
        <w:contextualSpacing/>
        <w:jc w:val="both"/>
        <w:rPr>
          <w:rFonts w:ascii="Arial" w:hAnsi="Arial" w:cs="Arial"/>
        </w:rPr>
      </w:pPr>
      <w:r w:rsidRPr="00140702">
        <w:rPr>
          <w:rFonts w:ascii="Arial" w:hAnsi="Arial" w:cs="Arial"/>
        </w:rPr>
        <w:t xml:space="preserve">2.4.2.1 </w:t>
      </w:r>
      <w:r w:rsidR="0046373F" w:rsidRPr="00140702">
        <w:rPr>
          <w:rFonts w:ascii="Arial" w:hAnsi="Arial" w:cs="Arial"/>
        </w:rPr>
        <w:t>Restrictive</w:t>
      </w:r>
      <w:r w:rsidR="006E7E91" w:rsidRPr="00140702">
        <w:rPr>
          <w:rFonts w:ascii="Arial" w:hAnsi="Arial" w:cs="Arial"/>
        </w:rPr>
        <w:t xml:space="preserve"> </w:t>
      </w:r>
      <w:r w:rsidR="0062162E" w:rsidRPr="00140702">
        <w:rPr>
          <w:rFonts w:ascii="Arial" w:hAnsi="Arial" w:cs="Arial"/>
        </w:rPr>
        <w:t>agreements</w:t>
      </w:r>
    </w:p>
    <w:p w:rsidR="002001FA" w:rsidRPr="00140702" w:rsidRDefault="003835DB" w:rsidP="00140702">
      <w:pPr>
        <w:contextualSpacing/>
        <w:jc w:val="both"/>
        <w:rPr>
          <w:rFonts w:ascii="Arial" w:hAnsi="Arial" w:cs="Arial"/>
        </w:rPr>
      </w:pPr>
      <w:r w:rsidRPr="00140702">
        <w:rPr>
          <w:rFonts w:ascii="Arial" w:hAnsi="Arial" w:cs="Arial"/>
        </w:rPr>
        <w:t xml:space="preserve">The restrictive horizontal practices </w:t>
      </w:r>
      <w:r w:rsidR="0046373F" w:rsidRPr="00140702">
        <w:rPr>
          <w:rFonts w:ascii="Arial" w:hAnsi="Arial" w:cs="Arial"/>
        </w:rPr>
        <w:t xml:space="preserve">prohibited </w:t>
      </w:r>
      <w:r w:rsidRPr="00140702">
        <w:rPr>
          <w:rFonts w:ascii="Arial" w:hAnsi="Arial" w:cs="Arial"/>
        </w:rPr>
        <w:t>are contained in section 4 of the Competition Act</w:t>
      </w:r>
      <w:r w:rsidR="002001FA" w:rsidRPr="00140702">
        <w:rPr>
          <w:rStyle w:val="Funotenzeichen"/>
          <w:rFonts w:ascii="Arial" w:hAnsi="Arial" w:cs="Arial"/>
        </w:rPr>
        <w:footnoteReference w:id="431"/>
      </w:r>
      <w:r w:rsidRPr="00140702">
        <w:rPr>
          <w:rFonts w:ascii="Arial" w:hAnsi="Arial" w:cs="Arial"/>
        </w:rPr>
        <w:t xml:space="preserve"> with </w:t>
      </w:r>
      <w:r w:rsidR="002001FA" w:rsidRPr="00140702">
        <w:rPr>
          <w:rFonts w:ascii="Arial" w:hAnsi="Arial" w:cs="Arial"/>
        </w:rPr>
        <w:t xml:space="preserve">the </w:t>
      </w:r>
      <w:r w:rsidR="004821FE" w:rsidRPr="00140702">
        <w:rPr>
          <w:rFonts w:ascii="Arial" w:hAnsi="Arial" w:cs="Arial"/>
          <w:i/>
        </w:rPr>
        <w:t>rule of reason</w:t>
      </w:r>
      <w:r w:rsidR="004821FE" w:rsidRPr="00140702">
        <w:rPr>
          <w:rFonts w:ascii="Arial" w:hAnsi="Arial" w:cs="Arial"/>
        </w:rPr>
        <w:t xml:space="preserve"> prohibition</w:t>
      </w:r>
      <w:r w:rsidR="002001FA" w:rsidRPr="00140702">
        <w:rPr>
          <w:rFonts w:ascii="Arial" w:hAnsi="Arial" w:cs="Arial"/>
        </w:rPr>
        <w:t xml:space="preserve"> contained in section 4(1)(a) and the </w:t>
      </w:r>
      <w:r w:rsidR="004821FE" w:rsidRPr="00140702">
        <w:rPr>
          <w:rFonts w:ascii="Arial" w:hAnsi="Arial" w:cs="Arial"/>
          <w:i/>
        </w:rPr>
        <w:t>per se</w:t>
      </w:r>
      <w:r w:rsidR="004821FE" w:rsidRPr="00140702">
        <w:rPr>
          <w:rFonts w:ascii="Arial" w:hAnsi="Arial" w:cs="Arial"/>
        </w:rPr>
        <w:t xml:space="preserve"> </w:t>
      </w:r>
      <w:r w:rsidR="002001FA" w:rsidRPr="00140702">
        <w:rPr>
          <w:rFonts w:ascii="Arial" w:hAnsi="Arial" w:cs="Arial"/>
        </w:rPr>
        <w:t>prohibition</w:t>
      </w:r>
      <w:r w:rsidR="004821FE" w:rsidRPr="00140702">
        <w:rPr>
          <w:rFonts w:ascii="Arial" w:hAnsi="Arial" w:cs="Arial"/>
        </w:rPr>
        <w:t>s</w:t>
      </w:r>
      <w:r w:rsidR="002001FA" w:rsidRPr="00140702">
        <w:rPr>
          <w:rFonts w:ascii="Arial" w:hAnsi="Arial" w:cs="Arial"/>
        </w:rPr>
        <w:t xml:space="preserve"> contained in section 4(1)(b). </w:t>
      </w:r>
    </w:p>
    <w:p w:rsidR="002001FA" w:rsidRPr="00140702" w:rsidRDefault="002001FA" w:rsidP="00140702">
      <w:pPr>
        <w:contextualSpacing/>
        <w:jc w:val="both"/>
        <w:rPr>
          <w:rFonts w:ascii="Arial" w:hAnsi="Arial" w:cs="Arial"/>
        </w:rPr>
      </w:pPr>
    </w:p>
    <w:p w:rsidR="002001FA" w:rsidRPr="00140702" w:rsidRDefault="002001FA" w:rsidP="00140702">
      <w:pPr>
        <w:contextualSpacing/>
        <w:jc w:val="both"/>
        <w:rPr>
          <w:rFonts w:ascii="Arial" w:hAnsi="Arial" w:cs="Arial"/>
        </w:rPr>
      </w:pPr>
      <w:r w:rsidRPr="00140702">
        <w:rPr>
          <w:rFonts w:ascii="Arial" w:hAnsi="Arial" w:cs="Arial"/>
          <w:b/>
        </w:rPr>
        <w:t>Section 4 Restrictive horizontal practices prohibited</w:t>
      </w:r>
    </w:p>
    <w:p w:rsidR="002001FA" w:rsidRPr="00140702" w:rsidRDefault="002001FA" w:rsidP="00140702">
      <w:pPr>
        <w:ind w:left="720"/>
        <w:contextualSpacing/>
        <w:jc w:val="both"/>
        <w:rPr>
          <w:rFonts w:ascii="Arial" w:hAnsi="Arial" w:cs="Arial"/>
        </w:rPr>
      </w:pPr>
    </w:p>
    <w:p w:rsidR="002001FA" w:rsidRPr="00140702" w:rsidRDefault="00644C6E" w:rsidP="00140702">
      <w:pPr>
        <w:ind w:left="720"/>
        <w:contextualSpacing/>
        <w:jc w:val="both"/>
        <w:rPr>
          <w:rFonts w:ascii="Arial" w:hAnsi="Arial" w:cs="Arial"/>
        </w:rPr>
      </w:pPr>
      <w:r w:rsidRPr="00140702">
        <w:rPr>
          <w:rFonts w:ascii="Arial" w:hAnsi="Arial" w:cs="Arial"/>
        </w:rPr>
        <w:t>“</w:t>
      </w:r>
      <w:r w:rsidR="002001FA" w:rsidRPr="00140702">
        <w:rPr>
          <w:rFonts w:ascii="Arial" w:hAnsi="Arial" w:cs="Arial"/>
        </w:rPr>
        <w:t xml:space="preserve">(1) </w:t>
      </w:r>
      <w:r w:rsidR="00E56E90" w:rsidRPr="00140702">
        <w:rPr>
          <w:rFonts w:ascii="Arial" w:hAnsi="Arial" w:cs="Arial"/>
        </w:rPr>
        <w:t>An</w:t>
      </w:r>
      <w:r w:rsidR="002001FA" w:rsidRPr="00140702">
        <w:rPr>
          <w:rFonts w:ascii="Arial" w:hAnsi="Arial" w:cs="Arial"/>
        </w:rPr>
        <w:t xml:space="preserve"> agreement between, or concerted practice by, firms, or a decision by an association of firms, is prohibited if it is between parties in a horizontal relationship and if – </w:t>
      </w:r>
    </w:p>
    <w:p w:rsidR="002001FA" w:rsidRPr="00140702" w:rsidRDefault="002001FA" w:rsidP="00140702">
      <w:pPr>
        <w:ind w:left="1440"/>
        <w:contextualSpacing/>
        <w:jc w:val="both"/>
        <w:rPr>
          <w:rFonts w:ascii="Arial" w:hAnsi="Arial" w:cs="Arial"/>
        </w:rPr>
      </w:pPr>
      <w:r w:rsidRPr="00140702">
        <w:rPr>
          <w:rFonts w:ascii="Arial" w:hAnsi="Arial" w:cs="Arial"/>
        </w:rPr>
        <w:t>(a) it has the effect of substantially preventing or lessening competition in a market, unless a party to the agreement, concerted practice or decision can prove that any technological, efficiency or other pro-competitive gain resulting from it outweighs that effect.</w:t>
      </w:r>
      <w:r w:rsidR="004821FE" w:rsidRPr="00140702">
        <w:rPr>
          <w:rFonts w:ascii="Arial" w:hAnsi="Arial" w:cs="Arial"/>
        </w:rPr>
        <w:t xml:space="preserve"> or</w:t>
      </w:r>
    </w:p>
    <w:p w:rsidR="002001FA" w:rsidRPr="00140702" w:rsidRDefault="002001FA" w:rsidP="00140702">
      <w:pPr>
        <w:ind w:left="1440"/>
        <w:contextualSpacing/>
        <w:jc w:val="both"/>
        <w:rPr>
          <w:rFonts w:ascii="Arial" w:hAnsi="Arial" w:cs="Arial"/>
        </w:rPr>
      </w:pPr>
      <w:r w:rsidRPr="00140702">
        <w:rPr>
          <w:rFonts w:ascii="Arial" w:hAnsi="Arial" w:cs="Arial"/>
        </w:rPr>
        <w:t>(b) it involves any of the f</w:t>
      </w:r>
      <w:r w:rsidR="004821FE" w:rsidRPr="00140702">
        <w:rPr>
          <w:rFonts w:ascii="Arial" w:hAnsi="Arial" w:cs="Arial"/>
        </w:rPr>
        <w:t xml:space="preserve">ollowing restrictive horizontal </w:t>
      </w:r>
      <w:r w:rsidRPr="00140702">
        <w:rPr>
          <w:rFonts w:ascii="Arial" w:hAnsi="Arial" w:cs="Arial"/>
        </w:rPr>
        <w:t>practices:</w:t>
      </w:r>
    </w:p>
    <w:p w:rsidR="002001FA" w:rsidRPr="00140702" w:rsidRDefault="004821FE" w:rsidP="00140702">
      <w:pPr>
        <w:ind w:left="1440"/>
        <w:contextualSpacing/>
        <w:jc w:val="both"/>
        <w:rPr>
          <w:rFonts w:ascii="Arial" w:hAnsi="Arial" w:cs="Arial"/>
        </w:rPr>
      </w:pPr>
      <w:r w:rsidRPr="00140702">
        <w:rPr>
          <w:rFonts w:ascii="Arial" w:hAnsi="Arial" w:cs="Arial"/>
        </w:rPr>
        <w:tab/>
      </w:r>
      <w:r w:rsidR="002001FA" w:rsidRPr="00140702">
        <w:rPr>
          <w:rFonts w:ascii="Arial" w:hAnsi="Arial" w:cs="Arial"/>
        </w:rPr>
        <w:t>(i) directly or indirectly fixing a purchase or selling</w:t>
      </w:r>
      <w:r w:rsidRPr="00140702">
        <w:rPr>
          <w:rFonts w:ascii="Arial" w:hAnsi="Arial" w:cs="Arial"/>
        </w:rPr>
        <w:t xml:space="preserve"> price or any other </w:t>
      </w:r>
      <w:r w:rsidRPr="00140702">
        <w:rPr>
          <w:rFonts w:ascii="Arial" w:hAnsi="Arial" w:cs="Arial"/>
        </w:rPr>
        <w:tab/>
      </w:r>
      <w:r w:rsidR="002001FA" w:rsidRPr="00140702">
        <w:rPr>
          <w:rFonts w:ascii="Arial" w:hAnsi="Arial" w:cs="Arial"/>
        </w:rPr>
        <w:t>trading condition;</w:t>
      </w:r>
    </w:p>
    <w:p w:rsidR="002001FA" w:rsidRPr="00140702" w:rsidRDefault="004821FE" w:rsidP="00140702">
      <w:pPr>
        <w:ind w:left="1440"/>
        <w:contextualSpacing/>
        <w:jc w:val="both"/>
        <w:rPr>
          <w:rFonts w:ascii="Arial" w:hAnsi="Arial" w:cs="Arial"/>
        </w:rPr>
      </w:pPr>
      <w:r w:rsidRPr="00140702">
        <w:rPr>
          <w:rFonts w:ascii="Arial" w:hAnsi="Arial" w:cs="Arial"/>
        </w:rPr>
        <w:tab/>
      </w:r>
      <w:r w:rsidR="002001FA" w:rsidRPr="00140702">
        <w:rPr>
          <w:rFonts w:ascii="Arial" w:hAnsi="Arial" w:cs="Arial"/>
        </w:rPr>
        <w:t>(ii) dividing markets by allocating customers, suppliers, territories</w:t>
      </w:r>
      <w:r w:rsidRPr="00140702">
        <w:rPr>
          <w:rFonts w:ascii="Arial" w:hAnsi="Arial" w:cs="Arial"/>
        </w:rPr>
        <w:t xml:space="preserve">, or </w:t>
      </w:r>
      <w:r w:rsidRPr="00140702">
        <w:rPr>
          <w:rFonts w:ascii="Arial" w:hAnsi="Arial" w:cs="Arial"/>
        </w:rPr>
        <w:tab/>
        <w:t xml:space="preserve">specific types of goods or </w:t>
      </w:r>
      <w:r w:rsidR="002001FA" w:rsidRPr="00140702">
        <w:rPr>
          <w:rFonts w:ascii="Arial" w:hAnsi="Arial" w:cs="Arial"/>
        </w:rPr>
        <w:t>services; or</w:t>
      </w:r>
    </w:p>
    <w:p w:rsidR="002001FA" w:rsidRPr="00140702" w:rsidRDefault="004821FE" w:rsidP="00140702">
      <w:pPr>
        <w:ind w:left="1440"/>
        <w:contextualSpacing/>
        <w:jc w:val="both"/>
        <w:rPr>
          <w:rFonts w:ascii="Arial" w:hAnsi="Arial" w:cs="Arial"/>
        </w:rPr>
      </w:pPr>
      <w:r w:rsidRPr="00140702">
        <w:rPr>
          <w:rFonts w:ascii="Arial" w:hAnsi="Arial" w:cs="Arial"/>
        </w:rPr>
        <w:tab/>
      </w:r>
      <w:r w:rsidR="002001FA" w:rsidRPr="00140702">
        <w:rPr>
          <w:rFonts w:ascii="Arial" w:hAnsi="Arial" w:cs="Arial"/>
        </w:rPr>
        <w:t>(iii) collusive tendering.</w:t>
      </w:r>
      <w:r w:rsidR="00644C6E" w:rsidRPr="00140702">
        <w:rPr>
          <w:rFonts w:ascii="Arial" w:hAnsi="Arial" w:cs="Arial"/>
        </w:rPr>
        <w:t>”</w:t>
      </w:r>
    </w:p>
    <w:p w:rsidR="00C75EAC" w:rsidRPr="00140702" w:rsidRDefault="00C75EAC" w:rsidP="00140702">
      <w:pPr>
        <w:contextualSpacing/>
        <w:jc w:val="both"/>
        <w:rPr>
          <w:rFonts w:ascii="Arial" w:hAnsi="Arial" w:cs="Arial"/>
        </w:rPr>
      </w:pPr>
    </w:p>
    <w:p w:rsidR="00C51C42" w:rsidRPr="00140702" w:rsidRDefault="004821FE" w:rsidP="00140702">
      <w:pPr>
        <w:contextualSpacing/>
        <w:jc w:val="both"/>
        <w:rPr>
          <w:rFonts w:ascii="Arial" w:hAnsi="Arial" w:cs="Arial"/>
        </w:rPr>
      </w:pPr>
      <w:r w:rsidRPr="00140702">
        <w:rPr>
          <w:rFonts w:ascii="Arial" w:hAnsi="Arial" w:cs="Arial"/>
        </w:rPr>
        <w:t>The restrictive vertical practices</w:t>
      </w:r>
      <w:r w:rsidR="00726391" w:rsidRPr="00140702">
        <w:rPr>
          <w:rFonts w:ascii="Arial" w:hAnsi="Arial" w:cs="Arial"/>
        </w:rPr>
        <w:t xml:space="preserve"> prohibited </w:t>
      </w:r>
      <w:r w:rsidRPr="00140702">
        <w:rPr>
          <w:rFonts w:ascii="Arial" w:hAnsi="Arial" w:cs="Arial"/>
        </w:rPr>
        <w:t xml:space="preserve"> are contained in section 5 of the Competition Act</w:t>
      </w:r>
      <w:r w:rsidRPr="00140702">
        <w:rPr>
          <w:rStyle w:val="Funotenzeichen"/>
          <w:rFonts w:ascii="Arial" w:hAnsi="Arial" w:cs="Arial"/>
        </w:rPr>
        <w:footnoteReference w:id="432"/>
      </w:r>
      <w:r w:rsidRPr="00140702">
        <w:rPr>
          <w:rFonts w:ascii="Arial" w:hAnsi="Arial" w:cs="Arial"/>
        </w:rPr>
        <w:t xml:space="preserve"> with the </w:t>
      </w:r>
      <w:r w:rsidRPr="00140702">
        <w:rPr>
          <w:rFonts w:ascii="Arial" w:hAnsi="Arial" w:cs="Arial"/>
          <w:i/>
        </w:rPr>
        <w:t xml:space="preserve">rule of reason </w:t>
      </w:r>
      <w:r w:rsidRPr="00140702">
        <w:rPr>
          <w:rFonts w:ascii="Arial" w:hAnsi="Arial" w:cs="Arial"/>
        </w:rPr>
        <w:t xml:space="preserve">prohibition contained in section 5(1) and the </w:t>
      </w:r>
      <w:r w:rsidRPr="00140702">
        <w:rPr>
          <w:rFonts w:ascii="Arial" w:hAnsi="Arial" w:cs="Arial"/>
          <w:i/>
        </w:rPr>
        <w:t>per se</w:t>
      </w:r>
      <w:r w:rsidRPr="00140702">
        <w:rPr>
          <w:rFonts w:ascii="Arial" w:hAnsi="Arial" w:cs="Arial"/>
        </w:rPr>
        <w:t xml:space="preserve"> prohibitions contained in section 5(2) and 5(3).</w:t>
      </w:r>
    </w:p>
    <w:p w:rsidR="004821FE" w:rsidRPr="00140702" w:rsidRDefault="004821FE" w:rsidP="00140702">
      <w:pPr>
        <w:contextualSpacing/>
        <w:jc w:val="both"/>
        <w:rPr>
          <w:rFonts w:ascii="Arial" w:hAnsi="Arial" w:cs="Arial"/>
          <w:b/>
        </w:rPr>
      </w:pPr>
    </w:p>
    <w:p w:rsidR="004821FE" w:rsidRPr="00140702" w:rsidRDefault="004821FE" w:rsidP="00140702">
      <w:pPr>
        <w:contextualSpacing/>
        <w:jc w:val="both"/>
        <w:rPr>
          <w:rFonts w:ascii="Arial" w:hAnsi="Arial" w:cs="Arial"/>
          <w:b/>
        </w:rPr>
      </w:pPr>
      <w:r w:rsidRPr="00140702">
        <w:rPr>
          <w:rFonts w:ascii="Arial" w:hAnsi="Arial" w:cs="Arial"/>
          <w:b/>
        </w:rPr>
        <w:t xml:space="preserve">Section 5: Restrictive vertical practices prohibited </w:t>
      </w:r>
    </w:p>
    <w:p w:rsidR="004821FE" w:rsidRPr="00140702" w:rsidRDefault="004821FE" w:rsidP="00140702">
      <w:pPr>
        <w:ind w:left="720"/>
        <w:contextualSpacing/>
        <w:jc w:val="both"/>
        <w:rPr>
          <w:rFonts w:ascii="Arial" w:hAnsi="Arial" w:cs="Arial"/>
        </w:rPr>
      </w:pPr>
    </w:p>
    <w:p w:rsidR="004821FE" w:rsidRPr="00140702" w:rsidRDefault="006341E3" w:rsidP="00140702">
      <w:pPr>
        <w:ind w:left="720"/>
        <w:contextualSpacing/>
        <w:jc w:val="both"/>
        <w:rPr>
          <w:rFonts w:ascii="Arial" w:hAnsi="Arial" w:cs="Arial"/>
        </w:rPr>
      </w:pPr>
      <w:r w:rsidRPr="00140702">
        <w:rPr>
          <w:rFonts w:ascii="Arial" w:hAnsi="Arial" w:cs="Arial"/>
        </w:rPr>
        <w:t>“</w:t>
      </w:r>
      <w:r w:rsidR="004821FE" w:rsidRPr="00140702">
        <w:rPr>
          <w:rFonts w:ascii="Arial" w:hAnsi="Arial" w:cs="Arial"/>
        </w:rPr>
        <w:t>(1) An agreement between parties in a vertical relationship is prohibited if it has the effect of substantially preventing or lessening competition in a market, unless a party to the agreement can prove that any technological, efficiency or other pro-competitive gain resulting from that agreement outweighs that effect.</w:t>
      </w:r>
    </w:p>
    <w:p w:rsidR="004821FE" w:rsidRPr="00140702" w:rsidRDefault="004821FE" w:rsidP="00140702">
      <w:pPr>
        <w:ind w:left="720"/>
        <w:contextualSpacing/>
        <w:jc w:val="both"/>
        <w:rPr>
          <w:rFonts w:ascii="Arial" w:hAnsi="Arial" w:cs="Arial"/>
        </w:rPr>
      </w:pPr>
      <w:r w:rsidRPr="00140702">
        <w:rPr>
          <w:rFonts w:ascii="Arial" w:hAnsi="Arial" w:cs="Arial"/>
        </w:rPr>
        <w:t>(2) The practice of minimum resale price maintenance is prohibited.</w:t>
      </w:r>
    </w:p>
    <w:p w:rsidR="004821FE" w:rsidRPr="00140702" w:rsidRDefault="004821FE" w:rsidP="00140702">
      <w:pPr>
        <w:ind w:left="720"/>
        <w:contextualSpacing/>
        <w:jc w:val="both"/>
        <w:rPr>
          <w:rFonts w:ascii="Arial" w:hAnsi="Arial" w:cs="Arial"/>
        </w:rPr>
      </w:pPr>
      <w:r w:rsidRPr="00140702">
        <w:rPr>
          <w:rFonts w:ascii="Arial" w:hAnsi="Arial" w:cs="Arial"/>
        </w:rPr>
        <w:t>(3) Despite subsection (2), a supplier or producer may recommend a minimum resale price to the reseller of a good or service provided –</w:t>
      </w:r>
    </w:p>
    <w:p w:rsidR="004821FE" w:rsidRPr="00140702" w:rsidRDefault="00C75EAC" w:rsidP="00140702">
      <w:pPr>
        <w:ind w:left="720"/>
        <w:contextualSpacing/>
        <w:jc w:val="both"/>
        <w:rPr>
          <w:rFonts w:ascii="Arial" w:hAnsi="Arial" w:cs="Arial"/>
        </w:rPr>
      </w:pPr>
      <w:r w:rsidRPr="00140702">
        <w:rPr>
          <w:rFonts w:ascii="Arial" w:hAnsi="Arial" w:cs="Arial"/>
        </w:rPr>
        <w:tab/>
      </w:r>
      <w:r w:rsidR="004821FE" w:rsidRPr="00140702">
        <w:rPr>
          <w:rFonts w:ascii="Arial" w:hAnsi="Arial" w:cs="Arial"/>
        </w:rPr>
        <w:t>(a) the supplier or producer makes it clear to the</w:t>
      </w:r>
      <w:r w:rsidRPr="00140702">
        <w:rPr>
          <w:rFonts w:ascii="Arial" w:hAnsi="Arial" w:cs="Arial"/>
        </w:rPr>
        <w:t xml:space="preserve"> </w:t>
      </w:r>
      <w:r w:rsidR="004821FE" w:rsidRPr="00140702">
        <w:rPr>
          <w:rFonts w:ascii="Arial" w:hAnsi="Arial" w:cs="Arial"/>
        </w:rPr>
        <w:t xml:space="preserve">reseller that the </w:t>
      </w:r>
      <w:r w:rsidRPr="00140702">
        <w:rPr>
          <w:rFonts w:ascii="Arial" w:hAnsi="Arial" w:cs="Arial"/>
        </w:rPr>
        <w:tab/>
      </w:r>
      <w:r w:rsidR="004821FE" w:rsidRPr="00140702">
        <w:rPr>
          <w:rFonts w:ascii="Arial" w:hAnsi="Arial" w:cs="Arial"/>
        </w:rPr>
        <w:t>recommendation is not binding; and</w:t>
      </w:r>
    </w:p>
    <w:p w:rsidR="00C75EAC" w:rsidRPr="00140702" w:rsidRDefault="00C75EAC" w:rsidP="00140702">
      <w:pPr>
        <w:ind w:left="720"/>
        <w:contextualSpacing/>
        <w:jc w:val="both"/>
        <w:rPr>
          <w:rFonts w:ascii="Arial" w:hAnsi="Arial" w:cs="Arial"/>
        </w:rPr>
      </w:pPr>
      <w:r w:rsidRPr="00140702">
        <w:rPr>
          <w:rFonts w:ascii="Arial" w:hAnsi="Arial" w:cs="Arial"/>
        </w:rPr>
        <w:tab/>
      </w:r>
      <w:r w:rsidR="004821FE" w:rsidRPr="00140702">
        <w:rPr>
          <w:rFonts w:ascii="Arial" w:hAnsi="Arial" w:cs="Arial"/>
        </w:rPr>
        <w:t>(b) if the product has its price stated on it, the words</w:t>
      </w:r>
      <w:r w:rsidRPr="00140702">
        <w:rPr>
          <w:rFonts w:ascii="Arial" w:hAnsi="Arial" w:cs="Arial"/>
        </w:rPr>
        <w:t xml:space="preserve"> </w:t>
      </w:r>
      <w:r w:rsidR="004821FE" w:rsidRPr="00140702">
        <w:rPr>
          <w:rFonts w:ascii="Arial" w:hAnsi="Arial" w:cs="Arial"/>
        </w:rPr>
        <w:t xml:space="preserve">“recommended price” </w:t>
      </w:r>
      <w:r w:rsidRPr="00140702">
        <w:rPr>
          <w:rFonts w:ascii="Arial" w:hAnsi="Arial" w:cs="Arial"/>
        </w:rPr>
        <w:tab/>
      </w:r>
      <w:r w:rsidR="004821FE" w:rsidRPr="00140702">
        <w:rPr>
          <w:rFonts w:ascii="Arial" w:hAnsi="Arial" w:cs="Arial"/>
        </w:rPr>
        <w:t>appear next to the stated price.</w:t>
      </w:r>
      <w:r w:rsidR="006341E3" w:rsidRPr="00140702">
        <w:rPr>
          <w:rFonts w:ascii="Arial" w:hAnsi="Arial" w:cs="Arial"/>
        </w:rPr>
        <w:t>”</w:t>
      </w:r>
    </w:p>
    <w:p w:rsidR="00C75EAC" w:rsidRPr="00140702" w:rsidRDefault="00C75EAC" w:rsidP="00140702">
      <w:pPr>
        <w:contextualSpacing/>
        <w:jc w:val="both"/>
        <w:rPr>
          <w:rFonts w:ascii="Arial" w:hAnsi="Arial" w:cs="Arial"/>
        </w:rPr>
      </w:pPr>
      <w:r w:rsidRPr="00140702">
        <w:rPr>
          <w:rFonts w:ascii="Arial" w:hAnsi="Arial" w:cs="Arial"/>
        </w:rPr>
        <w:t>2.4.2.2 Abuse of dominance</w:t>
      </w:r>
    </w:p>
    <w:p w:rsidR="00C75EAC" w:rsidRPr="00140702" w:rsidRDefault="00AA56D4" w:rsidP="00140702">
      <w:pPr>
        <w:contextualSpacing/>
        <w:jc w:val="both"/>
        <w:rPr>
          <w:rFonts w:ascii="Arial" w:hAnsi="Arial" w:cs="Arial"/>
        </w:rPr>
      </w:pPr>
      <w:r w:rsidRPr="00140702">
        <w:rPr>
          <w:rFonts w:ascii="Arial" w:hAnsi="Arial" w:cs="Arial"/>
        </w:rPr>
        <w:t>In terms of section 7 of the Competition Act</w:t>
      </w:r>
      <w:r w:rsidRPr="00140702">
        <w:rPr>
          <w:rStyle w:val="Funotenzeichen"/>
          <w:rFonts w:ascii="Arial" w:hAnsi="Arial" w:cs="Arial"/>
        </w:rPr>
        <w:footnoteReference w:id="433"/>
      </w:r>
      <w:r w:rsidRPr="00140702">
        <w:rPr>
          <w:rFonts w:ascii="Arial" w:hAnsi="Arial" w:cs="Arial"/>
        </w:rPr>
        <w:t xml:space="preserve"> a firm is regarded </w:t>
      </w:r>
      <w:r w:rsidR="00A03E11" w:rsidRPr="00140702">
        <w:rPr>
          <w:rFonts w:ascii="Arial" w:hAnsi="Arial" w:cs="Arial"/>
        </w:rPr>
        <w:t xml:space="preserve">as being </w:t>
      </w:r>
      <w:r w:rsidRPr="00140702">
        <w:rPr>
          <w:rFonts w:ascii="Arial" w:hAnsi="Arial" w:cs="Arial"/>
        </w:rPr>
        <w:t xml:space="preserve">dominant </w:t>
      </w:r>
      <w:r w:rsidR="00DE24CC" w:rsidRPr="00140702">
        <w:rPr>
          <w:rFonts w:ascii="Arial" w:hAnsi="Arial" w:cs="Arial"/>
        </w:rPr>
        <w:t xml:space="preserve">in a specific market </w:t>
      </w:r>
      <w:r w:rsidRPr="00140702">
        <w:rPr>
          <w:rFonts w:ascii="Arial" w:hAnsi="Arial" w:cs="Arial"/>
        </w:rPr>
        <w:t>if that firm:</w:t>
      </w:r>
    </w:p>
    <w:p w:rsidR="00DE24CC" w:rsidRPr="00140702" w:rsidRDefault="00225C73" w:rsidP="00140702">
      <w:pPr>
        <w:contextualSpacing/>
        <w:jc w:val="both"/>
        <w:rPr>
          <w:rFonts w:ascii="Arial" w:hAnsi="Arial" w:cs="Arial"/>
        </w:rPr>
      </w:pPr>
      <w:r w:rsidRPr="00140702">
        <w:rPr>
          <w:rFonts w:ascii="Arial" w:hAnsi="Arial" w:cs="Arial"/>
        </w:rPr>
        <w:tab/>
      </w:r>
      <w:r w:rsidR="00AA56D4" w:rsidRPr="00140702">
        <w:rPr>
          <w:rFonts w:ascii="Arial" w:hAnsi="Arial" w:cs="Arial"/>
        </w:rPr>
        <w:t xml:space="preserve">(a) </w:t>
      </w:r>
      <w:r w:rsidR="00A96A44" w:rsidRPr="00140702">
        <w:rPr>
          <w:rFonts w:ascii="Arial" w:hAnsi="Arial" w:cs="Arial"/>
        </w:rPr>
        <w:t>has</w:t>
      </w:r>
      <w:r w:rsidR="00A03E11" w:rsidRPr="00140702">
        <w:rPr>
          <w:rFonts w:ascii="Arial" w:hAnsi="Arial" w:cs="Arial"/>
        </w:rPr>
        <w:t xml:space="preserve"> </w:t>
      </w:r>
      <w:r w:rsidR="00DE24CC" w:rsidRPr="00140702">
        <w:rPr>
          <w:rFonts w:ascii="Arial" w:hAnsi="Arial" w:cs="Arial"/>
        </w:rPr>
        <w:t xml:space="preserve">45 percent </w:t>
      </w:r>
      <w:r w:rsidR="00A96A44" w:rsidRPr="00140702">
        <w:rPr>
          <w:rFonts w:ascii="Arial" w:hAnsi="Arial" w:cs="Arial"/>
        </w:rPr>
        <w:t xml:space="preserve">of </w:t>
      </w:r>
      <w:r w:rsidR="00DE24CC" w:rsidRPr="00140702">
        <w:rPr>
          <w:rFonts w:ascii="Arial" w:hAnsi="Arial" w:cs="Arial"/>
        </w:rPr>
        <w:t>that market or</w:t>
      </w:r>
    </w:p>
    <w:p w:rsidR="00C51C42" w:rsidRPr="00140702" w:rsidRDefault="00225C73" w:rsidP="00140702">
      <w:pPr>
        <w:contextualSpacing/>
        <w:jc w:val="both"/>
        <w:rPr>
          <w:rFonts w:ascii="Arial" w:hAnsi="Arial" w:cs="Arial"/>
        </w:rPr>
      </w:pPr>
      <w:r w:rsidRPr="00140702">
        <w:rPr>
          <w:rFonts w:ascii="Arial" w:hAnsi="Arial" w:cs="Arial"/>
        </w:rPr>
        <w:tab/>
      </w:r>
      <w:r w:rsidR="00AA56D4" w:rsidRPr="00140702">
        <w:rPr>
          <w:rFonts w:ascii="Arial" w:hAnsi="Arial" w:cs="Arial"/>
        </w:rPr>
        <w:t>(b)</w:t>
      </w:r>
      <w:r w:rsidR="00DE24CC" w:rsidRPr="00140702">
        <w:rPr>
          <w:rFonts w:ascii="Arial" w:hAnsi="Arial" w:cs="Arial"/>
        </w:rPr>
        <w:t xml:space="preserve"> if </w:t>
      </w:r>
      <w:r w:rsidR="00A96A44" w:rsidRPr="00140702">
        <w:rPr>
          <w:rFonts w:ascii="Arial" w:hAnsi="Arial" w:cs="Arial"/>
        </w:rPr>
        <w:t>it has</w:t>
      </w:r>
      <w:r w:rsidR="00DE24CC" w:rsidRPr="00140702">
        <w:rPr>
          <w:rFonts w:ascii="Arial" w:hAnsi="Arial" w:cs="Arial"/>
        </w:rPr>
        <w:t xml:space="preserve"> 35 percent</w:t>
      </w:r>
      <w:r w:rsidR="00A03E11" w:rsidRPr="00140702">
        <w:rPr>
          <w:rFonts w:ascii="Arial" w:hAnsi="Arial" w:cs="Arial"/>
        </w:rPr>
        <w:t>, but less than 45 percent,</w:t>
      </w:r>
      <w:r w:rsidR="00DE24CC" w:rsidRPr="00140702">
        <w:rPr>
          <w:rFonts w:ascii="Arial" w:hAnsi="Arial" w:cs="Arial"/>
        </w:rPr>
        <w:t xml:space="preserve"> </w:t>
      </w:r>
      <w:r w:rsidR="00A96A44" w:rsidRPr="00140702">
        <w:rPr>
          <w:rFonts w:ascii="Arial" w:hAnsi="Arial" w:cs="Arial"/>
        </w:rPr>
        <w:t>of</w:t>
      </w:r>
      <w:r w:rsidR="00DE24CC" w:rsidRPr="00140702">
        <w:rPr>
          <w:rFonts w:ascii="Arial" w:hAnsi="Arial" w:cs="Arial"/>
        </w:rPr>
        <w:t xml:space="preserve"> that market</w:t>
      </w:r>
      <w:r w:rsidR="00A03E11" w:rsidRPr="00140702">
        <w:rPr>
          <w:rFonts w:ascii="Arial" w:hAnsi="Arial" w:cs="Arial"/>
        </w:rPr>
        <w:t xml:space="preserve"> unless the firm </w:t>
      </w:r>
      <w:r w:rsidR="00B53B85">
        <w:rPr>
          <w:rFonts w:ascii="Arial" w:hAnsi="Arial" w:cs="Arial"/>
        </w:rPr>
        <w:tab/>
      </w:r>
      <w:r w:rsidR="00A03E11" w:rsidRPr="00140702">
        <w:rPr>
          <w:rFonts w:ascii="Arial" w:hAnsi="Arial" w:cs="Arial"/>
        </w:rPr>
        <w:t>can show that it does not possess market power in that market or</w:t>
      </w:r>
    </w:p>
    <w:p w:rsidR="00F226C3" w:rsidRPr="00140702" w:rsidRDefault="00225C73" w:rsidP="00140702">
      <w:pPr>
        <w:contextualSpacing/>
        <w:jc w:val="both"/>
        <w:rPr>
          <w:rFonts w:ascii="Arial" w:hAnsi="Arial" w:cs="Arial"/>
        </w:rPr>
      </w:pPr>
      <w:r w:rsidRPr="00140702">
        <w:rPr>
          <w:rFonts w:ascii="Arial" w:hAnsi="Arial" w:cs="Arial"/>
        </w:rPr>
        <w:tab/>
      </w:r>
      <w:r w:rsidR="00AA56D4" w:rsidRPr="00140702">
        <w:rPr>
          <w:rFonts w:ascii="Arial" w:hAnsi="Arial" w:cs="Arial"/>
        </w:rPr>
        <w:t>(c)</w:t>
      </w:r>
      <w:r w:rsidR="00A03E11" w:rsidRPr="00140702">
        <w:rPr>
          <w:rFonts w:ascii="Arial" w:hAnsi="Arial" w:cs="Arial"/>
        </w:rPr>
        <w:t xml:space="preserve"> if it </w:t>
      </w:r>
      <w:r w:rsidR="00A96A44" w:rsidRPr="00140702">
        <w:rPr>
          <w:rFonts w:ascii="Arial" w:hAnsi="Arial" w:cs="Arial"/>
        </w:rPr>
        <w:t>has</w:t>
      </w:r>
      <w:r w:rsidR="00A03E11" w:rsidRPr="00140702">
        <w:rPr>
          <w:rFonts w:ascii="Arial" w:hAnsi="Arial" w:cs="Arial"/>
        </w:rPr>
        <w:t xml:space="preserve"> less than 35 percent of that market but are in possession of market </w:t>
      </w:r>
      <w:r w:rsidR="00B53B85">
        <w:rPr>
          <w:rFonts w:ascii="Arial" w:hAnsi="Arial" w:cs="Arial"/>
        </w:rPr>
        <w:tab/>
      </w:r>
      <w:r w:rsidR="00A03E11" w:rsidRPr="00140702">
        <w:rPr>
          <w:rFonts w:ascii="Arial" w:hAnsi="Arial" w:cs="Arial"/>
        </w:rPr>
        <w:t>power within that market.</w:t>
      </w:r>
    </w:p>
    <w:p w:rsidR="00A96A44" w:rsidRPr="00140702" w:rsidRDefault="00A96A44" w:rsidP="00140702">
      <w:pPr>
        <w:contextualSpacing/>
        <w:jc w:val="both"/>
        <w:rPr>
          <w:rFonts w:ascii="Arial" w:hAnsi="Arial" w:cs="Arial"/>
        </w:rPr>
      </w:pPr>
    </w:p>
    <w:p w:rsidR="00644C6E" w:rsidRPr="00140702" w:rsidRDefault="00A96A44" w:rsidP="00140702">
      <w:pPr>
        <w:contextualSpacing/>
        <w:jc w:val="both"/>
        <w:rPr>
          <w:rFonts w:ascii="Arial" w:hAnsi="Arial" w:cs="Arial"/>
        </w:rPr>
      </w:pPr>
      <w:r w:rsidRPr="00140702">
        <w:rPr>
          <w:rFonts w:ascii="Arial" w:hAnsi="Arial" w:cs="Arial"/>
        </w:rPr>
        <w:t>The Competition Act</w:t>
      </w:r>
      <w:r w:rsidRPr="00140702">
        <w:rPr>
          <w:rStyle w:val="Funotenzeichen"/>
          <w:rFonts w:ascii="Arial" w:hAnsi="Arial" w:cs="Arial"/>
        </w:rPr>
        <w:footnoteReference w:id="434"/>
      </w:r>
      <w:r w:rsidRPr="00140702">
        <w:rPr>
          <w:rFonts w:ascii="Arial" w:hAnsi="Arial" w:cs="Arial"/>
        </w:rPr>
        <w:t xml:space="preserve"> defines market power as “the power of a firm to control prices, or to exclude competition or to behave to an appreciable extent independently of its competitors, customers or suppliers.”</w:t>
      </w:r>
      <w:r w:rsidRPr="00140702">
        <w:rPr>
          <w:rStyle w:val="Funotenzeichen"/>
          <w:rFonts w:ascii="Arial" w:hAnsi="Arial" w:cs="Arial"/>
        </w:rPr>
        <w:footnoteReference w:id="435"/>
      </w:r>
    </w:p>
    <w:p w:rsidR="00B53B85" w:rsidRDefault="00B53B85" w:rsidP="00140702">
      <w:pPr>
        <w:contextualSpacing/>
        <w:jc w:val="both"/>
        <w:rPr>
          <w:rFonts w:ascii="Arial" w:hAnsi="Arial" w:cs="Arial"/>
        </w:rPr>
      </w:pPr>
    </w:p>
    <w:p w:rsidR="002068AA" w:rsidRPr="00140702" w:rsidRDefault="002A7465" w:rsidP="00140702">
      <w:pPr>
        <w:contextualSpacing/>
        <w:jc w:val="both"/>
        <w:rPr>
          <w:rFonts w:ascii="Arial" w:hAnsi="Arial" w:cs="Arial"/>
        </w:rPr>
      </w:pPr>
      <w:r w:rsidRPr="00140702">
        <w:rPr>
          <w:rFonts w:ascii="Arial" w:hAnsi="Arial" w:cs="Arial"/>
        </w:rPr>
        <w:t xml:space="preserve">The prohibited practises involving the abuse of dominance are contained in section 8 </w:t>
      </w:r>
      <w:r w:rsidR="005617E9">
        <w:rPr>
          <w:rFonts w:ascii="Arial" w:hAnsi="Arial" w:cs="Arial"/>
        </w:rPr>
        <w:t xml:space="preserve">and 9 </w:t>
      </w:r>
      <w:r w:rsidRPr="00140702">
        <w:rPr>
          <w:rFonts w:ascii="Arial" w:hAnsi="Arial" w:cs="Arial"/>
        </w:rPr>
        <w:t>of the Competition Act</w:t>
      </w:r>
      <w:r w:rsidRPr="00140702">
        <w:rPr>
          <w:rStyle w:val="Funotenzeichen"/>
          <w:rFonts w:ascii="Arial" w:hAnsi="Arial" w:cs="Arial"/>
        </w:rPr>
        <w:footnoteReference w:id="436"/>
      </w:r>
      <w:r w:rsidR="005617E9">
        <w:rPr>
          <w:rFonts w:ascii="Arial" w:hAnsi="Arial" w:cs="Arial"/>
        </w:rPr>
        <w:t xml:space="preserve"> with section 8 (a), 8</w:t>
      </w:r>
      <w:r w:rsidRPr="00140702">
        <w:rPr>
          <w:rFonts w:ascii="Arial" w:hAnsi="Arial" w:cs="Arial"/>
        </w:rPr>
        <w:t>(b)</w:t>
      </w:r>
      <w:r w:rsidR="005617E9">
        <w:rPr>
          <w:rFonts w:ascii="Arial" w:hAnsi="Arial" w:cs="Arial"/>
        </w:rPr>
        <w:t xml:space="preserve"> and 9(1)(a)</w:t>
      </w:r>
      <w:r w:rsidRPr="00140702">
        <w:rPr>
          <w:rFonts w:ascii="Arial" w:hAnsi="Arial" w:cs="Arial"/>
        </w:rPr>
        <w:t xml:space="preserve"> containing the </w:t>
      </w:r>
      <w:r w:rsidRPr="00140702">
        <w:rPr>
          <w:rFonts w:ascii="Arial" w:hAnsi="Arial" w:cs="Arial"/>
          <w:i/>
        </w:rPr>
        <w:t>rule of reason</w:t>
      </w:r>
      <w:r w:rsidRPr="00140702">
        <w:rPr>
          <w:rFonts w:ascii="Arial" w:hAnsi="Arial" w:cs="Arial"/>
        </w:rPr>
        <w:t xml:space="preserve"> prohibitions and section 8 (c)</w:t>
      </w:r>
      <w:r w:rsidR="005617E9">
        <w:rPr>
          <w:rFonts w:ascii="Arial" w:hAnsi="Arial" w:cs="Arial"/>
        </w:rPr>
        <w:t>, 8</w:t>
      </w:r>
      <w:r w:rsidRPr="00140702">
        <w:rPr>
          <w:rFonts w:ascii="Arial" w:hAnsi="Arial" w:cs="Arial"/>
        </w:rPr>
        <w:t>(d)</w:t>
      </w:r>
      <w:r w:rsidR="005617E9">
        <w:rPr>
          <w:rFonts w:ascii="Arial" w:hAnsi="Arial" w:cs="Arial"/>
        </w:rPr>
        <w:t>, 9(b), 9(c) and 9(d)</w:t>
      </w:r>
      <w:r w:rsidRPr="00140702">
        <w:rPr>
          <w:rFonts w:ascii="Arial" w:hAnsi="Arial" w:cs="Arial"/>
        </w:rPr>
        <w:t xml:space="preserve"> containing the </w:t>
      </w:r>
      <w:r w:rsidRPr="00140702">
        <w:rPr>
          <w:rFonts w:ascii="Arial" w:hAnsi="Arial" w:cs="Arial"/>
          <w:i/>
        </w:rPr>
        <w:t>per se</w:t>
      </w:r>
      <w:r w:rsidRPr="00140702">
        <w:rPr>
          <w:rFonts w:ascii="Arial" w:hAnsi="Arial" w:cs="Arial"/>
        </w:rPr>
        <w:t xml:space="preserve"> prohibitions.</w:t>
      </w:r>
      <w:r w:rsidR="00D32540">
        <w:rPr>
          <w:rFonts w:ascii="Arial" w:hAnsi="Arial" w:cs="Arial"/>
        </w:rPr>
        <w:t xml:space="preserve"> </w:t>
      </w:r>
    </w:p>
    <w:p w:rsidR="000D3B1D" w:rsidRDefault="000D3B1D" w:rsidP="00140702">
      <w:pPr>
        <w:contextualSpacing/>
        <w:jc w:val="both"/>
        <w:rPr>
          <w:rFonts w:ascii="Arial" w:hAnsi="Arial" w:cs="Arial"/>
          <w:b/>
        </w:rPr>
      </w:pPr>
    </w:p>
    <w:p w:rsidR="00225C73" w:rsidRPr="00140702" w:rsidRDefault="00BC769C" w:rsidP="00140702">
      <w:pPr>
        <w:contextualSpacing/>
        <w:jc w:val="both"/>
        <w:rPr>
          <w:rFonts w:ascii="Arial" w:hAnsi="Arial" w:cs="Arial"/>
          <w:b/>
        </w:rPr>
      </w:pPr>
      <w:r w:rsidRPr="00140702">
        <w:rPr>
          <w:rFonts w:ascii="Arial" w:hAnsi="Arial" w:cs="Arial"/>
          <w:b/>
        </w:rPr>
        <w:t>Section 8:</w:t>
      </w:r>
      <w:r w:rsidR="00225C73" w:rsidRPr="00140702">
        <w:rPr>
          <w:rFonts w:ascii="Arial" w:hAnsi="Arial" w:cs="Arial"/>
          <w:b/>
        </w:rPr>
        <w:t xml:space="preserve"> Abuse of dominance prohibited</w:t>
      </w:r>
    </w:p>
    <w:p w:rsidR="00BC769C" w:rsidRPr="00140702" w:rsidRDefault="00BC769C" w:rsidP="00140702">
      <w:pPr>
        <w:contextualSpacing/>
        <w:jc w:val="both"/>
        <w:rPr>
          <w:rFonts w:ascii="Arial" w:hAnsi="Arial" w:cs="Arial"/>
        </w:rPr>
      </w:pPr>
    </w:p>
    <w:p w:rsidR="00225C73" w:rsidRPr="00140702" w:rsidRDefault="006341E3" w:rsidP="00140702">
      <w:pPr>
        <w:contextualSpacing/>
        <w:jc w:val="both"/>
        <w:rPr>
          <w:rFonts w:ascii="Arial" w:hAnsi="Arial" w:cs="Arial"/>
        </w:rPr>
      </w:pPr>
      <w:r w:rsidRPr="00140702">
        <w:rPr>
          <w:rFonts w:ascii="Arial" w:hAnsi="Arial" w:cs="Arial"/>
        </w:rPr>
        <w:t>“</w:t>
      </w:r>
      <w:r w:rsidR="00225C73" w:rsidRPr="00140702">
        <w:rPr>
          <w:rFonts w:ascii="Arial" w:hAnsi="Arial" w:cs="Arial"/>
        </w:rPr>
        <w:t>It is prohibited for a dominant firm to –</w:t>
      </w:r>
    </w:p>
    <w:p w:rsidR="00225C73" w:rsidRPr="00140702" w:rsidRDefault="00BC769C" w:rsidP="00140702">
      <w:pPr>
        <w:contextualSpacing/>
        <w:jc w:val="both"/>
        <w:rPr>
          <w:rFonts w:ascii="Arial" w:hAnsi="Arial" w:cs="Arial"/>
        </w:rPr>
      </w:pPr>
      <w:r w:rsidRPr="00140702">
        <w:rPr>
          <w:rFonts w:ascii="Arial" w:hAnsi="Arial" w:cs="Arial"/>
        </w:rPr>
        <w:tab/>
      </w:r>
      <w:r w:rsidR="00225C73" w:rsidRPr="00140702">
        <w:rPr>
          <w:rFonts w:ascii="Arial" w:hAnsi="Arial" w:cs="Arial"/>
        </w:rPr>
        <w:t xml:space="preserve">(a) charge an excessive price to the detriment of consumers; </w:t>
      </w:r>
    </w:p>
    <w:p w:rsidR="00225C73" w:rsidRPr="00140702" w:rsidRDefault="00BC769C" w:rsidP="00140702">
      <w:pPr>
        <w:contextualSpacing/>
        <w:jc w:val="both"/>
        <w:rPr>
          <w:rFonts w:ascii="Arial" w:hAnsi="Arial" w:cs="Arial"/>
        </w:rPr>
      </w:pPr>
      <w:r w:rsidRPr="00140702">
        <w:rPr>
          <w:rFonts w:ascii="Arial" w:hAnsi="Arial" w:cs="Arial"/>
        </w:rPr>
        <w:tab/>
      </w:r>
      <w:r w:rsidR="00225C73" w:rsidRPr="00140702">
        <w:rPr>
          <w:rFonts w:ascii="Arial" w:hAnsi="Arial" w:cs="Arial"/>
        </w:rPr>
        <w:t>(b) refuse to give a competitor access to an essential facility</w:t>
      </w:r>
    </w:p>
    <w:p w:rsidR="002068AA" w:rsidRPr="00140702" w:rsidRDefault="00BC769C" w:rsidP="00140702">
      <w:pPr>
        <w:contextualSpacing/>
        <w:jc w:val="both"/>
        <w:rPr>
          <w:rFonts w:ascii="Arial" w:hAnsi="Arial" w:cs="Arial"/>
        </w:rPr>
      </w:pPr>
      <w:r w:rsidRPr="00140702">
        <w:rPr>
          <w:rFonts w:ascii="Arial" w:hAnsi="Arial" w:cs="Arial"/>
        </w:rPr>
        <w:tab/>
      </w:r>
      <w:r w:rsidR="00225C73" w:rsidRPr="00140702">
        <w:rPr>
          <w:rFonts w:ascii="Arial" w:hAnsi="Arial" w:cs="Arial"/>
        </w:rPr>
        <w:t>when it is economically feasible to do so;</w:t>
      </w:r>
    </w:p>
    <w:p w:rsidR="00BC769C" w:rsidRPr="00140702" w:rsidRDefault="00BC769C" w:rsidP="00140702">
      <w:pPr>
        <w:ind w:left="720"/>
        <w:contextualSpacing/>
        <w:jc w:val="both"/>
        <w:rPr>
          <w:rFonts w:ascii="Arial" w:hAnsi="Arial" w:cs="Arial"/>
        </w:rPr>
      </w:pPr>
      <w:r w:rsidRPr="00140702">
        <w:rPr>
          <w:rFonts w:ascii="Arial" w:hAnsi="Arial" w:cs="Arial"/>
        </w:rPr>
        <w:t xml:space="preserve">(c) engage in an exclusionary act, other than an act listed in paragraph (d), if the anti-competitive effect of that act outweighs its technological, efficiency or other pro-competitive gain; or </w:t>
      </w:r>
    </w:p>
    <w:p w:rsidR="00BC769C" w:rsidRPr="00140702" w:rsidRDefault="00BC769C" w:rsidP="00140702">
      <w:pPr>
        <w:ind w:left="720"/>
        <w:contextualSpacing/>
        <w:jc w:val="both"/>
        <w:rPr>
          <w:rFonts w:ascii="Arial" w:hAnsi="Arial" w:cs="Arial"/>
        </w:rPr>
      </w:pPr>
      <w:r w:rsidRPr="00140702">
        <w:rPr>
          <w:rFonts w:ascii="Arial" w:hAnsi="Arial" w:cs="Arial"/>
        </w:rPr>
        <w:t xml:space="preserve">(d) engage in any of the following  exclusionary acts, unless the  firm concerned can show technological, efficiency or other pro-competitive gains which outweigh the anti-competitive effect of its act – </w:t>
      </w:r>
    </w:p>
    <w:p w:rsidR="00BC769C" w:rsidRPr="00140702" w:rsidRDefault="00BC769C" w:rsidP="00140702">
      <w:pPr>
        <w:ind w:left="720" w:firstLine="720"/>
        <w:contextualSpacing/>
        <w:jc w:val="both"/>
        <w:rPr>
          <w:rFonts w:ascii="Arial" w:hAnsi="Arial" w:cs="Arial"/>
        </w:rPr>
      </w:pPr>
      <w:r w:rsidRPr="00140702">
        <w:rPr>
          <w:rFonts w:ascii="Arial" w:hAnsi="Arial" w:cs="Arial"/>
        </w:rPr>
        <w:t xml:space="preserve">(i) requiring or inducing a supplier or customer to not deal with a </w:t>
      </w:r>
      <w:r w:rsidR="00667851">
        <w:rPr>
          <w:rFonts w:ascii="Arial" w:hAnsi="Arial" w:cs="Arial"/>
        </w:rPr>
        <w:tab/>
      </w:r>
      <w:r w:rsidRPr="00140702">
        <w:rPr>
          <w:rFonts w:ascii="Arial" w:hAnsi="Arial" w:cs="Arial"/>
        </w:rPr>
        <w:t>competitor;</w:t>
      </w:r>
    </w:p>
    <w:p w:rsidR="00BC769C" w:rsidRPr="00140702" w:rsidRDefault="00BC769C" w:rsidP="00140702">
      <w:pPr>
        <w:ind w:left="1440"/>
        <w:contextualSpacing/>
        <w:jc w:val="both"/>
        <w:rPr>
          <w:rFonts w:ascii="Arial" w:hAnsi="Arial" w:cs="Arial"/>
        </w:rPr>
      </w:pPr>
      <w:r w:rsidRPr="00140702">
        <w:rPr>
          <w:rFonts w:ascii="Arial" w:hAnsi="Arial" w:cs="Arial"/>
        </w:rPr>
        <w:t>(ii) refusing to supply scarce goods to a competitor when supplying those goods is economically feasible;</w:t>
      </w:r>
    </w:p>
    <w:p w:rsidR="00BC769C" w:rsidRPr="00140702" w:rsidRDefault="00BC769C" w:rsidP="00140702">
      <w:pPr>
        <w:ind w:left="1440"/>
        <w:contextualSpacing/>
        <w:jc w:val="both"/>
        <w:rPr>
          <w:rFonts w:ascii="Arial" w:hAnsi="Arial" w:cs="Arial"/>
        </w:rPr>
      </w:pPr>
      <w:r w:rsidRPr="00140702">
        <w:rPr>
          <w:rFonts w:ascii="Arial" w:hAnsi="Arial" w:cs="Arial"/>
        </w:rPr>
        <w:t>(iii) selling goods or services on condition that the buyer purchases separate goods or services unrelated to the object of a contract, or forcing a buyer to accept a condition unrelated to the object of a contract;</w:t>
      </w:r>
    </w:p>
    <w:p w:rsidR="00BC769C" w:rsidRPr="00140702" w:rsidRDefault="00BC769C" w:rsidP="00140702">
      <w:pPr>
        <w:ind w:left="720" w:firstLine="720"/>
        <w:contextualSpacing/>
        <w:jc w:val="both"/>
        <w:rPr>
          <w:rFonts w:ascii="Arial" w:hAnsi="Arial" w:cs="Arial"/>
        </w:rPr>
      </w:pPr>
      <w:r w:rsidRPr="00140702">
        <w:rPr>
          <w:rFonts w:ascii="Arial" w:hAnsi="Arial" w:cs="Arial"/>
        </w:rPr>
        <w:t xml:space="preserve">(iv) selling goods or services below their marginal or average variable </w:t>
      </w:r>
      <w:r w:rsidR="000D3B1D">
        <w:rPr>
          <w:rFonts w:ascii="Arial" w:hAnsi="Arial" w:cs="Arial"/>
        </w:rPr>
        <w:tab/>
      </w:r>
      <w:r w:rsidRPr="00140702">
        <w:rPr>
          <w:rFonts w:ascii="Arial" w:hAnsi="Arial" w:cs="Arial"/>
        </w:rPr>
        <w:t>cost; or</w:t>
      </w:r>
    </w:p>
    <w:p w:rsidR="00BC769C" w:rsidRPr="00140702" w:rsidRDefault="00BC769C" w:rsidP="00140702">
      <w:pPr>
        <w:ind w:left="1440"/>
        <w:contextualSpacing/>
        <w:jc w:val="both"/>
        <w:rPr>
          <w:rFonts w:ascii="Arial" w:hAnsi="Arial" w:cs="Arial"/>
        </w:rPr>
      </w:pPr>
      <w:r w:rsidRPr="00140702">
        <w:rPr>
          <w:rFonts w:ascii="Arial" w:hAnsi="Arial" w:cs="Arial"/>
        </w:rPr>
        <w:t>(v) buying-up a scarce supply of intermediate goods or resources required by a competitor.</w:t>
      </w:r>
      <w:r w:rsidR="006341E3" w:rsidRPr="00140702">
        <w:rPr>
          <w:rFonts w:ascii="Arial" w:hAnsi="Arial" w:cs="Arial"/>
        </w:rPr>
        <w:t>”</w:t>
      </w:r>
    </w:p>
    <w:p w:rsidR="00667851" w:rsidRDefault="00667851" w:rsidP="00667851">
      <w:pPr>
        <w:contextualSpacing/>
        <w:jc w:val="both"/>
        <w:rPr>
          <w:rFonts w:ascii="Arial" w:hAnsi="Arial" w:cs="Arial"/>
        </w:rPr>
      </w:pPr>
    </w:p>
    <w:p w:rsidR="00667851" w:rsidRPr="00667851" w:rsidRDefault="005617E9" w:rsidP="00667851">
      <w:pPr>
        <w:contextualSpacing/>
        <w:jc w:val="both"/>
        <w:rPr>
          <w:rFonts w:ascii="Arial" w:hAnsi="Arial" w:cs="Arial"/>
          <w:b/>
        </w:rPr>
      </w:pPr>
      <w:r>
        <w:rPr>
          <w:rFonts w:ascii="Arial" w:hAnsi="Arial" w:cs="Arial"/>
          <w:b/>
        </w:rPr>
        <w:t>Section 9:</w:t>
      </w:r>
      <w:r w:rsidR="00667851" w:rsidRPr="00667851">
        <w:rPr>
          <w:rFonts w:ascii="Arial" w:hAnsi="Arial" w:cs="Arial"/>
          <w:b/>
        </w:rPr>
        <w:t xml:space="preserve"> Price discrimination by dominant firm prohibited</w:t>
      </w:r>
    </w:p>
    <w:p w:rsidR="00667851" w:rsidRDefault="00667851" w:rsidP="00667851">
      <w:pPr>
        <w:contextualSpacing/>
        <w:jc w:val="both"/>
        <w:rPr>
          <w:rFonts w:ascii="Arial" w:hAnsi="Arial" w:cs="Arial"/>
        </w:rPr>
      </w:pPr>
    </w:p>
    <w:p w:rsidR="00BC769C" w:rsidRDefault="005617E9" w:rsidP="00667851">
      <w:pPr>
        <w:contextualSpacing/>
        <w:jc w:val="both"/>
        <w:rPr>
          <w:rFonts w:ascii="Arial" w:hAnsi="Arial" w:cs="Arial"/>
        </w:rPr>
      </w:pPr>
      <w:r>
        <w:rPr>
          <w:rFonts w:ascii="Arial" w:hAnsi="Arial" w:cs="Arial"/>
        </w:rPr>
        <w:t>“</w:t>
      </w:r>
      <w:r w:rsidR="00667851" w:rsidRPr="00667851">
        <w:rPr>
          <w:rFonts w:ascii="Arial" w:hAnsi="Arial" w:cs="Arial"/>
        </w:rPr>
        <w:t>(1) An action by a dominant firm, as the seller of goods or services is prohibited price discrimination, if –</w:t>
      </w:r>
    </w:p>
    <w:p w:rsidR="005617E9" w:rsidRPr="005617E9" w:rsidRDefault="005617E9" w:rsidP="005617E9">
      <w:pPr>
        <w:contextualSpacing/>
        <w:jc w:val="both"/>
        <w:rPr>
          <w:rFonts w:ascii="Arial" w:hAnsi="Arial" w:cs="Arial"/>
        </w:rPr>
      </w:pPr>
      <w:r>
        <w:rPr>
          <w:rFonts w:ascii="Arial" w:hAnsi="Arial" w:cs="Arial"/>
        </w:rPr>
        <w:tab/>
      </w:r>
      <w:r w:rsidRPr="005617E9">
        <w:rPr>
          <w:rFonts w:ascii="Arial" w:hAnsi="Arial" w:cs="Arial"/>
        </w:rPr>
        <w:t xml:space="preserve">a) it is likely to have the effect of substantially preventing or lessening </w:t>
      </w:r>
      <w:r>
        <w:rPr>
          <w:rFonts w:ascii="Arial" w:hAnsi="Arial" w:cs="Arial"/>
        </w:rPr>
        <w:tab/>
      </w:r>
      <w:r w:rsidRPr="005617E9">
        <w:rPr>
          <w:rFonts w:ascii="Arial" w:hAnsi="Arial" w:cs="Arial"/>
        </w:rPr>
        <w:t>competition;</w:t>
      </w:r>
    </w:p>
    <w:p w:rsidR="005617E9" w:rsidRPr="005617E9" w:rsidRDefault="005617E9" w:rsidP="005617E9">
      <w:pPr>
        <w:contextualSpacing/>
        <w:jc w:val="both"/>
        <w:rPr>
          <w:rFonts w:ascii="Arial" w:hAnsi="Arial" w:cs="Arial"/>
        </w:rPr>
      </w:pPr>
      <w:r>
        <w:rPr>
          <w:rFonts w:ascii="Arial" w:hAnsi="Arial" w:cs="Arial"/>
        </w:rPr>
        <w:tab/>
      </w:r>
      <w:r w:rsidRPr="005617E9">
        <w:rPr>
          <w:rFonts w:ascii="Arial" w:hAnsi="Arial" w:cs="Arial"/>
        </w:rPr>
        <w:t>(b) it relates to the sale, in equivalent transactions, of</w:t>
      </w:r>
      <w:r>
        <w:rPr>
          <w:rFonts w:ascii="Arial" w:hAnsi="Arial" w:cs="Arial"/>
        </w:rPr>
        <w:t xml:space="preserve"> </w:t>
      </w:r>
      <w:r w:rsidRPr="005617E9">
        <w:rPr>
          <w:rFonts w:ascii="Arial" w:hAnsi="Arial" w:cs="Arial"/>
        </w:rPr>
        <w:t>goods or services of</w:t>
      </w:r>
      <w:r>
        <w:rPr>
          <w:rFonts w:ascii="Arial" w:hAnsi="Arial" w:cs="Arial"/>
        </w:rPr>
        <w:t xml:space="preserve"> like </w:t>
      </w:r>
      <w:r>
        <w:rPr>
          <w:rFonts w:ascii="Arial" w:hAnsi="Arial" w:cs="Arial"/>
        </w:rPr>
        <w:tab/>
        <w:t>grade and quality to dif</w:t>
      </w:r>
      <w:r w:rsidRPr="005617E9">
        <w:rPr>
          <w:rFonts w:ascii="Arial" w:hAnsi="Arial" w:cs="Arial"/>
        </w:rPr>
        <w:t>ferent purchasers; and</w:t>
      </w:r>
    </w:p>
    <w:p w:rsidR="005617E9" w:rsidRPr="005617E9" w:rsidRDefault="005617E9" w:rsidP="005617E9">
      <w:pPr>
        <w:contextualSpacing/>
        <w:jc w:val="both"/>
        <w:rPr>
          <w:rFonts w:ascii="Arial" w:hAnsi="Arial" w:cs="Arial"/>
        </w:rPr>
      </w:pPr>
      <w:r>
        <w:rPr>
          <w:rFonts w:ascii="Arial" w:hAnsi="Arial" w:cs="Arial"/>
        </w:rPr>
        <w:tab/>
      </w:r>
      <w:r w:rsidRPr="005617E9">
        <w:rPr>
          <w:rFonts w:ascii="Arial" w:hAnsi="Arial" w:cs="Arial"/>
        </w:rPr>
        <w:t>(c) it involves discriminating between those purchasers</w:t>
      </w:r>
      <w:r>
        <w:rPr>
          <w:rFonts w:ascii="Arial" w:hAnsi="Arial" w:cs="Arial"/>
        </w:rPr>
        <w:t xml:space="preserve"> </w:t>
      </w:r>
      <w:r w:rsidRPr="005617E9">
        <w:rPr>
          <w:rFonts w:ascii="Arial" w:hAnsi="Arial" w:cs="Arial"/>
        </w:rPr>
        <w:t>in terms of –</w:t>
      </w:r>
    </w:p>
    <w:p w:rsidR="005617E9" w:rsidRPr="005617E9" w:rsidRDefault="005617E9" w:rsidP="005617E9">
      <w:pPr>
        <w:contextualSpacing/>
        <w:jc w:val="both"/>
        <w:rPr>
          <w:rFonts w:ascii="Arial" w:hAnsi="Arial" w:cs="Arial"/>
        </w:rPr>
      </w:pPr>
      <w:r>
        <w:rPr>
          <w:rFonts w:ascii="Arial" w:hAnsi="Arial" w:cs="Arial"/>
        </w:rPr>
        <w:tab/>
      </w:r>
      <w:r>
        <w:rPr>
          <w:rFonts w:ascii="Arial" w:hAnsi="Arial" w:cs="Arial"/>
        </w:rPr>
        <w:tab/>
      </w:r>
      <w:r w:rsidRPr="005617E9">
        <w:rPr>
          <w:rFonts w:ascii="Arial" w:hAnsi="Arial" w:cs="Arial"/>
        </w:rPr>
        <w:t>(i) the price charged for the goods or services;</w:t>
      </w:r>
    </w:p>
    <w:p w:rsidR="005617E9" w:rsidRPr="005617E9" w:rsidRDefault="005617E9" w:rsidP="005617E9">
      <w:pPr>
        <w:contextualSpacing/>
        <w:jc w:val="both"/>
        <w:rPr>
          <w:rFonts w:ascii="Arial" w:hAnsi="Arial" w:cs="Arial"/>
        </w:rPr>
      </w:pPr>
      <w:r>
        <w:rPr>
          <w:rFonts w:ascii="Arial" w:hAnsi="Arial" w:cs="Arial"/>
        </w:rPr>
        <w:tab/>
      </w:r>
      <w:r>
        <w:rPr>
          <w:rFonts w:ascii="Arial" w:hAnsi="Arial" w:cs="Arial"/>
        </w:rPr>
        <w:tab/>
      </w:r>
      <w:r w:rsidRPr="005617E9">
        <w:rPr>
          <w:rFonts w:ascii="Arial" w:hAnsi="Arial" w:cs="Arial"/>
        </w:rPr>
        <w:t>(ii) any discount, al</w:t>
      </w:r>
      <w:r>
        <w:rPr>
          <w:rFonts w:ascii="Arial" w:hAnsi="Arial" w:cs="Arial"/>
        </w:rPr>
        <w:t xml:space="preserve">lowance, rebate or credit given or allowed in relation </w:t>
      </w:r>
      <w:r>
        <w:rPr>
          <w:rFonts w:ascii="Arial" w:hAnsi="Arial" w:cs="Arial"/>
        </w:rPr>
        <w:tab/>
      </w:r>
      <w:r>
        <w:rPr>
          <w:rFonts w:ascii="Arial" w:hAnsi="Arial" w:cs="Arial"/>
        </w:rPr>
        <w:tab/>
      </w:r>
      <w:r w:rsidRPr="005617E9">
        <w:rPr>
          <w:rFonts w:ascii="Arial" w:hAnsi="Arial" w:cs="Arial"/>
        </w:rPr>
        <w:t>to the supply of goods or</w:t>
      </w:r>
      <w:r>
        <w:rPr>
          <w:rFonts w:ascii="Arial" w:hAnsi="Arial" w:cs="Arial"/>
        </w:rPr>
        <w:t xml:space="preserve"> </w:t>
      </w:r>
      <w:r w:rsidRPr="005617E9">
        <w:rPr>
          <w:rFonts w:ascii="Arial" w:hAnsi="Arial" w:cs="Arial"/>
        </w:rPr>
        <w:t>services;</w:t>
      </w:r>
    </w:p>
    <w:p w:rsidR="005617E9" w:rsidRPr="005617E9" w:rsidRDefault="005617E9" w:rsidP="005617E9">
      <w:pPr>
        <w:contextualSpacing/>
        <w:jc w:val="both"/>
        <w:rPr>
          <w:rFonts w:ascii="Arial" w:hAnsi="Arial" w:cs="Arial"/>
        </w:rPr>
      </w:pPr>
      <w:r>
        <w:rPr>
          <w:rFonts w:ascii="Arial" w:hAnsi="Arial" w:cs="Arial"/>
        </w:rPr>
        <w:tab/>
      </w:r>
      <w:r>
        <w:rPr>
          <w:rFonts w:ascii="Arial" w:hAnsi="Arial" w:cs="Arial"/>
        </w:rPr>
        <w:tab/>
      </w:r>
      <w:r w:rsidRPr="005617E9">
        <w:rPr>
          <w:rFonts w:ascii="Arial" w:hAnsi="Arial" w:cs="Arial"/>
        </w:rPr>
        <w:t>(iii) the provision of services in respect of the goods</w:t>
      </w:r>
      <w:r>
        <w:rPr>
          <w:rFonts w:ascii="Arial" w:hAnsi="Arial" w:cs="Arial"/>
        </w:rPr>
        <w:t xml:space="preserve"> </w:t>
      </w:r>
      <w:r w:rsidRPr="005617E9">
        <w:rPr>
          <w:rFonts w:ascii="Arial" w:hAnsi="Arial" w:cs="Arial"/>
        </w:rPr>
        <w:t>or services; or</w:t>
      </w:r>
    </w:p>
    <w:p w:rsidR="005617E9" w:rsidRDefault="005617E9" w:rsidP="005617E9">
      <w:pPr>
        <w:contextualSpacing/>
        <w:jc w:val="both"/>
        <w:rPr>
          <w:rFonts w:ascii="Arial" w:hAnsi="Arial" w:cs="Arial"/>
        </w:rPr>
      </w:pPr>
      <w:r>
        <w:rPr>
          <w:rFonts w:ascii="Arial" w:hAnsi="Arial" w:cs="Arial"/>
        </w:rPr>
        <w:tab/>
      </w:r>
      <w:r>
        <w:rPr>
          <w:rFonts w:ascii="Arial" w:hAnsi="Arial" w:cs="Arial"/>
        </w:rPr>
        <w:tab/>
      </w:r>
      <w:r w:rsidRPr="005617E9">
        <w:rPr>
          <w:rFonts w:ascii="Arial" w:hAnsi="Arial" w:cs="Arial"/>
        </w:rPr>
        <w:t>(iv) payment for services provided in respect of the</w:t>
      </w:r>
      <w:r>
        <w:rPr>
          <w:rFonts w:ascii="Arial" w:hAnsi="Arial" w:cs="Arial"/>
        </w:rPr>
        <w:t xml:space="preserve"> </w:t>
      </w:r>
      <w:r w:rsidRPr="005617E9">
        <w:rPr>
          <w:rFonts w:ascii="Arial" w:hAnsi="Arial" w:cs="Arial"/>
        </w:rPr>
        <w:t>goods or services.</w:t>
      </w:r>
      <w:r>
        <w:rPr>
          <w:rFonts w:ascii="Arial" w:hAnsi="Arial" w:cs="Arial"/>
        </w:rPr>
        <w:t>”</w:t>
      </w:r>
    </w:p>
    <w:p w:rsidR="00667851" w:rsidRPr="00140702" w:rsidRDefault="00667851" w:rsidP="00140702">
      <w:pPr>
        <w:contextualSpacing/>
        <w:jc w:val="both"/>
        <w:rPr>
          <w:rFonts w:ascii="Arial" w:hAnsi="Arial" w:cs="Arial"/>
        </w:rPr>
      </w:pPr>
    </w:p>
    <w:p w:rsidR="002068AA" w:rsidRPr="00140702" w:rsidRDefault="004431BB" w:rsidP="00140702">
      <w:pPr>
        <w:contextualSpacing/>
        <w:jc w:val="both"/>
        <w:rPr>
          <w:rFonts w:ascii="Arial" w:hAnsi="Arial" w:cs="Arial"/>
        </w:rPr>
      </w:pPr>
      <w:r w:rsidRPr="00140702">
        <w:rPr>
          <w:rFonts w:ascii="Arial" w:hAnsi="Arial" w:cs="Arial"/>
        </w:rPr>
        <w:t xml:space="preserve">2.4.3 Merger </w:t>
      </w:r>
      <w:r w:rsidR="005849B7" w:rsidRPr="00140702">
        <w:rPr>
          <w:rFonts w:ascii="Arial" w:hAnsi="Arial" w:cs="Arial"/>
        </w:rPr>
        <w:t>C</w:t>
      </w:r>
      <w:r w:rsidRPr="00140702">
        <w:rPr>
          <w:rFonts w:ascii="Arial" w:hAnsi="Arial" w:cs="Arial"/>
        </w:rPr>
        <w:t xml:space="preserve">ontrol </w:t>
      </w:r>
    </w:p>
    <w:p w:rsidR="004B0C86" w:rsidRPr="00140702" w:rsidRDefault="00C63DCE" w:rsidP="00140702">
      <w:pPr>
        <w:contextualSpacing/>
        <w:jc w:val="both"/>
        <w:rPr>
          <w:rFonts w:ascii="Arial" w:hAnsi="Arial" w:cs="Arial"/>
        </w:rPr>
      </w:pPr>
      <w:r w:rsidRPr="00140702">
        <w:rPr>
          <w:rFonts w:ascii="Arial" w:hAnsi="Arial" w:cs="Arial"/>
        </w:rPr>
        <w:t>Chapter 3, sections 11 to 17, of the Competition Act</w:t>
      </w:r>
      <w:r w:rsidRPr="00140702">
        <w:rPr>
          <w:rStyle w:val="Funotenzeichen"/>
          <w:rFonts w:ascii="Arial" w:hAnsi="Arial" w:cs="Arial"/>
        </w:rPr>
        <w:footnoteReference w:id="437"/>
      </w:r>
      <w:r w:rsidRPr="00140702">
        <w:rPr>
          <w:rFonts w:ascii="Arial" w:hAnsi="Arial" w:cs="Arial"/>
        </w:rPr>
        <w:t xml:space="preserve"> contain</w:t>
      </w:r>
      <w:r w:rsidR="005A3B67" w:rsidRPr="00140702">
        <w:rPr>
          <w:rFonts w:ascii="Arial" w:hAnsi="Arial" w:cs="Arial"/>
        </w:rPr>
        <w:t>s</w:t>
      </w:r>
      <w:r w:rsidRPr="00140702">
        <w:rPr>
          <w:rFonts w:ascii="Arial" w:hAnsi="Arial" w:cs="Arial"/>
        </w:rPr>
        <w:t xml:space="preserve"> the merger</w:t>
      </w:r>
      <w:r w:rsidR="005A3B67" w:rsidRPr="00140702">
        <w:rPr>
          <w:rFonts w:ascii="Arial" w:hAnsi="Arial" w:cs="Arial"/>
        </w:rPr>
        <w:t xml:space="preserve"> control mechanism.</w:t>
      </w:r>
      <w:r w:rsidR="009F5884" w:rsidRPr="00140702">
        <w:rPr>
          <w:rStyle w:val="Funotenzeichen"/>
          <w:rFonts w:ascii="Arial" w:hAnsi="Arial" w:cs="Arial"/>
        </w:rPr>
        <w:footnoteReference w:id="438"/>
      </w:r>
      <w:r w:rsidR="005A3B67" w:rsidRPr="00140702">
        <w:rPr>
          <w:rFonts w:ascii="Arial" w:hAnsi="Arial" w:cs="Arial"/>
        </w:rPr>
        <w:t xml:space="preserve"> </w:t>
      </w:r>
      <w:r w:rsidR="00681246" w:rsidRPr="00140702">
        <w:rPr>
          <w:rFonts w:ascii="Arial" w:hAnsi="Arial" w:cs="Arial"/>
        </w:rPr>
        <w:t>C</w:t>
      </w:r>
      <w:r w:rsidR="00880A82" w:rsidRPr="00140702">
        <w:rPr>
          <w:rFonts w:ascii="Arial" w:hAnsi="Arial" w:cs="Arial"/>
        </w:rPr>
        <w:t xml:space="preserve">hapter 3 </w:t>
      </w:r>
      <w:r w:rsidR="00681246" w:rsidRPr="00140702">
        <w:rPr>
          <w:rFonts w:ascii="Arial" w:hAnsi="Arial" w:cs="Arial"/>
        </w:rPr>
        <w:t>places a compulsory pre-merger notification obligation on firms who are contemplating a merger.</w:t>
      </w:r>
      <w:r w:rsidR="009F5884" w:rsidRPr="00140702">
        <w:rPr>
          <w:rStyle w:val="Funotenzeichen"/>
          <w:rFonts w:ascii="Arial" w:hAnsi="Arial" w:cs="Arial"/>
        </w:rPr>
        <w:footnoteReference w:id="439"/>
      </w:r>
      <w:r w:rsidR="00681246" w:rsidRPr="00140702">
        <w:rPr>
          <w:rFonts w:ascii="Arial" w:hAnsi="Arial" w:cs="Arial"/>
        </w:rPr>
        <w:t xml:space="preserve"> </w:t>
      </w:r>
      <w:r w:rsidR="009F5884" w:rsidRPr="00140702">
        <w:rPr>
          <w:rFonts w:ascii="Arial" w:hAnsi="Arial" w:cs="Arial"/>
        </w:rPr>
        <w:t>According to the compulsory pre-merger notification</w:t>
      </w:r>
      <w:r w:rsidR="00726391" w:rsidRPr="00140702">
        <w:rPr>
          <w:rFonts w:ascii="Arial" w:hAnsi="Arial" w:cs="Arial"/>
        </w:rPr>
        <w:t xml:space="preserve">, </w:t>
      </w:r>
      <w:r w:rsidR="009F5884" w:rsidRPr="00140702">
        <w:rPr>
          <w:rFonts w:ascii="Arial" w:hAnsi="Arial" w:cs="Arial"/>
        </w:rPr>
        <w:t xml:space="preserve">firms are obligated to obtain pre-merger approval from the Competition Commission </w:t>
      </w:r>
      <w:r w:rsidR="00640370" w:rsidRPr="00140702">
        <w:rPr>
          <w:rFonts w:ascii="Arial" w:hAnsi="Arial" w:cs="Arial"/>
        </w:rPr>
        <w:t>or</w:t>
      </w:r>
      <w:r w:rsidR="009F5884" w:rsidRPr="00140702">
        <w:rPr>
          <w:rFonts w:ascii="Arial" w:hAnsi="Arial" w:cs="Arial"/>
        </w:rPr>
        <w:t xml:space="preserve"> the Competition Tribunal</w:t>
      </w:r>
      <w:r w:rsidR="00640370" w:rsidRPr="00140702">
        <w:rPr>
          <w:rFonts w:ascii="Arial" w:hAnsi="Arial" w:cs="Arial"/>
        </w:rPr>
        <w:t xml:space="preserve"> </w:t>
      </w:r>
      <w:r w:rsidR="00726391" w:rsidRPr="00140702">
        <w:rPr>
          <w:rFonts w:ascii="Arial" w:hAnsi="Arial" w:cs="Arial"/>
        </w:rPr>
        <w:t>with</w:t>
      </w:r>
      <w:r w:rsidR="00640370" w:rsidRPr="00140702">
        <w:rPr>
          <w:rFonts w:ascii="Arial" w:hAnsi="Arial" w:cs="Arial"/>
        </w:rPr>
        <w:t xml:space="preserve"> the Competition Commission consider</w:t>
      </w:r>
      <w:r w:rsidR="00726391" w:rsidRPr="00140702">
        <w:rPr>
          <w:rFonts w:ascii="Arial" w:hAnsi="Arial" w:cs="Arial"/>
        </w:rPr>
        <w:t>ing</w:t>
      </w:r>
      <w:r w:rsidR="00640370" w:rsidRPr="00140702">
        <w:rPr>
          <w:rFonts w:ascii="Arial" w:hAnsi="Arial" w:cs="Arial"/>
        </w:rPr>
        <w:t xml:space="preserve"> small and intermediate mergers and the Competition Tribunal considering large mergers</w:t>
      </w:r>
      <w:r w:rsidR="009F5884" w:rsidRPr="00140702">
        <w:rPr>
          <w:rFonts w:ascii="Arial" w:hAnsi="Arial" w:cs="Arial"/>
        </w:rPr>
        <w:t>.</w:t>
      </w:r>
      <w:r w:rsidR="00340F5D" w:rsidRPr="00140702">
        <w:rPr>
          <w:rStyle w:val="Funotenzeichen"/>
          <w:rFonts w:ascii="Arial" w:hAnsi="Arial" w:cs="Arial"/>
        </w:rPr>
        <w:footnoteReference w:id="440"/>
      </w:r>
      <w:r w:rsidR="00640370" w:rsidRPr="00140702">
        <w:rPr>
          <w:rFonts w:ascii="Arial" w:hAnsi="Arial" w:cs="Arial"/>
        </w:rPr>
        <w:t xml:space="preserve"> </w:t>
      </w:r>
      <w:r w:rsidR="00681246" w:rsidRPr="00140702">
        <w:rPr>
          <w:rFonts w:ascii="Arial" w:hAnsi="Arial" w:cs="Arial"/>
        </w:rPr>
        <w:t>Firms are however only obligated to obtain pre-mer</w:t>
      </w:r>
      <w:r w:rsidR="00FE1E17" w:rsidRPr="00140702">
        <w:rPr>
          <w:rFonts w:ascii="Arial" w:hAnsi="Arial" w:cs="Arial"/>
        </w:rPr>
        <w:t>ger approval if the</w:t>
      </w:r>
      <w:r w:rsidR="00CE7DDB" w:rsidRPr="00140702">
        <w:rPr>
          <w:rFonts w:ascii="Arial" w:hAnsi="Arial" w:cs="Arial"/>
        </w:rPr>
        <w:t xml:space="preserve"> value of the</w:t>
      </w:r>
      <w:r w:rsidR="00FE1E17" w:rsidRPr="00140702">
        <w:rPr>
          <w:rFonts w:ascii="Arial" w:hAnsi="Arial" w:cs="Arial"/>
        </w:rPr>
        <w:t xml:space="preserve"> merger falls within the </w:t>
      </w:r>
      <w:r w:rsidR="00CE7DDB" w:rsidRPr="00140702">
        <w:rPr>
          <w:rFonts w:ascii="Arial" w:hAnsi="Arial" w:cs="Arial"/>
        </w:rPr>
        <w:t xml:space="preserve">value of the </w:t>
      </w:r>
      <w:r w:rsidR="00FE1E17" w:rsidRPr="00140702">
        <w:rPr>
          <w:rFonts w:ascii="Arial" w:hAnsi="Arial" w:cs="Arial"/>
        </w:rPr>
        <w:t>merger threshold</w:t>
      </w:r>
      <w:r w:rsidR="004B0C86" w:rsidRPr="00140702">
        <w:rPr>
          <w:rFonts w:ascii="Arial" w:hAnsi="Arial" w:cs="Arial"/>
        </w:rPr>
        <w:t>s</w:t>
      </w:r>
      <w:r w:rsidR="00FE1E17" w:rsidRPr="00140702">
        <w:rPr>
          <w:rFonts w:ascii="Arial" w:hAnsi="Arial" w:cs="Arial"/>
        </w:rPr>
        <w:t>.</w:t>
      </w:r>
      <w:r w:rsidR="00340F5D" w:rsidRPr="00140702">
        <w:rPr>
          <w:rStyle w:val="Funotenzeichen"/>
          <w:rFonts w:ascii="Arial" w:hAnsi="Arial" w:cs="Arial"/>
        </w:rPr>
        <w:footnoteReference w:id="441"/>
      </w:r>
      <w:r w:rsidR="00FE1E17" w:rsidRPr="00140702">
        <w:rPr>
          <w:rFonts w:ascii="Arial" w:hAnsi="Arial" w:cs="Arial"/>
        </w:rPr>
        <w:t xml:space="preserve"> </w:t>
      </w:r>
      <w:r w:rsidR="004B0C86" w:rsidRPr="00140702">
        <w:rPr>
          <w:rFonts w:ascii="Arial" w:hAnsi="Arial" w:cs="Arial"/>
        </w:rPr>
        <w:t>Currently the merger thresholds are as follow:</w:t>
      </w:r>
    </w:p>
    <w:p w:rsidR="004B0C86" w:rsidRPr="00140702" w:rsidRDefault="004B0C86" w:rsidP="00140702">
      <w:pPr>
        <w:pStyle w:val="Textkrper"/>
        <w:spacing w:after="0" w:line="360" w:lineRule="auto"/>
        <w:contextualSpacing/>
        <w:jc w:val="both"/>
        <w:rPr>
          <w:rFonts w:ascii="Arial" w:hAnsi="Arial" w:cs="Arial"/>
        </w:rPr>
      </w:pPr>
      <w:r w:rsidRPr="00140702">
        <w:rPr>
          <w:rFonts w:ascii="Arial" w:hAnsi="Arial" w:cs="Arial"/>
        </w:rPr>
        <w:t>Merger thresholds as at 1 April 2009</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1757"/>
        <w:gridCol w:w="3322"/>
        <w:gridCol w:w="2978"/>
      </w:tblGrid>
      <w:tr w:rsidR="004B0C86" w:rsidRPr="00140702" w:rsidTr="00CA0897">
        <w:tc>
          <w:tcPr>
            <w:tcW w:w="1757" w:type="dxa"/>
            <w:tcBorders>
              <w:top w:val="double" w:sz="1" w:space="0" w:color="808080"/>
              <w:left w:val="double" w:sz="1" w:space="0" w:color="808080"/>
              <w:bottom w:val="double" w:sz="1" w:space="0" w:color="808080"/>
            </w:tcBorders>
            <w:shd w:val="clear" w:color="auto" w:fill="auto"/>
            <w:vAlign w:val="center"/>
          </w:tcPr>
          <w:p w:rsidR="004B0C86" w:rsidRPr="00140702" w:rsidRDefault="004B0C86" w:rsidP="00140702">
            <w:pPr>
              <w:pStyle w:val="TableContents"/>
              <w:spacing w:line="360" w:lineRule="auto"/>
              <w:contextualSpacing/>
              <w:jc w:val="both"/>
              <w:rPr>
                <w:rFonts w:ascii="Arial" w:hAnsi="Arial" w:cs="Arial"/>
              </w:rPr>
            </w:pPr>
            <w:r w:rsidRPr="00140702">
              <w:rPr>
                <w:rFonts w:ascii="Arial" w:hAnsi="Arial" w:cs="Arial"/>
              </w:rPr>
              <w:t>Thresholds</w:t>
            </w:r>
          </w:p>
        </w:tc>
        <w:tc>
          <w:tcPr>
            <w:tcW w:w="3322" w:type="dxa"/>
            <w:tcBorders>
              <w:top w:val="double" w:sz="1" w:space="0" w:color="808080"/>
              <w:left w:val="double" w:sz="1" w:space="0" w:color="808080"/>
              <w:bottom w:val="double" w:sz="1" w:space="0" w:color="808080"/>
            </w:tcBorders>
            <w:shd w:val="clear" w:color="auto" w:fill="auto"/>
            <w:vAlign w:val="center"/>
          </w:tcPr>
          <w:p w:rsidR="004B0C86" w:rsidRPr="00140702" w:rsidRDefault="004B0C86" w:rsidP="00140702">
            <w:pPr>
              <w:pStyle w:val="TableContents"/>
              <w:spacing w:line="360" w:lineRule="auto"/>
              <w:contextualSpacing/>
              <w:jc w:val="both"/>
              <w:rPr>
                <w:rFonts w:ascii="Arial" w:hAnsi="Arial" w:cs="Arial"/>
              </w:rPr>
            </w:pPr>
            <w:r w:rsidRPr="00140702">
              <w:rPr>
                <w:rFonts w:ascii="Arial" w:hAnsi="Arial" w:cs="Arial"/>
              </w:rPr>
              <w:t>Combined turnover / Asset value</w:t>
            </w:r>
          </w:p>
        </w:tc>
        <w:tc>
          <w:tcPr>
            <w:tcW w:w="2978" w:type="dxa"/>
            <w:tcBorders>
              <w:top w:val="double" w:sz="1" w:space="0" w:color="808080"/>
              <w:left w:val="double" w:sz="1" w:space="0" w:color="808080"/>
              <w:bottom w:val="double" w:sz="1" w:space="0" w:color="808080"/>
              <w:right w:val="double" w:sz="1" w:space="0" w:color="808080"/>
            </w:tcBorders>
            <w:shd w:val="clear" w:color="auto" w:fill="auto"/>
            <w:vAlign w:val="center"/>
          </w:tcPr>
          <w:p w:rsidR="004B0C86" w:rsidRPr="00140702" w:rsidRDefault="004B0C86" w:rsidP="00140702">
            <w:pPr>
              <w:pStyle w:val="TableContents"/>
              <w:spacing w:line="360" w:lineRule="auto"/>
              <w:contextualSpacing/>
              <w:jc w:val="both"/>
              <w:rPr>
                <w:rFonts w:ascii="Arial" w:hAnsi="Arial" w:cs="Arial"/>
              </w:rPr>
            </w:pPr>
            <w:r w:rsidRPr="00140702">
              <w:rPr>
                <w:rFonts w:ascii="Arial" w:hAnsi="Arial" w:cs="Arial"/>
              </w:rPr>
              <w:t>Target turnover / Asset value</w:t>
            </w:r>
          </w:p>
        </w:tc>
      </w:tr>
      <w:tr w:rsidR="004B0C86" w:rsidRPr="00140702" w:rsidTr="00CA0897">
        <w:tc>
          <w:tcPr>
            <w:tcW w:w="1757" w:type="dxa"/>
            <w:tcBorders>
              <w:left w:val="double" w:sz="1" w:space="0" w:color="808080"/>
              <w:bottom w:val="double" w:sz="1" w:space="0" w:color="808080"/>
            </w:tcBorders>
            <w:shd w:val="clear" w:color="auto" w:fill="auto"/>
            <w:vAlign w:val="center"/>
          </w:tcPr>
          <w:p w:rsidR="004B0C86" w:rsidRPr="00140702" w:rsidRDefault="004B0C86" w:rsidP="00140702">
            <w:pPr>
              <w:pStyle w:val="TableContents"/>
              <w:spacing w:line="360" w:lineRule="auto"/>
              <w:contextualSpacing/>
              <w:jc w:val="both"/>
              <w:rPr>
                <w:rFonts w:ascii="Arial" w:hAnsi="Arial" w:cs="Arial"/>
              </w:rPr>
            </w:pPr>
            <w:r w:rsidRPr="00140702">
              <w:rPr>
                <w:rFonts w:ascii="Arial" w:hAnsi="Arial" w:cs="Arial"/>
              </w:rPr>
              <w:t>Lower threshold</w:t>
            </w:r>
          </w:p>
        </w:tc>
        <w:tc>
          <w:tcPr>
            <w:tcW w:w="3322" w:type="dxa"/>
            <w:tcBorders>
              <w:left w:val="double" w:sz="1" w:space="0" w:color="808080"/>
              <w:bottom w:val="double" w:sz="1" w:space="0" w:color="808080"/>
            </w:tcBorders>
            <w:shd w:val="clear" w:color="auto" w:fill="auto"/>
            <w:vAlign w:val="center"/>
          </w:tcPr>
          <w:p w:rsidR="004B0C86" w:rsidRPr="00140702" w:rsidRDefault="004B0C86" w:rsidP="00140702">
            <w:pPr>
              <w:pStyle w:val="TableContents"/>
              <w:spacing w:line="360" w:lineRule="auto"/>
              <w:contextualSpacing/>
              <w:jc w:val="both"/>
              <w:rPr>
                <w:rFonts w:ascii="Arial" w:hAnsi="Arial" w:cs="Arial"/>
              </w:rPr>
            </w:pPr>
            <w:r w:rsidRPr="00140702">
              <w:rPr>
                <w:rFonts w:ascii="Arial" w:hAnsi="Arial" w:cs="Arial"/>
              </w:rPr>
              <w:t>R 560m</w:t>
            </w:r>
          </w:p>
        </w:tc>
        <w:tc>
          <w:tcPr>
            <w:tcW w:w="2978" w:type="dxa"/>
            <w:tcBorders>
              <w:left w:val="double" w:sz="1" w:space="0" w:color="808080"/>
              <w:bottom w:val="double" w:sz="1" w:space="0" w:color="808080"/>
              <w:right w:val="double" w:sz="1" w:space="0" w:color="808080"/>
            </w:tcBorders>
            <w:shd w:val="clear" w:color="auto" w:fill="auto"/>
            <w:vAlign w:val="center"/>
          </w:tcPr>
          <w:p w:rsidR="004B0C86" w:rsidRPr="00140702" w:rsidRDefault="004B0C86" w:rsidP="00140702">
            <w:pPr>
              <w:pStyle w:val="TableContents"/>
              <w:spacing w:line="360" w:lineRule="auto"/>
              <w:contextualSpacing/>
              <w:jc w:val="both"/>
              <w:rPr>
                <w:rFonts w:ascii="Arial" w:hAnsi="Arial" w:cs="Arial"/>
              </w:rPr>
            </w:pPr>
            <w:r w:rsidRPr="00140702">
              <w:rPr>
                <w:rFonts w:ascii="Arial" w:hAnsi="Arial" w:cs="Arial"/>
              </w:rPr>
              <w:t>R 80m</w:t>
            </w:r>
          </w:p>
        </w:tc>
      </w:tr>
      <w:tr w:rsidR="004B0C86" w:rsidRPr="00140702" w:rsidTr="00CA0897">
        <w:tc>
          <w:tcPr>
            <w:tcW w:w="1757" w:type="dxa"/>
            <w:tcBorders>
              <w:left w:val="double" w:sz="1" w:space="0" w:color="808080"/>
              <w:bottom w:val="double" w:sz="1" w:space="0" w:color="808080"/>
            </w:tcBorders>
            <w:shd w:val="clear" w:color="auto" w:fill="auto"/>
            <w:vAlign w:val="center"/>
          </w:tcPr>
          <w:p w:rsidR="004B0C86" w:rsidRPr="00140702" w:rsidRDefault="004B0C86" w:rsidP="00140702">
            <w:pPr>
              <w:pStyle w:val="TableContents"/>
              <w:spacing w:line="360" w:lineRule="auto"/>
              <w:contextualSpacing/>
              <w:jc w:val="both"/>
              <w:rPr>
                <w:rFonts w:ascii="Arial" w:hAnsi="Arial" w:cs="Arial"/>
              </w:rPr>
            </w:pPr>
            <w:r w:rsidRPr="00140702">
              <w:rPr>
                <w:rFonts w:ascii="Arial" w:hAnsi="Arial" w:cs="Arial"/>
              </w:rPr>
              <w:t>Higher threshold</w:t>
            </w:r>
          </w:p>
        </w:tc>
        <w:tc>
          <w:tcPr>
            <w:tcW w:w="3322" w:type="dxa"/>
            <w:tcBorders>
              <w:left w:val="double" w:sz="1" w:space="0" w:color="808080"/>
              <w:bottom w:val="double" w:sz="1" w:space="0" w:color="808080"/>
            </w:tcBorders>
            <w:shd w:val="clear" w:color="auto" w:fill="auto"/>
            <w:vAlign w:val="center"/>
          </w:tcPr>
          <w:p w:rsidR="004B0C86" w:rsidRPr="00140702" w:rsidRDefault="004B0C86" w:rsidP="00140702">
            <w:pPr>
              <w:pStyle w:val="TableContents"/>
              <w:spacing w:line="360" w:lineRule="auto"/>
              <w:contextualSpacing/>
              <w:jc w:val="both"/>
              <w:rPr>
                <w:rFonts w:ascii="Arial" w:hAnsi="Arial" w:cs="Arial"/>
              </w:rPr>
            </w:pPr>
            <w:r w:rsidRPr="00140702">
              <w:rPr>
                <w:rFonts w:ascii="Arial" w:hAnsi="Arial" w:cs="Arial"/>
              </w:rPr>
              <w:t>R 6 600m</w:t>
            </w:r>
          </w:p>
        </w:tc>
        <w:tc>
          <w:tcPr>
            <w:tcW w:w="2978" w:type="dxa"/>
            <w:tcBorders>
              <w:left w:val="double" w:sz="1" w:space="0" w:color="808080"/>
              <w:bottom w:val="double" w:sz="1" w:space="0" w:color="808080"/>
              <w:right w:val="double" w:sz="1" w:space="0" w:color="808080"/>
            </w:tcBorders>
            <w:shd w:val="clear" w:color="auto" w:fill="auto"/>
            <w:vAlign w:val="center"/>
          </w:tcPr>
          <w:p w:rsidR="004B0C86" w:rsidRPr="00140702" w:rsidRDefault="004B0C86" w:rsidP="00140702">
            <w:pPr>
              <w:pStyle w:val="TableContents"/>
              <w:spacing w:line="360" w:lineRule="auto"/>
              <w:contextualSpacing/>
              <w:jc w:val="both"/>
              <w:rPr>
                <w:rFonts w:ascii="Arial" w:hAnsi="Arial" w:cs="Arial"/>
              </w:rPr>
            </w:pPr>
            <w:r w:rsidRPr="00140702">
              <w:rPr>
                <w:rFonts w:ascii="Arial" w:hAnsi="Arial" w:cs="Arial"/>
              </w:rPr>
              <w:t>R 190m</w:t>
            </w:r>
          </w:p>
        </w:tc>
      </w:tr>
    </w:tbl>
    <w:p w:rsidR="004B0C86" w:rsidRPr="00140702" w:rsidRDefault="004B0C86" w:rsidP="00140702">
      <w:pPr>
        <w:contextualSpacing/>
        <w:jc w:val="both"/>
        <w:rPr>
          <w:rFonts w:ascii="Arial" w:hAnsi="Arial" w:cs="Arial"/>
        </w:rPr>
      </w:pPr>
    </w:p>
    <w:p w:rsidR="00D04F65" w:rsidRPr="00140702" w:rsidRDefault="00D04F65" w:rsidP="00140702">
      <w:pPr>
        <w:contextualSpacing/>
        <w:jc w:val="both"/>
        <w:rPr>
          <w:rFonts w:ascii="Arial" w:hAnsi="Arial" w:cs="Arial"/>
        </w:rPr>
      </w:pPr>
      <w:r w:rsidRPr="00140702">
        <w:rPr>
          <w:rFonts w:ascii="Arial" w:hAnsi="Arial" w:cs="Arial"/>
        </w:rPr>
        <w:t>Furthermore, mergers are divided into 3 size categories namely small, intermediate and large mergers.</w:t>
      </w:r>
      <w:r w:rsidR="00433767" w:rsidRPr="00140702">
        <w:rPr>
          <w:rStyle w:val="Funotenzeichen"/>
          <w:rFonts w:ascii="Arial" w:hAnsi="Arial" w:cs="Arial"/>
        </w:rPr>
        <w:footnoteReference w:id="442"/>
      </w:r>
      <w:r w:rsidRPr="00140702">
        <w:rPr>
          <w:rFonts w:ascii="Arial" w:hAnsi="Arial" w:cs="Arial"/>
        </w:rPr>
        <w:t xml:space="preserve"> A small merger is defined as a merger or a contemplated merger with a value equal to or below that of the value of the lower threshold.</w:t>
      </w:r>
      <w:r w:rsidR="00953FD0" w:rsidRPr="00140702">
        <w:rPr>
          <w:rStyle w:val="Funotenzeichen"/>
          <w:rFonts w:ascii="Arial" w:hAnsi="Arial" w:cs="Arial"/>
        </w:rPr>
        <w:footnoteReference w:id="443"/>
      </w:r>
      <w:r w:rsidRPr="00140702">
        <w:rPr>
          <w:rFonts w:ascii="Arial" w:hAnsi="Arial" w:cs="Arial"/>
        </w:rPr>
        <w:t xml:space="preserve"> An intermediate merger is defined as a merger or a contemplated merger with a value between the value of the lower and the higher thresholds.</w:t>
      </w:r>
      <w:r w:rsidR="002331E0" w:rsidRPr="00140702">
        <w:rPr>
          <w:rStyle w:val="Funotenzeichen"/>
          <w:rFonts w:ascii="Arial" w:hAnsi="Arial" w:cs="Arial"/>
        </w:rPr>
        <w:footnoteReference w:id="444"/>
      </w:r>
      <w:r w:rsidRPr="00140702">
        <w:rPr>
          <w:rFonts w:ascii="Arial" w:hAnsi="Arial" w:cs="Arial"/>
        </w:rPr>
        <w:t xml:space="preserve"> A large merger is defined as a merger or contemplated merger with a value equal to or exceeding the higher threshold.</w:t>
      </w:r>
      <w:r w:rsidR="002331E0" w:rsidRPr="00140702">
        <w:rPr>
          <w:rStyle w:val="Funotenzeichen"/>
          <w:rFonts w:ascii="Arial" w:hAnsi="Arial" w:cs="Arial"/>
        </w:rPr>
        <w:footnoteReference w:id="445"/>
      </w:r>
    </w:p>
    <w:p w:rsidR="00640370" w:rsidRPr="00140702" w:rsidRDefault="00640370" w:rsidP="00140702">
      <w:pPr>
        <w:contextualSpacing/>
        <w:jc w:val="both"/>
        <w:rPr>
          <w:rFonts w:ascii="Arial" w:hAnsi="Arial" w:cs="Arial"/>
        </w:rPr>
      </w:pPr>
    </w:p>
    <w:p w:rsidR="00727490" w:rsidRPr="00140702" w:rsidRDefault="00D04F65" w:rsidP="00140702">
      <w:pPr>
        <w:contextualSpacing/>
        <w:jc w:val="both"/>
        <w:rPr>
          <w:rFonts w:ascii="Arial" w:hAnsi="Arial" w:cs="Arial"/>
        </w:rPr>
      </w:pPr>
      <w:r w:rsidRPr="00140702">
        <w:rPr>
          <w:rFonts w:ascii="Arial" w:hAnsi="Arial" w:cs="Arial"/>
        </w:rPr>
        <w:t>Accordingly</w:t>
      </w:r>
      <w:r w:rsidR="002F1217" w:rsidRPr="00140702">
        <w:rPr>
          <w:rFonts w:ascii="Arial" w:hAnsi="Arial" w:cs="Arial"/>
        </w:rPr>
        <w:t>,</w:t>
      </w:r>
      <w:r w:rsidRPr="00140702">
        <w:rPr>
          <w:rFonts w:ascii="Arial" w:hAnsi="Arial" w:cs="Arial"/>
        </w:rPr>
        <w:t xml:space="preserve"> the </w:t>
      </w:r>
      <w:r w:rsidR="00340F5D" w:rsidRPr="00140702">
        <w:rPr>
          <w:rFonts w:ascii="Arial" w:hAnsi="Arial" w:cs="Arial"/>
        </w:rPr>
        <w:t>merger thresholds should be interpreted as follows.</w:t>
      </w:r>
      <w:r w:rsidR="00727490" w:rsidRPr="00140702">
        <w:rPr>
          <w:rFonts w:ascii="Arial" w:hAnsi="Arial" w:cs="Arial"/>
        </w:rPr>
        <w:t xml:space="preserve"> </w:t>
      </w:r>
      <w:r w:rsidR="00A263CC" w:rsidRPr="00140702">
        <w:rPr>
          <w:rFonts w:ascii="Arial" w:hAnsi="Arial" w:cs="Arial"/>
        </w:rPr>
        <w:t>Small mergers do</w:t>
      </w:r>
      <w:r w:rsidR="00727490" w:rsidRPr="00140702">
        <w:rPr>
          <w:rFonts w:ascii="Arial" w:hAnsi="Arial" w:cs="Arial"/>
        </w:rPr>
        <w:t xml:space="preserve"> not </w:t>
      </w:r>
      <w:r w:rsidR="00A263CC" w:rsidRPr="00140702">
        <w:rPr>
          <w:rFonts w:ascii="Arial" w:hAnsi="Arial" w:cs="Arial"/>
        </w:rPr>
        <w:t>require</w:t>
      </w:r>
      <w:r w:rsidR="00727490" w:rsidRPr="00140702">
        <w:rPr>
          <w:rFonts w:ascii="Arial" w:hAnsi="Arial" w:cs="Arial"/>
        </w:rPr>
        <w:t xml:space="preserve"> pre-merger approval.</w:t>
      </w:r>
      <w:r w:rsidR="00A263CC" w:rsidRPr="00140702">
        <w:rPr>
          <w:rStyle w:val="Funotenzeichen"/>
          <w:rFonts w:ascii="Arial" w:hAnsi="Arial" w:cs="Arial"/>
        </w:rPr>
        <w:footnoteReference w:id="446"/>
      </w:r>
      <w:r w:rsidR="00727490" w:rsidRPr="00140702">
        <w:rPr>
          <w:rFonts w:ascii="Arial" w:hAnsi="Arial" w:cs="Arial"/>
        </w:rPr>
        <w:t xml:space="preserve"> There are however a</w:t>
      </w:r>
      <w:r w:rsidR="002F116F" w:rsidRPr="00140702">
        <w:rPr>
          <w:rFonts w:ascii="Arial" w:hAnsi="Arial" w:cs="Arial"/>
        </w:rPr>
        <w:t>n</w:t>
      </w:r>
      <w:r w:rsidR="00727490" w:rsidRPr="00140702">
        <w:rPr>
          <w:rFonts w:ascii="Arial" w:hAnsi="Arial" w:cs="Arial"/>
        </w:rPr>
        <w:t xml:space="preserve"> exception to this </w:t>
      </w:r>
      <w:r w:rsidR="002F116F" w:rsidRPr="00140702">
        <w:rPr>
          <w:rFonts w:ascii="Arial" w:hAnsi="Arial" w:cs="Arial"/>
        </w:rPr>
        <w:t>namely that the Competition Commission may within 6 months of the implementation of a small merger require the parties to the merger to inform the</w:t>
      </w:r>
      <w:r w:rsidR="00A263CC" w:rsidRPr="00140702">
        <w:rPr>
          <w:rFonts w:ascii="Arial" w:hAnsi="Arial" w:cs="Arial"/>
        </w:rPr>
        <w:t xml:space="preserve"> Competition</w:t>
      </w:r>
      <w:r w:rsidR="002F116F" w:rsidRPr="00140702">
        <w:rPr>
          <w:rFonts w:ascii="Arial" w:hAnsi="Arial" w:cs="Arial"/>
        </w:rPr>
        <w:t xml:space="preserve"> Commission in the prescribed manner and form of all the relevant details of the merger if the </w:t>
      </w:r>
      <w:r w:rsidR="00A263CC" w:rsidRPr="00140702">
        <w:rPr>
          <w:rFonts w:ascii="Arial" w:hAnsi="Arial" w:cs="Arial"/>
        </w:rPr>
        <w:t xml:space="preserve">Competition </w:t>
      </w:r>
      <w:r w:rsidR="002F116F" w:rsidRPr="00140702">
        <w:rPr>
          <w:rFonts w:ascii="Arial" w:hAnsi="Arial" w:cs="Arial"/>
        </w:rPr>
        <w:t xml:space="preserve">Commission is of the opinion that the </w:t>
      </w:r>
      <w:r w:rsidR="00A263CC" w:rsidRPr="00140702">
        <w:rPr>
          <w:rFonts w:ascii="Arial" w:hAnsi="Arial" w:cs="Arial"/>
        </w:rPr>
        <w:t xml:space="preserve">small </w:t>
      </w:r>
      <w:r w:rsidR="002F116F" w:rsidRPr="00140702">
        <w:rPr>
          <w:rFonts w:ascii="Arial" w:hAnsi="Arial" w:cs="Arial"/>
        </w:rPr>
        <w:t xml:space="preserve">merger may substantially prevent or lessen competition in the relevant market and </w:t>
      </w:r>
      <w:r w:rsidR="00A263CC" w:rsidRPr="00140702">
        <w:rPr>
          <w:rFonts w:ascii="Arial" w:hAnsi="Arial" w:cs="Arial"/>
        </w:rPr>
        <w:t>if that small merger cannot be justified on public interest grounds.</w:t>
      </w:r>
      <w:r w:rsidR="00A263CC" w:rsidRPr="00140702">
        <w:rPr>
          <w:rStyle w:val="Funotenzeichen"/>
          <w:rFonts w:ascii="Arial" w:hAnsi="Arial" w:cs="Arial"/>
        </w:rPr>
        <w:footnoteReference w:id="447"/>
      </w:r>
    </w:p>
    <w:p w:rsidR="00727490" w:rsidRPr="00140702" w:rsidRDefault="00727490" w:rsidP="00140702">
      <w:pPr>
        <w:contextualSpacing/>
        <w:jc w:val="both"/>
        <w:rPr>
          <w:rFonts w:ascii="Arial" w:hAnsi="Arial" w:cs="Arial"/>
        </w:rPr>
      </w:pPr>
    </w:p>
    <w:p w:rsidR="005703CB" w:rsidRPr="00140702" w:rsidRDefault="005703CB" w:rsidP="00140702">
      <w:pPr>
        <w:contextualSpacing/>
        <w:jc w:val="both"/>
        <w:rPr>
          <w:rFonts w:ascii="Arial" w:hAnsi="Arial" w:cs="Arial"/>
        </w:rPr>
      </w:pPr>
      <w:r w:rsidRPr="00140702">
        <w:rPr>
          <w:rFonts w:ascii="Arial" w:hAnsi="Arial" w:cs="Arial"/>
        </w:rPr>
        <w:t>Intermediate and large mergers do however require pre-merger approval.</w:t>
      </w:r>
      <w:r w:rsidR="002F1217" w:rsidRPr="00140702">
        <w:rPr>
          <w:rStyle w:val="Funotenzeichen"/>
          <w:rFonts w:ascii="Arial" w:hAnsi="Arial" w:cs="Arial"/>
        </w:rPr>
        <w:footnoteReference w:id="448"/>
      </w:r>
      <w:r w:rsidRPr="00140702">
        <w:rPr>
          <w:rFonts w:ascii="Arial" w:hAnsi="Arial" w:cs="Arial"/>
        </w:rPr>
        <w:t xml:space="preserve"> Furthermore</w:t>
      </w:r>
      <w:r w:rsidR="00844BE5" w:rsidRPr="00140702">
        <w:rPr>
          <w:rFonts w:ascii="Arial" w:hAnsi="Arial" w:cs="Arial"/>
        </w:rPr>
        <w:t>,</w:t>
      </w:r>
      <w:r w:rsidRPr="00140702">
        <w:rPr>
          <w:rFonts w:ascii="Arial" w:hAnsi="Arial" w:cs="Arial"/>
        </w:rPr>
        <w:t xml:space="preserve"> a</w:t>
      </w:r>
      <w:r w:rsidR="00844BE5" w:rsidRPr="00140702">
        <w:rPr>
          <w:rFonts w:ascii="Arial" w:hAnsi="Arial" w:cs="Arial"/>
        </w:rPr>
        <w:t xml:space="preserve"> merger will constitute an</w:t>
      </w:r>
      <w:r w:rsidRPr="00140702">
        <w:rPr>
          <w:rFonts w:ascii="Arial" w:hAnsi="Arial" w:cs="Arial"/>
        </w:rPr>
        <w:t xml:space="preserve"> intermediate merger </w:t>
      </w:r>
      <w:r w:rsidR="00844BE5" w:rsidRPr="00140702">
        <w:rPr>
          <w:rFonts w:ascii="Arial" w:hAnsi="Arial" w:cs="Arial"/>
        </w:rPr>
        <w:t>if the</w:t>
      </w:r>
      <w:r w:rsidRPr="00140702">
        <w:rPr>
          <w:rFonts w:ascii="Arial" w:hAnsi="Arial" w:cs="Arial"/>
        </w:rPr>
        <w:t xml:space="preserve"> value</w:t>
      </w:r>
      <w:r w:rsidR="00844BE5" w:rsidRPr="00140702">
        <w:rPr>
          <w:rFonts w:ascii="Arial" w:hAnsi="Arial" w:cs="Arial"/>
        </w:rPr>
        <w:t xml:space="preserve"> of that merger</w:t>
      </w:r>
      <w:r w:rsidRPr="00140702">
        <w:rPr>
          <w:rFonts w:ascii="Arial" w:hAnsi="Arial" w:cs="Arial"/>
        </w:rPr>
        <w:t>, in terms of the combined annual turnover of all the participating firms or their combined asset value,</w:t>
      </w:r>
      <w:r w:rsidR="00844BE5" w:rsidRPr="00140702">
        <w:rPr>
          <w:rFonts w:ascii="Arial" w:hAnsi="Arial" w:cs="Arial"/>
        </w:rPr>
        <w:t xml:space="preserve"> equals or exceeds R 560 million and the annual turnover or asset value of the targeted firm exceeds or is equal to R 80 million.</w:t>
      </w:r>
      <w:r w:rsidR="00CC2449" w:rsidRPr="00140702">
        <w:rPr>
          <w:rStyle w:val="Funotenzeichen"/>
          <w:rFonts w:ascii="Arial" w:hAnsi="Arial" w:cs="Arial"/>
        </w:rPr>
        <w:footnoteReference w:id="449"/>
      </w:r>
      <w:r w:rsidR="00844BE5" w:rsidRPr="00140702">
        <w:rPr>
          <w:rFonts w:ascii="Arial" w:hAnsi="Arial" w:cs="Arial"/>
        </w:rPr>
        <w:t xml:space="preserve"> </w:t>
      </w:r>
    </w:p>
    <w:p w:rsidR="00844BE5" w:rsidRPr="00140702" w:rsidRDefault="00844BE5" w:rsidP="00140702">
      <w:pPr>
        <w:contextualSpacing/>
        <w:jc w:val="both"/>
        <w:rPr>
          <w:rFonts w:ascii="Arial" w:hAnsi="Arial" w:cs="Arial"/>
        </w:rPr>
      </w:pPr>
    </w:p>
    <w:p w:rsidR="00844BE5" w:rsidRPr="00140702" w:rsidRDefault="00844BE5" w:rsidP="00140702">
      <w:pPr>
        <w:contextualSpacing/>
        <w:jc w:val="both"/>
        <w:rPr>
          <w:rFonts w:ascii="Arial" w:hAnsi="Arial" w:cs="Arial"/>
        </w:rPr>
      </w:pPr>
      <w:r w:rsidRPr="00140702">
        <w:rPr>
          <w:rFonts w:ascii="Arial" w:hAnsi="Arial" w:cs="Arial"/>
        </w:rPr>
        <w:t>A large merger on the other hand will be a merger where the value of that merger, in terms of the combined annual turnover of all the participating firms or their combined asset value, equals or exceeds R 6.6 trillion and the turnover or asset value of the targeted firm exceeds or is equal to R 190 million.</w:t>
      </w:r>
      <w:r w:rsidR="00CC2449" w:rsidRPr="00140702">
        <w:rPr>
          <w:rStyle w:val="Funotenzeichen"/>
          <w:rFonts w:ascii="Arial" w:hAnsi="Arial" w:cs="Arial"/>
        </w:rPr>
        <w:footnoteReference w:id="450"/>
      </w:r>
    </w:p>
    <w:p w:rsidR="005703CB" w:rsidRPr="00140702" w:rsidRDefault="005703CB" w:rsidP="00140702">
      <w:pPr>
        <w:contextualSpacing/>
        <w:jc w:val="both"/>
        <w:rPr>
          <w:rFonts w:ascii="Arial" w:hAnsi="Arial" w:cs="Arial"/>
        </w:rPr>
      </w:pPr>
    </w:p>
    <w:p w:rsidR="00640370" w:rsidRPr="00140702" w:rsidRDefault="00474B14" w:rsidP="00140702">
      <w:pPr>
        <w:contextualSpacing/>
        <w:jc w:val="both"/>
        <w:rPr>
          <w:rFonts w:ascii="Arial" w:hAnsi="Arial" w:cs="Arial"/>
        </w:rPr>
      </w:pPr>
      <w:r w:rsidRPr="00140702">
        <w:rPr>
          <w:rFonts w:ascii="Arial" w:hAnsi="Arial" w:cs="Arial"/>
        </w:rPr>
        <w:t>I</w:t>
      </w:r>
      <w:r w:rsidR="00640370" w:rsidRPr="00140702">
        <w:rPr>
          <w:rFonts w:ascii="Arial" w:hAnsi="Arial" w:cs="Arial"/>
        </w:rPr>
        <w:t xml:space="preserve">n </w:t>
      </w:r>
      <w:r w:rsidRPr="00140702">
        <w:rPr>
          <w:rFonts w:ascii="Arial" w:hAnsi="Arial" w:cs="Arial"/>
        </w:rPr>
        <w:t xml:space="preserve">terms of the </w:t>
      </w:r>
      <w:r w:rsidR="00640370" w:rsidRPr="00140702">
        <w:rPr>
          <w:rFonts w:ascii="Arial" w:hAnsi="Arial" w:cs="Arial"/>
        </w:rPr>
        <w:t>Competition Act</w:t>
      </w:r>
      <w:r w:rsidRPr="00140702">
        <w:rPr>
          <w:rStyle w:val="Funotenzeichen"/>
          <w:rFonts w:ascii="Arial" w:hAnsi="Arial" w:cs="Arial"/>
        </w:rPr>
        <w:footnoteReference w:id="451"/>
      </w:r>
      <w:r w:rsidR="00640370" w:rsidRPr="00140702">
        <w:rPr>
          <w:rFonts w:ascii="Arial" w:hAnsi="Arial" w:cs="Arial"/>
        </w:rPr>
        <w:t xml:space="preserve"> a</w:t>
      </w:r>
      <w:r w:rsidRPr="00140702">
        <w:rPr>
          <w:rFonts w:ascii="Arial" w:hAnsi="Arial" w:cs="Arial"/>
        </w:rPr>
        <w:t xml:space="preserve"> merger is defined as</w:t>
      </w:r>
      <w:r w:rsidR="00640370" w:rsidRPr="00140702">
        <w:rPr>
          <w:rFonts w:ascii="Arial" w:hAnsi="Arial" w:cs="Arial"/>
        </w:rPr>
        <w:t xml:space="preserve"> “when one or </w:t>
      </w:r>
      <w:r w:rsidRPr="00140702">
        <w:rPr>
          <w:rFonts w:ascii="Arial" w:hAnsi="Arial" w:cs="Arial"/>
        </w:rPr>
        <w:t>more firms</w:t>
      </w:r>
      <w:r w:rsidR="00640370" w:rsidRPr="00140702">
        <w:rPr>
          <w:rFonts w:ascii="Arial" w:hAnsi="Arial" w:cs="Arial"/>
        </w:rPr>
        <w:t xml:space="preserve"> directly or indirectly acquire or establish direct or indirect control over the whole or part of the business of another firm.”</w:t>
      </w:r>
      <w:r w:rsidRPr="00140702">
        <w:rPr>
          <w:rStyle w:val="Funotenzeichen"/>
          <w:rFonts w:ascii="Arial" w:hAnsi="Arial" w:cs="Arial"/>
        </w:rPr>
        <w:footnoteReference w:id="452"/>
      </w:r>
      <w:r w:rsidR="00640370" w:rsidRPr="00140702">
        <w:rPr>
          <w:rFonts w:ascii="Arial" w:hAnsi="Arial" w:cs="Arial"/>
        </w:rPr>
        <w:t xml:space="preserve"> Control on the other hand may be obtained in any manner including</w:t>
      </w:r>
      <w:r w:rsidRPr="00140702">
        <w:rPr>
          <w:rFonts w:ascii="Arial" w:hAnsi="Arial" w:cs="Arial"/>
        </w:rPr>
        <w:t xml:space="preserve"> the</w:t>
      </w:r>
      <w:r w:rsidR="00640370" w:rsidRPr="00140702">
        <w:rPr>
          <w:rFonts w:ascii="Arial" w:hAnsi="Arial" w:cs="Arial"/>
        </w:rPr>
        <w:t xml:space="preserve"> purchase or lease of shares, </w:t>
      </w:r>
      <w:r w:rsidRPr="00140702">
        <w:rPr>
          <w:rFonts w:ascii="Arial" w:hAnsi="Arial" w:cs="Arial"/>
        </w:rPr>
        <w:t xml:space="preserve">by obtaining </w:t>
      </w:r>
      <w:r w:rsidR="00640370" w:rsidRPr="00140702">
        <w:rPr>
          <w:rFonts w:ascii="Arial" w:hAnsi="Arial" w:cs="Arial"/>
        </w:rPr>
        <w:t xml:space="preserve">an interest or assets </w:t>
      </w:r>
      <w:r w:rsidRPr="00140702">
        <w:rPr>
          <w:rFonts w:ascii="Arial" w:hAnsi="Arial" w:cs="Arial"/>
        </w:rPr>
        <w:t>in the other firm</w:t>
      </w:r>
      <w:r w:rsidR="00640370" w:rsidRPr="00140702">
        <w:rPr>
          <w:rFonts w:ascii="Arial" w:hAnsi="Arial" w:cs="Arial"/>
        </w:rPr>
        <w:t xml:space="preserve"> or</w:t>
      </w:r>
      <w:r w:rsidRPr="00140702">
        <w:rPr>
          <w:rFonts w:ascii="Arial" w:hAnsi="Arial" w:cs="Arial"/>
        </w:rPr>
        <w:t xml:space="preserve"> by an </w:t>
      </w:r>
      <w:r w:rsidR="00640370" w:rsidRPr="00140702">
        <w:rPr>
          <w:rFonts w:ascii="Arial" w:hAnsi="Arial" w:cs="Arial"/>
        </w:rPr>
        <w:t xml:space="preserve">amalgamation or </w:t>
      </w:r>
      <w:r w:rsidRPr="00140702">
        <w:rPr>
          <w:rFonts w:ascii="Arial" w:hAnsi="Arial" w:cs="Arial"/>
        </w:rPr>
        <w:t>an</w:t>
      </w:r>
      <w:r w:rsidR="00640370" w:rsidRPr="00140702">
        <w:rPr>
          <w:rFonts w:ascii="Arial" w:hAnsi="Arial" w:cs="Arial"/>
        </w:rPr>
        <w:t xml:space="preserve">other </w:t>
      </w:r>
      <w:r w:rsidRPr="00140702">
        <w:rPr>
          <w:rFonts w:ascii="Arial" w:hAnsi="Arial" w:cs="Arial"/>
        </w:rPr>
        <w:t xml:space="preserve">form </w:t>
      </w:r>
      <w:r w:rsidR="00CC2449" w:rsidRPr="00140702">
        <w:rPr>
          <w:rFonts w:ascii="Arial" w:hAnsi="Arial" w:cs="Arial"/>
        </w:rPr>
        <w:t>of grouping</w:t>
      </w:r>
      <w:r w:rsidR="00640370" w:rsidRPr="00140702">
        <w:rPr>
          <w:rFonts w:ascii="Arial" w:hAnsi="Arial" w:cs="Arial"/>
        </w:rPr>
        <w:t xml:space="preserve"> with the </w:t>
      </w:r>
      <w:r w:rsidRPr="00140702">
        <w:rPr>
          <w:rFonts w:ascii="Arial" w:hAnsi="Arial" w:cs="Arial"/>
        </w:rPr>
        <w:t>other</w:t>
      </w:r>
      <w:r w:rsidR="00640370" w:rsidRPr="00140702">
        <w:rPr>
          <w:rFonts w:ascii="Arial" w:hAnsi="Arial" w:cs="Arial"/>
        </w:rPr>
        <w:t xml:space="preserve"> firm.</w:t>
      </w:r>
      <w:r w:rsidRPr="00140702">
        <w:rPr>
          <w:rStyle w:val="Funotenzeichen"/>
          <w:rFonts w:ascii="Arial" w:hAnsi="Arial" w:cs="Arial"/>
        </w:rPr>
        <w:footnoteReference w:id="453"/>
      </w:r>
    </w:p>
    <w:p w:rsidR="00E5176A" w:rsidRPr="00140702" w:rsidRDefault="00E5176A" w:rsidP="00140702">
      <w:pPr>
        <w:contextualSpacing/>
        <w:jc w:val="both"/>
        <w:rPr>
          <w:rFonts w:ascii="Arial" w:hAnsi="Arial" w:cs="Arial"/>
        </w:rPr>
      </w:pPr>
    </w:p>
    <w:p w:rsidR="00E5176A" w:rsidRPr="00140702" w:rsidRDefault="00E5176A" w:rsidP="00140702">
      <w:pPr>
        <w:contextualSpacing/>
        <w:jc w:val="both"/>
        <w:rPr>
          <w:rFonts w:ascii="Arial" w:hAnsi="Arial" w:cs="Arial"/>
        </w:rPr>
      </w:pPr>
      <w:r w:rsidRPr="00140702">
        <w:rPr>
          <w:rFonts w:ascii="Arial" w:hAnsi="Arial" w:cs="Arial"/>
        </w:rPr>
        <w:t>To conclude</w:t>
      </w:r>
      <w:r w:rsidR="00E31708" w:rsidRPr="00140702">
        <w:rPr>
          <w:rFonts w:ascii="Arial" w:hAnsi="Arial" w:cs="Arial"/>
        </w:rPr>
        <w:t>,</w:t>
      </w:r>
      <w:r w:rsidRPr="00140702">
        <w:rPr>
          <w:rFonts w:ascii="Arial" w:hAnsi="Arial" w:cs="Arial"/>
        </w:rPr>
        <w:t xml:space="preserve"> the </w:t>
      </w:r>
      <w:r w:rsidR="00095614" w:rsidRPr="00140702">
        <w:rPr>
          <w:rFonts w:ascii="Arial" w:hAnsi="Arial" w:cs="Arial"/>
        </w:rPr>
        <w:t>Competition Act</w:t>
      </w:r>
      <w:r w:rsidR="00095614" w:rsidRPr="00140702">
        <w:rPr>
          <w:rStyle w:val="Funotenzeichen"/>
          <w:rFonts w:ascii="Arial" w:hAnsi="Arial" w:cs="Arial"/>
        </w:rPr>
        <w:footnoteReference w:id="454"/>
      </w:r>
      <w:r w:rsidR="00095614" w:rsidRPr="00140702">
        <w:rPr>
          <w:rFonts w:ascii="Arial" w:hAnsi="Arial" w:cs="Arial"/>
        </w:rPr>
        <w:t xml:space="preserve"> </w:t>
      </w:r>
      <w:r w:rsidR="00016088" w:rsidRPr="00140702">
        <w:rPr>
          <w:rFonts w:ascii="Arial" w:hAnsi="Arial" w:cs="Arial"/>
        </w:rPr>
        <w:t>administers</w:t>
      </w:r>
      <w:r w:rsidR="00095614" w:rsidRPr="00140702">
        <w:rPr>
          <w:rFonts w:ascii="Arial" w:hAnsi="Arial" w:cs="Arial"/>
        </w:rPr>
        <w:t xml:space="preserve"> 3 types of mergers namely horizontal, vertical and conglomerate mergers.</w:t>
      </w:r>
      <w:r w:rsidR="00095614" w:rsidRPr="00140702">
        <w:rPr>
          <w:rStyle w:val="Funotenzeichen"/>
          <w:rFonts w:ascii="Arial" w:hAnsi="Arial" w:cs="Arial"/>
        </w:rPr>
        <w:footnoteReference w:id="455"/>
      </w:r>
      <w:r w:rsidR="00095614" w:rsidRPr="00140702">
        <w:rPr>
          <w:rFonts w:ascii="Arial" w:hAnsi="Arial" w:cs="Arial"/>
        </w:rPr>
        <w:t xml:space="preserve"> Horizontal mergers are defined as mergers between firms doing business in the same level of the supply chain and who sell substitutable goods or services in the same geographical area.</w:t>
      </w:r>
      <w:r w:rsidR="00095614" w:rsidRPr="00140702">
        <w:rPr>
          <w:rStyle w:val="Funotenzeichen"/>
          <w:rFonts w:ascii="Arial" w:hAnsi="Arial" w:cs="Arial"/>
        </w:rPr>
        <w:footnoteReference w:id="456"/>
      </w:r>
      <w:r w:rsidR="00095614" w:rsidRPr="00140702">
        <w:rPr>
          <w:rFonts w:ascii="Arial" w:hAnsi="Arial" w:cs="Arial"/>
        </w:rPr>
        <w:t xml:space="preserve"> Vertical mergers on the other hand are mergers </w:t>
      </w:r>
      <w:r w:rsidR="00D66B66" w:rsidRPr="00140702">
        <w:rPr>
          <w:rFonts w:ascii="Arial" w:hAnsi="Arial" w:cs="Arial"/>
        </w:rPr>
        <w:t>between parties in a vertical relationship i.e. parties in a supplier and customer relationship.</w:t>
      </w:r>
      <w:r w:rsidR="00D66B66" w:rsidRPr="00140702">
        <w:rPr>
          <w:rStyle w:val="Funotenzeichen"/>
          <w:rFonts w:ascii="Arial" w:hAnsi="Arial" w:cs="Arial"/>
        </w:rPr>
        <w:footnoteReference w:id="457"/>
      </w:r>
      <w:r w:rsidR="00D66B66" w:rsidRPr="00140702">
        <w:rPr>
          <w:rFonts w:ascii="Arial" w:hAnsi="Arial" w:cs="Arial"/>
        </w:rPr>
        <w:t xml:space="preserve"> Conglomerate mergers are mergers that are neither horizontal nor vertical mergers i.e. it is mergers where there are no economic relationship between the parties.</w:t>
      </w:r>
      <w:r w:rsidR="00D66B66" w:rsidRPr="00140702">
        <w:rPr>
          <w:rStyle w:val="Funotenzeichen"/>
          <w:rFonts w:ascii="Arial" w:hAnsi="Arial" w:cs="Arial"/>
        </w:rPr>
        <w:footnoteReference w:id="458"/>
      </w:r>
    </w:p>
    <w:p w:rsidR="00016088" w:rsidRPr="00140702" w:rsidRDefault="00016088" w:rsidP="00140702">
      <w:pPr>
        <w:contextualSpacing/>
        <w:jc w:val="both"/>
        <w:rPr>
          <w:rFonts w:ascii="Arial" w:hAnsi="Arial" w:cs="Arial"/>
        </w:rPr>
      </w:pPr>
    </w:p>
    <w:p w:rsidR="00A50232" w:rsidRPr="00140702" w:rsidRDefault="00A50232" w:rsidP="00140702">
      <w:pPr>
        <w:contextualSpacing/>
        <w:jc w:val="both"/>
        <w:rPr>
          <w:rFonts w:ascii="Arial" w:hAnsi="Arial" w:cs="Arial"/>
        </w:rPr>
      </w:pPr>
      <w:r w:rsidRPr="00140702">
        <w:rPr>
          <w:rFonts w:ascii="Arial" w:hAnsi="Arial" w:cs="Arial"/>
        </w:rPr>
        <w:t>2.4.4 Complex monopoly conduct</w:t>
      </w:r>
    </w:p>
    <w:p w:rsidR="00A50232" w:rsidRPr="00140702" w:rsidRDefault="00A50232" w:rsidP="00140702">
      <w:pPr>
        <w:contextualSpacing/>
        <w:jc w:val="both"/>
        <w:rPr>
          <w:rFonts w:ascii="Arial" w:hAnsi="Arial" w:cs="Arial"/>
        </w:rPr>
      </w:pPr>
      <w:r w:rsidRPr="00140702">
        <w:rPr>
          <w:rFonts w:ascii="Arial" w:hAnsi="Arial" w:cs="Arial"/>
        </w:rPr>
        <w:t>The Competition Amendment Act</w:t>
      </w:r>
      <w:r w:rsidRPr="00140702">
        <w:rPr>
          <w:rStyle w:val="Funotenzeichen"/>
          <w:rFonts w:ascii="Arial" w:hAnsi="Arial" w:cs="Arial"/>
        </w:rPr>
        <w:footnoteReference w:id="459"/>
      </w:r>
      <w:r w:rsidR="00410331" w:rsidRPr="00140702">
        <w:rPr>
          <w:rFonts w:ascii="Arial" w:hAnsi="Arial" w:cs="Arial"/>
        </w:rPr>
        <w:t xml:space="preserve"> </w:t>
      </w:r>
      <w:r w:rsidR="00345028" w:rsidRPr="00140702">
        <w:rPr>
          <w:rFonts w:ascii="Arial" w:hAnsi="Arial" w:cs="Arial"/>
        </w:rPr>
        <w:t xml:space="preserve">inserted </w:t>
      </w:r>
      <w:r w:rsidR="006341E3" w:rsidRPr="00140702">
        <w:rPr>
          <w:rFonts w:ascii="Arial" w:hAnsi="Arial" w:cs="Arial"/>
        </w:rPr>
        <w:t>what is</w:t>
      </w:r>
      <w:r w:rsidR="00345028" w:rsidRPr="00140702">
        <w:rPr>
          <w:rFonts w:ascii="Arial" w:hAnsi="Arial" w:cs="Arial"/>
        </w:rPr>
        <w:t xml:space="preserve"> </w:t>
      </w:r>
      <w:r w:rsidR="00AF2164" w:rsidRPr="00140702">
        <w:rPr>
          <w:rFonts w:ascii="Arial" w:hAnsi="Arial" w:cs="Arial"/>
        </w:rPr>
        <w:t>termed</w:t>
      </w:r>
      <w:r w:rsidR="00345028" w:rsidRPr="00140702">
        <w:rPr>
          <w:rFonts w:ascii="Arial" w:hAnsi="Arial" w:cs="Arial"/>
        </w:rPr>
        <w:t xml:space="preserve"> “complex monopoly conduct” as section 10A into chapter 2 of the Competition Act</w:t>
      </w:r>
      <w:r w:rsidR="00345028" w:rsidRPr="00140702">
        <w:rPr>
          <w:rStyle w:val="Funotenzeichen"/>
          <w:rFonts w:ascii="Arial" w:hAnsi="Arial" w:cs="Arial"/>
        </w:rPr>
        <w:footnoteReference w:id="460"/>
      </w:r>
      <w:r w:rsidR="00345028" w:rsidRPr="00140702">
        <w:rPr>
          <w:rFonts w:ascii="Arial" w:hAnsi="Arial" w:cs="Arial"/>
        </w:rPr>
        <w:t xml:space="preserve"> which contains the prohibited practices.</w:t>
      </w:r>
      <w:r w:rsidR="0042107C" w:rsidRPr="00140702">
        <w:rPr>
          <w:rStyle w:val="Funotenzeichen"/>
          <w:rFonts w:ascii="Arial" w:hAnsi="Arial" w:cs="Arial"/>
        </w:rPr>
        <w:footnoteReference w:id="461"/>
      </w:r>
      <w:r w:rsidR="006341E3" w:rsidRPr="00140702">
        <w:rPr>
          <w:rFonts w:ascii="Arial" w:hAnsi="Arial" w:cs="Arial"/>
        </w:rPr>
        <w:t xml:space="preserve"> Section</w:t>
      </w:r>
      <w:r w:rsidR="004233C6" w:rsidRPr="00140702">
        <w:rPr>
          <w:rFonts w:ascii="Arial" w:hAnsi="Arial" w:cs="Arial"/>
        </w:rPr>
        <w:t>s</w:t>
      </w:r>
      <w:r w:rsidR="006341E3" w:rsidRPr="00140702">
        <w:rPr>
          <w:rFonts w:ascii="Arial" w:hAnsi="Arial" w:cs="Arial"/>
        </w:rPr>
        <w:t xml:space="preserve"> 10A(1)</w:t>
      </w:r>
      <w:r w:rsidR="004233C6" w:rsidRPr="00140702">
        <w:rPr>
          <w:rFonts w:ascii="Arial" w:hAnsi="Arial" w:cs="Arial"/>
        </w:rPr>
        <w:t xml:space="preserve"> and 10A(2) </w:t>
      </w:r>
      <w:r w:rsidR="006341E3" w:rsidRPr="00140702">
        <w:rPr>
          <w:rStyle w:val="Funotenzeichen"/>
          <w:rFonts w:ascii="Arial" w:hAnsi="Arial" w:cs="Arial"/>
        </w:rPr>
        <w:footnoteReference w:id="462"/>
      </w:r>
      <w:r w:rsidR="004233C6" w:rsidRPr="00140702">
        <w:rPr>
          <w:rFonts w:ascii="Arial" w:hAnsi="Arial" w:cs="Arial"/>
        </w:rPr>
        <w:t xml:space="preserve"> reads as follow</w:t>
      </w:r>
      <w:r w:rsidR="006341E3" w:rsidRPr="00140702">
        <w:rPr>
          <w:rFonts w:ascii="Arial" w:hAnsi="Arial" w:cs="Arial"/>
        </w:rPr>
        <w:t>:</w:t>
      </w:r>
    </w:p>
    <w:p w:rsidR="006341E3" w:rsidRPr="00140702" w:rsidRDefault="006341E3" w:rsidP="00140702">
      <w:pPr>
        <w:contextualSpacing/>
        <w:jc w:val="both"/>
        <w:rPr>
          <w:rFonts w:ascii="Arial" w:hAnsi="Arial" w:cs="Arial"/>
        </w:rPr>
      </w:pPr>
    </w:p>
    <w:p w:rsidR="006341E3" w:rsidRPr="00140702" w:rsidRDefault="004233C6" w:rsidP="00140702">
      <w:pPr>
        <w:contextualSpacing/>
        <w:jc w:val="both"/>
        <w:rPr>
          <w:rFonts w:ascii="Arial" w:hAnsi="Arial" w:cs="Arial"/>
        </w:rPr>
      </w:pPr>
      <w:r w:rsidRPr="00140702">
        <w:rPr>
          <w:rFonts w:ascii="Arial" w:hAnsi="Arial" w:cs="Arial"/>
        </w:rPr>
        <w:t>“</w:t>
      </w:r>
      <w:r w:rsidR="006341E3" w:rsidRPr="00140702">
        <w:rPr>
          <w:rFonts w:ascii="Arial" w:hAnsi="Arial" w:cs="Arial"/>
        </w:rPr>
        <w:t>(1) Complex monopoly conduct subsists within the market for any particular goods or services if—</w:t>
      </w:r>
    </w:p>
    <w:p w:rsidR="006341E3" w:rsidRPr="00140702" w:rsidRDefault="006341E3" w:rsidP="00140702">
      <w:pPr>
        <w:contextualSpacing/>
        <w:jc w:val="both"/>
        <w:rPr>
          <w:rFonts w:ascii="Arial" w:hAnsi="Arial" w:cs="Arial"/>
        </w:rPr>
      </w:pPr>
      <w:r w:rsidRPr="00140702">
        <w:rPr>
          <w:rFonts w:ascii="Arial" w:hAnsi="Arial" w:cs="Arial"/>
        </w:rPr>
        <w:t>(a) at least 75% of the goods or services in that market are supplied to, or by ﬁve or fewer ﬁrms;</w:t>
      </w:r>
    </w:p>
    <w:p w:rsidR="006341E3" w:rsidRPr="00140702" w:rsidRDefault="006341E3" w:rsidP="00140702">
      <w:pPr>
        <w:contextualSpacing/>
        <w:jc w:val="both"/>
        <w:rPr>
          <w:rFonts w:ascii="Arial" w:hAnsi="Arial" w:cs="Arial"/>
        </w:rPr>
      </w:pPr>
      <w:r w:rsidRPr="00140702">
        <w:rPr>
          <w:rFonts w:ascii="Arial" w:hAnsi="Arial" w:cs="Arial"/>
        </w:rPr>
        <w:t>(b) any two or more of the ﬁrms contemplated in paragraph (a) conduct their respective business affairs in a conscious parallel manner or coordinated manner, without agreement between or among themselves; and</w:t>
      </w:r>
    </w:p>
    <w:p w:rsidR="00A50232" w:rsidRPr="00140702" w:rsidRDefault="006341E3" w:rsidP="00140702">
      <w:pPr>
        <w:contextualSpacing/>
        <w:jc w:val="both"/>
        <w:rPr>
          <w:rFonts w:ascii="Arial" w:hAnsi="Arial" w:cs="Arial"/>
        </w:rPr>
      </w:pPr>
      <w:r w:rsidRPr="00140702">
        <w:rPr>
          <w:rFonts w:ascii="Arial" w:hAnsi="Arial" w:cs="Arial"/>
        </w:rPr>
        <w:t>(c) the conduct contemplated in paragraph (b) has the effect of substantially preventing or lessening competition in that market, unless a ﬁrm engaging in the conduct can prove that any technological, efficiency or other pro-competitive gain resulting from it outweighs that effect.</w:t>
      </w:r>
    </w:p>
    <w:p w:rsidR="00A50232" w:rsidRPr="00140702" w:rsidRDefault="004233C6" w:rsidP="00140702">
      <w:pPr>
        <w:contextualSpacing/>
        <w:jc w:val="both"/>
        <w:rPr>
          <w:rFonts w:ascii="Arial" w:hAnsi="Arial" w:cs="Arial"/>
        </w:rPr>
      </w:pPr>
      <w:r w:rsidRPr="00140702">
        <w:rPr>
          <w:rFonts w:ascii="Arial" w:hAnsi="Arial" w:cs="Arial"/>
        </w:rPr>
        <w:t>(2) For the purposes of subsection (1)(b) “conscious parallel conduct” occurs when two or more ﬁrms in a concentrated market, being aware of each other’s action, conduct their business affairs in a cooperative manner without discussion or agreement.”</w:t>
      </w:r>
    </w:p>
    <w:p w:rsidR="00682922" w:rsidRPr="00140702" w:rsidRDefault="00682922" w:rsidP="00140702">
      <w:pPr>
        <w:contextualSpacing/>
        <w:jc w:val="both"/>
        <w:rPr>
          <w:rFonts w:ascii="Arial" w:hAnsi="Arial" w:cs="Arial"/>
        </w:rPr>
      </w:pPr>
    </w:p>
    <w:p w:rsidR="00682922" w:rsidRPr="00140702" w:rsidRDefault="00682922" w:rsidP="00140702">
      <w:pPr>
        <w:contextualSpacing/>
        <w:jc w:val="both"/>
        <w:rPr>
          <w:rFonts w:ascii="Arial" w:hAnsi="Arial" w:cs="Arial"/>
        </w:rPr>
      </w:pPr>
      <w:r w:rsidRPr="00140702">
        <w:rPr>
          <w:rFonts w:ascii="Arial" w:hAnsi="Arial" w:cs="Arial"/>
        </w:rPr>
        <w:t xml:space="preserve">Section 10A also provides for the </w:t>
      </w:r>
      <w:r w:rsidR="00885659" w:rsidRPr="00140702">
        <w:rPr>
          <w:rFonts w:ascii="Arial" w:hAnsi="Arial" w:cs="Arial"/>
        </w:rPr>
        <w:t>Competition Commission to initiate its own investigation into complex monopoly conduct if it believes complex monopoly conduct is being practised within a given market.</w:t>
      </w:r>
      <w:r w:rsidR="00885659" w:rsidRPr="00140702">
        <w:rPr>
          <w:rStyle w:val="Funotenzeichen"/>
          <w:rFonts w:ascii="Arial" w:hAnsi="Arial" w:cs="Arial"/>
        </w:rPr>
        <w:footnoteReference w:id="463"/>
      </w:r>
      <w:r w:rsidR="00885659" w:rsidRPr="00140702">
        <w:rPr>
          <w:rFonts w:ascii="Arial" w:hAnsi="Arial" w:cs="Arial"/>
        </w:rPr>
        <w:t xml:space="preserve"> Upon its investigation the Competition </w:t>
      </w:r>
      <w:r w:rsidR="009D5DC4" w:rsidRPr="00140702">
        <w:rPr>
          <w:rFonts w:ascii="Arial" w:hAnsi="Arial" w:cs="Arial"/>
        </w:rPr>
        <w:t>Commission</w:t>
      </w:r>
      <w:r w:rsidR="00885659" w:rsidRPr="00140702">
        <w:rPr>
          <w:rFonts w:ascii="Arial" w:hAnsi="Arial" w:cs="Arial"/>
        </w:rPr>
        <w:t xml:space="preserve"> can </w:t>
      </w:r>
      <w:r w:rsidR="00211922" w:rsidRPr="00140702">
        <w:rPr>
          <w:rFonts w:ascii="Arial" w:hAnsi="Arial" w:cs="Arial"/>
        </w:rPr>
        <w:t>apply</w:t>
      </w:r>
      <w:r w:rsidR="009D5DC4" w:rsidRPr="00140702">
        <w:rPr>
          <w:rFonts w:ascii="Arial" w:hAnsi="Arial" w:cs="Arial"/>
        </w:rPr>
        <w:t xml:space="preserve"> to the Competition Tribunal and if the Competition Tribunal is satisfied with the Competition Commission</w:t>
      </w:r>
      <w:r w:rsidR="00F15015" w:rsidRPr="00140702">
        <w:rPr>
          <w:rFonts w:ascii="Arial" w:hAnsi="Arial" w:cs="Arial"/>
        </w:rPr>
        <w:t>’</w:t>
      </w:r>
      <w:r w:rsidR="009D5DC4" w:rsidRPr="00140702">
        <w:rPr>
          <w:rFonts w:ascii="Arial" w:hAnsi="Arial" w:cs="Arial"/>
        </w:rPr>
        <w:t>s investigation the Competition Tribunal may make any order it sees as reasonabl</w:t>
      </w:r>
      <w:r w:rsidR="00211922" w:rsidRPr="00140702">
        <w:rPr>
          <w:rFonts w:ascii="Arial" w:hAnsi="Arial" w:cs="Arial"/>
        </w:rPr>
        <w:t>y necessary</w:t>
      </w:r>
      <w:r w:rsidR="009D5DC4" w:rsidRPr="00140702">
        <w:rPr>
          <w:rFonts w:ascii="Arial" w:hAnsi="Arial" w:cs="Arial"/>
        </w:rPr>
        <w:t xml:space="preserve"> to mitigate the</w:t>
      </w:r>
      <w:r w:rsidR="00211922" w:rsidRPr="00140702">
        <w:rPr>
          <w:rFonts w:ascii="Arial" w:hAnsi="Arial" w:cs="Arial"/>
        </w:rPr>
        <w:t xml:space="preserve"> harmful</w:t>
      </w:r>
      <w:r w:rsidR="009D5DC4" w:rsidRPr="00140702">
        <w:rPr>
          <w:rFonts w:ascii="Arial" w:hAnsi="Arial" w:cs="Arial"/>
        </w:rPr>
        <w:t xml:space="preserve"> effects of the complex monopoly conduct.</w:t>
      </w:r>
      <w:r w:rsidR="009D5DC4" w:rsidRPr="00140702">
        <w:rPr>
          <w:rStyle w:val="Funotenzeichen"/>
          <w:rFonts w:ascii="Arial" w:hAnsi="Arial" w:cs="Arial"/>
        </w:rPr>
        <w:footnoteReference w:id="464"/>
      </w:r>
    </w:p>
    <w:p w:rsidR="00AF2164" w:rsidRPr="00140702" w:rsidRDefault="00AF2164" w:rsidP="00140702">
      <w:pPr>
        <w:contextualSpacing/>
        <w:jc w:val="both"/>
        <w:rPr>
          <w:rFonts w:ascii="Arial" w:hAnsi="Arial" w:cs="Arial"/>
        </w:rPr>
      </w:pPr>
    </w:p>
    <w:p w:rsidR="00016088" w:rsidRPr="00140702" w:rsidRDefault="00A50232" w:rsidP="00140702">
      <w:pPr>
        <w:contextualSpacing/>
        <w:jc w:val="both"/>
        <w:rPr>
          <w:rFonts w:ascii="Arial" w:hAnsi="Arial" w:cs="Arial"/>
        </w:rPr>
      </w:pPr>
      <w:r w:rsidRPr="00140702">
        <w:rPr>
          <w:rFonts w:ascii="Arial" w:hAnsi="Arial" w:cs="Arial"/>
        </w:rPr>
        <w:t>2.4.5</w:t>
      </w:r>
      <w:r w:rsidR="005849B7" w:rsidRPr="00140702">
        <w:rPr>
          <w:rFonts w:ascii="Arial" w:hAnsi="Arial" w:cs="Arial"/>
        </w:rPr>
        <w:t xml:space="preserve"> The Competition Authorities</w:t>
      </w:r>
    </w:p>
    <w:p w:rsidR="00E228A9" w:rsidRPr="00140702" w:rsidRDefault="00844A44" w:rsidP="00140702">
      <w:pPr>
        <w:contextualSpacing/>
        <w:jc w:val="both"/>
        <w:rPr>
          <w:rFonts w:ascii="Arial" w:hAnsi="Arial" w:cs="Arial"/>
        </w:rPr>
      </w:pPr>
      <w:r w:rsidRPr="00140702">
        <w:rPr>
          <w:rFonts w:ascii="Arial" w:hAnsi="Arial" w:cs="Arial"/>
        </w:rPr>
        <w:t>The Competition Act</w:t>
      </w:r>
      <w:r w:rsidR="001E3732" w:rsidRPr="00140702">
        <w:rPr>
          <w:rStyle w:val="Funotenzeichen"/>
          <w:rFonts w:ascii="Arial" w:hAnsi="Arial" w:cs="Arial"/>
        </w:rPr>
        <w:footnoteReference w:id="465"/>
      </w:r>
      <w:r w:rsidRPr="00140702">
        <w:rPr>
          <w:rFonts w:ascii="Arial" w:hAnsi="Arial" w:cs="Arial"/>
        </w:rPr>
        <w:t xml:space="preserve"> is </w:t>
      </w:r>
      <w:r w:rsidR="003B6512" w:rsidRPr="00140702">
        <w:rPr>
          <w:rFonts w:ascii="Arial" w:hAnsi="Arial" w:cs="Arial"/>
        </w:rPr>
        <w:t>administered by what is termed a “three-pillar model” or a “tripartite model.”</w:t>
      </w:r>
      <w:r w:rsidR="005B53E4" w:rsidRPr="00140702">
        <w:rPr>
          <w:rStyle w:val="Funotenzeichen"/>
          <w:rFonts w:ascii="Arial" w:hAnsi="Arial" w:cs="Arial"/>
        </w:rPr>
        <w:footnoteReference w:id="466"/>
      </w:r>
      <w:r w:rsidR="003B6512" w:rsidRPr="00140702">
        <w:rPr>
          <w:rFonts w:ascii="Arial" w:hAnsi="Arial" w:cs="Arial"/>
        </w:rPr>
        <w:t xml:space="preserve"> </w:t>
      </w:r>
      <w:r w:rsidR="00F626F6" w:rsidRPr="00140702">
        <w:rPr>
          <w:rFonts w:ascii="Arial" w:hAnsi="Arial" w:cs="Arial"/>
        </w:rPr>
        <w:t xml:space="preserve">Owing </w:t>
      </w:r>
      <w:r w:rsidR="003B6512" w:rsidRPr="00140702">
        <w:rPr>
          <w:rFonts w:ascii="Arial" w:hAnsi="Arial" w:cs="Arial"/>
        </w:rPr>
        <w:t>to this model the Competition Act</w:t>
      </w:r>
      <w:r w:rsidR="00F626F6" w:rsidRPr="00140702">
        <w:rPr>
          <w:rStyle w:val="Funotenzeichen"/>
          <w:rFonts w:ascii="Arial" w:hAnsi="Arial" w:cs="Arial"/>
        </w:rPr>
        <w:footnoteReference w:id="467"/>
      </w:r>
      <w:r w:rsidR="003B6512" w:rsidRPr="00140702">
        <w:rPr>
          <w:rFonts w:ascii="Arial" w:hAnsi="Arial" w:cs="Arial"/>
        </w:rPr>
        <w:t xml:space="preserve"> is administered by 3 separate authorities namely the Competition Commission, the Competition Tribunal and the Competition Appeal Court.</w:t>
      </w:r>
      <w:r w:rsidR="00F626F6" w:rsidRPr="00140702">
        <w:rPr>
          <w:rStyle w:val="Funotenzeichen"/>
          <w:rFonts w:ascii="Arial" w:hAnsi="Arial" w:cs="Arial"/>
        </w:rPr>
        <w:footnoteReference w:id="468"/>
      </w:r>
      <w:r w:rsidR="003B6512" w:rsidRPr="00140702">
        <w:rPr>
          <w:rFonts w:ascii="Arial" w:hAnsi="Arial" w:cs="Arial"/>
        </w:rPr>
        <w:t xml:space="preserve"> </w:t>
      </w:r>
    </w:p>
    <w:p w:rsidR="00E228A9" w:rsidRPr="00140702" w:rsidRDefault="00E228A9" w:rsidP="00140702">
      <w:pPr>
        <w:contextualSpacing/>
        <w:jc w:val="both"/>
        <w:rPr>
          <w:rFonts w:ascii="Arial" w:hAnsi="Arial" w:cs="Arial"/>
        </w:rPr>
      </w:pPr>
    </w:p>
    <w:p w:rsidR="00844A44" w:rsidRPr="00140702" w:rsidRDefault="003B6512" w:rsidP="00140702">
      <w:pPr>
        <w:contextualSpacing/>
        <w:jc w:val="both"/>
        <w:rPr>
          <w:rFonts w:ascii="Arial" w:hAnsi="Arial" w:cs="Arial"/>
        </w:rPr>
      </w:pPr>
      <w:r w:rsidRPr="00140702">
        <w:rPr>
          <w:rFonts w:ascii="Arial" w:hAnsi="Arial" w:cs="Arial"/>
        </w:rPr>
        <w:t xml:space="preserve">The reason this model was chosen is because it is believed that </w:t>
      </w:r>
      <w:r w:rsidR="001B6C95" w:rsidRPr="00140702">
        <w:rPr>
          <w:rFonts w:ascii="Arial" w:hAnsi="Arial" w:cs="Arial"/>
        </w:rPr>
        <w:t xml:space="preserve">since this </w:t>
      </w:r>
      <w:r w:rsidRPr="00140702">
        <w:rPr>
          <w:rFonts w:ascii="Arial" w:hAnsi="Arial" w:cs="Arial"/>
        </w:rPr>
        <w:t xml:space="preserve">model provides </w:t>
      </w:r>
      <w:r w:rsidR="001B6C95" w:rsidRPr="00140702">
        <w:rPr>
          <w:rFonts w:ascii="Arial" w:hAnsi="Arial" w:cs="Arial"/>
        </w:rPr>
        <w:t xml:space="preserve">for authorities that are independent from politics, for the separation of investigative and adjudicative </w:t>
      </w:r>
      <w:r w:rsidR="00E228A9" w:rsidRPr="00140702">
        <w:rPr>
          <w:rFonts w:ascii="Arial" w:hAnsi="Arial" w:cs="Arial"/>
        </w:rPr>
        <w:t>functions and for a convenient way to consider appeals that this model ensures the optimum in competition competence and legal accountability.</w:t>
      </w:r>
      <w:r w:rsidR="00F626F6" w:rsidRPr="00140702">
        <w:rPr>
          <w:rStyle w:val="Funotenzeichen"/>
          <w:rFonts w:ascii="Arial" w:hAnsi="Arial" w:cs="Arial"/>
        </w:rPr>
        <w:footnoteReference w:id="469"/>
      </w:r>
      <w:r w:rsidR="005B53E4" w:rsidRPr="00140702">
        <w:rPr>
          <w:rFonts w:ascii="Arial" w:hAnsi="Arial" w:cs="Arial"/>
        </w:rPr>
        <w:t xml:space="preserve"> It is also believed that such a model is a necessity and the only way for the effective functioning of competition legislation.</w:t>
      </w:r>
      <w:r w:rsidR="005B53E4" w:rsidRPr="00140702">
        <w:rPr>
          <w:rStyle w:val="Funotenzeichen"/>
          <w:rFonts w:ascii="Arial" w:hAnsi="Arial" w:cs="Arial"/>
        </w:rPr>
        <w:footnoteReference w:id="470"/>
      </w:r>
    </w:p>
    <w:p w:rsidR="00844A44" w:rsidRPr="00140702" w:rsidRDefault="00844A44" w:rsidP="00140702">
      <w:pPr>
        <w:contextualSpacing/>
        <w:jc w:val="both"/>
        <w:rPr>
          <w:rFonts w:ascii="Arial" w:hAnsi="Arial" w:cs="Arial"/>
        </w:rPr>
      </w:pPr>
    </w:p>
    <w:p w:rsidR="00D25DD5" w:rsidRPr="00140702" w:rsidRDefault="00D25DD5" w:rsidP="00140702">
      <w:pPr>
        <w:contextualSpacing/>
        <w:jc w:val="both"/>
        <w:rPr>
          <w:rFonts w:ascii="Arial" w:hAnsi="Arial" w:cs="Arial"/>
        </w:rPr>
      </w:pPr>
      <w:r w:rsidRPr="00140702">
        <w:rPr>
          <w:rFonts w:ascii="Arial" w:hAnsi="Arial" w:cs="Arial"/>
        </w:rPr>
        <w:t>2.</w:t>
      </w:r>
      <w:r w:rsidR="002F0960" w:rsidRPr="00140702">
        <w:rPr>
          <w:rFonts w:ascii="Arial" w:hAnsi="Arial" w:cs="Arial"/>
        </w:rPr>
        <w:t>4.</w:t>
      </w:r>
      <w:r w:rsidRPr="00140702">
        <w:rPr>
          <w:rFonts w:ascii="Arial" w:hAnsi="Arial" w:cs="Arial"/>
        </w:rPr>
        <w:t>5.1 The Competition Commission</w:t>
      </w:r>
    </w:p>
    <w:p w:rsidR="004C07B6" w:rsidRPr="00140702" w:rsidRDefault="00D25DD5" w:rsidP="00140702">
      <w:pPr>
        <w:contextualSpacing/>
        <w:jc w:val="both"/>
        <w:rPr>
          <w:rFonts w:ascii="Arial" w:hAnsi="Arial" w:cs="Arial"/>
        </w:rPr>
      </w:pPr>
      <w:r w:rsidRPr="00140702">
        <w:rPr>
          <w:rFonts w:ascii="Arial" w:hAnsi="Arial" w:cs="Arial"/>
        </w:rPr>
        <w:t>According to section 20(1)</w:t>
      </w:r>
      <w:r w:rsidR="003E1559" w:rsidRPr="00140702">
        <w:rPr>
          <w:rFonts w:ascii="Arial" w:hAnsi="Arial" w:cs="Arial"/>
        </w:rPr>
        <w:t>(a)</w:t>
      </w:r>
      <w:r w:rsidRPr="00140702">
        <w:rPr>
          <w:rFonts w:ascii="Arial" w:hAnsi="Arial" w:cs="Arial"/>
        </w:rPr>
        <w:t xml:space="preserve"> the Competition Commission is</w:t>
      </w:r>
      <w:r w:rsidR="003E1559" w:rsidRPr="00140702">
        <w:rPr>
          <w:rFonts w:ascii="Arial" w:hAnsi="Arial" w:cs="Arial"/>
        </w:rPr>
        <w:t xml:space="preserve"> an</w:t>
      </w:r>
      <w:r w:rsidRPr="00140702">
        <w:rPr>
          <w:rFonts w:ascii="Arial" w:hAnsi="Arial" w:cs="Arial"/>
        </w:rPr>
        <w:t xml:space="preserve"> independent </w:t>
      </w:r>
      <w:r w:rsidR="003E1559" w:rsidRPr="00140702">
        <w:rPr>
          <w:rFonts w:ascii="Arial" w:hAnsi="Arial" w:cs="Arial"/>
        </w:rPr>
        <w:t xml:space="preserve">authority </w:t>
      </w:r>
      <w:r w:rsidRPr="00140702">
        <w:rPr>
          <w:rFonts w:ascii="Arial" w:hAnsi="Arial" w:cs="Arial"/>
        </w:rPr>
        <w:t xml:space="preserve">and </w:t>
      </w:r>
      <w:r w:rsidR="003E1559" w:rsidRPr="00140702">
        <w:rPr>
          <w:rFonts w:ascii="Arial" w:hAnsi="Arial" w:cs="Arial"/>
        </w:rPr>
        <w:t>subject only to the Constitution</w:t>
      </w:r>
      <w:r w:rsidR="007F4A84" w:rsidRPr="00140702">
        <w:rPr>
          <w:rStyle w:val="Funotenzeichen"/>
          <w:rFonts w:ascii="Arial" w:hAnsi="Arial" w:cs="Arial"/>
        </w:rPr>
        <w:footnoteReference w:id="471"/>
      </w:r>
      <w:r w:rsidR="003E1559" w:rsidRPr="00140702">
        <w:rPr>
          <w:rFonts w:ascii="Arial" w:hAnsi="Arial" w:cs="Arial"/>
        </w:rPr>
        <w:t xml:space="preserve"> and the law. Furthermore, the Competition Commission </w:t>
      </w:r>
      <w:r w:rsidR="004C07B6" w:rsidRPr="00140702">
        <w:rPr>
          <w:rFonts w:ascii="Arial" w:hAnsi="Arial" w:cs="Arial"/>
        </w:rPr>
        <w:t xml:space="preserve">is a juristic person </w:t>
      </w:r>
      <w:r w:rsidR="00C01C5C" w:rsidRPr="00140702">
        <w:rPr>
          <w:rFonts w:ascii="Arial" w:hAnsi="Arial" w:cs="Arial"/>
        </w:rPr>
        <w:t>with</w:t>
      </w:r>
      <w:r w:rsidR="004C07B6" w:rsidRPr="00140702">
        <w:rPr>
          <w:rFonts w:ascii="Arial" w:hAnsi="Arial" w:cs="Arial"/>
        </w:rPr>
        <w:t xml:space="preserve"> jurisdiction </w:t>
      </w:r>
      <w:r w:rsidR="00C01C5C" w:rsidRPr="00140702">
        <w:rPr>
          <w:rFonts w:ascii="Arial" w:hAnsi="Arial" w:cs="Arial"/>
        </w:rPr>
        <w:t>throughout South</w:t>
      </w:r>
      <w:r w:rsidR="004C07B6" w:rsidRPr="00140702">
        <w:rPr>
          <w:rFonts w:ascii="Arial" w:hAnsi="Arial" w:cs="Arial"/>
        </w:rPr>
        <w:t xml:space="preserve"> Africa and </w:t>
      </w:r>
      <w:r w:rsidR="00C01C5C" w:rsidRPr="00140702">
        <w:rPr>
          <w:rFonts w:ascii="Arial" w:hAnsi="Arial" w:cs="Arial"/>
        </w:rPr>
        <w:t xml:space="preserve">it </w:t>
      </w:r>
      <w:r w:rsidR="003E1559" w:rsidRPr="00140702">
        <w:rPr>
          <w:rFonts w:ascii="Arial" w:hAnsi="Arial" w:cs="Arial"/>
        </w:rPr>
        <w:t>must perform its functions without fear, favour and prejudice</w:t>
      </w:r>
      <w:r w:rsidR="004C07B6" w:rsidRPr="00140702">
        <w:rPr>
          <w:rFonts w:ascii="Arial" w:hAnsi="Arial" w:cs="Arial"/>
        </w:rPr>
        <w:t xml:space="preserve"> and in accordance to this Act</w:t>
      </w:r>
      <w:r w:rsidR="003E1559" w:rsidRPr="00140702">
        <w:rPr>
          <w:rFonts w:ascii="Arial" w:hAnsi="Arial" w:cs="Arial"/>
        </w:rPr>
        <w:t>.</w:t>
      </w:r>
      <w:r w:rsidR="003E1559" w:rsidRPr="00140702">
        <w:rPr>
          <w:rStyle w:val="Funotenzeichen"/>
          <w:rFonts w:ascii="Arial" w:hAnsi="Arial" w:cs="Arial"/>
        </w:rPr>
        <w:footnoteReference w:id="472"/>
      </w:r>
      <w:r w:rsidR="004C07B6" w:rsidRPr="00140702">
        <w:rPr>
          <w:rFonts w:ascii="Arial" w:hAnsi="Arial" w:cs="Arial"/>
        </w:rPr>
        <w:t xml:space="preserve"> </w:t>
      </w:r>
      <w:r w:rsidR="00700EE8" w:rsidRPr="00140702">
        <w:rPr>
          <w:rFonts w:ascii="Arial" w:hAnsi="Arial" w:cs="Arial"/>
        </w:rPr>
        <w:t xml:space="preserve">The </w:t>
      </w:r>
      <w:r w:rsidR="00C01C5C" w:rsidRPr="00140702">
        <w:rPr>
          <w:rFonts w:ascii="Arial" w:hAnsi="Arial" w:cs="Arial"/>
        </w:rPr>
        <w:t xml:space="preserve">Competition </w:t>
      </w:r>
      <w:r w:rsidR="00700EE8" w:rsidRPr="00140702">
        <w:rPr>
          <w:rFonts w:ascii="Arial" w:hAnsi="Arial" w:cs="Arial"/>
        </w:rPr>
        <w:t xml:space="preserve">Commission </w:t>
      </w:r>
      <w:r w:rsidR="0072486A" w:rsidRPr="00140702">
        <w:rPr>
          <w:rFonts w:ascii="Arial" w:hAnsi="Arial" w:cs="Arial"/>
        </w:rPr>
        <w:t>comprise</w:t>
      </w:r>
      <w:r w:rsidR="00EB3F2F" w:rsidRPr="00140702">
        <w:rPr>
          <w:rFonts w:ascii="Arial" w:hAnsi="Arial" w:cs="Arial"/>
        </w:rPr>
        <w:t xml:space="preserve"> of the C</w:t>
      </w:r>
      <w:r w:rsidR="00C847D9" w:rsidRPr="00140702">
        <w:rPr>
          <w:rFonts w:ascii="Arial" w:hAnsi="Arial" w:cs="Arial"/>
        </w:rPr>
        <w:t>ommi</w:t>
      </w:r>
      <w:r w:rsidR="00EB3F2F" w:rsidRPr="00140702">
        <w:rPr>
          <w:rFonts w:ascii="Arial" w:hAnsi="Arial" w:cs="Arial"/>
        </w:rPr>
        <w:t>ssioner and one or more Deputy C</w:t>
      </w:r>
      <w:r w:rsidR="00C847D9" w:rsidRPr="00140702">
        <w:rPr>
          <w:rFonts w:ascii="Arial" w:hAnsi="Arial" w:cs="Arial"/>
        </w:rPr>
        <w:t>ommissioners appointed by the Minister of Trade and Industry in terms the Competition Act.</w:t>
      </w:r>
      <w:r w:rsidR="00C847D9" w:rsidRPr="00140702">
        <w:rPr>
          <w:rStyle w:val="Funotenzeichen"/>
          <w:rFonts w:ascii="Arial" w:hAnsi="Arial" w:cs="Arial"/>
        </w:rPr>
        <w:footnoteReference w:id="473"/>
      </w:r>
      <w:r w:rsidR="004C07B6" w:rsidRPr="00140702">
        <w:rPr>
          <w:rFonts w:ascii="Arial" w:hAnsi="Arial" w:cs="Arial"/>
        </w:rPr>
        <w:t xml:space="preserve"> </w:t>
      </w:r>
      <w:r w:rsidR="00441054" w:rsidRPr="00140702">
        <w:rPr>
          <w:rFonts w:ascii="Arial" w:hAnsi="Arial" w:cs="Arial"/>
        </w:rPr>
        <w:t xml:space="preserve">The </w:t>
      </w:r>
      <w:r w:rsidR="00CB5BA5" w:rsidRPr="00140702">
        <w:rPr>
          <w:rFonts w:ascii="Arial" w:hAnsi="Arial" w:cs="Arial"/>
        </w:rPr>
        <w:t>Commissioner and the D</w:t>
      </w:r>
      <w:r w:rsidR="00441054" w:rsidRPr="00140702">
        <w:rPr>
          <w:rFonts w:ascii="Arial" w:hAnsi="Arial" w:cs="Arial"/>
        </w:rPr>
        <w:t xml:space="preserve">eputy </w:t>
      </w:r>
      <w:r w:rsidR="00CB5BA5" w:rsidRPr="00140702">
        <w:rPr>
          <w:rFonts w:ascii="Arial" w:hAnsi="Arial" w:cs="Arial"/>
        </w:rPr>
        <w:t>C</w:t>
      </w:r>
      <w:r w:rsidR="00441054" w:rsidRPr="00140702">
        <w:rPr>
          <w:rFonts w:ascii="Arial" w:hAnsi="Arial" w:cs="Arial"/>
        </w:rPr>
        <w:t>ommissioners must be suitably qualified and experienced in economics, law, commerce, industry or public affairs.</w:t>
      </w:r>
      <w:r w:rsidR="00255D76" w:rsidRPr="00140702">
        <w:rPr>
          <w:rStyle w:val="Funotenzeichen"/>
          <w:rFonts w:ascii="Arial" w:hAnsi="Arial" w:cs="Arial"/>
        </w:rPr>
        <w:footnoteReference w:id="474"/>
      </w:r>
      <w:r w:rsidR="00441054" w:rsidRPr="00140702">
        <w:rPr>
          <w:rFonts w:ascii="Arial" w:hAnsi="Arial" w:cs="Arial"/>
        </w:rPr>
        <w:t xml:space="preserve"> </w:t>
      </w:r>
    </w:p>
    <w:p w:rsidR="004C07B6" w:rsidRPr="00140702" w:rsidRDefault="004C07B6" w:rsidP="00140702">
      <w:pPr>
        <w:contextualSpacing/>
        <w:jc w:val="both"/>
        <w:rPr>
          <w:rFonts w:ascii="Arial" w:hAnsi="Arial" w:cs="Arial"/>
        </w:rPr>
      </w:pPr>
    </w:p>
    <w:p w:rsidR="005355DC" w:rsidRPr="00140702" w:rsidRDefault="005355DC" w:rsidP="00140702">
      <w:pPr>
        <w:contextualSpacing/>
        <w:jc w:val="both"/>
        <w:rPr>
          <w:rFonts w:ascii="Arial" w:hAnsi="Arial" w:cs="Arial"/>
        </w:rPr>
      </w:pPr>
      <w:r w:rsidRPr="00140702">
        <w:rPr>
          <w:rFonts w:ascii="Arial" w:hAnsi="Arial" w:cs="Arial"/>
        </w:rPr>
        <w:t>2.</w:t>
      </w:r>
      <w:r w:rsidR="002F0960" w:rsidRPr="00140702">
        <w:rPr>
          <w:rFonts w:ascii="Arial" w:hAnsi="Arial" w:cs="Arial"/>
        </w:rPr>
        <w:t>4.</w:t>
      </w:r>
      <w:r w:rsidRPr="00140702">
        <w:rPr>
          <w:rFonts w:ascii="Arial" w:hAnsi="Arial" w:cs="Arial"/>
        </w:rPr>
        <w:t>5.1.1 The function</w:t>
      </w:r>
      <w:r w:rsidR="00903DC0" w:rsidRPr="00140702">
        <w:rPr>
          <w:rFonts w:ascii="Arial" w:hAnsi="Arial" w:cs="Arial"/>
        </w:rPr>
        <w:t>s of the Competition Commission</w:t>
      </w:r>
    </w:p>
    <w:p w:rsidR="00EB637A" w:rsidRPr="00140702" w:rsidRDefault="00EB637A" w:rsidP="00140702">
      <w:pPr>
        <w:contextualSpacing/>
        <w:jc w:val="both"/>
        <w:rPr>
          <w:rFonts w:ascii="Arial" w:hAnsi="Arial" w:cs="Arial"/>
        </w:rPr>
      </w:pPr>
      <w:r w:rsidRPr="00140702">
        <w:rPr>
          <w:rFonts w:ascii="Arial" w:hAnsi="Arial" w:cs="Arial"/>
        </w:rPr>
        <w:t>The functions of the Competition Commission include among others the following</w:t>
      </w:r>
      <w:r w:rsidR="00101B3B" w:rsidRPr="00140702">
        <w:rPr>
          <w:rFonts w:ascii="Arial" w:hAnsi="Arial" w:cs="Arial"/>
        </w:rPr>
        <w:t>.</w:t>
      </w:r>
      <w:r w:rsidRPr="00140702">
        <w:rPr>
          <w:rStyle w:val="Funotenzeichen"/>
          <w:rFonts w:ascii="Arial" w:hAnsi="Arial" w:cs="Arial"/>
        </w:rPr>
        <w:footnoteReference w:id="475"/>
      </w:r>
    </w:p>
    <w:p w:rsidR="00EB637A" w:rsidRPr="00140702" w:rsidRDefault="00EB637A" w:rsidP="00140702">
      <w:pPr>
        <w:contextualSpacing/>
        <w:jc w:val="both"/>
        <w:rPr>
          <w:rFonts w:ascii="Arial" w:hAnsi="Arial" w:cs="Arial"/>
        </w:rPr>
      </w:pPr>
    </w:p>
    <w:p w:rsidR="002E251F" w:rsidRPr="00140702" w:rsidRDefault="005355DC" w:rsidP="00140702">
      <w:pPr>
        <w:contextualSpacing/>
        <w:jc w:val="both"/>
        <w:rPr>
          <w:rFonts w:ascii="Arial" w:hAnsi="Arial" w:cs="Arial"/>
        </w:rPr>
      </w:pPr>
      <w:r w:rsidRPr="00140702">
        <w:rPr>
          <w:rFonts w:ascii="Arial" w:hAnsi="Arial" w:cs="Arial"/>
        </w:rPr>
        <w:t xml:space="preserve">The Competition Commission is </w:t>
      </w:r>
      <w:r w:rsidR="002E251F" w:rsidRPr="00140702">
        <w:rPr>
          <w:rFonts w:ascii="Arial" w:hAnsi="Arial" w:cs="Arial"/>
        </w:rPr>
        <w:t>obliged</w:t>
      </w:r>
      <w:r w:rsidRPr="00140702">
        <w:rPr>
          <w:rFonts w:ascii="Arial" w:hAnsi="Arial" w:cs="Arial"/>
        </w:rPr>
        <w:t xml:space="preserve"> </w:t>
      </w:r>
      <w:r w:rsidR="002E251F" w:rsidRPr="00140702">
        <w:rPr>
          <w:rFonts w:ascii="Arial" w:hAnsi="Arial" w:cs="Arial"/>
        </w:rPr>
        <w:t>to</w:t>
      </w:r>
      <w:r w:rsidRPr="00140702">
        <w:rPr>
          <w:rFonts w:ascii="Arial" w:hAnsi="Arial" w:cs="Arial"/>
        </w:rPr>
        <w:t xml:space="preserve"> implement measures to increase market trans</w:t>
      </w:r>
      <w:r w:rsidR="000F01DD" w:rsidRPr="00140702">
        <w:rPr>
          <w:rFonts w:ascii="Arial" w:hAnsi="Arial" w:cs="Arial"/>
        </w:rPr>
        <w:t>parency and public awareness regarding the Competition Act.</w:t>
      </w:r>
      <w:r w:rsidR="000F01DD" w:rsidRPr="00140702">
        <w:rPr>
          <w:rStyle w:val="Funotenzeichen"/>
          <w:rFonts w:ascii="Arial" w:hAnsi="Arial" w:cs="Arial"/>
        </w:rPr>
        <w:footnoteReference w:id="476"/>
      </w:r>
      <w:r w:rsidR="000F01DD" w:rsidRPr="00140702">
        <w:rPr>
          <w:rFonts w:ascii="Arial" w:hAnsi="Arial" w:cs="Arial"/>
        </w:rPr>
        <w:t xml:space="preserve"> </w:t>
      </w:r>
      <w:r w:rsidR="002E251F" w:rsidRPr="00140702">
        <w:rPr>
          <w:rFonts w:ascii="Arial" w:hAnsi="Arial" w:cs="Arial"/>
        </w:rPr>
        <w:t xml:space="preserve">Furthermore, the </w:t>
      </w:r>
      <w:r w:rsidR="000F01DD" w:rsidRPr="00140702">
        <w:rPr>
          <w:rFonts w:ascii="Arial" w:hAnsi="Arial" w:cs="Arial"/>
        </w:rPr>
        <w:t>Competition Commission is</w:t>
      </w:r>
      <w:r w:rsidR="002E251F" w:rsidRPr="00140702">
        <w:rPr>
          <w:rFonts w:ascii="Arial" w:hAnsi="Arial" w:cs="Arial"/>
        </w:rPr>
        <w:t xml:space="preserve"> also</w:t>
      </w:r>
      <w:r w:rsidR="000F01DD" w:rsidRPr="00140702">
        <w:rPr>
          <w:rFonts w:ascii="Arial" w:hAnsi="Arial" w:cs="Arial"/>
        </w:rPr>
        <w:t xml:space="preserve"> </w:t>
      </w:r>
      <w:r w:rsidR="002E251F" w:rsidRPr="00140702">
        <w:rPr>
          <w:rFonts w:ascii="Arial" w:hAnsi="Arial" w:cs="Arial"/>
        </w:rPr>
        <w:t xml:space="preserve">obliged </w:t>
      </w:r>
      <w:r w:rsidR="000F01DD" w:rsidRPr="00140702">
        <w:rPr>
          <w:rFonts w:ascii="Arial" w:hAnsi="Arial" w:cs="Arial"/>
        </w:rPr>
        <w:t xml:space="preserve">to investigate and evaluate alleged contraventions of the prohibited practises contained in chapter 2 and also to grant or refuse exemptions </w:t>
      </w:r>
      <w:r w:rsidR="002E251F" w:rsidRPr="00140702">
        <w:rPr>
          <w:rFonts w:ascii="Arial" w:hAnsi="Arial" w:cs="Arial"/>
        </w:rPr>
        <w:t>regarding the</w:t>
      </w:r>
      <w:r w:rsidR="000F01DD" w:rsidRPr="00140702">
        <w:rPr>
          <w:rFonts w:ascii="Arial" w:hAnsi="Arial" w:cs="Arial"/>
        </w:rPr>
        <w:t xml:space="preserve"> prohibited practices contained in chapter 2.</w:t>
      </w:r>
      <w:r w:rsidR="00117624" w:rsidRPr="00140702">
        <w:rPr>
          <w:rStyle w:val="Funotenzeichen"/>
          <w:rFonts w:ascii="Arial" w:hAnsi="Arial" w:cs="Arial"/>
        </w:rPr>
        <w:footnoteReference w:id="477"/>
      </w:r>
      <w:r w:rsidR="000F01DD" w:rsidRPr="00140702">
        <w:rPr>
          <w:rFonts w:ascii="Arial" w:hAnsi="Arial" w:cs="Arial"/>
        </w:rPr>
        <w:t xml:space="preserve"> </w:t>
      </w:r>
    </w:p>
    <w:p w:rsidR="002E251F" w:rsidRPr="00140702" w:rsidRDefault="002E251F" w:rsidP="00140702">
      <w:pPr>
        <w:contextualSpacing/>
        <w:jc w:val="both"/>
        <w:rPr>
          <w:rFonts w:ascii="Arial" w:hAnsi="Arial" w:cs="Arial"/>
        </w:rPr>
      </w:pPr>
    </w:p>
    <w:p w:rsidR="00CA0897" w:rsidRPr="00140702" w:rsidRDefault="002E251F" w:rsidP="00140702">
      <w:pPr>
        <w:contextualSpacing/>
        <w:jc w:val="both"/>
        <w:rPr>
          <w:rFonts w:ascii="Arial" w:hAnsi="Arial" w:cs="Arial"/>
        </w:rPr>
      </w:pPr>
      <w:r w:rsidRPr="00140702">
        <w:rPr>
          <w:rFonts w:ascii="Arial" w:hAnsi="Arial" w:cs="Arial"/>
        </w:rPr>
        <w:t>T</w:t>
      </w:r>
      <w:r w:rsidR="006C47BA" w:rsidRPr="00140702">
        <w:rPr>
          <w:rFonts w:ascii="Arial" w:hAnsi="Arial" w:cs="Arial"/>
        </w:rPr>
        <w:t>he Competition Commission is also authorised to conditionally or unconditionally accept, reject of refer any mergers which is referred to it in terms of chapter 3.</w:t>
      </w:r>
      <w:r w:rsidR="006C47BA" w:rsidRPr="00140702">
        <w:rPr>
          <w:rStyle w:val="Funotenzeichen"/>
          <w:rFonts w:ascii="Arial" w:hAnsi="Arial" w:cs="Arial"/>
        </w:rPr>
        <w:footnoteReference w:id="478"/>
      </w:r>
      <w:r w:rsidRPr="00140702">
        <w:rPr>
          <w:rFonts w:ascii="Arial" w:hAnsi="Arial" w:cs="Arial"/>
        </w:rPr>
        <w:t xml:space="preserve"> The Competition Commission is the principle authority for evaluating small and intermediate mergers</w:t>
      </w:r>
      <w:r w:rsidR="00B77AA9" w:rsidRPr="00140702">
        <w:rPr>
          <w:rFonts w:ascii="Arial" w:hAnsi="Arial" w:cs="Arial"/>
        </w:rPr>
        <w:t>.</w:t>
      </w:r>
      <w:r w:rsidR="00B77AA9" w:rsidRPr="00140702">
        <w:rPr>
          <w:rStyle w:val="Funotenzeichen"/>
          <w:rFonts w:ascii="Arial" w:hAnsi="Arial" w:cs="Arial"/>
        </w:rPr>
        <w:footnoteReference w:id="479"/>
      </w:r>
      <w:r w:rsidR="00B77AA9" w:rsidRPr="00140702">
        <w:rPr>
          <w:rFonts w:ascii="Arial" w:hAnsi="Arial" w:cs="Arial"/>
        </w:rPr>
        <w:t xml:space="preserve"> Nonetheless,</w:t>
      </w:r>
      <w:r w:rsidRPr="00140702">
        <w:rPr>
          <w:rFonts w:ascii="Arial" w:hAnsi="Arial" w:cs="Arial"/>
        </w:rPr>
        <w:t xml:space="preserve"> its decision can be taken on appeal to the Competition Tribunal who </w:t>
      </w:r>
      <w:r w:rsidR="00B77AA9" w:rsidRPr="00140702">
        <w:rPr>
          <w:rFonts w:ascii="Arial" w:hAnsi="Arial" w:cs="Arial"/>
        </w:rPr>
        <w:t>will then have the final verdict</w:t>
      </w:r>
      <w:r w:rsidRPr="00140702">
        <w:rPr>
          <w:rFonts w:ascii="Arial" w:hAnsi="Arial" w:cs="Arial"/>
        </w:rPr>
        <w:t>.</w:t>
      </w:r>
      <w:r w:rsidR="00B77AA9" w:rsidRPr="00140702">
        <w:rPr>
          <w:rStyle w:val="Funotenzeichen"/>
          <w:rFonts w:ascii="Arial" w:hAnsi="Arial" w:cs="Arial"/>
        </w:rPr>
        <w:footnoteReference w:id="480"/>
      </w:r>
      <w:r w:rsidR="00B77AA9" w:rsidRPr="00140702">
        <w:rPr>
          <w:rFonts w:ascii="Arial" w:hAnsi="Arial" w:cs="Arial"/>
        </w:rPr>
        <w:t xml:space="preserve"> Large mergers on the other hand are evaluated by the Competition Tribunal although the Competition Commission is allowed to make recommendations to the Competition Tribunal concerning </w:t>
      </w:r>
      <w:r w:rsidR="002F0960" w:rsidRPr="00140702">
        <w:rPr>
          <w:rFonts w:ascii="Arial" w:hAnsi="Arial" w:cs="Arial"/>
        </w:rPr>
        <w:t xml:space="preserve">a </w:t>
      </w:r>
      <w:r w:rsidR="00B77AA9" w:rsidRPr="00140702">
        <w:rPr>
          <w:rFonts w:ascii="Arial" w:hAnsi="Arial" w:cs="Arial"/>
        </w:rPr>
        <w:t>large merger.</w:t>
      </w:r>
      <w:r w:rsidR="00B77AA9" w:rsidRPr="00140702">
        <w:rPr>
          <w:rStyle w:val="Funotenzeichen"/>
          <w:rFonts w:ascii="Arial" w:hAnsi="Arial" w:cs="Arial"/>
        </w:rPr>
        <w:footnoteReference w:id="481"/>
      </w:r>
      <w:r w:rsidR="00B77AA9" w:rsidRPr="00140702">
        <w:rPr>
          <w:rFonts w:ascii="Arial" w:hAnsi="Arial" w:cs="Arial"/>
        </w:rPr>
        <w:t xml:space="preserve"> </w:t>
      </w:r>
    </w:p>
    <w:p w:rsidR="00CA0897" w:rsidRPr="00140702" w:rsidRDefault="00CA0897" w:rsidP="00140702">
      <w:pPr>
        <w:contextualSpacing/>
        <w:jc w:val="both"/>
        <w:rPr>
          <w:rFonts w:ascii="Arial" w:hAnsi="Arial" w:cs="Arial"/>
        </w:rPr>
      </w:pPr>
    </w:p>
    <w:p w:rsidR="005355DC" w:rsidRPr="00140702" w:rsidRDefault="00CA0897" w:rsidP="00140702">
      <w:pPr>
        <w:contextualSpacing/>
        <w:jc w:val="both"/>
        <w:rPr>
          <w:rFonts w:ascii="Arial" w:hAnsi="Arial" w:cs="Arial"/>
        </w:rPr>
      </w:pPr>
      <w:r w:rsidRPr="00140702">
        <w:rPr>
          <w:rFonts w:ascii="Arial" w:hAnsi="Arial" w:cs="Arial"/>
        </w:rPr>
        <w:t>To conclude</w:t>
      </w:r>
      <w:r w:rsidR="0021346E" w:rsidRPr="00140702">
        <w:rPr>
          <w:rFonts w:ascii="Arial" w:hAnsi="Arial" w:cs="Arial"/>
        </w:rPr>
        <w:t>,</w:t>
      </w:r>
      <w:r w:rsidRPr="00140702">
        <w:rPr>
          <w:rFonts w:ascii="Arial" w:hAnsi="Arial" w:cs="Arial"/>
        </w:rPr>
        <w:t xml:space="preserve"> the Competition Commission is allowed to investigate alleged complex monopoly conduct.</w:t>
      </w:r>
      <w:r w:rsidR="000133B0" w:rsidRPr="00140702">
        <w:rPr>
          <w:rStyle w:val="Funotenzeichen"/>
          <w:rFonts w:ascii="Arial" w:hAnsi="Arial" w:cs="Arial"/>
        </w:rPr>
        <w:footnoteReference w:id="482"/>
      </w:r>
      <w:r w:rsidRPr="00140702">
        <w:rPr>
          <w:rFonts w:ascii="Arial" w:hAnsi="Arial" w:cs="Arial"/>
        </w:rPr>
        <w:t xml:space="preserve"> It is however only authorised to investigate such matte</w:t>
      </w:r>
      <w:r w:rsidR="00E35C3C" w:rsidRPr="00140702">
        <w:rPr>
          <w:rFonts w:ascii="Arial" w:hAnsi="Arial" w:cs="Arial"/>
        </w:rPr>
        <w:t>rs and to make</w:t>
      </w:r>
      <w:r w:rsidRPr="00140702">
        <w:rPr>
          <w:rFonts w:ascii="Arial" w:hAnsi="Arial" w:cs="Arial"/>
        </w:rPr>
        <w:t xml:space="preserve"> recommendations </w:t>
      </w:r>
      <w:r w:rsidR="00E35C3C" w:rsidRPr="00140702">
        <w:rPr>
          <w:rFonts w:ascii="Arial" w:hAnsi="Arial" w:cs="Arial"/>
        </w:rPr>
        <w:t xml:space="preserve">based upon its investigations </w:t>
      </w:r>
      <w:r w:rsidRPr="00140702">
        <w:rPr>
          <w:rFonts w:ascii="Arial" w:hAnsi="Arial" w:cs="Arial"/>
        </w:rPr>
        <w:t>to the Competition Tribunal who is the adjudication authority regarding complex monopoly conduct.</w:t>
      </w:r>
      <w:r w:rsidR="000133B0" w:rsidRPr="00140702">
        <w:rPr>
          <w:rStyle w:val="Funotenzeichen"/>
          <w:rFonts w:ascii="Arial" w:hAnsi="Arial" w:cs="Arial"/>
        </w:rPr>
        <w:footnoteReference w:id="483"/>
      </w:r>
    </w:p>
    <w:p w:rsidR="00F7422B" w:rsidRPr="00140702" w:rsidRDefault="00F7422B" w:rsidP="00140702">
      <w:pPr>
        <w:contextualSpacing/>
        <w:jc w:val="both"/>
        <w:rPr>
          <w:rFonts w:ascii="Arial" w:hAnsi="Arial" w:cs="Arial"/>
        </w:rPr>
      </w:pPr>
    </w:p>
    <w:p w:rsidR="00F7422B" w:rsidRPr="00140702" w:rsidRDefault="002F0960" w:rsidP="00140702">
      <w:pPr>
        <w:contextualSpacing/>
        <w:jc w:val="both"/>
        <w:rPr>
          <w:rFonts w:ascii="Arial" w:hAnsi="Arial" w:cs="Arial"/>
        </w:rPr>
      </w:pPr>
      <w:r w:rsidRPr="00140702">
        <w:rPr>
          <w:rFonts w:ascii="Arial" w:hAnsi="Arial" w:cs="Arial"/>
        </w:rPr>
        <w:t xml:space="preserve">2.4.5.2 The Competition Tribunal </w:t>
      </w:r>
    </w:p>
    <w:p w:rsidR="002F0960" w:rsidRPr="00140702" w:rsidRDefault="0072486A" w:rsidP="00140702">
      <w:pPr>
        <w:contextualSpacing/>
        <w:jc w:val="both"/>
        <w:rPr>
          <w:rFonts w:ascii="Arial" w:hAnsi="Arial" w:cs="Arial"/>
        </w:rPr>
      </w:pPr>
      <w:r w:rsidRPr="00140702">
        <w:rPr>
          <w:rFonts w:ascii="Arial" w:hAnsi="Arial" w:cs="Arial"/>
        </w:rPr>
        <w:t>The Competition Tribunal is a juristic person with jurisdiction throughout South Africa.</w:t>
      </w:r>
      <w:r w:rsidRPr="00140702">
        <w:rPr>
          <w:rStyle w:val="Funotenzeichen"/>
          <w:rFonts w:ascii="Arial" w:hAnsi="Arial" w:cs="Arial"/>
        </w:rPr>
        <w:footnoteReference w:id="484"/>
      </w:r>
      <w:r w:rsidRPr="00140702">
        <w:rPr>
          <w:rFonts w:ascii="Arial" w:hAnsi="Arial" w:cs="Arial"/>
        </w:rPr>
        <w:t xml:space="preserve"> The Competition Tribunal is also a tribunal of record and it is obligated to perform its functions in accordance </w:t>
      </w:r>
      <w:r w:rsidR="006051EC" w:rsidRPr="00140702">
        <w:rPr>
          <w:rFonts w:ascii="Arial" w:hAnsi="Arial" w:cs="Arial"/>
        </w:rPr>
        <w:t>with</w:t>
      </w:r>
      <w:r w:rsidRPr="00140702">
        <w:rPr>
          <w:rFonts w:ascii="Arial" w:hAnsi="Arial" w:cs="Arial"/>
        </w:rPr>
        <w:t xml:space="preserve"> the Competition Act.</w:t>
      </w:r>
      <w:r w:rsidRPr="00140702">
        <w:rPr>
          <w:rStyle w:val="Funotenzeichen"/>
          <w:rFonts w:ascii="Arial" w:hAnsi="Arial" w:cs="Arial"/>
        </w:rPr>
        <w:footnoteReference w:id="485"/>
      </w:r>
      <w:r w:rsidRPr="00140702">
        <w:rPr>
          <w:rFonts w:ascii="Arial" w:hAnsi="Arial" w:cs="Arial"/>
        </w:rPr>
        <w:t xml:space="preserve"> Furthermore, the Competition Tribunal comprise </w:t>
      </w:r>
      <w:r w:rsidR="00EB3F2F" w:rsidRPr="00140702">
        <w:rPr>
          <w:rFonts w:ascii="Arial" w:hAnsi="Arial" w:cs="Arial"/>
        </w:rPr>
        <w:t>of a Chairperson and no less than 3 but no more than 10 other employees appointed on a full or part-time basis by the President on recommendation from the Minister of Trade and Industry.</w:t>
      </w:r>
      <w:r w:rsidR="00EB3F2F" w:rsidRPr="00140702">
        <w:rPr>
          <w:rStyle w:val="Funotenzeichen"/>
          <w:rFonts w:ascii="Arial" w:hAnsi="Arial" w:cs="Arial"/>
        </w:rPr>
        <w:footnoteReference w:id="486"/>
      </w:r>
    </w:p>
    <w:p w:rsidR="00F7422B" w:rsidRPr="00140702" w:rsidRDefault="00F7422B" w:rsidP="00140702">
      <w:pPr>
        <w:contextualSpacing/>
        <w:jc w:val="both"/>
        <w:rPr>
          <w:rFonts w:ascii="Arial" w:hAnsi="Arial" w:cs="Arial"/>
        </w:rPr>
      </w:pPr>
    </w:p>
    <w:p w:rsidR="00687448" w:rsidRPr="00140702" w:rsidRDefault="00687448" w:rsidP="00140702">
      <w:pPr>
        <w:contextualSpacing/>
        <w:jc w:val="both"/>
        <w:rPr>
          <w:rFonts w:ascii="Arial" w:hAnsi="Arial" w:cs="Arial"/>
        </w:rPr>
      </w:pPr>
      <w:r w:rsidRPr="00140702">
        <w:rPr>
          <w:rFonts w:ascii="Arial" w:hAnsi="Arial" w:cs="Arial"/>
        </w:rPr>
        <w:t>3.4.5.2.1 The functions of the Competition Tribunal</w:t>
      </w:r>
    </w:p>
    <w:p w:rsidR="00711B68" w:rsidRPr="00140702" w:rsidRDefault="00711B68" w:rsidP="00140702">
      <w:pPr>
        <w:contextualSpacing/>
        <w:jc w:val="both"/>
        <w:rPr>
          <w:rFonts w:ascii="Arial" w:hAnsi="Arial" w:cs="Arial"/>
        </w:rPr>
      </w:pPr>
      <w:r w:rsidRPr="00140702">
        <w:rPr>
          <w:rFonts w:ascii="Arial" w:hAnsi="Arial" w:cs="Arial"/>
        </w:rPr>
        <w:t>In terms of section 27(1) of the Competition Act</w:t>
      </w:r>
      <w:r w:rsidRPr="00140702">
        <w:rPr>
          <w:rStyle w:val="Funotenzeichen"/>
          <w:rFonts w:ascii="Arial" w:hAnsi="Arial" w:cs="Arial"/>
        </w:rPr>
        <w:footnoteReference w:id="487"/>
      </w:r>
      <w:r w:rsidRPr="00140702">
        <w:rPr>
          <w:rFonts w:ascii="Arial" w:hAnsi="Arial" w:cs="Arial"/>
        </w:rPr>
        <w:t xml:space="preserve"> the Competition Tribunal has the following functions:</w:t>
      </w:r>
    </w:p>
    <w:p w:rsidR="00711B68" w:rsidRPr="00140702" w:rsidRDefault="00687448" w:rsidP="00140702">
      <w:pPr>
        <w:contextualSpacing/>
        <w:jc w:val="both"/>
        <w:rPr>
          <w:rFonts w:ascii="Arial" w:hAnsi="Arial" w:cs="Arial"/>
        </w:rPr>
      </w:pPr>
      <w:r w:rsidRPr="00140702">
        <w:rPr>
          <w:rFonts w:ascii="Arial" w:hAnsi="Arial" w:cs="Arial"/>
        </w:rPr>
        <w:tab/>
      </w:r>
      <w:r w:rsidR="001F78A3" w:rsidRPr="00140702">
        <w:rPr>
          <w:rFonts w:ascii="Arial" w:hAnsi="Arial" w:cs="Arial"/>
        </w:rPr>
        <w:t>“</w:t>
      </w:r>
      <w:r w:rsidR="00711B68" w:rsidRPr="00140702">
        <w:rPr>
          <w:rFonts w:ascii="Arial" w:hAnsi="Arial" w:cs="Arial"/>
        </w:rPr>
        <w:t xml:space="preserve">(a) </w:t>
      </w:r>
      <w:r w:rsidR="001F78A3" w:rsidRPr="00140702">
        <w:rPr>
          <w:rFonts w:ascii="Arial" w:hAnsi="Arial" w:cs="Arial"/>
        </w:rPr>
        <w:t xml:space="preserve">To </w:t>
      </w:r>
      <w:r w:rsidR="00711B68" w:rsidRPr="00140702">
        <w:rPr>
          <w:rFonts w:ascii="Arial" w:hAnsi="Arial" w:cs="Arial"/>
        </w:rPr>
        <w:t>adjudicate on any</w:t>
      </w:r>
      <w:r w:rsidR="001F78A3" w:rsidRPr="00140702">
        <w:rPr>
          <w:rFonts w:ascii="Arial" w:hAnsi="Arial" w:cs="Arial"/>
        </w:rPr>
        <w:t xml:space="preserve"> conduct prohibited in terms of </w:t>
      </w:r>
      <w:r w:rsidR="00711B68" w:rsidRPr="00140702">
        <w:rPr>
          <w:rFonts w:ascii="Arial" w:hAnsi="Arial" w:cs="Arial"/>
        </w:rPr>
        <w:t>Chapter 2, to deter</w:t>
      </w:r>
      <w:r w:rsidR="001F78A3" w:rsidRPr="00140702">
        <w:rPr>
          <w:rFonts w:ascii="Arial" w:hAnsi="Arial" w:cs="Arial"/>
        </w:rPr>
        <w:t xml:space="preserve">mine </w:t>
      </w:r>
      <w:r w:rsidRPr="00140702">
        <w:rPr>
          <w:rFonts w:ascii="Arial" w:hAnsi="Arial" w:cs="Arial"/>
        </w:rPr>
        <w:tab/>
      </w:r>
      <w:r w:rsidR="001F78A3" w:rsidRPr="00140702">
        <w:rPr>
          <w:rFonts w:ascii="Arial" w:hAnsi="Arial" w:cs="Arial"/>
        </w:rPr>
        <w:t xml:space="preserve">whether prohibited conduct </w:t>
      </w:r>
      <w:r w:rsidR="00711B68" w:rsidRPr="00140702">
        <w:rPr>
          <w:rFonts w:ascii="Arial" w:hAnsi="Arial" w:cs="Arial"/>
        </w:rPr>
        <w:t>has occurred, and if so, to impose any remedy pr</w:t>
      </w:r>
      <w:r w:rsidR="001F78A3" w:rsidRPr="00140702">
        <w:rPr>
          <w:rFonts w:ascii="Arial" w:hAnsi="Arial" w:cs="Arial"/>
        </w:rPr>
        <w:t>o</w:t>
      </w:r>
      <w:r w:rsidR="00711B68" w:rsidRPr="00140702">
        <w:rPr>
          <w:rFonts w:ascii="Arial" w:hAnsi="Arial" w:cs="Arial"/>
        </w:rPr>
        <w:t xml:space="preserve">vided </w:t>
      </w:r>
      <w:r w:rsidRPr="00140702">
        <w:rPr>
          <w:rFonts w:ascii="Arial" w:hAnsi="Arial" w:cs="Arial"/>
        </w:rPr>
        <w:tab/>
      </w:r>
      <w:r w:rsidR="00711B68" w:rsidRPr="00140702">
        <w:rPr>
          <w:rFonts w:ascii="Arial" w:hAnsi="Arial" w:cs="Arial"/>
        </w:rPr>
        <w:t>for in this Act</w:t>
      </w:r>
      <w:r w:rsidR="001F78A3" w:rsidRPr="00140702">
        <w:rPr>
          <w:rFonts w:ascii="Arial" w:hAnsi="Arial" w:cs="Arial"/>
        </w:rPr>
        <w:t>;</w:t>
      </w:r>
      <w:r w:rsidR="00711B68" w:rsidRPr="00140702">
        <w:rPr>
          <w:rFonts w:ascii="Arial" w:hAnsi="Arial" w:cs="Arial"/>
        </w:rPr>
        <w:t xml:space="preserve"> </w:t>
      </w:r>
    </w:p>
    <w:p w:rsidR="00711B68" w:rsidRPr="00140702" w:rsidRDefault="00687448" w:rsidP="00140702">
      <w:pPr>
        <w:contextualSpacing/>
        <w:jc w:val="both"/>
        <w:rPr>
          <w:rFonts w:ascii="Arial" w:hAnsi="Arial" w:cs="Arial"/>
        </w:rPr>
      </w:pPr>
      <w:r w:rsidRPr="00140702">
        <w:rPr>
          <w:rFonts w:ascii="Arial" w:hAnsi="Arial" w:cs="Arial"/>
        </w:rPr>
        <w:tab/>
      </w:r>
      <w:r w:rsidR="00711B68" w:rsidRPr="00140702">
        <w:rPr>
          <w:rFonts w:ascii="Arial" w:hAnsi="Arial" w:cs="Arial"/>
        </w:rPr>
        <w:t xml:space="preserve">(b) </w:t>
      </w:r>
      <w:r w:rsidR="001F78A3" w:rsidRPr="00140702">
        <w:rPr>
          <w:rFonts w:ascii="Arial" w:hAnsi="Arial" w:cs="Arial"/>
        </w:rPr>
        <w:t>To adjudicate</w:t>
      </w:r>
      <w:r w:rsidR="00711B68" w:rsidRPr="00140702">
        <w:rPr>
          <w:rFonts w:ascii="Arial" w:hAnsi="Arial" w:cs="Arial"/>
        </w:rPr>
        <w:t xml:space="preserve"> on any oth</w:t>
      </w:r>
      <w:r w:rsidR="001F78A3" w:rsidRPr="00140702">
        <w:rPr>
          <w:rFonts w:ascii="Arial" w:hAnsi="Arial" w:cs="Arial"/>
        </w:rPr>
        <w:t xml:space="preserve">er matter that may, in terms of </w:t>
      </w:r>
      <w:r w:rsidR="00711B68" w:rsidRPr="00140702">
        <w:rPr>
          <w:rFonts w:ascii="Arial" w:hAnsi="Arial" w:cs="Arial"/>
        </w:rPr>
        <w:t>this Act, be consi</w:t>
      </w:r>
      <w:r w:rsidR="001F78A3" w:rsidRPr="00140702">
        <w:rPr>
          <w:rFonts w:ascii="Arial" w:hAnsi="Arial" w:cs="Arial"/>
        </w:rPr>
        <w:t xml:space="preserve">dered by </w:t>
      </w:r>
      <w:r w:rsidRPr="00140702">
        <w:rPr>
          <w:rFonts w:ascii="Arial" w:hAnsi="Arial" w:cs="Arial"/>
        </w:rPr>
        <w:tab/>
      </w:r>
      <w:r w:rsidR="001F78A3" w:rsidRPr="00140702">
        <w:rPr>
          <w:rFonts w:ascii="Arial" w:hAnsi="Arial" w:cs="Arial"/>
        </w:rPr>
        <w:t xml:space="preserve">it and make any order </w:t>
      </w:r>
      <w:r w:rsidR="00711B68" w:rsidRPr="00140702">
        <w:rPr>
          <w:rFonts w:ascii="Arial" w:hAnsi="Arial" w:cs="Arial"/>
        </w:rPr>
        <w:t>provided for in this Act;</w:t>
      </w:r>
    </w:p>
    <w:p w:rsidR="00711B68" w:rsidRPr="00140702" w:rsidRDefault="00687448" w:rsidP="00140702">
      <w:pPr>
        <w:contextualSpacing/>
        <w:jc w:val="both"/>
        <w:rPr>
          <w:rFonts w:ascii="Arial" w:hAnsi="Arial" w:cs="Arial"/>
        </w:rPr>
      </w:pPr>
      <w:r w:rsidRPr="00140702">
        <w:rPr>
          <w:rFonts w:ascii="Arial" w:hAnsi="Arial" w:cs="Arial"/>
        </w:rPr>
        <w:tab/>
      </w:r>
      <w:r w:rsidR="001F78A3" w:rsidRPr="00140702">
        <w:rPr>
          <w:rFonts w:ascii="Arial" w:hAnsi="Arial" w:cs="Arial"/>
        </w:rPr>
        <w:t>(c) hear appeals from</w:t>
      </w:r>
      <w:r w:rsidR="00711B68" w:rsidRPr="00140702">
        <w:rPr>
          <w:rFonts w:ascii="Arial" w:hAnsi="Arial" w:cs="Arial"/>
        </w:rPr>
        <w:t xml:space="preserve"> or review any decision of the</w:t>
      </w:r>
      <w:r w:rsidR="001F78A3" w:rsidRPr="00140702">
        <w:rPr>
          <w:rFonts w:ascii="Arial" w:hAnsi="Arial" w:cs="Arial"/>
        </w:rPr>
        <w:t xml:space="preserve"> </w:t>
      </w:r>
      <w:r w:rsidR="00711B68" w:rsidRPr="00140702">
        <w:rPr>
          <w:rFonts w:ascii="Arial" w:hAnsi="Arial" w:cs="Arial"/>
        </w:rPr>
        <w:t xml:space="preserve">Competition Commission that </w:t>
      </w:r>
      <w:r w:rsidRPr="00140702">
        <w:rPr>
          <w:rFonts w:ascii="Arial" w:hAnsi="Arial" w:cs="Arial"/>
        </w:rPr>
        <w:tab/>
      </w:r>
      <w:r w:rsidR="00711B68" w:rsidRPr="00140702">
        <w:rPr>
          <w:rFonts w:ascii="Arial" w:hAnsi="Arial" w:cs="Arial"/>
        </w:rPr>
        <w:t xml:space="preserve">may, in terms </w:t>
      </w:r>
      <w:r w:rsidR="001F78A3" w:rsidRPr="00140702">
        <w:rPr>
          <w:rFonts w:ascii="Arial" w:hAnsi="Arial" w:cs="Arial"/>
        </w:rPr>
        <w:t xml:space="preserve">of  this </w:t>
      </w:r>
      <w:r w:rsidR="00711B68" w:rsidRPr="00140702">
        <w:rPr>
          <w:rFonts w:ascii="Arial" w:hAnsi="Arial" w:cs="Arial"/>
        </w:rPr>
        <w:t>Act, be referred to it; and</w:t>
      </w:r>
    </w:p>
    <w:p w:rsidR="00711B68" w:rsidRPr="00140702" w:rsidRDefault="00687448" w:rsidP="00140702">
      <w:pPr>
        <w:contextualSpacing/>
        <w:jc w:val="both"/>
        <w:rPr>
          <w:rFonts w:ascii="Arial" w:hAnsi="Arial" w:cs="Arial"/>
        </w:rPr>
      </w:pPr>
      <w:r w:rsidRPr="00140702">
        <w:rPr>
          <w:rFonts w:ascii="Arial" w:hAnsi="Arial" w:cs="Arial"/>
        </w:rPr>
        <w:tab/>
      </w:r>
      <w:r w:rsidR="00711B68" w:rsidRPr="00140702">
        <w:rPr>
          <w:rFonts w:ascii="Arial" w:hAnsi="Arial" w:cs="Arial"/>
        </w:rPr>
        <w:t xml:space="preserve">(d) </w:t>
      </w:r>
      <w:r w:rsidR="001F78A3" w:rsidRPr="00140702">
        <w:rPr>
          <w:rFonts w:ascii="Arial" w:hAnsi="Arial" w:cs="Arial"/>
        </w:rPr>
        <w:t xml:space="preserve">To </w:t>
      </w:r>
      <w:r w:rsidR="00711B68" w:rsidRPr="00140702">
        <w:rPr>
          <w:rFonts w:ascii="Arial" w:hAnsi="Arial" w:cs="Arial"/>
        </w:rPr>
        <w:t>make any ruling or o</w:t>
      </w:r>
      <w:r w:rsidR="001F78A3" w:rsidRPr="00140702">
        <w:rPr>
          <w:rFonts w:ascii="Arial" w:hAnsi="Arial" w:cs="Arial"/>
        </w:rPr>
        <w:t xml:space="preserve">rder necessary or incidental to </w:t>
      </w:r>
      <w:r w:rsidR="00711B68" w:rsidRPr="00140702">
        <w:rPr>
          <w:rFonts w:ascii="Arial" w:hAnsi="Arial" w:cs="Arial"/>
        </w:rPr>
        <w:t xml:space="preserve">the performance of its </w:t>
      </w:r>
      <w:r w:rsidRPr="00140702">
        <w:rPr>
          <w:rFonts w:ascii="Arial" w:hAnsi="Arial" w:cs="Arial"/>
        </w:rPr>
        <w:tab/>
      </w:r>
      <w:r w:rsidR="00711B68" w:rsidRPr="00140702">
        <w:rPr>
          <w:rFonts w:ascii="Arial" w:hAnsi="Arial" w:cs="Arial"/>
        </w:rPr>
        <w:t>functions in terms of this Act.</w:t>
      </w:r>
      <w:r w:rsidR="001F78A3" w:rsidRPr="00140702">
        <w:rPr>
          <w:rFonts w:ascii="Arial" w:hAnsi="Arial" w:cs="Arial"/>
        </w:rPr>
        <w:t>”</w:t>
      </w:r>
    </w:p>
    <w:p w:rsidR="00F7422B" w:rsidRPr="00140702" w:rsidRDefault="00F7422B" w:rsidP="00140702">
      <w:pPr>
        <w:contextualSpacing/>
        <w:jc w:val="both"/>
        <w:rPr>
          <w:rFonts w:ascii="Arial" w:hAnsi="Arial" w:cs="Arial"/>
        </w:rPr>
      </w:pPr>
    </w:p>
    <w:p w:rsidR="00F7422B" w:rsidRPr="00140702" w:rsidRDefault="00675223" w:rsidP="00140702">
      <w:pPr>
        <w:contextualSpacing/>
        <w:jc w:val="both"/>
        <w:rPr>
          <w:rFonts w:ascii="Arial" w:hAnsi="Arial" w:cs="Arial"/>
        </w:rPr>
      </w:pPr>
      <w:r w:rsidRPr="00140702">
        <w:rPr>
          <w:rFonts w:ascii="Arial" w:hAnsi="Arial" w:cs="Arial"/>
        </w:rPr>
        <w:t>2.4.5.3 The Competition Appeal Court</w:t>
      </w:r>
    </w:p>
    <w:p w:rsidR="00675223" w:rsidRPr="00140702" w:rsidRDefault="00675223" w:rsidP="00140702">
      <w:pPr>
        <w:contextualSpacing/>
        <w:jc w:val="both"/>
        <w:rPr>
          <w:rFonts w:ascii="Arial" w:hAnsi="Arial" w:cs="Arial"/>
        </w:rPr>
      </w:pPr>
      <w:r w:rsidRPr="00140702">
        <w:rPr>
          <w:rFonts w:ascii="Arial" w:hAnsi="Arial" w:cs="Arial"/>
        </w:rPr>
        <w:t>The Competition Appeal Court is a court contemplated in section 166(e) of the Constitution</w:t>
      </w:r>
      <w:r w:rsidRPr="00140702">
        <w:rPr>
          <w:rStyle w:val="Funotenzeichen"/>
          <w:rFonts w:ascii="Arial" w:hAnsi="Arial" w:cs="Arial"/>
        </w:rPr>
        <w:footnoteReference w:id="488"/>
      </w:r>
      <w:r w:rsidRPr="00140702">
        <w:rPr>
          <w:rFonts w:ascii="Arial" w:hAnsi="Arial" w:cs="Arial"/>
        </w:rPr>
        <w:t xml:space="preserve"> </w:t>
      </w:r>
      <w:r w:rsidR="00784B3E" w:rsidRPr="00140702">
        <w:rPr>
          <w:rFonts w:ascii="Arial" w:hAnsi="Arial" w:cs="Arial"/>
        </w:rPr>
        <w:t>with the same status as a High Court.</w:t>
      </w:r>
      <w:r w:rsidR="003B7DA4" w:rsidRPr="00140702">
        <w:rPr>
          <w:rStyle w:val="Funotenzeichen"/>
          <w:rFonts w:ascii="Arial" w:hAnsi="Arial" w:cs="Arial"/>
        </w:rPr>
        <w:footnoteReference w:id="489"/>
      </w:r>
      <w:r w:rsidR="00784B3E" w:rsidRPr="00140702">
        <w:rPr>
          <w:rFonts w:ascii="Arial" w:hAnsi="Arial" w:cs="Arial"/>
        </w:rPr>
        <w:t xml:space="preserve"> Furthermore, the Competition Appeal Court is a court of record and it has jurisdiction throughout South Africa.</w:t>
      </w:r>
      <w:r w:rsidR="00784B3E" w:rsidRPr="00140702">
        <w:rPr>
          <w:rStyle w:val="Funotenzeichen"/>
          <w:rFonts w:ascii="Arial" w:hAnsi="Arial" w:cs="Arial"/>
        </w:rPr>
        <w:footnoteReference w:id="490"/>
      </w:r>
    </w:p>
    <w:p w:rsidR="00340F5D" w:rsidRPr="00140702" w:rsidRDefault="00340F5D" w:rsidP="00140702">
      <w:pPr>
        <w:pStyle w:val="Textkrper"/>
        <w:spacing w:line="360" w:lineRule="auto"/>
        <w:contextualSpacing/>
        <w:jc w:val="both"/>
        <w:rPr>
          <w:rFonts w:ascii="Arial" w:hAnsi="Arial" w:cs="Arial"/>
          <w:lang w:val="en-GB"/>
        </w:rPr>
      </w:pPr>
    </w:p>
    <w:p w:rsidR="00CD31E6" w:rsidRPr="00140702" w:rsidRDefault="00CD31E6" w:rsidP="00140702">
      <w:pPr>
        <w:pStyle w:val="Textkrper"/>
        <w:spacing w:line="360" w:lineRule="auto"/>
        <w:contextualSpacing/>
        <w:jc w:val="both"/>
        <w:rPr>
          <w:rFonts w:ascii="Arial" w:hAnsi="Arial" w:cs="Arial"/>
          <w:lang w:val="en-GB"/>
        </w:rPr>
      </w:pPr>
      <w:r w:rsidRPr="00140702">
        <w:rPr>
          <w:rFonts w:ascii="Arial" w:hAnsi="Arial" w:cs="Arial"/>
          <w:lang w:val="en-GB"/>
        </w:rPr>
        <w:t>2.4.5.3.1 The functions of the Competition Appeal Court</w:t>
      </w:r>
    </w:p>
    <w:p w:rsidR="00CD31E6" w:rsidRPr="00140702" w:rsidRDefault="00CD31E6" w:rsidP="00140702">
      <w:pPr>
        <w:pStyle w:val="Textkrper"/>
        <w:spacing w:line="360" w:lineRule="auto"/>
        <w:contextualSpacing/>
        <w:jc w:val="both"/>
        <w:rPr>
          <w:rFonts w:ascii="Arial" w:hAnsi="Arial" w:cs="Arial"/>
          <w:lang w:val="en-GB"/>
        </w:rPr>
      </w:pPr>
      <w:r w:rsidRPr="00140702">
        <w:rPr>
          <w:rFonts w:ascii="Arial" w:hAnsi="Arial" w:cs="Arial"/>
          <w:lang w:val="en-GB"/>
        </w:rPr>
        <w:t>In terms of section 37 of the Competition Act</w:t>
      </w:r>
      <w:r w:rsidRPr="00140702">
        <w:rPr>
          <w:rStyle w:val="Funotenzeichen"/>
          <w:rFonts w:ascii="Arial" w:hAnsi="Arial" w:cs="Arial"/>
          <w:lang w:val="en-GB"/>
        </w:rPr>
        <w:footnoteReference w:id="491"/>
      </w:r>
      <w:r w:rsidRPr="00140702">
        <w:rPr>
          <w:rFonts w:ascii="Arial" w:hAnsi="Arial" w:cs="Arial"/>
          <w:lang w:val="en-GB"/>
        </w:rPr>
        <w:t xml:space="preserve"> the Competition Appeal Court has the following functions: </w:t>
      </w:r>
    </w:p>
    <w:p w:rsidR="00CD31E6" w:rsidRPr="00140702" w:rsidRDefault="00CD31E6" w:rsidP="00140702">
      <w:pPr>
        <w:pStyle w:val="Textkrper"/>
        <w:spacing w:line="360" w:lineRule="auto"/>
        <w:contextualSpacing/>
        <w:jc w:val="both"/>
        <w:rPr>
          <w:rFonts w:ascii="Arial" w:hAnsi="Arial" w:cs="Arial"/>
          <w:lang w:val="en-GB"/>
        </w:rPr>
      </w:pPr>
      <w:r w:rsidRPr="00140702">
        <w:rPr>
          <w:rFonts w:ascii="Arial" w:hAnsi="Arial" w:cs="Arial"/>
          <w:lang w:val="en-GB"/>
        </w:rPr>
        <w:tab/>
        <w:t>“(1) The Competition Appeal Court may –</w:t>
      </w:r>
    </w:p>
    <w:p w:rsidR="00CD31E6" w:rsidRPr="00140702" w:rsidRDefault="00CD31E6" w:rsidP="00140702">
      <w:pPr>
        <w:pStyle w:val="Textkrper"/>
        <w:spacing w:line="360" w:lineRule="auto"/>
        <w:contextualSpacing/>
        <w:jc w:val="both"/>
        <w:rPr>
          <w:rFonts w:ascii="Arial" w:hAnsi="Arial" w:cs="Arial"/>
          <w:lang w:val="en-GB"/>
        </w:rPr>
      </w:pPr>
      <w:r w:rsidRPr="00140702">
        <w:rPr>
          <w:rFonts w:ascii="Arial" w:hAnsi="Arial" w:cs="Arial"/>
          <w:lang w:val="en-GB"/>
        </w:rPr>
        <w:tab/>
      </w:r>
      <w:r w:rsidR="006051EC" w:rsidRPr="00140702">
        <w:rPr>
          <w:rFonts w:ascii="Arial" w:hAnsi="Arial" w:cs="Arial"/>
          <w:lang w:val="en-GB"/>
        </w:rPr>
        <w:t xml:space="preserve">  </w:t>
      </w:r>
      <w:r w:rsidRPr="00140702">
        <w:rPr>
          <w:rFonts w:ascii="Arial" w:hAnsi="Arial" w:cs="Arial"/>
          <w:lang w:val="en-GB"/>
        </w:rPr>
        <w:t>(a) Review any decision of the Competition Tribunal; or</w:t>
      </w:r>
    </w:p>
    <w:p w:rsidR="00CD31E6" w:rsidRPr="00140702" w:rsidRDefault="00CD31E6" w:rsidP="00140702">
      <w:pPr>
        <w:pStyle w:val="Textkrper"/>
        <w:spacing w:line="360" w:lineRule="auto"/>
        <w:contextualSpacing/>
        <w:jc w:val="both"/>
        <w:rPr>
          <w:rFonts w:ascii="Arial" w:hAnsi="Arial" w:cs="Arial"/>
          <w:lang w:val="en-GB"/>
        </w:rPr>
      </w:pPr>
      <w:r w:rsidRPr="00140702">
        <w:rPr>
          <w:rFonts w:ascii="Arial" w:hAnsi="Arial" w:cs="Arial"/>
          <w:lang w:val="en-GB"/>
        </w:rPr>
        <w:tab/>
      </w:r>
      <w:r w:rsidR="006051EC" w:rsidRPr="00140702">
        <w:rPr>
          <w:rFonts w:ascii="Arial" w:hAnsi="Arial" w:cs="Arial"/>
          <w:lang w:val="en-GB"/>
        </w:rPr>
        <w:t xml:space="preserve">  </w:t>
      </w:r>
      <w:r w:rsidRPr="00140702">
        <w:rPr>
          <w:rFonts w:ascii="Arial" w:hAnsi="Arial" w:cs="Arial"/>
          <w:lang w:val="en-GB"/>
        </w:rPr>
        <w:t xml:space="preserve">(b) Consider an appeal arising from the Competition Tribunal in respect of – </w:t>
      </w:r>
    </w:p>
    <w:p w:rsidR="00CD31E6" w:rsidRPr="00140702" w:rsidRDefault="00CD31E6" w:rsidP="00140702">
      <w:pPr>
        <w:pStyle w:val="Textkrper"/>
        <w:spacing w:line="360" w:lineRule="auto"/>
        <w:contextualSpacing/>
        <w:jc w:val="both"/>
        <w:rPr>
          <w:rFonts w:ascii="Arial" w:hAnsi="Arial" w:cs="Arial"/>
          <w:lang w:val="en-GB"/>
        </w:rPr>
      </w:pPr>
      <w:r w:rsidRPr="00140702">
        <w:rPr>
          <w:rFonts w:ascii="Arial" w:hAnsi="Arial" w:cs="Arial"/>
          <w:lang w:val="en-GB"/>
        </w:rPr>
        <w:tab/>
      </w:r>
      <w:r w:rsidRPr="00140702">
        <w:rPr>
          <w:rFonts w:ascii="Arial" w:hAnsi="Arial" w:cs="Arial"/>
          <w:lang w:val="en-GB"/>
        </w:rPr>
        <w:tab/>
        <w:t xml:space="preserve">(i) Any of its final decisions, other than a consent order made in terms of </w:t>
      </w:r>
      <w:r w:rsidRPr="00140702">
        <w:rPr>
          <w:rFonts w:ascii="Arial" w:hAnsi="Arial" w:cs="Arial"/>
          <w:lang w:val="en-GB"/>
        </w:rPr>
        <w:tab/>
      </w:r>
      <w:r w:rsidRPr="00140702">
        <w:rPr>
          <w:rFonts w:ascii="Arial" w:hAnsi="Arial" w:cs="Arial"/>
          <w:lang w:val="en-GB"/>
        </w:rPr>
        <w:tab/>
      </w:r>
      <w:r w:rsidRPr="00140702">
        <w:rPr>
          <w:rFonts w:ascii="Arial" w:hAnsi="Arial" w:cs="Arial"/>
          <w:lang w:val="en-GB"/>
        </w:rPr>
        <w:tab/>
        <w:t>section 63; or</w:t>
      </w:r>
    </w:p>
    <w:p w:rsidR="00CD31E6" w:rsidRPr="00140702" w:rsidRDefault="00CD31E6" w:rsidP="00140702">
      <w:pPr>
        <w:pStyle w:val="Textkrper"/>
        <w:spacing w:line="360" w:lineRule="auto"/>
        <w:contextualSpacing/>
        <w:jc w:val="both"/>
        <w:rPr>
          <w:rFonts w:ascii="Arial" w:hAnsi="Arial" w:cs="Arial"/>
          <w:lang w:val="en-GB"/>
        </w:rPr>
      </w:pPr>
      <w:r w:rsidRPr="00140702">
        <w:rPr>
          <w:rFonts w:ascii="Arial" w:hAnsi="Arial" w:cs="Arial"/>
          <w:lang w:val="en-GB"/>
        </w:rPr>
        <w:tab/>
      </w:r>
      <w:r w:rsidRPr="00140702">
        <w:rPr>
          <w:rFonts w:ascii="Arial" w:hAnsi="Arial" w:cs="Arial"/>
          <w:lang w:val="en-GB"/>
        </w:rPr>
        <w:tab/>
        <w:t xml:space="preserve">(ii) Any of its interim or interlocutory decisions that may, in terms of this Act, </w:t>
      </w:r>
      <w:r w:rsidRPr="00140702">
        <w:rPr>
          <w:rFonts w:ascii="Arial" w:hAnsi="Arial" w:cs="Arial"/>
          <w:lang w:val="en-GB"/>
        </w:rPr>
        <w:tab/>
      </w:r>
      <w:r w:rsidRPr="00140702">
        <w:rPr>
          <w:rFonts w:ascii="Arial" w:hAnsi="Arial" w:cs="Arial"/>
          <w:lang w:val="en-GB"/>
        </w:rPr>
        <w:tab/>
        <w:t>be taken on appeal.</w:t>
      </w:r>
    </w:p>
    <w:p w:rsidR="00CD31E6" w:rsidRPr="00140702" w:rsidRDefault="00CD31E6" w:rsidP="00140702">
      <w:pPr>
        <w:pStyle w:val="Textkrper"/>
        <w:spacing w:line="360" w:lineRule="auto"/>
        <w:contextualSpacing/>
        <w:jc w:val="both"/>
        <w:rPr>
          <w:rFonts w:ascii="Arial" w:hAnsi="Arial" w:cs="Arial"/>
          <w:lang w:val="en-GB"/>
        </w:rPr>
      </w:pPr>
      <w:r w:rsidRPr="00140702">
        <w:rPr>
          <w:rFonts w:ascii="Arial" w:hAnsi="Arial" w:cs="Arial"/>
          <w:lang w:val="en-GB"/>
        </w:rPr>
        <w:tab/>
      </w:r>
      <w:r w:rsidR="006051EC" w:rsidRPr="00140702">
        <w:rPr>
          <w:rFonts w:ascii="Arial" w:hAnsi="Arial" w:cs="Arial"/>
          <w:lang w:val="en-GB"/>
        </w:rPr>
        <w:t xml:space="preserve">  </w:t>
      </w:r>
      <w:r w:rsidRPr="00140702">
        <w:rPr>
          <w:rFonts w:ascii="Arial" w:hAnsi="Arial" w:cs="Arial"/>
          <w:lang w:val="en-GB"/>
        </w:rPr>
        <w:t xml:space="preserve">(2) The Competition Appeal Court may give any judgement or make any order, </w:t>
      </w:r>
      <w:r w:rsidRPr="00140702">
        <w:rPr>
          <w:rFonts w:ascii="Arial" w:hAnsi="Arial" w:cs="Arial"/>
          <w:lang w:val="en-GB"/>
        </w:rPr>
        <w:tab/>
      </w:r>
      <w:r w:rsidR="006051EC" w:rsidRPr="00140702">
        <w:rPr>
          <w:rFonts w:ascii="Arial" w:hAnsi="Arial" w:cs="Arial"/>
          <w:lang w:val="en-GB"/>
        </w:rPr>
        <w:tab/>
      </w:r>
      <w:r w:rsidR="00D132CC" w:rsidRPr="00140702">
        <w:rPr>
          <w:rFonts w:ascii="Arial" w:hAnsi="Arial" w:cs="Arial"/>
          <w:lang w:val="en-GB"/>
        </w:rPr>
        <w:tab/>
      </w:r>
      <w:r w:rsidRPr="00140702">
        <w:rPr>
          <w:rFonts w:ascii="Arial" w:hAnsi="Arial" w:cs="Arial"/>
          <w:lang w:val="en-GB"/>
        </w:rPr>
        <w:t>including an order to –</w:t>
      </w:r>
    </w:p>
    <w:p w:rsidR="00CD31E6" w:rsidRPr="00140702" w:rsidRDefault="00CD31E6" w:rsidP="00140702">
      <w:pPr>
        <w:pStyle w:val="Textkrper"/>
        <w:spacing w:line="360" w:lineRule="auto"/>
        <w:contextualSpacing/>
        <w:jc w:val="both"/>
        <w:rPr>
          <w:rFonts w:ascii="Arial" w:hAnsi="Arial" w:cs="Arial"/>
          <w:lang w:val="en-GB"/>
        </w:rPr>
      </w:pPr>
      <w:r w:rsidRPr="00140702">
        <w:rPr>
          <w:rFonts w:ascii="Arial" w:hAnsi="Arial" w:cs="Arial"/>
          <w:lang w:val="en-GB"/>
        </w:rPr>
        <w:tab/>
      </w:r>
      <w:r w:rsidRPr="00140702">
        <w:rPr>
          <w:rFonts w:ascii="Arial" w:hAnsi="Arial" w:cs="Arial"/>
          <w:lang w:val="en-GB"/>
        </w:rPr>
        <w:tab/>
        <w:t xml:space="preserve">(a) confirm, amend or set aside a decision or order of the Competition </w:t>
      </w:r>
      <w:r w:rsidRPr="00140702">
        <w:rPr>
          <w:rFonts w:ascii="Arial" w:hAnsi="Arial" w:cs="Arial"/>
          <w:lang w:val="en-GB"/>
        </w:rPr>
        <w:tab/>
      </w:r>
      <w:r w:rsidRPr="00140702">
        <w:rPr>
          <w:rFonts w:ascii="Arial" w:hAnsi="Arial" w:cs="Arial"/>
          <w:lang w:val="en-GB"/>
        </w:rPr>
        <w:tab/>
      </w:r>
      <w:r w:rsidRPr="00140702">
        <w:rPr>
          <w:rFonts w:ascii="Arial" w:hAnsi="Arial" w:cs="Arial"/>
          <w:lang w:val="en-GB"/>
        </w:rPr>
        <w:tab/>
        <w:t>Tribunal; or</w:t>
      </w:r>
    </w:p>
    <w:p w:rsidR="00CD31E6" w:rsidRPr="00140702" w:rsidRDefault="00CD31E6" w:rsidP="00140702">
      <w:pPr>
        <w:pStyle w:val="Textkrper"/>
        <w:spacing w:line="360" w:lineRule="auto"/>
        <w:contextualSpacing/>
        <w:jc w:val="both"/>
        <w:rPr>
          <w:rFonts w:ascii="Arial" w:hAnsi="Arial" w:cs="Arial"/>
          <w:lang w:val="en-GB"/>
        </w:rPr>
      </w:pPr>
      <w:r w:rsidRPr="00140702">
        <w:rPr>
          <w:rFonts w:ascii="Arial" w:hAnsi="Arial" w:cs="Arial"/>
          <w:lang w:val="en-GB"/>
        </w:rPr>
        <w:tab/>
      </w:r>
      <w:r w:rsidRPr="00140702">
        <w:rPr>
          <w:rFonts w:ascii="Arial" w:hAnsi="Arial" w:cs="Arial"/>
          <w:lang w:val="en-GB"/>
        </w:rPr>
        <w:tab/>
        <w:t xml:space="preserve">(b) Remit a matter to the Competition Tribunal for a further hearing on any </w:t>
      </w:r>
      <w:r w:rsidRPr="00140702">
        <w:rPr>
          <w:rFonts w:ascii="Arial" w:hAnsi="Arial" w:cs="Arial"/>
          <w:lang w:val="en-GB"/>
        </w:rPr>
        <w:tab/>
      </w:r>
      <w:r w:rsidRPr="00140702">
        <w:rPr>
          <w:rFonts w:ascii="Arial" w:hAnsi="Arial" w:cs="Arial"/>
          <w:lang w:val="en-GB"/>
        </w:rPr>
        <w:tab/>
        <w:t>appropriate terms.”</w:t>
      </w:r>
    </w:p>
    <w:p w:rsidR="00340F5D" w:rsidRPr="00140702" w:rsidRDefault="00340F5D" w:rsidP="00140702">
      <w:pPr>
        <w:pStyle w:val="Textkrper"/>
        <w:spacing w:line="360" w:lineRule="auto"/>
        <w:contextualSpacing/>
        <w:jc w:val="both"/>
        <w:rPr>
          <w:rFonts w:ascii="Arial" w:hAnsi="Arial" w:cs="Arial"/>
          <w:lang w:val="en-GB"/>
        </w:rPr>
      </w:pPr>
    </w:p>
    <w:p w:rsidR="00340F5D" w:rsidRPr="00140702" w:rsidRDefault="00E8498D" w:rsidP="00140702">
      <w:pPr>
        <w:contextualSpacing/>
        <w:jc w:val="both"/>
        <w:rPr>
          <w:rFonts w:ascii="Arial" w:hAnsi="Arial" w:cs="Arial"/>
        </w:rPr>
      </w:pPr>
      <w:r w:rsidRPr="00140702">
        <w:rPr>
          <w:rFonts w:ascii="Arial" w:hAnsi="Arial" w:cs="Arial"/>
        </w:rPr>
        <w:t xml:space="preserve">2.4.6 </w:t>
      </w:r>
      <w:r w:rsidR="003E4F14" w:rsidRPr="00140702">
        <w:rPr>
          <w:rFonts w:ascii="Arial" w:hAnsi="Arial" w:cs="Arial"/>
        </w:rPr>
        <w:t xml:space="preserve">Jurisdiction </w:t>
      </w:r>
    </w:p>
    <w:p w:rsidR="003E4F14" w:rsidRPr="00140702" w:rsidRDefault="003E4F14" w:rsidP="00140702">
      <w:pPr>
        <w:contextualSpacing/>
        <w:jc w:val="both"/>
        <w:rPr>
          <w:rFonts w:ascii="Arial" w:hAnsi="Arial" w:cs="Arial"/>
        </w:rPr>
      </w:pPr>
      <w:r w:rsidRPr="00140702">
        <w:rPr>
          <w:rFonts w:ascii="Arial" w:hAnsi="Arial" w:cs="Arial"/>
        </w:rPr>
        <w:t>2.4.6.1 Jurisdiction of the Competition Authorities</w:t>
      </w:r>
    </w:p>
    <w:p w:rsidR="00340F5D" w:rsidRPr="00140702" w:rsidRDefault="00D340C8" w:rsidP="00140702">
      <w:pPr>
        <w:contextualSpacing/>
        <w:jc w:val="both"/>
        <w:rPr>
          <w:rFonts w:ascii="Arial" w:hAnsi="Arial" w:cs="Arial"/>
        </w:rPr>
      </w:pPr>
      <w:r w:rsidRPr="00140702">
        <w:rPr>
          <w:rFonts w:ascii="Arial" w:hAnsi="Arial" w:cs="Arial"/>
        </w:rPr>
        <w:t>The Competition Act</w:t>
      </w:r>
      <w:r w:rsidR="00B66845" w:rsidRPr="00140702">
        <w:rPr>
          <w:rStyle w:val="Funotenzeichen"/>
          <w:rFonts w:ascii="Arial" w:hAnsi="Arial" w:cs="Arial"/>
        </w:rPr>
        <w:footnoteReference w:id="492"/>
      </w:r>
      <w:r w:rsidRPr="00140702">
        <w:rPr>
          <w:rFonts w:ascii="Arial" w:hAnsi="Arial" w:cs="Arial"/>
        </w:rPr>
        <w:t xml:space="preserve"> applies to all economic activity within or having an effect within South Africa despite any contrary </w:t>
      </w:r>
      <w:r w:rsidR="00B66845" w:rsidRPr="00140702">
        <w:rPr>
          <w:rFonts w:ascii="Arial" w:hAnsi="Arial" w:cs="Arial"/>
        </w:rPr>
        <w:t>stipulation</w:t>
      </w:r>
      <w:r w:rsidR="008D5B0E" w:rsidRPr="00140702">
        <w:rPr>
          <w:rFonts w:ascii="Arial" w:hAnsi="Arial" w:cs="Arial"/>
        </w:rPr>
        <w:t>s</w:t>
      </w:r>
      <w:r w:rsidRPr="00140702">
        <w:rPr>
          <w:rFonts w:ascii="Arial" w:hAnsi="Arial" w:cs="Arial"/>
        </w:rPr>
        <w:t xml:space="preserve"> in any other legislation.</w:t>
      </w:r>
      <w:r w:rsidR="00B66845" w:rsidRPr="00140702">
        <w:rPr>
          <w:rStyle w:val="Funotenzeichen"/>
          <w:rFonts w:ascii="Arial" w:hAnsi="Arial" w:cs="Arial"/>
        </w:rPr>
        <w:footnoteReference w:id="493"/>
      </w:r>
      <w:r w:rsidRPr="00140702">
        <w:rPr>
          <w:rFonts w:ascii="Arial" w:hAnsi="Arial" w:cs="Arial"/>
        </w:rPr>
        <w:t xml:space="preserve"> </w:t>
      </w:r>
      <w:r w:rsidR="00BB0C8E" w:rsidRPr="00140702">
        <w:rPr>
          <w:rFonts w:ascii="Arial" w:hAnsi="Arial" w:cs="Arial"/>
        </w:rPr>
        <w:t>Nonetheless, t</w:t>
      </w:r>
      <w:r w:rsidR="00B66845" w:rsidRPr="00140702">
        <w:rPr>
          <w:rFonts w:ascii="Arial" w:hAnsi="Arial" w:cs="Arial"/>
        </w:rPr>
        <w:t>he Competition Act</w:t>
      </w:r>
      <w:r w:rsidR="00BB0C8E" w:rsidRPr="00140702">
        <w:rPr>
          <w:rStyle w:val="Funotenzeichen"/>
          <w:rFonts w:ascii="Arial" w:hAnsi="Arial" w:cs="Arial"/>
        </w:rPr>
        <w:footnoteReference w:id="494"/>
      </w:r>
      <w:r w:rsidR="00B66845" w:rsidRPr="00140702">
        <w:rPr>
          <w:rFonts w:ascii="Arial" w:hAnsi="Arial" w:cs="Arial"/>
        </w:rPr>
        <w:t xml:space="preserve"> does </w:t>
      </w:r>
      <w:r w:rsidR="00BB0C8E" w:rsidRPr="00140702">
        <w:rPr>
          <w:rFonts w:ascii="Arial" w:hAnsi="Arial" w:cs="Arial"/>
        </w:rPr>
        <w:t xml:space="preserve">not </w:t>
      </w:r>
      <w:r w:rsidR="00B66845" w:rsidRPr="00140702">
        <w:rPr>
          <w:rFonts w:ascii="Arial" w:hAnsi="Arial" w:cs="Arial"/>
        </w:rPr>
        <w:t xml:space="preserve">apply to </w:t>
      </w:r>
      <w:r w:rsidR="00BB0C8E" w:rsidRPr="00140702">
        <w:rPr>
          <w:rFonts w:ascii="Arial" w:hAnsi="Arial" w:cs="Arial"/>
        </w:rPr>
        <w:t>collective bargaining</w:t>
      </w:r>
      <w:r w:rsidR="00BB0C8E" w:rsidRPr="00140702">
        <w:rPr>
          <w:rStyle w:val="Funotenzeichen"/>
          <w:rFonts w:ascii="Arial" w:hAnsi="Arial" w:cs="Arial"/>
        </w:rPr>
        <w:footnoteReference w:id="495"/>
      </w:r>
      <w:r w:rsidR="00BB0C8E" w:rsidRPr="00140702">
        <w:rPr>
          <w:rFonts w:ascii="Arial" w:hAnsi="Arial" w:cs="Arial"/>
        </w:rPr>
        <w:t>, collective agreements</w:t>
      </w:r>
      <w:r w:rsidR="00BB0C8E" w:rsidRPr="00140702">
        <w:rPr>
          <w:rStyle w:val="Funotenzeichen"/>
          <w:rFonts w:ascii="Arial" w:hAnsi="Arial" w:cs="Arial"/>
        </w:rPr>
        <w:footnoteReference w:id="496"/>
      </w:r>
      <w:r w:rsidR="00BB0C8E" w:rsidRPr="00140702">
        <w:rPr>
          <w:rFonts w:ascii="Arial" w:hAnsi="Arial" w:cs="Arial"/>
        </w:rPr>
        <w:t xml:space="preserve"> and </w:t>
      </w:r>
      <w:r w:rsidR="003165AA" w:rsidRPr="00140702">
        <w:rPr>
          <w:rFonts w:ascii="Arial" w:hAnsi="Arial" w:cs="Arial"/>
        </w:rPr>
        <w:t>concerted practises designed to achieve a non-commercial socio-economic objective or similar purpose.</w:t>
      </w:r>
      <w:r w:rsidR="003165AA" w:rsidRPr="00140702">
        <w:rPr>
          <w:rStyle w:val="Funotenzeichen"/>
          <w:rFonts w:ascii="Arial" w:hAnsi="Arial" w:cs="Arial"/>
        </w:rPr>
        <w:footnoteReference w:id="497"/>
      </w:r>
    </w:p>
    <w:p w:rsidR="006D3142" w:rsidRPr="00140702" w:rsidRDefault="006D3142" w:rsidP="00140702">
      <w:pPr>
        <w:contextualSpacing/>
        <w:jc w:val="both"/>
        <w:rPr>
          <w:rFonts w:ascii="Arial" w:hAnsi="Arial" w:cs="Arial"/>
        </w:rPr>
      </w:pPr>
    </w:p>
    <w:p w:rsidR="00B66845" w:rsidRPr="00140702" w:rsidRDefault="006D3142" w:rsidP="00140702">
      <w:pPr>
        <w:contextualSpacing/>
        <w:jc w:val="both"/>
        <w:rPr>
          <w:rFonts w:ascii="Arial" w:hAnsi="Arial" w:cs="Arial"/>
        </w:rPr>
      </w:pPr>
      <w:r w:rsidRPr="00140702">
        <w:rPr>
          <w:rFonts w:ascii="Arial" w:hAnsi="Arial" w:cs="Arial"/>
        </w:rPr>
        <w:t>The Competition Act</w:t>
      </w:r>
      <w:r w:rsidR="003C56D5" w:rsidRPr="00140702">
        <w:rPr>
          <w:rStyle w:val="Funotenzeichen"/>
          <w:rFonts w:ascii="Arial" w:hAnsi="Arial" w:cs="Arial"/>
        </w:rPr>
        <w:footnoteReference w:id="498"/>
      </w:r>
      <w:r w:rsidRPr="00140702">
        <w:rPr>
          <w:rFonts w:ascii="Arial" w:hAnsi="Arial" w:cs="Arial"/>
        </w:rPr>
        <w:t xml:space="preserve"> is also not applicable to any conduct within an industry or sector to the extent that the specific conduct in that industry or sector is regulated by another authority in terms of any other legislation.</w:t>
      </w:r>
      <w:r w:rsidR="003C56D5" w:rsidRPr="00140702">
        <w:rPr>
          <w:rStyle w:val="Funotenzeichen"/>
          <w:rFonts w:ascii="Arial" w:hAnsi="Arial" w:cs="Arial"/>
        </w:rPr>
        <w:footnoteReference w:id="499"/>
      </w:r>
      <w:r w:rsidR="003C56D5" w:rsidRPr="00140702">
        <w:rPr>
          <w:rFonts w:ascii="Arial" w:hAnsi="Arial" w:cs="Arial"/>
        </w:rPr>
        <w:t xml:space="preserve"> The Competition Act</w:t>
      </w:r>
      <w:r w:rsidR="001E47B6" w:rsidRPr="00140702">
        <w:rPr>
          <w:rStyle w:val="Funotenzeichen"/>
          <w:rFonts w:ascii="Arial" w:hAnsi="Arial" w:cs="Arial"/>
        </w:rPr>
        <w:footnoteReference w:id="500"/>
      </w:r>
      <w:r w:rsidR="003C56D5" w:rsidRPr="00140702">
        <w:rPr>
          <w:rFonts w:ascii="Arial" w:hAnsi="Arial" w:cs="Arial"/>
        </w:rPr>
        <w:t xml:space="preserve"> and the legislation regulating the specific industry of sector must be interpreted in such a manner as to give the Competition Act</w:t>
      </w:r>
      <w:r w:rsidR="001E47B6" w:rsidRPr="00140702">
        <w:rPr>
          <w:rStyle w:val="Funotenzeichen"/>
          <w:rFonts w:ascii="Arial" w:hAnsi="Arial" w:cs="Arial"/>
        </w:rPr>
        <w:footnoteReference w:id="501"/>
      </w:r>
      <w:r w:rsidR="003C56D5" w:rsidRPr="00140702">
        <w:rPr>
          <w:rFonts w:ascii="Arial" w:hAnsi="Arial" w:cs="Arial"/>
        </w:rPr>
        <w:t xml:space="preserve"> and the other legislation concurrent jurisdiction</w:t>
      </w:r>
      <w:r w:rsidR="00A84CCE" w:rsidRPr="00140702">
        <w:rPr>
          <w:rStyle w:val="Funotenzeichen"/>
          <w:rFonts w:ascii="Arial" w:hAnsi="Arial" w:cs="Arial"/>
        </w:rPr>
        <w:footnoteReference w:id="502"/>
      </w:r>
      <w:r w:rsidR="003C56D5" w:rsidRPr="00140702">
        <w:rPr>
          <w:rFonts w:ascii="Arial" w:hAnsi="Arial" w:cs="Arial"/>
        </w:rPr>
        <w:t xml:space="preserve"> regarding </w:t>
      </w:r>
      <w:r w:rsidR="001E47B6" w:rsidRPr="00140702">
        <w:rPr>
          <w:rFonts w:ascii="Arial" w:hAnsi="Arial" w:cs="Arial"/>
        </w:rPr>
        <w:t>any</w:t>
      </w:r>
      <w:r w:rsidR="003C56D5" w:rsidRPr="00140702">
        <w:rPr>
          <w:rFonts w:ascii="Arial" w:hAnsi="Arial" w:cs="Arial"/>
        </w:rPr>
        <w:t xml:space="preserve"> conduct that is regulated by the Competition Act</w:t>
      </w:r>
      <w:r w:rsidR="001E47B6" w:rsidRPr="00140702">
        <w:rPr>
          <w:rStyle w:val="Funotenzeichen"/>
          <w:rFonts w:ascii="Arial" w:hAnsi="Arial" w:cs="Arial"/>
        </w:rPr>
        <w:footnoteReference w:id="503"/>
      </w:r>
      <w:r w:rsidR="003C56D5" w:rsidRPr="00140702">
        <w:rPr>
          <w:rFonts w:ascii="Arial" w:hAnsi="Arial" w:cs="Arial"/>
        </w:rPr>
        <w:t xml:space="preserve"> and the other legislation </w:t>
      </w:r>
      <w:r w:rsidR="001E47B6" w:rsidRPr="00140702">
        <w:rPr>
          <w:rFonts w:ascii="Arial" w:hAnsi="Arial" w:cs="Arial"/>
        </w:rPr>
        <w:t>in that industry or sector.</w:t>
      </w:r>
      <w:r w:rsidR="001E47B6" w:rsidRPr="00140702">
        <w:rPr>
          <w:rStyle w:val="Funotenzeichen"/>
          <w:rFonts w:ascii="Arial" w:hAnsi="Arial" w:cs="Arial"/>
        </w:rPr>
        <w:footnoteReference w:id="504"/>
      </w:r>
      <w:r w:rsidR="001E47B6" w:rsidRPr="00140702">
        <w:rPr>
          <w:rFonts w:ascii="Arial" w:hAnsi="Arial" w:cs="Arial"/>
        </w:rPr>
        <w:t xml:space="preserve"> The manner in which the concurrent jurisdiction is to be exercised should be determined by the Competition Commission and that other regulatory authority</w:t>
      </w:r>
      <w:r w:rsidR="007A60B8" w:rsidRPr="00140702">
        <w:rPr>
          <w:rFonts w:ascii="Arial" w:hAnsi="Arial" w:cs="Arial"/>
        </w:rPr>
        <w:t xml:space="preserve"> as provided for in sections 21(1)(h) and 82(1) of the Competition Act</w:t>
      </w:r>
      <w:r w:rsidR="001E47B6" w:rsidRPr="00140702">
        <w:rPr>
          <w:rFonts w:ascii="Arial" w:hAnsi="Arial" w:cs="Arial"/>
        </w:rPr>
        <w:t>.</w:t>
      </w:r>
      <w:r w:rsidR="001E47B6" w:rsidRPr="00140702">
        <w:rPr>
          <w:rStyle w:val="Funotenzeichen"/>
          <w:rFonts w:ascii="Arial" w:hAnsi="Arial" w:cs="Arial"/>
        </w:rPr>
        <w:footnoteReference w:id="505"/>
      </w:r>
    </w:p>
    <w:p w:rsidR="007A60B8" w:rsidRPr="00140702" w:rsidRDefault="007A60B8" w:rsidP="00140702">
      <w:pPr>
        <w:contextualSpacing/>
        <w:jc w:val="both"/>
        <w:rPr>
          <w:rFonts w:ascii="Arial" w:hAnsi="Arial" w:cs="Arial"/>
        </w:rPr>
      </w:pPr>
    </w:p>
    <w:p w:rsidR="007A60B8" w:rsidRPr="00140702" w:rsidRDefault="008E5C8E" w:rsidP="00140702">
      <w:pPr>
        <w:contextualSpacing/>
        <w:jc w:val="both"/>
        <w:rPr>
          <w:rFonts w:ascii="Arial" w:hAnsi="Arial" w:cs="Arial"/>
        </w:rPr>
      </w:pPr>
      <w:r w:rsidRPr="00140702">
        <w:rPr>
          <w:rFonts w:ascii="Arial" w:hAnsi="Arial" w:cs="Arial"/>
        </w:rPr>
        <w:t>Furthermore, t</w:t>
      </w:r>
      <w:r w:rsidR="007A60B8" w:rsidRPr="00140702">
        <w:rPr>
          <w:rFonts w:ascii="Arial" w:hAnsi="Arial" w:cs="Arial"/>
        </w:rPr>
        <w:t>he concurrent jurisdiction should be determined in such a manner so that the other regulatory authority has primary authority to establish conditions within the industry or sector that it regulates to give effect to the relevant legislation under which that authority functions and also to give effect to the Competition Act.</w:t>
      </w:r>
      <w:r w:rsidR="00624BD0" w:rsidRPr="00140702">
        <w:rPr>
          <w:rStyle w:val="Funotenzeichen"/>
          <w:rFonts w:ascii="Arial" w:hAnsi="Arial" w:cs="Arial"/>
        </w:rPr>
        <w:footnoteReference w:id="506"/>
      </w:r>
      <w:r w:rsidR="007A60B8" w:rsidRPr="00140702">
        <w:rPr>
          <w:rFonts w:ascii="Arial" w:hAnsi="Arial" w:cs="Arial"/>
        </w:rPr>
        <w:t xml:space="preserve"> The Competition Commission on the other hand should have primary </w:t>
      </w:r>
      <w:r w:rsidR="00624BD0" w:rsidRPr="00140702">
        <w:rPr>
          <w:rFonts w:ascii="Arial" w:hAnsi="Arial" w:cs="Arial"/>
        </w:rPr>
        <w:t>authority to detect and investigate alleged prohibited conduct and to review mergers so as to give effect to its obligations under the Competition Act.</w:t>
      </w:r>
      <w:r w:rsidR="00624BD0" w:rsidRPr="00140702">
        <w:rPr>
          <w:rStyle w:val="Funotenzeichen"/>
          <w:rFonts w:ascii="Arial" w:hAnsi="Arial" w:cs="Arial"/>
        </w:rPr>
        <w:footnoteReference w:id="507"/>
      </w:r>
    </w:p>
    <w:p w:rsidR="0004404B" w:rsidRPr="00140702" w:rsidRDefault="0004404B" w:rsidP="00140702">
      <w:pPr>
        <w:contextualSpacing/>
        <w:jc w:val="both"/>
        <w:rPr>
          <w:rFonts w:ascii="Arial" w:hAnsi="Arial" w:cs="Arial"/>
        </w:rPr>
      </w:pPr>
    </w:p>
    <w:p w:rsidR="0004404B" w:rsidRPr="00140702" w:rsidRDefault="002D5080" w:rsidP="00140702">
      <w:pPr>
        <w:contextualSpacing/>
        <w:jc w:val="both"/>
        <w:rPr>
          <w:rFonts w:ascii="Arial" w:hAnsi="Arial" w:cs="Arial"/>
        </w:rPr>
      </w:pPr>
      <w:r w:rsidRPr="00140702">
        <w:rPr>
          <w:rFonts w:ascii="Arial" w:hAnsi="Arial" w:cs="Arial"/>
        </w:rPr>
        <w:t>Agreements constituting concurrent jurisdiction between the Competition Commission and another regulatory authority have been concluded in a number of industries and sectors including sectors in the banking</w:t>
      </w:r>
      <w:r w:rsidR="009528F4" w:rsidRPr="00140702">
        <w:rPr>
          <w:rFonts w:ascii="Arial" w:hAnsi="Arial" w:cs="Arial"/>
        </w:rPr>
        <w:t xml:space="preserve"> and</w:t>
      </w:r>
      <w:r w:rsidRPr="00140702">
        <w:rPr>
          <w:rFonts w:ascii="Arial" w:hAnsi="Arial" w:cs="Arial"/>
        </w:rPr>
        <w:t xml:space="preserve"> agricultural</w:t>
      </w:r>
      <w:r w:rsidR="009528F4" w:rsidRPr="00140702">
        <w:rPr>
          <w:rFonts w:ascii="Arial" w:hAnsi="Arial" w:cs="Arial"/>
        </w:rPr>
        <w:t xml:space="preserve"> industry and for the electricity, telecommunications and postal industries as a whole.</w:t>
      </w:r>
      <w:r w:rsidR="009528F4" w:rsidRPr="00140702">
        <w:rPr>
          <w:rStyle w:val="Funotenzeichen"/>
          <w:rFonts w:ascii="Arial" w:hAnsi="Arial" w:cs="Arial"/>
        </w:rPr>
        <w:footnoteReference w:id="508"/>
      </w:r>
      <w:r w:rsidR="009528F4" w:rsidRPr="00140702">
        <w:rPr>
          <w:rFonts w:ascii="Arial" w:hAnsi="Arial" w:cs="Arial"/>
        </w:rPr>
        <w:t xml:space="preserve"> </w:t>
      </w:r>
    </w:p>
    <w:p w:rsidR="00B66845" w:rsidRPr="00140702" w:rsidRDefault="00B66845" w:rsidP="00140702">
      <w:pPr>
        <w:contextualSpacing/>
        <w:jc w:val="both"/>
        <w:rPr>
          <w:rFonts w:ascii="Arial" w:hAnsi="Arial" w:cs="Arial"/>
        </w:rPr>
      </w:pPr>
    </w:p>
    <w:p w:rsidR="00B66845" w:rsidRPr="00140702" w:rsidRDefault="00B66845" w:rsidP="00140702">
      <w:pPr>
        <w:contextualSpacing/>
        <w:jc w:val="both"/>
        <w:rPr>
          <w:rFonts w:ascii="Arial" w:hAnsi="Arial" w:cs="Arial"/>
        </w:rPr>
      </w:pPr>
    </w:p>
    <w:p w:rsidR="00B66845" w:rsidRPr="00140702" w:rsidRDefault="006578A8" w:rsidP="00140702">
      <w:pPr>
        <w:contextualSpacing/>
        <w:jc w:val="both"/>
        <w:rPr>
          <w:rFonts w:ascii="Arial" w:hAnsi="Arial" w:cs="Arial"/>
        </w:rPr>
      </w:pPr>
      <w:r w:rsidRPr="00140702">
        <w:rPr>
          <w:rFonts w:ascii="Arial" w:hAnsi="Arial" w:cs="Arial"/>
        </w:rPr>
        <w:t>2.4.6.2 The Jurisdictional i</w:t>
      </w:r>
      <w:r w:rsidR="003E4F14" w:rsidRPr="00140702">
        <w:rPr>
          <w:rFonts w:ascii="Arial" w:hAnsi="Arial" w:cs="Arial"/>
        </w:rPr>
        <w:t>nteraction between the Competition Authorities and the Civil Courts</w:t>
      </w:r>
    </w:p>
    <w:p w:rsidR="003E4F14" w:rsidRPr="00140702" w:rsidRDefault="003E4F14" w:rsidP="00140702">
      <w:pPr>
        <w:contextualSpacing/>
        <w:jc w:val="both"/>
        <w:rPr>
          <w:rFonts w:ascii="Arial" w:hAnsi="Arial" w:cs="Arial"/>
        </w:rPr>
      </w:pPr>
    </w:p>
    <w:p w:rsidR="003E4F14" w:rsidRPr="00140702" w:rsidRDefault="00D53A99" w:rsidP="00140702">
      <w:pPr>
        <w:contextualSpacing/>
        <w:jc w:val="both"/>
        <w:rPr>
          <w:rFonts w:ascii="Arial" w:hAnsi="Arial" w:cs="Arial"/>
        </w:rPr>
      </w:pPr>
      <w:r w:rsidRPr="00140702">
        <w:rPr>
          <w:rFonts w:ascii="Arial" w:hAnsi="Arial" w:cs="Arial"/>
        </w:rPr>
        <w:t>In terms of section 65(2) of the Competition Act</w:t>
      </w:r>
      <w:r w:rsidRPr="00140702">
        <w:rPr>
          <w:rStyle w:val="Funotenzeichen"/>
          <w:rFonts w:ascii="Arial" w:hAnsi="Arial" w:cs="Arial"/>
        </w:rPr>
        <w:footnoteReference w:id="509"/>
      </w:r>
      <w:r w:rsidRPr="00140702">
        <w:rPr>
          <w:rFonts w:ascii="Arial" w:hAnsi="Arial" w:cs="Arial"/>
        </w:rPr>
        <w:t xml:space="preserve"> a civil court is not authorized to </w:t>
      </w:r>
      <w:r w:rsidR="00FC00CF" w:rsidRPr="00140702">
        <w:rPr>
          <w:rFonts w:ascii="Arial" w:hAnsi="Arial" w:cs="Arial"/>
        </w:rPr>
        <w:t xml:space="preserve">consider any issue concerning any conduct which is prohibited in terms of the Competition Act. If it is an issue on which the Competition Tribunal and/or </w:t>
      </w:r>
      <w:r w:rsidR="00A432DB" w:rsidRPr="00140702">
        <w:rPr>
          <w:rFonts w:ascii="Arial" w:hAnsi="Arial" w:cs="Arial"/>
        </w:rPr>
        <w:t xml:space="preserve">the </w:t>
      </w:r>
      <w:r w:rsidR="00FC00CF" w:rsidRPr="00140702">
        <w:rPr>
          <w:rFonts w:ascii="Arial" w:hAnsi="Arial" w:cs="Arial"/>
        </w:rPr>
        <w:t xml:space="preserve">Competition Tribunal have made an order the civil court is obligated to give effect to that order and if it is an issue on which the Competition Tribunal and/or Competition Appeal Court have not made an order that issue should be referred to the Competition Tribunal to be </w:t>
      </w:r>
      <w:r w:rsidR="00A432DB" w:rsidRPr="00140702">
        <w:rPr>
          <w:rFonts w:ascii="Arial" w:hAnsi="Arial" w:cs="Arial"/>
        </w:rPr>
        <w:t>considered on its merits.</w:t>
      </w:r>
      <w:r w:rsidR="00A432DB" w:rsidRPr="00140702">
        <w:rPr>
          <w:rStyle w:val="Funotenzeichen"/>
          <w:rFonts w:ascii="Arial" w:hAnsi="Arial" w:cs="Arial"/>
        </w:rPr>
        <w:footnoteReference w:id="510"/>
      </w:r>
    </w:p>
    <w:p w:rsidR="009F64DA" w:rsidRPr="00140702" w:rsidRDefault="009F64DA" w:rsidP="00140702">
      <w:pPr>
        <w:contextualSpacing/>
        <w:jc w:val="both"/>
        <w:rPr>
          <w:rFonts w:ascii="Arial" w:hAnsi="Arial" w:cs="Arial"/>
        </w:rPr>
      </w:pPr>
    </w:p>
    <w:p w:rsidR="009F64DA" w:rsidRPr="00140702" w:rsidRDefault="009F64DA" w:rsidP="00140702">
      <w:pPr>
        <w:contextualSpacing/>
        <w:jc w:val="both"/>
        <w:rPr>
          <w:rFonts w:ascii="Arial" w:hAnsi="Arial" w:cs="Arial"/>
        </w:rPr>
      </w:pPr>
      <w:r w:rsidRPr="00140702">
        <w:rPr>
          <w:rFonts w:ascii="Arial" w:hAnsi="Arial" w:cs="Arial"/>
        </w:rPr>
        <w:t>Furthermore, if a person suffered damage</w:t>
      </w:r>
      <w:r w:rsidR="00C77FD0" w:rsidRPr="00140702">
        <w:rPr>
          <w:rFonts w:ascii="Arial" w:hAnsi="Arial" w:cs="Arial"/>
        </w:rPr>
        <w:t>s</w:t>
      </w:r>
      <w:r w:rsidRPr="00140702">
        <w:rPr>
          <w:rFonts w:ascii="Arial" w:hAnsi="Arial" w:cs="Arial"/>
        </w:rPr>
        <w:t xml:space="preserve"> or losses because of any conduct that is prohibited in terms of the Competition Act</w:t>
      </w:r>
      <w:r w:rsidR="00841653" w:rsidRPr="00140702">
        <w:rPr>
          <w:rStyle w:val="Funotenzeichen"/>
          <w:rFonts w:ascii="Arial" w:hAnsi="Arial" w:cs="Arial"/>
        </w:rPr>
        <w:footnoteReference w:id="511"/>
      </w:r>
      <w:r w:rsidRPr="00140702">
        <w:rPr>
          <w:rFonts w:ascii="Arial" w:hAnsi="Arial" w:cs="Arial"/>
        </w:rPr>
        <w:t xml:space="preserve"> that person is prohibited </w:t>
      </w:r>
      <w:r w:rsidR="00C77FD0" w:rsidRPr="00140702">
        <w:rPr>
          <w:rFonts w:ascii="Arial" w:hAnsi="Arial" w:cs="Arial"/>
        </w:rPr>
        <w:t xml:space="preserve">from instituting any action in a civil court for the </w:t>
      </w:r>
      <w:r w:rsidR="00841653" w:rsidRPr="00140702">
        <w:rPr>
          <w:rFonts w:ascii="Arial" w:hAnsi="Arial" w:cs="Arial"/>
        </w:rPr>
        <w:t xml:space="preserve">quantification of the damages or losses </w:t>
      </w:r>
      <w:r w:rsidR="00C77FD0" w:rsidRPr="00140702">
        <w:rPr>
          <w:rFonts w:ascii="Arial" w:hAnsi="Arial" w:cs="Arial"/>
        </w:rPr>
        <w:t xml:space="preserve">or for the awarding of damages if that person has </w:t>
      </w:r>
      <w:r w:rsidR="00841653" w:rsidRPr="00140702">
        <w:rPr>
          <w:rFonts w:ascii="Arial" w:hAnsi="Arial" w:cs="Arial"/>
        </w:rPr>
        <w:t xml:space="preserve">already </w:t>
      </w:r>
      <w:r w:rsidR="00C77FD0" w:rsidRPr="00140702">
        <w:rPr>
          <w:rFonts w:ascii="Arial" w:hAnsi="Arial" w:cs="Arial"/>
        </w:rPr>
        <w:t>been awarded damages by way of a consent order in terms of section 49D(1)</w:t>
      </w:r>
      <w:r w:rsidR="00A63725" w:rsidRPr="00140702">
        <w:rPr>
          <w:rFonts w:ascii="Arial" w:hAnsi="Arial" w:cs="Arial"/>
        </w:rPr>
        <w:t xml:space="preserve"> of the Competition Act</w:t>
      </w:r>
      <w:r w:rsidR="00C77FD0" w:rsidRPr="00140702">
        <w:rPr>
          <w:rFonts w:ascii="Arial" w:hAnsi="Arial" w:cs="Arial"/>
        </w:rPr>
        <w:t>.</w:t>
      </w:r>
      <w:r w:rsidR="00841653" w:rsidRPr="00140702">
        <w:rPr>
          <w:rStyle w:val="Funotenzeichen"/>
          <w:rFonts w:ascii="Arial" w:hAnsi="Arial" w:cs="Arial"/>
        </w:rPr>
        <w:footnoteReference w:id="512"/>
      </w:r>
      <w:r w:rsidR="00841653" w:rsidRPr="00140702">
        <w:rPr>
          <w:rFonts w:ascii="Arial" w:hAnsi="Arial" w:cs="Arial"/>
        </w:rPr>
        <w:t xml:space="preserve"> To conclude, if a person is at liberty to institute an </w:t>
      </w:r>
      <w:r w:rsidR="00740894" w:rsidRPr="00140702">
        <w:rPr>
          <w:rFonts w:ascii="Arial" w:hAnsi="Arial" w:cs="Arial"/>
        </w:rPr>
        <w:t>action in a civil court for damage</w:t>
      </w:r>
      <w:r w:rsidR="00ED52C3" w:rsidRPr="00140702">
        <w:rPr>
          <w:rFonts w:ascii="Arial" w:hAnsi="Arial" w:cs="Arial"/>
        </w:rPr>
        <w:t>s</w:t>
      </w:r>
      <w:r w:rsidR="00740894" w:rsidRPr="00140702">
        <w:rPr>
          <w:rFonts w:ascii="Arial" w:hAnsi="Arial" w:cs="Arial"/>
        </w:rPr>
        <w:t xml:space="preserve"> or losses suffered as a result of any conduct which is prohibited in terms of the Competition Act.</w:t>
      </w:r>
      <w:r w:rsidR="00761692" w:rsidRPr="00140702">
        <w:rPr>
          <w:rStyle w:val="Funotenzeichen"/>
          <w:rFonts w:ascii="Arial" w:hAnsi="Arial" w:cs="Arial"/>
        </w:rPr>
        <w:footnoteReference w:id="513"/>
      </w:r>
      <w:r w:rsidR="00740894" w:rsidRPr="00140702">
        <w:rPr>
          <w:rFonts w:ascii="Arial" w:hAnsi="Arial" w:cs="Arial"/>
        </w:rPr>
        <w:t xml:space="preserve"> That person may only do so if he/she when instituting </w:t>
      </w:r>
      <w:r w:rsidR="00ED52C3" w:rsidRPr="00140702">
        <w:rPr>
          <w:rFonts w:ascii="Arial" w:hAnsi="Arial" w:cs="Arial"/>
        </w:rPr>
        <w:t>the proceedings</w:t>
      </w:r>
      <w:r w:rsidR="00740894" w:rsidRPr="00140702">
        <w:rPr>
          <w:rFonts w:ascii="Arial" w:hAnsi="Arial" w:cs="Arial"/>
        </w:rPr>
        <w:t xml:space="preserve"> also file with the Register or Clerk of the Court a certificate from </w:t>
      </w:r>
      <w:r w:rsidR="00761692" w:rsidRPr="00140702">
        <w:rPr>
          <w:rFonts w:ascii="Arial" w:hAnsi="Arial" w:cs="Arial"/>
        </w:rPr>
        <w:t xml:space="preserve">the </w:t>
      </w:r>
      <w:r w:rsidR="00740894" w:rsidRPr="00140702">
        <w:rPr>
          <w:rFonts w:ascii="Arial" w:hAnsi="Arial" w:cs="Arial"/>
        </w:rPr>
        <w:t xml:space="preserve">Chairperson of the Competition Tribunal or the Judge President of the Competition Appeal Court stating that the conduct which forms the basis for the </w:t>
      </w:r>
      <w:r w:rsidR="00ED52C3" w:rsidRPr="00140702">
        <w:rPr>
          <w:rFonts w:ascii="Arial" w:hAnsi="Arial" w:cs="Arial"/>
        </w:rPr>
        <w:t>proceedings has</w:t>
      </w:r>
      <w:r w:rsidR="00761692" w:rsidRPr="00140702">
        <w:rPr>
          <w:rFonts w:ascii="Arial" w:hAnsi="Arial" w:cs="Arial"/>
        </w:rPr>
        <w:t xml:space="preserve"> been found to be </w:t>
      </w:r>
      <w:r w:rsidR="00ED52C3" w:rsidRPr="00140702">
        <w:rPr>
          <w:rFonts w:ascii="Arial" w:hAnsi="Arial" w:cs="Arial"/>
        </w:rPr>
        <w:t xml:space="preserve">a </w:t>
      </w:r>
      <w:r w:rsidR="00761692" w:rsidRPr="00140702">
        <w:rPr>
          <w:rFonts w:ascii="Arial" w:hAnsi="Arial" w:cs="Arial"/>
        </w:rPr>
        <w:t>prohibited</w:t>
      </w:r>
      <w:r w:rsidR="00ED52C3" w:rsidRPr="00140702">
        <w:rPr>
          <w:rFonts w:ascii="Arial" w:hAnsi="Arial" w:cs="Arial"/>
        </w:rPr>
        <w:t xml:space="preserve"> practice</w:t>
      </w:r>
      <w:r w:rsidR="00761692" w:rsidRPr="00140702">
        <w:rPr>
          <w:rFonts w:ascii="Arial" w:hAnsi="Arial" w:cs="Arial"/>
        </w:rPr>
        <w:t xml:space="preserve"> in terms of the Competition Act.</w:t>
      </w:r>
      <w:r w:rsidR="00761692" w:rsidRPr="00140702">
        <w:rPr>
          <w:rStyle w:val="Funotenzeichen"/>
          <w:rFonts w:ascii="Arial" w:hAnsi="Arial" w:cs="Arial"/>
        </w:rPr>
        <w:footnoteReference w:id="514"/>
      </w:r>
    </w:p>
    <w:p w:rsidR="00943BD1" w:rsidRDefault="00943BD1" w:rsidP="00663C04">
      <w:pPr>
        <w:contextualSpacing/>
        <w:jc w:val="both"/>
      </w:pPr>
    </w:p>
    <w:p w:rsidR="00172881" w:rsidRPr="000B1AAA" w:rsidRDefault="00943BD1" w:rsidP="000B1AAA">
      <w:pPr>
        <w:contextualSpacing/>
        <w:jc w:val="both"/>
        <w:rPr>
          <w:rFonts w:ascii="Arial" w:hAnsi="Arial" w:cs="Arial"/>
          <w:b/>
        </w:rPr>
      </w:pPr>
      <w:r w:rsidRPr="00943BD1">
        <w:rPr>
          <w:rFonts w:ascii="Arial" w:hAnsi="Arial" w:cs="Arial"/>
          <w:b/>
        </w:rPr>
        <w:t>Chapter 3</w:t>
      </w:r>
      <w:r w:rsidR="000B1AAA">
        <w:rPr>
          <w:rFonts w:ascii="Arial" w:hAnsi="Arial" w:cs="Arial"/>
          <w:b/>
        </w:rPr>
        <w:t xml:space="preserve">: </w:t>
      </w:r>
      <w:r w:rsidR="00172881" w:rsidRPr="007F12FA">
        <w:rPr>
          <w:rFonts w:ascii="Arial" w:hAnsi="Arial" w:cs="Arial"/>
          <w:b/>
        </w:rPr>
        <w:t>The underlying principles of the South Africa Competition Act</w:t>
      </w:r>
      <w:r w:rsidR="00172881" w:rsidRPr="007F12FA">
        <w:rPr>
          <w:rStyle w:val="Funotenzeichen"/>
          <w:rFonts w:ascii="Arial" w:hAnsi="Arial" w:cs="Arial"/>
        </w:rPr>
        <w:footnoteReference w:id="515"/>
      </w:r>
    </w:p>
    <w:p w:rsidR="000B1AAA" w:rsidRDefault="009B487F" w:rsidP="009B487F">
      <w:pPr>
        <w:contextualSpacing/>
        <w:jc w:val="both"/>
        <w:rPr>
          <w:rFonts w:ascii="Arial" w:hAnsi="Arial" w:cs="Arial"/>
        </w:rPr>
      </w:pPr>
      <w:r w:rsidRPr="007F12FA">
        <w:rPr>
          <w:rFonts w:ascii="Arial" w:hAnsi="Arial" w:cs="Arial"/>
        </w:rPr>
        <w:tab/>
      </w:r>
    </w:p>
    <w:p w:rsidR="00633711" w:rsidRPr="007F12FA" w:rsidRDefault="000B1AAA" w:rsidP="009B487F">
      <w:pPr>
        <w:contextualSpacing/>
        <w:jc w:val="both"/>
        <w:rPr>
          <w:rFonts w:ascii="Arial" w:hAnsi="Arial" w:cs="Arial"/>
        </w:rPr>
      </w:pPr>
      <w:r>
        <w:rPr>
          <w:rFonts w:ascii="Arial" w:hAnsi="Arial" w:cs="Arial"/>
        </w:rPr>
        <w:tab/>
      </w:r>
      <w:r w:rsidR="00633711" w:rsidRPr="007F12FA">
        <w:rPr>
          <w:rFonts w:ascii="Arial" w:hAnsi="Arial" w:cs="Arial"/>
        </w:rPr>
        <w:t>“</w:t>
      </w:r>
      <w:r w:rsidR="00633711" w:rsidRPr="007F12FA">
        <w:rPr>
          <w:rFonts w:ascii="Arial" w:hAnsi="Arial" w:cs="Arial"/>
          <w:i/>
        </w:rPr>
        <w:t xml:space="preserve">Consumption is the sole end and purpose of all production; and the interest </w:t>
      </w:r>
      <w:r w:rsidR="007F12FA">
        <w:rPr>
          <w:rFonts w:ascii="Arial" w:hAnsi="Arial" w:cs="Arial"/>
          <w:i/>
        </w:rPr>
        <w:tab/>
      </w:r>
      <w:r w:rsidR="00633711" w:rsidRPr="007F12FA">
        <w:rPr>
          <w:rFonts w:ascii="Arial" w:hAnsi="Arial" w:cs="Arial"/>
          <w:i/>
        </w:rPr>
        <w:t xml:space="preserve">of the </w:t>
      </w:r>
      <w:r w:rsidR="009B487F" w:rsidRPr="007F12FA">
        <w:rPr>
          <w:rFonts w:ascii="Arial" w:hAnsi="Arial" w:cs="Arial"/>
          <w:i/>
        </w:rPr>
        <w:tab/>
      </w:r>
      <w:r w:rsidR="00633711" w:rsidRPr="007F12FA">
        <w:rPr>
          <w:rFonts w:ascii="Arial" w:hAnsi="Arial" w:cs="Arial"/>
          <w:i/>
        </w:rPr>
        <w:t xml:space="preserve">producer ought to be attended to, only so far as it may be </w:t>
      </w:r>
      <w:r w:rsidR="009B487F" w:rsidRPr="007F12FA">
        <w:rPr>
          <w:rFonts w:ascii="Arial" w:hAnsi="Arial" w:cs="Arial"/>
          <w:i/>
        </w:rPr>
        <w:t xml:space="preserve">necessary </w:t>
      </w:r>
      <w:r w:rsidR="007F12FA">
        <w:rPr>
          <w:rFonts w:ascii="Arial" w:hAnsi="Arial" w:cs="Arial"/>
          <w:i/>
        </w:rPr>
        <w:tab/>
      </w:r>
      <w:r w:rsidR="009B487F" w:rsidRPr="007F12FA">
        <w:rPr>
          <w:rFonts w:ascii="Arial" w:hAnsi="Arial" w:cs="Arial"/>
          <w:i/>
        </w:rPr>
        <w:t>for</w:t>
      </w:r>
      <w:r w:rsidR="00633711" w:rsidRPr="007F12FA">
        <w:rPr>
          <w:rFonts w:ascii="Arial" w:hAnsi="Arial" w:cs="Arial"/>
          <w:i/>
        </w:rPr>
        <w:t xml:space="preserve"> promoting that of the consumer. The maxim is so perfectly self-evident </w:t>
      </w:r>
      <w:r w:rsidR="007F12FA">
        <w:rPr>
          <w:rFonts w:ascii="Arial" w:hAnsi="Arial" w:cs="Arial"/>
          <w:i/>
        </w:rPr>
        <w:tab/>
      </w:r>
      <w:r w:rsidR="00633711" w:rsidRPr="007F12FA">
        <w:rPr>
          <w:rFonts w:ascii="Arial" w:hAnsi="Arial" w:cs="Arial"/>
          <w:i/>
        </w:rPr>
        <w:t xml:space="preserve">that it would be absurd to attempt to prove it. But in the mercantile system, </w:t>
      </w:r>
      <w:r w:rsidR="007F12FA">
        <w:rPr>
          <w:rFonts w:ascii="Arial" w:hAnsi="Arial" w:cs="Arial"/>
          <w:i/>
        </w:rPr>
        <w:tab/>
      </w:r>
      <w:r w:rsidR="00633711" w:rsidRPr="007F12FA">
        <w:rPr>
          <w:rFonts w:ascii="Arial" w:hAnsi="Arial" w:cs="Arial"/>
          <w:i/>
        </w:rPr>
        <w:t>the interest of the consumer is almost constantly sacrificed to that of the</w:t>
      </w:r>
      <w:r w:rsidR="007F12FA">
        <w:rPr>
          <w:rFonts w:ascii="Arial" w:hAnsi="Arial" w:cs="Arial"/>
          <w:i/>
        </w:rPr>
        <w:t xml:space="preserve"> </w:t>
      </w:r>
      <w:r w:rsidR="007F12FA">
        <w:rPr>
          <w:rFonts w:ascii="Arial" w:hAnsi="Arial" w:cs="Arial"/>
          <w:i/>
        </w:rPr>
        <w:tab/>
      </w:r>
      <w:r w:rsidR="00633711" w:rsidRPr="007F12FA">
        <w:rPr>
          <w:rFonts w:ascii="Arial" w:hAnsi="Arial" w:cs="Arial"/>
          <w:i/>
        </w:rPr>
        <w:t xml:space="preserve">producer; and it seems to consider production, and not consumption, as the </w:t>
      </w:r>
      <w:r w:rsidR="007F12FA">
        <w:rPr>
          <w:rFonts w:ascii="Arial" w:hAnsi="Arial" w:cs="Arial"/>
          <w:i/>
        </w:rPr>
        <w:tab/>
      </w:r>
      <w:r w:rsidR="00633711" w:rsidRPr="007F12FA">
        <w:rPr>
          <w:rFonts w:ascii="Arial" w:hAnsi="Arial" w:cs="Arial"/>
          <w:i/>
        </w:rPr>
        <w:t>ultimate end and object of all industry and commerce</w:t>
      </w:r>
      <w:r w:rsidR="00633711" w:rsidRPr="007F12FA">
        <w:rPr>
          <w:rFonts w:ascii="Arial" w:hAnsi="Arial" w:cs="Arial"/>
        </w:rPr>
        <w:t>.”</w:t>
      </w:r>
      <w:r w:rsidR="00564189" w:rsidRPr="007F12FA">
        <w:rPr>
          <w:rFonts w:ascii="Arial" w:hAnsi="Arial" w:cs="Arial"/>
        </w:rPr>
        <w:t xml:space="preserve"> </w:t>
      </w:r>
    </w:p>
    <w:p w:rsidR="00564189" w:rsidRPr="007F12FA" w:rsidRDefault="00AE0E40" w:rsidP="009B487F">
      <w:pPr>
        <w:contextualSpacing/>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73844">
        <w:rPr>
          <w:rFonts w:ascii="Arial" w:hAnsi="Arial" w:cs="Arial"/>
        </w:rPr>
        <w:tab/>
      </w:r>
      <w:r w:rsidR="00F73844">
        <w:rPr>
          <w:rFonts w:ascii="Arial" w:hAnsi="Arial" w:cs="Arial"/>
        </w:rPr>
        <w:tab/>
        <w:t xml:space="preserve">          1776 by </w:t>
      </w:r>
      <w:r w:rsidR="007F12FA">
        <w:rPr>
          <w:rFonts w:ascii="Arial" w:hAnsi="Arial" w:cs="Arial"/>
        </w:rPr>
        <w:t>Adam Smith</w:t>
      </w:r>
      <w:r w:rsidR="00F73844">
        <w:rPr>
          <w:rFonts w:ascii="Arial" w:hAnsi="Arial" w:cs="Arial"/>
        </w:rPr>
        <w:t>.</w:t>
      </w:r>
      <w:r w:rsidR="00564189" w:rsidRPr="007F12FA">
        <w:rPr>
          <w:rStyle w:val="Funotenzeichen"/>
          <w:rFonts w:ascii="Arial" w:hAnsi="Arial" w:cs="Arial"/>
        </w:rPr>
        <w:footnoteReference w:id="516"/>
      </w:r>
    </w:p>
    <w:p w:rsidR="00CD0E7D" w:rsidRPr="007F12FA" w:rsidRDefault="00CD0E7D" w:rsidP="00633711">
      <w:pPr>
        <w:contextualSpacing/>
        <w:jc w:val="both"/>
        <w:rPr>
          <w:rFonts w:ascii="Arial" w:hAnsi="Arial" w:cs="Arial"/>
        </w:rPr>
      </w:pPr>
    </w:p>
    <w:p w:rsidR="00A0737B" w:rsidRDefault="000B1AAA" w:rsidP="00BC1820">
      <w:pPr>
        <w:contextualSpacing/>
        <w:jc w:val="both"/>
        <w:rPr>
          <w:rFonts w:ascii="Arial" w:hAnsi="Arial" w:cs="Arial"/>
        </w:rPr>
      </w:pPr>
      <w:r>
        <w:rPr>
          <w:rFonts w:ascii="Arial" w:hAnsi="Arial" w:cs="Arial"/>
        </w:rPr>
        <w:t>3</w:t>
      </w:r>
      <w:r w:rsidR="00A0737B">
        <w:rPr>
          <w:rFonts w:ascii="Arial" w:hAnsi="Arial" w:cs="Arial"/>
        </w:rPr>
        <w:t xml:space="preserve">.1 The </w:t>
      </w:r>
      <w:r w:rsidR="00A0737B" w:rsidRPr="00A0737B">
        <w:rPr>
          <w:rFonts w:ascii="Arial" w:hAnsi="Arial" w:cs="Arial"/>
        </w:rPr>
        <w:t>essence</w:t>
      </w:r>
      <w:r w:rsidR="00A0737B">
        <w:rPr>
          <w:rFonts w:ascii="Arial" w:hAnsi="Arial" w:cs="Arial"/>
        </w:rPr>
        <w:t xml:space="preserve"> of the Competition Act</w:t>
      </w:r>
      <w:r w:rsidR="00A0737B">
        <w:rPr>
          <w:rStyle w:val="Funotenzeichen"/>
          <w:rFonts w:ascii="Arial" w:hAnsi="Arial" w:cs="Arial"/>
        </w:rPr>
        <w:footnoteReference w:id="517"/>
      </w:r>
    </w:p>
    <w:p w:rsidR="00173ACB" w:rsidRDefault="00173ACB" w:rsidP="00BC1820">
      <w:pPr>
        <w:contextualSpacing/>
        <w:jc w:val="both"/>
        <w:rPr>
          <w:rFonts w:ascii="Arial" w:hAnsi="Arial" w:cs="Arial"/>
        </w:rPr>
      </w:pPr>
    </w:p>
    <w:p w:rsidR="00691688" w:rsidRPr="007F12FA" w:rsidRDefault="003341ED" w:rsidP="00BC1820">
      <w:pPr>
        <w:contextualSpacing/>
        <w:jc w:val="both"/>
        <w:rPr>
          <w:rFonts w:ascii="Arial" w:hAnsi="Arial" w:cs="Arial"/>
        </w:rPr>
      </w:pPr>
      <w:r w:rsidRPr="007F12FA">
        <w:rPr>
          <w:rFonts w:ascii="Arial" w:hAnsi="Arial" w:cs="Arial"/>
        </w:rPr>
        <w:t>As mentioned earlier the purpose of the Competition Act</w:t>
      </w:r>
      <w:r w:rsidR="002D032A" w:rsidRPr="007F12FA">
        <w:rPr>
          <w:rStyle w:val="Funotenzeichen"/>
          <w:rFonts w:ascii="Arial" w:hAnsi="Arial" w:cs="Arial"/>
        </w:rPr>
        <w:footnoteReference w:id="518"/>
      </w:r>
      <w:r w:rsidRPr="007F12FA">
        <w:rPr>
          <w:rFonts w:ascii="Arial" w:hAnsi="Arial" w:cs="Arial"/>
        </w:rPr>
        <w:t xml:space="preserve"> is to promote and maintain competition in the Republic of South Africa </w:t>
      </w:r>
      <w:r w:rsidR="002D032A" w:rsidRPr="007F12FA">
        <w:rPr>
          <w:rFonts w:ascii="Arial" w:hAnsi="Arial" w:cs="Arial"/>
        </w:rPr>
        <w:t>with</w:t>
      </w:r>
      <w:r w:rsidRPr="007F12FA">
        <w:rPr>
          <w:rFonts w:ascii="Arial" w:hAnsi="Arial" w:cs="Arial"/>
        </w:rPr>
        <w:t xml:space="preserve"> economic efficiency and therefore consumer welfare </w:t>
      </w:r>
      <w:r w:rsidR="002D032A" w:rsidRPr="007F12FA">
        <w:rPr>
          <w:rFonts w:ascii="Arial" w:hAnsi="Arial" w:cs="Arial"/>
        </w:rPr>
        <w:t>being</w:t>
      </w:r>
      <w:r w:rsidRPr="007F12FA">
        <w:rPr>
          <w:rFonts w:ascii="Arial" w:hAnsi="Arial" w:cs="Arial"/>
        </w:rPr>
        <w:t xml:space="preserve"> the overruling principle</w:t>
      </w:r>
      <w:r w:rsidR="00A74FDA" w:rsidRPr="007F12FA">
        <w:rPr>
          <w:rFonts w:ascii="Arial" w:hAnsi="Arial" w:cs="Arial"/>
        </w:rPr>
        <w:t>s</w:t>
      </w:r>
      <w:r w:rsidRPr="007F12FA">
        <w:rPr>
          <w:rFonts w:ascii="Arial" w:hAnsi="Arial" w:cs="Arial"/>
        </w:rPr>
        <w:t xml:space="preserve"> for the application of the competition Act.</w:t>
      </w:r>
      <w:r w:rsidRPr="007F12FA">
        <w:rPr>
          <w:rStyle w:val="Funotenzeichen"/>
          <w:rFonts w:ascii="Arial" w:hAnsi="Arial" w:cs="Arial"/>
        </w:rPr>
        <w:footnoteReference w:id="519"/>
      </w:r>
      <w:r w:rsidR="00BC1820" w:rsidRPr="007F12FA">
        <w:rPr>
          <w:rFonts w:ascii="Arial" w:hAnsi="Arial" w:cs="Arial"/>
        </w:rPr>
        <w:t xml:space="preserve"> </w:t>
      </w:r>
    </w:p>
    <w:p w:rsidR="00691688" w:rsidRPr="007F12FA" w:rsidRDefault="00691688" w:rsidP="00BC1820">
      <w:pPr>
        <w:contextualSpacing/>
        <w:jc w:val="both"/>
        <w:rPr>
          <w:rFonts w:ascii="Arial" w:hAnsi="Arial" w:cs="Arial"/>
        </w:rPr>
      </w:pPr>
    </w:p>
    <w:p w:rsidR="00BC1820" w:rsidRPr="007F12FA" w:rsidRDefault="00BC1820" w:rsidP="00BC1820">
      <w:pPr>
        <w:contextualSpacing/>
        <w:jc w:val="both"/>
        <w:rPr>
          <w:rFonts w:ascii="Arial" w:hAnsi="Arial" w:cs="Arial"/>
        </w:rPr>
      </w:pPr>
      <w:r w:rsidRPr="007F12FA">
        <w:rPr>
          <w:rFonts w:ascii="Arial" w:hAnsi="Arial" w:cs="Arial"/>
        </w:rPr>
        <w:t>Competition is important because it is the regulatory force ensuring the efficient functioning of the market system</w:t>
      </w:r>
      <w:r w:rsidR="00691688" w:rsidRPr="007F12FA">
        <w:rPr>
          <w:rFonts w:ascii="Arial" w:hAnsi="Arial" w:cs="Arial"/>
        </w:rPr>
        <w:t>.</w:t>
      </w:r>
      <w:r w:rsidR="00691688" w:rsidRPr="007F12FA">
        <w:rPr>
          <w:rStyle w:val="Funotenzeichen"/>
          <w:rFonts w:ascii="Arial" w:hAnsi="Arial" w:cs="Arial"/>
        </w:rPr>
        <w:footnoteReference w:id="520"/>
      </w:r>
      <w:r w:rsidR="00691688" w:rsidRPr="007F12FA">
        <w:rPr>
          <w:rFonts w:ascii="Arial" w:hAnsi="Arial" w:cs="Arial"/>
        </w:rPr>
        <w:t xml:space="preserve"> The reason for this is </w:t>
      </w:r>
      <w:r w:rsidR="00A74FDA" w:rsidRPr="007F12FA">
        <w:rPr>
          <w:rFonts w:ascii="Arial" w:hAnsi="Arial" w:cs="Arial"/>
        </w:rPr>
        <w:t>that</w:t>
      </w:r>
      <w:r w:rsidR="00691688" w:rsidRPr="007F12FA">
        <w:rPr>
          <w:rFonts w:ascii="Arial" w:hAnsi="Arial" w:cs="Arial"/>
        </w:rPr>
        <w:t xml:space="preserve"> competition prohibits firms from asking more than the market price for any specific good or service.</w:t>
      </w:r>
      <w:r w:rsidR="00691688" w:rsidRPr="007F12FA">
        <w:rPr>
          <w:rStyle w:val="Funotenzeichen"/>
          <w:rFonts w:ascii="Arial" w:hAnsi="Arial" w:cs="Arial"/>
        </w:rPr>
        <w:footnoteReference w:id="521"/>
      </w:r>
      <w:r w:rsidR="00173ACB">
        <w:rPr>
          <w:rFonts w:ascii="Arial" w:hAnsi="Arial" w:cs="Arial"/>
        </w:rPr>
        <w:t xml:space="preserve"> </w:t>
      </w:r>
      <w:r w:rsidRPr="007F12FA">
        <w:rPr>
          <w:rFonts w:ascii="Arial" w:hAnsi="Arial" w:cs="Arial"/>
        </w:rPr>
        <w:t>Accordingly, the competition</w:t>
      </w:r>
      <w:r w:rsidR="00691688" w:rsidRPr="007F12FA">
        <w:rPr>
          <w:rFonts w:ascii="Arial" w:hAnsi="Arial" w:cs="Arial"/>
        </w:rPr>
        <w:t xml:space="preserve"> process </w:t>
      </w:r>
      <w:r w:rsidRPr="007F12FA">
        <w:rPr>
          <w:rFonts w:ascii="Arial" w:hAnsi="Arial" w:cs="Arial"/>
        </w:rPr>
        <w:t xml:space="preserve">ensures that firms need to maximise their efficiency if they want to </w:t>
      </w:r>
      <w:r w:rsidR="00691688" w:rsidRPr="007F12FA">
        <w:rPr>
          <w:rFonts w:ascii="Arial" w:hAnsi="Arial" w:cs="Arial"/>
        </w:rPr>
        <w:t>supply</w:t>
      </w:r>
      <w:r w:rsidRPr="007F12FA">
        <w:rPr>
          <w:rFonts w:ascii="Arial" w:hAnsi="Arial" w:cs="Arial"/>
        </w:rPr>
        <w:t xml:space="preserve"> their products at the market price.</w:t>
      </w:r>
      <w:r w:rsidRPr="007F12FA">
        <w:rPr>
          <w:rStyle w:val="Funotenzeichen"/>
          <w:rFonts w:ascii="Arial" w:hAnsi="Arial" w:cs="Arial"/>
        </w:rPr>
        <w:footnoteReference w:id="522"/>
      </w:r>
      <w:r w:rsidRPr="007F12FA">
        <w:rPr>
          <w:rFonts w:ascii="Arial" w:hAnsi="Arial" w:cs="Arial"/>
        </w:rPr>
        <w:t xml:space="preserve"> If not, they face losing sales (profits) to other more efficient firms</w:t>
      </w:r>
      <w:r w:rsidR="00330CE5" w:rsidRPr="007F12FA">
        <w:rPr>
          <w:rFonts w:ascii="Arial" w:hAnsi="Arial" w:cs="Arial"/>
        </w:rPr>
        <w:t xml:space="preserve"> and </w:t>
      </w:r>
      <w:r w:rsidR="00173ACB" w:rsidRPr="007F12FA">
        <w:rPr>
          <w:rFonts w:ascii="Arial" w:hAnsi="Arial" w:cs="Arial"/>
        </w:rPr>
        <w:t>hence</w:t>
      </w:r>
      <w:r w:rsidR="00330CE5" w:rsidRPr="007F12FA">
        <w:rPr>
          <w:rFonts w:ascii="Arial" w:hAnsi="Arial" w:cs="Arial"/>
        </w:rPr>
        <w:t xml:space="preserve"> exit </w:t>
      </w:r>
      <w:r w:rsidR="00FF12C9" w:rsidRPr="007F12FA">
        <w:rPr>
          <w:rFonts w:ascii="Arial" w:hAnsi="Arial" w:cs="Arial"/>
        </w:rPr>
        <w:t xml:space="preserve">from </w:t>
      </w:r>
      <w:r w:rsidR="00330CE5" w:rsidRPr="007F12FA">
        <w:rPr>
          <w:rFonts w:ascii="Arial" w:hAnsi="Arial" w:cs="Arial"/>
        </w:rPr>
        <w:t>the market</w:t>
      </w:r>
      <w:r w:rsidRPr="007F12FA">
        <w:rPr>
          <w:rFonts w:ascii="Arial" w:hAnsi="Arial" w:cs="Arial"/>
        </w:rPr>
        <w:t>.</w:t>
      </w:r>
      <w:r w:rsidRPr="007F12FA">
        <w:rPr>
          <w:rStyle w:val="Funotenzeichen"/>
          <w:rFonts w:ascii="Arial" w:hAnsi="Arial" w:cs="Arial"/>
        </w:rPr>
        <w:footnoteReference w:id="523"/>
      </w:r>
      <w:r w:rsidRPr="007F12FA">
        <w:rPr>
          <w:rFonts w:ascii="Arial" w:hAnsi="Arial" w:cs="Arial"/>
        </w:rPr>
        <w:t xml:space="preserve"> </w:t>
      </w:r>
      <w:r w:rsidR="00246CA3" w:rsidRPr="007F12FA">
        <w:rPr>
          <w:rFonts w:ascii="Arial" w:hAnsi="Arial" w:cs="Arial"/>
        </w:rPr>
        <w:t xml:space="preserve">The </w:t>
      </w:r>
      <w:r w:rsidRPr="007F12FA">
        <w:rPr>
          <w:rFonts w:ascii="Arial" w:hAnsi="Arial" w:cs="Arial"/>
        </w:rPr>
        <w:t xml:space="preserve">Competition </w:t>
      </w:r>
      <w:r w:rsidR="00330CE5" w:rsidRPr="007F12FA">
        <w:rPr>
          <w:rFonts w:ascii="Arial" w:hAnsi="Arial" w:cs="Arial"/>
        </w:rPr>
        <w:t xml:space="preserve">process </w:t>
      </w:r>
      <w:r w:rsidR="00246CA3" w:rsidRPr="007F12FA">
        <w:rPr>
          <w:rFonts w:ascii="Arial" w:hAnsi="Arial" w:cs="Arial"/>
        </w:rPr>
        <w:t>thus</w:t>
      </w:r>
      <w:r w:rsidRPr="007F12FA">
        <w:rPr>
          <w:rFonts w:ascii="Arial" w:hAnsi="Arial" w:cs="Arial"/>
        </w:rPr>
        <w:t xml:space="preserve"> ensures that the market system guides the use of the economic resources in such a way that the socially efficient quantity is produced at the socially efficient price i.e. that market the equilibrium is achieved.</w:t>
      </w:r>
      <w:r w:rsidRPr="007F12FA">
        <w:rPr>
          <w:rStyle w:val="Funotenzeichen"/>
          <w:rFonts w:ascii="Arial" w:hAnsi="Arial" w:cs="Arial"/>
        </w:rPr>
        <w:footnoteReference w:id="524"/>
      </w:r>
    </w:p>
    <w:p w:rsidR="001F0C3C" w:rsidRPr="007F12FA" w:rsidRDefault="001F0C3C" w:rsidP="00CD0E7D">
      <w:pPr>
        <w:contextualSpacing/>
        <w:jc w:val="both"/>
        <w:rPr>
          <w:rFonts w:ascii="Arial" w:hAnsi="Arial" w:cs="Arial"/>
        </w:rPr>
      </w:pPr>
    </w:p>
    <w:p w:rsidR="00A34915" w:rsidRDefault="00FD2C07" w:rsidP="00FD2C07">
      <w:pPr>
        <w:contextualSpacing/>
        <w:jc w:val="both"/>
        <w:rPr>
          <w:rFonts w:ascii="Arial" w:hAnsi="Arial" w:cs="Arial"/>
        </w:rPr>
      </w:pPr>
      <w:r w:rsidRPr="007F12FA">
        <w:rPr>
          <w:rFonts w:ascii="Arial" w:hAnsi="Arial" w:cs="Arial"/>
        </w:rPr>
        <w:t xml:space="preserve">Competition </w:t>
      </w:r>
      <w:r w:rsidR="009A5F2C" w:rsidRPr="007F12FA">
        <w:rPr>
          <w:rFonts w:ascii="Arial" w:hAnsi="Arial" w:cs="Arial"/>
        </w:rPr>
        <w:t>requires</w:t>
      </w:r>
      <w:r w:rsidRPr="007F12FA">
        <w:rPr>
          <w:rFonts w:ascii="Arial" w:hAnsi="Arial" w:cs="Arial"/>
        </w:rPr>
        <w:t xml:space="preserve"> the free</w:t>
      </w:r>
      <w:r w:rsidR="00C67C33">
        <w:rPr>
          <w:rFonts w:ascii="Arial" w:hAnsi="Arial" w:cs="Arial"/>
        </w:rPr>
        <w:t>dom of enterprise</w:t>
      </w:r>
      <w:r w:rsidR="00A34915">
        <w:rPr>
          <w:rFonts w:ascii="Arial" w:hAnsi="Arial" w:cs="Arial"/>
        </w:rPr>
        <w:t>,</w:t>
      </w:r>
      <w:r w:rsidR="00C67C33">
        <w:rPr>
          <w:rFonts w:ascii="Arial" w:hAnsi="Arial" w:cs="Arial"/>
        </w:rPr>
        <w:t xml:space="preserve"> which entails </w:t>
      </w:r>
      <w:r w:rsidRPr="007F12FA">
        <w:rPr>
          <w:rFonts w:ascii="Arial" w:hAnsi="Arial" w:cs="Arial"/>
        </w:rPr>
        <w:t>that firms are free to obtain and use economic resources to produce that combination of goods and/or services that they wish and lastly to sell their products in any market they choose.</w:t>
      </w:r>
      <w:r w:rsidRPr="007F12FA">
        <w:rPr>
          <w:rStyle w:val="Funotenzeichen"/>
          <w:rFonts w:ascii="Arial" w:hAnsi="Arial" w:cs="Arial"/>
        </w:rPr>
        <w:footnoteReference w:id="525"/>
      </w:r>
      <w:r w:rsidRPr="007F12FA">
        <w:rPr>
          <w:rFonts w:ascii="Arial" w:hAnsi="Arial" w:cs="Arial"/>
        </w:rPr>
        <w:t xml:space="preserve"> </w:t>
      </w:r>
    </w:p>
    <w:p w:rsidR="00A34915" w:rsidRDefault="00A34915" w:rsidP="00FD2C07">
      <w:pPr>
        <w:contextualSpacing/>
        <w:jc w:val="both"/>
        <w:rPr>
          <w:rFonts w:ascii="Arial" w:hAnsi="Arial" w:cs="Arial"/>
        </w:rPr>
      </w:pPr>
    </w:p>
    <w:p w:rsidR="00FF12C9" w:rsidRPr="007F12FA" w:rsidRDefault="00A34915" w:rsidP="00FD2C07">
      <w:pPr>
        <w:contextualSpacing/>
        <w:jc w:val="both"/>
        <w:rPr>
          <w:rFonts w:ascii="Arial" w:hAnsi="Arial" w:cs="Arial"/>
        </w:rPr>
      </w:pPr>
      <w:r>
        <w:rPr>
          <w:rFonts w:ascii="Arial" w:hAnsi="Arial" w:cs="Arial"/>
        </w:rPr>
        <w:t>C</w:t>
      </w:r>
      <w:r w:rsidR="00FD2C07" w:rsidRPr="007F12FA">
        <w:rPr>
          <w:rFonts w:ascii="Arial" w:hAnsi="Arial" w:cs="Arial"/>
        </w:rPr>
        <w:t xml:space="preserve">ompetition </w:t>
      </w:r>
      <w:r>
        <w:rPr>
          <w:rFonts w:ascii="Arial" w:hAnsi="Arial" w:cs="Arial"/>
        </w:rPr>
        <w:t xml:space="preserve">also </w:t>
      </w:r>
      <w:r w:rsidR="00FD2C07" w:rsidRPr="007F12FA">
        <w:rPr>
          <w:rFonts w:ascii="Arial" w:hAnsi="Arial" w:cs="Arial"/>
        </w:rPr>
        <w:t>requires the freedom of choice which entails that the owners of property are free to obtain, use and dispose of their property and money as they choose.</w:t>
      </w:r>
      <w:r w:rsidR="00FD2C07" w:rsidRPr="007F12FA">
        <w:rPr>
          <w:rStyle w:val="Funotenzeichen"/>
          <w:rFonts w:ascii="Arial" w:hAnsi="Arial" w:cs="Arial"/>
        </w:rPr>
        <w:footnoteReference w:id="526"/>
      </w:r>
      <w:r w:rsidR="00FD2C07" w:rsidRPr="007F12FA">
        <w:rPr>
          <w:rFonts w:ascii="Arial" w:hAnsi="Arial" w:cs="Arial"/>
        </w:rPr>
        <w:t xml:space="preserve"> It also entails that consumers are free to buy, within their budget constraints, that combination of goods and services from which they derive the most satisfaction (utility).</w:t>
      </w:r>
      <w:r w:rsidR="00FD2C07" w:rsidRPr="007F12FA">
        <w:rPr>
          <w:rStyle w:val="Funotenzeichen"/>
          <w:rFonts w:ascii="Arial" w:hAnsi="Arial" w:cs="Arial"/>
        </w:rPr>
        <w:footnoteReference w:id="527"/>
      </w:r>
      <w:r w:rsidR="00FD2C07" w:rsidRPr="007F12FA">
        <w:rPr>
          <w:rFonts w:ascii="Arial" w:hAnsi="Arial" w:cs="Arial"/>
        </w:rPr>
        <w:t xml:space="preserve"> Lastly, competition requires that firms (sellers) and individuals (consumers of buyers) exercise these aforementioned freedoms in the realization of their self interests.</w:t>
      </w:r>
      <w:r w:rsidR="00FD2C07" w:rsidRPr="007F12FA">
        <w:rPr>
          <w:rStyle w:val="Funotenzeichen"/>
          <w:rFonts w:ascii="Arial" w:hAnsi="Arial" w:cs="Arial"/>
        </w:rPr>
        <w:footnoteReference w:id="528"/>
      </w:r>
    </w:p>
    <w:p w:rsidR="00FF12C9" w:rsidRPr="007F12FA" w:rsidRDefault="00FF12C9" w:rsidP="00FD2C07">
      <w:pPr>
        <w:contextualSpacing/>
        <w:jc w:val="both"/>
        <w:rPr>
          <w:rFonts w:ascii="Arial" w:hAnsi="Arial" w:cs="Arial"/>
        </w:rPr>
      </w:pPr>
    </w:p>
    <w:p w:rsidR="00A34915" w:rsidRDefault="008C27C6" w:rsidP="00F6373E">
      <w:pPr>
        <w:jc w:val="both"/>
        <w:rPr>
          <w:rFonts w:ascii="Arial" w:hAnsi="Arial" w:cs="Arial"/>
        </w:rPr>
      </w:pPr>
      <w:r w:rsidRPr="007F12FA">
        <w:rPr>
          <w:rFonts w:ascii="Arial" w:hAnsi="Arial" w:cs="Arial"/>
        </w:rPr>
        <w:t>Broadly speaking, competition thus requires that sellers and buyers are free to enter and exit any market they wish in their effort to satisfy their self interest</w:t>
      </w:r>
      <w:r w:rsidR="00B55ABE" w:rsidRPr="007F12FA">
        <w:rPr>
          <w:rFonts w:ascii="Arial" w:hAnsi="Arial" w:cs="Arial"/>
        </w:rPr>
        <w:t>.</w:t>
      </w:r>
      <w:r w:rsidR="00B55ABE" w:rsidRPr="007F12FA">
        <w:rPr>
          <w:rStyle w:val="Funotenzeichen"/>
          <w:rFonts w:ascii="Arial" w:hAnsi="Arial" w:cs="Arial"/>
        </w:rPr>
        <w:footnoteReference w:id="529"/>
      </w:r>
      <w:r w:rsidR="00A23484" w:rsidRPr="007F12FA">
        <w:rPr>
          <w:rFonts w:ascii="Arial" w:hAnsi="Arial" w:cs="Arial"/>
        </w:rPr>
        <w:t xml:space="preserve"> </w:t>
      </w:r>
      <w:r w:rsidR="00DC6628" w:rsidRPr="007F12FA">
        <w:rPr>
          <w:rFonts w:ascii="Arial" w:hAnsi="Arial" w:cs="Arial"/>
        </w:rPr>
        <w:t xml:space="preserve">The result hereof is the creation of competition between the various sellers and buyers and </w:t>
      </w:r>
      <w:r w:rsidR="00F6373E" w:rsidRPr="007F12FA">
        <w:rPr>
          <w:rFonts w:ascii="Arial" w:hAnsi="Arial" w:cs="Arial"/>
        </w:rPr>
        <w:t>as a result</w:t>
      </w:r>
      <w:r w:rsidR="00DC6628" w:rsidRPr="007F12FA">
        <w:rPr>
          <w:rFonts w:ascii="Arial" w:hAnsi="Arial" w:cs="Arial"/>
        </w:rPr>
        <w:t xml:space="preserve"> the market power of the individual buyers and sellers </w:t>
      </w:r>
      <w:r w:rsidR="00F6373E" w:rsidRPr="007F12FA">
        <w:rPr>
          <w:rFonts w:ascii="Arial" w:hAnsi="Arial" w:cs="Arial"/>
        </w:rPr>
        <w:t>in a given market is</w:t>
      </w:r>
      <w:r w:rsidR="00DC6628" w:rsidRPr="007F12FA">
        <w:rPr>
          <w:rFonts w:ascii="Arial" w:hAnsi="Arial" w:cs="Arial"/>
        </w:rPr>
        <w:t xml:space="preserve"> </w:t>
      </w:r>
      <w:r w:rsidR="00BC54C3" w:rsidRPr="007F12FA">
        <w:rPr>
          <w:rFonts w:ascii="Arial" w:hAnsi="Arial" w:cs="Arial"/>
        </w:rPr>
        <w:t>diminished</w:t>
      </w:r>
      <w:r w:rsidR="00DC6628" w:rsidRPr="007F12FA">
        <w:rPr>
          <w:rFonts w:ascii="Arial" w:hAnsi="Arial" w:cs="Arial"/>
        </w:rPr>
        <w:t>.</w:t>
      </w:r>
      <w:r w:rsidR="00DC6628" w:rsidRPr="007F12FA">
        <w:rPr>
          <w:rStyle w:val="Funotenzeichen"/>
          <w:rFonts w:ascii="Arial" w:hAnsi="Arial" w:cs="Arial"/>
        </w:rPr>
        <w:footnoteReference w:id="530"/>
      </w:r>
      <w:r w:rsidR="00DC6628" w:rsidRPr="007F12FA">
        <w:rPr>
          <w:rFonts w:ascii="Arial" w:hAnsi="Arial" w:cs="Arial"/>
        </w:rPr>
        <w:t xml:space="preserve"> </w:t>
      </w:r>
    </w:p>
    <w:p w:rsidR="000B050A" w:rsidRDefault="000B050A" w:rsidP="00F6373E">
      <w:pPr>
        <w:jc w:val="both"/>
        <w:rPr>
          <w:rFonts w:ascii="Arial" w:hAnsi="Arial" w:cs="Arial"/>
        </w:rPr>
      </w:pPr>
    </w:p>
    <w:p w:rsidR="00F6373E" w:rsidRPr="007F12FA" w:rsidRDefault="00F6373E" w:rsidP="00F6373E">
      <w:pPr>
        <w:jc w:val="both"/>
        <w:rPr>
          <w:rFonts w:ascii="Arial" w:hAnsi="Arial" w:cs="Arial"/>
        </w:rPr>
      </w:pPr>
      <w:r w:rsidRPr="007F12FA">
        <w:rPr>
          <w:rFonts w:ascii="Arial" w:hAnsi="Arial" w:cs="Arial"/>
        </w:rPr>
        <w:t xml:space="preserve">Competition </w:t>
      </w:r>
      <w:r w:rsidR="007C3700" w:rsidRPr="007F12FA">
        <w:rPr>
          <w:rFonts w:ascii="Arial" w:hAnsi="Arial" w:cs="Arial"/>
        </w:rPr>
        <w:t>therefore</w:t>
      </w:r>
      <w:r w:rsidRPr="007F12FA">
        <w:rPr>
          <w:rFonts w:ascii="Arial" w:hAnsi="Arial" w:cs="Arial"/>
        </w:rPr>
        <w:t xml:space="preserve"> reduces market power and market power</w:t>
      </w:r>
      <w:r w:rsidR="004D3F5B">
        <w:rPr>
          <w:rFonts w:ascii="Arial" w:hAnsi="Arial" w:cs="Arial"/>
        </w:rPr>
        <w:t xml:space="preserve"> is defined by the Competition Act</w:t>
      </w:r>
      <w:r w:rsidR="004D3F5B">
        <w:rPr>
          <w:rStyle w:val="Funotenzeichen"/>
          <w:rFonts w:ascii="Arial" w:hAnsi="Arial" w:cs="Arial"/>
        </w:rPr>
        <w:footnoteReference w:id="531"/>
      </w:r>
      <w:r w:rsidR="004D3F5B">
        <w:rPr>
          <w:rFonts w:ascii="Arial" w:hAnsi="Arial" w:cs="Arial"/>
        </w:rPr>
        <w:t xml:space="preserve"> </w:t>
      </w:r>
      <w:r w:rsidRPr="007F12FA">
        <w:rPr>
          <w:rFonts w:ascii="Arial" w:hAnsi="Arial" w:cs="Arial"/>
        </w:rPr>
        <w:t xml:space="preserve">as the ability of firms to </w:t>
      </w:r>
    </w:p>
    <w:p w:rsidR="00F6373E" w:rsidRPr="007F12FA" w:rsidRDefault="00F6373E" w:rsidP="00F6373E">
      <w:pPr>
        <w:jc w:val="both"/>
        <w:rPr>
          <w:rFonts w:ascii="Arial" w:hAnsi="Arial" w:cs="Arial"/>
        </w:rPr>
      </w:pPr>
      <w:r w:rsidRPr="007F12FA">
        <w:rPr>
          <w:rFonts w:ascii="Arial" w:hAnsi="Arial" w:cs="Arial"/>
        </w:rPr>
        <w:tab/>
        <w:t>a) “Control prices.</w:t>
      </w:r>
    </w:p>
    <w:p w:rsidR="00F6373E" w:rsidRPr="007F12FA" w:rsidRDefault="00F6373E" w:rsidP="00F6373E">
      <w:pPr>
        <w:jc w:val="both"/>
        <w:rPr>
          <w:rFonts w:ascii="Arial" w:hAnsi="Arial" w:cs="Arial"/>
        </w:rPr>
      </w:pPr>
      <w:r w:rsidRPr="007F12FA">
        <w:rPr>
          <w:rFonts w:ascii="Arial" w:hAnsi="Arial" w:cs="Arial"/>
        </w:rPr>
        <w:tab/>
        <w:t xml:space="preserve">b) Exclude competition. </w:t>
      </w:r>
    </w:p>
    <w:p w:rsidR="00F6373E" w:rsidRPr="007F12FA" w:rsidRDefault="00F6373E" w:rsidP="00F6373E">
      <w:pPr>
        <w:jc w:val="both"/>
        <w:rPr>
          <w:rFonts w:ascii="Arial" w:hAnsi="Arial" w:cs="Arial"/>
        </w:rPr>
      </w:pPr>
      <w:r w:rsidRPr="007F12FA">
        <w:rPr>
          <w:rFonts w:ascii="Arial" w:hAnsi="Arial" w:cs="Arial"/>
        </w:rPr>
        <w:tab/>
        <w:t>c) Behave to an appreciable extent independently from compet</w:t>
      </w:r>
      <w:r w:rsidR="00F025B8">
        <w:rPr>
          <w:rFonts w:ascii="Arial" w:hAnsi="Arial" w:cs="Arial"/>
        </w:rPr>
        <w:t xml:space="preserve">itors, </w:t>
      </w:r>
      <w:r w:rsidR="00F025B8">
        <w:rPr>
          <w:rFonts w:ascii="Arial" w:hAnsi="Arial" w:cs="Arial"/>
        </w:rPr>
        <w:tab/>
      </w:r>
      <w:r w:rsidR="00F025B8">
        <w:rPr>
          <w:rFonts w:ascii="Arial" w:hAnsi="Arial" w:cs="Arial"/>
        </w:rPr>
        <w:tab/>
      </w:r>
      <w:r w:rsidRPr="007F12FA">
        <w:rPr>
          <w:rFonts w:ascii="Arial" w:hAnsi="Arial" w:cs="Arial"/>
        </w:rPr>
        <w:t>suppliers and customers.”</w:t>
      </w:r>
      <w:r w:rsidRPr="007F12FA">
        <w:rPr>
          <w:rStyle w:val="Funotenzeichen"/>
          <w:rFonts w:ascii="Arial" w:hAnsi="Arial" w:cs="Arial"/>
        </w:rPr>
        <w:footnoteReference w:id="532"/>
      </w:r>
    </w:p>
    <w:p w:rsidR="00317947" w:rsidRPr="007F12FA" w:rsidRDefault="00424034" w:rsidP="00424034">
      <w:pPr>
        <w:contextualSpacing/>
        <w:jc w:val="both"/>
        <w:rPr>
          <w:rFonts w:ascii="Arial" w:hAnsi="Arial" w:cs="Arial"/>
        </w:rPr>
      </w:pPr>
      <w:r w:rsidRPr="007F12FA">
        <w:rPr>
          <w:rFonts w:ascii="Arial" w:hAnsi="Arial" w:cs="Arial"/>
        </w:rPr>
        <w:t xml:space="preserve">From this </w:t>
      </w:r>
      <w:r w:rsidR="00A34915" w:rsidRPr="007F12FA">
        <w:rPr>
          <w:rFonts w:ascii="Arial" w:hAnsi="Arial" w:cs="Arial"/>
        </w:rPr>
        <w:t>definition,</w:t>
      </w:r>
      <w:r w:rsidRPr="007F12FA">
        <w:rPr>
          <w:rFonts w:ascii="Arial" w:hAnsi="Arial" w:cs="Arial"/>
        </w:rPr>
        <w:t xml:space="preserve"> it is clear that market power is the ability of firms to influence the market price and </w:t>
      </w:r>
      <w:r w:rsidR="00A34915">
        <w:rPr>
          <w:rFonts w:ascii="Arial" w:hAnsi="Arial" w:cs="Arial"/>
        </w:rPr>
        <w:t xml:space="preserve">thus </w:t>
      </w:r>
      <w:r w:rsidR="0004726A" w:rsidRPr="007F12FA">
        <w:rPr>
          <w:rFonts w:ascii="Arial" w:hAnsi="Arial" w:cs="Arial"/>
        </w:rPr>
        <w:t xml:space="preserve">also </w:t>
      </w:r>
      <w:r w:rsidRPr="007F12FA">
        <w:rPr>
          <w:rFonts w:ascii="Arial" w:hAnsi="Arial" w:cs="Arial"/>
        </w:rPr>
        <w:t>the market forces</w:t>
      </w:r>
      <w:r w:rsidR="000B050A">
        <w:rPr>
          <w:rFonts w:ascii="Arial" w:hAnsi="Arial" w:cs="Arial"/>
        </w:rPr>
        <w:t xml:space="preserve"> i.e. market power is the ability to direct the economic activity within a market</w:t>
      </w:r>
      <w:r w:rsidR="00BC33FA" w:rsidRPr="007F12FA">
        <w:rPr>
          <w:rFonts w:ascii="Arial" w:hAnsi="Arial" w:cs="Arial"/>
        </w:rPr>
        <w:t>.</w:t>
      </w:r>
      <w:r w:rsidR="007C3700">
        <w:rPr>
          <w:rStyle w:val="Funotenzeichen"/>
          <w:rFonts w:ascii="Arial" w:hAnsi="Arial" w:cs="Arial"/>
        </w:rPr>
        <w:footnoteReference w:id="533"/>
      </w:r>
      <w:r w:rsidR="00BC33FA" w:rsidRPr="007F12FA">
        <w:rPr>
          <w:rFonts w:ascii="Arial" w:hAnsi="Arial" w:cs="Arial"/>
        </w:rPr>
        <w:t xml:space="preserve"> Consequently, the abuse of market power</w:t>
      </w:r>
      <w:r w:rsidR="000B050A">
        <w:rPr>
          <w:rFonts w:ascii="Arial" w:hAnsi="Arial" w:cs="Arial"/>
        </w:rPr>
        <w:t>,</w:t>
      </w:r>
      <w:r w:rsidR="00BC33FA" w:rsidRPr="007F12FA">
        <w:rPr>
          <w:rFonts w:ascii="Arial" w:hAnsi="Arial" w:cs="Arial"/>
        </w:rPr>
        <w:t xml:space="preserve"> in a</w:t>
      </w:r>
      <w:r w:rsidR="00AA7FF3" w:rsidRPr="007F12FA">
        <w:rPr>
          <w:rFonts w:ascii="Arial" w:hAnsi="Arial" w:cs="Arial"/>
        </w:rPr>
        <w:t>ny</w:t>
      </w:r>
      <w:r w:rsidR="00BC33FA" w:rsidRPr="007F12FA">
        <w:rPr>
          <w:rFonts w:ascii="Arial" w:hAnsi="Arial" w:cs="Arial"/>
        </w:rPr>
        <w:t xml:space="preserve"> given market</w:t>
      </w:r>
      <w:r w:rsidR="000B050A">
        <w:rPr>
          <w:rFonts w:ascii="Arial" w:hAnsi="Arial" w:cs="Arial"/>
        </w:rPr>
        <w:t>,</w:t>
      </w:r>
      <w:r w:rsidR="00BC33FA" w:rsidRPr="007F12FA">
        <w:rPr>
          <w:rFonts w:ascii="Arial" w:hAnsi="Arial" w:cs="Arial"/>
        </w:rPr>
        <w:t xml:space="preserve"> is held to decrease the competition in that market and subsequently </w:t>
      </w:r>
      <w:r w:rsidR="00EC46FF">
        <w:rPr>
          <w:rFonts w:ascii="Arial" w:hAnsi="Arial" w:cs="Arial"/>
        </w:rPr>
        <w:t xml:space="preserve">the abuse of </w:t>
      </w:r>
      <w:r w:rsidR="00BC33FA" w:rsidRPr="007F12FA">
        <w:rPr>
          <w:rFonts w:ascii="Arial" w:hAnsi="Arial" w:cs="Arial"/>
        </w:rPr>
        <w:t xml:space="preserve">market </w:t>
      </w:r>
      <w:r w:rsidR="00E93DEB" w:rsidRPr="007F12FA">
        <w:rPr>
          <w:rFonts w:ascii="Arial" w:hAnsi="Arial" w:cs="Arial"/>
        </w:rPr>
        <w:t>power</w:t>
      </w:r>
      <w:r w:rsidR="00BC33FA" w:rsidRPr="007F12FA">
        <w:rPr>
          <w:rFonts w:ascii="Arial" w:hAnsi="Arial" w:cs="Arial"/>
        </w:rPr>
        <w:t xml:space="preserve"> </w:t>
      </w:r>
      <w:r w:rsidR="009E3211" w:rsidRPr="007F12FA">
        <w:rPr>
          <w:rFonts w:ascii="Arial" w:hAnsi="Arial" w:cs="Arial"/>
        </w:rPr>
        <w:t xml:space="preserve">has the effect of </w:t>
      </w:r>
      <w:r w:rsidR="00BC33FA" w:rsidRPr="007F12FA">
        <w:rPr>
          <w:rFonts w:ascii="Arial" w:hAnsi="Arial" w:cs="Arial"/>
        </w:rPr>
        <w:t>decreas</w:t>
      </w:r>
      <w:r w:rsidR="009E3211" w:rsidRPr="007F12FA">
        <w:rPr>
          <w:rFonts w:ascii="Arial" w:hAnsi="Arial" w:cs="Arial"/>
        </w:rPr>
        <w:t>ing</w:t>
      </w:r>
      <w:r w:rsidR="00BC33FA" w:rsidRPr="007F12FA">
        <w:rPr>
          <w:rFonts w:ascii="Arial" w:hAnsi="Arial" w:cs="Arial"/>
        </w:rPr>
        <w:t xml:space="preserve"> the efficient functioning of that market</w:t>
      </w:r>
      <w:r w:rsidRPr="007F12FA">
        <w:rPr>
          <w:rFonts w:ascii="Arial" w:hAnsi="Arial" w:cs="Arial"/>
        </w:rPr>
        <w:t>.</w:t>
      </w:r>
      <w:r w:rsidR="00BA4FF0" w:rsidRPr="007F12FA">
        <w:rPr>
          <w:rStyle w:val="Funotenzeichen"/>
          <w:rFonts w:ascii="Arial" w:hAnsi="Arial" w:cs="Arial"/>
        </w:rPr>
        <w:footnoteReference w:id="534"/>
      </w:r>
      <w:r w:rsidRPr="007F12FA">
        <w:rPr>
          <w:rFonts w:ascii="Arial" w:hAnsi="Arial" w:cs="Arial"/>
        </w:rPr>
        <w:t xml:space="preserve"> </w:t>
      </w:r>
      <w:r w:rsidR="00317947" w:rsidRPr="007F12FA">
        <w:rPr>
          <w:rFonts w:ascii="Arial" w:hAnsi="Arial" w:cs="Arial"/>
        </w:rPr>
        <w:t>In light of the importance of competition and given that market power reduces competition, competition legislation aim to regulate market power so as to enhance competition and as a result increase the efficiency of markets and hence</w:t>
      </w:r>
      <w:r w:rsidR="002A47C5">
        <w:rPr>
          <w:rFonts w:ascii="Arial" w:hAnsi="Arial" w:cs="Arial"/>
        </w:rPr>
        <w:t>,</w:t>
      </w:r>
      <w:r w:rsidR="00317947" w:rsidRPr="007F12FA">
        <w:rPr>
          <w:rFonts w:ascii="Arial" w:hAnsi="Arial" w:cs="Arial"/>
        </w:rPr>
        <w:t xml:space="preserve"> also the efficiency of the economy</w:t>
      </w:r>
      <w:r w:rsidR="0004726A" w:rsidRPr="007F12FA">
        <w:rPr>
          <w:rFonts w:ascii="Arial" w:hAnsi="Arial" w:cs="Arial"/>
        </w:rPr>
        <w:t xml:space="preserve"> as a whole</w:t>
      </w:r>
      <w:r w:rsidR="00317947" w:rsidRPr="007F12FA">
        <w:rPr>
          <w:rFonts w:ascii="Arial" w:hAnsi="Arial" w:cs="Arial"/>
        </w:rPr>
        <w:t>.</w:t>
      </w:r>
      <w:r w:rsidR="00317947" w:rsidRPr="007F12FA">
        <w:rPr>
          <w:rStyle w:val="Funotenzeichen"/>
          <w:rFonts w:ascii="Arial" w:hAnsi="Arial" w:cs="Arial"/>
        </w:rPr>
        <w:footnoteReference w:id="535"/>
      </w:r>
      <w:r w:rsidR="00317947" w:rsidRPr="007F12FA">
        <w:rPr>
          <w:rFonts w:ascii="Arial" w:hAnsi="Arial" w:cs="Arial"/>
        </w:rPr>
        <w:t xml:space="preserve"> </w:t>
      </w:r>
    </w:p>
    <w:p w:rsidR="00317947" w:rsidRPr="007F12FA" w:rsidRDefault="00317947" w:rsidP="00424034">
      <w:pPr>
        <w:contextualSpacing/>
        <w:jc w:val="both"/>
        <w:rPr>
          <w:rFonts w:ascii="Arial" w:hAnsi="Arial" w:cs="Arial"/>
        </w:rPr>
      </w:pPr>
    </w:p>
    <w:p w:rsidR="00EC46FF" w:rsidRDefault="00AA7FF3" w:rsidP="00424034">
      <w:pPr>
        <w:contextualSpacing/>
        <w:jc w:val="both"/>
        <w:rPr>
          <w:rFonts w:ascii="Arial" w:hAnsi="Arial" w:cs="Arial"/>
        </w:rPr>
      </w:pPr>
      <w:r w:rsidRPr="007F12FA">
        <w:rPr>
          <w:rFonts w:ascii="Arial" w:hAnsi="Arial" w:cs="Arial"/>
        </w:rPr>
        <w:t xml:space="preserve">In </w:t>
      </w:r>
      <w:r w:rsidR="009E598A" w:rsidRPr="007F12FA">
        <w:rPr>
          <w:rFonts w:ascii="Arial" w:hAnsi="Arial" w:cs="Arial"/>
        </w:rPr>
        <w:t>practice</w:t>
      </w:r>
      <w:r w:rsidRPr="007F12FA">
        <w:rPr>
          <w:rFonts w:ascii="Arial" w:hAnsi="Arial" w:cs="Arial"/>
        </w:rPr>
        <w:t xml:space="preserve"> however</w:t>
      </w:r>
      <w:r w:rsidR="00317947" w:rsidRPr="007F12FA">
        <w:rPr>
          <w:rFonts w:ascii="Arial" w:hAnsi="Arial" w:cs="Arial"/>
        </w:rPr>
        <w:t>,</w:t>
      </w:r>
      <w:r w:rsidRPr="007F12FA">
        <w:rPr>
          <w:rFonts w:ascii="Arial" w:hAnsi="Arial" w:cs="Arial"/>
        </w:rPr>
        <w:t xml:space="preserve"> all firms have some degree of market power </w:t>
      </w:r>
      <w:r w:rsidR="009E598A" w:rsidRPr="007F12FA">
        <w:rPr>
          <w:rFonts w:ascii="Arial" w:hAnsi="Arial" w:cs="Arial"/>
        </w:rPr>
        <w:t xml:space="preserve">with some having </w:t>
      </w:r>
      <w:r w:rsidR="00BC2175" w:rsidRPr="007F12FA">
        <w:rPr>
          <w:rFonts w:ascii="Arial" w:hAnsi="Arial" w:cs="Arial"/>
        </w:rPr>
        <w:t xml:space="preserve">a </w:t>
      </w:r>
      <w:r w:rsidR="009E598A" w:rsidRPr="007F12FA">
        <w:rPr>
          <w:rFonts w:ascii="Arial" w:hAnsi="Arial" w:cs="Arial"/>
        </w:rPr>
        <w:t>significant</w:t>
      </w:r>
      <w:r w:rsidR="00BC2175" w:rsidRPr="007F12FA">
        <w:rPr>
          <w:rFonts w:ascii="Arial" w:hAnsi="Arial" w:cs="Arial"/>
        </w:rPr>
        <w:t xml:space="preserve"> degree of</w:t>
      </w:r>
      <w:r w:rsidR="009E598A" w:rsidRPr="007F12FA">
        <w:rPr>
          <w:rFonts w:ascii="Arial" w:hAnsi="Arial" w:cs="Arial"/>
        </w:rPr>
        <w:t xml:space="preserve"> market power</w:t>
      </w:r>
      <w:r w:rsidR="00411142">
        <w:rPr>
          <w:rStyle w:val="Funotenzeichen"/>
          <w:rFonts w:ascii="Arial" w:hAnsi="Arial" w:cs="Arial"/>
        </w:rPr>
        <w:footnoteReference w:id="536"/>
      </w:r>
      <w:r w:rsidR="009E598A" w:rsidRPr="007F12FA">
        <w:rPr>
          <w:rFonts w:ascii="Arial" w:hAnsi="Arial" w:cs="Arial"/>
        </w:rPr>
        <w:t xml:space="preserve"> and other</w:t>
      </w:r>
      <w:r w:rsidR="00BC2175" w:rsidRPr="007F12FA">
        <w:rPr>
          <w:rFonts w:ascii="Arial" w:hAnsi="Arial" w:cs="Arial"/>
        </w:rPr>
        <w:t>s</w:t>
      </w:r>
      <w:r w:rsidR="009E598A" w:rsidRPr="007F12FA">
        <w:rPr>
          <w:rFonts w:ascii="Arial" w:hAnsi="Arial" w:cs="Arial"/>
        </w:rPr>
        <w:t xml:space="preserve"> having</w:t>
      </w:r>
      <w:r w:rsidR="00BC2175" w:rsidRPr="007F12FA">
        <w:rPr>
          <w:rFonts w:ascii="Arial" w:hAnsi="Arial" w:cs="Arial"/>
        </w:rPr>
        <w:t xml:space="preserve"> a</w:t>
      </w:r>
      <w:r w:rsidR="00317947" w:rsidRPr="007F12FA">
        <w:rPr>
          <w:rFonts w:ascii="Arial" w:hAnsi="Arial" w:cs="Arial"/>
        </w:rPr>
        <w:t>n</w:t>
      </w:r>
      <w:r w:rsidR="00BC2175" w:rsidRPr="007F12FA">
        <w:rPr>
          <w:rFonts w:ascii="Arial" w:hAnsi="Arial" w:cs="Arial"/>
        </w:rPr>
        <w:t xml:space="preserve"> </w:t>
      </w:r>
      <w:r w:rsidR="009E598A" w:rsidRPr="007F12FA">
        <w:rPr>
          <w:rFonts w:ascii="Arial" w:hAnsi="Arial" w:cs="Arial"/>
        </w:rPr>
        <w:t>insignificant</w:t>
      </w:r>
      <w:r w:rsidR="00BC2175" w:rsidRPr="007F12FA">
        <w:rPr>
          <w:rFonts w:ascii="Arial" w:hAnsi="Arial" w:cs="Arial"/>
        </w:rPr>
        <w:t xml:space="preserve"> degree of market power</w:t>
      </w:r>
      <w:r w:rsidR="009E598A" w:rsidRPr="007F12FA">
        <w:rPr>
          <w:rFonts w:ascii="Arial" w:hAnsi="Arial" w:cs="Arial"/>
        </w:rPr>
        <w:t>.</w:t>
      </w:r>
      <w:r w:rsidR="00317947" w:rsidRPr="007F12FA">
        <w:rPr>
          <w:rStyle w:val="Funotenzeichen"/>
          <w:rFonts w:ascii="Arial" w:hAnsi="Arial" w:cs="Arial"/>
        </w:rPr>
        <w:footnoteReference w:id="537"/>
      </w:r>
      <w:r w:rsidRPr="007F12FA">
        <w:rPr>
          <w:rFonts w:ascii="Arial" w:hAnsi="Arial" w:cs="Arial"/>
        </w:rPr>
        <w:t xml:space="preserve"> </w:t>
      </w:r>
      <w:r w:rsidR="00BC2175" w:rsidRPr="007F12FA">
        <w:rPr>
          <w:rFonts w:ascii="Arial" w:hAnsi="Arial" w:cs="Arial"/>
        </w:rPr>
        <w:t xml:space="preserve">Since all firms possess market power </w:t>
      </w:r>
      <w:r w:rsidRPr="007F12FA">
        <w:rPr>
          <w:rFonts w:ascii="Arial" w:hAnsi="Arial" w:cs="Arial"/>
        </w:rPr>
        <w:t>the Competition Act</w:t>
      </w:r>
      <w:r w:rsidR="00DE4949" w:rsidRPr="007F12FA">
        <w:rPr>
          <w:rStyle w:val="Funotenzeichen"/>
          <w:rFonts w:ascii="Arial" w:hAnsi="Arial" w:cs="Arial"/>
        </w:rPr>
        <w:footnoteReference w:id="538"/>
      </w:r>
      <w:r w:rsidRPr="007F12FA">
        <w:rPr>
          <w:rFonts w:ascii="Arial" w:hAnsi="Arial" w:cs="Arial"/>
        </w:rPr>
        <w:t xml:space="preserve"> which </w:t>
      </w:r>
      <w:r w:rsidR="00BC2175" w:rsidRPr="007F12FA">
        <w:rPr>
          <w:rFonts w:ascii="Arial" w:hAnsi="Arial" w:cs="Arial"/>
        </w:rPr>
        <w:t>aspires</w:t>
      </w:r>
      <w:r w:rsidRPr="007F12FA">
        <w:rPr>
          <w:rFonts w:ascii="Arial" w:hAnsi="Arial" w:cs="Arial"/>
        </w:rPr>
        <w:t xml:space="preserve"> to promote and maintain competition does not regulate the </w:t>
      </w:r>
      <w:r w:rsidR="00BC2175" w:rsidRPr="007F12FA">
        <w:rPr>
          <w:rFonts w:ascii="Arial" w:hAnsi="Arial" w:cs="Arial"/>
        </w:rPr>
        <w:t xml:space="preserve">possession of market power </w:t>
      </w:r>
      <w:r w:rsidR="00317947" w:rsidRPr="007F12FA">
        <w:rPr>
          <w:rFonts w:ascii="Arial" w:hAnsi="Arial" w:cs="Arial"/>
          <w:i/>
        </w:rPr>
        <w:t>per se</w:t>
      </w:r>
      <w:r w:rsidR="00317947" w:rsidRPr="007F12FA">
        <w:rPr>
          <w:rFonts w:ascii="Arial" w:hAnsi="Arial" w:cs="Arial"/>
        </w:rPr>
        <w:t xml:space="preserve"> </w:t>
      </w:r>
      <w:r w:rsidR="00BC2175" w:rsidRPr="007F12FA">
        <w:rPr>
          <w:rFonts w:ascii="Arial" w:hAnsi="Arial" w:cs="Arial"/>
        </w:rPr>
        <w:t xml:space="preserve">but rather regulates the situation where a single firm or a group </w:t>
      </w:r>
      <w:r w:rsidR="00892C3A" w:rsidRPr="007F12FA">
        <w:rPr>
          <w:rFonts w:ascii="Arial" w:hAnsi="Arial" w:cs="Arial"/>
        </w:rPr>
        <w:t>of firms acting together possess so much market power so as to allow it/them to abuse this market power</w:t>
      </w:r>
      <w:r w:rsidR="00DE4949" w:rsidRPr="007F12FA">
        <w:rPr>
          <w:rFonts w:ascii="Arial" w:hAnsi="Arial" w:cs="Arial"/>
        </w:rPr>
        <w:t xml:space="preserve"> and hence decrease the level </w:t>
      </w:r>
      <w:r w:rsidR="0004726A" w:rsidRPr="007F12FA">
        <w:rPr>
          <w:rFonts w:ascii="Arial" w:hAnsi="Arial" w:cs="Arial"/>
        </w:rPr>
        <w:t xml:space="preserve">of </w:t>
      </w:r>
      <w:r w:rsidR="00DE4949" w:rsidRPr="007F12FA">
        <w:rPr>
          <w:rFonts w:ascii="Arial" w:hAnsi="Arial" w:cs="Arial"/>
        </w:rPr>
        <w:t>competition in that market</w:t>
      </w:r>
      <w:r w:rsidR="00892C3A" w:rsidRPr="007F12FA">
        <w:rPr>
          <w:rFonts w:ascii="Arial" w:hAnsi="Arial" w:cs="Arial"/>
        </w:rPr>
        <w:t>.</w:t>
      </w:r>
      <w:r w:rsidR="0004726A" w:rsidRPr="007F12FA">
        <w:rPr>
          <w:rStyle w:val="Funotenzeichen"/>
          <w:rFonts w:ascii="Arial" w:hAnsi="Arial" w:cs="Arial"/>
        </w:rPr>
        <w:footnoteReference w:id="539"/>
      </w:r>
      <w:r w:rsidR="002213DA">
        <w:rPr>
          <w:rFonts w:ascii="Arial" w:hAnsi="Arial" w:cs="Arial"/>
        </w:rPr>
        <w:t xml:space="preserve"> </w:t>
      </w:r>
    </w:p>
    <w:p w:rsidR="00EC46FF" w:rsidRDefault="00EC46FF" w:rsidP="00424034">
      <w:pPr>
        <w:contextualSpacing/>
        <w:jc w:val="both"/>
        <w:rPr>
          <w:rFonts w:ascii="Arial" w:hAnsi="Arial" w:cs="Arial"/>
        </w:rPr>
      </w:pPr>
    </w:p>
    <w:p w:rsidR="00BC1820" w:rsidRDefault="002213DA" w:rsidP="00424034">
      <w:pPr>
        <w:contextualSpacing/>
        <w:jc w:val="both"/>
        <w:rPr>
          <w:rFonts w:ascii="Arial" w:hAnsi="Arial" w:cs="Arial"/>
        </w:rPr>
      </w:pPr>
      <w:r>
        <w:rPr>
          <w:rFonts w:ascii="Arial" w:hAnsi="Arial" w:cs="Arial"/>
        </w:rPr>
        <w:t xml:space="preserve">From the preceding </w:t>
      </w:r>
      <w:r w:rsidR="00E93DEB">
        <w:rPr>
          <w:rFonts w:ascii="Arial" w:hAnsi="Arial" w:cs="Arial"/>
        </w:rPr>
        <w:t>paragraphs,</w:t>
      </w:r>
      <w:r>
        <w:rPr>
          <w:rFonts w:ascii="Arial" w:hAnsi="Arial" w:cs="Arial"/>
        </w:rPr>
        <w:t xml:space="preserve"> it is clear that the most important </w:t>
      </w:r>
      <w:r w:rsidRPr="00603DEF">
        <w:rPr>
          <w:rFonts w:ascii="Arial" w:hAnsi="Arial" w:cs="Arial"/>
        </w:rPr>
        <w:t>concept</w:t>
      </w:r>
      <w:r>
        <w:rPr>
          <w:rFonts w:ascii="Arial" w:hAnsi="Arial" w:cs="Arial"/>
        </w:rPr>
        <w:t xml:space="preserve"> </w:t>
      </w:r>
      <w:r w:rsidR="00603DEF">
        <w:rPr>
          <w:rFonts w:ascii="Arial" w:hAnsi="Arial" w:cs="Arial"/>
        </w:rPr>
        <w:t>in competition regulation is that of market power.</w:t>
      </w:r>
      <w:r w:rsidR="0023418E">
        <w:rPr>
          <w:rStyle w:val="Funotenzeichen"/>
          <w:rFonts w:ascii="Arial" w:hAnsi="Arial" w:cs="Arial"/>
        </w:rPr>
        <w:footnoteReference w:id="540"/>
      </w:r>
      <w:r w:rsidR="00603DEF">
        <w:rPr>
          <w:rFonts w:ascii="Arial" w:hAnsi="Arial" w:cs="Arial"/>
        </w:rPr>
        <w:t xml:space="preserve"> Accordingly, the </w:t>
      </w:r>
      <w:r w:rsidR="00CA6581">
        <w:rPr>
          <w:rFonts w:ascii="Arial" w:hAnsi="Arial" w:cs="Arial"/>
        </w:rPr>
        <w:t>following</w:t>
      </w:r>
      <w:r w:rsidR="00603DEF">
        <w:rPr>
          <w:rFonts w:ascii="Arial" w:hAnsi="Arial" w:cs="Arial"/>
        </w:rPr>
        <w:t xml:space="preserve"> sections will </w:t>
      </w:r>
      <w:r w:rsidR="00CA6581">
        <w:rPr>
          <w:rFonts w:ascii="Arial" w:hAnsi="Arial" w:cs="Arial"/>
        </w:rPr>
        <w:t>examine</w:t>
      </w:r>
      <w:r w:rsidR="00603DEF">
        <w:rPr>
          <w:rFonts w:ascii="Arial" w:hAnsi="Arial" w:cs="Arial"/>
        </w:rPr>
        <w:t xml:space="preserve"> the measurement of market power </w:t>
      </w:r>
      <w:r w:rsidR="000B050A">
        <w:rPr>
          <w:rFonts w:ascii="Arial" w:hAnsi="Arial" w:cs="Arial"/>
        </w:rPr>
        <w:t>by the</w:t>
      </w:r>
      <w:r w:rsidR="00C56D51">
        <w:rPr>
          <w:rFonts w:ascii="Arial" w:hAnsi="Arial" w:cs="Arial"/>
        </w:rPr>
        <w:t xml:space="preserve"> South Africa</w:t>
      </w:r>
      <w:r w:rsidR="000B050A">
        <w:rPr>
          <w:rFonts w:ascii="Arial" w:hAnsi="Arial" w:cs="Arial"/>
        </w:rPr>
        <w:t>n competition authorities.</w:t>
      </w:r>
      <w:r w:rsidR="00603DEF">
        <w:rPr>
          <w:rFonts w:ascii="Arial" w:hAnsi="Arial" w:cs="Arial"/>
        </w:rPr>
        <w:t xml:space="preserve"> </w:t>
      </w:r>
      <w:r>
        <w:rPr>
          <w:rFonts w:ascii="Arial" w:hAnsi="Arial" w:cs="Arial"/>
        </w:rPr>
        <w:t xml:space="preserve">  </w:t>
      </w:r>
    </w:p>
    <w:p w:rsidR="00591298" w:rsidRDefault="000B050A" w:rsidP="00424034">
      <w:pPr>
        <w:contextualSpacing/>
        <w:jc w:val="both"/>
        <w:rPr>
          <w:rFonts w:ascii="Arial" w:hAnsi="Arial" w:cs="Arial"/>
        </w:rPr>
      </w:pPr>
      <w:r>
        <w:rPr>
          <w:rFonts w:ascii="Arial" w:hAnsi="Arial" w:cs="Arial"/>
        </w:rPr>
        <w:t>3</w:t>
      </w:r>
      <w:r w:rsidR="00591298">
        <w:rPr>
          <w:rFonts w:ascii="Arial" w:hAnsi="Arial" w:cs="Arial"/>
        </w:rPr>
        <w:t>.</w:t>
      </w:r>
      <w:r w:rsidR="002563E6">
        <w:rPr>
          <w:rFonts w:ascii="Arial" w:hAnsi="Arial" w:cs="Arial"/>
        </w:rPr>
        <w:t>2</w:t>
      </w:r>
      <w:r w:rsidR="00591298">
        <w:rPr>
          <w:rFonts w:ascii="Arial" w:hAnsi="Arial" w:cs="Arial"/>
        </w:rPr>
        <w:t xml:space="preserve"> </w:t>
      </w:r>
      <w:r w:rsidR="008C5B49">
        <w:rPr>
          <w:rFonts w:ascii="Arial" w:hAnsi="Arial" w:cs="Arial"/>
        </w:rPr>
        <w:t>The competition analysis undertaken by the competition authorities</w:t>
      </w:r>
    </w:p>
    <w:p w:rsidR="000B050A" w:rsidRDefault="000B050A" w:rsidP="00424034">
      <w:pPr>
        <w:contextualSpacing/>
        <w:jc w:val="both"/>
        <w:rPr>
          <w:rFonts w:ascii="Arial" w:hAnsi="Arial" w:cs="Arial"/>
        </w:rPr>
      </w:pPr>
    </w:p>
    <w:p w:rsidR="004A7612" w:rsidRDefault="004E22B2" w:rsidP="00424034">
      <w:pPr>
        <w:contextualSpacing/>
        <w:jc w:val="both"/>
        <w:rPr>
          <w:rFonts w:ascii="Arial" w:hAnsi="Arial" w:cs="Arial"/>
        </w:rPr>
      </w:pPr>
      <w:r>
        <w:rPr>
          <w:rFonts w:ascii="Arial" w:hAnsi="Arial" w:cs="Arial"/>
        </w:rPr>
        <w:t>The function of the South African competition authorities is to promote and maintain competition within the Republic of South Africa</w:t>
      </w:r>
      <w:r w:rsidR="004A7612">
        <w:rPr>
          <w:rFonts w:ascii="Arial" w:hAnsi="Arial" w:cs="Arial"/>
        </w:rPr>
        <w:t>.</w:t>
      </w:r>
      <w:r w:rsidR="00EB3B98">
        <w:rPr>
          <w:rStyle w:val="Funotenzeichen"/>
          <w:rFonts w:ascii="Arial" w:hAnsi="Arial" w:cs="Arial"/>
        </w:rPr>
        <w:footnoteReference w:id="541"/>
      </w:r>
      <w:r w:rsidR="004A7612">
        <w:rPr>
          <w:rFonts w:ascii="Arial" w:hAnsi="Arial" w:cs="Arial"/>
        </w:rPr>
        <w:t xml:space="preserve"> As indicated previously, this</w:t>
      </w:r>
      <w:r>
        <w:rPr>
          <w:rFonts w:ascii="Arial" w:hAnsi="Arial" w:cs="Arial"/>
        </w:rPr>
        <w:t xml:space="preserve"> goal is achieved by regul</w:t>
      </w:r>
      <w:r w:rsidR="004A7612">
        <w:rPr>
          <w:rFonts w:ascii="Arial" w:hAnsi="Arial" w:cs="Arial"/>
        </w:rPr>
        <w:t>ating the abuse of market power</w:t>
      </w:r>
      <w:r w:rsidR="004A7612" w:rsidRPr="004A7612">
        <w:rPr>
          <w:rFonts w:ascii="Arial" w:hAnsi="Arial" w:cs="Arial"/>
        </w:rPr>
        <w:t xml:space="preserve"> </w:t>
      </w:r>
      <w:r w:rsidR="004A7612">
        <w:rPr>
          <w:rFonts w:ascii="Arial" w:hAnsi="Arial" w:cs="Arial"/>
        </w:rPr>
        <w:t xml:space="preserve">seeing that the abuse of market power discourages competition in any given market. </w:t>
      </w:r>
    </w:p>
    <w:p w:rsidR="004A7612" w:rsidRDefault="004A7612" w:rsidP="00424034">
      <w:pPr>
        <w:contextualSpacing/>
        <w:jc w:val="both"/>
        <w:rPr>
          <w:rFonts w:ascii="Arial" w:hAnsi="Arial" w:cs="Arial"/>
        </w:rPr>
      </w:pPr>
    </w:p>
    <w:p w:rsidR="002E4676" w:rsidRDefault="006C1FB4" w:rsidP="00424034">
      <w:pPr>
        <w:contextualSpacing/>
        <w:jc w:val="both"/>
        <w:rPr>
          <w:rFonts w:ascii="Arial" w:hAnsi="Arial" w:cs="Arial"/>
        </w:rPr>
      </w:pPr>
      <w:r>
        <w:rPr>
          <w:rFonts w:ascii="Arial" w:hAnsi="Arial" w:cs="Arial"/>
        </w:rPr>
        <w:t>Competition however</w:t>
      </w:r>
      <w:r w:rsidR="004A7612">
        <w:rPr>
          <w:rFonts w:ascii="Arial" w:hAnsi="Arial" w:cs="Arial"/>
        </w:rPr>
        <w:t>,</w:t>
      </w:r>
      <w:r>
        <w:rPr>
          <w:rFonts w:ascii="Arial" w:hAnsi="Arial" w:cs="Arial"/>
        </w:rPr>
        <w:t xml:space="preserve"> </w:t>
      </w:r>
      <w:r w:rsidR="004A7612">
        <w:rPr>
          <w:rFonts w:ascii="Arial" w:hAnsi="Arial" w:cs="Arial"/>
        </w:rPr>
        <w:t xml:space="preserve">can only </w:t>
      </w:r>
      <w:r>
        <w:rPr>
          <w:rFonts w:ascii="Arial" w:hAnsi="Arial" w:cs="Arial"/>
        </w:rPr>
        <w:t xml:space="preserve">occur within a market and accordingly the possession and abuse of market power </w:t>
      </w:r>
      <w:r w:rsidR="00AD4698">
        <w:rPr>
          <w:rFonts w:ascii="Arial" w:hAnsi="Arial" w:cs="Arial"/>
        </w:rPr>
        <w:t xml:space="preserve">too </w:t>
      </w:r>
      <w:r>
        <w:rPr>
          <w:rFonts w:ascii="Arial" w:hAnsi="Arial" w:cs="Arial"/>
        </w:rPr>
        <w:t xml:space="preserve">can only </w:t>
      </w:r>
      <w:r w:rsidR="004A7612">
        <w:rPr>
          <w:rFonts w:ascii="Arial" w:hAnsi="Arial" w:cs="Arial"/>
        </w:rPr>
        <w:t>exist</w:t>
      </w:r>
      <w:r>
        <w:rPr>
          <w:rFonts w:ascii="Arial" w:hAnsi="Arial" w:cs="Arial"/>
        </w:rPr>
        <w:t xml:space="preserve"> within a market.</w:t>
      </w:r>
      <w:r w:rsidR="007D0B1A">
        <w:rPr>
          <w:rStyle w:val="Funotenzeichen"/>
          <w:rFonts w:ascii="Arial" w:hAnsi="Arial" w:cs="Arial"/>
        </w:rPr>
        <w:footnoteReference w:id="542"/>
      </w:r>
      <w:r>
        <w:rPr>
          <w:rFonts w:ascii="Arial" w:hAnsi="Arial" w:cs="Arial"/>
        </w:rPr>
        <w:t xml:space="preserve"> </w:t>
      </w:r>
      <w:r w:rsidR="002E4676">
        <w:rPr>
          <w:rFonts w:ascii="Arial" w:hAnsi="Arial" w:cs="Arial"/>
        </w:rPr>
        <w:t>This market is called the relevant market and the relevant market can be defined as the area within which the conduct under consideration should be evaluated.</w:t>
      </w:r>
      <w:r w:rsidR="002E4676">
        <w:rPr>
          <w:rStyle w:val="Funotenzeichen"/>
          <w:rFonts w:ascii="Arial" w:hAnsi="Arial" w:cs="Arial"/>
        </w:rPr>
        <w:footnoteReference w:id="543"/>
      </w:r>
      <w:r w:rsidR="002E4676">
        <w:rPr>
          <w:rFonts w:ascii="Arial" w:hAnsi="Arial" w:cs="Arial"/>
        </w:rPr>
        <w:t xml:space="preserve"> </w:t>
      </w:r>
    </w:p>
    <w:p w:rsidR="002E4676" w:rsidRDefault="002E4676" w:rsidP="00424034">
      <w:pPr>
        <w:contextualSpacing/>
        <w:jc w:val="both"/>
        <w:rPr>
          <w:rFonts w:ascii="Arial" w:hAnsi="Arial" w:cs="Arial"/>
        </w:rPr>
      </w:pPr>
    </w:p>
    <w:p w:rsidR="00C90B37" w:rsidRDefault="00D653D2" w:rsidP="00424034">
      <w:pPr>
        <w:contextualSpacing/>
        <w:jc w:val="both"/>
        <w:rPr>
          <w:rFonts w:ascii="Arial" w:hAnsi="Arial" w:cs="Arial"/>
        </w:rPr>
      </w:pPr>
      <w:r>
        <w:rPr>
          <w:rFonts w:ascii="Arial" w:hAnsi="Arial" w:cs="Arial"/>
        </w:rPr>
        <w:t>As a result</w:t>
      </w:r>
      <w:r w:rsidR="005A7097">
        <w:rPr>
          <w:rFonts w:ascii="Arial" w:hAnsi="Arial" w:cs="Arial"/>
        </w:rPr>
        <w:t>,</w:t>
      </w:r>
      <w:r w:rsidR="006C1FB4">
        <w:rPr>
          <w:rFonts w:ascii="Arial" w:hAnsi="Arial" w:cs="Arial"/>
        </w:rPr>
        <w:t xml:space="preserve"> </w:t>
      </w:r>
      <w:r w:rsidR="005A7097">
        <w:rPr>
          <w:rFonts w:ascii="Arial" w:hAnsi="Arial" w:cs="Arial"/>
        </w:rPr>
        <w:t xml:space="preserve">the competition </w:t>
      </w:r>
      <w:r w:rsidR="004E22B2" w:rsidRPr="004E22B2">
        <w:rPr>
          <w:rFonts w:ascii="Arial" w:hAnsi="Arial" w:cs="Arial"/>
        </w:rPr>
        <w:t>analys</w:t>
      </w:r>
      <w:r w:rsidR="004E22B2">
        <w:rPr>
          <w:rFonts w:ascii="Arial" w:hAnsi="Arial" w:cs="Arial"/>
        </w:rPr>
        <w:t>e</w:t>
      </w:r>
      <w:r w:rsidR="004E22B2" w:rsidRPr="004E22B2">
        <w:rPr>
          <w:rFonts w:ascii="Arial" w:hAnsi="Arial" w:cs="Arial"/>
        </w:rPr>
        <w:t>s</w:t>
      </w:r>
      <w:r w:rsidR="005D54D1">
        <w:rPr>
          <w:rStyle w:val="Funotenzeichen"/>
          <w:rFonts w:ascii="Arial" w:hAnsi="Arial" w:cs="Arial"/>
        </w:rPr>
        <w:footnoteReference w:id="544"/>
      </w:r>
      <w:r w:rsidR="005A7097">
        <w:rPr>
          <w:rFonts w:ascii="Arial" w:hAnsi="Arial" w:cs="Arial"/>
        </w:rPr>
        <w:t xml:space="preserve"> undertaken by the competition authorities to determine </w:t>
      </w:r>
      <w:r w:rsidR="005A7097" w:rsidRPr="005A7097">
        <w:rPr>
          <w:rFonts w:ascii="Arial" w:hAnsi="Arial" w:cs="Arial"/>
        </w:rPr>
        <w:t>whether</w:t>
      </w:r>
      <w:r w:rsidR="005A7097">
        <w:rPr>
          <w:rFonts w:ascii="Arial" w:hAnsi="Arial" w:cs="Arial"/>
        </w:rPr>
        <w:t xml:space="preserve"> certain conduct is anti-competitive</w:t>
      </w:r>
      <w:r w:rsidR="00EB3B98">
        <w:rPr>
          <w:rStyle w:val="Funotenzeichen"/>
          <w:rFonts w:ascii="Arial" w:hAnsi="Arial" w:cs="Arial"/>
        </w:rPr>
        <w:footnoteReference w:id="545"/>
      </w:r>
      <w:r w:rsidR="005A7097">
        <w:rPr>
          <w:rFonts w:ascii="Arial" w:hAnsi="Arial" w:cs="Arial"/>
        </w:rPr>
        <w:t xml:space="preserve"> consist of two </w:t>
      </w:r>
      <w:r w:rsidR="001F5126">
        <w:rPr>
          <w:rFonts w:ascii="Arial" w:hAnsi="Arial" w:cs="Arial"/>
        </w:rPr>
        <w:t>phases</w:t>
      </w:r>
      <w:r w:rsidR="005A7097">
        <w:rPr>
          <w:rFonts w:ascii="Arial" w:hAnsi="Arial" w:cs="Arial"/>
        </w:rPr>
        <w:t xml:space="preserve"> namely the </w:t>
      </w:r>
      <w:r w:rsidR="005A7097" w:rsidRPr="005A7097">
        <w:rPr>
          <w:rFonts w:ascii="Arial" w:hAnsi="Arial" w:cs="Arial"/>
        </w:rPr>
        <w:t>delineation</w:t>
      </w:r>
      <w:r w:rsidR="005A7097">
        <w:rPr>
          <w:rFonts w:ascii="Arial" w:hAnsi="Arial" w:cs="Arial"/>
        </w:rPr>
        <w:t xml:space="preserve"> of the relevant market and secondly</w:t>
      </w:r>
      <w:r w:rsidR="00640FED">
        <w:rPr>
          <w:rFonts w:ascii="Arial" w:hAnsi="Arial" w:cs="Arial"/>
        </w:rPr>
        <w:t xml:space="preserve"> the</w:t>
      </w:r>
      <w:r w:rsidR="005A7097">
        <w:rPr>
          <w:rFonts w:ascii="Arial" w:hAnsi="Arial" w:cs="Arial"/>
        </w:rPr>
        <w:t xml:space="preserve"> </w:t>
      </w:r>
      <w:r w:rsidR="00A66411">
        <w:rPr>
          <w:rFonts w:ascii="Arial" w:hAnsi="Arial" w:cs="Arial"/>
        </w:rPr>
        <w:t>assess</w:t>
      </w:r>
      <w:r w:rsidR="00640FED">
        <w:rPr>
          <w:rFonts w:ascii="Arial" w:hAnsi="Arial" w:cs="Arial"/>
        </w:rPr>
        <w:t>ment of</w:t>
      </w:r>
      <w:r w:rsidR="00A66411">
        <w:rPr>
          <w:rFonts w:ascii="Arial" w:hAnsi="Arial" w:cs="Arial"/>
        </w:rPr>
        <w:t xml:space="preserve"> the </w:t>
      </w:r>
      <w:r w:rsidR="001F5126">
        <w:rPr>
          <w:rFonts w:ascii="Arial" w:hAnsi="Arial" w:cs="Arial"/>
        </w:rPr>
        <w:t>nature and degree of competition in the relevant market.</w:t>
      </w:r>
      <w:r w:rsidR="007D0B1A">
        <w:rPr>
          <w:rStyle w:val="Funotenzeichen"/>
          <w:rFonts w:ascii="Arial" w:hAnsi="Arial" w:cs="Arial"/>
        </w:rPr>
        <w:footnoteReference w:id="546"/>
      </w:r>
      <w:r w:rsidR="001F5126">
        <w:rPr>
          <w:rFonts w:ascii="Arial" w:hAnsi="Arial" w:cs="Arial"/>
        </w:rPr>
        <w:t xml:space="preserve"> </w:t>
      </w:r>
    </w:p>
    <w:p w:rsidR="00C90B37" w:rsidRDefault="00C90B37" w:rsidP="00424034">
      <w:pPr>
        <w:contextualSpacing/>
        <w:jc w:val="both"/>
        <w:rPr>
          <w:rFonts w:ascii="Arial" w:hAnsi="Arial" w:cs="Arial"/>
        </w:rPr>
      </w:pPr>
    </w:p>
    <w:p w:rsidR="00C6012E" w:rsidRDefault="003E3E69" w:rsidP="00424034">
      <w:pPr>
        <w:contextualSpacing/>
        <w:jc w:val="both"/>
        <w:rPr>
          <w:rFonts w:ascii="Arial" w:hAnsi="Arial" w:cs="Arial"/>
        </w:rPr>
      </w:pPr>
      <w:r>
        <w:rPr>
          <w:rFonts w:ascii="Arial" w:hAnsi="Arial" w:cs="Arial"/>
        </w:rPr>
        <w:t xml:space="preserve">The </w:t>
      </w:r>
      <w:r w:rsidR="00D7139F">
        <w:rPr>
          <w:rFonts w:ascii="Arial" w:hAnsi="Arial" w:cs="Arial"/>
        </w:rPr>
        <w:t xml:space="preserve">delineation of the </w:t>
      </w:r>
      <w:r>
        <w:rPr>
          <w:rFonts w:ascii="Arial" w:hAnsi="Arial" w:cs="Arial"/>
        </w:rPr>
        <w:t>relevant market is</w:t>
      </w:r>
      <w:r w:rsidR="00D7139F">
        <w:rPr>
          <w:rFonts w:ascii="Arial" w:hAnsi="Arial" w:cs="Arial"/>
        </w:rPr>
        <w:t xml:space="preserve"> essential because it positions the boundaries of the area of competition within which it is to be determined whether the conduct under consideration substantially prevents or lessens competition</w:t>
      </w:r>
      <w:r w:rsidR="00A75C94">
        <w:rPr>
          <w:rFonts w:ascii="Arial" w:hAnsi="Arial" w:cs="Arial"/>
        </w:rPr>
        <w:t xml:space="preserve"> i.e. </w:t>
      </w:r>
      <w:r w:rsidR="002E4676">
        <w:rPr>
          <w:rFonts w:ascii="Arial" w:hAnsi="Arial" w:cs="Arial"/>
        </w:rPr>
        <w:t xml:space="preserve">whether </w:t>
      </w:r>
      <w:r w:rsidR="005D54D1">
        <w:rPr>
          <w:rFonts w:ascii="Arial" w:hAnsi="Arial" w:cs="Arial"/>
        </w:rPr>
        <w:t>it</w:t>
      </w:r>
      <w:r w:rsidR="002E4676">
        <w:rPr>
          <w:rFonts w:ascii="Arial" w:hAnsi="Arial" w:cs="Arial"/>
        </w:rPr>
        <w:t xml:space="preserve"> is</w:t>
      </w:r>
      <w:r w:rsidR="00A75C94">
        <w:rPr>
          <w:rFonts w:ascii="Arial" w:hAnsi="Arial" w:cs="Arial"/>
        </w:rPr>
        <w:t xml:space="preserve"> anti-competitive</w:t>
      </w:r>
      <w:r w:rsidR="003338AA">
        <w:rPr>
          <w:rFonts w:ascii="Arial" w:hAnsi="Arial" w:cs="Arial"/>
        </w:rPr>
        <w:t xml:space="preserve"> or not</w:t>
      </w:r>
      <w:r w:rsidR="00D7139F">
        <w:rPr>
          <w:rFonts w:ascii="Arial" w:hAnsi="Arial" w:cs="Arial"/>
        </w:rPr>
        <w:t>.</w:t>
      </w:r>
      <w:r w:rsidR="00C90B37">
        <w:rPr>
          <w:rStyle w:val="Funotenzeichen"/>
          <w:rFonts w:ascii="Arial" w:hAnsi="Arial" w:cs="Arial"/>
        </w:rPr>
        <w:footnoteReference w:id="547"/>
      </w:r>
      <w:r w:rsidR="00D7139F">
        <w:rPr>
          <w:rFonts w:ascii="Arial" w:hAnsi="Arial" w:cs="Arial"/>
        </w:rPr>
        <w:t xml:space="preserve"> </w:t>
      </w:r>
      <w:r w:rsidR="00640FED">
        <w:rPr>
          <w:rFonts w:ascii="Arial" w:hAnsi="Arial" w:cs="Arial"/>
        </w:rPr>
        <w:t>The assessment of t</w:t>
      </w:r>
      <w:r w:rsidR="001F5126">
        <w:rPr>
          <w:rFonts w:ascii="Arial" w:hAnsi="Arial" w:cs="Arial"/>
        </w:rPr>
        <w:t>he nature</w:t>
      </w:r>
      <w:r w:rsidR="001B1EEA">
        <w:rPr>
          <w:rFonts w:ascii="Arial" w:hAnsi="Arial" w:cs="Arial"/>
        </w:rPr>
        <w:t xml:space="preserve"> and degree</w:t>
      </w:r>
      <w:r w:rsidR="001F5126">
        <w:rPr>
          <w:rFonts w:ascii="Arial" w:hAnsi="Arial" w:cs="Arial"/>
        </w:rPr>
        <w:t xml:space="preserve"> of competition in </w:t>
      </w:r>
      <w:r w:rsidR="00CD26B3">
        <w:rPr>
          <w:rFonts w:ascii="Arial" w:hAnsi="Arial" w:cs="Arial"/>
        </w:rPr>
        <w:t>the relevant</w:t>
      </w:r>
      <w:r w:rsidR="001F5126">
        <w:rPr>
          <w:rFonts w:ascii="Arial" w:hAnsi="Arial" w:cs="Arial"/>
        </w:rPr>
        <w:t xml:space="preserve"> market </w:t>
      </w:r>
      <w:r w:rsidR="00A75C94">
        <w:rPr>
          <w:rFonts w:ascii="Arial" w:hAnsi="Arial" w:cs="Arial"/>
        </w:rPr>
        <w:t xml:space="preserve">in turn is </w:t>
      </w:r>
      <w:r w:rsidR="001F5126">
        <w:rPr>
          <w:rFonts w:ascii="Arial" w:hAnsi="Arial" w:cs="Arial"/>
        </w:rPr>
        <w:t xml:space="preserve">important </w:t>
      </w:r>
      <w:r w:rsidR="00A75C94">
        <w:rPr>
          <w:rFonts w:ascii="Arial" w:hAnsi="Arial" w:cs="Arial"/>
        </w:rPr>
        <w:t>given that</w:t>
      </w:r>
      <w:r w:rsidR="003338AA">
        <w:rPr>
          <w:rFonts w:ascii="Arial" w:hAnsi="Arial" w:cs="Arial"/>
        </w:rPr>
        <w:t xml:space="preserve"> the nature and degree of competition in a market</w:t>
      </w:r>
      <w:r w:rsidR="001F5126">
        <w:rPr>
          <w:rFonts w:ascii="Arial" w:hAnsi="Arial" w:cs="Arial"/>
        </w:rPr>
        <w:t xml:space="preserve"> </w:t>
      </w:r>
      <w:r w:rsidR="00022952" w:rsidRPr="00022952">
        <w:rPr>
          <w:rFonts w:ascii="Arial" w:hAnsi="Arial" w:cs="Arial"/>
        </w:rPr>
        <w:t>determines</w:t>
      </w:r>
      <w:r w:rsidR="001F5126">
        <w:rPr>
          <w:rFonts w:ascii="Arial" w:hAnsi="Arial" w:cs="Arial"/>
        </w:rPr>
        <w:t xml:space="preserve"> whether </w:t>
      </w:r>
      <w:r w:rsidR="00A66411">
        <w:rPr>
          <w:rFonts w:ascii="Arial" w:hAnsi="Arial" w:cs="Arial"/>
        </w:rPr>
        <w:t>it is possible for firm</w:t>
      </w:r>
      <w:r w:rsidR="00022952">
        <w:rPr>
          <w:rFonts w:ascii="Arial" w:hAnsi="Arial" w:cs="Arial"/>
        </w:rPr>
        <w:t>s in that market</w:t>
      </w:r>
      <w:r w:rsidR="00A66411">
        <w:rPr>
          <w:rFonts w:ascii="Arial" w:hAnsi="Arial" w:cs="Arial"/>
        </w:rPr>
        <w:t xml:space="preserve"> to abuse t</w:t>
      </w:r>
      <w:r w:rsidR="00022952">
        <w:rPr>
          <w:rFonts w:ascii="Arial" w:hAnsi="Arial" w:cs="Arial"/>
        </w:rPr>
        <w:t>heir market power</w:t>
      </w:r>
      <w:r w:rsidR="00CD26B3">
        <w:rPr>
          <w:rFonts w:ascii="Arial" w:hAnsi="Arial" w:cs="Arial"/>
        </w:rPr>
        <w:t xml:space="preserve"> and consequently reduce competition in that market</w:t>
      </w:r>
      <w:r w:rsidR="001F5126">
        <w:rPr>
          <w:rFonts w:ascii="Arial" w:hAnsi="Arial" w:cs="Arial"/>
        </w:rPr>
        <w:t>.</w:t>
      </w:r>
      <w:r w:rsidR="00C769FA">
        <w:rPr>
          <w:rStyle w:val="Funotenzeichen"/>
          <w:rFonts w:ascii="Arial" w:hAnsi="Arial" w:cs="Arial"/>
        </w:rPr>
        <w:footnoteReference w:id="548"/>
      </w:r>
      <w:r w:rsidR="00022952">
        <w:rPr>
          <w:rFonts w:ascii="Arial" w:hAnsi="Arial" w:cs="Arial"/>
        </w:rPr>
        <w:t xml:space="preserve"> </w:t>
      </w:r>
      <w:r w:rsidR="00407F94">
        <w:rPr>
          <w:rFonts w:ascii="Arial" w:hAnsi="Arial" w:cs="Arial"/>
        </w:rPr>
        <w:t>In other words, the nature and degree of competition in a</w:t>
      </w:r>
      <w:r w:rsidR="00C6012E">
        <w:rPr>
          <w:rFonts w:ascii="Arial" w:hAnsi="Arial" w:cs="Arial"/>
        </w:rPr>
        <w:t>ny</w:t>
      </w:r>
      <w:r w:rsidR="00407F94">
        <w:rPr>
          <w:rFonts w:ascii="Arial" w:hAnsi="Arial" w:cs="Arial"/>
        </w:rPr>
        <w:t xml:space="preserve"> given market is used to </w:t>
      </w:r>
      <w:r w:rsidR="00C6012E">
        <w:rPr>
          <w:rFonts w:ascii="Arial" w:hAnsi="Arial" w:cs="Arial"/>
        </w:rPr>
        <w:t>asses</w:t>
      </w:r>
      <w:r w:rsidR="00407F94">
        <w:rPr>
          <w:rFonts w:ascii="Arial" w:hAnsi="Arial" w:cs="Arial"/>
        </w:rPr>
        <w:t xml:space="preserve"> the unilateral </w:t>
      </w:r>
      <w:r w:rsidR="00C6012E">
        <w:rPr>
          <w:rFonts w:ascii="Arial" w:hAnsi="Arial" w:cs="Arial"/>
        </w:rPr>
        <w:t>and/</w:t>
      </w:r>
      <w:r w:rsidR="00407F94">
        <w:rPr>
          <w:rFonts w:ascii="Arial" w:hAnsi="Arial" w:cs="Arial"/>
        </w:rPr>
        <w:t>or collective market power of the firms in that market.</w:t>
      </w:r>
      <w:r w:rsidR="00C6012E">
        <w:rPr>
          <w:rFonts w:ascii="Arial" w:hAnsi="Arial" w:cs="Arial"/>
        </w:rPr>
        <w:t xml:space="preserve"> Accordingly, the process of determining the nature and degree of competition is also referred to as the measurement of market power. </w:t>
      </w:r>
    </w:p>
    <w:p w:rsidR="00C6012E" w:rsidRDefault="00C6012E" w:rsidP="00424034">
      <w:pPr>
        <w:contextualSpacing/>
        <w:jc w:val="both"/>
        <w:rPr>
          <w:rFonts w:ascii="Arial" w:hAnsi="Arial" w:cs="Arial"/>
        </w:rPr>
      </w:pPr>
    </w:p>
    <w:p w:rsidR="00A75C94" w:rsidRDefault="003338AA" w:rsidP="00424034">
      <w:pPr>
        <w:contextualSpacing/>
        <w:jc w:val="both"/>
        <w:rPr>
          <w:rFonts w:ascii="Arial" w:hAnsi="Arial" w:cs="Arial"/>
        </w:rPr>
      </w:pPr>
      <w:r>
        <w:rPr>
          <w:rFonts w:ascii="Arial" w:hAnsi="Arial" w:cs="Arial"/>
        </w:rPr>
        <w:t xml:space="preserve">In view of </w:t>
      </w:r>
      <w:r w:rsidR="00703636">
        <w:rPr>
          <w:rFonts w:ascii="Arial" w:hAnsi="Arial" w:cs="Arial"/>
        </w:rPr>
        <w:t xml:space="preserve">the </w:t>
      </w:r>
      <w:r>
        <w:rPr>
          <w:rFonts w:ascii="Arial" w:hAnsi="Arial" w:cs="Arial"/>
        </w:rPr>
        <w:t xml:space="preserve">preceding paragraphs the </w:t>
      </w:r>
      <w:r w:rsidR="00267206">
        <w:rPr>
          <w:rFonts w:ascii="Arial" w:hAnsi="Arial" w:cs="Arial"/>
        </w:rPr>
        <w:t>following</w:t>
      </w:r>
      <w:r w:rsidR="00703636">
        <w:rPr>
          <w:rFonts w:ascii="Arial" w:hAnsi="Arial" w:cs="Arial"/>
        </w:rPr>
        <w:t xml:space="preserve"> sections will examine</w:t>
      </w:r>
      <w:r w:rsidR="00B92937">
        <w:rPr>
          <w:rFonts w:ascii="Arial" w:hAnsi="Arial" w:cs="Arial"/>
        </w:rPr>
        <w:t xml:space="preserve"> the </w:t>
      </w:r>
      <w:r w:rsidR="006D46D5">
        <w:rPr>
          <w:rFonts w:ascii="Arial" w:hAnsi="Arial" w:cs="Arial"/>
        </w:rPr>
        <w:t>delineation</w:t>
      </w:r>
      <w:r w:rsidR="00B92937">
        <w:rPr>
          <w:rFonts w:ascii="Arial" w:hAnsi="Arial" w:cs="Arial"/>
        </w:rPr>
        <w:t xml:space="preserve"> of the relevant market and the measurement of market power</w:t>
      </w:r>
      <w:r w:rsidR="00703636">
        <w:rPr>
          <w:rFonts w:ascii="Arial" w:hAnsi="Arial" w:cs="Arial"/>
        </w:rPr>
        <w:t>.</w:t>
      </w:r>
    </w:p>
    <w:p w:rsidR="00A75C94" w:rsidRDefault="00A75C94" w:rsidP="00424034">
      <w:pPr>
        <w:contextualSpacing/>
        <w:jc w:val="both"/>
        <w:rPr>
          <w:rFonts w:ascii="Arial" w:hAnsi="Arial" w:cs="Arial"/>
        </w:rPr>
      </w:pPr>
    </w:p>
    <w:p w:rsidR="00A8176D" w:rsidRDefault="00B43609" w:rsidP="00424034">
      <w:pPr>
        <w:contextualSpacing/>
        <w:jc w:val="both"/>
        <w:rPr>
          <w:rFonts w:ascii="Arial" w:hAnsi="Arial" w:cs="Arial"/>
        </w:rPr>
      </w:pPr>
      <w:r>
        <w:rPr>
          <w:rFonts w:ascii="Arial" w:hAnsi="Arial" w:cs="Arial"/>
        </w:rPr>
        <w:t>3.3</w:t>
      </w:r>
      <w:r w:rsidR="00A8176D">
        <w:rPr>
          <w:rFonts w:ascii="Arial" w:hAnsi="Arial" w:cs="Arial"/>
        </w:rPr>
        <w:t xml:space="preserve"> </w:t>
      </w:r>
      <w:r w:rsidR="00267206">
        <w:rPr>
          <w:rFonts w:ascii="Arial" w:hAnsi="Arial" w:cs="Arial"/>
        </w:rPr>
        <w:t>The</w:t>
      </w:r>
      <w:r w:rsidR="006D46D5">
        <w:rPr>
          <w:rFonts w:ascii="Arial" w:hAnsi="Arial" w:cs="Arial"/>
        </w:rPr>
        <w:t xml:space="preserve"> delineation of the</w:t>
      </w:r>
      <w:r w:rsidR="00267206">
        <w:rPr>
          <w:rFonts w:ascii="Arial" w:hAnsi="Arial" w:cs="Arial"/>
        </w:rPr>
        <w:t xml:space="preserve"> </w:t>
      </w:r>
      <w:r w:rsidR="00A8176D">
        <w:rPr>
          <w:rFonts w:ascii="Arial" w:hAnsi="Arial" w:cs="Arial"/>
        </w:rPr>
        <w:t xml:space="preserve">relevant </w:t>
      </w:r>
      <w:r w:rsidR="00A8176D" w:rsidRPr="00830476">
        <w:rPr>
          <w:rFonts w:ascii="Arial" w:hAnsi="Arial" w:cs="Arial"/>
        </w:rPr>
        <w:t>market</w:t>
      </w:r>
    </w:p>
    <w:p w:rsidR="00B43609" w:rsidRDefault="00B43609" w:rsidP="005D54D1">
      <w:pPr>
        <w:contextualSpacing/>
        <w:jc w:val="both"/>
        <w:rPr>
          <w:rFonts w:ascii="Arial" w:hAnsi="Arial" w:cs="Arial"/>
        </w:rPr>
      </w:pPr>
    </w:p>
    <w:p w:rsidR="00B1452E" w:rsidRDefault="005A2595" w:rsidP="005D54D1">
      <w:pPr>
        <w:contextualSpacing/>
        <w:jc w:val="both"/>
        <w:rPr>
          <w:rFonts w:ascii="Arial" w:hAnsi="Arial" w:cs="Arial"/>
        </w:rPr>
      </w:pPr>
      <w:r>
        <w:rPr>
          <w:rFonts w:ascii="Arial" w:hAnsi="Arial" w:cs="Arial"/>
        </w:rPr>
        <w:t>3.</w:t>
      </w:r>
      <w:r w:rsidR="00B43609">
        <w:rPr>
          <w:rFonts w:ascii="Arial" w:hAnsi="Arial" w:cs="Arial"/>
        </w:rPr>
        <w:t>3</w:t>
      </w:r>
      <w:r>
        <w:rPr>
          <w:rFonts w:ascii="Arial" w:hAnsi="Arial" w:cs="Arial"/>
        </w:rPr>
        <w:t xml:space="preserve">.1 </w:t>
      </w:r>
      <w:r w:rsidR="00DA2482">
        <w:rPr>
          <w:rFonts w:ascii="Arial" w:hAnsi="Arial" w:cs="Arial"/>
        </w:rPr>
        <w:t xml:space="preserve">Components of the relevant market </w:t>
      </w:r>
    </w:p>
    <w:p w:rsidR="00B43609" w:rsidRDefault="00B43609" w:rsidP="005D54D1">
      <w:pPr>
        <w:contextualSpacing/>
        <w:jc w:val="both"/>
        <w:rPr>
          <w:rFonts w:ascii="Arial" w:hAnsi="Arial" w:cs="Arial"/>
        </w:rPr>
      </w:pPr>
    </w:p>
    <w:p w:rsidR="00DA2482" w:rsidRDefault="00DA2482" w:rsidP="005D54D1">
      <w:pPr>
        <w:contextualSpacing/>
        <w:jc w:val="both"/>
        <w:rPr>
          <w:rFonts w:ascii="Arial" w:hAnsi="Arial" w:cs="Arial"/>
        </w:rPr>
      </w:pPr>
      <w:r>
        <w:rPr>
          <w:rFonts w:ascii="Arial" w:hAnsi="Arial" w:cs="Arial"/>
        </w:rPr>
        <w:t xml:space="preserve">The relevant market can be divided into </w:t>
      </w:r>
      <w:r w:rsidR="00B474F1">
        <w:rPr>
          <w:rFonts w:ascii="Arial" w:hAnsi="Arial" w:cs="Arial"/>
        </w:rPr>
        <w:t xml:space="preserve">four </w:t>
      </w:r>
      <w:r w:rsidR="00753EFA">
        <w:rPr>
          <w:rFonts w:ascii="Arial" w:hAnsi="Arial" w:cs="Arial"/>
        </w:rPr>
        <w:t>categories</w:t>
      </w:r>
      <w:r w:rsidR="00B474F1">
        <w:rPr>
          <w:rFonts w:ascii="Arial" w:hAnsi="Arial" w:cs="Arial"/>
        </w:rPr>
        <w:t xml:space="preserve"> namely the product market, the geographical market; the functional market and the </w:t>
      </w:r>
      <w:r w:rsidR="00B474F1" w:rsidRPr="00F851EB">
        <w:rPr>
          <w:rFonts w:ascii="Arial" w:hAnsi="Arial" w:cs="Arial"/>
        </w:rPr>
        <w:t>temporal</w:t>
      </w:r>
      <w:r w:rsidR="00B474F1">
        <w:rPr>
          <w:rFonts w:ascii="Arial" w:hAnsi="Arial" w:cs="Arial"/>
        </w:rPr>
        <w:t xml:space="preserve"> market.</w:t>
      </w:r>
      <w:r w:rsidR="004518EB">
        <w:rPr>
          <w:rStyle w:val="Funotenzeichen"/>
          <w:rFonts w:ascii="Arial" w:hAnsi="Arial" w:cs="Arial"/>
        </w:rPr>
        <w:footnoteReference w:id="549"/>
      </w:r>
    </w:p>
    <w:p w:rsidR="00E047AF" w:rsidRDefault="00E047AF" w:rsidP="005D54D1">
      <w:pPr>
        <w:contextualSpacing/>
        <w:jc w:val="both"/>
        <w:rPr>
          <w:rFonts w:ascii="Arial" w:hAnsi="Arial" w:cs="Arial"/>
          <w:u w:val="single"/>
        </w:rPr>
      </w:pPr>
    </w:p>
    <w:p w:rsidR="00B474F1" w:rsidRPr="0029117F" w:rsidRDefault="00B474F1" w:rsidP="005D54D1">
      <w:pPr>
        <w:contextualSpacing/>
        <w:jc w:val="both"/>
        <w:rPr>
          <w:rFonts w:ascii="Arial" w:hAnsi="Arial" w:cs="Arial"/>
          <w:u w:val="single"/>
        </w:rPr>
      </w:pPr>
      <w:r w:rsidRPr="0029117F">
        <w:rPr>
          <w:rFonts w:ascii="Arial" w:hAnsi="Arial" w:cs="Arial"/>
          <w:u w:val="single"/>
        </w:rPr>
        <w:t>The product market</w:t>
      </w:r>
    </w:p>
    <w:p w:rsidR="00E84D49" w:rsidRDefault="00E84D49" w:rsidP="005D54D1">
      <w:pPr>
        <w:contextualSpacing/>
        <w:jc w:val="both"/>
        <w:rPr>
          <w:rFonts w:ascii="Arial" w:hAnsi="Arial" w:cs="Arial"/>
        </w:rPr>
      </w:pPr>
      <w:r>
        <w:rPr>
          <w:rFonts w:ascii="Arial" w:hAnsi="Arial" w:cs="Arial"/>
        </w:rPr>
        <w:t xml:space="preserve">The product market </w:t>
      </w:r>
      <w:r w:rsidR="00FA0248">
        <w:rPr>
          <w:rFonts w:ascii="Arial" w:hAnsi="Arial" w:cs="Arial"/>
        </w:rPr>
        <w:t>is</w:t>
      </w:r>
      <w:r>
        <w:rPr>
          <w:rFonts w:ascii="Arial" w:hAnsi="Arial" w:cs="Arial"/>
        </w:rPr>
        <w:t xml:space="preserve"> defined as a </w:t>
      </w:r>
      <w:r w:rsidR="0029117F">
        <w:rPr>
          <w:rFonts w:ascii="Arial" w:hAnsi="Arial" w:cs="Arial"/>
        </w:rPr>
        <w:t>particular</w:t>
      </w:r>
      <w:r w:rsidR="004E3292">
        <w:rPr>
          <w:rFonts w:ascii="Arial" w:hAnsi="Arial" w:cs="Arial"/>
        </w:rPr>
        <w:t xml:space="preserve"> collection</w:t>
      </w:r>
      <w:r>
        <w:rPr>
          <w:rFonts w:ascii="Arial" w:hAnsi="Arial" w:cs="Arial"/>
        </w:rPr>
        <w:t xml:space="preserve"> of products (goods or </w:t>
      </w:r>
      <w:r w:rsidR="004E3292">
        <w:rPr>
          <w:rFonts w:ascii="Arial" w:hAnsi="Arial" w:cs="Arial"/>
        </w:rPr>
        <w:t>services</w:t>
      </w:r>
      <w:r>
        <w:rPr>
          <w:rFonts w:ascii="Arial" w:hAnsi="Arial" w:cs="Arial"/>
        </w:rPr>
        <w:t>)</w:t>
      </w:r>
      <w:r w:rsidR="004E3292">
        <w:rPr>
          <w:rFonts w:ascii="Arial" w:hAnsi="Arial" w:cs="Arial"/>
        </w:rPr>
        <w:t xml:space="preserve"> that are considered by consumers as being substitutable products </w:t>
      </w:r>
      <w:r w:rsidR="00734F4E">
        <w:rPr>
          <w:rFonts w:ascii="Arial" w:hAnsi="Arial" w:cs="Arial"/>
        </w:rPr>
        <w:t xml:space="preserve">with </w:t>
      </w:r>
      <w:r w:rsidR="004E3292">
        <w:rPr>
          <w:rFonts w:ascii="Arial" w:hAnsi="Arial" w:cs="Arial"/>
        </w:rPr>
        <w:t>regard</w:t>
      </w:r>
      <w:r w:rsidR="00734F4E">
        <w:rPr>
          <w:rFonts w:ascii="Arial" w:hAnsi="Arial" w:cs="Arial"/>
        </w:rPr>
        <w:t xml:space="preserve"> to</w:t>
      </w:r>
      <w:r w:rsidR="004E3292">
        <w:rPr>
          <w:rFonts w:ascii="Arial" w:hAnsi="Arial" w:cs="Arial"/>
        </w:rPr>
        <w:t xml:space="preserve"> the price and function</w:t>
      </w:r>
      <w:r w:rsidR="00411BE6">
        <w:rPr>
          <w:rFonts w:ascii="Arial" w:hAnsi="Arial" w:cs="Arial"/>
        </w:rPr>
        <w:t xml:space="preserve"> of those products</w:t>
      </w:r>
      <w:r w:rsidR="004E3292">
        <w:rPr>
          <w:rFonts w:ascii="Arial" w:hAnsi="Arial" w:cs="Arial"/>
        </w:rPr>
        <w:t>.</w:t>
      </w:r>
      <w:r w:rsidR="00734F4E">
        <w:rPr>
          <w:rStyle w:val="Funotenzeichen"/>
          <w:rFonts w:ascii="Arial" w:hAnsi="Arial" w:cs="Arial"/>
        </w:rPr>
        <w:footnoteReference w:id="550"/>
      </w:r>
      <w:r w:rsidR="004E3292">
        <w:rPr>
          <w:rFonts w:ascii="Arial" w:hAnsi="Arial" w:cs="Arial"/>
        </w:rPr>
        <w:t xml:space="preserve"> </w:t>
      </w:r>
      <w:r w:rsidR="00734F4E">
        <w:rPr>
          <w:rFonts w:ascii="Arial" w:hAnsi="Arial" w:cs="Arial"/>
        </w:rPr>
        <w:t xml:space="preserve">Stated differently, the product market is a set of products that is </w:t>
      </w:r>
      <w:r w:rsidR="00411BE6">
        <w:rPr>
          <w:rFonts w:ascii="Arial" w:hAnsi="Arial" w:cs="Arial"/>
        </w:rPr>
        <w:t>viewed</w:t>
      </w:r>
      <w:r w:rsidR="00734F4E">
        <w:rPr>
          <w:rFonts w:ascii="Arial" w:hAnsi="Arial" w:cs="Arial"/>
        </w:rPr>
        <w:t xml:space="preserve"> by consumers as having a similar price and function</w:t>
      </w:r>
      <w:r w:rsidR="0023554B">
        <w:rPr>
          <w:rFonts w:ascii="Arial" w:hAnsi="Arial" w:cs="Arial"/>
        </w:rPr>
        <w:t xml:space="preserve"> and hence are easily substitutable</w:t>
      </w:r>
      <w:r w:rsidR="00734F4E">
        <w:rPr>
          <w:rFonts w:ascii="Arial" w:hAnsi="Arial" w:cs="Arial"/>
        </w:rPr>
        <w:t>.</w:t>
      </w:r>
      <w:r w:rsidR="00411BE6">
        <w:rPr>
          <w:rStyle w:val="Funotenzeichen"/>
          <w:rFonts w:ascii="Arial" w:hAnsi="Arial" w:cs="Arial"/>
        </w:rPr>
        <w:footnoteReference w:id="551"/>
      </w:r>
      <w:r w:rsidR="0023554B">
        <w:rPr>
          <w:rFonts w:ascii="Arial" w:hAnsi="Arial" w:cs="Arial"/>
        </w:rPr>
        <w:t xml:space="preserve"> </w:t>
      </w:r>
      <w:r w:rsidR="0023554B" w:rsidRPr="0023554B">
        <w:rPr>
          <w:rFonts w:ascii="Arial" w:hAnsi="Arial" w:cs="Arial"/>
        </w:rPr>
        <w:t>Substitutability</w:t>
      </w:r>
      <w:r w:rsidR="0023554B">
        <w:rPr>
          <w:rFonts w:ascii="Arial" w:hAnsi="Arial" w:cs="Arial"/>
        </w:rPr>
        <w:t xml:space="preserve"> is the essence of delineating the relevant market.</w:t>
      </w:r>
      <w:r w:rsidR="0023554B">
        <w:rPr>
          <w:rStyle w:val="Funotenzeichen"/>
          <w:rFonts w:ascii="Arial" w:hAnsi="Arial" w:cs="Arial"/>
        </w:rPr>
        <w:footnoteReference w:id="552"/>
      </w:r>
    </w:p>
    <w:p w:rsidR="00E93DEB" w:rsidRDefault="00E93DEB" w:rsidP="005D54D1">
      <w:pPr>
        <w:contextualSpacing/>
        <w:jc w:val="both"/>
        <w:rPr>
          <w:rFonts w:ascii="Arial" w:hAnsi="Arial" w:cs="Arial"/>
        </w:rPr>
      </w:pPr>
    </w:p>
    <w:p w:rsidR="00B474F1" w:rsidRPr="00F54BC7" w:rsidRDefault="00B43E4E" w:rsidP="005D54D1">
      <w:pPr>
        <w:contextualSpacing/>
        <w:jc w:val="both"/>
        <w:rPr>
          <w:rFonts w:ascii="Arial" w:hAnsi="Arial" w:cs="Arial"/>
          <w:u w:val="single"/>
        </w:rPr>
      </w:pPr>
      <w:r w:rsidRPr="00F54BC7">
        <w:rPr>
          <w:rFonts w:ascii="Arial" w:hAnsi="Arial" w:cs="Arial"/>
          <w:u w:val="single"/>
        </w:rPr>
        <w:t xml:space="preserve">The </w:t>
      </w:r>
      <w:r w:rsidR="00B474F1" w:rsidRPr="00F54BC7">
        <w:rPr>
          <w:rFonts w:ascii="Arial" w:hAnsi="Arial" w:cs="Arial"/>
          <w:u w:val="single"/>
        </w:rPr>
        <w:t>Geographical market</w:t>
      </w:r>
    </w:p>
    <w:p w:rsidR="00B474F1" w:rsidRDefault="001153D6" w:rsidP="005D54D1">
      <w:pPr>
        <w:contextualSpacing/>
        <w:jc w:val="both"/>
        <w:rPr>
          <w:rFonts w:ascii="Arial" w:hAnsi="Arial" w:cs="Arial"/>
        </w:rPr>
      </w:pPr>
      <w:r>
        <w:rPr>
          <w:rFonts w:ascii="Arial" w:hAnsi="Arial" w:cs="Arial"/>
        </w:rPr>
        <w:t xml:space="preserve">The </w:t>
      </w:r>
      <w:r w:rsidRPr="001153D6">
        <w:rPr>
          <w:rFonts w:ascii="Arial" w:hAnsi="Arial" w:cs="Arial"/>
        </w:rPr>
        <w:t>geographic</w:t>
      </w:r>
      <w:r>
        <w:rPr>
          <w:rFonts w:ascii="Arial" w:hAnsi="Arial" w:cs="Arial"/>
        </w:rPr>
        <w:t xml:space="preserve">al </w:t>
      </w:r>
      <w:r w:rsidR="00E047AF">
        <w:rPr>
          <w:rFonts w:ascii="Arial" w:hAnsi="Arial" w:cs="Arial"/>
        </w:rPr>
        <w:t>market</w:t>
      </w:r>
      <w:r>
        <w:rPr>
          <w:rFonts w:ascii="Arial" w:hAnsi="Arial" w:cs="Arial"/>
        </w:rPr>
        <w:t xml:space="preserve"> </w:t>
      </w:r>
      <w:r w:rsidR="00FA0248">
        <w:rPr>
          <w:rFonts w:ascii="Arial" w:hAnsi="Arial" w:cs="Arial"/>
        </w:rPr>
        <w:t>is</w:t>
      </w:r>
      <w:r>
        <w:rPr>
          <w:rFonts w:ascii="Arial" w:hAnsi="Arial" w:cs="Arial"/>
        </w:rPr>
        <w:t xml:space="preserve"> defined as </w:t>
      </w:r>
      <w:r w:rsidR="00B43E4E">
        <w:rPr>
          <w:rFonts w:ascii="Arial" w:hAnsi="Arial" w:cs="Arial"/>
        </w:rPr>
        <w:t xml:space="preserve">the geographical area </w:t>
      </w:r>
      <w:r w:rsidR="0098600E">
        <w:rPr>
          <w:rFonts w:ascii="Arial" w:hAnsi="Arial" w:cs="Arial"/>
        </w:rPr>
        <w:t>with</w:t>
      </w:r>
      <w:r w:rsidR="00B43E4E">
        <w:rPr>
          <w:rFonts w:ascii="Arial" w:hAnsi="Arial" w:cs="Arial"/>
        </w:rPr>
        <w:t xml:space="preserve">in which the product </w:t>
      </w:r>
      <w:r w:rsidR="0098600E">
        <w:rPr>
          <w:rFonts w:ascii="Arial" w:hAnsi="Arial" w:cs="Arial"/>
        </w:rPr>
        <w:t>market is</w:t>
      </w:r>
      <w:r w:rsidR="00B43E4E">
        <w:rPr>
          <w:rFonts w:ascii="Arial" w:hAnsi="Arial" w:cs="Arial"/>
        </w:rPr>
        <w:t xml:space="preserve"> </w:t>
      </w:r>
      <w:r w:rsidR="0098600E">
        <w:rPr>
          <w:rFonts w:ascii="Arial" w:hAnsi="Arial" w:cs="Arial"/>
        </w:rPr>
        <w:t>located</w:t>
      </w:r>
      <w:r w:rsidR="00B43E4E">
        <w:rPr>
          <w:rFonts w:ascii="Arial" w:hAnsi="Arial" w:cs="Arial"/>
        </w:rPr>
        <w:t>.</w:t>
      </w:r>
      <w:r w:rsidR="0098600E">
        <w:rPr>
          <w:rStyle w:val="Funotenzeichen"/>
          <w:rFonts w:ascii="Arial" w:hAnsi="Arial" w:cs="Arial"/>
        </w:rPr>
        <w:footnoteReference w:id="553"/>
      </w:r>
      <w:r w:rsidR="00B43E4E">
        <w:rPr>
          <w:rFonts w:ascii="Arial" w:hAnsi="Arial" w:cs="Arial"/>
        </w:rPr>
        <w:t xml:space="preserve"> In other words, the geographical market is the geographical area within which various firms supply products that are considered </w:t>
      </w:r>
      <w:r w:rsidR="00D1784B">
        <w:rPr>
          <w:rFonts w:ascii="Arial" w:hAnsi="Arial" w:cs="Arial"/>
        </w:rPr>
        <w:t>substitutable</w:t>
      </w:r>
      <w:r w:rsidR="00B43E4E">
        <w:rPr>
          <w:rFonts w:ascii="Arial" w:hAnsi="Arial" w:cs="Arial"/>
        </w:rPr>
        <w:t xml:space="preserve"> with regard to their price and function.</w:t>
      </w:r>
      <w:r w:rsidR="00D1784B">
        <w:rPr>
          <w:rStyle w:val="Funotenzeichen"/>
          <w:rFonts w:ascii="Arial" w:hAnsi="Arial" w:cs="Arial"/>
        </w:rPr>
        <w:footnoteReference w:id="554"/>
      </w:r>
      <w:r>
        <w:rPr>
          <w:rFonts w:ascii="Arial" w:hAnsi="Arial" w:cs="Arial"/>
        </w:rPr>
        <w:t xml:space="preserve"> </w:t>
      </w:r>
      <w:r w:rsidR="00753EFA">
        <w:rPr>
          <w:rFonts w:ascii="Arial" w:hAnsi="Arial" w:cs="Arial"/>
        </w:rPr>
        <w:t xml:space="preserve">Geographical markets can be divided into four </w:t>
      </w:r>
      <w:r w:rsidR="00E047AF">
        <w:rPr>
          <w:rFonts w:ascii="Arial" w:hAnsi="Arial" w:cs="Arial"/>
        </w:rPr>
        <w:t>sub</w:t>
      </w:r>
      <w:r w:rsidR="00753EFA">
        <w:rPr>
          <w:rFonts w:ascii="Arial" w:hAnsi="Arial" w:cs="Arial"/>
        </w:rPr>
        <w:t>categories namely local, regional, national and international geographical markets.</w:t>
      </w:r>
      <w:r w:rsidR="00753EFA">
        <w:rPr>
          <w:rStyle w:val="Funotenzeichen"/>
          <w:rFonts w:ascii="Arial" w:hAnsi="Arial" w:cs="Arial"/>
        </w:rPr>
        <w:footnoteReference w:id="555"/>
      </w:r>
      <w:r w:rsidR="00753EFA">
        <w:rPr>
          <w:rFonts w:ascii="Arial" w:hAnsi="Arial" w:cs="Arial"/>
        </w:rPr>
        <w:t xml:space="preserve"> </w:t>
      </w:r>
    </w:p>
    <w:p w:rsidR="00B1452E" w:rsidRDefault="00B1452E" w:rsidP="005D54D1">
      <w:pPr>
        <w:contextualSpacing/>
        <w:jc w:val="both"/>
        <w:rPr>
          <w:rFonts w:ascii="Arial" w:hAnsi="Arial" w:cs="Arial"/>
        </w:rPr>
      </w:pPr>
    </w:p>
    <w:p w:rsidR="00B1452E" w:rsidRPr="00BF4486" w:rsidRDefault="00BF4486" w:rsidP="005D54D1">
      <w:pPr>
        <w:contextualSpacing/>
        <w:jc w:val="both"/>
        <w:rPr>
          <w:rFonts w:ascii="Arial" w:hAnsi="Arial" w:cs="Arial"/>
          <w:u w:val="single"/>
        </w:rPr>
      </w:pPr>
      <w:r w:rsidRPr="00BF4486">
        <w:rPr>
          <w:rFonts w:ascii="Arial" w:hAnsi="Arial" w:cs="Arial"/>
          <w:u w:val="single"/>
        </w:rPr>
        <w:t>The functional market</w:t>
      </w:r>
    </w:p>
    <w:p w:rsidR="004527B0" w:rsidRDefault="00FA0248" w:rsidP="005D54D1">
      <w:pPr>
        <w:contextualSpacing/>
        <w:jc w:val="both"/>
        <w:rPr>
          <w:rFonts w:ascii="Arial" w:hAnsi="Arial" w:cs="Arial"/>
        </w:rPr>
      </w:pPr>
      <w:r>
        <w:rPr>
          <w:rFonts w:ascii="Arial" w:hAnsi="Arial" w:cs="Arial"/>
        </w:rPr>
        <w:t xml:space="preserve">The functional market is defined </w:t>
      </w:r>
      <w:r w:rsidR="00E434C7">
        <w:rPr>
          <w:rFonts w:ascii="Arial" w:hAnsi="Arial" w:cs="Arial"/>
        </w:rPr>
        <w:t>by</w:t>
      </w:r>
      <w:r>
        <w:rPr>
          <w:rFonts w:ascii="Arial" w:hAnsi="Arial" w:cs="Arial"/>
        </w:rPr>
        <w:t xml:space="preserve"> the position on the supply </w:t>
      </w:r>
      <w:r w:rsidR="004527B0">
        <w:rPr>
          <w:rFonts w:ascii="Arial" w:hAnsi="Arial" w:cs="Arial"/>
        </w:rPr>
        <w:t>chain</w:t>
      </w:r>
      <w:r w:rsidR="00FC16EF">
        <w:rPr>
          <w:rStyle w:val="Funotenzeichen"/>
          <w:rFonts w:ascii="Arial" w:hAnsi="Arial" w:cs="Arial"/>
        </w:rPr>
        <w:footnoteReference w:id="556"/>
      </w:r>
      <w:r w:rsidR="004527B0">
        <w:rPr>
          <w:rFonts w:ascii="Arial" w:hAnsi="Arial" w:cs="Arial"/>
        </w:rPr>
        <w:t xml:space="preserve"> occupied by</w:t>
      </w:r>
      <w:r>
        <w:rPr>
          <w:rFonts w:ascii="Arial" w:hAnsi="Arial" w:cs="Arial"/>
        </w:rPr>
        <w:t xml:space="preserve"> the relevant firms.</w:t>
      </w:r>
      <w:r w:rsidR="004527B0">
        <w:rPr>
          <w:rStyle w:val="Funotenzeichen"/>
          <w:rFonts w:ascii="Arial" w:hAnsi="Arial" w:cs="Arial"/>
        </w:rPr>
        <w:footnoteReference w:id="557"/>
      </w:r>
      <w:r w:rsidR="004527B0">
        <w:rPr>
          <w:rFonts w:ascii="Arial" w:hAnsi="Arial" w:cs="Arial"/>
        </w:rPr>
        <w:t xml:space="preserve"> This</w:t>
      </w:r>
      <w:r>
        <w:rPr>
          <w:rFonts w:ascii="Arial" w:hAnsi="Arial" w:cs="Arial"/>
        </w:rPr>
        <w:t xml:space="preserve"> </w:t>
      </w:r>
      <w:r w:rsidR="00DE117D">
        <w:rPr>
          <w:rFonts w:ascii="Arial" w:hAnsi="Arial" w:cs="Arial"/>
        </w:rPr>
        <w:t xml:space="preserve">position on the supply chain </w:t>
      </w:r>
      <w:r>
        <w:rPr>
          <w:rFonts w:ascii="Arial" w:hAnsi="Arial" w:cs="Arial"/>
        </w:rPr>
        <w:t>in turn</w:t>
      </w:r>
      <w:r w:rsidR="004527B0">
        <w:rPr>
          <w:rFonts w:ascii="Arial" w:hAnsi="Arial" w:cs="Arial"/>
        </w:rPr>
        <w:t xml:space="preserve"> is</w:t>
      </w:r>
      <w:r>
        <w:rPr>
          <w:rFonts w:ascii="Arial" w:hAnsi="Arial" w:cs="Arial"/>
        </w:rPr>
        <w:t xml:space="preserve"> </w:t>
      </w:r>
      <w:r w:rsidR="00DE117D">
        <w:rPr>
          <w:rFonts w:ascii="Arial" w:hAnsi="Arial" w:cs="Arial"/>
        </w:rPr>
        <w:t>determined</w:t>
      </w:r>
      <w:r>
        <w:rPr>
          <w:rFonts w:ascii="Arial" w:hAnsi="Arial" w:cs="Arial"/>
        </w:rPr>
        <w:t xml:space="preserve"> by the </w:t>
      </w:r>
      <w:r w:rsidR="00DE117D">
        <w:rPr>
          <w:rFonts w:ascii="Arial" w:hAnsi="Arial" w:cs="Arial"/>
        </w:rPr>
        <w:t>stage</w:t>
      </w:r>
      <w:r>
        <w:rPr>
          <w:rFonts w:ascii="Arial" w:hAnsi="Arial" w:cs="Arial"/>
        </w:rPr>
        <w:t xml:space="preserve"> </w:t>
      </w:r>
      <w:r w:rsidR="00DE117D">
        <w:rPr>
          <w:rFonts w:ascii="Arial" w:hAnsi="Arial" w:cs="Arial"/>
        </w:rPr>
        <w:t xml:space="preserve">of </w:t>
      </w:r>
      <w:r w:rsidR="00DE117D" w:rsidRPr="00DE117D">
        <w:rPr>
          <w:rFonts w:ascii="Arial" w:hAnsi="Arial" w:cs="Arial"/>
        </w:rPr>
        <w:t>production</w:t>
      </w:r>
      <w:r w:rsidR="00DE117D">
        <w:rPr>
          <w:rFonts w:ascii="Arial" w:hAnsi="Arial" w:cs="Arial"/>
        </w:rPr>
        <w:t xml:space="preserve"> of their products and their respective customers.</w:t>
      </w:r>
      <w:r w:rsidR="004527B0">
        <w:rPr>
          <w:rStyle w:val="Funotenzeichen"/>
          <w:rFonts w:ascii="Arial" w:hAnsi="Arial" w:cs="Arial"/>
        </w:rPr>
        <w:footnoteReference w:id="558"/>
      </w:r>
      <w:r>
        <w:rPr>
          <w:rFonts w:ascii="Arial" w:hAnsi="Arial" w:cs="Arial"/>
        </w:rPr>
        <w:t xml:space="preserve"> </w:t>
      </w:r>
    </w:p>
    <w:p w:rsidR="004527B0" w:rsidRDefault="004527B0" w:rsidP="005D54D1">
      <w:pPr>
        <w:contextualSpacing/>
        <w:jc w:val="both"/>
        <w:rPr>
          <w:rFonts w:ascii="Arial" w:hAnsi="Arial" w:cs="Arial"/>
        </w:rPr>
      </w:pPr>
    </w:p>
    <w:p w:rsidR="00BF4486" w:rsidRDefault="00FA0248" w:rsidP="005D54D1">
      <w:pPr>
        <w:contextualSpacing/>
        <w:jc w:val="both"/>
        <w:rPr>
          <w:rFonts w:ascii="Arial" w:hAnsi="Arial" w:cs="Arial"/>
        </w:rPr>
      </w:pPr>
      <w:r>
        <w:rPr>
          <w:rFonts w:ascii="Arial" w:hAnsi="Arial" w:cs="Arial"/>
        </w:rPr>
        <w:t xml:space="preserve">The functional market </w:t>
      </w:r>
      <w:r w:rsidR="00DE117D">
        <w:rPr>
          <w:rFonts w:ascii="Arial" w:hAnsi="Arial" w:cs="Arial"/>
        </w:rPr>
        <w:t>can be divided into two categories namely the upstream and the downstream markets.</w:t>
      </w:r>
      <w:r w:rsidR="00C80B81">
        <w:rPr>
          <w:rStyle w:val="Funotenzeichen"/>
          <w:rFonts w:ascii="Arial" w:hAnsi="Arial" w:cs="Arial"/>
        </w:rPr>
        <w:footnoteReference w:id="559"/>
      </w:r>
      <w:r w:rsidR="00DE117D">
        <w:rPr>
          <w:rFonts w:ascii="Arial" w:hAnsi="Arial" w:cs="Arial"/>
        </w:rPr>
        <w:t xml:space="preserve"> The upstream market </w:t>
      </w:r>
      <w:r w:rsidR="004527B0">
        <w:rPr>
          <w:rFonts w:ascii="Arial" w:hAnsi="Arial" w:cs="Arial"/>
        </w:rPr>
        <w:t>mainly</w:t>
      </w:r>
      <w:r w:rsidR="00DE117D">
        <w:rPr>
          <w:rFonts w:ascii="Arial" w:hAnsi="Arial" w:cs="Arial"/>
        </w:rPr>
        <w:t xml:space="preserve"> includes products in the early stages of </w:t>
      </w:r>
      <w:r w:rsidR="0058397E">
        <w:rPr>
          <w:rFonts w:ascii="Arial" w:hAnsi="Arial" w:cs="Arial"/>
        </w:rPr>
        <w:t>production, which</w:t>
      </w:r>
      <w:r w:rsidR="00DE117D">
        <w:rPr>
          <w:rFonts w:ascii="Arial" w:hAnsi="Arial" w:cs="Arial"/>
        </w:rPr>
        <w:t xml:space="preserve"> are </w:t>
      </w:r>
      <w:r w:rsidR="0058397E">
        <w:rPr>
          <w:rFonts w:ascii="Arial" w:hAnsi="Arial" w:cs="Arial"/>
        </w:rPr>
        <w:t>typically</w:t>
      </w:r>
      <w:r w:rsidR="00DE117D">
        <w:rPr>
          <w:rFonts w:ascii="Arial" w:hAnsi="Arial" w:cs="Arial"/>
        </w:rPr>
        <w:t xml:space="preserve"> sold to other manufactures for re-processing</w:t>
      </w:r>
      <w:r w:rsidR="004527B0">
        <w:rPr>
          <w:rFonts w:ascii="Arial" w:hAnsi="Arial" w:cs="Arial"/>
        </w:rPr>
        <w:t xml:space="preserve"> or to wholesalers</w:t>
      </w:r>
      <w:r w:rsidR="0058397E">
        <w:rPr>
          <w:rFonts w:ascii="Arial" w:hAnsi="Arial" w:cs="Arial"/>
        </w:rPr>
        <w:t xml:space="preserve"> and distributors</w:t>
      </w:r>
      <w:r w:rsidR="00DE117D">
        <w:rPr>
          <w:rFonts w:ascii="Arial" w:hAnsi="Arial" w:cs="Arial"/>
        </w:rPr>
        <w:t>.</w:t>
      </w:r>
      <w:r w:rsidR="009D787F">
        <w:rPr>
          <w:rStyle w:val="Funotenzeichen"/>
          <w:rFonts w:ascii="Arial" w:hAnsi="Arial" w:cs="Arial"/>
        </w:rPr>
        <w:footnoteReference w:id="560"/>
      </w:r>
      <w:r w:rsidR="004527B0">
        <w:rPr>
          <w:rFonts w:ascii="Arial" w:hAnsi="Arial" w:cs="Arial"/>
        </w:rPr>
        <w:t xml:space="preserve"> The downstream </w:t>
      </w:r>
      <w:r w:rsidR="0058397E">
        <w:rPr>
          <w:rFonts w:ascii="Arial" w:hAnsi="Arial" w:cs="Arial"/>
        </w:rPr>
        <w:t>market mainly includes products at the latter stages of production, which are</w:t>
      </w:r>
      <w:r w:rsidR="004527B0">
        <w:rPr>
          <w:rFonts w:ascii="Arial" w:hAnsi="Arial" w:cs="Arial"/>
        </w:rPr>
        <w:t xml:space="preserve"> </w:t>
      </w:r>
      <w:r w:rsidR="0058397E">
        <w:rPr>
          <w:rFonts w:ascii="Arial" w:hAnsi="Arial" w:cs="Arial"/>
        </w:rPr>
        <w:t>generally</w:t>
      </w:r>
      <w:r w:rsidR="004527B0">
        <w:rPr>
          <w:rFonts w:ascii="Arial" w:hAnsi="Arial" w:cs="Arial"/>
        </w:rPr>
        <w:t xml:space="preserve"> sold to consumers in the retail sector.</w:t>
      </w:r>
      <w:r w:rsidR="009D787F">
        <w:rPr>
          <w:rStyle w:val="Funotenzeichen"/>
          <w:rFonts w:ascii="Arial" w:hAnsi="Arial" w:cs="Arial"/>
        </w:rPr>
        <w:footnoteReference w:id="561"/>
      </w:r>
    </w:p>
    <w:p w:rsidR="00265686" w:rsidRDefault="00265686" w:rsidP="005D54D1">
      <w:pPr>
        <w:contextualSpacing/>
        <w:jc w:val="both"/>
        <w:rPr>
          <w:rFonts w:ascii="Arial" w:hAnsi="Arial" w:cs="Arial"/>
        </w:rPr>
      </w:pPr>
    </w:p>
    <w:p w:rsidR="00265686" w:rsidRPr="00265686" w:rsidRDefault="00265686" w:rsidP="005D54D1">
      <w:pPr>
        <w:contextualSpacing/>
        <w:jc w:val="both"/>
        <w:rPr>
          <w:rFonts w:ascii="Arial" w:hAnsi="Arial" w:cs="Arial"/>
          <w:u w:val="single"/>
        </w:rPr>
      </w:pPr>
      <w:r w:rsidRPr="00265686">
        <w:rPr>
          <w:rFonts w:ascii="Arial" w:hAnsi="Arial" w:cs="Arial"/>
          <w:u w:val="single"/>
        </w:rPr>
        <w:t>The temporal market</w:t>
      </w:r>
    </w:p>
    <w:p w:rsidR="007B2415" w:rsidRDefault="009A791A" w:rsidP="00567D9C">
      <w:pPr>
        <w:contextualSpacing/>
        <w:jc w:val="both"/>
        <w:rPr>
          <w:rFonts w:ascii="Arial" w:hAnsi="Arial" w:cs="Arial"/>
        </w:rPr>
      </w:pPr>
      <w:r>
        <w:rPr>
          <w:rFonts w:ascii="Arial" w:hAnsi="Arial" w:cs="Arial"/>
        </w:rPr>
        <w:t>Occasionally time is a factor that needs to be taken into account when delineating the relevant market.</w:t>
      </w:r>
      <w:r w:rsidR="00567D9C">
        <w:rPr>
          <w:rStyle w:val="Funotenzeichen"/>
          <w:rFonts w:ascii="Arial" w:hAnsi="Arial" w:cs="Arial"/>
        </w:rPr>
        <w:footnoteReference w:id="562"/>
      </w:r>
      <w:r>
        <w:rPr>
          <w:rFonts w:ascii="Arial" w:hAnsi="Arial" w:cs="Arial"/>
        </w:rPr>
        <w:t xml:space="preserve"> This generally arise when the substitution of products by consumers cannot occur instantaneous</w:t>
      </w:r>
      <w:r w:rsidR="00E434C7">
        <w:rPr>
          <w:rFonts w:ascii="Arial" w:hAnsi="Arial" w:cs="Arial"/>
        </w:rPr>
        <w:t>ly</w:t>
      </w:r>
      <w:r>
        <w:rPr>
          <w:rFonts w:ascii="Arial" w:hAnsi="Arial" w:cs="Arial"/>
        </w:rPr>
        <w:t xml:space="preserve"> i.e. consumers need time to switch from one product to another.</w:t>
      </w:r>
      <w:r w:rsidR="00567D9C">
        <w:rPr>
          <w:rStyle w:val="Funotenzeichen"/>
          <w:rFonts w:ascii="Arial" w:hAnsi="Arial" w:cs="Arial"/>
        </w:rPr>
        <w:footnoteReference w:id="563"/>
      </w:r>
      <w:r>
        <w:rPr>
          <w:rFonts w:ascii="Arial" w:hAnsi="Arial" w:cs="Arial"/>
        </w:rPr>
        <w:t xml:space="preserve"> </w:t>
      </w:r>
      <w:r w:rsidR="00567D9C">
        <w:rPr>
          <w:rFonts w:ascii="Arial" w:hAnsi="Arial" w:cs="Arial"/>
        </w:rPr>
        <w:t>Time characteristics include among other</w:t>
      </w:r>
      <w:r w:rsidR="00B178BF">
        <w:rPr>
          <w:rFonts w:ascii="Arial" w:hAnsi="Arial" w:cs="Arial"/>
        </w:rPr>
        <w:t>s</w:t>
      </w:r>
      <w:r w:rsidR="00567D9C">
        <w:rPr>
          <w:rFonts w:ascii="Arial" w:hAnsi="Arial" w:cs="Arial"/>
        </w:rPr>
        <w:t xml:space="preserve"> seasonality, </w:t>
      </w:r>
      <w:r w:rsidR="00567D9C" w:rsidRPr="00567D9C">
        <w:rPr>
          <w:rFonts w:ascii="Arial" w:hAnsi="Arial" w:cs="Arial"/>
        </w:rPr>
        <w:t>peak and off-peak services</w:t>
      </w:r>
      <w:r w:rsidR="00B178BF">
        <w:rPr>
          <w:rFonts w:ascii="Arial" w:hAnsi="Arial" w:cs="Arial"/>
        </w:rPr>
        <w:t xml:space="preserve"> and work that can only be performed at a specific time of day</w:t>
      </w:r>
      <w:r w:rsidR="00567D9C">
        <w:rPr>
          <w:rFonts w:ascii="Arial" w:hAnsi="Arial" w:cs="Arial"/>
        </w:rPr>
        <w:t>.</w:t>
      </w:r>
      <w:r w:rsidR="00567D9C">
        <w:rPr>
          <w:rStyle w:val="Funotenzeichen"/>
          <w:rFonts w:ascii="Arial" w:hAnsi="Arial" w:cs="Arial"/>
        </w:rPr>
        <w:footnoteReference w:id="564"/>
      </w:r>
    </w:p>
    <w:p w:rsidR="00F16F9F" w:rsidRDefault="00F16F9F" w:rsidP="00567D9C">
      <w:pPr>
        <w:contextualSpacing/>
        <w:jc w:val="both"/>
        <w:rPr>
          <w:rFonts w:ascii="Arial" w:hAnsi="Arial" w:cs="Arial"/>
        </w:rPr>
      </w:pPr>
    </w:p>
    <w:p w:rsidR="007B2415" w:rsidRDefault="007B2415" w:rsidP="00567D9C">
      <w:pPr>
        <w:contextualSpacing/>
        <w:jc w:val="both"/>
        <w:rPr>
          <w:rFonts w:ascii="Arial" w:hAnsi="Arial" w:cs="Arial"/>
        </w:rPr>
      </w:pPr>
      <w:r>
        <w:rPr>
          <w:rFonts w:ascii="Arial" w:hAnsi="Arial" w:cs="Arial"/>
        </w:rPr>
        <w:t>The product-, geographical- and functional markets are used most often in the process of de</w:t>
      </w:r>
      <w:r w:rsidR="007618C7">
        <w:rPr>
          <w:rFonts w:ascii="Arial" w:hAnsi="Arial" w:cs="Arial"/>
        </w:rPr>
        <w:t>lineating</w:t>
      </w:r>
      <w:r>
        <w:rPr>
          <w:rFonts w:ascii="Arial" w:hAnsi="Arial" w:cs="Arial"/>
        </w:rPr>
        <w:t xml:space="preserve"> the relevant market with the temporal market </w:t>
      </w:r>
      <w:r w:rsidR="00E434C7">
        <w:rPr>
          <w:rFonts w:ascii="Arial" w:hAnsi="Arial" w:cs="Arial"/>
        </w:rPr>
        <w:t>rarely</w:t>
      </w:r>
      <w:r w:rsidR="007618C7">
        <w:rPr>
          <w:rFonts w:ascii="Arial" w:hAnsi="Arial" w:cs="Arial"/>
        </w:rPr>
        <w:t xml:space="preserve"> used.</w:t>
      </w:r>
      <w:r w:rsidR="00934421">
        <w:rPr>
          <w:rStyle w:val="Funotenzeichen"/>
          <w:rFonts w:ascii="Arial" w:hAnsi="Arial" w:cs="Arial"/>
        </w:rPr>
        <w:footnoteReference w:id="565"/>
      </w:r>
    </w:p>
    <w:p w:rsidR="00B1452E" w:rsidRDefault="007B2415" w:rsidP="005D54D1">
      <w:pPr>
        <w:contextualSpacing/>
        <w:jc w:val="both"/>
        <w:rPr>
          <w:rFonts w:ascii="Arial" w:hAnsi="Arial" w:cs="Arial"/>
        </w:rPr>
      </w:pPr>
      <w:r>
        <w:rPr>
          <w:rFonts w:ascii="Arial" w:hAnsi="Arial" w:cs="Arial"/>
        </w:rPr>
        <w:t xml:space="preserve"> </w:t>
      </w:r>
    </w:p>
    <w:p w:rsidR="007310D0" w:rsidRDefault="007310D0" w:rsidP="005A2595">
      <w:pPr>
        <w:contextualSpacing/>
        <w:jc w:val="both"/>
        <w:rPr>
          <w:rFonts w:ascii="Arial" w:hAnsi="Arial" w:cs="Arial"/>
        </w:rPr>
      </w:pPr>
      <w:r>
        <w:rPr>
          <w:rFonts w:ascii="Arial" w:hAnsi="Arial" w:cs="Arial"/>
        </w:rPr>
        <w:t>3.</w:t>
      </w:r>
      <w:r w:rsidR="00E434C7">
        <w:rPr>
          <w:rFonts w:ascii="Arial" w:hAnsi="Arial" w:cs="Arial"/>
        </w:rPr>
        <w:t>3</w:t>
      </w:r>
      <w:r>
        <w:rPr>
          <w:rFonts w:ascii="Arial" w:hAnsi="Arial" w:cs="Arial"/>
        </w:rPr>
        <w:t>.2. The importance of market delineation</w:t>
      </w:r>
    </w:p>
    <w:p w:rsidR="00CA4161" w:rsidRDefault="00CA4161" w:rsidP="005A2595">
      <w:pPr>
        <w:contextualSpacing/>
        <w:jc w:val="both"/>
        <w:rPr>
          <w:rFonts w:ascii="Arial" w:hAnsi="Arial" w:cs="Arial"/>
        </w:rPr>
      </w:pPr>
    </w:p>
    <w:p w:rsidR="005A2595" w:rsidRDefault="005A2595" w:rsidP="005A2595">
      <w:pPr>
        <w:contextualSpacing/>
        <w:jc w:val="both"/>
        <w:rPr>
          <w:rFonts w:ascii="Arial" w:hAnsi="Arial" w:cs="Arial"/>
        </w:rPr>
      </w:pPr>
      <w:r>
        <w:rPr>
          <w:rFonts w:ascii="Arial" w:hAnsi="Arial" w:cs="Arial"/>
        </w:rPr>
        <w:t xml:space="preserve">The </w:t>
      </w:r>
      <w:r w:rsidR="00C2742E">
        <w:rPr>
          <w:rFonts w:ascii="Arial" w:hAnsi="Arial" w:cs="Arial"/>
        </w:rPr>
        <w:t xml:space="preserve">South African </w:t>
      </w:r>
      <w:r>
        <w:rPr>
          <w:rFonts w:ascii="Arial" w:hAnsi="Arial" w:cs="Arial"/>
        </w:rPr>
        <w:t>Competition Act</w:t>
      </w:r>
      <w:r>
        <w:rPr>
          <w:rStyle w:val="Funotenzeichen"/>
          <w:rFonts w:ascii="Arial" w:hAnsi="Arial" w:cs="Arial"/>
        </w:rPr>
        <w:footnoteReference w:id="566"/>
      </w:r>
      <w:r>
        <w:rPr>
          <w:rFonts w:ascii="Arial" w:hAnsi="Arial" w:cs="Arial"/>
        </w:rPr>
        <w:t xml:space="preserve"> does not define the </w:t>
      </w:r>
      <w:r w:rsidR="005828BF">
        <w:rPr>
          <w:rFonts w:ascii="Arial" w:hAnsi="Arial" w:cs="Arial"/>
        </w:rPr>
        <w:t>term “</w:t>
      </w:r>
      <w:r>
        <w:rPr>
          <w:rFonts w:ascii="Arial" w:hAnsi="Arial" w:cs="Arial"/>
        </w:rPr>
        <w:t>relevant market</w:t>
      </w:r>
      <w:r w:rsidR="005828BF">
        <w:rPr>
          <w:rFonts w:ascii="Arial" w:hAnsi="Arial" w:cs="Arial"/>
        </w:rPr>
        <w:t>”</w:t>
      </w:r>
      <w:r>
        <w:rPr>
          <w:rFonts w:ascii="Arial" w:hAnsi="Arial" w:cs="Arial"/>
        </w:rPr>
        <w:t xml:space="preserve"> </w:t>
      </w:r>
      <w:r w:rsidR="00C2742E">
        <w:rPr>
          <w:rFonts w:ascii="Arial" w:hAnsi="Arial" w:cs="Arial"/>
        </w:rPr>
        <w:t xml:space="preserve">nor </w:t>
      </w:r>
      <w:r w:rsidR="005828BF">
        <w:rPr>
          <w:rFonts w:ascii="Arial" w:hAnsi="Arial" w:cs="Arial"/>
        </w:rPr>
        <w:t xml:space="preserve">does it </w:t>
      </w:r>
      <w:r w:rsidR="005828BF" w:rsidRPr="00F80A82">
        <w:rPr>
          <w:rFonts w:ascii="Arial" w:hAnsi="Arial" w:cs="Arial"/>
        </w:rPr>
        <w:t>prescribe</w:t>
      </w:r>
      <w:r w:rsidR="005828BF">
        <w:rPr>
          <w:rFonts w:ascii="Arial" w:hAnsi="Arial" w:cs="Arial"/>
        </w:rPr>
        <w:t xml:space="preserve"> </w:t>
      </w:r>
      <w:r w:rsidR="00C2742E">
        <w:rPr>
          <w:rFonts w:ascii="Arial" w:hAnsi="Arial" w:cs="Arial"/>
        </w:rPr>
        <w:t>any process</w:t>
      </w:r>
      <w:r w:rsidR="00657EAB">
        <w:rPr>
          <w:rFonts w:ascii="Arial" w:hAnsi="Arial" w:cs="Arial"/>
        </w:rPr>
        <w:t>es</w:t>
      </w:r>
      <w:r w:rsidR="00C2742E">
        <w:rPr>
          <w:rFonts w:ascii="Arial" w:hAnsi="Arial" w:cs="Arial"/>
        </w:rPr>
        <w:t xml:space="preserve"> or method</w:t>
      </w:r>
      <w:r w:rsidR="00657EAB">
        <w:rPr>
          <w:rFonts w:ascii="Arial" w:hAnsi="Arial" w:cs="Arial"/>
        </w:rPr>
        <w:t>s</w:t>
      </w:r>
      <w:r w:rsidR="00C2742E">
        <w:rPr>
          <w:rFonts w:ascii="Arial" w:hAnsi="Arial" w:cs="Arial"/>
        </w:rPr>
        <w:t xml:space="preserve"> </w:t>
      </w:r>
      <w:r w:rsidR="00F80A82">
        <w:rPr>
          <w:rFonts w:ascii="Arial" w:hAnsi="Arial" w:cs="Arial"/>
        </w:rPr>
        <w:t>to be</w:t>
      </w:r>
      <w:r w:rsidR="00ED729C">
        <w:rPr>
          <w:rFonts w:ascii="Arial" w:hAnsi="Arial" w:cs="Arial"/>
        </w:rPr>
        <w:t xml:space="preserve"> </w:t>
      </w:r>
      <w:r w:rsidR="00F80A82">
        <w:rPr>
          <w:rFonts w:ascii="Arial" w:hAnsi="Arial" w:cs="Arial"/>
        </w:rPr>
        <w:t>applied in del</w:t>
      </w:r>
      <w:r w:rsidR="00C2742E">
        <w:rPr>
          <w:rFonts w:ascii="Arial" w:hAnsi="Arial" w:cs="Arial"/>
        </w:rPr>
        <w:t>ineating the relevant market.</w:t>
      </w:r>
      <w:r w:rsidR="00ED729C">
        <w:rPr>
          <w:rStyle w:val="Funotenzeichen"/>
          <w:rFonts w:ascii="Arial" w:hAnsi="Arial" w:cs="Arial"/>
        </w:rPr>
        <w:footnoteReference w:id="567"/>
      </w:r>
      <w:r>
        <w:rPr>
          <w:rFonts w:ascii="Arial" w:hAnsi="Arial" w:cs="Arial"/>
        </w:rPr>
        <w:t xml:space="preserve"> </w:t>
      </w:r>
      <w:r w:rsidR="00657EAB">
        <w:rPr>
          <w:rFonts w:ascii="Arial" w:hAnsi="Arial" w:cs="Arial"/>
        </w:rPr>
        <w:t>As a result</w:t>
      </w:r>
      <w:r w:rsidR="007B1E97">
        <w:rPr>
          <w:rFonts w:ascii="Arial" w:hAnsi="Arial" w:cs="Arial"/>
        </w:rPr>
        <w:t>,</w:t>
      </w:r>
      <w:r>
        <w:rPr>
          <w:rFonts w:ascii="Arial" w:hAnsi="Arial" w:cs="Arial"/>
        </w:rPr>
        <w:t xml:space="preserve"> </w:t>
      </w:r>
      <w:r w:rsidR="007B1E97">
        <w:rPr>
          <w:rFonts w:ascii="Arial" w:hAnsi="Arial" w:cs="Arial"/>
        </w:rPr>
        <w:t xml:space="preserve">the </w:t>
      </w:r>
      <w:r w:rsidR="00F80A82">
        <w:rPr>
          <w:rFonts w:ascii="Arial" w:hAnsi="Arial" w:cs="Arial"/>
        </w:rPr>
        <w:t xml:space="preserve">South African </w:t>
      </w:r>
      <w:r w:rsidR="007B1E97">
        <w:rPr>
          <w:rFonts w:ascii="Arial" w:hAnsi="Arial" w:cs="Arial"/>
        </w:rPr>
        <w:t xml:space="preserve">competition authorities use contemporary economic </w:t>
      </w:r>
      <w:r w:rsidR="00F80A82">
        <w:rPr>
          <w:rFonts w:ascii="Arial" w:hAnsi="Arial" w:cs="Arial"/>
        </w:rPr>
        <w:t xml:space="preserve">and econometric </w:t>
      </w:r>
      <w:r w:rsidR="00F80A82" w:rsidRPr="00F80A82">
        <w:rPr>
          <w:rFonts w:ascii="Arial" w:hAnsi="Arial" w:cs="Arial"/>
        </w:rPr>
        <w:t>technique</w:t>
      </w:r>
      <w:r w:rsidR="00F80A82">
        <w:rPr>
          <w:rFonts w:ascii="Arial" w:hAnsi="Arial" w:cs="Arial"/>
        </w:rPr>
        <w:t>s</w:t>
      </w:r>
      <w:r w:rsidR="007B1E97">
        <w:rPr>
          <w:rFonts w:ascii="Arial" w:hAnsi="Arial" w:cs="Arial"/>
        </w:rPr>
        <w:t xml:space="preserve"> to delineate the relevant market</w:t>
      </w:r>
      <w:r>
        <w:rPr>
          <w:rFonts w:ascii="Arial" w:hAnsi="Arial" w:cs="Arial"/>
        </w:rPr>
        <w:t xml:space="preserve">. </w:t>
      </w:r>
    </w:p>
    <w:p w:rsidR="006A34D0" w:rsidRDefault="006A34D0" w:rsidP="005A2595">
      <w:pPr>
        <w:contextualSpacing/>
        <w:jc w:val="both"/>
        <w:rPr>
          <w:rFonts w:ascii="Arial" w:hAnsi="Arial" w:cs="Arial"/>
        </w:rPr>
      </w:pPr>
    </w:p>
    <w:p w:rsidR="00C30B4C" w:rsidRDefault="00165A5A" w:rsidP="005A2595">
      <w:pPr>
        <w:contextualSpacing/>
        <w:jc w:val="both"/>
        <w:rPr>
          <w:rFonts w:ascii="Arial" w:hAnsi="Arial" w:cs="Arial"/>
        </w:rPr>
      </w:pPr>
      <w:r>
        <w:rPr>
          <w:rFonts w:ascii="Arial" w:hAnsi="Arial" w:cs="Arial"/>
        </w:rPr>
        <w:t>As discussed previously</w:t>
      </w:r>
      <w:r w:rsidR="00957E6E">
        <w:rPr>
          <w:rFonts w:ascii="Arial" w:hAnsi="Arial" w:cs="Arial"/>
        </w:rPr>
        <w:t>,</w:t>
      </w:r>
      <w:r>
        <w:rPr>
          <w:rFonts w:ascii="Arial" w:hAnsi="Arial" w:cs="Arial"/>
        </w:rPr>
        <w:t xml:space="preserve"> market power is the essence of competition regulation since it is this market power that allows firms to harm competition in any given market.</w:t>
      </w:r>
      <w:r w:rsidR="00811AEB">
        <w:rPr>
          <w:rStyle w:val="Funotenzeichen"/>
          <w:rFonts w:ascii="Arial" w:hAnsi="Arial" w:cs="Arial"/>
        </w:rPr>
        <w:footnoteReference w:id="568"/>
      </w:r>
      <w:r>
        <w:rPr>
          <w:rFonts w:ascii="Arial" w:hAnsi="Arial" w:cs="Arial"/>
        </w:rPr>
        <w:t xml:space="preserve"> Also discussed previously is the fact that market power can only exist within a market</w:t>
      </w:r>
      <w:r w:rsidR="00B14682">
        <w:rPr>
          <w:rFonts w:ascii="Arial" w:hAnsi="Arial" w:cs="Arial"/>
        </w:rPr>
        <w:t xml:space="preserve"> hence the term “market power”</w:t>
      </w:r>
      <w:r w:rsidR="00811AEB">
        <w:rPr>
          <w:rFonts w:ascii="Arial" w:hAnsi="Arial" w:cs="Arial"/>
        </w:rPr>
        <w:t>.</w:t>
      </w:r>
      <w:r w:rsidR="00811AEB">
        <w:rPr>
          <w:rStyle w:val="Funotenzeichen"/>
          <w:rFonts w:ascii="Arial" w:hAnsi="Arial" w:cs="Arial"/>
        </w:rPr>
        <w:footnoteReference w:id="569"/>
      </w:r>
      <w:r w:rsidR="00811AEB">
        <w:rPr>
          <w:rFonts w:ascii="Arial" w:hAnsi="Arial" w:cs="Arial"/>
        </w:rPr>
        <w:t xml:space="preserve"> Accordingly, the delineation of the relevant market is vital to the measurement of market power since the delineation of the relevant market determines the area within which market power is to be measured.</w:t>
      </w:r>
      <w:r w:rsidR="00811AEB">
        <w:rPr>
          <w:rStyle w:val="Funotenzeichen"/>
          <w:rFonts w:ascii="Arial" w:hAnsi="Arial" w:cs="Arial"/>
        </w:rPr>
        <w:footnoteReference w:id="570"/>
      </w:r>
      <w:r w:rsidR="00B14682">
        <w:rPr>
          <w:rFonts w:ascii="Arial" w:hAnsi="Arial" w:cs="Arial"/>
        </w:rPr>
        <w:t xml:space="preserve"> Therefore, e</w:t>
      </w:r>
      <w:r w:rsidR="006A34D0">
        <w:rPr>
          <w:rFonts w:ascii="Arial" w:hAnsi="Arial" w:cs="Arial"/>
        </w:rPr>
        <w:t xml:space="preserve">xtreme </w:t>
      </w:r>
      <w:r w:rsidR="00B14682" w:rsidRPr="00B14682">
        <w:rPr>
          <w:rFonts w:ascii="Arial" w:hAnsi="Arial" w:cs="Arial"/>
        </w:rPr>
        <w:t>conscientiousness</w:t>
      </w:r>
      <w:r w:rsidR="006A34D0">
        <w:rPr>
          <w:rFonts w:ascii="Arial" w:hAnsi="Arial" w:cs="Arial"/>
        </w:rPr>
        <w:t xml:space="preserve"> </w:t>
      </w:r>
      <w:r w:rsidR="00B14682">
        <w:rPr>
          <w:rFonts w:ascii="Arial" w:hAnsi="Arial" w:cs="Arial"/>
        </w:rPr>
        <w:t>ought to</w:t>
      </w:r>
      <w:r w:rsidR="006A34D0">
        <w:rPr>
          <w:rFonts w:ascii="Arial" w:hAnsi="Arial" w:cs="Arial"/>
        </w:rPr>
        <w:t xml:space="preserve"> be </w:t>
      </w:r>
      <w:r w:rsidR="00B14682">
        <w:rPr>
          <w:rFonts w:ascii="Arial" w:hAnsi="Arial" w:cs="Arial"/>
        </w:rPr>
        <w:t>applied</w:t>
      </w:r>
      <w:r w:rsidR="006A34D0">
        <w:rPr>
          <w:rFonts w:ascii="Arial" w:hAnsi="Arial" w:cs="Arial"/>
        </w:rPr>
        <w:t xml:space="preserve"> when delineating the relevant market</w:t>
      </w:r>
      <w:r w:rsidR="00B14682">
        <w:rPr>
          <w:rFonts w:ascii="Arial" w:hAnsi="Arial" w:cs="Arial"/>
        </w:rPr>
        <w:t>.</w:t>
      </w:r>
      <w:r w:rsidR="00854C14">
        <w:rPr>
          <w:rStyle w:val="Funotenzeichen"/>
          <w:rFonts w:ascii="Arial" w:hAnsi="Arial" w:cs="Arial"/>
        </w:rPr>
        <w:footnoteReference w:id="571"/>
      </w:r>
      <w:r w:rsidR="00B14682">
        <w:rPr>
          <w:rFonts w:ascii="Arial" w:hAnsi="Arial" w:cs="Arial"/>
        </w:rPr>
        <w:t xml:space="preserve"> An erroneous delineation of the relevant market could </w:t>
      </w:r>
      <w:r w:rsidR="00B07A89">
        <w:rPr>
          <w:rFonts w:ascii="Arial" w:hAnsi="Arial" w:cs="Arial"/>
        </w:rPr>
        <w:t xml:space="preserve">potentially </w:t>
      </w:r>
      <w:r w:rsidR="00B14682">
        <w:rPr>
          <w:rFonts w:ascii="Arial" w:hAnsi="Arial" w:cs="Arial"/>
        </w:rPr>
        <w:t>lead to an overestimate or an underestimate of market power.</w:t>
      </w:r>
      <w:r w:rsidR="00AD112C">
        <w:rPr>
          <w:rStyle w:val="Funotenzeichen"/>
          <w:rFonts w:ascii="Arial" w:hAnsi="Arial" w:cs="Arial"/>
        </w:rPr>
        <w:footnoteReference w:id="572"/>
      </w:r>
      <w:r w:rsidR="00B14682">
        <w:rPr>
          <w:rFonts w:ascii="Arial" w:hAnsi="Arial" w:cs="Arial"/>
        </w:rPr>
        <w:t xml:space="preserve"> </w:t>
      </w:r>
      <w:r w:rsidR="00AD112C">
        <w:rPr>
          <w:rFonts w:ascii="Arial" w:hAnsi="Arial" w:cs="Arial"/>
        </w:rPr>
        <w:t>In view of this</w:t>
      </w:r>
      <w:r w:rsidR="00B07A89">
        <w:rPr>
          <w:rFonts w:ascii="Arial" w:hAnsi="Arial" w:cs="Arial"/>
        </w:rPr>
        <w:t xml:space="preserve">, </w:t>
      </w:r>
      <w:r w:rsidR="00B14682">
        <w:rPr>
          <w:rFonts w:ascii="Arial" w:hAnsi="Arial" w:cs="Arial"/>
        </w:rPr>
        <w:t>an erroneous</w:t>
      </w:r>
      <w:r w:rsidR="003C67E2">
        <w:rPr>
          <w:rFonts w:ascii="Arial" w:hAnsi="Arial" w:cs="Arial"/>
        </w:rPr>
        <w:t xml:space="preserve"> delineation of the relevant market could have </w:t>
      </w:r>
      <w:r w:rsidR="00AD112C" w:rsidRPr="00AD112C">
        <w:rPr>
          <w:rFonts w:ascii="Arial" w:hAnsi="Arial" w:cs="Arial"/>
        </w:rPr>
        <w:t>severe</w:t>
      </w:r>
      <w:r w:rsidR="003C67E2">
        <w:rPr>
          <w:rFonts w:ascii="Arial" w:hAnsi="Arial" w:cs="Arial"/>
        </w:rPr>
        <w:t xml:space="preserve"> consequences for competition in the relevant </w:t>
      </w:r>
      <w:r w:rsidR="00AD112C">
        <w:rPr>
          <w:rFonts w:ascii="Arial" w:hAnsi="Arial" w:cs="Arial"/>
        </w:rPr>
        <w:t xml:space="preserve">(actual) </w:t>
      </w:r>
      <w:r w:rsidR="003C67E2">
        <w:rPr>
          <w:rFonts w:ascii="Arial" w:hAnsi="Arial" w:cs="Arial"/>
        </w:rPr>
        <w:t>market.</w:t>
      </w:r>
      <w:r w:rsidR="00AD112C">
        <w:rPr>
          <w:rStyle w:val="Funotenzeichen"/>
          <w:rFonts w:ascii="Arial" w:hAnsi="Arial" w:cs="Arial"/>
        </w:rPr>
        <w:footnoteReference w:id="573"/>
      </w:r>
      <w:r w:rsidR="003C67E2">
        <w:rPr>
          <w:rFonts w:ascii="Arial" w:hAnsi="Arial" w:cs="Arial"/>
        </w:rPr>
        <w:t xml:space="preserve"> </w:t>
      </w:r>
    </w:p>
    <w:p w:rsidR="00C30B4C" w:rsidRDefault="00C30B4C" w:rsidP="005A2595">
      <w:pPr>
        <w:contextualSpacing/>
        <w:jc w:val="both"/>
        <w:rPr>
          <w:rFonts w:ascii="Arial" w:hAnsi="Arial" w:cs="Arial"/>
        </w:rPr>
      </w:pPr>
    </w:p>
    <w:p w:rsidR="00B14682" w:rsidRDefault="003C67E2" w:rsidP="005A2595">
      <w:pPr>
        <w:contextualSpacing/>
        <w:jc w:val="both"/>
        <w:rPr>
          <w:rFonts w:ascii="Arial" w:hAnsi="Arial" w:cs="Arial"/>
        </w:rPr>
      </w:pPr>
      <w:r>
        <w:rPr>
          <w:rFonts w:ascii="Arial" w:hAnsi="Arial" w:cs="Arial"/>
        </w:rPr>
        <w:t>An example of this would be</w:t>
      </w:r>
      <w:r w:rsidR="007A7492">
        <w:rPr>
          <w:rFonts w:ascii="Arial" w:hAnsi="Arial" w:cs="Arial"/>
        </w:rPr>
        <w:t>,</w:t>
      </w:r>
      <w:r>
        <w:rPr>
          <w:rFonts w:ascii="Arial" w:hAnsi="Arial" w:cs="Arial"/>
        </w:rPr>
        <w:t xml:space="preserve"> when a merger is prohibited on the grounds that the merger will increase the market power of the merging </w:t>
      </w:r>
      <w:r w:rsidR="007A7492">
        <w:rPr>
          <w:rFonts w:ascii="Arial" w:hAnsi="Arial" w:cs="Arial"/>
        </w:rPr>
        <w:t>firms</w:t>
      </w:r>
      <w:r>
        <w:rPr>
          <w:rFonts w:ascii="Arial" w:hAnsi="Arial" w:cs="Arial"/>
        </w:rPr>
        <w:t xml:space="preserve"> to such an extent so as to allow the merging </w:t>
      </w:r>
      <w:r w:rsidR="007A7492">
        <w:rPr>
          <w:rFonts w:ascii="Arial" w:hAnsi="Arial" w:cs="Arial"/>
        </w:rPr>
        <w:t>firms</w:t>
      </w:r>
      <w:r>
        <w:rPr>
          <w:rFonts w:ascii="Arial" w:hAnsi="Arial" w:cs="Arial"/>
        </w:rPr>
        <w:t xml:space="preserve"> to abuse their market power</w:t>
      </w:r>
      <w:r w:rsidR="000319A1">
        <w:rPr>
          <w:rFonts w:ascii="Arial" w:hAnsi="Arial" w:cs="Arial"/>
        </w:rPr>
        <w:t xml:space="preserve"> </w:t>
      </w:r>
      <w:r w:rsidR="00957E6E">
        <w:rPr>
          <w:rFonts w:ascii="Arial" w:hAnsi="Arial" w:cs="Arial"/>
        </w:rPr>
        <w:t>a</w:t>
      </w:r>
      <w:r w:rsidR="000319A1">
        <w:rPr>
          <w:rFonts w:ascii="Arial" w:hAnsi="Arial" w:cs="Arial"/>
        </w:rPr>
        <w:t>nd when it is then later revealed that the relevant market was delineated to narrowly and that the merger should have been approved.</w:t>
      </w:r>
      <w:r w:rsidR="00AD112C">
        <w:rPr>
          <w:rStyle w:val="Funotenzeichen"/>
          <w:rFonts w:ascii="Arial" w:hAnsi="Arial" w:cs="Arial"/>
        </w:rPr>
        <w:footnoteReference w:id="574"/>
      </w:r>
      <w:r w:rsidR="000319A1">
        <w:rPr>
          <w:rFonts w:ascii="Arial" w:hAnsi="Arial" w:cs="Arial"/>
        </w:rPr>
        <w:t xml:space="preserve"> In this </w:t>
      </w:r>
      <w:r w:rsidR="007A7492">
        <w:rPr>
          <w:rFonts w:ascii="Arial" w:hAnsi="Arial" w:cs="Arial"/>
        </w:rPr>
        <w:t>example,</w:t>
      </w:r>
      <w:r w:rsidR="00C30B4C">
        <w:rPr>
          <w:rFonts w:ascii="Arial" w:hAnsi="Arial" w:cs="Arial"/>
        </w:rPr>
        <w:t xml:space="preserve"> competition </w:t>
      </w:r>
      <w:r w:rsidR="00957E6E">
        <w:rPr>
          <w:rFonts w:ascii="Arial" w:hAnsi="Arial" w:cs="Arial"/>
        </w:rPr>
        <w:t>was effectively</w:t>
      </w:r>
      <w:r w:rsidR="000319A1">
        <w:rPr>
          <w:rFonts w:ascii="Arial" w:hAnsi="Arial" w:cs="Arial"/>
        </w:rPr>
        <w:t xml:space="preserve"> </w:t>
      </w:r>
      <w:r w:rsidR="00C30B4C">
        <w:rPr>
          <w:rFonts w:ascii="Arial" w:hAnsi="Arial" w:cs="Arial"/>
        </w:rPr>
        <w:t>hampered</w:t>
      </w:r>
      <w:r w:rsidR="000319A1">
        <w:rPr>
          <w:rFonts w:ascii="Arial" w:hAnsi="Arial" w:cs="Arial"/>
        </w:rPr>
        <w:t xml:space="preserve"> </w:t>
      </w:r>
      <w:r w:rsidR="007A7492">
        <w:rPr>
          <w:rFonts w:ascii="Arial" w:hAnsi="Arial" w:cs="Arial"/>
        </w:rPr>
        <w:t>because</w:t>
      </w:r>
      <w:r w:rsidR="000319A1">
        <w:rPr>
          <w:rFonts w:ascii="Arial" w:hAnsi="Arial" w:cs="Arial"/>
        </w:rPr>
        <w:t xml:space="preserve"> the competition authorities prohibited </w:t>
      </w:r>
      <w:r w:rsidR="007A7492">
        <w:rPr>
          <w:rFonts w:ascii="Arial" w:hAnsi="Arial" w:cs="Arial"/>
        </w:rPr>
        <w:t xml:space="preserve">a more competitive firm from entering into the </w:t>
      </w:r>
      <w:r w:rsidR="00957E6E">
        <w:rPr>
          <w:rFonts w:ascii="Arial" w:hAnsi="Arial" w:cs="Arial"/>
        </w:rPr>
        <w:t>relevant (</w:t>
      </w:r>
      <w:r w:rsidR="00996894">
        <w:rPr>
          <w:rFonts w:ascii="Arial" w:hAnsi="Arial" w:cs="Arial"/>
        </w:rPr>
        <w:t>actual</w:t>
      </w:r>
      <w:r w:rsidR="00957E6E">
        <w:rPr>
          <w:rFonts w:ascii="Arial" w:hAnsi="Arial" w:cs="Arial"/>
        </w:rPr>
        <w:t>)</w:t>
      </w:r>
      <w:r w:rsidR="007A7492">
        <w:rPr>
          <w:rFonts w:ascii="Arial" w:hAnsi="Arial" w:cs="Arial"/>
        </w:rPr>
        <w:t xml:space="preserve"> market.</w:t>
      </w:r>
      <w:r w:rsidR="00AD112C">
        <w:rPr>
          <w:rStyle w:val="Funotenzeichen"/>
          <w:rFonts w:ascii="Arial" w:hAnsi="Arial" w:cs="Arial"/>
        </w:rPr>
        <w:footnoteReference w:id="575"/>
      </w:r>
      <w:r w:rsidR="00C30B4C">
        <w:rPr>
          <w:rFonts w:ascii="Arial" w:hAnsi="Arial" w:cs="Arial"/>
        </w:rPr>
        <w:t xml:space="preserve"> </w:t>
      </w:r>
      <w:r w:rsidR="00996894">
        <w:rPr>
          <w:rFonts w:ascii="Arial" w:hAnsi="Arial" w:cs="Arial"/>
        </w:rPr>
        <w:t>Equally</w:t>
      </w:r>
      <w:r w:rsidR="00C30B4C">
        <w:rPr>
          <w:rFonts w:ascii="Arial" w:hAnsi="Arial" w:cs="Arial"/>
        </w:rPr>
        <w:t xml:space="preserve">, when the relevant market is delineated to broadly the competition authorities could potentially approve a merger where the merger has the consequence of providing the merging firms with </w:t>
      </w:r>
      <w:r w:rsidR="00957E6E">
        <w:rPr>
          <w:rFonts w:ascii="Arial" w:hAnsi="Arial" w:cs="Arial"/>
        </w:rPr>
        <w:t>sufficient</w:t>
      </w:r>
      <w:r w:rsidR="00C30B4C">
        <w:rPr>
          <w:rFonts w:ascii="Arial" w:hAnsi="Arial" w:cs="Arial"/>
        </w:rPr>
        <w:t xml:space="preserve"> market power </w:t>
      </w:r>
      <w:r w:rsidR="00854C14">
        <w:rPr>
          <w:rFonts w:ascii="Arial" w:hAnsi="Arial" w:cs="Arial"/>
        </w:rPr>
        <w:t>to</w:t>
      </w:r>
      <w:r w:rsidR="00C30B4C">
        <w:rPr>
          <w:rFonts w:ascii="Arial" w:hAnsi="Arial" w:cs="Arial"/>
        </w:rPr>
        <w:t xml:space="preserve"> allow them to abuse their market power to the detriment of competition in the </w:t>
      </w:r>
      <w:r w:rsidR="00957E6E">
        <w:rPr>
          <w:rFonts w:ascii="Arial" w:hAnsi="Arial" w:cs="Arial"/>
        </w:rPr>
        <w:t>that</w:t>
      </w:r>
      <w:r w:rsidR="00C30B4C">
        <w:rPr>
          <w:rFonts w:ascii="Arial" w:hAnsi="Arial" w:cs="Arial"/>
        </w:rPr>
        <w:t xml:space="preserve"> market.</w:t>
      </w:r>
      <w:r w:rsidR="00AD112C">
        <w:rPr>
          <w:rStyle w:val="Funotenzeichen"/>
          <w:rFonts w:ascii="Arial" w:hAnsi="Arial" w:cs="Arial"/>
        </w:rPr>
        <w:footnoteReference w:id="576"/>
      </w:r>
      <w:r w:rsidR="00996894">
        <w:rPr>
          <w:rFonts w:ascii="Arial" w:hAnsi="Arial" w:cs="Arial"/>
        </w:rPr>
        <w:t xml:space="preserve"> Accordingly, the erroneous delineation of the relevant market could potentially decrease the </w:t>
      </w:r>
      <w:r w:rsidR="00B07A89" w:rsidRPr="00957E6E">
        <w:rPr>
          <w:rFonts w:ascii="Arial" w:hAnsi="Arial" w:cs="Arial"/>
        </w:rPr>
        <w:t>efficacy</w:t>
      </w:r>
      <w:r w:rsidR="00996894">
        <w:rPr>
          <w:rFonts w:ascii="Arial" w:hAnsi="Arial" w:cs="Arial"/>
        </w:rPr>
        <w:t xml:space="preserve"> of competition legislation</w:t>
      </w:r>
      <w:r w:rsidR="00B07A89">
        <w:rPr>
          <w:rFonts w:ascii="Arial" w:hAnsi="Arial" w:cs="Arial"/>
        </w:rPr>
        <w:t xml:space="preserve"> and as a result reduce the social welfare of society</w:t>
      </w:r>
      <w:r w:rsidR="00996894">
        <w:rPr>
          <w:rFonts w:ascii="Arial" w:hAnsi="Arial" w:cs="Arial"/>
        </w:rPr>
        <w:t>.</w:t>
      </w:r>
      <w:r w:rsidR="00AD112C">
        <w:rPr>
          <w:rStyle w:val="Funotenzeichen"/>
          <w:rFonts w:ascii="Arial" w:hAnsi="Arial" w:cs="Arial"/>
        </w:rPr>
        <w:footnoteReference w:id="577"/>
      </w:r>
      <w:r w:rsidR="00996894">
        <w:rPr>
          <w:rFonts w:ascii="Arial" w:hAnsi="Arial" w:cs="Arial"/>
        </w:rPr>
        <w:t xml:space="preserve"> </w:t>
      </w:r>
    </w:p>
    <w:p w:rsidR="00957E6E" w:rsidRDefault="00957E6E" w:rsidP="00424034">
      <w:pPr>
        <w:contextualSpacing/>
        <w:jc w:val="both"/>
        <w:rPr>
          <w:rFonts w:ascii="Arial" w:hAnsi="Arial" w:cs="Arial"/>
        </w:rPr>
      </w:pPr>
    </w:p>
    <w:p w:rsidR="004D5F76" w:rsidRDefault="00F2441A" w:rsidP="00424034">
      <w:pPr>
        <w:contextualSpacing/>
        <w:jc w:val="both"/>
        <w:rPr>
          <w:rFonts w:ascii="Arial" w:hAnsi="Arial" w:cs="Arial"/>
        </w:rPr>
      </w:pPr>
      <w:r>
        <w:rPr>
          <w:rFonts w:ascii="Arial" w:hAnsi="Arial" w:cs="Arial"/>
        </w:rPr>
        <w:t>3</w:t>
      </w:r>
      <w:r w:rsidR="00957E6E">
        <w:rPr>
          <w:rFonts w:ascii="Arial" w:hAnsi="Arial" w:cs="Arial"/>
        </w:rPr>
        <w:t>.3.3</w:t>
      </w:r>
      <w:r w:rsidR="007310D0">
        <w:rPr>
          <w:rFonts w:ascii="Arial" w:hAnsi="Arial" w:cs="Arial"/>
        </w:rPr>
        <w:t xml:space="preserve"> Methods of market delineation.</w:t>
      </w:r>
    </w:p>
    <w:p w:rsidR="006D3A76" w:rsidRDefault="006D3A76" w:rsidP="00424034">
      <w:pPr>
        <w:contextualSpacing/>
        <w:jc w:val="both"/>
        <w:rPr>
          <w:rFonts w:ascii="Arial" w:hAnsi="Arial" w:cs="Arial"/>
        </w:rPr>
      </w:pPr>
    </w:p>
    <w:p w:rsidR="00AE0E40" w:rsidRDefault="006D3A76" w:rsidP="006D3A76">
      <w:pPr>
        <w:contextualSpacing/>
        <w:jc w:val="both"/>
        <w:rPr>
          <w:rFonts w:ascii="Arial" w:hAnsi="Arial" w:cs="Arial"/>
          <w:i/>
        </w:rPr>
      </w:pPr>
      <w:r>
        <w:rPr>
          <w:rFonts w:ascii="Arial" w:hAnsi="Arial" w:cs="Arial"/>
          <w:i/>
        </w:rPr>
        <w:tab/>
      </w:r>
      <w:r w:rsidRPr="006D3A76">
        <w:rPr>
          <w:rFonts w:ascii="Arial" w:hAnsi="Arial" w:cs="Arial"/>
          <w:i/>
        </w:rPr>
        <w:t xml:space="preserve">“My lament is that this battle on market definitions, which is fought  </w:t>
      </w:r>
      <w:r>
        <w:rPr>
          <w:rFonts w:ascii="Arial" w:hAnsi="Arial" w:cs="Arial"/>
          <w:i/>
        </w:rPr>
        <w:tab/>
      </w:r>
      <w:r w:rsidRPr="006D3A76">
        <w:rPr>
          <w:rFonts w:ascii="Arial" w:hAnsi="Arial" w:cs="Arial"/>
          <w:i/>
        </w:rPr>
        <w:t xml:space="preserve">thousands of times what with all the private antitrust suits, has received  </w:t>
      </w:r>
      <w:r>
        <w:rPr>
          <w:rFonts w:ascii="Arial" w:hAnsi="Arial" w:cs="Arial"/>
          <w:i/>
        </w:rPr>
        <w:tab/>
      </w:r>
      <w:r w:rsidRPr="006D3A76">
        <w:rPr>
          <w:rFonts w:ascii="Arial" w:hAnsi="Arial" w:cs="Arial"/>
          <w:i/>
        </w:rPr>
        <w:t>virtually no attention from us economists.</w:t>
      </w:r>
      <w:r w:rsidR="00DC5B47">
        <w:rPr>
          <w:rFonts w:ascii="Arial" w:hAnsi="Arial" w:cs="Arial"/>
          <w:i/>
        </w:rPr>
        <w:t xml:space="preserve"> </w:t>
      </w:r>
      <w:r w:rsidRPr="006D3A76">
        <w:rPr>
          <w:rFonts w:ascii="Arial" w:hAnsi="Arial" w:cs="Arial"/>
          <w:i/>
        </w:rPr>
        <w:t xml:space="preserve">Except for a casual flirtation with </w:t>
      </w:r>
      <w:r>
        <w:rPr>
          <w:rFonts w:ascii="Arial" w:hAnsi="Arial" w:cs="Arial"/>
          <w:i/>
        </w:rPr>
        <w:tab/>
      </w:r>
      <w:r w:rsidRPr="006D3A76">
        <w:rPr>
          <w:rFonts w:ascii="Arial" w:hAnsi="Arial" w:cs="Arial"/>
          <w:i/>
        </w:rPr>
        <w:t xml:space="preserve">cross elasticities of demand and supply, the determination of markets has </w:t>
      </w:r>
      <w:r>
        <w:rPr>
          <w:rFonts w:ascii="Arial" w:hAnsi="Arial" w:cs="Arial"/>
          <w:i/>
        </w:rPr>
        <w:tab/>
      </w:r>
      <w:r w:rsidRPr="006D3A76">
        <w:rPr>
          <w:rFonts w:ascii="Arial" w:hAnsi="Arial" w:cs="Arial"/>
          <w:i/>
        </w:rPr>
        <w:t>remained an</w:t>
      </w:r>
      <w:r w:rsidR="00E26E62">
        <w:rPr>
          <w:rFonts w:ascii="Arial" w:hAnsi="Arial" w:cs="Arial"/>
          <w:i/>
        </w:rPr>
        <w:t xml:space="preserve"> </w:t>
      </w:r>
      <w:r w:rsidRPr="006D3A76">
        <w:rPr>
          <w:rFonts w:ascii="Arial" w:hAnsi="Arial" w:cs="Arial"/>
          <w:i/>
        </w:rPr>
        <w:t>undeveloped area of economic research</w:t>
      </w:r>
      <w:r w:rsidR="00E26E62">
        <w:rPr>
          <w:rFonts w:ascii="Arial" w:hAnsi="Arial" w:cs="Arial"/>
          <w:i/>
        </w:rPr>
        <w:t xml:space="preserve"> at either </w:t>
      </w:r>
      <w:r w:rsidRPr="006D3A76">
        <w:rPr>
          <w:rFonts w:ascii="Arial" w:hAnsi="Arial" w:cs="Arial"/>
          <w:i/>
        </w:rPr>
        <w:t xml:space="preserve">the  </w:t>
      </w:r>
      <w:r>
        <w:rPr>
          <w:rFonts w:ascii="Arial" w:hAnsi="Arial" w:cs="Arial"/>
          <w:i/>
        </w:rPr>
        <w:tab/>
      </w:r>
      <w:r w:rsidRPr="006D3A76">
        <w:rPr>
          <w:rFonts w:ascii="Arial" w:hAnsi="Arial" w:cs="Arial"/>
          <w:i/>
        </w:rPr>
        <w:t>theoretical or empirical level.”</w:t>
      </w:r>
    </w:p>
    <w:p w:rsidR="00E26E62" w:rsidRPr="00AE0E40" w:rsidRDefault="00AE0E40" w:rsidP="006D3A76">
      <w:pPr>
        <w:contextualSpacing/>
        <w:jc w:val="both"/>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00FB6421">
        <w:rPr>
          <w:rFonts w:ascii="Arial" w:hAnsi="Arial" w:cs="Arial"/>
          <w:i/>
        </w:rPr>
        <w:t xml:space="preserve">   </w:t>
      </w:r>
      <w:r w:rsidR="00BB5A67">
        <w:rPr>
          <w:rFonts w:ascii="Arial" w:hAnsi="Arial" w:cs="Arial"/>
          <w:i/>
        </w:rPr>
        <w:t xml:space="preserve">1982 by </w:t>
      </w:r>
      <w:r w:rsidR="00E26E62">
        <w:rPr>
          <w:rFonts w:ascii="Arial" w:hAnsi="Arial" w:cs="Arial"/>
        </w:rPr>
        <w:t>George J. Stigler</w:t>
      </w:r>
      <w:r w:rsidR="000B7731">
        <w:rPr>
          <w:rFonts w:ascii="Arial" w:hAnsi="Arial" w:cs="Arial"/>
        </w:rPr>
        <w:t>.</w:t>
      </w:r>
      <w:r w:rsidR="00E26E62">
        <w:rPr>
          <w:rStyle w:val="Funotenzeichen"/>
          <w:rFonts w:ascii="Arial" w:hAnsi="Arial" w:cs="Arial"/>
        </w:rPr>
        <w:footnoteReference w:id="578"/>
      </w:r>
    </w:p>
    <w:p w:rsidR="006D3A76" w:rsidRDefault="006D3A76" w:rsidP="00424034">
      <w:pPr>
        <w:contextualSpacing/>
        <w:jc w:val="both"/>
        <w:rPr>
          <w:rFonts w:ascii="Arial" w:hAnsi="Arial" w:cs="Arial"/>
        </w:rPr>
      </w:pPr>
    </w:p>
    <w:p w:rsidR="00F5147A" w:rsidRDefault="00180BF2" w:rsidP="00424034">
      <w:pPr>
        <w:contextualSpacing/>
        <w:jc w:val="both"/>
        <w:rPr>
          <w:rFonts w:ascii="Arial" w:hAnsi="Arial" w:cs="Arial"/>
        </w:rPr>
      </w:pPr>
      <w:r>
        <w:rPr>
          <w:rFonts w:ascii="Arial" w:hAnsi="Arial" w:cs="Arial"/>
        </w:rPr>
        <w:t xml:space="preserve">Traditionally, economists have delineated </w:t>
      </w:r>
      <w:r w:rsidR="00F5147A">
        <w:rPr>
          <w:rFonts w:ascii="Arial" w:hAnsi="Arial" w:cs="Arial"/>
        </w:rPr>
        <w:t>the relevant</w:t>
      </w:r>
      <w:r>
        <w:rPr>
          <w:rFonts w:ascii="Arial" w:hAnsi="Arial" w:cs="Arial"/>
        </w:rPr>
        <w:t xml:space="preserve"> market, from a consumption standpoint,</w:t>
      </w:r>
      <w:r>
        <w:rPr>
          <w:rStyle w:val="Funotenzeichen"/>
          <w:rFonts w:ascii="Arial" w:hAnsi="Arial" w:cs="Arial"/>
        </w:rPr>
        <w:footnoteReference w:id="579"/>
      </w:r>
      <w:r>
        <w:rPr>
          <w:rFonts w:ascii="Arial" w:hAnsi="Arial" w:cs="Arial"/>
        </w:rPr>
        <w:t xml:space="preserve"> using cross-price elasticity of demand</w:t>
      </w:r>
      <w:r w:rsidR="00C465E2">
        <w:rPr>
          <w:rFonts w:ascii="Arial" w:hAnsi="Arial" w:cs="Arial"/>
        </w:rPr>
        <w:t>.</w:t>
      </w:r>
      <w:r w:rsidR="00C465E2">
        <w:rPr>
          <w:rStyle w:val="Funotenzeichen"/>
          <w:rFonts w:ascii="Arial" w:hAnsi="Arial" w:cs="Arial"/>
        </w:rPr>
        <w:footnoteReference w:id="580"/>
      </w:r>
      <w:r w:rsidR="00462C11">
        <w:rPr>
          <w:rFonts w:ascii="Arial" w:hAnsi="Arial" w:cs="Arial"/>
        </w:rPr>
        <w:t xml:space="preserve"> The cross-price elasticity of demand measures how sensitive </w:t>
      </w:r>
      <w:r w:rsidR="00266866">
        <w:rPr>
          <w:rFonts w:ascii="Arial" w:hAnsi="Arial" w:cs="Arial"/>
        </w:rPr>
        <w:t xml:space="preserve">the </w:t>
      </w:r>
      <w:r w:rsidR="00462C11">
        <w:rPr>
          <w:rFonts w:ascii="Arial" w:hAnsi="Arial" w:cs="Arial"/>
        </w:rPr>
        <w:t xml:space="preserve">demand for a specific product </w:t>
      </w:r>
      <w:r w:rsidR="00266866">
        <w:rPr>
          <w:rFonts w:ascii="Arial" w:hAnsi="Arial" w:cs="Arial"/>
        </w:rPr>
        <w:t>(</w:t>
      </w:r>
      <w:r w:rsidR="00462C11">
        <w:rPr>
          <w:rFonts w:ascii="Arial" w:hAnsi="Arial" w:cs="Arial"/>
        </w:rPr>
        <w:t>for example product X</w:t>
      </w:r>
      <w:r w:rsidR="00266866">
        <w:rPr>
          <w:rFonts w:ascii="Arial" w:hAnsi="Arial" w:cs="Arial"/>
        </w:rPr>
        <w:t>)</w:t>
      </w:r>
      <w:r w:rsidR="00462C11">
        <w:rPr>
          <w:rFonts w:ascii="Arial" w:hAnsi="Arial" w:cs="Arial"/>
        </w:rPr>
        <w:t xml:space="preserve"> </w:t>
      </w:r>
      <w:r w:rsidR="00266866">
        <w:rPr>
          <w:rFonts w:ascii="Arial" w:hAnsi="Arial" w:cs="Arial"/>
        </w:rPr>
        <w:t>is</w:t>
      </w:r>
      <w:r w:rsidR="00462C11">
        <w:rPr>
          <w:rFonts w:ascii="Arial" w:hAnsi="Arial" w:cs="Arial"/>
        </w:rPr>
        <w:t xml:space="preserve"> to changes in the price of another product </w:t>
      </w:r>
      <w:r w:rsidR="00266866">
        <w:rPr>
          <w:rFonts w:ascii="Arial" w:hAnsi="Arial" w:cs="Arial"/>
        </w:rPr>
        <w:t>(</w:t>
      </w:r>
      <w:r w:rsidR="00462C11">
        <w:rPr>
          <w:rFonts w:ascii="Arial" w:hAnsi="Arial" w:cs="Arial"/>
        </w:rPr>
        <w:t>for example product Y</w:t>
      </w:r>
      <w:r w:rsidR="00266866">
        <w:rPr>
          <w:rFonts w:ascii="Arial" w:hAnsi="Arial" w:cs="Arial"/>
        </w:rPr>
        <w:t>)</w:t>
      </w:r>
      <w:r w:rsidR="00462C11">
        <w:rPr>
          <w:rFonts w:ascii="Arial" w:hAnsi="Arial" w:cs="Arial"/>
        </w:rPr>
        <w:t>.</w:t>
      </w:r>
      <w:r w:rsidR="008F22E0">
        <w:rPr>
          <w:rStyle w:val="Funotenzeichen"/>
          <w:rFonts w:ascii="Arial" w:hAnsi="Arial" w:cs="Arial"/>
        </w:rPr>
        <w:footnoteReference w:id="581"/>
      </w:r>
      <w:r w:rsidR="00266866">
        <w:rPr>
          <w:rFonts w:ascii="Arial" w:hAnsi="Arial" w:cs="Arial"/>
        </w:rPr>
        <w:t xml:space="preserve"> </w:t>
      </w:r>
      <w:r w:rsidR="00F5147A">
        <w:rPr>
          <w:rFonts w:ascii="Arial" w:hAnsi="Arial" w:cs="Arial"/>
        </w:rPr>
        <w:t>In other words,</w:t>
      </w:r>
      <w:r w:rsidR="00266866">
        <w:rPr>
          <w:rFonts w:ascii="Arial" w:hAnsi="Arial" w:cs="Arial"/>
        </w:rPr>
        <w:t xml:space="preserve"> what will be the change in the quantity demanded for product X if the price of product Y decreases or increases?</w:t>
      </w:r>
      <w:r w:rsidR="006C240F">
        <w:rPr>
          <w:rFonts w:ascii="Arial" w:hAnsi="Arial" w:cs="Arial"/>
        </w:rPr>
        <w:t xml:space="preserve"> </w:t>
      </w:r>
    </w:p>
    <w:p w:rsidR="006D3A76" w:rsidRDefault="006C240F" w:rsidP="00424034">
      <w:pPr>
        <w:contextualSpacing/>
        <w:jc w:val="both"/>
        <w:rPr>
          <w:rFonts w:ascii="Arial" w:hAnsi="Arial" w:cs="Arial"/>
        </w:rPr>
      </w:pPr>
      <w:r>
        <w:rPr>
          <w:rFonts w:ascii="Arial" w:hAnsi="Arial" w:cs="Arial"/>
        </w:rPr>
        <w:t>The cross-price elasticity of demand is thus defined as:</w:t>
      </w:r>
      <w:r w:rsidR="008F22E0">
        <w:rPr>
          <w:rStyle w:val="Funotenzeichen"/>
          <w:rFonts w:ascii="Arial" w:hAnsi="Arial" w:cs="Arial"/>
        </w:rPr>
        <w:footnoteReference w:id="582"/>
      </w:r>
    </w:p>
    <w:p w:rsidR="006C240F" w:rsidRDefault="006C240F" w:rsidP="00424034">
      <w:pPr>
        <w:contextualSpacing/>
        <w:jc w:val="both"/>
        <w:rPr>
          <w:rFonts w:ascii="Arial" w:hAnsi="Arial" w:cs="Arial"/>
        </w:rPr>
      </w:pPr>
    </w:p>
    <w:p w:rsidR="006C240F" w:rsidRPr="008D7037" w:rsidRDefault="008D7037" w:rsidP="00424034">
      <w:pPr>
        <w:contextualSpacing/>
        <w:jc w:val="both"/>
        <w:rPr>
          <w:rFonts w:ascii="Arial" w:hAnsi="Arial" w:cs="Arial"/>
        </w:rPr>
      </w:pPr>
      <w:r>
        <w:rPr>
          <w:rFonts w:ascii="Arial" w:hAnsi="Arial" w:cs="Arial"/>
        </w:rPr>
        <w:tab/>
      </w:r>
      <w:r>
        <w:rPr>
          <w:rFonts w:ascii="Arial" w:hAnsi="Arial" w:cs="Arial"/>
        </w:rPr>
        <w:tab/>
        <w:t>E</w:t>
      </w:r>
      <w:r>
        <w:rPr>
          <w:rFonts w:ascii="Arial" w:hAnsi="Arial" w:cs="Arial"/>
          <w:vertAlign w:val="subscript"/>
        </w:rPr>
        <w:t>xy</w:t>
      </w:r>
      <w:r>
        <w:rPr>
          <w:rFonts w:ascii="Arial" w:hAnsi="Arial" w:cs="Arial"/>
        </w:rPr>
        <w:t xml:space="preserve"> =</w:t>
      </w:r>
      <w:r w:rsidR="00EF3D50">
        <w:rPr>
          <w:rFonts w:ascii="Arial" w:hAnsi="Arial" w:cs="Arial"/>
        </w:rPr>
        <w:t xml:space="preserve"> </w:t>
      </w:r>
      <w:r>
        <w:rPr>
          <w:rFonts w:ascii="Arial" w:hAnsi="Arial" w:cs="Arial"/>
        </w:rPr>
        <w:t xml:space="preserve"> </w:t>
      </w:r>
      <m:oMath>
        <m:f>
          <m:fPr>
            <m:ctrlPr>
              <w:rPr>
                <w:rFonts w:ascii="Cambria Math" w:hAnsi="Arial" w:cs="Arial"/>
                <w:i/>
              </w:rPr>
            </m:ctrlPr>
          </m:fPr>
          <m:num>
            <m:r>
              <w:rPr>
                <w:rFonts w:ascii="Cambria Math" w:hAnsi="Cambria Math" w:cs="Arial"/>
              </w:rPr>
              <m:t>percentage</m:t>
            </m:r>
            <m:r>
              <w:rPr>
                <w:rFonts w:ascii="Cambria Math" w:hAnsi="Arial" w:cs="Arial"/>
              </w:rPr>
              <m:t xml:space="preserve"> </m:t>
            </m:r>
            <m:r>
              <w:rPr>
                <w:rFonts w:ascii="Cambria Math" w:hAnsi="Cambria Math" w:cs="Arial"/>
              </w:rPr>
              <m:t>c</m:t>
            </m:r>
            <m:r>
              <w:rPr>
                <w:rFonts w:ascii="Arial" w:hAnsi="Cambria Math" w:cs="Arial"/>
              </w:rPr>
              <m:t>h</m:t>
            </m:r>
            <m:r>
              <w:rPr>
                <w:rFonts w:ascii="Cambria Math" w:hAnsi="Cambria Math" w:cs="Arial"/>
              </w:rPr>
              <m:t>ange</m:t>
            </m:r>
            <m:r>
              <w:rPr>
                <w:rFonts w:ascii="Cambria Math" w:hAnsi="Arial" w:cs="Arial"/>
              </w:rPr>
              <m:t xml:space="preserve"> </m:t>
            </m:r>
            <m:r>
              <w:rPr>
                <w:rFonts w:ascii="Cambria Math" w:hAnsi="Cambria Math" w:cs="Arial"/>
              </w:rPr>
              <m:t>in</m:t>
            </m:r>
            <m:r>
              <w:rPr>
                <w:rFonts w:ascii="Cambria Math" w:hAnsi="Arial" w:cs="Arial"/>
              </w:rPr>
              <m:t xml:space="preserve"> </m:t>
            </m:r>
            <m:r>
              <w:rPr>
                <w:rFonts w:ascii="Cambria Math" w:hAnsi="Cambria Math" w:cs="Arial"/>
              </w:rPr>
              <m:t>t</m:t>
            </m:r>
            <m:r>
              <w:rPr>
                <w:rFonts w:ascii="Arial" w:hAnsi="Cambria Math" w:cs="Arial"/>
              </w:rPr>
              <m:t>h</m:t>
            </m:r>
            <m:r>
              <w:rPr>
                <w:rFonts w:ascii="Cambria Math" w:hAnsi="Cambria Math" w:cs="Arial"/>
              </w:rPr>
              <m:t>e</m:t>
            </m:r>
            <m:r>
              <w:rPr>
                <w:rFonts w:ascii="Cambria Math" w:hAnsi="Arial" w:cs="Arial"/>
              </w:rPr>
              <m:t xml:space="preserve"> </m:t>
            </m:r>
            <m:r>
              <w:rPr>
                <w:rFonts w:ascii="Cambria Math" w:hAnsi="Cambria Math" w:cs="Arial"/>
              </w:rPr>
              <m:t>quantity</m:t>
            </m:r>
            <m:r>
              <w:rPr>
                <w:rFonts w:ascii="Cambria Math" w:hAnsi="Arial" w:cs="Arial"/>
              </w:rPr>
              <m:t xml:space="preserve"> </m:t>
            </m:r>
            <m:r>
              <w:rPr>
                <w:rFonts w:ascii="Cambria Math" w:hAnsi="Cambria Math" w:cs="Arial"/>
              </w:rPr>
              <m:t>demanded</m:t>
            </m:r>
            <m:r>
              <w:rPr>
                <w:rFonts w:ascii="Cambria Math" w:hAnsi="Arial" w:cs="Arial"/>
              </w:rPr>
              <m:t xml:space="preserve"> </m:t>
            </m:r>
            <m:r>
              <w:rPr>
                <w:rFonts w:ascii="Cambria Math" w:hAnsi="Cambria Math" w:cs="Arial"/>
              </w:rPr>
              <m:t>of</m:t>
            </m:r>
            <m:r>
              <w:rPr>
                <w:rFonts w:ascii="Cambria Math" w:hAnsi="Arial" w:cs="Arial"/>
              </w:rPr>
              <m:t xml:space="preserve"> </m:t>
            </m:r>
            <m:r>
              <w:rPr>
                <w:rFonts w:ascii="Cambria Math" w:hAnsi="Cambria Math" w:cs="Arial"/>
              </w:rPr>
              <m:t>product</m:t>
            </m:r>
            <m:r>
              <w:rPr>
                <w:rFonts w:ascii="Cambria Math" w:hAnsi="Arial" w:cs="Arial"/>
              </w:rPr>
              <m:t xml:space="preserve"> </m:t>
            </m:r>
            <m:r>
              <w:rPr>
                <w:rFonts w:ascii="Cambria Math" w:hAnsi="Cambria Math" w:cs="Arial"/>
              </w:rPr>
              <m:t>X</m:t>
            </m:r>
          </m:num>
          <m:den>
            <m:r>
              <w:rPr>
                <w:rFonts w:ascii="Cambria Math" w:hAnsi="Cambria Math" w:cs="Arial"/>
              </w:rPr>
              <m:t>percentage</m:t>
            </m:r>
            <m:r>
              <w:rPr>
                <w:rFonts w:ascii="Cambria Math" w:hAnsi="Arial" w:cs="Arial"/>
              </w:rPr>
              <m:t xml:space="preserve"> </m:t>
            </m:r>
            <m:r>
              <w:rPr>
                <w:rFonts w:ascii="Cambria Math" w:hAnsi="Cambria Math" w:cs="Arial"/>
              </w:rPr>
              <m:t>c</m:t>
            </m:r>
            <m:r>
              <w:rPr>
                <w:rFonts w:ascii="Arial" w:hAnsi="Cambria Math" w:cs="Arial"/>
              </w:rPr>
              <m:t>h</m:t>
            </m:r>
            <m:r>
              <w:rPr>
                <w:rFonts w:ascii="Cambria Math" w:hAnsi="Cambria Math" w:cs="Arial"/>
              </w:rPr>
              <m:t>ange</m:t>
            </m:r>
            <m:r>
              <w:rPr>
                <w:rFonts w:ascii="Cambria Math" w:hAnsi="Arial" w:cs="Arial"/>
              </w:rPr>
              <m:t xml:space="preserve"> </m:t>
            </m:r>
            <m:r>
              <w:rPr>
                <w:rFonts w:ascii="Cambria Math" w:hAnsi="Cambria Math" w:cs="Arial"/>
              </w:rPr>
              <m:t>in</m:t>
            </m:r>
            <m:r>
              <w:rPr>
                <w:rFonts w:ascii="Cambria Math" w:hAnsi="Arial" w:cs="Arial"/>
              </w:rPr>
              <m:t xml:space="preserve"> </m:t>
            </m:r>
            <m:r>
              <w:rPr>
                <w:rFonts w:ascii="Cambria Math" w:hAnsi="Cambria Math" w:cs="Arial"/>
              </w:rPr>
              <m:t>t</m:t>
            </m:r>
            <m:r>
              <w:rPr>
                <w:rFonts w:ascii="Arial" w:hAnsi="Cambria Math" w:cs="Arial"/>
              </w:rPr>
              <m:t>h</m:t>
            </m:r>
            <m:r>
              <w:rPr>
                <w:rFonts w:ascii="Cambria Math" w:hAnsi="Cambria Math" w:cs="Arial"/>
              </w:rPr>
              <m:t>e</m:t>
            </m:r>
            <m:r>
              <w:rPr>
                <w:rFonts w:ascii="Cambria Math" w:hAnsi="Arial" w:cs="Arial"/>
              </w:rPr>
              <m:t xml:space="preserve"> </m:t>
            </m:r>
            <m:r>
              <w:rPr>
                <w:rFonts w:ascii="Cambria Math" w:hAnsi="Cambria Math" w:cs="Arial"/>
              </w:rPr>
              <m:t>price</m:t>
            </m:r>
            <m:r>
              <w:rPr>
                <w:rFonts w:ascii="Cambria Math" w:hAnsi="Arial" w:cs="Arial"/>
              </w:rPr>
              <m:t xml:space="preserve"> </m:t>
            </m:r>
            <m:r>
              <w:rPr>
                <w:rFonts w:ascii="Cambria Math" w:hAnsi="Cambria Math" w:cs="Arial"/>
              </w:rPr>
              <m:t>of</m:t>
            </m:r>
            <m:r>
              <w:rPr>
                <w:rFonts w:ascii="Cambria Math" w:hAnsi="Arial" w:cs="Arial"/>
              </w:rPr>
              <m:t xml:space="preserve"> </m:t>
            </m:r>
            <m:r>
              <w:rPr>
                <w:rFonts w:ascii="Cambria Math" w:hAnsi="Cambria Math" w:cs="Arial"/>
              </w:rPr>
              <m:t>product</m:t>
            </m:r>
            <m:r>
              <w:rPr>
                <w:rFonts w:ascii="Cambria Math" w:hAnsi="Arial" w:cs="Arial"/>
              </w:rPr>
              <m:t xml:space="preserve"> </m:t>
            </m:r>
            <m:r>
              <w:rPr>
                <w:rFonts w:ascii="Cambria Math" w:hAnsi="Cambria Math" w:cs="Arial"/>
              </w:rPr>
              <m:t>Y</m:t>
            </m:r>
          </m:den>
        </m:f>
      </m:oMath>
    </w:p>
    <w:p w:rsidR="006C240F" w:rsidRDefault="006C240F" w:rsidP="00424034">
      <w:pPr>
        <w:contextualSpacing/>
        <w:jc w:val="both"/>
        <w:rPr>
          <w:rFonts w:ascii="Arial" w:hAnsi="Arial" w:cs="Arial"/>
        </w:rPr>
      </w:pPr>
    </w:p>
    <w:p w:rsidR="00C254C8" w:rsidRDefault="00C254C8" w:rsidP="00424034">
      <w:pPr>
        <w:contextualSpacing/>
        <w:jc w:val="both"/>
        <w:rPr>
          <w:rFonts w:ascii="Arial" w:hAnsi="Arial" w:cs="Arial"/>
        </w:rPr>
      </w:pPr>
      <w:r>
        <w:rPr>
          <w:rFonts w:ascii="Arial" w:hAnsi="Arial" w:cs="Arial"/>
        </w:rPr>
        <w:t>Where E</w:t>
      </w:r>
      <w:r>
        <w:rPr>
          <w:rFonts w:ascii="Arial" w:hAnsi="Arial" w:cs="Arial"/>
          <w:vertAlign w:val="subscript"/>
        </w:rPr>
        <w:t>xy</w:t>
      </w:r>
      <w:r>
        <w:rPr>
          <w:rFonts w:ascii="Arial" w:hAnsi="Arial" w:cs="Arial"/>
        </w:rPr>
        <w:t xml:space="preserve"> </w:t>
      </w:r>
      <w:r w:rsidRPr="00C254C8">
        <w:rPr>
          <w:rFonts w:ascii="Arial" w:hAnsi="Arial" w:cs="Arial"/>
        </w:rPr>
        <w:t>denotes</w:t>
      </w:r>
      <w:r>
        <w:rPr>
          <w:rFonts w:ascii="Arial" w:hAnsi="Arial" w:cs="Arial"/>
        </w:rPr>
        <w:t xml:space="preserve"> the cross-price elasticity of demand.</w:t>
      </w:r>
    </w:p>
    <w:p w:rsidR="004D792B" w:rsidRDefault="004D792B" w:rsidP="00424034">
      <w:pPr>
        <w:contextualSpacing/>
        <w:jc w:val="both"/>
        <w:rPr>
          <w:rFonts w:ascii="Arial" w:hAnsi="Arial" w:cs="Arial"/>
        </w:rPr>
      </w:pPr>
    </w:p>
    <w:p w:rsidR="0062170E" w:rsidRDefault="00772A18" w:rsidP="00F13A83">
      <w:pPr>
        <w:contextualSpacing/>
        <w:jc w:val="both"/>
        <w:rPr>
          <w:rFonts w:ascii="Arial" w:hAnsi="Arial" w:cs="Arial"/>
        </w:rPr>
      </w:pPr>
      <w:r>
        <w:rPr>
          <w:rFonts w:ascii="Arial" w:hAnsi="Arial" w:cs="Arial"/>
        </w:rPr>
        <w:t>The market delineated using the cross-price elasticity of demand method is generally referred to as the economic market.</w:t>
      </w:r>
      <w:r>
        <w:rPr>
          <w:rStyle w:val="Funotenzeichen"/>
          <w:rFonts w:ascii="Arial" w:hAnsi="Arial" w:cs="Arial"/>
        </w:rPr>
        <w:footnoteReference w:id="583"/>
      </w:r>
      <w:r>
        <w:rPr>
          <w:rFonts w:ascii="Arial" w:hAnsi="Arial" w:cs="Arial"/>
        </w:rPr>
        <w:t xml:space="preserve"> </w:t>
      </w:r>
      <w:r w:rsidR="00B357DA">
        <w:rPr>
          <w:rFonts w:ascii="Arial" w:hAnsi="Arial" w:cs="Arial"/>
        </w:rPr>
        <w:t xml:space="preserve">In the </w:t>
      </w:r>
      <w:r w:rsidR="007840B3">
        <w:rPr>
          <w:rFonts w:ascii="Arial" w:hAnsi="Arial" w:cs="Arial"/>
        </w:rPr>
        <w:t>past,</w:t>
      </w:r>
      <w:r w:rsidR="00B357DA">
        <w:rPr>
          <w:rFonts w:ascii="Arial" w:hAnsi="Arial" w:cs="Arial"/>
        </w:rPr>
        <w:t xml:space="preserve"> the cross-price elasticity of demand and other </w:t>
      </w:r>
      <w:r w:rsidR="00B357DA" w:rsidRPr="00B357DA">
        <w:rPr>
          <w:rFonts w:ascii="Arial" w:hAnsi="Arial" w:cs="Arial"/>
        </w:rPr>
        <w:t>technique</w:t>
      </w:r>
      <w:r w:rsidR="00B357DA">
        <w:rPr>
          <w:rFonts w:ascii="Arial" w:hAnsi="Arial" w:cs="Arial"/>
        </w:rPr>
        <w:t>s have been used to delineate the relevant market</w:t>
      </w:r>
      <w:r w:rsidR="0062170E">
        <w:rPr>
          <w:rFonts w:ascii="Arial" w:hAnsi="Arial" w:cs="Arial"/>
        </w:rPr>
        <w:t>, used in competition matters,</w:t>
      </w:r>
      <w:r w:rsidR="00257098">
        <w:rPr>
          <w:rFonts w:ascii="Arial" w:hAnsi="Arial" w:cs="Arial"/>
        </w:rPr>
        <w:t xml:space="preserve"> since many economists assumed that the relevant market is </w:t>
      </w:r>
      <w:r w:rsidR="00257098" w:rsidRPr="00257098">
        <w:rPr>
          <w:rFonts w:ascii="Arial" w:hAnsi="Arial" w:cs="Arial"/>
        </w:rPr>
        <w:t>analogous</w:t>
      </w:r>
      <w:r w:rsidR="00257098">
        <w:rPr>
          <w:rFonts w:ascii="Arial" w:hAnsi="Arial" w:cs="Arial"/>
        </w:rPr>
        <w:t xml:space="preserve"> to the concept of </w:t>
      </w:r>
      <w:r w:rsidR="0062170E">
        <w:rPr>
          <w:rFonts w:ascii="Arial" w:hAnsi="Arial" w:cs="Arial"/>
        </w:rPr>
        <w:t>the</w:t>
      </w:r>
      <w:r w:rsidR="00257098">
        <w:rPr>
          <w:rFonts w:ascii="Arial" w:hAnsi="Arial" w:cs="Arial"/>
        </w:rPr>
        <w:t xml:space="preserve"> economic market</w:t>
      </w:r>
      <w:r w:rsidR="00B357DA">
        <w:rPr>
          <w:rFonts w:ascii="Arial" w:hAnsi="Arial" w:cs="Arial"/>
        </w:rPr>
        <w:t>.</w:t>
      </w:r>
      <w:r w:rsidR="007840B3">
        <w:rPr>
          <w:rStyle w:val="Funotenzeichen"/>
          <w:rFonts w:ascii="Arial" w:hAnsi="Arial" w:cs="Arial"/>
        </w:rPr>
        <w:footnoteReference w:id="584"/>
      </w:r>
      <w:r w:rsidR="00B357DA">
        <w:rPr>
          <w:rFonts w:ascii="Arial" w:hAnsi="Arial" w:cs="Arial"/>
        </w:rPr>
        <w:t xml:space="preserve"> </w:t>
      </w:r>
      <w:r w:rsidR="00180636">
        <w:rPr>
          <w:rFonts w:ascii="Arial" w:hAnsi="Arial" w:cs="Arial"/>
        </w:rPr>
        <w:t>However, t</w:t>
      </w:r>
      <w:r w:rsidR="00257098">
        <w:rPr>
          <w:rFonts w:ascii="Arial" w:hAnsi="Arial" w:cs="Arial"/>
        </w:rPr>
        <w:t>h</w:t>
      </w:r>
      <w:r w:rsidR="00B357DA">
        <w:rPr>
          <w:rFonts w:ascii="Arial" w:hAnsi="Arial" w:cs="Arial"/>
        </w:rPr>
        <w:t xml:space="preserve">ese </w:t>
      </w:r>
      <w:r w:rsidR="00257098">
        <w:rPr>
          <w:rFonts w:ascii="Arial" w:hAnsi="Arial" w:cs="Arial"/>
        </w:rPr>
        <w:t xml:space="preserve">techniques </w:t>
      </w:r>
      <w:r w:rsidR="00EF3D50">
        <w:rPr>
          <w:rFonts w:ascii="Arial" w:hAnsi="Arial" w:cs="Arial"/>
        </w:rPr>
        <w:t>were</w:t>
      </w:r>
      <w:r w:rsidR="00257098">
        <w:rPr>
          <w:rFonts w:ascii="Arial" w:hAnsi="Arial" w:cs="Arial"/>
        </w:rPr>
        <w:t xml:space="preserve"> always </w:t>
      </w:r>
      <w:r w:rsidR="008F5E40">
        <w:rPr>
          <w:rFonts w:ascii="Arial" w:hAnsi="Arial" w:cs="Arial"/>
        </w:rPr>
        <w:t>plagued</w:t>
      </w:r>
      <w:r w:rsidR="00257098">
        <w:rPr>
          <w:rFonts w:ascii="Arial" w:hAnsi="Arial" w:cs="Arial"/>
        </w:rPr>
        <w:t xml:space="preserve"> by </w:t>
      </w:r>
      <w:r w:rsidR="008F5E40">
        <w:rPr>
          <w:rFonts w:ascii="Arial" w:hAnsi="Arial" w:cs="Arial"/>
        </w:rPr>
        <w:t>inadequacies</w:t>
      </w:r>
      <w:r w:rsidR="00257098">
        <w:rPr>
          <w:rFonts w:ascii="Arial" w:hAnsi="Arial" w:cs="Arial"/>
        </w:rPr>
        <w:t xml:space="preserve"> when applied to competition matters.</w:t>
      </w:r>
      <w:r w:rsidR="00180636">
        <w:rPr>
          <w:rStyle w:val="Funotenzeichen"/>
          <w:rFonts w:ascii="Arial" w:hAnsi="Arial" w:cs="Arial"/>
        </w:rPr>
        <w:footnoteReference w:id="585"/>
      </w:r>
      <w:r w:rsidR="00257098">
        <w:rPr>
          <w:rFonts w:ascii="Arial" w:hAnsi="Arial" w:cs="Arial"/>
        </w:rPr>
        <w:t xml:space="preserve"> The reason </w:t>
      </w:r>
      <w:r w:rsidR="00180636">
        <w:rPr>
          <w:rFonts w:ascii="Arial" w:hAnsi="Arial" w:cs="Arial"/>
        </w:rPr>
        <w:t>for these</w:t>
      </w:r>
      <w:r w:rsidR="00180636" w:rsidRPr="00180636">
        <w:rPr>
          <w:rFonts w:ascii="Arial" w:hAnsi="Arial" w:cs="Arial"/>
        </w:rPr>
        <w:t xml:space="preserve"> </w:t>
      </w:r>
      <w:r w:rsidR="00180636">
        <w:rPr>
          <w:rFonts w:ascii="Arial" w:hAnsi="Arial" w:cs="Arial"/>
        </w:rPr>
        <w:t xml:space="preserve">inadequacies </w:t>
      </w:r>
      <w:r w:rsidR="00257098">
        <w:rPr>
          <w:rFonts w:ascii="Arial" w:hAnsi="Arial" w:cs="Arial"/>
        </w:rPr>
        <w:t xml:space="preserve">being that the relevant market used in competition matters are not </w:t>
      </w:r>
      <w:r w:rsidR="00257098" w:rsidRPr="00257098">
        <w:rPr>
          <w:rFonts w:ascii="Arial" w:hAnsi="Arial" w:cs="Arial"/>
        </w:rPr>
        <w:t>analogous</w:t>
      </w:r>
      <w:r w:rsidR="00257098">
        <w:rPr>
          <w:rFonts w:ascii="Arial" w:hAnsi="Arial" w:cs="Arial"/>
        </w:rPr>
        <w:t xml:space="preserve"> to </w:t>
      </w:r>
      <w:r w:rsidR="008F5E40">
        <w:rPr>
          <w:rFonts w:ascii="Arial" w:hAnsi="Arial" w:cs="Arial"/>
        </w:rPr>
        <w:t>the concept of the economic market.</w:t>
      </w:r>
      <w:r w:rsidR="00E6391C">
        <w:rPr>
          <w:rStyle w:val="Funotenzeichen"/>
          <w:rFonts w:ascii="Arial" w:hAnsi="Arial" w:cs="Arial"/>
        </w:rPr>
        <w:footnoteReference w:id="586"/>
      </w:r>
      <w:r w:rsidR="008F5E40">
        <w:rPr>
          <w:rFonts w:ascii="Arial" w:hAnsi="Arial" w:cs="Arial"/>
        </w:rPr>
        <w:t xml:space="preserve"> </w:t>
      </w:r>
    </w:p>
    <w:p w:rsidR="0062170E" w:rsidRDefault="0062170E" w:rsidP="00F13A83">
      <w:pPr>
        <w:contextualSpacing/>
        <w:jc w:val="both"/>
        <w:rPr>
          <w:rFonts w:ascii="Arial" w:hAnsi="Arial" w:cs="Arial"/>
        </w:rPr>
      </w:pPr>
    </w:p>
    <w:p w:rsidR="008F5E40" w:rsidRDefault="008F5E40" w:rsidP="00F13A83">
      <w:pPr>
        <w:contextualSpacing/>
        <w:jc w:val="both"/>
        <w:rPr>
          <w:rFonts w:ascii="Arial" w:hAnsi="Arial" w:cs="Arial"/>
        </w:rPr>
      </w:pPr>
      <w:r>
        <w:rPr>
          <w:rFonts w:ascii="Arial" w:hAnsi="Arial" w:cs="Arial"/>
        </w:rPr>
        <w:t xml:space="preserve">The economic </w:t>
      </w:r>
      <w:r w:rsidR="009B3868">
        <w:rPr>
          <w:rFonts w:ascii="Arial" w:hAnsi="Arial" w:cs="Arial"/>
        </w:rPr>
        <w:t>market consists</w:t>
      </w:r>
      <w:r>
        <w:rPr>
          <w:rFonts w:ascii="Arial" w:hAnsi="Arial" w:cs="Arial"/>
        </w:rPr>
        <w:t xml:space="preserve"> of that combination of </w:t>
      </w:r>
      <w:r w:rsidRPr="008F5E40">
        <w:rPr>
          <w:rFonts w:ascii="Arial" w:hAnsi="Arial" w:cs="Arial"/>
        </w:rPr>
        <w:t>products and geographic</w:t>
      </w:r>
      <w:r>
        <w:rPr>
          <w:rFonts w:ascii="Arial" w:hAnsi="Arial" w:cs="Arial"/>
        </w:rPr>
        <w:t>al</w:t>
      </w:r>
      <w:r w:rsidRPr="008F5E40">
        <w:rPr>
          <w:rFonts w:ascii="Arial" w:hAnsi="Arial" w:cs="Arial"/>
        </w:rPr>
        <w:t xml:space="preserve"> areas </w:t>
      </w:r>
      <w:r>
        <w:rPr>
          <w:rFonts w:ascii="Arial" w:hAnsi="Arial" w:cs="Arial"/>
        </w:rPr>
        <w:t>in</w:t>
      </w:r>
      <w:r w:rsidRPr="008F5E40">
        <w:rPr>
          <w:rFonts w:ascii="Arial" w:hAnsi="Arial" w:cs="Arial"/>
        </w:rPr>
        <w:t xml:space="preserve"> which </w:t>
      </w:r>
      <w:r>
        <w:rPr>
          <w:rFonts w:ascii="Arial" w:hAnsi="Arial" w:cs="Arial"/>
        </w:rPr>
        <w:t xml:space="preserve">the prices of </w:t>
      </w:r>
      <w:r w:rsidR="007310D0">
        <w:rPr>
          <w:rFonts w:ascii="Arial" w:hAnsi="Arial" w:cs="Arial"/>
        </w:rPr>
        <w:t xml:space="preserve">the </w:t>
      </w:r>
      <w:r>
        <w:rPr>
          <w:rFonts w:ascii="Arial" w:hAnsi="Arial" w:cs="Arial"/>
        </w:rPr>
        <w:t xml:space="preserve">various products are linked through </w:t>
      </w:r>
      <w:r w:rsidRPr="00F5147A">
        <w:rPr>
          <w:rFonts w:ascii="Arial" w:hAnsi="Arial" w:cs="Arial"/>
        </w:rPr>
        <w:t>arbitrage</w:t>
      </w:r>
      <w:r>
        <w:rPr>
          <w:rFonts w:ascii="Arial" w:hAnsi="Arial" w:cs="Arial"/>
        </w:rPr>
        <w:t>.</w:t>
      </w:r>
      <w:r>
        <w:rPr>
          <w:rStyle w:val="Funotenzeichen"/>
          <w:rFonts w:ascii="Arial" w:hAnsi="Arial" w:cs="Arial"/>
        </w:rPr>
        <w:footnoteReference w:id="587"/>
      </w:r>
      <w:r w:rsidR="009B3868">
        <w:rPr>
          <w:rFonts w:ascii="Arial" w:hAnsi="Arial" w:cs="Arial"/>
        </w:rPr>
        <w:t xml:space="preserve"> </w:t>
      </w:r>
      <w:r w:rsidR="0062170E">
        <w:rPr>
          <w:rFonts w:ascii="Arial" w:hAnsi="Arial" w:cs="Arial"/>
        </w:rPr>
        <w:t>On the other hand t</w:t>
      </w:r>
      <w:r w:rsidR="009B3868">
        <w:rPr>
          <w:rFonts w:ascii="Arial" w:hAnsi="Arial" w:cs="Arial"/>
        </w:rPr>
        <w:t>he relevant market</w:t>
      </w:r>
      <w:r w:rsidR="0062170E">
        <w:rPr>
          <w:rFonts w:ascii="Arial" w:hAnsi="Arial" w:cs="Arial"/>
        </w:rPr>
        <w:t>,</w:t>
      </w:r>
      <w:r w:rsidR="009B3868">
        <w:rPr>
          <w:rFonts w:ascii="Arial" w:hAnsi="Arial" w:cs="Arial"/>
        </w:rPr>
        <w:t xml:space="preserve"> as used in competition matters</w:t>
      </w:r>
      <w:r w:rsidR="0062170E">
        <w:rPr>
          <w:rFonts w:ascii="Arial" w:hAnsi="Arial" w:cs="Arial"/>
        </w:rPr>
        <w:t xml:space="preserve">, </w:t>
      </w:r>
      <w:r w:rsidR="009B3868">
        <w:rPr>
          <w:rFonts w:ascii="Arial" w:hAnsi="Arial" w:cs="Arial"/>
        </w:rPr>
        <w:t xml:space="preserve">refer to </w:t>
      </w:r>
      <w:r w:rsidR="004E111C">
        <w:rPr>
          <w:rFonts w:ascii="Arial" w:hAnsi="Arial" w:cs="Arial"/>
        </w:rPr>
        <w:t>“</w:t>
      </w:r>
      <w:r w:rsidR="004E111C" w:rsidRPr="004E111C">
        <w:rPr>
          <w:rFonts w:ascii="Arial" w:hAnsi="Arial" w:cs="Arial"/>
        </w:rPr>
        <w:t>any product or group of products and</w:t>
      </w:r>
      <w:r w:rsidR="004E111C">
        <w:rPr>
          <w:rFonts w:ascii="Arial" w:hAnsi="Arial" w:cs="Arial"/>
        </w:rPr>
        <w:t xml:space="preserve"> </w:t>
      </w:r>
      <w:r w:rsidR="004E111C" w:rsidRPr="004E111C">
        <w:rPr>
          <w:rFonts w:ascii="Arial" w:hAnsi="Arial" w:cs="Arial"/>
        </w:rPr>
        <w:t>any geographic area in which collective action by all firms (as through</w:t>
      </w:r>
      <w:r w:rsidR="004E111C">
        <w:rPr>
          <w:rFonts w:ascii="Arial" w:hAnsi="Arial" w:cs="Arial"/>
        </w:rPr>
        <w:t xml:space="preserve"> </w:t>
      </w:r>
      <w:r w:rsidR="004E111C" w:rsidRPr="004E111C">
        <w:rPr>
          <w:rFonts w:ascii="Arial" w:hAnsi="Arial" w:cs="Arial"/>
        </w:rPr>
        <w:t>collusion or merger) would result in</w:t>
      </w:r>
      <w:r w:rsidR="004E111C">
        <w:rPr>
          <w:rFonts w:ascii="Arial" w:hAnsi="Arial" w:cs="Arial"/>
        </w:rPr>
        <w:t xml:space="preserve"> a profit maximizing price that </w:t>
      </w:r>
      <w:r w:rsidR="004E111C" w:rsidRPr="004E111C">
        <w:rPr>
          <w:rFonts w:ascii="Arial" w:hAnsi="Arial" w:cs="Arial"/>
        </w:rPr>
        <w:t>significantly exceed</w:t>
      </w:r>
      <w:r w:rsidR="004E111C">
        <w:rPr>
          <w:rFonts w:ascii="Arial" w:hAnsi="Arial" w:cs="Arial"/>
        </w:rPr>
        <w:t>s</w:t>
      </w:r>
      <w:r w:rsidR="004E111C" w:rsidRPr="004E111C">
        <w:rPr>
          <w:rFonts w:ascii="Arial" w:hAnsi="Arial" w:cs="Arial"/>
        </w:rPr>
        <w:t xml:space="preserve"> the competitive price</w:t>
      </w:r>
      <w:r w:rsidR="004E111C">
        <w:rPr>
          <w:rFonts w:ascii="Arial" w:hAnsi="Arial" w:cs="Arial"/>
        </w:rPr>
        <w:t>.”</w:t>
      </w:r>
      <w:r w:rsidR="004E111C">
        <w:rPr>
          <w:rStyle w:val="Funotenzeichen"/>
          <w:rFonts w:ascii="Arial" w:hAnsi="Arial" w:cs="Arial"/>
        </w:rPr>
        <w:footnoteReference w:id="588"/>
      </w:r>
      <w:r w:rsidR="00F13A83">
        <w:rPr>
          <w:rFonts w:ascii="Arial" w:hAnsi="Arial" w:cs="Arial"/>
        </w:rPr>
        <w:t xml:space="preserve"> </w:t>
      </w:r>
      <w:r w:rsidR="0062170E">
        <w:rPr>
          <w:rFonts w:ascii="Arial" w:hAnsi="Arial" w:cs="Arial"/>
        </w:rPr>
        <w:t>Stated differently</w:t>
      </w:r>
      <w:r w:rsidR="00F13A83">
        <w:rPr>
          <w:rFonts w:ascii="Arial" w:hAnsi="Arial" w:cs="Arial"/>
        </w:rPr>
        <w:t>, the relevant market consists of that combination of</w:t>
      </w:r>
      <w:r w:rsidR="00F13A83" w:rsidRPr="00F13A83">
        <w:rPr>
          <w:rFonts w:ascii="Arial" w:hAnsi="Arial" w:cs="Arial"/>
        </w:rPr>
        <w:t xml:space="preserve"> products and </w:t>
      </w:r>
      <w:r w:rsidR="00F5147A">
        <w:rPr>
          <w:rFonts w:ascii="Arial" w:hAnsi="Arial" w:cs="Arial"/>
        </w:rPr>
        <w:t>that</w:t>
      </w:r>
      <w:r w:rsidR="00F13A83">
        <w:rPr>
          <w:rFonts w:ascii="Arial" w:hAnsi="Arial" w:cs="Arial"/>
        </w:rPr>
        <w:t xml:space="preserve"> specific</w:t>
      </w:r>
      <w:r w:rsidR="00F13A83" w:rsidRPr="00F13A83">
        <w:rPr>
          <w:rFonts w:ascii="Arial" w:hAnsi="Arial" w:cs="Arial"/>
        </w:rPr>
        <w:t xml:space="preserve"> geographic</w:t>
      </w:r>
      <w:r w:rsidR="00F13A83">
        <w:rPr>
          <w:rFonts w:ascii="Arial" w:hAnsi="Arial" w:cs="Arial"/>
        </w:rPr>
        <w:t>al</w:t>
      </w:r>
      <w:r w:rsidR="00F13A83" w:rsidRPr="00F13A83">
        <w:rPr>
          <w:rFonts w:ascii="Arial" w:hAnsi="Arial" w:cs="Arial"/>
        </w:rPr>
        <w:t xml:space="preserve"> area that </w:t>
      </w:r>
      <w:r w:rsidR="00F13A83">
        <w:rPr>
          <w:rFonts w:ascii="Arial" w:hAnsi="Arial" w:cs="Arial"/>
        </w:rPr>
        <w:t>can</w:t>
      </w:r>
      <w:r w:rsidR="001B4687">
        <w:rPr>
          <w:rFonts w:ascii="Arial" w:hAnsi="Arial" w:cs="Arial"/>
        </w:rPr>
        <w:t xml:space="preserve"> potentially be monopolis</w:t>
      </w:r>
      <w:r w:rsidR="00F13A83" w:rsidRPr="00F13A83">
        <w:rPr>
          <w:rFonts w:ascii="Arial" w:hAnsi="Arial" w:cs="Arial"/>
        </w:rPr>
        <w:t xml:space="preserve">ed by the </w:t>
      </w:r>
      <w:r w:rsidR="001B4687">
        <w:rPr>
          <w:rFonts w:ascii="Arial" w:hAnsi="Arial" w:cs="Arial"/>
        </w:rPr>
        <w:t xml:space="preserve">relevant </w:t>
      </w:r>
      <w:r w:rsidR="00F13A83" w:rsidRPr="00F13A83">
        <w:rPr>
          <w:rFonts w:ascii="Arial" w:hAnsi="Arial" w:cs="Arial"/>
        </w:rPr>
        <w:t>firm</w:t>
      </w:r>
      <w:r w:rsidR="00F13A83">
        <w:rPr>
          <w:rFonts w:ascii="Arial" w:hAnsi="Arial" w:cs="Arial"/>
        </w:rPr>
        <w:t>s.</w:t>
      </w:r>
      <w:r w:rsidR="001B4687">
        <w:rPr>
          <w:rStyle w:val="Funotenzeichen"/>
          <w:rFonts w:ascii="Arial" w:hAnsi="Arial" w:cs="Arial"/>
        </w:rPr>
        <w:footnoteReference w:id="589"/>
      </w:r>
      <w:r w:rsidR="00CC4EB9">
        <w:rPr>
          <w:rFonts w:ascii="Arial" w:hAnsi="Arial" w:cs="Arial"/>
        </w:rPr>
        <w:t xml:space="preserve"> </w:t>
      </w:r>
      <w:r w:rsidR="00F5147A">
        <w:rPr>
          <w:rFonts w:ascii="Arial" w:hAnsi="Arial" w:cs="Arial"/>
        </w:rPr>
        <w:t>In other words,</w:t>
      </w:r>
      <w:r w:rsidR="00CC4EB9">
        <w:rPr>
          <w:rFonts w:ascii="Arial" w:hAnsi="Arial" w:cs="Arial"/>
        </w:rPr>
        <w:t xml:space="preserve"> the relevant market refers to that market where a specific firm or a group of firms acting collectively could exhibit sufficient market power to allow them to abuse that market power to the detriment of the competition in that market. </w:t>
      </w:r>
    </w:p>
    <w:p w:rsidR="00CC4EB9" w:rsidRDefault="00CC4EB9" w:rsidP="00F13A83">
      <w:pPr>
        <w:contextualSpacing/>
        <w:jc w:val="both"/>
        <w:rPr>
          <w:rFonts w:ascii="Arial" w:hAnsi="Arial" w:cs="Arial"/>
        </w:rPr>
      </w:pPr>
    </w:p>
    <w:p w:rsidR="00CC4EB9" w:rsidRDefault="00CC4EB9" w:rsidP="00B62DFA">
      <w:pPr>
        <w:contextualSpacing/>
        <w:jc w:val="both"/>
        <w:rPr>
          <w:rFonts w:ascii="Arial" w:hAnsi="Arial" w:cs="Arial"/>
        </w:rPr>
      </w:pPr>
      <w:r>
        <w:rPr>
          <w:rFonts w:ascii="Arial" w:hAnsi="Arial" w:cs="Arial"/>
        </w:rPr>
        <w:t xml:space="preserve">The inadequacies that plagued the above mentioned techniques </w:t>
      </w:r>
      <w:r w:rsidR="00B62DFA">
        <w:rPr>
          <w:rFonts w:ascii="Arial" w:hAnsi="Arial" w:cs="Arial"/>
        </w:rPr>
        <w:t>eventually lead to the development of a technique specifically designed to delineate the relevant market with reference to market power.</w:t>
      </w:r>
      <w:r w:rsidR="00217D82">
        <w:rPr>
          <w:rStyle w:val="Funotenzeichen"/>
          <w:rFonts w:ascii="Arial" w:hAnsi="Arial" w:cs="Arial"/>
        </w:rPr>
        <w:footnoteReference w:id="590"/>
      </w:r>
      <w:r w:rsidR="00B62DFA">
        <w:rPr>
          <w:rFonts w:ascii="Arial" w:hAnsi="Arial" w:cs="Arial"/>
        </w:rPr>
        <w:t xml:space="preserve"> This technique, which is called the S</w:t>
      </w:r>
      <w:r w:rsidR="00B62DFA" w:rsidRPr="00B62DFA">
        <w:rPr>
          <w:rFonts w:ascii="Arial" w:hAnsi="Arial" w:cs="Arial"/>
        </w:rPr>
        <w:t>mall but</w:t>
      </w:r>
      <w:r w:rsidR="00217D82">
        <w:rPr>
          <w:rFonts w:ascii="Arial" w:hAnsi="Arial" w:cs="Arial"/>
        </w:rPr>
        <w:t xml:space="preserve"> </w:t>
      </w:r>
      <w:r w:rsidR="00B62DFA">
        <w:rPr>
          <w:rFonts w:ascii="Arial" w:hAnsi="Arial" w:cs="Arial"/>
        </w:rPr>
        <w:t>S</w:t>
      </w:r>
      <w:r w:rsidR="00B62DFA" w:rsidRPr="00B62DFA">
        <w:rPr>
          <w:rFonts w:ascii="Arial" w:hAnsi="Arial" w:cs="Arial"/>
        </w:rPr>
        <w:t xml:space="preserve">ignificant and </w:t>
      </w:r>
      <w:r w:rsidR="00B62DFA">
        <w:rPr>
          <w:rFonts w:ascii="Arial" w:hAnsi="Arial" w:cs="Arial"/>
        </w:rPr>
        <w:t>N</w:t>
      </w:r>
      <w:r w:rsidR="00B62DFA" w:rsidRPr="00B62DFA">
        <w:rPr>
          <w:rFonts w:ascii="Arial" w:hAnsi="Arial" w:cs="Arial"/>
        </w:rPr>
        <w:t>on-</w:t>
      </w:r>
      <w:r w:rsidR="00B62DFA">
        <w:rPr>
          <w:rFonts w:ascii="Arial" w:hAnsi="Arial" w:cs="Arial"/>
        </w:rPr>
        <w:t>T</w:t>
      </w:r>
      <w:r w:rsidR="00B62DFA" w:rsidRPr="00B62DFA">
        <w:rPr>
          <w:rFonts w:ascii="Arial" w:hAnsi="Arial" w:cs="Arial"/>
        </w:rPr>
        <w:t xml:space="preserve">ransitory </w:t>
      </w:r>
      <w:r w:rsidR="00B62DFA">
        <w:rPr>
          <w:rFonts w:ascii="Arial" w:hAnsi="Arial" w:cs="Arial"/>
        </w:rPr>
        <w:t>I</w:t>
      </w:r>
      <w:r w:rsidR="00B62DFA" w:rsidRPr="00B62DFA">
        <w:rPr>
          <w:rFonts w:ascii="Arial" w:hAnsi="Arial" w:cs="Arial"/>
        </w:rPr>
        <w:t xml:space="preserve">ncrease in </w:t>
      </w:r>
      <w:r w:rsidR="00B62DFA">
        <w:rPr>
          <w:rFonts w:ascii="Arial" w:hAnsi="Arial" w:cs="Arial"/>
        </w:rPr>
        <w:t>P</w:t>
      </w:r>
      <w:r w:rsidR="00B62DFA" w:rsidRPr="00B62DFA">
        <w:rPr>
          <w:rFonts w:ascii="Arial" w:hAnsi="Arial" w:cs="Arial"/>
        </w:rPr>
        <w:t>rice</w:t>
      </w:r>
      <w:r w:rsidR="00B62DFA">
        <w:rPr>
          <w:rFonts w:ascii="Arial" w:hAnsi="Arial" w:cs="Arial"/>
        </w:rPr>
        <w:t xml:space="preserve"> (S</w:t>
      </w:r>
      <w:r w:rsidR="002C2709">
        <w:rPr>
          <w:rFonts w:ascii="Arial" w:hAnsi="Arial" w:cs="Arial"/>
        </w:rPr>
        <w:t>SNIP) T</w:t>
      </w:r>
      <w:r w:rsidR="00B62DFA">
        <w:rPr>
          <w:rFonts w:ascii="Arial" w:hAnsi="Arial" w:cs="Arial"/>
        </w:rPr>
        <w:t xml:space="preserve">est </w:t>
      </w:r>
      <w:r w:rsidR="00F76506">
        <w:rPr>
          <w:rFonts w:ascii="Arial" w:hAnsi="Arial" w:cs="Arial"/>
        </w:rPr>
        <w:t xml:space="preserve">was first implemented by the </w:t>
      </w:r>
      <w:r w:rsidR="00F76506" w:rsidRPr="00F76506">
        <w:rPr>
          <w:rFonts w:ascii="Arial" w:hAnsi="Arial" w:cs="Arial"/>
        </w:rPr>
        <w:t xml:space="preserve">US Department of Justice </w:t>
      </w:r>
      <w:r w:rsidR="00F76506">
        <w:rPr>
          <w:rFonts w:ascii="Arial" w:hAnsi="Arial" w:cs="Arial"/>
        </w:rPr>
        <w:t xml:space="preserve">in </w:t>
      </w:r>
      <w:r w:rsidR="00F76506" w:rsidRPr="00F76506">
        <w:rPr>
          <w:rFonts w:ascii="Arial" w:hAnsi="Arial" w:cs="Arial"/>
        </w:rPr>
        <w:t xml:space="preserve">1982 </w:t>
      </w:r>
      <w:r w:rsidR="00F76506">
        <w:rPr>
          <w:rFonts w:ascii="Arial" w:hAnsi="Arial" w:cs="Arial"/>
        </w:rPr>
        <w:t xml:space="preserve">and </w:t>
      </w:r>
      <w:r w:rsidR="00B62DFA">
        <w:rPr>
          <w:rFonts w:ascii="Arial" w:hAnsi="Arial" w:cs="Arial"/>
        </w:rPr>
        <w:t>would eventually become the standard test for market delineation in competition matters.</w:t>
      </w:r>
      <w:r w:rsidR="00217D82">
        <w:rPr>
          <w:rStyle w:val="Funotenzeichen"/>
          <w:rFonts w:ascii="Arial" w:hAnsi="Arial" w:cs="Arial"/>
        </w:rPr>
        <w:footnoteReference w:id="591"/>
      </w:r>
      <w:r w:rsidR="002C2709">
        <w:rPr>
          <w:rFonts w:ascii="Arial" w:hAnsi="Arial" w:cs="Arial"/>
        </w:rPr>
        <w:t xml:space="preserve"> The SSNIP T</w:t>
      </w:r>
      <w:r w:rsidR="00B62DFA">
        <w:rPr>
          <w:rFonts w:ascii="Arial" w:hAnsi="Arial" w:cs="Arial"/>
        </w:rPr>
        <w:t xml:space="preserve">est, also called the </w:t>
      </w:r>
      <w:r w:rsidR="007310D0">
        <w:rPr>
          <w:rFonts w:ascii="Arial" w:hAnsi="Arial" w:cs="Arial"/>
        </w:rPr>
        <w:t>Hypothetical M</w:t>
      </w:r>
      <w:r w:rsidR="00B62DFA" w:rsidRPr="00B62DFA">
        <w:rPr>
          <w:rFonts w:ascii="Arial" w:hAnsi="Arial" w:cs="Arial"/>
        </w:rPr>
        <w:t xml:space="preserve">onopoly </w:t>
      </w:r>
      <w:r w:rsidR="007310D0">
        <w:rPr>
          <w:rFonts w:ascii="Arial" w:hAnsi="Arial" w:cs="Arial"/>
        </w:rPr>
        <w:t>T</w:t>
      </w:r>
      <w:r w:rsidR="00B62DFA" w:rsidRPr="00B62DFA">
        <w:rPr>
          <w:rFonts w:ascii="Arial" w:hAnsi="Arial" w:cs="Arial"/>
        </w:rPr>
        <w:t>est</w:t>
      </w:r>
      <w:r w:rsidR="00CD65D3">
        <w:rPr>
          <w:rFonts w:ascii="Arial" w:hAnsi="Arial" w:cs="Arial"/>
        </w:rPr>
        <w:t xml:space="preserve"> (HMT),</w:t>
      </w:r>
      <w:r w:rsidR="00140160">
        <w:rPr>
          <w:rStyle w:val="Funotenzeichen"/>
          <w:rFonts w:ascii="Arial" w:hAnsi="Arial" w:cs="Arial"/>
        </w:rPr>
        <w:footnoteReference w:id="592"/>
      </w:r>
      <w:r w:rsidR="00CD65D3">
        <w:rPr>
          <w:rFonts w:ascii="Arial" w:hAnsi="Arial" w:cs="Arial"/>
        </w:rPr>
        <w:t xml:space="preserve"> is </w:t>
      </w:r>
      <w:r w:rsidR="00F76506">
        <w:rPr>
          <w:rFonts w:ascii="Arial" w:hAnsi="Arial" w:cs="Arial"/>
        </w:rPr>
        <w:t>also used</w:t>
      </w:r>
      <w:r w:rsidR="00CD65D3">
        <w:rPr>
          <w:rFonts w:ascii="Arial" w:hAnsi="Arial" w:cs="Arial"/>
        </w:rPr>
        <w:t xml:space="preserve"> in South African competition matters</w:t>
      </w:r>
      <w:r w:rsidR="00140160">
        <w:rPr>
          <w:rStyle w:val="Funotenzeichen"/>
          <w:rFonts w:ascii="Arial" w:hAnsi="Arial" w:cs="Arial"/>
        </w:rPr>
        <w:footnoteReference w:id="593"/>
      </w:r>
      <w:r w:rsidR="00CD65D3">
        <w:rPr>
          <w:rFonts w:ascii="Arial" w:hAnsi="Arial" w:cs="Arial"/>
        </w:rPr>
        <w:t xml:space="preserve"> and accordingly this t</w:t>
      </w:r>
      <w:r w:rsidR="00F5147A">
        <w:rPr>
          <w:rFonts w:ascii="Arial" w:hAnsi="Arial" w:cs="Arial"/>
        </w:rPr>
        <w:t xml:space="preserve">est will discussed in the next </w:t>
      </w:r>
      <w:r w:rsidR="00CD65D3">
        <w:rPr>
          <w:rFonts w:ascii="Arial" w:hAnsi="Arial" w:cs="Arial"/>
        </w:rPr>
        <w:t>section.</w:t>
      </w:r>
    </w:p>
    <w:p w:rsidR="006D3505" w:rsidRDefault="006D3505" w:rsidP="00F13A83">
      <w:pPr>
        <w:contextualSpacing/>
        <w:jc w:val="both"/>
        <w:rPr>
          <w:rFonts w:ascii="Arial" w:hAnsi="Arial" w:cs="Arial"/>
        </w:rPr>
      </w:pPr>
    </w:p>
    <w:p w:rsidR="008F5E40" w:rsidRDefault="007310D0" w:rsidP="00424034">
      <w:pPr>
        <w:contextualSpacing/>
        <w:jc w:val="both"/>
        <w:rPr>
          <w:rFonts w:ascii="Arial" w:hAnsi="Arial" w:cs="Arial"/>
        </w:rPr>
      </w:pPr>
      <w:r>
        <w:rPr>
          <w:rFonts w:ascii="Arial" w:hAnsi="Arial" w:cs="Arial"/>
        </w:rPr>
        <w:t>3.</w:t>
      </w:r>
      <w:r w:rsidR="00AC3644">
        <w:rPr>
          <w:rFonts w:ascii="Arial" w:hAnsi="Arial" w:cs="Arial"/>
        </w:rPr>
        <w:t>3</w:t>
      </w:r>
      <w:r>
        <w:rPr>
          <w:rFonts w:ascii="Arial" w:hAnsi="Arial" w:cs="Arial"/>
        </w:rPr>
        <w:t>.</w:t>
      </w:r>
      <w:r w:rsidR="00AC3644">
        <w:rPr>
          <w:rFonts w:ascii="Arial" w:hAnsi="Arial" w:cs="Arial"/>
        </w:rPr>
        <w:t>3.1</w:t>
      </w:r>
      <w:r>
        <w:rPr>
          <w:rFonts w:ascii="Arial" w:hAnsi="Arial" w:cs="Arial"/>
        </w:rPr>
        <w:t xml:space="preserve"> The S</w:t>
      </w:r>
      <w:r w:rsidRPr="00B62DFA">
        <w:rPr>
          <w:rFonts w:ascii="Arial" w:hAnsi="Arial" w:cs="Arial"/>
        </w:rPr>
        <w:t>mall but</w:t>
      </w:r>
      <w:r>
        <w:rPr>
          <w:rFonts w:ascii="Arial" w:hAnsi="Arial" w:cs="Arial"/>
        </w:rPr>
        <w:t xml:space="preserve"> S</w:t>
      </w:r>
      <w:r w:rsidRPr="00B62DFA">
        <w:rPr>
          <w:rFonts w:ascii="Arial" w:hAnsi="Arial" w:cs="Arial"/>
        </w:rPr>
        <w:t xml:space="preserve">ignificant and </w:t>
      </w:r>
      <w:r>
        <w:rPr>
          <w:rFonts w:ascii="Arial" w:hAnsi="Arial" w:cs="Arial"/>
        </w:rPr>
        <w:t>N</w:t>
      </w:r>
      <w:r w:rsidRPr="00B62DFA">
        <w:rPr>
          <w:rFonts w:ascii="Arial" w:hAnsi="Arial" w:cs="Arial"/>
        </w:rPr>
        <w:t>on-</w:t>
      </w:r>
      <w:r>
        <w:rPr>
          <w:rFonts w:ascii="Arial" w:hAnsi="Arial" w:cs="Arial"/>
        </w:rPr>
        <w:t>T</w:t>
      </w:r>
      <w:r w:rsidRPr="00B62DFA">
        <w:rPr>
          <w:rFonts w:ascii="Arial" w:hAnsi="Arial" w:cs="Arial"/>
        </w:rPr>
        <w:t xml:space="preserve">ransitory </w:t>
      </w:r>
      <w:r>
        <w:rPr>
          <w:rFonts w:ascii="Arial" w:hAnsi="Arial" w:cs="Arial"/>
        </w:rPr>
        <w:t>I</w:t>
      </w:r>
      <w:r w:rsidRPr="00B62DFA">
        <w:rPr>
          <w:rFonts w:ascii="Arial" w:hAnsi="Arial" w:cs="Arial"/>
        </w:rPr>
        <w:t xml:space="preserve">ncrease in </w:t>
      </w:r>
      <w:r>
        <w:rPr>
          <w:rFonts w:ascii="Arial" w:hAnsi="Arial" w:cs="Arial"/>
        </w:rPr>
        <w:t>P</w:t>
      </w:r>
      <w:r w:rsidRPr="00B62DFA">
        <w:rPr>
          <w:rFonts w:ascii="Arial" w:hAnsi="Arial" w:cs="Arial"/>
        </w:rPr>
        <w:t>rice</w:t>
      </w:r>
      <w:r>
        <w:rPr>
          <w:rFonts w:ascii="Arial" w:hAnsi="Arial" w:cs="Arial"/>
        </w:rPr>
        <w:t xml:space="preserve"> (SSNIP) test</w:t>
      </w:r>
    </w:p>
    <w:p w:rsidR="00C46A0B" w:rsidRDefault="00C46A0B" w:rsidP="00A37BD9">
      <w:pPr>
        <w:contextualSpacing/>
        <w:jc w:val="both"/>
        <w:rPr>
          <w:rFonts w:ascii="Arial" w:hAnsi="Arial" w:cs="Arial"/>
        </w:rPr>
      </w:pPr>
    </w:p>
    <w:p w:rsidR="00A37BD9" w:rsidRDefault="00A37BD9" w:rsidP="00A37BD9">
      <w:pPr>
        <w:contextualSpacing/>
        <w:jc w:val="both"/>
        <w:rPr>
          <w:rFonts w:ascii="Arial" w:hAnsi="Arial" w:cs="Arial"/>
        </w:rPr>
      </w:pPr>
      <w:r>
        <w:rPr>
          <w:rFonts w:ascii="Arial" w:hAnsi="Arial" w:cs="Arial"/>
        </w:rPr>
        <w:t>Up to</w:t>
      </w:r>
      <w:r w:rsidR="00BA3D05">
        <w:rPr>
          <w:rFonts w:ascii="Arial" w:hAnsi="Arial" w:cs="Arial"/>
        </w:rPr>
        <w:t xml:space="preserve"> </w:t>
      </w:r>
      <w:r>
        <w:rPr>
          <w:rFonts w:ascii="Arial" w:hAnsi="Arial" w:cs="Arial"/>
        </w:rPr>
        <w:t>this point,</w:t>
      </w:r>
      <w:r w:rsidR="00BA3D05">
        <w:rPr>
          <w:rFonts w:ascii="Arial" w:hAnsi="Arial" w:cs="Arial"/>
        </w:rPr>
        <w:t xml:space="preserve"> </w:t>
      </w:r>
      <w:r w:rsidR="009669ED">
        <w:rPr>
          <w:rFonts w:ascii="Arial" w:hAnsi="Arial" w:cs="Arial"/>
        </w:rPr>
        <w:t>this paper has</w:t>
      </w:r>
      <w:r w:rsidR="00BA3D05">
        <w:rPr>
          <w:rFonts w:ascii="Arial" w:hAnsi="Arial" w:cs="Arial"/>
        </w:rPr>
        <w:t xml:space="preserve"> </w:t>
      </w:r>
      <w:r w:rsidR="00C46A0B">
        <w:rPr>
          <w:rFonts w:ascii="Arial" w:hAnsi="Arial" w:cs="Arial"/>
        </w:rPr>
        <w:t>defined</w:t>
      </w:r>
      <w:r>
        <w:rPr>
          <w:rFonts w:ascii="Arial" w:hAnsi="Arial" w:cs="Arial"/>
        </w:rPr>
        <w:t xml:space="preserve"> market power </w:t>
      </w:r>
      <w:r w:rsidR="009669ED">
        <w:rPr>
          <w:rFonts w:ascii="Arial" w:hAnsi="Arial" w:cs="Arial"/>
        </w:rPr>
        <w:t>using the</w:t>
      </w:r>
      <w:r>
        <w:rPr>
          <w:rFonts w:ascii="Arial" w:hAnsi="Arial" w:cs="Arial"/>
        </w:rPr>
        <w:t xml:space="preserve"> Competition Act</w:t>
      </w:r>
      <w:r w:rsidR="009669ED">
        <w:rPr>
          <w:rFonts w:ascii="Arial" w:hAnsi="Arial" w:cs="Arial"/>
        </w:rPr>
        <w:t>’s</w:t>
      </w:r>
      <w:r>
        <w:rPr>
          <w:rStyle w:val="Funotenzeichen"/>
          <w:rFonts w:ascii="Arial" w:hAnsi="Arial" w:cs="Arial"/>
        </w:rPr>
        <w:footnoteReference w:id="594"/>
      </w:r>
      <w:r>
        <w:rPr>
          <w:rFonts w:ascii="Arial" w:hAnsi="Arial" w:cs="Arial"/>
        </w:rPr>
        <w:t xml:space="preserve"> </w:t>
      </w:r>
      <w:r w:rsidR="009669ED">
        <w:rPr>
          <w:rFonts w:ascii="Arial" w:hAnsi="Arial" w:cs="Arial"/>
        </w:rPr>
        <w:t xml:space="preserve">definition of market power </w:t>
      </w:r>
      <w:r>
        <w:rPr>
          <w:rFonts w:ascii="Arial" w:hAnsi="Arial" w:cs="Arial"/>
        </w:rPr>
        <w:t>without considering the rationale for the Competition Act’s</w:t>
      </w:r>
      <w:r>
        <w:rPr>
          <w:rStyle w:val="Funotenzeichen"/>
          <w:rFonts w:ascii="Arial" w:hAnsi="Arial" w:cs="Arial"/>
        </w:rPr>
        <w:footnoteReference w:id="595"/>
      </w:r>
      <w:r>
        <w:rPr>
          <w:rFonts w:ascii="Arial" w:hAnsi="Arial" w:cs="Arial"/>
        </w:rPr>
        <w:t xml:space="preserve"> definition of market power. The Competition Act</w:t>
      </w:r>
      <w:r>
        <w:rPr>
          <w:rStyle w:val="Funotenzeichen"/>
          <w:rFonts w:ascii="Arial" w:hAnsi="Arial" w:cs="Arial"/>
        </w:rPr>
        <w:footnoteReference w:id="596"/>
      </w:r>
      <w:r>
        <w:rPr>
          <w:rFonts w:ascii="Arial" w:hAnsi="Arial" w:cs="Arial"/>
        </w:rPr>
        <w:t xml:space="preserve"> defines market power as </w:t>
      </w:r>
      <w:r w:rsidR="00690B79">
        <w:rPr>
          <w:rFonts w:ascii="Arial" w:hAnsi="Arial" w:cs="Arial"/>
        </w:rPr>
        <w:t>“</w:t>
      </w:r>
      <w:r w:rsidRPr="00A37BD9">
        <w:rPr>
          <w:rFonts w:ascii="Arial" w:hAnsi="Arial" w:cs="Arial"/>
        </w:rPr>
        <w:t>the power of a firm to control prices, or to exclude competition or to behave to</w:t>
      </w:r>
      <w:r>
        <w:rPr>
          <w:rFonts w:ascii="Arial" w:hAnsi="Arial" w:cs="Arial"/>
        </w:rPr>
        <w:t xml:space="preserve"> </w:t>
      </w:r>
      <w:r w:rsidRPr="00A37BD9">
        <w:rPr>
          <w:rFonts w:ascii="Arial" w:hAnsi="Arial" w:cs="Arial"/>
        </w:rPr>
        <w:t>an appreciable exten</w:t>
      </w:r>
      <w:r>
        <w:rPr>
          <w:rFonts w:ascii="Arial" w:hAnsi="Arial" w:cs="Arial"/>
        </w:rPr>
        <w:t>t independently of its competi</w:t>
      </w:r>
      <w:r w:rsidRPr="00A37BD9">
        <w:rPr>
          <w:rFonts w:ascii="Arial" w:hAnsi="Arial" w:cs="Arial"/>
        </w:rPr>
        <w:t>tors, customers or suppliers</w:t>
      </w:r>
      <w:r>
        <w:rPr>
          <w:rFonts w:ascii="Arial" w:hAnsi="Arial" w:cs="Arial"/>
        </w:rPr>
        <w:t>.</w:t>
      </w:r>
      <w:r w:rsidR="00690B79">
        <w:rPr>
          <w:rFonts w:ascii="Arial" w:hAnsi="Arial" w:cs="Arial"/>
        </w:rPr>
        <w:t>”</w:t>
      </w:r>
      <w:r w:rsidR="00690B79">
        <w:rPr>
          <w:rStyle w:val="Funotenzeichen"/>
          <w:rFonts w:ascii="Arial" w:hAnsi="Arial" w:cs="Arial"/>
        </w:rPr>
        <w:footnoteReference w:id="597"/>
      </w:r>
    </w:p>
    <w:p w:rsidR="009669ED" w:rsidRDefault="009669ED" w:rsidP="00424034">
      <w:pPr>
        <w:contextualSpacing/>
        <w:jc w:val="both"/>
        <w:rPr>
          <w:rFonts w:ascii="Arial" w:hAnsi="Arial" w:cs="Arial"/>
        </w:rPr>
      </w:pPr>
    </w:p>
    <w:p w:rsidR="005D790A" w:rsidRDefault="00A37BD9" w:rsidP="00424034">
      <w:pPr>
        <w:contextualSpacing/>
        <w:jc w:val="both"/>
        <w:rPr>
          <w:rFonts w:ascii="Arial" w:hAnsi="Arial" w:cs="Arial"/>
        </w:rPr>
      </w:pPr>
      <w:r>
        <w:rPr>
          <w:rFonts w:ascii="Arial" w:hAnsi="Arial" w:cs="Arial"/>
        </w:rPr>
        <w:t>In industrial economics</w:t>
      </w:r>
      <w:r w:rsidR="005370AF">
        <w:rPr>
          <w:rFonts w:ascii="Arial" w:hAnsi="Arial" w:cs="Arial"/>
        </w:rPr>
        <w:t xml:space="preserve"> however, </w:t>
      </w:r>
      <w:r>
        <w:rPr>
          <w:rFonts w:ascii="Arial" w:hAnsi="Arial" w:cs="Arial"/>
        </w:rPr>
        <w:t xml:space="preserve">market power is </w:t>
      </w:r>
      <w:r w:rsidR="005370AF">
        <w:rPr>
          <w:rFonts w:ascii="Arial" w:hAnsi="Arial" w:cs="Arial"/>
        </w:rPr>
        <w:t>commonly</w:t>
      </w:r>
      <w:r>
        <w:rPr>
          <w:rFonts w:ascii="Arial" w:hAnsi="Arial" w:cs="Arial"/>
        </w:rPr>
        <w:t xml:space="preserve"> define</w:t>
      </w:r>
      <w:r w:rsidR="005370AF">
        <w:rPr>
          <w:rFonts w:ascii="Arial" w:hAnsi="Arial" w:cs="Arial"/>
        </w:rPr>
        <w:t>d</w:t>
      </w:r>
      <w:r>
        <w:rPr>
          <w:rFonts w:ascii="Arial" w:hAnsi="Arial" w:cs="Arial"/>
        </w:rPr>
        <w:t xml:space="preserve"> as </w:t>
      </w:r>
      <w:r w:rsidR="005370AF">
        <w:rPr>
          <w:rFonts w:ascii="Arial" w:hAnsi="Arial" w:cs="Arial"/>
        </w:rPr>
        <w:t>the ability of a firm or a group of firms acting together to increase the price of any specific product or a group of products</w:t>
      </w:r>
      <w:r w:rsidR="001B7086">
        <w:rPr>
          <w:rFonts w:ascii="Arial" w:hAnsi="Arial" w:cs="Arial"/>
        </w:rPr>
        <w:t>, by restricting output,</w:t>
      </w:r>
      <w:r w:rsidR="005370AF">
        <w:rPr>
          <w:rFonts w:ascii="Arial" w:hAnsi="Arial" w:cs="Arial"/>
        </w:rPr>
        <w:t xml:space="preserve"> from what the price would have been in a perfectly competitive market and </w:t>
      </w:r>
      <w:r w:rsidR="00CA4161">
        <w:rPr>
          <w:rFonts w:ascii="Arial" w:hAnsi="Arial" w:cs="Arial"/>
        </w:rPr>
        <w:t>as a result</w:t>
      </w:r>
      <w:r w:rsidR="005370AF">
        <w:rPr>
          <w:rFonts w:ascii="Arial" w:hAnsi="Arial" w:cs="Arial"/>
        </w:rPr>
        <w:t xml:space="preserve"> increase their </w:t>
      </w:r>
      <w:r w:rsidR="00CA4161">
        <w:rPr>
          <w:rFonts w:ascii="Arial" w:hAnsi="Arial" w:cs="Arial"/>
        </w:rPr>
        <w:t xml:space="preserve">respective </w:t>
      </w:r>
      <w:r w:rsidR="005370AF">
        <w:rPr>
          <w:rFonts w:ascii="Arial" w:hAnsi="Arial" w:cs="Arial"/>
        </w:rPr>
        <w:t>profits</w:t>
      </w:r>
      <w:r w:rsidR="00CA4161">
        <w:rPr>
          <w:rFonts w:ascii="Arial" w:hAnsi="Arial" w:cs="Arial"/>
        </w:rPr>
        <w:t xml:space="preserve"> from what it would have been under conditions of perfect competition</w:t>
      </w:r>
      <w:r w:rsidR="005370AF">
        <w:rPr>
          <w:rFonts w:ascii="Arial" w:hAnsi="Arial" w:cs="Arial"/>
        </w:rPr>
        <w:t>.</w:t>
      </w:r>
      <w:r w:rsidR="00CA4161">
        <w:rPr>
          <w:rStyle w:val="Funotenzeichen"/>
          <w:rFonts w:ascii="Arial" w:hAnsi="Arial" w:cs="Arial"/>
        </w:rPr>
        <w:footnoteReference w:id="598"/>
      </w:r>
      <w:r>
        <w:rPr>
          <w:rFonts w:ascii="Arial" w:hAnsi="Arial" w:cs="Arial"/>
        </w:rPr>
        <w:t xml:space="preserve"> </w:t>
      </w:r>
      <w:r w:rsidR="009669ED">
        <w:rPr>
          <w:rFonts w:ascii="Arial" w:hAnsi="Arial" w:cs="Arial"/>
        </w:rPr>
        <w:t xml:space="preserve">From this </w:t>
      </w:r>
      <w:r w:rsidR="005D790A">
        <w:rPr>
          <w:rFonts w:ascii="Arial" w:hAnsi="Arial" w:cs="Arial"/>
        </w:rPr>
        <w:t>definition,</w:t>
      </w:r>
      <w:r w:rsidR="009669ED">
        <w:rPr>
          <w:rFonts w:ascii="Arial" w:hAnsi="Arial" w:cs="Arial"/>
        </w:rPr>
        <w:t xml:space="preserve"> the rational for the Competition Act’s</w:t>
      </w:r>
      <w:r w:rsidR="00427986">
        <w:rPr>
          <w:rStyle w:val="Funotenzeichen"/>
          <w:rFonts w:ascii="Arial" w:hAnsi="Arial" w:cs="Arial"/>
        </w:rPr>
        <w:footnoteReference w:id="599"/>
      </w:r>
      <w:r w:rsidR="009669ED">
        <w:rPr>
          <w:rFonts w:ascii="Arial" w:hAnsi="Arial" w:cs="Arial"/>
        </w:rPr>
        <w:t xml:space="preserve"> definition of market power becomes clear. </w:t>
      </w:r>
    </w:p>
    <w:p w:rsidR="005D790A" w:rsidRDefault="005D790A" w:rsidP="00424034">
      <w:pPr>
        <w:contextualSpacing/>
        <w:jc w:val="both"/>
        <w:rPr>
          <w:rFonts w:ascii="Arial" w:hAnsi="Arial" w:cs="Arial"/>
        </w:rPr>
      </w:pPr>
    </w:p>
    <w:p w:rsidR="00CA4161" w:rsidRDefault="003354D4" w:rsidP="00424034">
      <w:pPr>
        <w:contextualSpacing/>
        <w:jc w:val="both"/>
        <w:rPr>
          <w:rFonts w:ascii="Arial" w:hAnsi="Arial" w:cs="Arial"/>
        </w:rPr>
      </w:pPr>
      <w:r>
        <w:rPr>
          <w:rFonts w:ascii="Arial" w:hAnsi="Arial" w:cs="Arial"/>
        </w:rPr>
        <w:t>The Competition Act’s</w:t>
      </w:r>
      <w:r w:rsidR="00427986">
        <w:rPr>
          <w:rStyle w:val="Funotenzeichen"/>
          <w:rFonts w:ascii="Arial" w:hAnsi="Arial" w:cs="Arial"/>
        </w:rPr>
        <w:footnoteReference w:id="600"/>
      </w:r>
      <w:r>
        <w:rPr>
          <w:rFonts w:ascii="Arial" w:hAnsi="Arial" w:cs="Arial"/>
        </w:rPr>
        <w:t xml:space="preserve"> definition of market power includes three </w:t>
      </w:r>
      <w:r w:rsidR="005D790A">
        <w:rPr>
          <w:rFonts w:ascii="Arial" w:hAnsi="Arial" w:cs="Arial"/>
        </w:rPr>
        <w:t>powers</w:t>
      </w:r>
      <w:r>
        <w:rPr>
          <w:rFonts w:ascii="Arial" w:hAnsi="Arial" w:cs="Arial"/>
        </w:rPr>
        <w:t xml:space="preserve"> namely:</w:t>
      </w:r>
    </w:p>
    <w:p w:rsidR="003354D4" w:rsidRDefault="003354D4" w:rsidP="00424034">
      <w:pPr>
        <w:contextualSpacing/>
        <w:jc w:val="both"/>
        <w:rPr>
          <w:rFonts w:ascii="Arial" w:hAnsi="Arial" w:cs="Arial"/>
        </w:rPr>
      </w:pPr>
      <w:r>
        <w:rPr>
          <w:rFonts w:ascii="Arial" w:hAnsi="Arial" w:cs="Arial"/>
        </w:rPr>
        <w:t>1. The power to control prices.</w:t>
      </w:r>
    </w:p>
    <w:p w:rsidR="003354D4" w:rsidRDefault="003354D4" w:rsidP="00424034">
      <w:pPr>
        <w:contextualSpacing/>
        <w:jc w:val="both"/>
        <w:rPr>
          <w:rFonts w:ascii="Arial" w:hAnsi="Arial" w:cs="Arial"/>
        </w:rPr>
      </w:pPr>
      <w:r>
        <w:rPr>
          <w:rFonts w:ascii="Arial" w:hAnsi="Arial" w:cs="Arial"/>
        </w:rPr>
        <w:t>2. The power to exclude competition.</w:t>
      </w:r>
    </w:p>
    <w:p w:rsidR="003354D4" w:rsidRDefault="003354D4" w:rsidP="00424034">
      <w:pPr>
        <w:contextualSpacing/>
        <w:jc w:val="both"/>
        <w:rPr>
          <w:rFonts w:ascii="Arial" w:hAnsi="Arial" w:cs="Arial"/>
        </w:rPr>
      </w:pPr>
      <w:r>
        <w:rPr>
          <w:rFonts w:ascii="Arial" w:hAnsi="Arial" w:cs="Arial"/>
        </w:rPr>
        <w:t>3. The power to act independently from your competitors, customers and suppliers.</w:t>
      </w:r>
    </w:p>
    <w:p w:rsidR="005D790A" w:rsidRDefault="00427986" w:rsidP="00424034">
      <w:pPr>
        <w:contextualSpacing/>
        <w:jc w:val="both"/>
        <w:rPr>
          <w:rFonts w:ascii="Arial" w:hAnsi="Arial" w:cs="Arial"/>
        </w:rPr>
      </w:pPr>
      <w:r>
        <w:rPr>
          <w:rFonts w:ascii="Arial" w:hAnsi="Arial" w:cs="Arial"/>
        </w:rPr>
        <w:t xml:space="preserve">It is clear that the first </w:t>
      </w:r>
      <w:r w:rsidR="005D790A">
        <w:rPr>
          <w:rFonts w:ascii="Arial" w:hAnsi="Arial" w:cs="Arial"/>
        </w:rPr>
        <w:t>power</w:t>
      </w:r>
      <w:r>
        <w:rPr>
          <w:rFonts w:ascii="Arial" w:hAnsi="Arial" w:cs="Arial"/>
        </w:rPr>
        <w:t xml:space="preserve"> falls </w:t>
      </w:r>
      <w:r w:rsidR="005D790A">
        <w:rPr>
          <w:rFonts w:ascii="Arial" w:hAnsi="Arial" w:cs="Arial"/>
        </w:rPr>
        <w:t>within</w:t>
      </w:r>
      <w:r>
        <w:rPr>
          <w:rFonts w:ascii="Arial" w:hAnsi="Arial" w:cs="Arial"/>
        </w:rPr>
        <w:t xml:space="preserve"> the industrial economics definition of market power. The second </w:t>
      </w:r>
      <w:r w:rsidR="005D790A">
        <w:rPr>
          <w:rFonts w:ascii="Arial" w:hAnsi="Arial" w:cs="Arial"/>
        </w:rPr>
        <w:t xml:space="preserve">power </w:t>
      </w:r>
      <w:r>
        <w:rPr>
          <w:rFonts w:ascii="Arial" w:hAnsi="Arial" w:cs="Arial"/>
        </w:rPr>
        <w:t>also falls within the industrial economics definition of market power</w:t>
      </w:r>
      <w:r w:rsidR="0045632B">
        <w:rPr>
          <w:rFonts w:ascii="Arial" w:hAnsi="Arial" w:cs="Arial"/>
        </w:rPr>
        <w:t xml:space="preserve">. The reason being, if a firm has successfully excluded competition in a market, then the concentration level within that market should increase i.e. there is less competitors to compete with, which in turn will provide the abusive firm </w:t>
      </w:r>
      <w:r w:rsidR="001B7086">
        <w:rPr>
          <w:rFonts w:ascii="Arial" w:hAnsi="Arial" w:cs="Arial"/>
        </w:rPr>
        <w:t xml:space="preserve">with </w:t>
      </w:r>
      <w:r w:rsidR="0045632B">
        <w:rPr>
          <w:rFonts w:ascii="Arial" w:hAnsi="Arial" w:cs="Arial"/>
        </w:rPr>
        <w:t>more control over price</w:t>
      </w:r>
      <w:r w:rsidR="001B7086">
        <w:rPr>
          <w:rFonts w:ascii="Arial" w:hAnsi="Arial" w:cs="Arial"/>
        </w:rPr>
        <w:t xml:space="preserve"> and output</w:t>
      </w:r>
      <w:r w:rsidR="0045632B">
        <w:rPr>
          <w:rFonts w:ascii="Arial" w:hAnsi="Arial" w:cs="Arial"/>
        </w:rPr>
        <w:t xml:space="preserve"> and enable it to sustain higher profits.</w:t>
      </w:r>
      <w:r w:rsidR="00DC7B71">
        <w:rPr>
          <w:rFonts w:ascii="Arial" w:hAnsi="Arial" w:cs="Arial"/>
        </w:rPr>
        <w:t xml:space="preserve"> The third </w:t>
      </w:r>
      <w:r w:rsidR="005D790A">
        <w:rPr>
          <w:rFonts w:ascii="Arial" w:hAnsi="Arial" w:cs="Arial"/>
        </w:rPr>
        <w:t>power</w:t>
      </w:r>
      <w:r w:rsidR="00DC7B71">
        <w:rPr>
          <w:rFonts w:ascii="Arial" w:hAnsi="Arial" w:cs="Arial"/>
        </w:rPr>
        <w:t xml:space="preserve"> also </w:t>
      </w:r>
      <w:r w:rsidR="005D790A">
        <w:rPr>
          <w:rFonts w:ascii="Arial" w:hAnsi="Arial" w:cs="Arial"/>
        </w:rPr>
        <w:t xml:space="preserve">falls within the industrial economics definition of market power </w:t>
      </w:r>
      <w:r w:rsidR="00DC7B71">
        <w:rPr>
          <w:rFonts w:ascii="Arial" w:hAnsi="Arial" w:cs="Arial"/>
        </w:rPr>
        <w:t>because the power to act independently means that the market forces do not bind the specific firm and acc</w:t>
      </w:r>
      <w:r w:rsidR="001B7086">
        <w:rPr>
          <w:rFonts w:ascii="Arial" w:hAnsi="Arial" w:cs="Arial"/>
        </w:rPr>
        <w:t xml:space="preserve">ordingly that firm can determine a </w:t>
      </w:r>
      <w:r w:rsidR="00DC7B71">
        <w:rPr>
          <w:rFonts w:ascii="Arial" w:hAnsi="Arial" w:cs="Arial"/>
        </w:rPr>
        <w:t xml:space="preserve">price without considering the reaction of his competitors, suppliers and customers to </w:t>
      </w:r>
      <w:r w:rsidR="001B7086">
        <w:rPr>
          <w:rFonts w:ascii="Arial" w:hAnsi="Arial" w:cs="Arial"/>
        </w:rPr>
        <w:t>that price</w:t>
      </w:r>
      <w:r w:rsidR="00DC7B71">
        <w:rPr>
          <w:rFonts w:ascii="Arial" w:hAnsi="Arial" w:cs="Arial"/>
        </w:rPr>
        <w:t xml:space="preserve">. </w:t>
      </w:r>
    </w:p>
    <w:p w:rsidR="005D790A" w:rsidRDefault="005D790A" w:rsidP="00424034">
      <w:pPr>
        <w:contextualSpacing/>
        <w:jc w:val="both"/>
        <w:rPr>
          <w:rFonts w:ascii="Arial" w:hAnsi="Arial" w:cs="Arial"/>
        </w:rPr>
      </w:pPr>
    </w:p>
    <w:p w:rsidR="00427986" w:rsidRDefault="00DC7B71" w:rsidP="00424034">
      <w:pPr>
        <w:contextualSpacing/>
        <w:jc w:val="both"/>
        <w:rPr>
          <w:rFonts w:ascii="Arial" w:hAnsi="Arial" w:cs="Arial"/>
        </w:rPr>
      </w:pPr>
      <w:r>
        <w:rPr>
          <w:rFonts w:ascii="Arial" w:hAnsi="Arial" w:cs="Arial"/>
        </w:rPr>
        <w:t>Accordingly,</w:t>
      </w:r>
      <w:r w:rsidR="002E6208">
        <w:rPr>
          <w:rFonts w:ascii="Arial" w:hAnsi="Arial" w:cs="Arial"/>
        </w:rPr>
        <w:t xml:space="preserve"> the rational for the Competition Act’s</w:t>
      </w:r>
      <w:r w:rsidR="005D790A">
        <w:rPr>
          <w:rStyle w:val="Funotenzeichen"/>
          <w:rFonts w:ascii="Arial" w:hAnsi="Arial" w:cs="Arial"/>
        </w:rPr>
        <w:footnoteReference w:id="601"/>
      </w:r>
      <w:r w:rsidR="002E6208">
        <w:rPr>
          <w:rFonts w:ascii="Arial" w:hAnsi="Arial" w:cs="Arial"/>
        </w:rPr>
        <w:t xml:space="preserve"> definition of market power lies in the definition of market power in industrial economics.</w:t>
      </w:r>
      <w:r w:rsidR="005D790A">
        <w:rPr>
          <w:rStyle w:val="Funotenzeichen"/>
          <w:rFonts w:ascii="Arial" w:hAnsi="Arial" w:cs="Arial"/>
        </w:rPr>
        <w:footnoteReference w:id="602"/>
      </w:r>
      <w:r w:rsidR="002E6208">
        <w:rPr>
          <w:rFonts w:ascii="Arial" w:hAnsi="Arial" w:cs="Arial"/>
        </w:rPr>
        <w:t xml:space="preserve"> Hence, market power in terms of the Competition Act</w:t>
      </w:r>
      <w:r w:rsidR="005D790A">
        <w:rPr>
          <w:rStyle w:val="Funotenzeichen"/>
          <w:rFonts w:ascii="Arial" w:hAnsi="Arial" w:cs="Arial"/>
        </w:rPr>
        <w:footnoteReference w:id="603"/>
      </w:r>
      <w:r w:rsidR="002E6208">
        <w:rPr>
          <w:rFonts w:ascii="Arial" w:hAnsi="Arial" w:cs="Arial"/>
        </w:rPr>
        <w:t xml:space="preserve"> can </w:t>
      </w:r>
      <w:r w:rsidR="001B7086">
        <w:rPr>
          <w:rFonts w:ascii="Arial" w:hAnsi="Arial" w:cs="Arial"/>
        </w:rPr>
        <w:t>broadly</w:t>
      </w:r>
      <w:r w:rsidR="002E6208">
        <w:rPr>
          <w:rFonts w:ascii="Arial" w:hAnsi="Arial" w:cs="Arial"/>
        </w:rPr>
        <w:t xml:space="preserve"> be defined as the ability of </w:t>
      </w:r>
      <w:r w:rsidR="00C02903">
        <w:rPr>
          <w:rFonts w:ascii="Arial" w:hAnsi="Arial" w:cs="Arial"/>
        </w:rPr>
        <w:t>a firm</w:t>
      </w:r>
      <w:r w:rsidR="002E6208">
        <w:rPr>
          <w:rFonts w:ascii="Arial" w:hAnsi="Arial" w:cs="Arial"/>
        </w:rPr>
        <w:t xml:space="preserve"> or a  group of firms acting together to increase the price of any specific product or a group of products</w:t>
      </w:r>
      <w:r w:rsidR="001B7086">
        <w:rPr>
          <w:rFonts w:ascii="Arial" w:hAnsi="Arial" w:cs="Arial"/>
        </w:rPr>
        <w:t>, by restricting output,</w:t>
      </w:r>
      <w:r w:rsidR="002E6208">
        <w:rPr>
          <w:rFonts w:ascii="Arial" w:hAnsi="Arial" w:cs="Arial"/>
        </w:rPr>
        <w:t xml:space="preserve"> from what the price would have been in a perfectly competitive market and as a result increase their respective profits from what it would have been under conditions of perfect competition.</w:t>
      </w:r>
      <w:r w:rsidR="005D790A">
        <w:rPr>
          <w:rStyle w:val="Funotenzeichen"/>
          <w:rFonts w:ascii="Arial" w:hAnsi="Arial" w:cs="Arial"/>
        </w:rPr>
        <w:footnoteReference w:id="604"/>
      </w:r>
    </w:p>
    <w:p w:rsidR="00CA4161" w:rsidRDefault="00CA4161" w:rsidP="00424034">
      <w:pPr>
        <w:contextualSpacing/>
        <w:jc w:val="both"/>
        <w:rPr>
          <w:rFonts w:ascii="Arial" w:hAnsi="Arial" w:cs="Arial"/>
        </w:rPr>
      </w:pPr>
    </w:p>
    <w:p w:rsidR="00C762B5" w:rsidRDefault="00C762B5" w:rsidP="00424034">
      <w:pPr>
        <w:contextualSpacing/>
        <w:jc w:val="both"/>
        <w:rPr>
          <w:rFonts w:ascii="Arial" w:hAnsi="Arial" w:cs="Arial"/>
        </w:rPr>
      </w:pPr>
      <w:r>
        <w:rPr>
          <w:rFonts w:ascii="Arial" w:hAnsi="Arial" w:cs="Arial"/>
        </w:rPr>
        <w:t>As discussed previously</w:t>
      </w:r>
      <w:r w:rsidR="00DC2554">
        <w:rPr>
          <w:rFonts w:ascii="Arial" w:hAnsi="Arial" w:cs="Arial"/>
        </w:rPr>
        <w:t>,</w:t>
      </w:r>
      <w:r>
        <w:rPr>
          <w:rFonts w:ascii="Arial" w:hAnsi="Arial" w:cs="Arial"/>
        </w:rPr>
        <w:t xml:space="preserve"> the regulation of market power </w:t>
      </w:r>
      <w:r w:rsidR="00DC2554">
        <w:rPr>
          <w:rFonts w:ascii="Arial" w:hAnsi="Arial" w:cs="Arial"/>
        </w:rPr>
        <w:t>lies at</w:t>
      </w:r>
      <w:r>
        <w:rPr>
          <w:rFonts w:ascii="Arial" w:hAnsi="Arial" w:cs="Arial"/>
        </w:rPr>
        <w:t xml:space="preserve"> the </w:t>
      </w:r>
      <w:r w:rsidR="00DC2554">
        <w:rPr>
          <w:rFonts w:ascii="Arial" w:hAnsi="Arial" w:cs="Arial"/>
        </w:rPr>
        <w:t>heart</w:t>
      </w:r>
      <w:r>
        <w:rPr>
          <w:rFonts w:ascii="Arial" w:hAnsi="Arial" w:cs="Arial"/>
        </w:rPr>
        <w:t xml:space="preserve"> of </w:t>
      </w:r>
      <w:r w:rsidR="00DC2554">
        <w:rPr>
          <w:rFonts w:ascii="Arial" w:hAnsi="Arial" w:cs="Arial"/>
        </w:rPr>
        <w:t xml:space="preserve">competition regulation. Also discussed earlier, is the importance and influence of market delineation in measuring market power because market delineation determines the market within which market power is to be assessed. </w:t>
      </w:r>
      <w:r w:rsidR="00C02903">
        <w:rPr>
          <w:rFonts w:ascii="Arial" w:hAnsi="Arial" w:cs="Arial"/>
        </w:rPr>
        <w:t>With the preceding paragraphs in mind,</w:t>
      </w:r>
      <w:r w:rsidR="002C2709">
        <w:rPr>
          <w:rFonts w:ascii="Arial" w:hAnsi="Arial" w:cs="Arial"/>
        </w:rPr>
        <w:t xml:space="preserve"> the SSNIP T</w:t>
      </w:r>
      <w:r w:rsidR="00C02903">
        <w:rPr>
          <w:rFonts w:ascii="Arial" w:hAnsi="Arial" w:cs="Arial"/>
        </w:rPr>
        <w:t>est will now be discussed.</w:t>
      </w:r>
    </w:p>
    <w:p w:rsidR="00C762B5" w:rsidRDefault="00C762B5" w:rsidP="00424034">
      <w:pPr>
        <w:contextualSpacing/>
        <w:jc w:val="both"/>
        <w:rPr>
          <w:rFonts w:ascii="Arial" w:hAnsi="Arial" w:cs="Arial"/>
        </w:rPr>
      </w:pPr>
    </w:p>
    <w:p w:rsidR="00FD34AB" w:rsidRDefault="003637B7" w:rsidP="003637B7">
      <w:pPr>
        <w:contextualSpacing/>
        <w:jc w:val="both"/>
        <w:rPr>
          <w:rFonts w:ascii="Arial" w:hAnsi="Arial" w:cs="Arial"/>
        </w:rPr>
      </w:pPr>
      <w:r>
        <w:rPr>
          <w:rFonts w:ascii="Arial" w:hAnsi="Arial" w:cs="Arial"/>
        </w:rPr>
        <w:t xml:space="preserve">The SSNIP </w:t>
      </w:r>
      <w:r w:rsidR="002C2709">
        <w:rPr>
          <w:rFonts w:ascii="Arial" w:hAnsi="Arial" w:cs="Arial"/>
        </w:rPr>
        <w:t>T</w:t>
      </w:r>
      <w:r>
        <w:rPr>
          <w:rFonts w:ascii="Arial" w:hAnsi="Arial" w:cs="Arial"/>
        </w:rPr>
        <w:t>est</w:t>
      </w:r>
      <w:r w:rsidR="00103363">
        <w:rPr>
          <w:rFonts w:ascii="Arial" w:hAnsi="Arial" w:cs="Arial"/>
        </w:rPr>
        <w:t>, also called the Hypothetical Monopolist Test (HMT),</w:t>
      </w:r>
      <w:r>
        <w:rPr>
          <w:rFonts w:ascii="Arial" w:hAnsi="Arial" w:cs="Arial"/>
        </w:rPr>
        <w:t xml:space="preserve"> is </w:t>
      </w:r>
      <w:r w:rsidR="00103363">
        <w:rPr>
          <w:rFonts w:ascii="Arial" w:hAnsi="Arial" w:cs="Arial"/>
        </w:rPr>
        <w:t>described</w:t>
      </w:r>
      <w:r>
        <w:rPr>
          <w:rFonts w:ascii="Arial" w:hAnsi="Arial" w:cs="Arial"/>
        </w:rPr>
        <w:t xml:space="preserve"> in the </w:t>
      </w:r>
      <w:r w:rsidRPr="00224C5C">
        <w:rPr>
          <w:rFonts w:ascii="Arial" w:hAnsi="Arial" w:cs="Arial"/>
        </w:rPr>
        <w:t>Horizontal Merger Guidelines</w:t>
      </w:r>
      <w:r>
        <w:rPr>
          <w:rFonts w:ascii="Arial" w:hAnsi="Arial" w:cs="Arial"/>
        </w:rPr>
        <w:t xml:space="preserve"> </w:t>
      </w:r>
      <w:r w:rsidRPr="00224C5C">
        <w:rPr>
          <w:rFonts w:ascii="Arial" w:hAnsi="Arial" w:cs="Arial"/>
        </w:rPr>
        <w:t>of the US Department of Justice and the Federal Trade Commission</w:t>
      </w:r>
      <w:r>
        <w:rPr>
          <w:rFonts w:ascii="Arial" w:hAnsi="Arial" w:cs="Arial"/>
        </w:rPr>
        <w:t xml:space="preserve"> </w:t>
      </w:r>
      <w:r w:rsidRPr="00224C5C">
        <w:rPr>
          <w:rFonts w:ascii="Arial" w:hAnsi="Arial" w:cs="Arial"/>
        </w:rPr>
        <w:t>as</w:t>
      </w:r>
      <w:r w:rsidR="00FD34AB">
        <w:rPr>
          <w:rFonts w:ascii="Arial" w:hAnsi="Arial" w:cs="Arial"/>
        </w:rPr>
        <w:t>:</w:t>
      </w:r>
    </w:p>
    <w:p w:rsidR="003637B7" w:rsidRDefault="003D5BDB" w:rsidP="003637B7">
      <w:pPr>
        <w:contextualSpacing/>
        <w:jc w:val="both"/>
        <w:rPr>
          <w:rFonts w:ascii="Arial" w:hAnsi="Arial" w:cs="Arial"/>
        </w:rPr>
      </w:pPr>
      <w:r>
        <w:rPr>
          <w:rFonts w:ascii="Arial" w:hAnsi="Arial" w:cs="Arial"/>
        </w:rPr>
        <w:tab/>
      </w:r>
      <w:r w:rsidR="003637B7">
        <w:rPr>
          <w:rFonts w:ascii="Arial" w:hAnsi="Arial" w:cs="Arial"/>
        </w:rPr>
        <w:t>“</w:t>
      </w:r>
      <w:r w:rsidR="003637B7" w:rsidRPr="003D5BDB">
        <w:rPr>
          <w:rFonts w:ascii="Arial" w:hAnsi="Arial" w:cs="Arial"/>
          <w:i/>
        </w:rPr>
        <w:t xml:space="preserve">a product or group of  products and a geographic area in which it is produced </w:t>
      </w:r>
      <w:r w:rsidRPr="003D5BDB">
        <w:rPr>
          <w:rFonts w:ascii="Arial" w:hAnsi="Arial" w:cs="Arial"/>
          <w:i/>
        </w:rPr>
        <w:tab/>
      </w:r>
      <w:r w:rsidR="003637B7" w:rsidRPr="003D5BDB">
        <w:rPr>
          <w:rFonts w:ascii="Arial" w:hAnsi="Arial" w:cs="Arial"/>
          <w:i/>
        </w:rPr>
        <w:t xml:space="preserve">or sold such that a hypothetical profit-maximising firm, not subject to price </w:t>
      </w:r>
      <w:r w:rsidRPr="003D5BDB">
        <w:rPr>
          <w:rFonts w:ascii="Arial" w:hAnsi="Arial" w:cs="Arial"/>
          <w:i/>
        </w:rPr>
        <w:tab/>
      </w:r>
      <w:r w:rsidR="003637B7" w:rsidRPr="003D5BDB">
        <w:rPr>
          <w:rFonts w:ascii="Arial" w:hAnsi="Arial" w:cs="Arial"/>
          <w:i/>
        </w:rPr>
        <w:t xml:space="preserve">regulation, that was the only present and future producer or seller of those </w:t>
      </w:r>
      <w:r w:rsidRPr="003D5BDB">
        <w:rPr>
          <w:rFonts w:ascii="Arial" w:hAnsi="Arial" w:cs="Arial"/>
          <w:i/>
        </w:rPr>
        <w:tab/>
      </w:r>
      <w:r w:rsidR="003637B7" w:rsidRPr="003D5BDB">
        <w:rPr>
          <w:rFonts w:ascii="Arial" w:hAnsi="Arial" w:cs="Arial"/>
          <w:i/>
        </w:rPr>
        <w:t>products</w:t>
      </w:r>
      <w:r w:rsidR="00A84064" w:rsidRPr="003D5BDB">
        <w:rPr>
          <w:rFonts w:ascii="Arial" w:hAnsi="Arial" w:cs="Arial"/>
          <w:i/>
        </w:rPr>
        <w:t xml:space="preserve"> </w:t>
      </w:r>
      <w:r w:rsidR="003637B7" w:rsidRPr="003D5BDB">
        <w:rPr>
          <w:rFonts w:ascii="Arial" w:hAnsi="Arial" w:cs="Arial"/>
          <w:i/>
        </w:rPr>
        <w:t>in that area</w:t>
      </w:r>
      <w:r w:rsidR="00A84064" w:rsidRPr="003D5BDB">
        <w:rPr>
          <w:rFonts w:ascii="Arial" w:hAnsi="Arial" w:cs="Arial"/>
          <w:i/>
        </w:rPr>
        <w:t xml:space="preserve"> </w:t>
      </w:r>
      <w:r w:rsidR="003637B7" w:rsidRPr="003D5BDB">
        <w:rPr>
          <w:rFonts w:ascii="Arial" w:hAnsi="Arial" w:cs="Arial"/>
          <w:i/>
        </w:rPr>
        <w:t>likely would impose at least a ‘small but significant non-</w:t>
      </w:r>
      <w:r w:rsidRPr="003D5BDB">
        <w:rPr>
          <w:rFonts w:ascii="Arial" w:hAnsi="Arial" w:cs="Arial"/>
          <w:i/>
        </w:rPr>
        <w:tab/>
      </w:r>
      <w:r w:rsidR="003637B7" w:rsidRPr="003D5BDB">
        <w:rPr>
          <w:rFonts w:ascii="Arial" w:hAnsi="Arial" w:cs="Arial"/>
          <w:i/>
        </w:rPr>
        <w:t xml:space="preserve">transitory’ increase in price, assuming the terms of sale of all other products </w:t>
      </w:r>
      <w:r w:rsidRPr="003D5BDB">
        <w:rPr>
          <w:rFonts w:ascii="Arial" w:hAnsi="Arial" w:cs="Arial"/>
          <w:i/>
        </w:rPr>
        <w:tab/>
      </w:r>
      <w:r w:rsidR="003637B7" w:rsidRPr="003D5BDB">
        <w:rPr>
          <w:rFonts w:ascii="Arial" w:hAnsi="Arial" w:cs="Arial"/>
          <w:i/>
        </w:rPr>
        <w:t xml:space="preserve">are held constant. A relevant market is a group of products and a geographic </w:t>
      </w:r>
      <w:r w:rsidRPr="003D5BDB">
        <w:rPr>
          <w:rFonts w:ascii="Arial" w:hAnsi="Arial" w:cs="Arial"/>
          <w:i/>
        </w:rPr>
        <w:tab/>
      </w:r>
      <w:r w:rsidR="003637B7" w:rsidRPr="003D5BDB">
        <w:rPr>
          <w:rFonts w:ascii="Arial" w:hAnsi="Arial" w:cs="Arial"/>
          <w:i/>
        </w:rPr>
        <w:t>area that is no bigger than necessary to satisfy this test</w:t>
      </w:r>
      <w:r w:rsidR="003637B7">
        <w:rPr>
          <w:rFonts w:ascii="Arial" w:hAnsi="Arial" w:cs="Arial"/>
        </w:rPr>
        <w:t>.”</w:t>
      </w:r>
      <w:r w:rsidR="00A84064">
        <w:rPr>
          <w:rStyle w:val="Funotenzeichen"/>
          <w:rFonts w:ascii="Arial" w:hAnsi="Arial" w:cs="Arial"/>
        </w:rPr>
        <w:footnoteReference w:id="605"/>
      </w:r>
    </w:p>
    <w:p w:rsidR="001A5AE3" w:rsidRDefault="001A5AE3" w:rsidP="002563E6">
      <w:pPr>
        <w:contextualSpacing/>
        <w:jc w:val="both"/>
        <w:rPr>
          <w:rFonts w:ascii="Arial" w:hAnsi="Arial" w:cs="Arial"/>
        </w:rPr>
      </w:pPr>
    </w:p>
    <w:p w:rsidR="0061392F" w:rsidRDefault="00A17FDF" w:rsidP="002563E6">
      <w:pPr>
        <w:contextualSpacing/>
        <w:jc w:val="both"/>
        <w:rPr>
          <w:rFonts w:ascii="Arial" w:hAnsi="Arial" w:cs="Arial"/>
        </w:rPr>
      </w:pPr>
      <w:r>
        <w:rPr>
          <w:rFonts w:ascii="Arial" w:hAnsi="Arial" w:cs="Arial"/>
        </w:rPr>
        <w:t>For the SSNIP t</w:t>
      </w:r>
      <w:r w:rsidR="0061392F">
        <w:rPr>
          <w:rFonts w:ascii="Arial" w:hAnsi="Arial" w:cs="Arial"/>
        </w:rPr>
        <w:t xml:space="preserve">est to be </w:t>
      </w:r>
      <w:r w:rsidR="000A69FA">
        <w:rPr>
          <w:rFonts w:ascii="Arial" w:hAnsi="Arial" w:cs="Arial"/>
        </w:rPr>
        <w:t>of any use it is important to note that this test considers the market from the demand side i.e. what will happen to the demand for a product if the price of that product increase?</w:t>
      </w:r>
      <w:r w:rsidR="000A69FA">
        <w:rPr>
          <w:rStyle w:val="Funotenzeichen"/>
          <w:rFonts w:ascii="Arial" w:hAnsi="Arial" w:cs="Arial"/>
        </w:rPr>
        <w:footnoteReference w:id="606"/>
      </w:r>
      <w:r w:rsidR="000A69FA">
        <w:rPr>
          <w:rFonts w:ascii="Arial" w:hAnsi="Arial" w:cs="Arial"/>
        </w:rPr>
        <w:t xml:space="preserve"> </w:t>
      </w:r>
      <w:r w:rsidR="00071652">
        <w:rPr>
          <w:rFonts w:ascii="Arial" w:hAnsi="Arial" w:cs="Arial"/>
        </w:rPr>
        <w:t xml:space="preserve">If </w:t>
      </w:r>
      <w:r>
        <w:rPr>
          <w:rFonts w:ascii="Arial" w:hAnsi="Arial" w:cs="Arial"/>
        </w:rPr>
        <w:t>a</w:t>
      </w:r>
      <w:r w:rsidR="00071652">
        <w:rPr>
          <w:rFonts w:ascii="Arial" w:hAnsi="Arial" w:cs="Arial"/>
        </w:rPr>
        <w:t xml:space="preserve"> price increase cause the demand for that product to decrease it </w:t>
      </w:r>
      <w:r>
        <w:rPr>
          <w:rFonts w:ascii="Arial" w:hAnsi="Arial" w:cs="Arial"/>
        </w:rPr>
        <w:t>implies, in terms of the SSNIP t</w:t>
      </w:r>
      <w:r w:rsidR="00071652">
        <w:rPr>
          <w:rFonts w:ascii="Arial" w:hAnsi="Arial" w:cs="Arial"/>
        </w:rPr>
        <w:t>est, that consumers are now substituting that product for other products.</w:t>
      </w:r>
      <w:r w:rsidR="00071652">
        <w:rPr>
          <w:rStyle w:val="Funotenzeichen"/>
          <w:rFonts w:ascii="Arial" w:hAnsi="Arial" w:cs="Arial"/>
        </w:rPr>
        <w:footnoteReference w:id="607"/>
      </w:r>
      <w:r>
        <w:rPr>
          <w:rFonts w:ascii="Arial" w:hAnsi="Arial" w:cs="Arial"/>
        </w:rPr>
        <w:t xml:space="preserve"> The SSNIP t</w:t>
      </w:r>
      <w:r w:rsidR="00071652">
        <w:rPr>
          <w:rFonts w:ascii="Arial" w:hAnsi="Arial" w:cs="Arial"/>
        </w:rPr>
        <w:t>est is thus based upon the cross price-elasticity of demand as discussed earlier.</w:t>
      </w:r>
      <w:r w:rsidR="00071652">
        <w:rPr>
          <w:rStyle w:val="Funotenzeichen"/>
          <w:rFonts w:ascii="Arial" w:hAnsi="Arial" w:cs="Arial"/>
        </w:rPr>
        <w:footnoteReference w:id="608"/>
      </w:r>
    </w:p>
    <w:p w:rsidR="0061392F" w:rsidRDefault="0061392F" w:rsidP="002563E6">
      <w:pPr>
        <w:contextualSpacing/>
        <w:jc w:val="both"/>
        <w:rPr>
          <w:rFonts w:ascii="Arial" w:hAnsi="Arial" w:cs="Arial"/>
        </w:rPr>
      </w:pPr>
    </w:p>
    <w:p w:rsidR="00EE3689" w:rsidRDefault="002C2709" w:rsidP="002563E6">
      <w:pPr>
        <w:contextualSpacing/>
        <w:jc w:val="both"/>
        <w:rPr>
          <w:rFonts w:ascii="Arial" w:hAnsi="Arial" w:cs="Arial"/>
        </w:rPr>
      </w:pPr>
      <w:r>
        <w:rPr>
          <w:rFonts w:ascii="Arial" w:hAnsi="Arial" w:cs="Arial"/>
        </w:rPr>
        <w:t>A “small but significant non-transitory increase in price”</w:t>
      </w:r>
      <w:r w:rsidR="00966665">
        <w:rPr>
          <w:rFonts w:ascii="Arial" w:hAnsi="Arial" w:cs="Arial"/>
        </w:rPr>
        <w:t xml:space="preserve"> is generally taken to be between 5 and 10 percent.</w:t>
      </w:r>
      <w:r w:rsidR="00966665">
        <w:rPr>
          <w:rStyle w:val="Funotenzeichen"/>
          <w:rFonts w:ascii="Arial" w:hAnsi="Arial" w:cs="Arial"/>
        </w:rPr>
        <w:footnoteReference w:id="609"/>
      </w:r>
      <w:r w:rsidR="00966665">
        <w:rPr>
          <w:rFonts w:ascii="Arial" w:hAnsi="Arial" w:cs="Arial"/>
        </w:rPr>
        <w:t xml:space="preserve"> This </w:t>
      </w:r>
      <w:r w:rsidR="00BA1A78">
        <w:rPr>
          <w:rFonts w:ascii="Arial" w:hAnsi="Arial" w:cs="Arial"/>
        </w:rPr>
        <w:t xml:space="preserve">“small but significant non-transitory increase in price” </w:t>
      </w:r>
      <w:r w:rsidR="00966665">
        <w:rPr>
          <w:rFonts w:ascii="Arial" w:hAnsi="Arial" w:cs="Arial"/>
        </w:rPr>
        <w:t>is referred to as a SSNIP</w:t>
      </w:r>
      <w:r w:rsidR="00BA1A78">
        <w:rPr>
          <w:rFonts w:ascii="Arial" w:hAnsi="Arial" w:cs="Arial"/>
        </w:rPr>
        <w:t xml:space="preserve"> hence the SSNIP </w:t>
      </w:r>
      <w:r w:rsidR="00A17FDF">
        <w:rPr>
          <w:rFonts w:ascii="Arial" w:hAnsi="Arial" w:cs="Arial"/>
        </w:rPr>
        <w:t>t</w:t>
      </w:r>
      <w:r w:rsidR="00BA1A78">
        <w:rPr>
          <w:rFonts w:ascii="Arial" w:hAnsi="Arial" w:cs="Arial"/>
        </w:rPr>
        <w:t>est</w:t>
      </w:r>
      <w:r w:rsidR="00966665">
        <w:rPr>
          <w:rFonts w:ascii="Arial" w:hAnsi="Arial" w:cs="Arial"/>
        </w:rPr>
        <w:t>.</w:t>
      </w:r>
      <w:r w:rsidR="00BA1A78">
        <w:rPr>
          <w:rStyle w:val="Funotenzeichen"/>
          <w:rFonts w:ascii="Arial" w:hAnsi="Arial" w:cs="Arial"/>
        </w:rPr>
        <w:footnoteReference w:id="610"/>
      </w:r>
      <w:r w:rsidR="00AA2285">
        <w:rPr>
          <w:rFonts w:ascii="Arial" w:hAnsi="Arial" w:cs="Arial"/>
        </w:rPr>
        <w:t xml:space="preserve"> </w:t>
      </w:r>
    </w:p>
    <w:p w:rsidR="00A17FDF" w:rsidRDefault="00A17FDF" w:rsidP="002563E6">
      <w:pPr>
        <w:contextualSpacing/>
        <w:jc w:val="both"/>
        <w:rPr>
          <w:rFonts w:ascii="Arial" w:hAnsi="Arial" w:cs="Arial"/>
        </w:rPr>
      </w:pPr>
    </w:p>
    <w:p w:rsidR="008B59A4" w:rsidRDefault="00AA2285" w:rsidP="002563E6">
      <w:pPr>
        <w:contextualSpacing/>
        <w:jc w:val="both"/>
        <w:rPr>
          <w:rFonts w:ascii="Arial" w:hAnsi="Arial" w:cs="Arial"/>
        </w:rPr>
      </w:pPr>
      <w:r>
        <w:rPr>
          <w:rFonts w:ascii="Arial" w:hAnsi="Arial" w:cs="Arial"/>
        </w:rPr>
        <w:t xml:space="preserve">The purpose of the SSNIP Test is to determine the narrowest possible market within which a </w:t>
      </w:r>
      <w:r w:rsidRPr="00AA2285">
        <w:rPr>
          <w:rFonts w:ascii="Arial" w:hAnsi="Arial" w:cs="Arial"/>
        </w:rPr>
        <w:t>hypothetical monopolist</w:t>
      </w:r>
      <w:r>
        <w:rPr>
          <w:rFonts w:ascii="Arial" w:hAnsi="Arial" w:cs="Arial"/>
        </w:rPr>
        <w:t xml:space="preserve"> or cartel could increase the price of their product(s) by imposing a </w:t>
      </w:r>
      <w:r w:rsidR="00ED7432" w:rsidRPr="00AA2285">
        <w:rPr>
          <w:rFonts w:ascii="Arial" w:hAnsi="Arial" w:cs="Arial"/>
        </w:rPr>
        <w:t xml:space="preserve">small but significant non-transitory increase in </w:t>
      </w:r>
      <w:r w:rsidR="00ED7432">
        <w:rPr>
          <w:rFonts w:ascii="Arial" w:hAnsi="Arial" w:cs="Arial"/>
        </w:rPr>
        <w:t xml:space="preserve">the </w:t>
      </w:r>
      <w:r w:rsidR="00ED7432" w:rsidRPr="00AA2285">
        <w:rPr>
          <w:rFonts w:ascii="Arial" w:hAnsi="Arial" w:cs="Arial"/>
        </w:rPr>
        <w:t>price</w:t>
      </w:r>
      <w:r w:rsidR="00ED7432">
        <w:rPr>
          <w:rFonts w:ascii="Arial" w:hAnsi="Arial" w:cs="Arial"/>
        </w:rPr>
        <w:t xml:space="preserve"> of their product(s).</w:t>
      </w:r>
      <w:r w:rsidR="00ED7432">
        <w:rPr>
          <w:rStyle w:val="Funotenzeichen"/>
          <w:rFonts w:ascii="Arial" w:hAnsi="Arial" w:cs="Arial"/>
        </w:rPr>
        <w:footnoteReference w:id="611"/>
      </w:r>
      <w:r w:rsidR="00ED7432">
        <w:rPr>
          <w:rFonts w:ascii="Arial" w:hAnsi="Arial" w:cs="Arial"/>
        </w:rPr>
        <w:t xml:space="preserve"> </w:t>
      </w:r>
      <w:r w:rsidR="00A94AEF">
        <w:rPr>
          <w:rFonts w:ascii="Arial" w:hAnsi="Arial" w:cs="Arial"/>
        </w:rPr>
        <w:t>Accordingly, the first step in applying this test is to determine the characteristics</w:t>
      </w:r>
      <w:r w:rsidR="00A17FDF">
        <w:rPr>
          <w:rFonts w:ascii="Arial" w:hAnsi="Arial" w:cs="Arial"/>
        </w:rPr>
        <w:t>, price</w:t>
      </w:r>
      <w:r w:rsidR="00A94AEF">
        <w:rPr>
          <w:rFonts w:ascii="Arial" w:hAnsi="Arial" w:cs="Arial"/>
        </w:rPr>
        <w:t xml:space="preserve"> and function of the product under investigation so as to ascertain other substitutable products.</w:t>
      </w:r>
      <w:r w:rsidR="008B59A4">
        <w:rPr>
          <w:rStyle w:val="Funotenzeichen"/>
          <w:rFonts w:ascii="Arial" w:hAnsi="Arial" w:cs="Arial"/>
        </w:rPr>
        <w:footnoteReference w:id="612"/>
      </w:r>
    </w:p>
    <w:p w:rsidR="008B59A4" w:rsidRDefault="008B59A4" w:rsidP="002563E6">
      <w:pPr>
        <w:contextualSpacing/>
        <w:jc w:val="both"/>
        <w:rPr>
          <w:rFonts w:ascii="Arial" w:hAnsi="Arial" w:cs="Arial"/>
        </w:rPr>
      </w:pPr>
    </w:p>
    <w:p w:rsidR="00A94AEF" w:rsidRDefault="00ED7432" w:rsidP="002563E6">
      <w:pPr>
        <w:contextualSpacing/>
        <w:jc w:val="both"/>
        <w:rPr>
          <w:rFonts w:ascii="Arial" w:hAnsi="Arial" w:cs="Arial"/>
        </w:rPr>
      </w:pPr>
      <w:r>
        <w:rPr>
          <w:rFonts w:ascii="Arial" w:hAnsi="Arial" w:cs="Arial"/>
        </w:rPr>
        <w:t>More specifically, this test considers whether the relevant firm or the relevant group of firms acting together can maintain a small increase in the price (</w:t>
      </w:r>
      <w:r w:rsidR="000768FC">
        <w:rPr>
          <w:rFonts w:ascii="Arial" w:hAnsi="Arial" w:cs="Arial"/>
        </w:rPr>
        <w:t>i.e. a SSNIP</w:t>
      </w:r>
      <w:r>
        <w:rPr>
          <w:rFonts w:ascii="Arial" w:hAnsi="Arial" w:cs="Arial"/>
        </w:rPr>
        <w:t xml:space="preserve"> between 5-10 percent) for at least a 12 month period</w:t>
      </w:r>
      <w:r w:rsidR="000768FC">
        <w:rPr>
          <w:rFonts w:ascii="Arial" w:hAnsi="Arial" w:cs="Arial"/>
        </w:rPr>
        <w:t xml:space="preserve"> (hence the term non-transitory)</w:t>
      </w:r>
      <w:r>
        <w:rPr>
          <w:rFonts w:ascii="Arial" w:hAnsi="Arial" w:cs="Arial"/>
        </w:rPr>
        <w:t xml:space="preserve"> without </w:t>
      </w:r>
      <w:r w:rsidR="000768FC" w:rsidRPr="000768FC">
        <w:rPr>
          <w:rFonts w:ascii="Arial" w:hAnsi="Arial" w:cs="Arial"/>
        </w:rPr>
        <w:t>diminishing</w:t>
      </w:r>
      <w:r>
        <w:rPr>
          <w:rFonts w:ascii="Arial" w:hAnsi="Arial" w:cs="Arial"/>
        </w:rPr>
        <w:t xml:space="preserve"> their profits.</w:t>
      </w:r>
      <w:r w:rsidR="000768FC">
        <w:rPr>
          <w:rStyle w:val="Funotenzeichen"/>
          <w:rFonts w:ascii="Arial" w:hAnsi="Arial" w:cs="Arial"/>
        </w:rPr>
        <w:footnoteReference w:id="613"/>
      </w:r>
      <w:r w:rsidR="004C0EA3">
        <w:rPr>
          <w:rFonts w:ascii="Arial" w:hAnsi="Arial" w:cs="Arial"/>
        </w:rPr>
        <w:t xml:space="preserve"> </w:t>
      </w:r>
      <w:r w:rsidR="0061392F">
        <w:rPr>
          <w:rFonts w:ascii="Arial" w:hAnsi="Arial" w:cs="Arial"/>
        </w:rPr>
        <w:t>If this SSNIP leads to lower profits for the firm(s) under investigation it is argued that the relevant market is delineated to narrowly.</w:t>
      </w:r>
      <w:r w:rsidR="00A3322D">
        <w:rPr>
          <w:rStyle w:val="Funotenzeichen"/>
          <w:rFonts w:ascii="Arial" w:hAnsi="Arial" w:cs="Arial"/>
        </w:rPr>
        <w:footnoteReference w:id="614"/>
      </w:r>
      <w:r w:rsidR="0061392F">
        <w:rPr>
          <w:rFonts w:ascii="Arial" w:hAnsi="Arial" w:cs="Arial"/>
        </w:rPr>
        <w:t xml:space="preserve"> </w:t>
      </w:r>
    </w:p>
    <w:p w:rsidR="00A94AEF" w:rsidRDefault="00A94AEF" w:rsidP="002563E6">
      <w:pPr>
        <w:contextualSpacing/>
        <w:jc w:val="both"/>
        <w:rPr>
          <w:rFonts w:ascii="Arial" w:hAnsi="Arial" w:cs="Arial"/>
        </w:rPr>
      </w:pPr>
    </w:p>
    <w:p w:rsidR="00D35C60" w:rsidRDefault="0061392F" w:rsidP="002563E6">
      <w:pPr>
        <w:contextualSpacing/>
        <w:jc w:val="both"/>
        <w:rPr>
          <w:rFonts w:ascii="Arial" w:hAnsi="Arial" w:cs="Arial"/>
        </w:rPr>
      </w:pPr>
      <w:r>
        <w:rPr>
          <w:rFonts w:ascii="Arial" w:hAnsi="Arial" w:cs="Arial"/>
        </w:rPr>
        <w:t xml:space="preserve">The reason for this decrease in profits </w:t>
      </w:r>
      <w:r w:rsidR="004C5CBF">
        <w:rPr>
          <w:rFonts w:ascii="Arial" w:hAnsi="Arial" w:cs="Arial"/>
        </w:rPr>
        <w:t xml:space="preserve">is </w:t>
      </w:r>
      <w:r w:rsidR="00C514C1">
        <w:rPr>
          <w:rFonts w:ascii="Arial" w:hAnsi="Arial" w:cs="Arial"/>
        </w:rPr>
        <w:t>that</w:t>
      </w:r>
      <w:r w:rsidR="004C5CBF">
        <w:rPr>
          <w:rFonts w:ascii="Arial" w:hAnsi="Arial" w:cs="Arial"/>
        </w:rPr>
        <w:t xml:space="preserve"> the SSNIP </w:t>
      </w:r>
      <w:r w:rsidR="00A0336E">
        <w:rPr>
          <w:rFonts w:ascii="Arial" w:hAnsi="Arial" w:cs="Arial"/>
        </w:rPr>
        <w:t>t</w:t>
      </w:r>
      <w:r w:rsidR="004C5CBF">
        <w:rPr>
          <w:rFonts w:ascii="Arial" w:hAnsi="Arial" w:cs="Arial"/>
        </w:rPr>
        <w:t>est considers the market from the demand side.</w:t>
      </w:r>
      <w:r w:rsidR="00C514C1">
        <w:rPr>
          <w:rStyle w:val="Funotenzeichen"/>
          <w:rFonts w:ascii="Arial" w:hAnsi="Arial" w:cs="Arial"/>
        </w:rPr>
        <w:footnoteReference w:id="615"/>
      </w:r>
      <w:r w:rsidR="004C5CBF">
        <w:rPr>
          <w:rFonts w:ascii="Arial" w:hAnsi="Arial" w:cs="Arial"/>
        </w:rPr>
        <w:t xml:space="preserve"> Accordingly, this decrease in the profits of the firm(s) under investigation is held to be caused by consumers substituting the investigated firm(s) product(s) with other </w:t>
      </w:r>
      <w:r w:rsidR="00BE68B0">
        <w:rPr>
          <w:rFonts w:ascii="Arial" w:hAnsi="Arial" w:cs="Arial"/>
        </w:rPr>
        <w:t>sufficiently close substitutable products</w:t>
      </w:r>
      <w:r w:rsidR="00D35C60">
        <w:rPr>
          <w:rFonts w:ascii="Arial" w:hAnsi="Arial" w:cs="Arial"/>
        </w:rPr>
        <w:t xml:space="preserve"> in </w:t>
      </w:r>
      <w:r w:rsidR="00402E52">
        <w:rPr>
          <w:rFonts w:ascii="Arial" w:hAnsi="Arial" w:cs="Arial"/>
        </w:rPr>
        <w:t>that</w:t>
      </w:r>
      <w:r w:rsidR="00D35C60">
        <w:rPr>
          <w:rFonts w:ascii="Arial" w:hAnsi="Arial" w:cs="Arial"/>
        </w:rPr>
        <w:t xml:space="preserve"> and other geographical areas</w:t>
      </w:r>
      <w:r w:rsidR="00BE68B0">
        <w:rPr>
          <w:rFonts w:ascii="Arial" w:hAnsi="Arial" w:cs="Arial"/>
        </w:rPr>
        <w:t>.</w:t>
      </w:r>
      <w:r w:rsidR="00C514C1">
        <w:rPr>
          <w:rStyle w:val="Funotenzeichen"/>
          <w:rFonts w:ascii="Arial" w:hAnsi="Arial" w:cs="Arial"/>
        </w:rPr>
        <w:footnoteReference w:id="616"/>
      </w:r>
      <w:r w:rsidR="00BE68B0">
        <w:rPr>
          <w:rFonts w:ascii="Arial" w:hAnsi="Arial" w:cs="Arial"/>
        </w:rPr>
        <w:t xml:space="preserve"> In such a case</w:t>
      </w:r>
      <w:r w:rsidR="00A0336E">
        <w:rPr>
          <w:rFonts w:ascii="Arial" w:hAnsi="Arial" w:cs="Arial"/>
        </w:rPr>
        <w:t>,</w:t>
      </w:r>
      <w:r w:rsidR="00BE68B0">
        <w:rPr>
          <w:rFonts w:ascii="Arial" w:hAnsi="Arial" w:cs="Arial"/>
        </w:rPr>
        <w:t xml:space="preserve"> the relevant market needs to be delineated more broadly so as to include these other sufficiently close substitutable products</w:t>
      </w:r>
      <w:r w:rsidR="00D35C60">
        <w:rPr>
          <w:rFonts w:ascii="Arial" w:hAnsi="Arial" w:cs="Arial"/>
        </w:rPr>
        <w:t xml:space="preserve"> </w:t>
      </w:r>
      <w:r w:rsidR="004004B6">
        <w:rPr>
          <w:rFonts w:ascii="Arial" w:hAnsi="Arial" w:cs="Arial"/>
        </w:rPr>
        <w:t xml:space="preserve">and other geographical areas </w:t>
      </w:r>
      <w:r w:rsidR="00D35C60">
        <w:rPr>
          <w:rFonts w:ascii="Arial" w:hAnsi="Arial" w:cs="Arial"/>
        </w:rPr>
        <w:t xml:space="preserve">i.e. </w:t>
      </w:r>
      <w:r w:rsidR="00A0336E">
        <w:rPr>
          <w:rFonts w:ascii="Arial" w:hAnsi="Arial" w:cs="Arial"/>
        </w:rPr>
        <w:t xml:space="preserve">the </w:t>
      </w:r>
      <w:r w:rsidR="00D35C60">
        <w:rPr>
          <w:rFonts w:ascii="Arial" w:hAnsi="Arial" w:cs="Arial"/>
        </w:rPr>
        <w:t>next closest substitutable product(s)</w:t>
      </w:r>
      <w:r w:rsidR="004004B6">
        <w:rPr>
          <w:rFonts w:ascii="Arial" w:hAnsi="Arial" w:cs="Arial"/>
        </w:rPr>
        <w:t xml:space="preserve"> in this and </w:t>
      </w:r>
      <w:r w:rsidR="00A0336E">
        <w:rPr>
          <w:rFonts w:ascii="Arial" w:hAnsi="Arial" w:cs="Arial"/>
        </w:rPr>
        <w:t>other geographical markets need</w:t>
      </w:r>
      <w:r w:rsidR="004004B6">
        <w:rPr>
          <w:rFonts w:ascii="Arial" w:hAnsi="Arial" w:cs="Arial"/>
        </w:rPr>
        <w:t xml:space="preserve"> to be added to the relevant market</w:t>
      </w:r>
      <w:r w:rsidR="00BE68B0">
        <w:rPr>
          <w:rFonts w:ascii="Arial" w:hAnsi="Arial" w:cs="Arial"/>
        </w:rPr>
        <w:t>.</w:t>
      </w:r>
      <w:r w:rsidR="00F126AF">
        <w:rPr>
          <w:rStyle w:val="Funotenzeichen"/>
          <w:rFonts w:ascii="Arial" w:hAnsi="Arial" w:cs="Arial"/>
        </w:rPr>
        <w:footnoteReference w:id="617"/>
      </w:r>
      <w:r w:rsidR="00BE68B0">
        <w:rPr>
          <w:rFonts w:ascii="Arial" w:hAnsi="Arial" w:cs="Arial"/>
        </w:rPr>
        <w:t xml:space="preserve"> </w:t>
      </w:r>
    </w:p>
    <w:p w:rsidR="00D35C60" w:rsidRDefault="00D35C60" w:rsidP="002563E6">
      <w:pPr>
        <w:contextualSpacing/>
        <w:jc w:val="both"/>
        <w:rPr>
          <w:rFonts w:ascii="Arial" w:hAnsi="Arial" w:cs="Arial"/>
        </w:rPr>
      </w:pPr>
    </w:p>
    <w:p w:rsidR="00AA2285" w:rsidRDefault="00BE68B0" w:rsidP="002563E6">
      <w:pPr>
        <w:contextualSpacing/>
        <w:jc w:val="both"/>
        <w:rPr>
          <w:rFonts w:ascii="Arial" w:hAnsi="Arial" w:cs="Arial"/>
        </w:rPr>
      </w:pPr>
      <w:r>
        <w:rPr>
          <w:rFonts w:ascii="Arial" w:hAnsi="Arial" w:cs="Arial"/>
        </w:rPr>
        <w:t>This process is repeated until the narrowest market is delineated within which the SSNIP is profitable.</w:t>
      </w:r>
      <w:r w:rsidR="00D35C60">
        <w:rPr>
          <w:rStyle w:val="Funotenzeichen"/>
          <w:rFonts w:ascii="Arial" w:hAnsi="Arial" w:cs="Arial"/>
        </w:rPr>
        <w:footnoteReference w:id="618"/>
      </w:r>
      <w:r>
        <w:rPr>
          <w:rFonts w:ascii="Arial" w:hAnsi="Arial" w:cs="Arial"/>
        </w:rPr>
        <w:t xml:space="preserve"> This narrowest market is referred to as the relevant market and it includes all products and/or geographical areas for which the SSNIP is profitable.</w:t>
      </w:r>
      <w:r w:rsidR="00D35C60">
        <w:rPr>
          <w:rStyle w:val="Funotenzeichen"/>
          <w:rFonts w:ascii="Arial" w:hAnsi="Arial" w:cs="Arial"/>
        </w:rPr>
        <w:footnoteReference w:id="619"/>
      </w:r>
      <w:r w:rsidR="00D35C60">
        <w:rPr>
          <w:rFonts w:ascii="Arial" w:hAnsi="Arial" w:cs="Arial"/>
        </w:rPr>
        <w:t xml:space="preserve"> Stated differently, the relevant market is the smallest market within which </w:t>
      </w:r>
      <w:r w:rsidR="005912D4">
        <w:rPr>
          <w:rFonts w:ascii="Arial" w:hAnsi="Arial" w:cs="Arial"/>
        </w:rPr>
        <w:t xml:space="preserve">there are no other substitutable products and as a </w:t>
      </w:r>
      <w:r w:rsidR="00623B30">
        <w:rPr>
          <w:rFonts w:ascii="Arial" w:hAnsi="Arial" w:cs="Arial"/>
        </w:rPr>
        <w:t>result,</w:t>
      </w:r>
      <w:r w:rsidR="005912D4">
        <w:rPr>
          <w:rFonts w:ascii="Arial" w:hAnsi="Arial" w:cs="Arial"/>
        </w:rPr>
        <w:t xml:space="preserve"> </w:t>
      </w:r>
      <w:r w:rsidR="00D35C60">
        <w:rPr>
          <w:rFonts w:ascii="Arial" w:hAnsi="Arial" w:cs="Arial"/>
        </w:rPr>
        <w:t xml:space="preserve">the hypothetical monopolist can profitably </w:t>
      </w:r>
      <w:r w:rsidR="00482AC9">
        <w:rPr>
          <w:rFonts w:ascii="Arial" w:hAnsi="Arial" w:cs="Arial"/>
        </w:rPr>
        <w:t xml:space="preserve">and </w:t>
      </w:r>
      <w:r w:rsidR="00482AC9" w:rsidRPr="00482AC9">
        <w:rPr>
          <w:rFonts w:ascii="Arial" w:hAnsi="Arial" w:cs="Arial"/>
        </w:rPr>
        <w:t>sustainably</w:t>
      </w:r>
      <w:r w:rsidR="00482AC9">
        <w:rPr>
          <w:rFonts w:ascii="Arial" w:hAnsi="Arial" w:cs="Arial"/>
        </w:rPr>
        <w:t xml:space="preserve"> </w:t>
      </w:r>
      <w:r w:rsidR="00D35C60">
        <w:rPr>
          <w:rFonts w:ascii="Arial" w:hAnsi="Arial" w:cs="Arial"/>
        </w:rPr>
        <w:t xml:space="preserve">increase </w:t>
      </w:r>
      <w:r w:rsidR="005912D4">
        <w:rPr>
          <w:rFonts w:ascii="Arial" w:hAnsi="Arial" w:cs="Arial"/>
        </w:rPr>
        <w:t>the price of its products.</w:t>
      </w:r>
      <w:r w:rsidR="005912D4">
        <w:rPr>
          <w:rStyle w:val="Funotenzeichen"/>
          <w:rFonts w:ascii="Arial" w:hAnsi="Arial" w:cs="Arial"/>
        </w:rPr>
        <w:footnoteReference w:id="620"/>
      </w:r>
      <w:r w:rsidR="00FF59A1">
        <w:rPr>
          <w:rFonts w:ascii="Arial" w:hAnsi="Arial" w:cs="Arial"/>
        </w:rPr>
        <w:t xml:space="preserve"> </w:t>
      </w:r>
    </w:p>
    <w:p w:rsidR="00AC0D96" w:rsidRDefault="00AC0D96" w:rsidP="002563E6">
      <w:pPr>
        <w:contextualSpacing/>
        <w:jc w:val="both"/>
        <w:rPr>
          <w:rFonts w:ascii="Arial" w:hAnsi="Arial" w:cs="Arial"/>
        </w:rPr>
      </w:pPr>
    </w:p>
    <w:p w:rsidR="002D79FD" w:rsidRDefault="007B138B" w:rsidP="002563E6">
      <w:pPr>
        <w:contextualSpacing/>
        <w:jc w:val="both"/>
        <w:rPr>
          <w:rFonts w:ascii="Arial" w:hAnsi="Arial" w:cs="Arial"/>
        </w:rPr>
      </w:pPr>
      <w:r>
        <w:rPr>
          <w:rFonts w:ascii="Arial" w:hAnsi="Arial" w:cs="Arial"/>
        </w:rPr>
        <w:t>The purpose of this SSNIP t</w:t>
      </w:r>
      <w:r w:rsidR="00C5301A">
        <w:rPr>
          <w:rFonts w:ascii="Arial" w:hAnsi="Arial" w:cs="Arial"/>
        </w:rPr>
        <w:t>est is to include all the competitive constraints that are applicable to the firm(s) under investigation.</w:t>
      </w:r>
      <w:r w:rsidR="00C5301A">
        <w:rPr>
          <w:rStyle w:val="Funotenzeichen"/>
          <w:rFonts w:ascii="Arial" w:hAnsi="Arial" w:cs="Arial"/>
        </w:rPr>
        <w:footnoteReference w:id="621"/>
      </w:r>
      <w:r w:rsidR="00E54D05">
        <w:rPr>
          <w:rFonts w:ascii="Arial" w:hAnsi="Arial" w:cs="Arial"/>
        </w:rPr>
        <w:t xml:space="preserve"> Competitive constraints can be defined as any constraint that prohibits firms </w:t>
      </w:r>
      <w:r w:rsidR="00F0449F">
        <w:rPr>
          <w:rFonts w:ascii="Arial" w:hAnsi="Arial" w:cs="Arial"/>
        </w:rPr>
        <w:t>from abusing their market power</w:t>
      </w:r>
      <w:r>
        <w:rPr>
          <w:rFonts w:ascii="Arial" w:hAnsi="Arial" w:cs="Arial"/>
        </w:rPr>
        <w:t>,</w:t>
      </w:r>
      <w:r w:rsidR="00F0449F">
        <w:rPr>
          <w:rFonts w:ascii="Arial" w:hAnsi="Arial" w:cs="Arial"/>
        </w:rPr>
        <w:t xml:space="preserve"> their importance will become clear in the following sections.</w:t>
      </w:r>
      <w:r w:rsidR="00C5301A">
        <w:rPr>
          <w:rFonts w:ascii="Arial" w:hAnsi="Arial" w:cs="Arial"/>
        </w:rPr>
        <w:t xml:space="preserve"> </w:t>
      </w:r>
    </w:p>
    <w:p w:rsidR="002D79FD" w:rsidRDefault="002D79FD" w:rsidP="002563E6">
      <w:pPr>
        <w:contextualSpacing/>
        <w:jc w:val="both"/>
        <w:rPr>
          <w:rFonts w:ascii="Arial" w:hAnsi="Arial" w:cs="Arial"/>
        </w:rPr>
      </w:pPr>
    </w:p>
    <w:p w:rsidR="00B60A9B" w:rsidRDefault="00C5301A" w:rsidP="002563E6">
      <w:pPr>
        <w:contextualSpacing/>
        <w:jc w:val="both"/>
        <w:rPr>
          <w:rFonts w:ascii="Arial" w:hAnsi="Arial" w:cs="Arial"/>
        </w:rPr>
      </w:pPr>
      <w:r>
        <w:rPr>
          <w:rFonts w:ascii="Arial" w:hAnsi="Arial" w:cs="Arial"/>
        </w:rPr>
        <w:t>If significant constraints on the investigated firms are left out then the relevant market is defined to narrowly</w:t>
      </w:r>
      <w:r w:rsidR="00D338BE">
        <w:rPr>
          <w:rFonts w:ascii="Arial" w:hAnsi="Arial" w:cs="Arial"/>
        </w:rPr>
        <w:t>.</w:t>
      </w:r>
      <w:r w:rsidR="00D338BE">
        <w:rPr>
          <w:rStyle w:val="Funotenzeichen"/>
          <w:rFonts w:ascii="Arial" w:hAnsi="Arial" w:cs="Arial"/>
        </w:rPr>
        <w:footnoteReference w:id="622"/>
      </w:r>
      <w:r>
        <w:rPr>
          <w:rFonts w:ascii="Arial" w:hAnsi="Arial" w:cs="Arial"/>
        </w:rPr>
        <w:t xml:space="preserve"> </w:t>
      </w:r>
      <w:r w:rsidR="00D338BE" w:rsidRPr="00D338BE">
        <w:rPr>
          <w:rFonts w:ascii="Arial" w:hAnsi="Arial" w:cs="Arial"/>
        </w:rPr>
        <w:t>On the contrary</w:t>
      </w:r>
      <w:r w:rsidR="00D338BE">
        <w:rPr>
          <w:rFonts w:ascii="Arial" w:hAnsi="Arial" w:cs="Arial"/>
        </w:rPr>
        <w:t>,</w:t>
      </w:r>
      <w:r>
        <w:rPr>
          <w:rFonts w:ascii="Arial" w:hAnsi="Arial" w:cs="Arial"/>
        </w:rPr>
        <w:t xml:space="preserve"> if products and geographical areas are included that do not pose a competitive constraint on the firm(s) under investigation, then the relevant market is delineated to broadly.</w:t>
      </w:r>
      <w:r w:rsidR="00D338BE">
        <w:rPr>
          <w:rStyle w:val="Funotenzeichen"/>
          <w:rFonts w:ascii="Arial" w:hAnsi="Arial" w:cs="Arial"/>
        </w:rPr>
        <w:footnoteReference w:id="623"/>
      </w:r>
      <w:r w:rsidR="007B138B">
        <w:rPr>
          <w:rFonts w:ascii="Arial" w:hAnsi="Arial" w:cs="Arial"/>
        </w:rPr>
        <w:t xml:space="preserve"> Accordingly, the SSNIP t</w:t>
      </w:r>
      <w:r w:rsidR="004D7D0C">
        <w:rPr>
          <w:rFonts w:ascii="Arial" w:hAnsi="Arial" w:cs="Arial"/>
        </w:rPr>
        <w:t xml:space="preserve">est is not </w:t>
      </w:r>
      <w:r w:rsidR="003834F7">
        <w:rPr>
          <w:rFonts w:ascii="Arial" w:hAnsi="Arial" w:cs="Arial"/>
        </w:rPr>
        <w:t>exclusively based</w:t>
      </w:r>
      <w:r w:rsidR="004D7D0C">
        <w:rPr>
          <w:rFonts w:ascii="Arial" w:hAnsi="Arial" w:cs="Arial"/>
        </w:rPr>
        <w:t xml:space="preserve"> </w:t>
      </w:r>
      <w:r w:rsidR="003834F7">
        <w:rPr>
          <w:rFonts w:ascii="Arial" w:hAnsi="Arial" w:cs="Arial"/>
        </w:rPr>
        <w:t>up</w:t>
      </w:r>
      <w:r w:rsidR="004D7D0C">
        <w:rPr>
          <w:rFonts w:ascii="Arial" w:hAnsi="Arial" w:cs="Arial"/>
        </w:rPr>
        <w:t xml:space="preserve">on the </w:t>
      </w:r>
      <w:r w:rsidR="002D79FD">
        <w:rPr>
          <w:rFonts w:ascii="Arial" w:hAnsi="Arial" w:cs="Arial"/>
        </w:rPr>
        <w:t>cross price-elasticity demand</w:t>
      </w:r>
      <w:r w:rsidR="00B60A9B">
        <w:rPr>
          <w:rFonts w:ascii="Arial" w:hAnsi="Arial" w:cs="Arial"/>
        </w:rPr>
        <w:t xml:space="preserve"> and o</w:t>
      </w:r>
      <w:r w:rsidR="002D79FD">
        <w:rPr>
          <w:rFonts w:ascii="Arial" w:hAnsi="Arial" w:cs="Arial"/>
        </w:rPr>
        <w:t xml:space="preserve">ther economic evidence should be considered </w:t>
      </w:r>
      <w:r w:rsidR="00B60A9B">
        <w:rPr>
          <w:rFonts w:ascii="Arial" w:hAnsi="Arial" w:cs="Arial"/>
        </w:rPr>
        <w:t>with the purpose of</w:t>
      </w:r>
      <w:r w:rsidR="002D79FD">
        <w:rPr>
          <w:rFonts w:ascii="Arial" w:hAnsi="Arial" w:cs="Arial"/>
        </w:rPr>
        <w:t xml:space="preserve"> evaluat</w:t>
      </w:r>
      <w:r w:rsidR="00B60A9B">
        <w:rPr>
          <w:rFonts w:ascii="Arial" w:hAnsi="Arial" w:cs="Arial"/>
        </w:rPr>
        <w:t>ing</w:t>
      </w:r>
      <w:r w:rsidR="002D79FD">
        <w:rPr>
          <w:rFonts w:ascii="Arial" w:hAnsi="Arial" w:cs="Arial"/>
        </w:rPr>
        <w:t xml:space="preserve"> the reliability</w:t>
      </w:r>
      <w:r w:rsidR="00B60A9B">
        <w:rPr>
          <w:rFonts w:ascii="Arial" w:hAnsi="Arial" w:cs="Arial"/>
        </w:rPr>
        <w:t xml:space="preserve"> of the price-elasticities</w:t>
      </w:r>
      <w:r w:rsidR="004D7D0C">
        <w:rPr>
          <w:rFonts w:ascii="Arial" w:hAnsi="Arial" w:cs="Arial"/>
        </w:rPr>
        <w:t>.</w:t>
      </w:r>
      <w:r w:rsidR="003834F7">
        <w:rPr>
          <w:rStyle w:val="Funotenzeichen"/>
          <w:rFonts w:ascii="Arial" w:hAnsi="Arial" w:cs="Arial"/>
        </w:rPr>
        <w:footnoteReference w:id="624"/>
      </w:r>
      <w:r w:rsidR="002D79FD">
        <w:rPr>
          <w:rFonts w:ascii="Arial" w:hAnsi="Arial" w:cs="Arial"/>
        </w:rPr>
        <w:t xml:space="preserve"> </w:t>
      </w:r>
    </w:p>
    <w:p w:rsidR="00B60A9B" w:rsidRDefault="00B60A9B" w:rsidP="002563E6">
      <w:pPr>
        <w:contextualSpacing/>
        <w:jc w:val="both"/>
        <w:rPr>
          <w:rFonts w:ascii="Arial" w:hAnsi="Arial" w:cs="Arial"/>
        </w:rPr>
      </w:pPr>
    </w:p>
    <w:p w:rsidR="00ED7432" w:rsidRDefault="004D7D0C" w:rsidP="002563E6">
      <w:pPr>
        <w:contextualSpacing/>
        <w:jc w:val="both"/>
        <w:rPr>
          <w:rFonts w:ascii="Arial" w:hAnsi="Arial" w:cs="Arial"/>
        </w:rPr>
      </w:pPr>
      <w:r>
        <w:rPr>
          <w:rFonts w:ascii="Arial" w:hAnsi="Arial" w:cs="Arial"/>
        </w:rPr>
        <w:t xml:space="preserve">The competition authorities should thus consider a broad array of </w:t>
      </w:r>
      <w:r w:rsidR="003834F7">
        <w:rPr>
          <w:rFonts w:ascii="Arial" w:hAnsi="Arial" w:cs="Arial"/>
        </w:rPr>
        <w:t>factors</w:t>
      </w:r>
      <w:r>
        <w:rPr>
          <w:rFonts w:ascii="Arial" w:hAnsi="Arial" w:cs="Arial"/>
        </w:rPr>
        <w:t xml:space="preserve"> when delineating the relevant </w:t>
      </w:r>
      <w:r w:rsidR="003834F7">
        <w:rPr>
          <w:rFonts w:ascii="Arial" w:hAnsi="Arial" w:cs="Arial"/>
        </w:rPr>
        <w:t>market, which include all possible competitive constraints</w:t>
      </w:r>
      <w:r>
        <w:rPr>
          <w:rFonts w:ascii="Arial" w:hAnsi="Arial" w:cs="Arial"/>
        </w:rPr>
        <w:t>.</w:t>
      </w:r>
      <w:r w:rsidR="0056761C">
        <w:rPr>
          <w:rStyle w:val="Funotenzeichen"/>
          <w:rFonts w:ascii="Arial" w:hAnsi="Arial" w:cs="Arial"/>
        </w:rPr>
        <w:footnoteReference w:id="625"/>
      </w:r>
      <w:r>
        <w:rPr>
          <w:rFonts w:ascii="Arial" w:hAnsi="Arial" w:cs="Arial"/>
        </w:rPr>
        <w:t xml:space="preserve"> </w:t>
      </w:r>
      <w:r w:rsidR="003834F7">
        <w:rPr>
          <w:rFonts w:ascii="Arial" w:hAnsi="Arial" w:cs="Arial"/>
        </w:rPr>
        <w:t>The</w:t>
      </w:r>
      <w:r w:rsidR="0084467A">
        <w:rPr>
          <w:rFonts w:ascii="Arial" w:hAnsi="Arial" w:cs="Arial"/>
        </w:rPr>
        <w:t>se</w:t>
      </w:r>
      <w:r w:rsidR="003834F7">
        <w:rPr>
          <w:rFonts w:ascii="Arial" w:hAnsi="Arial" w:cs="Arial"/>
        </w:rPr>
        <w:t xml:space="preserve"> factors however, fall beyond the scope of this paper and accordingly they are </w:t>
      </w:r>
      <w:r w:rsidR="007B138B">
        <w:rPr>
          <w:rFonts w:ascii="Arial" w:hAnsi="Arial" w:cs="Arial"/>
        </w:rPr>
        <w:t>ignored</w:t>
      </w:r>
      <w:r w:rsidR="003834F7">
        <w:rPr>
          <w:rFonts w:ascii="Arial" w:hAnsi="Arial" w:cs="Arial"/>
        </w:rPr>
        <w:t xml:space="preserve">. </w:t>
      </w:r>
      <w:r w:rsidR="0084467A">
        <w:rPr>
          <w:rFonts w:ascii="Arial" w:hAnsi="Arial" w:cs="Arial"/>
        </w:rPr>
        <w:t>Also,</w:t>
      </w:r>
      <w:r w:rsidR="007B138B">
        <w:rPr>
          <w:rFonts w:ascii="Arial" w:hAnsi="Arial" w:cs="Arial"/>
        </w:rPr>
        <w:t xml:space="preserve"> note that the SSNIP t</w:t>
      </w:r>
      <w:r w:rsidR="003834F7">
        <w:rPr>
          <w:rFonts w:ascii="Arial" w:hAnsi="Arial" w:cs="Arial"/>
        </w:rPr>
        <w:t xml:space="preserve">est comprises several other </w:t>
      </w:r>
      <w:r w:rsidR="0084467A">
        <w:rPr>
          <w:rFonts w:ascii="Arial" w:hAnsi="Arial" w:cs="Arial"/>
        </w:rPr>
        <w:t>considerations that</w:t>
      </w:r>
      <w:r w:rsidR="003834F7">
        <w:rPr>
          <w:rFonts w:ascii="Arial" w:hAnsi="Arial" w:cs="Arial"/>
        </w:rPr>
        <w:t xml:space="preserve"> are beyond the scope of this paper</w:t>
      </w:r>
      <w:r w:rsidR="0084467A">
        <w:rPr>
          <w:rFonts w:ascii="Arial" w:hAnsi="Arial" w:cs="Arial"/>
        </w:rPr>
        <w:t xml:space="preserve"> and consequently they are also </w:t>
      </w:r>
      <w:r w:rsidR="007B138B">
        <w:rPr>
          <w:rFonts w:ascii="Arial" w:hAnsi="Arial" w:cs="Arial"/>
        </w:rPr>
        <w:t>ignored</w:t>
      </w:r>
      <w:r w:rsidR="003834F7">
        <w:rPr>
          <w:rFonts w:ascii="Arial" w:hAnsi="Arial" w:cs="Arial"/>
        </w:rPr>
        <w:t>.</w:t>
      </w:r>
      <w:r>
        <w:rPr>
          <w:rFonts w:ascii="Arial" w:hAnsi="Arial" w:cs="Arial"/>
        </w:rPr>
        <w:t xml:space="preserve"> </w:t>
      </w:r>
    </w:p>
    <w:p w:rsidR="00ED7432" w:rsidRDefault="00ED7432" w:rsidP="002563E6">
      <w:pPr>
        <w:contextualSpacing/>
        <w:jc w:val="both"/>
        <w:rPr>
          <w:rFonts w:ascii="Arial" w:hAnsi="Arial" w:cs="Arial"/>
        </w:rPr>
      </w:pPr>
    </w:p>
    <w:p w:rsidR="00B64022" w:rsidRDefault="00737F01" w:rsidP="002563E6">
      <w:pPr>
        <w:contextualSpacing/>
        <w:jc w:val="both"/>
        <w:rPr>
          <w:rFonts w:ascii="Arial" w:hAnsi="Arial" w:cs="Arial"/>
        </w:rPr>
      </w:pPr>
      <w:r>
        <w:rPr>
          <w:rFonts w:ascii="Arial" w:hAnsi="Arial" w:cs="Arial"/>
        </w:rPr>
        <w:t xml:space="preserve">In practice however, the data necessary for correctly applying the SSNIP </w:t>
      </w:r>
      <w:r w:rsidR="007B138B">
        <w:rPr>
          <w:rFonts w:ascii="Arial" w:hAnsi="Arial" w:cs="Arial"/>
        </w:rPr>
        <w:t>t</w:t>
      </w:r>
      <w:r>
        <w:rPr>
          <w:rFonts w:ascii="Arial" w:hAnsi="Arial" w:cs="Arial"/>
        </w:rPr>
        <w:t>est is rarely available.</w:t>
      </w:r>
      <w:r w:rsidR="00D76E00">
        <w:rPr>
          <w:rStyle w:val="Funotenzeichen"/>
          <w:rFonts w:ascii="Arial" w:hAnsi="Arial" w:cs="Arial"/>
        </w:rPr>
        <w:footnoteReference w:id="626"/>
      </w:r>
      <w:r w:rsidR="00B64022">
        <w:rPr>
          <w:rFonts w:ascii="Arial" w:hAnsi="Arial" w:cs="Arial"/>
        </w:rPr>
        <w:t xml:space="preserve"> As a result, competition authorities in practice use a combination of the following techniques to delineate the relevant market</w:t>
      </w:r>
      <w:r w:rsidR="007B138B">
        <w:rPr>
          <w:rFonts w:ascii="Arial" w:hAnsi="Arial" w:cs="Arial"/>
        </w:rPr>
        <w:t>:</w:t>
      </w:r>
      <w:r w:rsidR="00D76E00">
        <w:rPr>
          <w:rStyle w:val="Funotenzeichen"/>
          <w:rFonts w:ascii="Arial" w:hAnsi="Arial" w:cs="Arial"/>
        </w:rPr>
        <w:footnoteReference w:id="627"/>
      </w:r>
    </w:p>
    <w:p w:rsidR="007B138B" w:rsidRDefault="007B138B" w:rsidP="002563E6">
      <w:pPr>
        <w:contextualSpacing/>
        <w:jc w:val="both"/>
        <w:rPr>
          <w:rFonts w:ascii="Arial" w:hAnsi="Arial" w:cs="Arial"/>
        </w:rPr>
      </w:pPr>
    </w:p>
    <w:p w:rsidR="007B138B" w:rsidRDefault="00B64022" w:rsidP="002563E6">
      <w:pPr>
        <w:contextualSpacing/>
        <w:jc w:val="both"/>
        <w:rPr>
          <w:rFonts w:ascii="Arial" w:hAnsi="Arial" w:cs="Arial"/>
        </w:rPr>
      </w:pPr>
      <w:r>
        <w:rPr>
          <w:rFonts w:ascii="Arial" w:hAnsi="Arial" w:cs="Arial"/>
        </w:rPr>
        <w:t>1.</w:t>
      </w:r>
      <w:r w:rsidR="00073E0D">
        <w:rPr>
          <w:rFonts w:ascii="Arial" w:hAnsi="Arial" w:cs="Arial"/>
        </w:rPr>
        <w:t xml:space="preserve"> </w:t>
      </w:r>
      <w:r w:rsidR="00E64E08">
        <w:rPr>
          <w:rFonts w:ascii="Arial" w:hAnsi="Arial" w:cs="Arial"/>
        </w:rPr>
        <w:t>Consider</w:t>
      </w:r>
      <w:r>
        <w:rPr>
          <w:rFonts w:ascii="Arial" w:hAnsi="Arial" w:cs="Arial"/>
        </w:rPr>
        <w:t xml:space="preserve"> the internal documentation of the suppliers of the product</w:t>
      </w:r>
      <w:r w:rsidR="00E64E08">
        <w:rPr>
          <w:rFonts w:ascii="Arial" w:hAnsi="Arial" w:cs="Arial"/>
        </w:rPr>
        <w:t>(s)</w:t>
      </w:r>
      <w:r>
        <w:rPr>
          <w:rFonts w:ascii="Arial" w:hAnsi="Arial" w:cs="Arial"/>
        </w:rPr>
        <w:t xml:space="preserve"> under investigation.</w:t>
      </w:r>
      <w:r w:rsidR="00D76E00">
        <w:rPr>
          <w:rStyle w:val="Funotenzeichen"/>
          <w:rFonts w:ascii="Arial" w:hAnsi="Arial" w:cs="Arial"/>
        </w:rPr>
        <w:footnoteReference w:id="628"/>
      </w:r>
    </w:p>
    <w:p w:rsidR="007B138B" w:rsidRDefault="00073E0D" w:rsidP="002563E6">
      <w:pPr>
        <w:contextualSpacing/>
        <w:jc w:val="both"/>
        <w:rPr>
          <w:rFonts w:ascii="Arial" w:hAnsi="Arial" w:cs="Arial"/>
        </w:rPr>
      </w:pPr>
      <w:r>
        <w:rPr>
          <w:rFonts w:ascii="Arial" w:hAnsi="Arial" w:cs="Arial"/>
        </w:rPr>
        <w:t xml:space="preserve">2. </w:t>
      </w:r>
      <w:r w:rsidR="00B64022">
        <w:rPr>
          <w:rFonts w:ascii="Arial" w:hAnsi="Arial" w:cs="Arial"/>
        </w:rPr>
        <w:t>Apply the SSNIP Test insofar it is possible.</w:t>
      </w:r>
      <w:r w:rsidR="00D76E00">
        <w:rPr>
          <w:rStyle w:val="Funotenzeichen"/>
          <w:rFonts w:ascii="Arial" w:hAnsi="Arial" w:cs="Arial"/>
        </w:rPr>
        <w:footnoteReference w:id="629"/>
      </w:r>
      <w:r w:rsidR="00B64022">
        <w:rPr>
          <w:rFonts w:ascii="Arial" w:hAnsi="Arial" w:cs="Arial"/>
        </w:rPr>
        <w:t xml:space="preserve"> </w:t>
      </w:r>
    </w:p>
    <w:p w:rsidR="00C65CD5" w:rsidRDefault="00B64022" w:rsidP="002563E6">
      <w:pPr>
        <w:contextualSpacing/>
        <w:jc w:val="both"/>
        <w:rPr>
          <w:rFonts w:ascii="Arial" w:hAnsi="Arial" w:cs="Arial"/>
        </w:rPr>
      </w:pPr>
      <w:r>
        <w:rPr>
          <w:rFonts w:ascii="Arial" w:hAnsi="Arial" w:cs="Arial"/>
        </w:rPr>
        <w:t xml:space="preserve">3. Use other statistical </w:t>
      </w:r>
      <w:r w:rsidR="00E64E08">
        <w:rPr>
          <w:rFonts w:ascii="Arial" w:hAnsi="Arial" w:cs="Arial"/>
        </w:rPr>
        <w:t>techniques, which</w:t>
      </w:r>
      <w:r>
        <w:rPr>
          <w:rFonts w:ascii="Arial" w:hAnsi="Arial" w:cs="Arial"/>
        </w:rPr>
        <w:t xml:space="preserve"> include other</w:t>
      </w:r>
      <w:r w:rsidR="00E64E08">
        <w:rPr>
          <w:rFonts w:ascii="Arial" w:hAnsi="Arial" w:cs="Arial"/>
        </w:rPr>
        <w:t xml:space="preserve"> statistical</w:t>
      </w:r>
      <w:r>
        <w:rPr>
          <w:rFonts w:ascii="Arial" w:hAnsi="Arial" w:cs="Arial"/>
        </w:rPr>
        <w:t xml:space="preserve"> techniques to calculate price elasticities.</w:t>
      </w:r>
      <w:r w:rsidR="00D76E00">
        <w:rPr>
          <w:rStyle w:val="Funotenzeichen"/>
          <w:rFonts w:ascii="Arial" w:hAnsi="Arial" w:cs="Arial"/>
        </w:rPr>
        <w:footnoteReference w:id="630"/>
      </w:r>
    </w:p>
    <w:p w:rsidR="00C65CD5" w:rsidRDefault="00B64022" w:rsidP="002563E6">
      <w:pPr>
        <w:contextualSpacing/>
        <w:jc w:val="both"/>
        <w:rPr>
          <w:rFonts w:ascii="Arial" w:hAnsi="Arial" w:cs="Arial"/>
        </w:rPr>
      </w:pPr>
      <w:r>
        <w:rPr>
          <w:rFonts w:ascii="Arial" w:hAnsi="Arial" w:cs="Arial"/>
        </w:rPr>
        <w:t xml:space="preserve">4. </w:t>
      </w:r>
      <w:r w:rsidR="00073E0D">
        <w:rPr>
          <w:rFonts w:ascii="Arial" w:hAnsi="Arial" w:cs="Arial"/>
        </w:rPr>
        <w:t>Consider information from industry and economic experts</w:t>
      </w:r>
      <w:r w:rsidR="00E64E08">
        <w:rPr>
          <w:rFonts w:ascii="Arial" w:hAnsi="Arial" w:cs="Arial"/>
        </w:rPr>
        <w:t xml:space="preserve"> on what constitute the relevant market</w:t>
      </w:r>
      <w:r w:rsidR="00073E0D">
        <w:rPr>
          <w:rFonts w:ascii="Arial" w:hAnsi="Arial" w:cs="Arial"/>
        </w:rPr>
        <w:t>.</w:t>
      </w:r>
      <w:r w:rsidR="00D76E00">
        <w:rPr>
          <w:rStyle w:val="Funotenzeichen"/>
          <w:rFonts w:ascii="Arial" w:hAnsi="Arial" w:cs="Arial"/>
        </w:rPr>
        <w:footnoteReference w:id="631"/>
      </w:r>
    </w:p>
    <w:p w:rsidR="00073E0D" w:rsidRDefault="00073E0D" w:rsidP="002563E6">
      <w:pPr>
        <w:contextualSpacing/>
        <w:jc w:val="both"/>
        <w:rPr>
          <w:rFonts w:ascii="Arial" w:hAnsi="Arial" w:cs="Arial"/>
        </w:rPr>
      </w:pPr>
      <w:r>
        <w:rPr>
          <w:rFonts w:ascii="Arial" w:hAnsi="Arial" w:cs="Arial"/>
        </w:rPr>
        <w:t>5. Consider information from consumers and suppliers on what constitutes the relevant market.</w:t>
      </w:r>
      <w:r w:rsidR="00D76E00">
        <w:rPr>
          <w:rStyle w:val="Funotenzeichen"/>
          <w:rFonts w:ascii="Arial" w:hAnsi="Arial" w:cs="Arial"/>
        </w:rPr>
        <w:footnoteReference w:id="632"/>
      </w:r>
      <w:r>
        <w:rPr>
          <w:rFonts w:ascii="Arial" w:hAnsi="Arial" w:cs="Arial"/>
        </w:rPr>
        <w:t xml:space="preserve"> </w:t>
      </w:r>
    </w:p>
    <w:p w:rsidR="0030258B" w:rsidRDefault="0030258B" w:rsidP="002563E6">
      <w:pPr>
        <w:contextualSpacing/>
        <w:jc w:val="both"/>
        <w:rPr>
          <w:rFonts w:ascii="Arial" w:hAnsi="Arial" w:cs="Arial"/>
        </w:rPr>
      </w:pPr>
    </w:p>
    <w:p w:rsidR="00E64E08" w:rsidRDefault="00530DBF" w:rsidP="002563E6">
      <w:pPr>
        <w:contextualSpacing/>
        <w:jc w:val="both"/>
        <w:rPr>
          <w:rFonts w:ascii="Arial" w:hAnsi="Arial" w:cs="Arial"/>
        </w:rPr>
      </w:pPr>
      <w:r>
        <w:rPr>
          <w:rFonts w:ascii="Arial" w:hAnsi="Arial" w:cs="Arial"/>
        </w:rPr>
        <w:t>Nonetheless, in instances where the data required for the effe</w:t>
      </w:r>
      <w:r w:rsidR="00C65CD5">
        <w:rPr>
          <w:rFonts w:ascii="Arial" w:hAnsi="Arial" w:cs="Arial"/>
        </w:rPr>
        <w:t>ctive application of the SSNIP t</w:t>
      </w:r>
      <w:r>
        <w:rPr>
          <w:rFonts w:ascii="Arial" w:hAnsi="Arial" w:cs="Arial"/>
        </w:rPr>
        <w:t>e</w:t>
      </w:r>
      <w:r w:rsidR="00C65CD5">
        <w:rPr>
          <w:rFonts w:ascii="Arial" w:hAnsi="Arial" w:cs="Arial"/>
        </w:rPr>
        <w:t>st is not available, the SSNIP t</w:t>
      </w:r>
      <w:r>
        <w:rPr>
          <w:rFonts w:ascii="Arial" w:hAnsi="Arial" w:cs="Arial"/>
        </w:rPr>
        <w:t xml:space="preserve">est is still </w:t>
      </w:r>
      <w:r w:rsidR="00167A9E">
        <w:rPr>
          <w:rFonts w:ascii="Arial" w:hAnsi="Arial" w:cs="Arial"/>
        </w:rPr>
        <w:t>applied</w:t>
      </w:r>
      <w:r>
        <w:rPr>
          <w:rFonts w:ascii="Arial" w:hAnsi="Arial" w:cs="Arial"/>
        </w:rPr>
        <w:t xml:space="preserve"> in the analyses of delineating the relevant market.</w:t>
      </w:r>
      <w:r w:rsidR="00D76E00">
        <w:rPr>
          <w:rStyle w:val="Funotenzeichen"/>
          <w:rFonts w:ascii="Arial" w:hAnsi="Arial" w:cs="Arial"/>
        </w:rPr>
        <w:footnoteReference w:id="633"/>
      </w:r>
      <w:r>
        <w:rPr>
          <w:rFonts w:ascii="Arial" w:hAnsi="Arial" w:cs="Arial"/>
        </w:rPr>
        <w:t xml:space="preserve"> In such circumstances however, the application of the SSNIP </w:t>
      </w:r>
      <w:r w:rsidR="00C65CD5">
        <w:rPr>
          <w:rFonts w:ascii="Arial" w:hAnsi="Arial" w:cs="Arial"/>
        </w:rPr>
        <w:t>t</w:t>
      </w:r>
      <w:r>
        <w:rPr>
          <w:rFonts w:ascii="Arial" w:hAnsi="Arial" w:cs="Arial"/>
        </w:rPr>
        <w:t>est becomes and int</w:t>
      </w:r>
      <w:r w:rsidR="00C65CD5">
        <w:rPr>
          <w:rFonts w:ascii="Arial" w:hAnsi="Arial" w:cs="Arial"/>
        </w:rPr>
        <w:t>uitive process where the SSNIP t</w:t>
      </w:r>
      <w:r>
        <w:rPr>
          <w:rFonts w:ascii="Arial" w:hAnsi="Arial" w:cs="Arial"/>
        </w:rPr>
        <w:t>est only provide</w:t>
      </w:r>
      <w:r w:rsidR="00167A9E">
        <w:rPr>
          <w:rFonts w:ascii="Arial" w:hAnsi="Arial" w:cs="Arial"/>
        </w:rPr>
        <w:t>s</w:t>
      </w:r>
      <w:r>
        <w:rPr>
          <w:rFonts w:ascii="Arial" w:hAnsi="Arial" w:cs="Arial"/>
        </w:rPr>
        <w:t xml:space="preserve"> a framework within which the relevant market is delineated.</w:t>
      </w:r>
      <w:r w:rsidR="00D76E00">
        <w:rPr>
          <w:rStyle w:val="Funotenzeichen"/>
          <w:rFonts w:ascii="Arial" w:hAnsi="Arial" w:cs="Arial"/>
        </w:rPr>
        <w:footnoteReference w:id="634"/>
      </w:r>
    </w:p>
    <w:p w:rsidR="00ED7432" w:rsidRDefault="00ED7432" w:rsidP="002563E6">
      <w:pPr>
        <w:contextualSpacing/>
        <w:jc w:val="both"/>
        <w:rPr>
          <w:rFonts w:ascii="Arial" w:hAnsi="Arial" w:cs="Arial"/>
        </w:rPr>
      </w:pPr>
    </w:p>
    <w:p w:rsidR="002563E6" w:rsidRDefault="00AC3644" w:rsidP="002563E6">
      <w:pPr>
        <w:contextualSpacing/>
        <w:jc w:val="both"/>
        <w:rPr>
          <w:rFonts w:ascii="Arial" w:hAnsi="Arial" w:cs="Arial"/>
        </w:rPr>
      </w:pPr>
      <w:r>
        <w:rPr>
          <w:rFonts w:ascii="Arial" w:hAnsi="Arial" w:cs="Arial"/>
        </w:rPr>
        <w:t>3.3.4</w:t>
      </w:r>
      <w:r w:rsidR="002563E6">
        <w:rPr>
          <w:rFonts w:ascii="Arial" w:hAnsi="Arial" w:cs="Arial"/>
        </w:rPr>
        <w:t xml:space="preserve"> The measurement of market power </w:t>
      </w:r>
    </w:p>
    <w:p w:rsidR="00AC3644" w:rsidRDefault="00AC3644" w:rsidP="002563E6">
      <w:pPr>
        <w:contextualSpacing/>
        <w:jc w:val="both"/>
        <w:rPr>
          <w:rFonts w:ascii="Arial" w:hAnsi="Arial" w:cs="Arial"/>
          <w:u w:val="single"/>
        </w:rPr>
      </w:pPr>
    </w:p>
    <w:p w:rsidR="005B0855" w:rsidRDefault="005B5E0B" w:rsidP="002563E6">
      <w:pPr>
        <w:contextualSpacing/>
        <w:jc w:val="both"/>
        <w:rPr>
          <w:rFonts w:ascii="Arial" w:hAnsi="Arial" w:cs="Arial"/>
        </w:rPr>
      </w:pPr>
      <w:r w:rsidRPr="005B5E0B">
        <w:rPr>
          <w:rFonts w:ascii="Arial" w:hAnsi="Arial" w:cs="Arial"/>
          <w:u w:val="single"/>
        </w:rPr>
        <w:t>Note:</w:t>
      </w:r>
      <w:r>
        <w:rPr>
          <w:rFonts w:ascii="Arial" w:hAnsi="Arial" w:cs="Arial"/>
        </w:rPr>
        <w:t xml:space="preserve"> </w:t>
      </w:r>
      <w:r w:rsidR="00374B37">
        <w:rPr>
          <w:rFonts w:ascii="Arial" w:hAnsi="Arial" w:cs="Arial"/>
        </w:rPr>
        <w:t>The</w:t>
      </w:r>
      <w:r>
        <w:rPr>
          <w:rFonts w:ascii="Arial" w:hAnsi="Arial" w:cs="Arial"/>
        </w:rPr>
        <w:t xml:space="preserve"> </w:t>
      </w:r>
      <w:r w:rsidR="00374B37">
        <w:rPr>
          <w:rFonts w:ascii="Arial" w:hAnsi="Arial" w:cs="Arial"/>
        </w:rPr>
        <w:t>measurement of market power is only relevant</w:t>
      </w:r>
      <w:r>
        <w:rPr>
          <w:rFonts w:ascii="Arial" w:hAnsi="Arial" w:cs="Arial"/>
        </w:rPr>
        <w:t xml:space="preserve"> in cases where rule of reason prohibition</w:t>
      </w:r>
      <w:r w:rsidR="00667851">
        <w:rPr>
          <w:rFonts w:ascii="Arial" w:hAnsi="Arial" w:cs="Arial"/>
        </w:rPr>
        <w:t>s</w:t>
      </w:r>
      <w:r>
        <w:rPr>
          <w:rFonts w:ascii="Arial" w:hAnsi="Arial" w:cs="Arial"/>
        </w:rPr>
        <w:t xml:space="preserve"> w</w:t>
      </w:r>
      <w:r w:rsidR="00667851">
        <w:rPr>
          <w:rFonts w:ascii="Arial" w:hAnsi="Arial" w:cs="Arial"/>
        </w:rPr>
        <w:t>ere</w:t>
      </w:r>
      <w:r>
        <w:rPr>
          <w:rFonts w:ascii="Arial" w:hAnsi="Arial" w:cs="Arial"/>
        </w:rPr>
        <w:t xml:space="preserve"> contravened</w:t>
      </w:r>
      <w:r w:rsidR="00822574">
        <w:rPr>
          <w:rFonts w:ascii="Arial" w:hAnsi="Arial" w:cs="Arial"/>
        </w:rPr>
        <w:t xml:space="preserve"> or in cases where proposed mergers are evaluated</w:t>
      </w:r>
      <w:r>
        <w:rPr>
          <w:rFonts w:ascii="Arial" w:hAnsi="Arial" w:cs="Arial"/>
        </w:rPr>
        <w:t>.</w:t>
      </w:r>
      <w:r w:rsidR="00822574">
        <w:rPr>
          <w:rStyle w:val="Funotenzeichen"/>
          <w:rFonts w:ascii="Arial" w:hAnsi="Arial" w:cs="Arial"/>
        </w:rPr>
        <w:footnoteReference w:id="635"/>
      </w:r>
      <w:r>
        <w:rPr>
          <w:rFonts w:ascii="Arial" w:hAnsi="Arial" w:cs="Arial"/>
        </w:rPr>
        <w:t xml:space="preserve"> The reason being that in cases where </w:t>
      </w:r>
      <w:r w:rsidRPr="005B5E0B">
        <w:rPr>
          <w:rFonts w:ascii="Arial" w:hAnsi="Arial" w:cs="Arial"/>
          <w:i/>
        </w:rPr>
        <w:t>per se</w:t>
      </w:r>
      <w:r>
        <w:rPr>
          <w:rFonts w:ascii="Arial" w:hAnsi="Arial" w:cs="Arial"/>
        </w:rPr>
        <w:t xml:space="preserve"> prohibitions were contravened, the competition authorities have only to determine whether the firm under investigation has indeed committed an </w:t>
      </w:r>
      <w:r w:rsidRPr="005B5E0B">
        <w:rPr>
          <w:rFonts w:ascii="Arial" w:hAnsi="Arial" w:cs="Arial"/>
          <w:i/>
        </w:rPr>
        <w:t>per se</w:t>
      </w:r>
      <w:r>
        <w:rPr>
          <w:rFonts w:ascii="Arial" w:hAnsi="Arial" w:cs="Arial"/>
        </w:rPr>
        <w:t xml:space="preserve"> prohibitions.</w:t>
      </w:r>
      <w:r w:rsidR="003E2EAD">
        <w:rPr>
          <w:rStyle w:val="Funotenzeichen"/>
          <w:rFonts w:ascii="Arial" w:hAnsi="Arial" w:cs="Arial"/>
        </w:rPr>
        <w:footnoteReference w:id="636"/>
      </w:r>
      <w:r>
        <w:rPr>
          <w:rFonts w:ascii="Arial" w:hAnsi="Arial" w:cs="Arial"/>
        </w:rPr>
        <w:t xml:space="preserve"> On the other, </w:t>
      </w:r>
      <w:r w:rsidR="00822574">
        <w:rPr>
          <w:rFonts w:ascii="Arial" w:hAnsi="Arial" w:cs="Arial"/>
        </w:rPr>
        <w:t>if</w:t>
      </w:r>
      <w:r>
        <w:rPr>
          <w:rFonts w:ascii="Arial" w:hAnsi="Arial" w:cs="Arial"/>
        </w:rPr>
        <w:t xml:space="preserve"> a rule of reason prohibition was contravened, the competition authorities must</w:t>
      </w:r>
      <w:r w:rsidR="00374B37">
        <w:rPr>
          <w:rFonts w:ascii="Arial" w:hAnsi="Arial" w:cs="Arial"/>
        </w:rPr>
        <w:t xml:space="preserve"> in addition to proofing that the firm </w:t>
      </w:r>
      <w:r w:rsidR="00BA72E6">
        <w:rPr>
          <w:rFonts w:ascii="Arial" w:hAnsi="Arial" w:cs="Arial"/>
        </w:rPr>
        <w:t>breached</w:t>
      </w:r>
      <w:r w:rsidR="00374B37">
        <w:rPr>
          <w:rFonts w:ascii="Arial" w:hAnsi="Arial" w:cs="Arial"/>
        </w:rPr>
        <w:t xml:space="preserve"> a rule of reason prohibition</w:t>
      </w:r>
      <w:r w:rsidR="00BA72E6">
        <w:rPr>
          <w:rFonts w:ascii="Arial" w:hAnsi="Arial" w:cs="Arial"/>
        </w:rPr>
        <w:t>, also</w:t>
      </w:r>
      <w:r w:rsidR="00374B37">
        <w:rPr>
          <w:rFonts w:ascii="Arial" w:hAnsi="Arial" w:cs="Arial"/>
        </w:rPr>
        <w:t xml:space="preserve"> </w:t>
      </w:r>
      <w:r>
        <w:rPr>
          <w:rFonts w:ascii="Arial" w:hAnsi="Arial" w:cs="Arial"/>
        </w:rPr>
        <w:t xml:space="preserve">proof that the </w:t>
      </w:r>
      <w:r w:rsidR="00822574">
        <w:rPr>
          <w:rFonts w:ascii="Arial" w:hAnsi="Arial" w:cs="Arial"/>
        </w:rPr>
        <w:t>infringement</w:t>
      </w:r>
      <w:r>
        <w:rPr>
          <w:rFonts w:ascii="Arial" w:hAnsi="Arial" w:cs="Arial"/>
        </w:rPr>
        <w:t xml:space="preserve"> substantially prevented of lessened compet</w:t>
      </w:r>
      <w:r w:rsidR="00822574">
        <w:rPr>
          <w:rFonts w:ascii="Arial" w:hAnsi="Arial" w:cs="Arial"/>
        </w:rPr>
        <w:t>it</w:t>
      </w:r>
      <w:r>
        <w:rPr>
          <w:rFonts w:ascii="Arial" w:hAnsi="Arial" w:cs="Arial"/>
        </w:rPr>
        <w:t>ion in the relevant market.</w:t>
      </w:r>
      <w:r w:rsidR="00414B21">
        <w:rPr>
          <w:rStyle w:val="Funotenzeichen"/>
          <w:rFonts w:ascii="Arial" w:hAnsi="Arial" w:cs="Arial"/>
        </w:rPr>
        <w:footnoteReference w:id="637"/>
      </w:r>
      <w:r w:rsidR="00822574">
        <w:rPr>
          <w:rFonts w:ascii="Arial" w:hAnsi="Arial" w:cs="Arial"/>
        </w:rPr>
        <w:t xml:space="preserve"> </w:t>
      </w:r>
    </w:p>
    <w:p w:rsidR="005B5E0B" w:rsidRDefault="005B5E0B" w:rsidP="002563E6">
      <w:pPr>
        <w:contextualSpacing/>
        <w:jc w:val="both"/>
        <w:rPr>
          <w:rFonts w:ascii="Arial" w:hAnsi="Arial" w:cs="Arial"/>
        </w:rPr>
      </w:pPr>
    </w:p>
    <w:p w:rsidR="009A280A" w:rsidRDefault="009A280A" w:rsidP="002563E6">
      <w:pPr>
        <w:contextualSpacing/>
        <w:jc w:val="both"/>
        <w:rPr>
          <w:rFonts w:ascii="Arial" w:hAnsi="Arial" w:cs="Arial"/>
        </w:rPr>
      </w:pPr>
      <w:r>
        <w:rPr>
          <w:rFonts w:ascii="Arial" w:hAnsi="Arial" w:cs="Arial"/>
        </w:rPr>
        <w:t>3.</w:t>
      </w:r>
      <w:r w:rsidR="00FA00A6">
        <w:rPr>
          <w:rFonts w:ascii="Arial" w:hAnsi="Arial" w:cs="Arial"/>
        </w:rPr>
        <w:t>3.4.1</w:t>
      </w:r>
      <w:r>
        <w:rPr>
          <w:rFonts w:ascii="Arial" w:hAnsi="Arial" w:cs="Arial"/>
        </w:rPr>
        <w:t xml:space="preserve"> Direct measurement of market power</w:t>
      </w:r>
    </w:p>
    <w:p w:rsidR="00FA00A6" w:rsidRDefault="00FA00A6" w:rsidP="002563E6">
      <w:pPr>
        <w:contextualSpacing/>
        <w:jc w:val="both"/>
        <w:rPr>
          <w:rFonts w:ascii="Arial" w:hAnsi="Arial" w:cs="Arial"/>
        </w:rPr>
      </w:pPr>
    </w:p>
    <w:p w:rsidR="00860CE4" w:rsidRDefault="00860CE4" w:rsidP="002563E6">
      <w:pPr>
        <w:contextualSpacing/>
        <w:jc w:val="both"/>
        <w:rPr>
          <w:rFonts w:ascii="Arial" w:hAnsi="Arial" w:cs="Arial"/>
        </w:rPr>
      </w:pPr>
      <w:r>
        <w:rPr>
          <w:rFonts w:ascii="Arial" w:hAnsi="Arial" w:cs="Arial"/>
        </w:rPr>
        <w:t xml:space="preserve">Economic theory stipulates that in a perfectly competitive market no firm </w:t>
      </w:r>
      <w:r w:rsidRPr="006C7AC5">
        <w:rPr>
          <w:rFonts w:ascii="Arial" w:hAnsi="Arial" w:cs="Arial"/>
        </w:rPr>
        <w:t>possess</w:t>
      </w:r>
      <w:r>
        <w:rPr>
          <w:rFonts w:ascii="Arial" w:hAnsi="Arial" w:cs="Arial"/>
        </w:rPr>
        <w:t xml:space="preserve"> sufficient market power</w:t>
      </w:r>
      <w:r w:rsidR="00C97436">
        <w:rPr>
          <w:rStyle w:val="Funotenzeichen"/>
          <w:rFonts w:ascii="Arial" w:hAnsi="Arial" w:cs="Arial"/>
        </w:rPr>
        <w:footnoteReference w:id="638"/>
      </w:r>
      <w:r>
        <w:rPr>
          <w:rFonts w:ascii="Arial" w:hAnsi="Arial" w:cs="Arial"/>
        </w:rPr>
        <w:t xml:space="preserve"> to allow it to individually influence the market price and </w:t>
      </w:r>
      <w:r w:rsidR="003003B7">
        <w:rPr>
          <w:rFonts w:ascii="Arial" w:hAnsi="Arial" w:cs="Arial"/>
        </w:rPr>
        <w:t xml:space="preserve">hence also the market </w:t>
      </w:r>
      <w:r>
        <w:rPr>
          <w:rFonts w:ascii="Arial" w:hAnsi="Arial" w:cs="Arial"/>
        </w:rPr>
        <w:t>quantity.</w:t>
      </w:r>
      <w:r w:rsidR="00C61189">
        <w:rPr>
          <w:rStyle w:val="Funotenzeichen"/>
          <w:rFonts w:ascii="Arial" w:hAnsi="Arial" w:cs="Arial"/>
        </w:rPr>
        <w:footnoteReference w:id="639"/>
      </w:r>
      <w:r>
        <w:rPr>
          <w:rFonts w:ascii="Arial" w:hAnsi="Arial" w:cs="Arial"/>
        </w:rPr>
        <w:t xml:space="preserve"> Consequently, in a perfectly competitive market, all firms are price takers since all firms within that perfectly competitive market are constraint to ask the market price</w:t>
      </w:r>
      <w:r w:rsidR="00184F2F">
        <w:rPr>
          <w:rFonts w:ascii="Arial" w:hAnsi="Arial" w:cs="Arial"/>
        </w:rPr>
        <w:t xml:space="preserve"> (</w:t>
      </w:r>
      <w:r w:rsidR="00A40AC5">
        <w:rPr>
          <w:rFonts w:ascii="Arial" w:hAnsi="Arial" w:cs="Arial"/>
        </w:rPr>
        <w:t>P</w:t>
      </w:r>
      <w:r w:rsidR="00A40AC5">
        <w:rPr>
          <w:rFonts w:ascii="Arial" w:hAnsi="Arial" w:cs="Arial"/>
          <w:vertAlign w:val="subscript"/>
        </w:rPr>
        <w:t>m</w:t>
      </w:r>
      <w:r w:rsidR="00184F2F">
        <w:rPr>
          <w:rFonts w:ascii="Arial" w:hAnsi="Arial" w:cs="Arial"/>
        </w:rPr>
        <w:t>)</w:t>
      </w:r>
      <w:r>
        <w:rPr>
          <w:rFonts w:ascii="Arial" w:hAnsi="Arial" w:cs="Arial"/>
        </w:rPr>
        <w:t xml:space="preserve"> for their products.</w:t>
      </w:r>
      <w:r w:rsidR="00140702">
        <w:rPr>
          <w:rStyle w:val="Funotenzeichen"/>
          <w:rFonts w:ascii="Arial" w:hAnsi="Arial" w:cs="Arial"/>
        </w:rPr>
        <w:footnoteReference w:id="640"/>
      </w:r>
      <w:r>
        <w:rPr>
          <w:rFonts w:ascii="Arial" w:hAnsi="Arial" w:cs="Arial"/>
        </w:rPr>
        <w:t xml:space="preserve"> </w:t>
      </w:r>
    </w:p>
    <w:p w:rsidR="00860CE4" w:rsidRDefault="00860CE4" w:rsidP="002563E6">
      <w:pPr>
        <w:contextualSpacing/>
        <w:jc w:val="both"/>
        <w:rPr>
          <w:rFonts w:ascii="Arial" w:hAnsi="Arial" w:cs="Arial"/>
        </w:rPr>
      </w:pPr>
    </w:p>
    <w:p w:rsidR="000C6B11" w:rsidRDefault="00860CE4" w:rsidP="002563E6">
      <w:pPr>
        <w:contextualSpacing/>
        <w:jc w:val="both"/>
        <w:rPr>
          <w:rFonts w:ascii="Arial" w:hAnsi="Arial" w:cs="Arial"/>
        </w:rPr>
      </w:pPr>
      <w:r>
        <w:rPr>
          <w:rFonts w:ascii="Arial" w:hAnsi="Arial" w:cs="Arial"/>
        </w:rPr>
        <w:t>Furthermore, economic t</w:t>
      </w:r>
      <w:r w:rsidR="001B3D07">
        <w:rPr>
          <w:rFonts w:ascii="Arial" w:hAnsi="Arial" w:cs="Arial"/>
        </w:rPr>
        <w:t>heory</w:t>
      </w:r>
      <w:r>
        <w:rPr>
          <w:rFonts w:ascii="Arial" w:hAnsi="Arial" w:cs="Arial"/>
        </w:rPr>
        <w:t xml:space="preserve"> dictates that</w:t>
      </w:r>
      <w:r w:rsidR="001B3D07">
        <w:rPr>
          <w:rFonts w:ascii="Arial" w:hAnsi="Arial" w:cs="Arial"/>
        </w:rPr>
        <w:t xml:space="preserve"> at the market price</w:t>
      </w:r>
      <w:r w:rsidR="00184F2F">
        <w:rPr>
          <w:rFonts w:ascii="Arial" w:hAnsi="Arial" w:cs="Arial"/>
        </w:rPr>
        <w:t xml:space="preserve"> </w:t>
      </w:r>
      <w:r w:rsidR="001B3D07">
        <w:rPr>
          <w:rFonts w:ascii="Arial" w:hAnsi="Arial" w:cs="Arial"/>
        </w:rPr>
        <w:t xml:space="preserve">the perfectly competitive firm can sell </w:t>
      </w:r>
      <w:r w:rsidR="00D83FB5">
        <w:rPr>
          <w:rFonts w:ascii="Arial" w:hAnsi="Arial" w:cs="Arial"/>
        </w:rPr>
        <w:t>as many of its products as it like</w:t>
      </w:r>
      <w:r w:rsidR="003109D7">
        <w:rPr>
          <w:rFonts w:ascii="Arial" w:hAnsi="Arial" w:cs="Arial"/>
        </w:rPr>
        <w:t>s.</w:t>
      </w:r>
      <w:r w:rsidR="00337FAB">
        <w:rPr>
          <w:rStyle w:val="Funotenzeichen"/>
          <w:rFonts w:ascii="Arial" w:hAnsi="Arial" w:cs="Arial"/>
        </w:rPr>
        <w:footnoteReference w:id="641"/>
      </w:r>
      <w:r w:rsidR="003109D7">
        <w:rPr>
          <w:rFonts w:ascii="Arial" w:hAnsi="Arial" w:cs="Arial"/>
        </w:rPr>
        <w:t xml:space="preserve"> </w:t>
      </w:r>
      <w:r w:rsidR="003109D7" w:rsidRPr="003109D7">
        <w:rPr>
          <w:rFonts w:ascii="Arial" w:hAnsi="Arial" w:cs="Arial"/>
        </w:rPr>
        <w:t>On the other hand</w:t>
      </w:r>
      <w:r w:rsidR="003109D7">
        <w:rPr>
          <w:rFonts w:ascii="Arial" w:hAnsi="Arial" w:cs="Arial"/>
        </w:rPr>
        <w:t>, the perfectly competitive firm will have zero sales if it asks any price</w:t>
      </w:r>
      <w:r w:rsidR="00184F2F">
        <w:rPr>
          <w:rFonts w:ascii="Arial" w:hAnsi="Arial" w:cs="Arial"/>
        </w:rPr>
        <w:t xml:space="preserve"> (P</w:t>
      </w:r>
      <w:r w:rsidR="00A40AC5">
        <w:rPr>
          <w:rFonts w:ascii="Arial" w:hAnsi="Arial" w:cs="Arial"/>
          <w:vertAlign w:val="subscript"/>
        </w:rPr>
        <w:t>f</w:t>
      </w:r>
      <w:r w:rsidR="00184F2F">
        <w:rPr>
          <w:rFonts w:ascii="Arial" w:hAnsi="Arial" w:cs="Arial"/>
        </w:rPr>
        <w:t>)</w:t>
      </w:r>
      <w:r w:rsidR="003109D7">
        <w:rPr>
          <w:rFonts w:ascii="Arial" w:hAnsi="Arial" w:cs="Arial"/>
        </w:rPr>
        <w:t xml:space="preserve"> higher than the market price.</w:t>
      </w:r>
      <w:r w:rsidR="00B27BE0">
        <w:rPr>
          <w:rStyle w:val="Funotenzeichen"/>
          <w:rFonts w:ascii="Arial" w:hAnsi="Arial" w:cs="Arial"/>
        </w:rPr>
        <w:footnoteReference w:id="642"/>
      </w:r>
      <w:r w:rsidR="003109D7">
        <w:rPr>
          <w:rFonts w:ascii="Arial" w:hAnsi="Arial" w:cs="Arial"/>
        </w:rPr>
        <w:t xml:space="preserve"> </w:t>
      </w:r>
      <w:r w:rsidR="00EF53B0">
        <w:rPr>
          <w:rFonts w:ascii="Arial" w:hAnsi="Arial" w:cs="Arial"/>
        </w:rPr>
        <w:t>Moreover, t</w:t>
      </w:r>
      <w:r w:rsidR="003109D7">
        <w:rPr>
          <w:rFonts w:ascii="Arial" w:hAnsi="Arial" w:cs="Arial"/>
        </w:rPr>
        <w:t xml:space="preserve">he perfectly competitive firm </w:t>
      </w:r>
      <w:r w:rsidR="0043617C">
        <w:rPr>
          <w:rFonts w:ascii="Arial" w:hAnsi="Arial" w:cs="Arial"/>
        </w:rPr>
        <w:t>ha</w:t>
      </w:r>
      <w:r w:rsidR="00EF53B0">
        <w:rPr>
          <w:rFonts w:ascii="Arial" w:hAnsi="Arial" w:cs="Arial"/>
        </w:rPr>
        <w:t>s</w:t>
      </w:r>
      <w:r w:rsidR="0043617C">
        <w:rPr>
          <w:rFonts w:ascii="Arial" w:hAnsi="Arial" w:cs="Arial"/>
        </w:rPr>
        <w:t xml:space="preserve"> </w:t>
      </w:r>
      <w:r w:rsidR="003109D7">
        <w:rPr>
          <w:rFonts w:ascii="Arial" w:hAnsi="Arial" w:cs="Arial"/>
        </w:rPr>
        <w:t>no</w:t>
      </w:r>
      <w:r w:rsidR="0043617C">
        <w:rPr>
          <w:rFonts w:ascii="Arial" w:hAnsi="Arial" w:cs="Arial"/>
        </w:rPr>
        <w:t xml:space="preserve"> incentive to</w:t>
      </w:r>
      <w:r w:rsidR="003109D7">
        <w:rPr>
          <w:rFonts w:ascii="Arial" w:hAnsi="Arial" w:cs="Arial"/>
        </w:rPr>
        <w:t xml:space="preserve"> ask any price</w:t>
      </w:r>
      <w:r w:rsidR="00184F2F">
        <w:rPr>
          <w:rFonts w:ascii="Arial" w:hAnsi="Arial" w:cs="Arial"/>
        </w:rPr>
        <w:t xml:space="preserve"> </w:t>
      </w:r>
      <w:r w:rsidR="003109D7">
        <w:rPr>
          <w:rFonts w:ascii="Arial" w:hAnsi="Arial" w:cs="Arial"/>
        </w:rPr>
        <w:t>lower than the market price since this</w:t>
      </w:r>
      <w:r w:rsidR="0043617C">
        <w:rPr>
          <w:rFonts w:ascii="Arial" w:hAnsi="Arial" w:cs="Arial"/>
        </w:rPr>
        <w:t>, ceteris paribus,</w:t>
      </w:r>
      <w:r w:rsidR="003109D7">
        <w:rPr>
          <w:rFonts w:ascii="Arial" w:hAnsi="Arial" w:cs="Arial"/>
        </w:rPr>
        <w:t xml:space="preserve"> will decrease its profits and </w:t>
      </w:r>
      <w:r w:rsidR="0043617C">
        <w:rPr>
          <w:rFonts w:ascii="Arial" w:hAnsi="Arial" w:cs="Arial"/>
        </w:rPr>
        <w:t xml:space="preserve">it </w:t>
      </w:r>
      <w:r w:rsidR="00E011A7">
        <w:rPr>
          <w:rFonts w:ascii="Arial" w:hAnsi="Arial" w:cs="Arial"/>
        </w:rPr>
        <w:t>could</w:t>
      </w:r>
      <w:r>
        <w:rPr>
          <w:rFonts w:ascii="Arial" w:hAnsi="Arial" w:cs="Arial"/>
        </w:rPr>
        <w:t xml:space="preserve"> </w:t>
      </w:r>
      <w:r w:rsidR="003109D7">
        <w:rPr>
          <w:rFonts w:ascii="Arial" w:hAnsi="Arial" w:cs="Arial"/>
        </w:rPr>
        <w:t xml:space="preserve">potentially decrease the </w:t>
      </w:r>
      <w:r>
        <w:rPr>
          <w:rFonts w:ascii="Arial" w:hAnsi="Arial" w:cs="Arial"/>
        </w:rPr>
        <w:t xml:space="preserve">relevant </w:t>
      </w:r>
      <w:r w:rsidR="00EF53B0">
        <w:rPr>
          <w:rFonts w:ascii="Arial" w:hAnsi="Arial" w:cs="Arial"/>
        </w:rPr>
        <w:t>market price.</w:t>
      </w:r>
      <w:r w:rsidR="00B27BE0">
        <w:rPr>
          <w:rStyle w:val="Funotenzeichen"/>
          <w:rFonts w:ascii="Arial" w:hAnsi="Arial" w:cs="Arial"/>
        </w:rPr>
        <w:footnoteReference w:id="643"/>
      </w:r>
    </w:p>
    <w:p w:rsidR="00822994" w:rsidRDefault="00822994" w:rsidP="002563E6">
      <w:pPr>
        <w:contextualSpacing/>
        <w:jc w:val="both"/>
        <w:rPr>
          <w:rFonts w:ascii="Arial" w:hAnsi="Arial" w:cs="Arial"/>
        </w:rPr>
      </w:pPr>
    </w:p>
    <w:p w:rsidR="00184F2F" w:rsidRDefault="0043617C" w:rsidP="002563E6">
      <w:pPr>
        <w:contextualSpacing/>
        <w:jc w:val="both"/>
        <w:rPr>
          <w:rFonts w:ascii="Arial" w:hAnsi="Arial" w:cs="Arial"/>
        </w:rPr>
      </w:pPr>
      <w:r>
        <w:rPr>
          <w:rFonts w:ascii="Arial" w:hAnsi="Arial" w:cs="Arial"/>
        </w:rPr>
        <w:t xml:space="preserve">Given that a perfectly competitive firm is constraint to ask the market price for its products, </w:t>
      </w:r>
      <w:r w:rsidR="003109D7">
        <w:rPr>
          <w:rFonts w:ascii="Arial" w:hAnsi="Arial" w:cs="Arial"/>
        </w:rPr>
        <w:t>it is argued that the marginal revenue</w:t>
      </w:r>
      <w:r w:rsidR="0070002E">
        <w:rPr>
          <w:rStyle w:val="Funotenzeichen"/>
          <w:rFonts w:ascii="Arial" w:hAnsi="Arial" w:cs="Arial"/>
        </w:rPr>
        <w:footnoteReference w:id="644"/>
      </w:r>
      <w:r w:rsidR="003109D7">
        <w:rPr>
          <w:rFonts w:ascii="Arial" w:hAnsi="Arial" w:cs="Arial"/>
        </w:rPr>
        <w:t xml:space="preserve"> (</w:t>
      </w:r>
      <w:r w:rsidR="00E717B1">
        <w:rPr>
          <w:rFonts w:ascii="Arial" w:hAnsi="Arial" w:cs="Arial"/>
        </w:rPr>
        <w:t>MR</w:t>
      </w:r>
      <w:r w:rsidR="003109D7">
        <w:rPr>
          <w:rFonts w:ascii="Arial" w:hAnsi="Arial" w:cs="Arial"/>
        </w:rPr>
        <w:t xml:space="preserve">) of </w:t>
      </w:r>
      <w:r w:rsidR="00E717B1">
        <w:rPr>
          <w:rFonts w:ascii="Arial" w:hAnsi="Arial" w:cs="Arial"/>
        </w:rPr>
        <w:t>a</w:t>
      </w:r>
      <w:r w:rsidR="003109D7">
        <w:rPr>
          <w:rFonts w:ascii="Arial" w:hAnsi="Arial" w:cs="Arial"/>
        </w:rPr>
        <w:t xml:space="preserve"> perfectly competitive firm is equal to the market price of </w:t>
      </w:r>
      <w:r w:rsidR="00E717B1">
        <w:rPr>
          <w:rFonts w:ascii="Arial" w:hAnsi="Arial" w:cs="Arial"/>
        </w:rPr>
        <w:t>that firm’s product</w:t>
      </w:r>
      <w:r w:rsidR="003109D7">
        <w:rPr>
          <w:rFonts w:ascii="Arial" w:hAnsi="Arial" w:cs="Arial"/>
        </w:rPr>
        <w:t>.</w:t>
      </w:r>
      <w:r w:rsidR="007F64AC">
        <w:rPr>
          <w:rStyle w:val="Funotenzeichen"/>
          <w:rFonts w:ascii="Arial" w:hAnsi="Arial" w:cs="Arial"/>
        </w:rPr>
        <w:footnoteReference w:id="645"/>
      </w:r>
      <w:r w:rsidR="00E717B1">
        <w:rPr>
          <w:rFonts w:ascii="Arial" w:hAnsi="Arial" w:cs="Arial"/>
        </w:rPr>
        <w:t xml:space="preserve"> Furthermore, economic theory dictates that a perfectly competitive firm will maximise its profit</w:t>
      </w:r>
      <w:r w:rsidR="00EF53B0">
        <w:rPr>
          <w:rFonts w:ascii="Arial" w:hAnsi="Arial" w:cs="Arial"/>
        </w:rPr>
        <w:t>s</w:t>
      </w:r>
      <w:r w:rsidR="00E717B1">
        <w:rPr>
          <w:rFonts w:ascii="Arial" w:hAnsi="Arial" w:cs="Arial"/>
        </w:rPr>
        <w:t xml:space="preserve"> by producing that </w:t>
      </w:r>
      <w:r w:rsidR="000C6B11">
        <w:rPr>
          <w:rFonts w:ascii="Arial" w:hAnsi="Arial" w:cs="Arial"/>
        </w:rPr>
        <w:t xml:space="preserve">quantity of </w:t>
      </w:r>
      <w:r w:rsidR="00A22FC4">
        <w:rPr>
          <w:rFonts w:ascii="Arial" w:hAnsi="Arial" w:cs="Arial"/>
        </w:rPr>
        <w:t>output</w:t>
      </w:r>
      <w:r w:rsidR="00E717B1">
        <w:rPr>
          <w:rFonts w:ascii="Arial" w:hAnsi="Arial" w:cs="Arial"/>
        </w:rPr>
        <w:t xml:space="preserve"> where the firm’s marginal revenue</w:t>
      </w:r>
      <w:r w:rsidR="00184F2F">
        <w:rPr>
          <w:rFonts w:ascii="Arial" w:hAnsi="Arial" w:cs="Arial"/>
        </w:rPr>
        <w:t xml:space="preserve"> </w:t>
      </w:r>
      <w:r w:rsidR="000C6B11">
        <w:rPr>
          <w:rFonts w:ascii="Arial" w:hAnsi="Arial" w:cs="Arial"/>
        </w:rPr>
        <w:t xml:space="preserve">is </w:t>
      </w:r>
      <w:r w:rsidR="00E717B1">
        <w:rPr>
          <w:rFonts w:ascii="Arial" w:hAnsi="Arial" w:cs="Arial"/>
        </w:rPr>
        <w:t xml:space="preserve">equal </w:t>
      </w:r>
      <w:r w:rsidR="000C6B11">
        <w:rPr>
          <w:rFonts w:ascii="Arial" w:hAnsi="Arial" w:cs="Arial"/>
        </w:rPr>
        <w:t xml:space="preserve">to </w:t>
      </w:r>
      <w:r w:rsidR="00E717B1">
        <w:rPr>
          <w:rFonts w:ascii="Arial" w:hAnsi="Arial" w:cs="Arial"/>
        </w:rPr>
        <w:t>the firm’s marginal cost (MC).</w:t>
      </w:r>
      <w:r w:rsidR="007F64AC">
        <w:rPr>
          <w:rStyle w:val="Funotenzeichen"/>
          <w:rFonts w:ascii="Arial" w:hAnsi="Arial" w:cs="Arial"/>
        </w:rPr>
        <w:footnoteReference w:id="646"/>
      </w:r>
      <w:r w:rsidR="00E717B1">
        <w:rPr>
          <w:rFonts w:ascii="Arial" w:hAnsi="Arial" w:cs="Arial"/>
        </w:rPr>
        <w:t xml:space="preserve"> </w:t>
      </w:r>
    </w:p>
    <w:p w:rsidR="00184F2F" w:rsidRDefault="00184F2F" w:rsidP="002563E6">
      <w:pPr>
        <w:contextualSpacing/>
        <w:jc w:val="both"/>
        <w:rPr>
          <w:rFonts w:ascii="Arial" w:hAnsi="Arial" w:cs="Arial"/>
        </w:rPr>
      </w:pPr>
    </w:p>
    <w:p w:rsidR="00457410" w:rsidRDefault="00A22FC4" w:rsidP="002563E6">
      <w:pPr>
        <w:contextualSpacing/>
        <w:jc w:val="both"/>
        <w:rPr>
          <w:rFonts w:ascii="Arial" w:hAnsi="Arial" w:cs="Arial"/>
        </w:rPr>
      </w:pPr>
      <w:r>
        <w:rPr>
          <w:rFonts w:ascii="Arial" w:hAnsi="Arial" w:cs="Arial"/>
        </w:rPr>
        <w:t>Accordingly</w:t>
      </w:r>
      <w:r w:rsidR="00C84F44">
        <w:rPr>
          <w:rFonts w:ascii="Arial" w:hAnsi="Arial" w:cs="Arial"/>
        </w:rPr>
        <w:t>,</w:t>
      </w:r>
      <w:r>
        <w:rPr>
          <w:rFonts w:ascii="Arial" w:hAnsi="Arial" w:cs="Arial"/>
        </w:rPr>
        <w:t xml:space="preserve"> a profit maximising firm in a perfectly competitive market  will produce that quantity of output where the firm’s </w:t>
      </w:r>
      <w:r w:rsidR="00184F2F">
        <w:rPr>
          <w:rFonts w:ascii="Arial" w:hAnsi="Arial" w:cs="Arial"/>
        </w:rPr>
        <w:t xml:space="preserve">marginal revenue is equal to the firm’s </w:t>
      </w:r>
      <w:r>
        <w:rPr>
          <w:rFonts w:ascii="Arial" w:hAnsi="Arial" w:cs="Arial"/>
        </w:rPr>
        <w:t>marginal cost</w:t>
      </w:r>
      <w:r w:rsidR="00AF61A1">
        <w:rPr>
          <w:rStyle w:val="Funotenzeichen"/>
          <w:rFonts w:ascii="Arial" w:hAnsi="Arial" w:cs="Arial"/>
        </w:rPr>
        <w:footnoteReference w:id="647"/>
      </w:r>
      <w:r w:rsidR="00184F2F">
        <w:rPr>
          <w:rFonts w:ascii="Arial" w:hAnsi="Arial" w:cs="Arial"/>
        </w:rPr>
        <w:t xml:space="preserve"> </w:t>
      </w:r>
      <w:r w:rsidR="00D548B3">
        <w:rPr>
          <w:rFonts w:ascii="Arial" w:hAnsi="Arial" w:cs="Arial"/>
        </w:rPr>
        <w:t xml:space="preserve">which is equal the </w:t>
      </w:r>
      <w:r w:rsidR="00184F2F">
        <w:rPr>
          <w:rFonts w:ascii="Arial" w:hAnsi="Arial" w:cs="Arial"/>
        </w:rPr>
        <w:t xml:space="preserve">price </w:t>
      </w:r>
      <w:r w:rsidR="00D548B3">
        <w:rPr>
          <w:rFonts w:ascii="Arial" w:hAnsi="Arial" w:cs="Arial"/>
        </w:rPr>
        <w:t>of</w:t>
      </w:r>
      <w:r w:rsidR="00184F2F">
        <w:rPr>
          <w:rFonts w:ascii="Arial" w:hAnsi="Arial" w:cs="Arial"/>
        </w:rPr>
        <w:t xml:space="preserve"> the firm’s products which is equal to the market price.</w:t>
      </w:r>
      <w:r w:rsidR="007F64AC">
        <w:rPr>
          <w:rStyle w:val="Funotenzeichen"/>
          <w:rFonts w:ascii="Arial" w:hAnsi="Arial" w:cs="Arial"/>
        </w:rPr>
        <w:footnoteReference w:id="648"/>
      </w:r>
      <w:r w:rsidR="00184F2F">
        <w:rPr>
          <w:rFonts w:ascii="Arial" w:hAnsi="Arial" w:cs="Arial"/>
        </w:rPr>
        <w:t xml:space="preserve"> Stated differently</w:t>
      </w:r>
      <w:r w:rsidR="00A40AC5">
        <w:rPr>
          <w:rFonts w:ascii="Arial" w:hAnsi="Arial" w:cs="Arial"/>
        </w:rPr>
        <w:t>,</w:t>
      </w:r>
      <w:r w:rsidR="00184F2F">
        <w:rPr>
          <w:rFonts w:ascii="Arial" w:hAnsi="Arial" w:cs="Arial"/>
        </w:rPr>
        <w:t xml:space="preserve"> in a perfectly competitive market the following statement </w:t>
      </w:r>
      <w:r w:rsidR="00D548B3">
        <w:rPr>
          <w:rFonts w:ascii="Arial" w:hAnsi="Arial" w:cs="Arial"/>
        </w:rPr>
        <w:t>is true for a profit maximising firm</w:t>
      </w:r>
      <w:r w:rsidR="00184F2F">
        <w:rPr>
          <w:rFonts w:ascii="Arial" w:hAnsi="Arial" w:cs="Arial"/>
        </w:rPr>
        <w:t>: P</w:t>
      </w:r>
      <w:r w:rsidR="00D548B3">
        <w:rPr>
          <w:rFonts w:ascii="Arial" w:hAnsi="Arial" w:cs="Arial"/>
          <w:vertAlign w:val="subscript"/>
        </w:rPr>
        <w:t>f</w:t>
      </w:r>
      <w:r w:rsidR="00184F2F">
        <w:rPr>
          <w:rFonts w:ascii="Arial" w:hAnsi="Arial" w:cs="Arial"/>
        </w:rPr>
        <w:t>=P</w:t>
      </w:r>
      <w:r w:rsidR="00A40AC5">
        <w:rPr>
          <w:rFonts w:ascii="Arial" w:hAnsi="Arial" w:cs="Arial"/>
          <w:vertAlign w:val="subscript"/>
        </w:rPr>
        <w:t>m</w:t>
      </w:r>
      <w:r w:rsidR="00A40AC5">
        <w:rPr>
          <w:rFonts w:ascii="Arial" w:hAnsi="Arial" w:cs="Arial"/>
        </w:rPr>
        <w:t>=MR=MC.</w:t>
      </w:r>
      <w:r w:rsidR="00C84F44">
        <w:rPr>
          <w:rFonts w:ascii="Arial" w:hAnsi="Arial" w:cs="Arial"/>
        </w:rPr>
        <w:t xml:space="preserve"> </w:t>
      </w:r>
    </w:p>
    <w:p w:rsidR="00457410" w:rsidRDefault="00457410" w:rsidP="002563E6">
      <w:pPr>
        <w:contextualSpacing/>
        <w:jc w:val="both"/>
        <w:rPr>
          <w:rFonts w:ascii="Arial" w:hAnsi="Arial" w:cs="Arial"/>
        </w:rPr>
      </w:pPr>
    </w:p>
    <w:p w:rsidR="00E54D05" w:rsidRDefault="00E41093" w:rsidP="002563E6">
      <w:pPr>
        <w:contextualSpacing/>
        <w:jc w:val="both"/>
        <w:rPr>
          <w:rFonts w:ascii="Arial" w:hAnsi="Arial" w:cs="Arial"/>
        </w:rPr>
      </w:pPr>
      <w:r w:rsidRPr="00457410">
        <w:rPr>
          <w:rFonts w:ascii="Arial" w:hAnsi="Arial" w:cs="Arial"/>
          <w:u w:val="single"/>
        </w:rPr>
        <w:t>Note</w:t>
      </w:r>
      <w:r w:rsidR="00457410">
        <w:rPr>
          <w:rFonts w:ascii="Arial" w:hAnsi="Arial" w:cs="Arial"/>
        </w:rPr>
        <w:t>:</w:t>
      </w:r>
      <w:r>
        <w:rPr>
          <w:rFonts w:ascii="Arial" w:hAnsi="Arial" w:cs="Arial"/>
        </w:rPr>
        <w:t xml:space="preserve"> as discussed previously in this paper, the purpose of all economic agents are to satisfy their self interest and in the case of the firm its self interest is money.</w:t>
      </w:r>
      <w:r w:rsidR="00BB2015">
        <w:rPr>
          <w:rStyle w:val="Funotenzeichen"/>
          <w:rFonts w:ascii="Arial" w:hAnsi="Arial" w:cs="Arial"/>
        </w:rPr>
        <w:footnoteReference w:id="649"/>
      </w:r>
      <w:r>
        <w:rPr>
          <w:rFonts w:ascii="Arial" w:hAnsi="Arial" w:cs="Arial"/>
        </w:rPr>
        <w:t xml:space="preserve"> Accordingly, the objective of all firms</w:t>
      </w:r>
      <w:r w:rsidR="00457410">
        <w:rPr>
          <w:rFonts w:ascii="Arial" w:hAnsi="Arial" w:cs="Arial"/>
        </w:rPr>
        <w:t>, for the purpose of competition legislation,</w:t>
      </w:r>
      <w:r>
        <w:rPr>
          <w:rFonts w:ascii="Arial" w:hAnsi="Arial" w:cs="Arial"/>
        </w:rPr>
        <w:t xml:space="preserve"> is to maximise their profits.</w:t>
      </w:r>
      <w:r w:rsidR="00BB2015">
        <w:rPr>
          <w:rStyle w:val="Funotenzeichen"/>
          <w:rFonts w:ascii="Arial" w:hAnsi="Arial" w:cs="Arial"/>
        </w:rPr>
        <w:footnoteReference w:id="650"/>
      </w:r>
    </w:p>
    <w:p w:rsidR="003076C3" w:rsidRDefault="003076C3" w:rsidP="002563E6">
      <w:pPr>
        <w:contextualSpacing/>
        <w:jc w:val="both"/>
        <w:rPr>
          <w:rFonts w:ascii="Arial" w:hAnsi="Arial" w:cs="Arial"/>
        </w:rPr>
      </w:pPr>
    </w:p>
    <w:p w:rsidR="00CE151F" w:rsidRDefault="00CE151F" w:rsidP="002563E6">
      <w:pPr>
        <w:contextualSpacing/>
        <w:jc w:val="both"/>
        <w:rPr>
          <w:rFonts w:ascii="Arial" w:hAnsi="Arial" w:cs="Arial"/>
        </w:rPr>
      </w:pPr>
    </w:p>
    <w:p w:rsidR="00AE30B1" w:rsidRDefault="00D95ADC" w:rsidP="002563E6">
      <w:pPr>
        <w:contextualSpacing/>
        <w:jc w:val="both"/>
        <w:rPr>
          <w:rFonts w:ascii="Arial" w:hAnsi="Arial" w:cs="Arial"/>
        </w:rPr>
      </w:pPr>
      <w:r>
        <w:rPr>
          <w:rFonts w:ascii="Arial" w:hAnsi="Arial" w:cs="Arial"/>
        </w:rPr>
        <w:t>Previously</w:t>
      </w:r>
      <w:r w:rsidR="0054048C">
        <w:rPr>
          <w:rFonts w:ascii="Arial" w:hAnsi="Arial" w:cs="Arial"/>
        </w:rPr>
        <w:t xml:space="preserve"> in this paper, market power was defined as the ability of a firm or a group of firms acting together to increase the price of any specific product or a group of products from what the price would have been in a perfectly competitive market and as a result increase their respective profits from what it would have been under conditions of perfect competition.</w:t>
      </w:r>
      <w:r w:rsidR="0054048C">
        <w:rPr>
          <w:rStyle w:val="Funotenzeichen"/>
          <w:rFonts w:ascii="Arial" w:hAnsi="Arial" w:cs="Arial"/>
        </w:rPr>
        <w:footnoteReference w:id="651"/>
      </w:r>
      <w:r w:rsidR="0054048C">
        <w:rPr>
          <w:rFonts w:ascii="Arial" w:hAnsi="Arial" w:cs="Arial"/>
        </w:rPr>
        <w:t xml:space="preserve"> </w:t>
      </w:r>
    </w:p>
    <w:p w:rsidR="00AE30B1" w:rsidRDefault="00AE30B1" w:rsidP="002563E6">
      <w:pPr>
        <w:contextualSpacing/>
        <w:jc w:val="both"/>
        <w:rPr>
          <w:rFonts w:ascii="Arial" w:hAnsi="Arial" w:cs="Arial"/>
        </w:rPr>
      </w:pPr>
    </w:p>
    <w:p w:rsidR="00CE151F" w:rsidRDefault="0054048C" w:rsidP="002563E6">
      <w:pPr>
        <w:contextualSpacing/>
        <w:jc w:val="both"/>
        <w:rPr>
          <w:rFonts w:ascii="Arial" w:hAnsi="Arial" w:cs="Arial"/>
        </w:rPr>
      </w:pPr>
      <w:r>
        <w:rPr>
          <w:rFonts w:ascii="Arial" w:hAnsi="Arial" w:cs="Arial"/>
        </w:rPr>
        <w:t xml:space="preserve">In light of the </w:t>
      </w:r>
      <w:r w:rsidR="00962CF4">
        <w:rPr>
          <w:rFonts w:ascii="Arial" w:hAnsi="Arial" w:cs="Arial"/>
        </w:rPr>
        <w:t>preceding</w:t>
      </w:r>
      <w:r>
        <w:rPr>
          <w:rFonts w:ascii="Arial" w:hAnsi="Arial" w:cs="Arial"/>
        </w:rPr>
        <w:t xml:space="preserve"> paragraphs</w:t>
      </w:r>
      <w:r w:rsidR="00D95ADC">
        <w:rPr>
          <w:rFonts w:ascii="Arial" w:hAnsi="Arial" w:cs="Arial"/>
        </w:rPr>
        <w:t>,</w:t>
      </w:r>
      <w:r>
        <w:rPr>
          <w:rFonts w:ascii="Arial" w:hAnsi="Arial" w:cs="Arial"/>
        </w:rPr>
        <w:t xml:space="preserve"> th</w:t>
      </w:r>
      <w:r w:rsidR="00AE30B1">
        <w:rPr>
          <w:rFonts w:ascii="Arial" w:hAnsi="Arial" w:cs="Arial"/>
        </w:rPr>
        <w:t>e previous</w:t>
      </w:r>
      <w:r>
        <w:rPr>
          <w:rFonts w:ascii="Arial" w:hAnsi="Arial" w:cs="Arial"/>
        </w:rPr>
        <w:t xml:space="preserve"> definition of market power can be</w:t>
      </w:r>
      <w:r w:rsidR="00AE30B1">
        <w:rPr>
          <w:rFonts w:ascii="Arial" w:hAnsi="Arial" w:cs="Arial"/>
        </w:rPr>
        <w:t xml:space="preserve"> written more correctly by</w:t>
      </w:r>
      <w:r>
        <w:rPr>
          <w:rFonts w:ascii="Arial" w:hAnsi="Arial" w:cs="Arial"/>
        </w:rPr>
        <w:t xml:space="preserve"> </w:t>
      </w:r>
      <w:r w:rsidR="00AE30B1">
        <w:rPr>
          <w:rFonts w:ascii="Arial" w:hAnsi="Arial" w:cs="Arial"/>
        </w:rPr>
        <w:t>augmenting it</w:t>
      </w:r>
      <w:r>
        <w:rPr>
          <w:rFonts w:ascii="Arial" w:hAnsi="Arial" w:cs="Arial"/>
        </w:rPr>
        <w:t xml:space="preserve"> sl</w:t>
      </w:r>
      <w:r w:rsidR="00962CF4">
        <w:rPr>
          <w:rFonts w:ascii="Arial" w:hAnsi="Arial" w:cs="Arial"/>
        </w:rPr>
        <w:t xml:space="preserve">ightly </w:t>
      </w:r>
      <w:r w:rsidR="00D95ADC">
        <w:rPr>
          <w:rFonts w:ascii="Arial" w:hAnsi="Arial" w:cs="Arial"/>
        </w:rPr>
        <w:t>to</w:t>
      </w:r>
      <w:r w:rsidR="00962CF4">
        <w:rPr>
          <w:rFonts w:ascii="Arial" w:hAnsi="Arial" w:cs="Arial"/>
        </w:rPr>
        <w:t xml:space="preserve"> read as follows</w:t>
      </w:r>
      <w:r w:rsidR="00D95ADC">
        <w:rPr>
          <w:rFonts w:ascii="Arial" w:hAnsi="Arial" w:cs="Arial"/>
        </w:rPr>
        <w:t>. Market power is</w:t>
      </w:r>
      <w:r w:rsidR="00962CF4">
        <w:rPr>
          <w:rFonts w:ascii="Arial" w:hAnsi="Arial" w:cs="Arial"/>
        </w:rPr>
        <w:t xml:space="preserve"> </w:t>
      </w:r>
      <w:r w:rsidR="00D95ADC">
        <w:rPr>
          <w:rFonts w:ascii="Arial" w:hAnsi="Arial" w:cs="Arial"/>
        </w:rPr>
        <w:t>t</w:t>
      </w:r>
      <w:r w:rsidR="00962CF4">
        <w:rPr>
          <w:rFonts w:ascii="Arial" w:hAnsi="Arial" w:cs="Arial"/>
        </w:rPr>
        <w:t>he ability of a firm or a group of firms acting together to raise the price of their products above their marginal costs</w:t>
      </w:r>
      <w:r w:rsidR="00D95ADC">
        <w:rPr>
          <w:rFonts w:ascii="Arial" w:hAnsi="Arial" w:cs="Arial"/>
        </w:rPr>
        <w:t xml:space="preserve"> at the profit </w:t>
      </w:r>
      <w:r w:rsidR="00D95ADC" w:rsidRPr="000C6B11">
        <w:rPr>
          <w:rFonts w:ascii="Arial" w:hAnsi="Arial" w:cs="Arial"/>
        </w:rPr>
        <w:t>maximi</w:t>
      </w:r>
      <w:r w:rsidR="000C6B11">
        <w:rPr>
          <w:rFonts w:ascii="Arial" w:hAnsi="Arial" w:cs="Arial"/>
        </w:rPr>
        <w:t>s</w:t>
      </w:r>
      <w:r w:rsidR="00AE30B1" w:rsidRPr="000C6B11">
        <w:rPr>
          <w:rFonts w:ascii="Arial" w:hAnsi="Arial" w:cs="Arial"/>
        </w:rPr>
        <w:t>ing</w:t>
      </w:r>
      <w:r w:rsidR="00D95ADC">
        <w:rPr>
          <w:rFonts w:ascii="Arial" w:hAnsi="Arial" w:cs="Arial"/>
        </w:rPr>
        <w:t xml:space="preserve"> level of output</w:t>
      </w:r>
      <w:r w:rsidR="00962CF4">
        <w:rPr>
          <w:rFonts w:ascii="Arial" w:hAnsi="Arial" w:cs="Arial"/>
        </w:rPr>
        <w:t>.</w:t>
      </w:r>
      <w:r w:rsidR="0017468A">
        <w:rPr>
          <w:rStyle w:val="Funotenzeichen"/>
          <w:rFonts w:ascii="Arial" w:hAnsi="Arial" w:cs="Arial"/>
        </w:rPr>
        <w:footnoteReference w:id="652"/>
      </w:r>
      <w:r w:rsidR="00962CF4">
        <w:rPr>
          <w:rFonts w:ascii="Arial" w:hAnsi="Arial" w:cs="Arial"/>
        </w:rPr>
        <w:t xml:space="preserve"> In this case the price of their products and </w:t>
      </w:r>
      <w:r w:rsidR="00D95ADC">
        <w:rPr>
          <w:rFonts w:ascii="Arial" w:hAnsi="Arial" w:cs="Arial"/>
        </w:rPr>
        <w:t>hence</w:t>
      </w:r>
      <w:r w:rsidR="00962CF4">
        <w:rPr>
          <w:rFonts w:ascii="Arial" w:hAnsi="Arial" w:cs="Arial"/>
        </w:rPr>
        <w:t xml:space="preserve"> their marginal revenue will be higher than their marginal cost.</w:t>
      </w:r>
      <w:r w:rsidR="00C121A8">
        <w:rPr>
          <w:rStyle w:val="Funotenzeichen"/>
          <w:rFonts w:ascii="Arial" w:hAnsi="Arial" w:cs="Arial"/>
        </w:rPr>
        <w:footnoteReference w:id="653"/>
      </w:r>
      <w:r w:rsidR="00962CF4">
        <w:rPr>
          <w:rFonts w:ascii="Arial" w:hAnsi="Arial" w:cs="Arial"/>
        </w:rPr>
        <w:t xml:space="preserve"> Accordingly, the firms will </w:t>
      </w:r>
      <w:r w:rsidR="00C121A8">
        <w:rPr>
          <w:rFonts w:ascii="Arial" w:hAnsi="Arial" w:cs="Arial"/>
        </w:rPr>
        <w:t>increase their</w:t>
      </w:r>
      <w:r w:rsidR="00962CF4">
        <w:rPr>
          <w:rFonts w:ascii="Arial" w:hAnsi="Arial" w:cs="Arial"/>
        </w:rPr>
        <w:t xml:space="preserve"> </w:t>
      </w:r>
      <w:r w:rsidR="00C121A8">
        <w:rPr>
          <w:rFonts w:ascii="Arial" w:hAnsi="Arial" w:cs="Arial"/>
        </w:rPr>
        <w:t>profit from what it would have been under conditions of perfect competition namely where P</w:t>
      </w:r>
      <w:r w:rsidR="00C121A8">
        <w:rPr>
          <w:rFonts w:ascii="Arial" w:hAnsi="Arial" w:cs="Arial"/>
          <w:vertAlign w:val="subscript"/>
        </w:rPr>
        <w:t>f</w:t>
      </w:r>
      <w:r w:rsidR="00C121A8">
        <w:rPr>
          <w:rFonts w:ascii="Arial" w:hAnsi="Arial" w:cs="Arial"/>
        </w:rPr>
        <w:t>=P</w:t>
      </w:r>
      <w:r w:rsidR="00C121A8">
        <w:rPr>
          <w:rFonts w:ascii="Arial" w:hAnsi="Arial" w:cs="Arial"/>
          <w:vertAlign w:val="subscript"/>
        </w:rPr>
        <w:t>m</w:t>
      </w:r>
      <w:r w:rsidR="00C121A8">
        <w:rPr>
          <w:rFonts w:ascii="Arial" w:hAnsi="Arial" w:cs="Arial"/>
        </w:rPr>
        <w:t>=MR=MC.</w:t>
      </w:r>
      <w:r w:rsidR="00C20770">
        <w:rPr>
          <w:rStyle w:val="Funotenzeichen"/>
          <w:rFonts w:ascii="Arial" w:hAnsi="Arial" w:cs="Arial"/>
        </w:rPr>
        <w:footnoteReference w:id="654"/>
      </w:r>
      <w:r w:rsidR="00962CF4">
        <w:rPr>
          <w:rFonts w:ascii="Arial" w:hAnsi="Arial" w:cs="Arial"/>
        </w:rPr>
        <w:t xml:space="preserve"> </w:t>
      </w:r>
      <w:r w:rsidR="00D95ADC">
        <w:rPr>
          <w:rFonts w:ascii="Arial" w:hAnsi="Arial" w:cs="Arial"/>
        </w:rPr>
        <w:t>Simplifying this definition, market power can be defined as the ability of a firm to maintain prices that are higher than th</w:t>
      </w:r>
      <w:r w:rsidR="00C20770">
        <w:rPr>
          <w:rFonts w:ascii="Arial" w:hAnsi="Arial" w:cs="Arial"/>
        </w:rPr>
        <w:t>at</w:t>
      </w:r>
      <w:r w:rsidR="00D95ADC">
        <w:rPr>
          <w:rFonts w:ascii="Arial" w:hAnsi="Arial" w:cs="Arial"/>
        </w:rPr>
        <w:t xml:space="preserve"> firm’s marginal cost at the profit maximi</w:t>
      </w:r>
      <w:r w:rsidR="00C06D75">
        <w:rPr>
          <w:rFonts w:ascii="Arial" w:hAnsi="Arial" w:cs="Arial"/>
        </w:rPr>
        <w:t>s</w:t>
      </w:r>
      <w:r w:rsidR="00AE30B1">
        <w:rPr>
          <w:rFonts w:ascii="Arial" w:hAnsi="Arial" w:cs="Arial"/>
        </w:rPr>
        <w:t>ing</w:t>
      </w:r>
      <w:r w:rsidR="00D95ADC">
        <w:rPr>
          <w:rFonts w:ascii="Arial" w:hAnsi="Arial" w:cs="Arial"/>
        </w:rPr>
        <w:t xml:space="preserve"> level of output.</w:t>
      </w:r>
      <w:r w:rsidR="00C121A8">
        <w:rPr>
          <w:rStyle w:val="Funotenzeichen"/>
          <w:rFonts w:ascii="Arial" w:hAnsi="Arial" w:cs="Arial"/>
        </w:rPr>
        <w:footnoteReference w:id="655"/>
      </w:r>
      <w:r w:rsidR="005B0855">
        <w:rPr>
          <w:rFonts w:ascii="Arial" w:hAnsi="Arial" w:cs="Arial"/>
        </w:rPr>
        <w:t xml:space="preserve"> </w:t>
      </w:r>
    </w:p>
    <w:p w:rsidR="005B0855" w:rsidRDefault="005B0855" w:rsidP="002563E6">
      <w:pPr>
        <w:contextualSpacing/>
        <w:jc w:val="both"/>
        <w:rPr>
          <w:rFonts w:ascii="Arial" w:hAnsi="Arial" w:cs="Arial"/>
        </w:rPr>
      </w:pPr>
    </w:p>
    <w:p w:rsidR="005B0855" w:rsidRDefault="005B0855" w:rsidP="002563E6">
      <w:pPr>
        <w:contextualSpacing/>
        <w:jc w:val="both"/>
        <w:rPr>
          <w:rFonts w:ascii="Arial" w:hAnsi="Arial" w:cs="Arial"/>
        </w:rPr>
      </w:pPr>
      <w:r>
        <w:rPr>
          <w:rFonts w:ascii="Arial" w:hAnsi="Arial" w:cs="Arial"/>
        </w:rPr>
        <w:t>To conclude the meaning of market power</w:t>
      </w:r>
      <w:r w:rsidR="007E4ED4">
        <w:rPr>
          <w:rFonts w:ascii="Arial" w:hAnsi="Arial" w:cs="Arial"/>
        </w:rPr>
        <w:t>,</w:t>
      </w:r>
      <w:r>
        <w:rPr>
          <w:rFonts w:ascii="Arial" w:hAnsi="Arial" w:cs="Arial"/>
        </w:rPr>
        <w:t xml:space="preserve"> take note that market power can be divided into two </w:t>
      </w:r>
      <w:r w:rsidR="00721377">
        <w:rPr>
          <w:rFonts w:ascii="Arial" w:hAnsi="Arial" w:cs="Arial"/>
        </w:rPr>
        <w:t>type’s</w:t>
      </w:r>
      <w:r>
        <w:rPr>
          <w:rFonts w:ascii="Arial" w:hAnsi="Arial" w:cs="Arial"/>
        </w:rPr>
        <w:t xml:space="preserve"> namely unilateral</w:t>
      </w:r>
      <w:r w:rsidR="00721377">
        <w:rPr>
          <w:rFonts w:ascii="Arial" w:hAnsi="Arial" w:cs="Arial"/>
        </w:rPr>
        <w:t xml:space="preserve"> market power</w:t>
      </w:r>
      <w:r>
        <w:rPr>
          <w:rFonts w:ascii="Arial" w:hAnsi="Arial" w:cs="Arial"/>
        </w:rPr>
        <w:t xml:space="preserve"> and collective market power.</w:t>
      </w:r>
      <w:r w:rsidR="007E4ED4">
        <w:rPr>
          <w:rStyle w:val="Funotenzeichen"/>
          <w:rFonts w:ascii="Arial" w:hAnsi="Arial" w:cs="Arial"/>
        </w:rPr>
        <w:footnoteReference w:id="656"/>
      </w:r>
      <w:r>
        <w:rPr>
          <w:rFonts w:ascii="Arial" w:hAnsi="Arial" w:cs="Arial"/>
        </w:rPr>
        <w:t xml:space="preserve"> Unilateral market power is the market power </w:t>
      </w:r>
      <w:r w:rsidR="007E4ED4">
        <w:rPr>
          <w:rFonts w:ascii="Arial" w:hAnsi="Arial" w:cs="Arial"/>
        </w:rPr>
        <w:t>possessed by an individual firm whereas collective market power refers to the situation where a group of firms are able to profitably co-ordinate their behaviour by way of their accommodating reactions to the conduct of the other firms in the group i.e. collective market power refer</w:t>
      </w:r>
      <w:r w:rsidR="00457410">
        <w:rPr>
          <w:rFonts w:ascii="Arial" w:hAnsi="Arial" w:cs="Arial"/>
        </w:rPr>
        <w:t>s</w:t>
      </w:r>
      <w:r w:rsidR="007E4ED4">
        <w:rPr>
          <w:rFonts w:ascii="Arial" w:hAnsi="Arial" w:cs="Arial"/>
        </w:rPr>
        <w:t xml:space="preserve"> to the market power held collectively by a group of firms acting together.</w:t>
      </w:r>
      <w:r w:rsidR="00A0362B">
        <w:rPr>
          <w:rStyle w:val="Funotenzeichen"/>
          <w:rFonts w:ascii="Arial" w:hAnsi="Arial" w:cs="Arial"/>
        </w:rPr>
        <w:footnoteReference w:id="657"/>
      </w:r>
    </w:p>
    <w:p w:rsidR="003D4C86" w:rsidRDefault="003D4C86" w:rsidP="002563E6">
      <w:pPr>
        <w:contextualSpacing/>
        <w:jc w:val="both"/>
        <w:rPr>
          <w:rFonts w:ascii="Arial" w:hAnsi="Arial" w:cs="Arial"/>
        </w:rPr>
      </w:pPr>
    </w:p>
    <w:p w:rsidR="00457410" w:rsidRDefault="00457410" w:rsidP="002563E6">
      <w:pPr>
        <w:contextualSpacing/>
        <w:jc w:val="both"/>
        <w:rPr>
          <w:rFonts w:ascii="Arial" w:hAnsi="Arial" w:cs="Arial"/>
        </w:rPr>
      </w:pPr>
    </w:p>
    <w:p w:rsidR="00E8573F" w:rsidRDefault="00457410" w:rsidP="002563E6">
      <w:pPr>
        <w:contextualSpacing/>
        <w:jc w:val="both"/>
        <w:rPr>
          <w:rFonts w:ascii="Arial" w:hAnsi="Arial" w:cs="Arial"/>
        </w:rPr>
      </w:pPr>
      <w:r>
        <w:rPr>
          <w:rFonts w:ascii="Arial" w:hAnsi="Arial" w:cs="Arial"/>
        </w:rPr>
        <w:t>3.3.4.1.1</w:t>
      </w:r>
      <w:r w:rsidR="005A1B04">
        <w:rPr>
          <w:rFonts w:ascii="Arial" w:hAnsi="Arial" w:cs="Arial"/>
        </w:rPr>
        <w:t xml:space="preserve"> The Lerner Index</w:t>
      </w:r>
      <w:r w:rsidR="00595905">
        <w:rPr>
          <w:rFonts w:ascii="Arial" w:hAnsi="Arial" w:cs="Arial"/>
        </w:rPr>
        <w:t xml:space="preserve"> (also called the Price Cost Margin, PCM)</w:t>
      </w:r>
      <w:r w:rsidR="00B1493C">
        <w:rPr>
          <w:rStyle w:val="Funotenzeichen"/>
          <w:rFonts w:ascii="Arial" w:hAnsi="Arial" w:cs="Arial"/>
        </w:rPr>
        <w:footnoteReference w:id="658"/>
      </w:r>
    </w:p>
    <w:p w:rsidR="005A1B04" w:rsidRDefault="005A1B04" w:rsidP="002563E6">
      <w:pPr>
        <w:contextualSpacing/>
        <w:jc w:val="both"/>
        <w:rPr>
          <w:rFonts w:ascii="Arial" w:hAnsi="Arial" w:cs="Arial"/>
        </w:rPr>
      </w:pPr>
    </w:p>
    <w:p w:rsidR="003D4C86" w:rsidRDefault="00002BD2" w:rsidP="002563E6">
      <w:pPr>
        <w:contextualSpacing/>
        <w:jc w:val="both"/>
        <w:rPr>
          <w:rFonts w:ascii="Arial" w:hAnsi="Arial" w:cs="Arial"/>
        </w:rPr>
      </w:pPr>
      <w:r>
        <w:rPr>
          <w:rFonts w:ascii="Arial" w:hAnsi="Arial" w:cs="Arial"/>
        </w:rPr>
        <w:t>T</w:t>
      </w:r>
      <w:r w:rsidR="003D4C86">
        <w:rPr>
          <w:rFonts w:ascii="Arial" w:hAnsi="Arial" w:cs="Arial"/>
        </w:rPr>
        <w:t>he Lerner Index was developed by A.P. Lerner in 1934 as a</w:t>
      </w:r>
      <w:r w:rsidR="00DB598A">
        <w:rPr>
          <w:rFonts w:ascii="Arial" w:hAnsi="Arial" w:cs="Arial"/>
        </w:rPr>
        <w:t>n</w:t>
      </w:r>
      <w:r w:rsidR="003D4C86">
        <w:rPr>
          <w:rFonts w:ascii="Arial" w:hAnsi="Arial" w:cs="Arial"/>
        </w:rPr>
        <w:t xml:space="preserve"> instrument to directly quantify the market power of a firm.</w:t>
      </w:r>
      <w:r w:rsidR="003D4C86">
        <w:rPr>
          <w:rStyle w:val="Funotenzeichen"/>
          <w:rFonts w:ascii="Arial" w:hAnsi="Arial" w:cs="Arial"/>
        </w:rPr>
        <w:footnoteReference w:id="659"/>
      </w:r>
      <w:r w:rsidR="00DB598A">
        <w:rPr>
          <w:rFonts w:ascii="Arial" w:hAnsi="Arial" w:cs="Arial"/>
        </w:rPr>
        <w:t xml:space="preserve"> </w:t>
      </w:r>
      <w:r w:rsidR="00EA5FEC">
        <w:rPr>
          <w:rFonts w:ascii="Arial" w:hAnsi="Arial" w:cs="Arial"/>
        </w:rPr>
        <w:t>According to Lerner, the difference between a firms marginal cost and the price that it asks for its products</w:t>
      </w:r>
      <w:r w:rsidR="00A275FF">
        <w:rPr>
          <w:rFonts w:ascii="Arial" w:hAnsi="Arial" w:cs="Arial"/>
        </w:rPr>
        <w:t>, called the price mark-up,</w:t>
      </w:r>
      <w:r w:rsidR="00A275FF">
        <w:rPr>
          <w:rStyle w:val="Funotenzeichen"/>
          <w:rFonts w:ascii="Arial" w:hAnsi="Arial" w:cs="Arial"/>
        </w:rPr>
        <w:footnoteReference w:id="660"/>
      </w:r>
      <w:r w:rsidR="00A275FF">
        <w:rPr>
          <w:rFonts w:ascii="Arial" w:hAnsi="Arial" w:cs="Arial"/>
        </w:rPr>
        <w:t xml:space="preserve"> </w:t>
      </w:r>
      <w:r w:rsidR="00EA5FEC">
        <w:rPr>
          <w:rFonts w:ascii="Arial" w:hAnsi="Arial" w:cs="Arial"/>
        </w:rPr>
        <w:t xml:space="preserve">can be used to quantify the degree of </w:t>
      </w:r>
      <w:r w:rsidR="00DA41BF">
        <w:rPr>
          <w:rFonts w:ascii="Arial" w:hAnsi="Arial" w:cs="Arial"/>
        </w:rPr>
        <w:t>market power for th</w:t>
      </w:r>
      <w:r w:rsidR="00EA5FEC">
        <w:rPr>
          <w:rFonts w:ascii="Arial" w:hAnsi="Arial" w:cs="Arial"/>
        </w:rPr>
        <w:t>at firm.</w:t>
      </w:r>
      <w:r w:rsidR="008B02F6">
        <w:rPr>
          <w:rStyle w:val="Funotenzeichen"/>
          <w:rFonts w:ascii="Arial" w:hAnsi="Arial" w:cs="Arial"/>
        </w:rPr>
        <w:footnoteReference w:id="661"/>
      </w:r>
      <w:r w:rsidR="00EA5FEC">
        <w:rPr>
          <w:rFonts w:ascii="Arial" w:hAnsi="Arial" w:cs="Arial"/>
        </w:rPr>
        <w:t xml:space="preserve"> Hence, the degree of a </w:t>
      </w:r>
      <w:r w:rsidR="007D5DAE">
        <w:rPr>
          <w:rFonts w:ascii="Arial" w:hAnsi="Arial" w:cs="Arial"/>
        </w:rPr>
        <w:t>firm’s</w:t>
      </w:r>
      <w:r w:rsidR="00EA5FEC">
        <w:rPr>
          <w:rFonts w:ascii="Arial" w:hAnsi="Arial" w:cs="Arial"/>
        </w:rPr>
        <w:t xml:space="preserve"> market power can be </w:t>
      </w:r>
      <w:r w:rsidR="00EA5FEC" w:rsidRPr="007D5DAE">
        <w:rPr>
          <w:rFonts w:ascii="Arial" w:hAnsi="Arial" w:cs="Arial"/>
        </w:rPr>
        <w:t>quantified</w:t>
      </w:r>
      <w:r w:rsidR="00EA5FEC">
        <w:rPr>
          <w:rFonts w:ascii="Arial" w:hAnsi="Arial" w:cs="Arial"/>
        </w:rPr>
        <w:t xml:space="preserve"> by the following equation:</w:t>
      </w:r>
    </w:p>
    <w:p w:rsidR="00EA5FEC" w:rsidRDefault="00EA5FEC" w:rsidP="002563E6">
      <w:pPr>
        <w:contextualSpacing/>
        <w:jc w:val="both"/>
        <w:rPr>
          <w:rFonts w:ascii="Arial" w:hAnsi="Arial" w:cs="Arial"/>
        </w:rPr>
      </w:pPr>
    </w:p>
    <w:p w:rsidR="00EA5FEC" w:rsidRDefault="00EA5FEC" w:rsidP="00C63F8A">
      <w:pPr>
        <w:contextualSpacing/>
        <w:jc w:val="center"/>
        <w:rPr>
          <w:rFonts w:ascii="Arial" w:eastAsiaTheme="minorEastAsia" w:hAnsi="Arial" w:cs="Arial"/>
          <w:sz w:val="36"/>
          <w:szCs w:val="36"/>
        </w:rPr>
      </w:pPr>
      <w:r w:rsidRPr="007D5DAE">
        <w:rPr>
          <w:rFonts w:ascii="Arial" w:hAnsi="Arial" w:cs="Arial"/>
        </w:rPr>
        <w:t>LI =</w:t>
      </w:r>
      <w:r w:rsidRPr="007D5DAE">
        <w:rPr>
          <w:rFonts w:ascii="Arial" w:hAnsi="Arial" w:cs="Arial"/>
          <w:sz w:val="36"/>
          <w:szCs w:val="36"/>
        </w:rPr>
        <w:t xml:space="preserve"> </w:t>
      </w:r>
      <m:oMath>
        <m:f>
          <m:fPr>
            <m:ctrlPr>
              <w:rPr>
                <w:rFonts w:ascii="Cambria Math" w:hAnsi="Arial" w:cs="Arial"/>
                <w:i/>
                <w:sz w:val="36"/>
                <w:szCs w:val="36"/>
              </w:rPr>
            </m:ctrlPr>
          </m:fPr>
          <m:num>
            <m:r>
              <w:rPr>
                <w:rFonts w:ascii="Cambria Math" w:hAnsi="Cambria Math" w:cs="Arial"/>
                <w:sz w:val="36"/>
                <w:szCs w:val="36"/>
              </w:rPr>
              <m:t>P</m:t>
            </m:r>
            <m:r>
              <w:rPr>
                <w:rFonts w:ascii="Arial" w:hAnsi="Arial" w:cs="Arial"/>
                <w:sz w:val="36"/>
                <w:szCs w:val="36"/>
              </w:rPr>
              <m:t>-</m:t>
            </m:r>
            <m:r>
              <w:rPr>
                <w:rFonts w:ascii="Cambria Math" w:hAnsi="Cambria Math" w:cs="Arial"/>
                <w:sz w:val="36"/>
                <w:szCs w:val="36"/>
              </w:rPr>
              <m:t>MC</m:t>
            </m:r>
          </m:num>
          <m:den>
            <m:r>
              <w:rPr>
                <w:rFonts w:ascii="Cambria Math" w:hAnsi="Cambria Math" w:cs="Arial"/>
                <w:sz w:val="36"/>
                <w:szCs w:val="36"/>
              </w:rPr>
              <m:t>P</m:t>
            </m:r>
          </m:den>
        </m:f>
      </m:oMath>
    </w:p>
    <w:p w:rsidR="007D5DAE" w:rsidRDefault="007D5DAE" w:rsidP="002563E6">
      <w:pPr>
        <w:contextualSpacing/>
        <w:jc w:val="both"/>
        <w:rPr>
          <w:rFonts w:ascii="Arial" w:hAnsi="Arial" w:cs="Arial"/>
        </w:rPr>
      </w:pPr>
      <w:r>
        <w:rPr>
          <w:rFonts w:ascii="Arial" w:hAnsi="Arial" w:cs="Arial"/>
        </w:rPr>
        <w:t>Where:</w:t>
      </w:r>
    </w:p>
    <w:p w:rsidR="007D5DAE" w:rsidRDefault="007D5DAE" w:rsidP="002563E6">
      <w:pPr>
        <w:contextualSpacing/>
        <w:jc w:val="both"/>
        <w:rPr>
          <w:rFonts w:ascii="Arial" w:hAnsi="Arial" w:cs="Arial"/>
        </w:rPr>
      </w:pPr>
      <w:r>
        <w:rPr>
          <w:rFonts w:ascii="Arial" w:hAnsi="Arial" w:cs="Arial"/>
        </w:rPr>
        <w:t>LI</w:t>
      </w:r>
      <w:r w:rsidR="00721377">
        <w:rPr>
          <w:rFonts w:ascii="Arial" w:hAnsi="Arial" w:cs="Arial"/>
        </w:rPr>
        <w:tab/>
      </w:r>
      <w:r>
        <w:rPr>
          <w:rFonts w:ascii="Arial" w:hAnsi="Arial" w:cs="Arial"/>
        </w:rPr>
        <w:t>= Lerner Index.</w:t>
      </w:r>
    </w:p>
    <w:p w:rsidR="007D5DAE" w:rsidRDefault="00721377" w:rsidP="002563E6">
      <w:pPr>
        <w:contextualSpacing/>
        <w:jc w:val="both"/>
        <w:rPr>
          <w:rFonts w:ascii="Arial" w:hAnsi="Arial" w:cs="Arial"/>
        </w:rPr>
      </w:pPr>
      <w:r>
        <w:rPr>
          <w:rFonts w:ascii="Arial" w:hAnsi="Arial" w:cs="Arial"/>
        </w:rPr>
        <w:t>P</w:t>
      </w:r>
      <w:r>
        <w:rPr>
          <w:rFonts w:ascii="Arial" w:hAnsi="Arial" w:cs="Arial"/>
        </w:rPr>
        <w:tab/>
      </w:r>
      <w:r w:rsidR="007D5DAE">
        <w:rPr>
          <w:rFonts w:ascii="Arial" w:hAnsi="Arial" w:cs="Arial"/>
        </w:rPr>
        <w:t xml:space="preserve">= </w:t>
      </w:r>
      <w:r w:rsidR="00DA41BF">
        <w:rPr>
          <w:rFonts w:ascii="Arial" w:hAnsi="Arial" w:cs="Arial"/>
        </w:rPr>
        <w:t>the</w:t>
      </w:r>
      <w:r w:rsidR="007D5DAE">
        <w:rPr>
          <w:rFonts w:ascii="Arial" w:hAnsi="Arial" w:cs="Arial"/>
        </w:rPr>
        <w:t xml:space="preserve"> price </w:t>
      </w:r>
      <w:r w:rsidR="00C63F8A">
        <w:rPr>
          <w:rFonts w:ascii="Arial" w:hAnsi="Arial" w:cs="Arial"/>
        </w:rPr>
        <w:t>asked</w:t>
      </w:r>
      <w:r w:rsidR="007D5DAE">
        <w:rPr>
          <w:rFonts w:ascii="Arial" w:hAnsi="Arial" w:cs="Arial"/>
        </w:rPr>
        <w:t xml:space="preserve"> by the firm for its product.</w:t>
      </w:r>
    </w:p>
    <w:p w:rsidR="007D5DAE" w:rsidRPr="007D5DAE" w:rsidRDefault="00721377" w:rsidP="002563E6">
      <w:pPr>
        <w:contextualSpacing/>
        <w:jc w:val="both"/>
        <w:rPr>
          <w:rFonts w:ascii="Arial" w:hAnsi="Arial" w:cs="Arial"/>
        </w:rPr>
      </w:pPr>
      <w:r>
        <w:rPr>
          <w:rFonts w:ascii="Arial" w:hAnsi="Arial" w:cs="Arial"/>
        </w:rPr>
        <w:t>MC</w:t>
      </w:r>
      <w:r>
        <w:rPr>
          <w:rFonts w:ascii="Arial" w:hAnsi="Arial" w:cs="Arial"/>
        </w:rPr>
        <w:tab/>
      </w:r>
      <w:r w:rsidR="00DA41BF">
        <w:rPr>
          <w:rFonts w:ascii="Arial" w:hAnsi="Arial" w:cs="Arial"/>
        </w:rPr>
        <w:t>= the firm’s m</w:t>
      </w:r>
      <w:r w:rsidR="007D5DAE">
        <w:rPr>
          <w:rFonts w:ascii="Arial" w:hAnsi="Arial" w:cs="Arial"/>
        </w:rPr>
        <w:t>arginal cost.</w:t>
      </w:r>
    </w:p>
    <w:p w:rsidR="0054048C" w:rsidRDefault="0054048C" w:rsidP="002563E6">
      <w:pPr>
        <w:contextualSpacing/>
        <w:jc w:val="both"/>
        <w:rPr>
          <w:rFonts w:ascii="Arial" w:hAnsi="Arial" w:cs="Arial"/>
        </w:rPr>
      </w:pPr>
    </w:p>
    <w:p w:rsidR="005F0785" w:rsidRDefault="00E8573F" w:rsidP="002563E6">
      <w:pPr>
        <w:contextualSpacing/>
        <w:jc w:val="both"/>
        <w:rPr>
          <w:rFonts w:ascii="Arial" w:hAnsi="Arial" w:cs="Arial"/>
        </w:rPr>
      </w:pPr>
      <w:r>
        <w:rPr>
          <w:rFonts w:ascii="Arial" w:hAnsi="Arial" w:cs="Arial"/>
        </w:rPr>
        <w:t xml:space="preserve">As mentioned earlier, in a perfectly competitive market the price asked by </w:t>
      </w:r>
      <w:r w:rsidR="00627437">
        <w:rPr>
          <w:rFonts w:ascii="Arial" w:hAnsi="Arial" w:cs="Arial"/>
        </w:rPr>
        <w:t>the perfectly competitive firm</w:t>
      </w:r>
      <w:r>
        <w:rPr>
          <w:rFonts w:ascii="Arial" w:hAnsi="Arial" w:cs="Arial"/>
        </w:rPr>
        <w:t xml:space="preserve"> for </w:t>
      </w:r>
      <w:r w:rsidR="00627437">
        <w:rPr>
          <w:rFonts w:ascii="Arial" w:hAnsi="Arial" w:cs="Arial"/>
        </w:rPr>
        <w:t>its</w:t>
      </w:r>
      <w:r>
        <w:rPr>
          <w:rFonts w:ascii="Arial" w:hAnsi="Arial" w:cs="Arial"/>
        </w:rPr>
        <w:t xml:space="preserve"> products are equal to</w:t>
      </w:r>
      <w:r w:rsidR="00627437">
        <w:rPr>
          <w:rFonts w:ascii="Arial" w:hAnsi="Arial" w:cs="Arial"/>
        </w:rPr>
        <w:t xml:space="preserve"> the market price, which is equal to</w:t>
      </w:r>
      <w:r>
        <w:rPr>
          <w:rFonts w:ascii="Arial" w:hAnsi="Arial" w:cs="Arial"/>
        </w:rPr>
        <w:t xml:space="preserve"> the</w:t>
      </w:r>
      <w:r w:rsidR="00627437">
        <w:rPr>
          <w:rFonts w:ascii="Arial" w:hAnsi="Arial" w:cs="Arial"/>
        </w:rPr>
        <w:t>ir</w:t>
      </w:r>
      <w:r>
        <w:rPr>
          <w:rFonts w:ascii="Arial" w:hAnsi="Arial" w:cs="Arial"/>
        </w:rPr>
        <w:t xml:space="preserve"> </w:t>
      </w:r>
      <w:r w:rsidR="00627437">
        <w:rPr>
          <w:rFonts w:ascii="Arial" w:hAnsi="Arial" w:cs="Arial"/>
        </w:rPr>
        <w:t xml:space="preserve">marginal </w:t>
      </w:r>
      <w:r w:rsidR="00704F36">
        <w:rPr>
          <w:rFonts w:ascii="Arial" w:hAnsi="Arial" w:cs="Arial"/>
        </w:rPr>
        <w:t>revenue, which</w:t>
      </w:r>
      <w:r w:rsidR="003F3A4D">
        <w:rPr>
          <w:rFonts w:ascii="Arial" w:hAnsi="Arial" w:cs="Arial"/>
        </w:rPr>
        <w:t xml:space="preserve"> is equal to its</w:t>
      </w:r>
      <w:r w:rsidR="00627437">
        <w:rPr>
          <w:rFonts w:ascii="Arial" w:hAnsi="Arial" w:cs="Arial"/>
        </w:rPr>
        <w:t xml:space="preserve"> marginal cost. </w:t>
      </w:r>
      <w:r w:rsidR="00704F36">
        <w:rPr>
          <w:rFonts w:ascii="Arial" w:hAnsi="Arial" w:cs="Arial"/>
        </w:rPr>
        <w:t>Accordingly,</w:t>
      </w:r>
      <w:r w:rsidR="00627437">
        <w:rPr>
          <w:rFonts w:ascii="Arial" w:hAnsi="Arial" w:cs="Arial"/>
        </w:rPr>
        <w:t xml:space="preserve"> in a perfectly competitive market firms are constraint from asking a price that is higher than the market price. Hence, the Lerner Index </w:t>
      </w:r>
      <w:r w:rsidR="007A32A5">
        <w:rPr>
          <w:rFonts w:ascii="Arial" w:hAnsi="Arial" w:cs="Arial"/>
        </w:rPr>
        <w:t xml:space="preserve">for a perfectly competitive firm </w:t>
      </w:r>
      <w:r w:rsidR="00627437">
        <w:rPr>
          <w:rFonts w:ascii="Arial" w:hAnsi="Arial" w:cs="Arial"/>
        </w:rPr>
        <w:t>will be zero.</w:t>
      </w:r>
      <w:r w:rsidR="007A32A5">
        <w:rPr>
          <w:rStyle w:val="Funotenzeichen"/>
          <w:rFonts w:ascii="Arial" w:hAnsi="Arial" w:cs="Arial"/>
        </w:rPr>
        <w:footnoteReference w:id="662"/>
      </w:r>
      <w:r>
        <w:rPr>
          <w:rFonts w:ascii="Arial" w:hAnsi="Arial" w:cs="Arial"/>
        </w:rPr>
        <w:t xml:space="preserve"> </w:t>
      </w:r>
      <w:r w:rsidR="00704F36">
        <w:rPr>
          <w:rFonts w:ascii="Arial" w:hAnsi="Arial" w:cs="Arial"/>
        </w:rPr>
        <w:t>In opposition to the perfectly competitive firm, the monopolist is unconstraint from asking the market price and consequently the monopolist will ask a higher price than that of the market price</w:t>
      </w:r>
      <w:r w:rsidR="00417106">
        <w:rPr>
          <w:rFonts w:ascii="Arial" w:hAnsi="Arial" w:cs="Arial"/>
        </w:rPr>
        <w:t xml:space="preserve"> i.e. the monopolist has a great degree of market power</w:t>
      </w:r>
      <w:r w:rsidR="00704F36">
        <w:rPr>
          <w:rFonts w:ascii="Arial" w:hAnsi="Arial" w:cs="Arial"/>
        </w:rPr>
        <w:t>.</w:t>
      </w:r>
      <w:r w:rsidR="00065770">
        <w:rPr>
          <w:rStyle w:val="Funotenzeichen"/>
          <w:rFonts w:ascii="Arial" w:hAnsi="Arial" w:cs="Arial"/>
        </w:rPr>
        <w:footnoteReference w:id="663"/>
      </w:r>
      <w:r w:rsidR="00704F36">
        <w:rPr>
          <w:rFonts w:ascii="Arial" w:hAnsi="Arial" w:cs="Arial"/>
        </w:rPr>
        <w:t xml:space="preserve"> Accordingly, for the pure monopolist the Lerner Index will be equal to one.</w:t>
      </w:r>
      <w:r w:rsidR="005D2A5C">
        <w:rPr>
          <w:rStyle w:val="Funotenzeichen"/>
          <w:rFonts w:ascii="Arial" w:hAnsi="Arial" w:cs="Arial"/>
        </w:rPr>
        <w:footnoteReference w:id="664"/>
      </w:r>
      <w:r w:rsidR="00417106">
        <w:rPr>
          <w:rFonts w:ascii="Arial" w:hAnsi="Arial" w:cs="Arial"/>
        </w:rPr>
        <w:t xml:space="preserve"> </w:t>
      </w:r>
    </w:p>
    <w:p w:rsidR="00417106" w:rsidRDefault="00417106" w:rsidP="002563E6">
      <w:pPr>
        <w:contextualSpacing/>
        <w:jc w:val="both"/>
        <w:rPr>
          <w:rFonts w:ascii="Arial" w:hAnsi="Arial" w:cs="Arial"/>
        </w:rPr>
      </w:pPr>
    </w:p>
    <w:p w:rsidR="00417106" w:rsidRDefault="00417106" w:rsidP="002563E6">
      <w:pPr>
        <w:contextualSpacing/>
        <w:jc w:val="both"/>
        <w:rPr>
          <w:rFonts w:ascii="Arial" w:hAnsi="Arial" w:cs="Arial"/>
        </w:rPr>
      </w:pPr>
      <w:r>
        <w:rPr>
          <w:rFonts w:ascii="Arial" w:hAnsi="Arial" w:cs="Arial"/>
        </w:rPr>
        <w:t xml:space="preserve">The usefulness of the Lerner Index is that it provides a direct measure of market power to easily </w:t>
      </w:r>
      <w:r w:rsidR="005E4D8B">
        <w:rPr>
          <w:rFonts w:ascii="Arial" w:hAnsi="Arial" w:cs="Arial"/>
        </w:rPr>
        <w:t>determine</w:t>
      </w:r>
      <w:r>
        <w:rPr>
          <w:rFonts w:ascii="Arial" w:hAnsi="Arial" w:cs="Arial"/>
        </w:rPr>
        <w:t xml:space="preserve"> </w:t>
      </w:r>
      <w:r w:rsidR="007A32A5">
        <w:rPr>
          <w:rFonts w:ascii="Arial" w:hAnsi="Arial" w:cs="Arial"/>
        </w:rPr>
        <w:t xml:space="preserve">the degree of market power of </w:t>
      </w:r>
      <w:r>
        <w:rPr>
          <w:rFonts w:ascii="Arial" w:hAnsi="Arial" w:cs="Arial"/>
        </w:rPr>
        <w:t>a particular firm or a group of firms</w:t>
      </w:r>
      <w:r w:rsidR="007A32A5">
        <w:rPr>
          <w:rFonts w:ascii="Arial" w:hAnsi="Arial" w:cs="Arial"/>
        </w:rPr>
        <w:t xml:space="preserve"> a</w:t>
      </w:r>
      <w:r w:rsidR="005E4D8B">
        <w:rPr>
          <w:rFonts w:ascii="Arial" w:hAnsi="Arial" w:cs="Arial"/>
        </w:rPr>
        <w:t>cting together.</w:t>
      </w:r>
      <w:r w:rsidR="005E4D8B">
        <w:rPr>
          <w:rStyle w:val="Funotenzeichen"/>
          <w:rFonts w:ascii="Arial" w:hAnsi="Arial" w:cs="Arial"/>
        </w:rPr>
        <w:footnoteReference w:id="665"/>
      </w:r>
      <w:r w:rsidR="005E4D8B">
        <w:rPr>
          <w:rFonts w:ascii="Arial" w:hAnsi="Arial" w:cs="Arial"/>
        </w:rPr>
        <w:t xml:space="preserve"> Accordingly, it should be</w:t>
      </w:r>
      <w:r w:rsidR="007A32A5">
        <w:rPr>
          <w:rFonts w:ascii="Arial" w:hAnsi="Arial" w:cs="Arial"/>
        </w:rPr>
        <w:t xml:space="preserve"> straightforward to decide </w:t>
      </w:r>
      <w:r w:rsidR="009C6EB6">
        <w:rPr>
          <w:rFonts w:ascii="Arial" w:hAnsi="Arial" w:cs="Arial"/>
        </w:rPr>
        <w:t>whether</w:t>
      </w:r>
      <w:r w:rsidR="007A32A5">
        <w:rPr>
          <w:rFonts w:ascii="Arial" w:hAnsi="Arial" w:cs="Arial"/>
        </w:rPr>
        <w:t xml:space="preserve"> certain conduct should be approved by the competition authorities.</w:t>
      </w:r>
      <w:r w:rsidR="003A36BC">
        <w:rPr>
          <w:rStyle w:val="Funotenzeichen"/>
          <w:rFonts w:ascii="Arial" w:hAnsi="Arial" w:cs="Arial"/>
        </w:rPr>
        <w:footnoteReference w:id="666"/>
      </w:r>
      <w:r w:rsidR="007A32A5">
        <w:rPr>
          <w:rFonts w:ascii="Arial" w:hAnsi="Arial" w:cs="Arial"/>
        </w:rPr>
        <w:t xml:space="preserve"> </w:t>
      </w:r>
      <w:r w:rsidR="003A36BC">
        <w:rPr>
          <w:rFonts w:ascii="Arial" w:hAnsi="Arial" w:cs="Arial"/>
        </w:rPr>
        <w:t>The Lerner Index also indicates whether a specific market deviates from the perfectly competitive market and to what extent</w:t>
      </w:r>
      <w:r w:rsidR="005E4D8B">
        <w:rPr>
          <w:rFonts w:ascii="Arial" w:hAnsi="Arial" w:cs="Arial"/>
        </w:rPr>
        <w:t xml:space="preserve"> it deviates</w:t>
      </w:r>
      <w:r w:rsidR="003A36BC">
        <w:rPr>
          <w:rFonts w:ascii="Arial" w:hAnsi="Arial" w:cs="Arial"/>
        </w:rPr>
        <w:t>.</w:t>
      </w:r>
      <w:r w:rsidR="003A36BC">
        <w:rPr>
          <w:rStyle w:val="Funotenzeichen"/>
          <w:rFonts w:ascii="Arial" w:hAnsi="Arial" w:cs="Arial"/>
        </w:rPr>
        <w:footnoteReference w:id="667"/>
      </w:r>
    </w:p>
    <w:p w:rsidR="000020C6" w:rsidRDefault="000020C6" w:rsidP="002563E6">
      <w:pPr>
        <w:contextualSpacing/>
        <w:jc w:val="both"/>
        <w:rPr>
          <w:rFonts w:ascii="Arial" w:hAnsi="Arial" w:cs="Arial"/>
        </w:rPr>
      </w:pPr>
    </w:p>
    <w:p w:rsidR="000020C6" w:rsidRDefault="000020C6" w:rsidP="002563E6">
      <w:pPr>
        <w:contextualSpacing/>
        <w:jc w:val="both"/>
        <w:rPr>
          <w:rFonts w:ascii="Arial" w:hAnsi="Arial" w:cs="Arial"/>
        </w:rPr>
      </w:pPr>
      <w:r>
        <w:rPr>
          <w:rFonts w:ascii="Arial" w:hAnsi="Arial" w:cs="Arial"/>
        </w:rPr>
        <w:t>Despite these advantages gained from using the Lerner Index, the Lerner Index has several weaknesses.</w:t>
      </w:r>
      <w:r w:rsidR="00DA41BF">
        <w:rPr>
          <w:rStyle w:val="Funotenzeichen"/>
          <w:rFonts w:ascii="Arial" w:hAnsi="Arial" w:cs="Arial"/>
        </w:rPr>
        <w:footnoteReference w:id="668"/>
      </w:r>
      <w:r>
        <w:rPr>
          <w:rFonts w:ascii="Arial" w:hAnsi="Arial" w:cs="Arial"/>
        </w:rPr>
        <w:t xml:space="preserve"> These weaknesses include among other</w:t>
      </w:r>
      <w:r w:rsidR="00C60646">
        <w:rPr>
          <w:rFonts w:ascii="Arial" w:hAnsi="Arial" w:cs="Arial"/>
        </w:rPr>
        <w:t>s</w:t>
      </w:r>
      <w:r>
        <w:rPr>
          <w:rFonts w:ascii="Arial" w:hAnsi="Arial" w:cs="Arial"/>
        </w:rPr>
        <w:t xml:space="preserve"> the following.</w:t>
      </w:r>
      <w:r w:rsidR="005E4D8B">
        <w:rPr>
          <w:rStyle w:val="Funotenzeichen"/>
          <w:rFonts w:ascii="Arial" w:hAnsi="Arial" w:cs="Arial"/>
        </w:rPr>
        <w:footnoteReference w:id="669"/>
      </w:r>
      <w:r>
        <w:rPr>
          <w:rFonts w:ascii="Arial" w:hAnsi="Arial" w:cs="Arial"/>
        </w:rPr>
        <w:t xml:space="preserve"> The Lerner Index does not provide for a benchmark to test the degree of market power</w:t>
      </w:r>
      <w:r w:rsidR="00E65590">
        <w:rPr>
          <w:rFonts w:ascii="Arial" w:hAnsi="Arial" w:cs="Arial"/>
        </w:rPr>
        <w:t xml:space="preserve"> against.</w:t>
      </w:r>
      <w:r w:rsidR="00C60646">
        <w:rPr>
          <w:rStyle w:val="Funotenzeichen"/>
          <w:rFonts w:ascii="Arial" w:hAnsi="Arial" w:cs="Arial"/>
        </w:rPr>
        <w:footnoteReference w:id="670"/>
      </w:r>
      <w:r w:rsidR="00E65590">
        <w:rPr>
          <w:rFonts w:ascii="Arial" w:hAnsi="Arial" w:cs="Arial"/>
        </w:rPr>
        <w:t xml:space="preserve"> Accordingly, it is difficult to interpret any result other than zero, which indicates perfect conditions of competition.</w:t>
      </w:r>
      <w:r w:rsidR="00E008B7">
        <w:rPr>
          <w:rStyle w:val="Funotenzeichen"/>
          <w:rFonts w:ascii="Arial" w:hAnsi="Arial" w:cs="Arial"/>
        </w:rPr>
        <w:footnoteReference w:id="671"/>
      </w:r>
      <w:r w:rsidR="00E65590">
        <w:rPr>
          <w:rFonts w:ascii="Arial" w:hAnsi="Arial" w:cs="Arial"/>
        </w:rPr>
        <w:t xml:space="preserve"> </w:t>
      </w:r>
      <w:r w:rsidR="00E008B7">
        <w:rPr>
          <w:rFonts w:ascii="Arial" w:hAnsi="Arial" w:cs="Arial"/>
        </w:rPr>
        <w:t>I</w:t>
      </w:r>
      <w:r w:rsidR="00E65590">
        <w:rPr>
          <w:rFonts w:ascii="Arial" w:hAnsi="Arial" w:cs="Arial"/>
        </w:rPr>
        <w:t xml:space="preserve">f </w:t>
      </w:r>
      <w:r w:rsidR="00E008B7">
        <w:rPr>
          <w:rFonts w:ascii="Arial" w:hAnsi="Arial" w:cs="Arial"/>
        </w:rPr>
        <w:t xml:space="preserve">for example </w:t>
      </w:r>
      <w:r w:rsidR="00E65590">
        <w:rPr>
          <w:rFonts w:ascii="Arial" w:hAnsi="Arial" w:cs="Arial"/>
        </w:rPr>
        <w:t>the Lerne</w:t>
      </w:r>
      <w:r w:rsidR="00E008B7">
        <w:rPr>
          <w:rFonts w:ascii="Arial" w:hAnsi="Arial" w:cs="Arial"/>
        </w:rPr>
        <w:t>r Index provides a value of 0.4, h</w:t>
      </w:r>
      <w:r w:rsidR="00E65590">
        <w:rPr>
          <w:rFonts w:ascii="Arial" w:hAnsi="Arial" w:cs="Arial"/>
        </w:rPr>
        <w:t>ow should this value be interpreter with regard to the approval of prohibition of firm conduct</w:t>
      </w:r>
      <w:r w:rsidR="00E008B7">
        <w:rPr>
          <w:rFonts w:ascii="Arial" w:hAnsi="Arial" w:cs="Arial"/>
        </w:rPr>
        <w:t xml:space="preserve"> by the competition authorities</w:t>
      </w:r>
      <w:r w:rsidR="00E65590">
        <w:rPr>
          <w:rFonts w:ascii="Arial" w:hAnsi="Arial" w:cs="Arial"/>
        </w:rPr>
        <w:t xml:space="preserve">? </w:t>
      </w:r>
      <w:r w:rsidR="009135D8">
        <w:rPr>
          <w:rFonts w:ascii="Arial" w:hAnsi="Arial" w:cs="Arial"/>
        </w:rPr>
        <w:t>Another potential weakness of the Lerner Index is that it could</w:t>
      </w:r>
      <w:r w:rsidR="00E008B7">
        <w:rPr>
          <w:rFonts w:ascii="Arial" w:hAnsi="Arial" w:cs="Arial"/>
        </w:rPr>
        <w:t xml:space="preserve"> lead to the </w:t>
      </w:r>
      <w:r w:rsidR="009135D8">
        <w:rPr>
          <w:rFonts w:ascii="Arial" w:hAnsi="Arial" w:cs="Arial"/>
        </w:rPr>
        <w:t>prohibit</w:t>
      </w:r>
      <w:r w:rsidR="00E008B7">
        <w:rPr>
          <w:rFonts w:ascii="Arial" w:hAnsi="Arial" w:cs="Arial"/>
        </w:rPr>
        <w:t>ion of</w:t>
      </w:r>
      <w:r w:rsidR="009135D8">
        <w:rPr>
          <w:rFonts w:ascii="Arial" w:hAnsi="Arial" w:cs="Arial"/>
        </w:rPr>
        <w:t xml:space="preserve"> conduct </w:t>
      </w:r>
      <w:r w:rsidR="00E008B7">
        <w:rPr>
          <w:rFonts w:ascii="Arial" w:hAnsi="Arial" w:cs="Arial"/>
        </w:rPr>
        <w:t>by</w:t>
      </w:r>
      <w:r w:rsidR="009135D8">
        <w:rPr>
          <w:rFonts w:ascii="Arial" w:hAnsi="Arial" w:cs="Arial"/>
        </w:rPr>
        <w:t xml:space="preserve"> firms who offer superior or cheaper products.</w:t>
      </w:r>
      <w:r w:rsidR="00E008B7">
        <w:rPr>
          <w:rStyle w:val="Funotenzeichen"/>
          <w:rFonts w:ascii="Arial" w:hAnsi="Arial" w:cs="Arial"/>
        </w:rPr>
        <w:footnoteReference w:id="672"/>
      </w:r>
      <w:r w:rsidR="009135D8">
        <w:rPr>
          <w:rFonts w:ascii="Arial" w:hAnsi="Arial" w:cs="Arial"/>
        </w:rPr>
        <w:t xml:space="preserve"> </w:t>
      </w:r>
      <w:r w:rsidR="00C60646">
        <w:rPr>
          <w:rFonts w:ascii="Arial" w:hAnsi="Arial" w:cs="Arial"/>
        </w:rPr>
        <w:t>Furthermore, t</w:t>
      </w:r>
      <w:r w:rsidR="009135D8">
        <w:rPr>
          <w:rFonts w:ascii="Arial" w:hAnsi="Arial" w:cs="Arial"/>
        </w:rPr>
        <w:t xml:space="preserve">he Lerner Index is a single market </w:t>
      </w:r>
      <w:r w:rsidR="005E4D8B">
        <w:rPr>
          <w:rFonts w:ascii="Arial" w:hAnsi="Arial" w:cs="Arial"/>
        </w:rPr>
        <w:t>metric</w:t>
      </w:r>
      <w:r w:rsidR="00DA41BF">
        <w:rPr>
          <w:rFonts w:ascii="Arial" w:hAnsi="Arial" w:cs="Arial"/>
        </w:rPr>
        <w:t>,</w:t>
      </w:r>
      <w:r w:rsidR="009135D8">
        <w:rPr>
          <w:rFonts w:ascii="Arial" w:hAnsi="Arial" w:cs="Arial"/>
        </w:rPr>
        <w:t xml:space="preserve"> </w:t>
      </w:r>
      <w:r w:rsidR="005E4D8B">
        <w:rPr>
          <w:rFonts w:ascii="Arial" w:hAnsi="Arial" w:cs="Arial"/>
        </w:rPr>
        <w:t>accordingly,</w:t>
      </w:r>
      <w:r w:rsidR="009135D8">
        <w:rPr>
          <w:rFonts w:ascii="Arial" w:hAnsi="Arial" w:cs="Arial"/>
        </w:rPr>
        <w:t xml:space="preserve"> it is subject to significant error when applied to firms compet</w:t>
      </w:r>
      <w:r w:rsidR="005E4D8B">
        <w:rPr>
          <w:rFonts w:ascii="Arial" w:hAnsi="Arial" w:cs="Arial"/>
        </w:rPr>
        <w:t>ing</w:t>
      </w:r>
      <w:r w:rsidR="009135D8">
        <w:rPr>
          <w:rFonts w:ascii="Arial" w:hAnsi="Arial" w:cs="Arial"/>
        </w:rPr>
        <w:t xml:space="preserve"> in multiple markets</w:t>
      </w:r>
      <w:r w:rsidR="00C60646">
        <w:rPr>
          <w:rFonts w:ascii="Arial" w:hAnsi="Arial" w:cs="Arial"/>
        </w:rPr>
        <w:t>.</w:t>
      </w:r>
      <w:r w:rsidR="00E008B7">
        <w:rPr>
          <w:rStyle w:val="Funotenzeichen"/>
          <w:rFonts w:ascii="Arial" w:hAnsi="Arial" w:cs="Arial"/>
        </w:rPr>
        <w:footnoteReference w:id="673"/>
      </w:r>
      <w:r w:rsidR="009135D8">
        <w:rPr>
          <w:rFonts w:ascii="Arial" w:hAnsi="Arial" w:cs="Arial"/>
        </w:rPr>
        <w:t xml:space="preserve">   </w:t>
      </w:r>
      <w:r>
        <w:rPr>
          <w:rFonts w:ascii="Arial" w:hAnsi="Arial" w:cs="Arial"/>
        </w:rPr>
        <w:t xml:space="preserve"> </w:t>
      </w:r>
    </w:p>
    <w:p w:rsidR="000020C6" w:rsidRDefault="000020C6" w:rsidP="002563E6">
      <w:pPr>
        <w:contextualSpacing/>
        <w:jc w:val="both"/>
        <w:rPr>
          <w:rFonts w:ascii="Arial" w:hAnsi="Arial" w:cs="Arial"/>
        </w:rPr>
      </w:pPr>
    </w:p>
    <w:p w:rsidR="00E8573F" w:rsidRDefault="00386D8C" w:rsidP="002563E6">
      <w:pPr>
        <w:contextualSpacing/>
        <w:jc w:val="both"/>
        <w:rPr>
          <w:rFonts w:ascii="Arial" w:hAnsi="Arial" w:cs="Arial"/>
        </w:rPr>
      </w:pPr>
      <w:r>
        <w:rPr>
          <w:rFonts w:ascii="Arial" w:hAnsi="Arial" w:cs="Arial"/>
        </w:rPr>
        <w:t>Regardless of</w:t>
      </w:r>
      <w:r w:rsidR="00C60646">
        <w:rPr>
          <w:rFonts w:ascii="Arial" w:hAnsi="Arial" w:cs="Arial"/>
        </w:rPr>
        <w:t xml:space="preserve"> these </w:t>
      </w:r>
      <w:r>
        <w:rPr>
          <w:rFonts w:ascii="Arial" w:hAnsi="Arial" w:cs="Arial"/>
        </w:rPr>
        <w:t>weaknesses,</w:t>
      </w:r>
      <w:r w:rsidR="00C60646">
        <w:rPr>
          <w:rFonts w:ascii="Arial" w:hAnsi="Arial" w:cs="Arial"/>
        </w:rPr>
        <w:t xml:space="preserve"> the Lerner Index is widely used in competition matters and is commonly </w:t>
      </w:r>
      <w:r>
        <w:rPr>
          <w:rFonts w:ascii="Arial" w:hAnsi="Arial" w:cs="Arial"/>
        </w:rPr>
        <w:t>discussed</w:t>
      </w:r>
      <w:r w:rsidR="00C60646">
        <w:rPr>
          <w:rFonts w:ascii="Arial" w:hAnsi="Arial" w:cs="Arial"/>
        </w:rPr>
        <w:t xml:space="preserve"> in undergraduate and postgraduate textbooks on industrial organisation.</w:t>
      </w:r>
      <w:r w:rsidR="00C60646">
        <w:rPr>
          <w:rStyle w:val="Funotenzeichen"/>
          <w:rFonts w:ascii="Arial" w:hAnsi="Arial" w:cs="Arial"/>
        </w:rPr>
        <w:footnoteReference w:id="674"/>
      </w:r>
      <w:r w:rsidR="00C60646">
        <w:rPr>
          <w:rFonts w:ascii="Arial" w:hAnsi="Arial" w:cs="Arial"/>
        </w:rPr>
        <w:t xml:space="preserve"> </w:t>
      </w:r>
    </w:p>
    <w:p w:rsidR="006D5E9D" w:rsidRDefault="006D5E9D" w:rsidP="002563E6">
      <w:pPr>
        <w:contextualSpacing/>
        <w:jc w:val="both"/>
        <w:rPr>
          <w:rFonts w:ascii="Arial" w:hAnsi="Arial" w:cs="Arial"/>
        </w:rPr>
      </w:pPr>
    </w:p>
    <w:p w:rsidR="00E8573F" w:rsidRDefault="00DA41BF" w:rsidP="002563E6">
      <w:pPr>
        <w:contextualSpacing/>
        <w:jc w:val="both"/>
        <w:rPr>
          <w:rFonts w:ascii="Arial" w:hAnsi="Arial" w:cs="Arial"/>
        </w:rPr>
      </w:pPr>
      <w:r>
        <w:rPr>
          <w:rFonts w:ascii="Arial" w:hAnsi="Arial" w:cs="Arial"/>
        </w:rPr>
        <w:t>3.3.4.1.</w:t>
      </w:r>
      <w:r w:rsidR="0018577B">
        <w:rPr>
          <w:rFonts w:ascii="Arial" w:hAnsi="Arial" w:cs="Arial"/>
        </w:rPr>
        <w:t>2</w:t>
      </w:r>
      <w:r w:rsidR="005A1B04">
        <w:rPr>
          <w:rFonts w:ascii="Arial" w:hAnsi="Arial" w:cs="Arial"/>
        </w:rPr>
        <w:t xml:space="preserve"> Price elasticity of demand</w:t>
      </w:r>
    </w:p>
    <w:p w:rsidR="0077668D" w:rsidRDefault="00DA48BF" w:rsidP="002563E6">
      <w:pPr>
        <w:contextualSpacing/>
        <w:jc w:val="both"/>
        <w:rPr>
          <w:rFonts w:ascii="Arial" w:hAnsi="Arial" w:cs="Arial"/>
        </w:rPr>
      </w:pPr>
      <w:r>
        <w:rPr>
          <w:rFonts w:ascii="Arial" w:hAnsi="Arial" w:cs="Arial"/>
        </w:rPr>
        <w:t>Another method used to quantify the degree of market power is through the use of the price elasticity of demand.</w:t>
      </w:r>
      <w:r w:rsidR="00C042A5">
        <w:rPr>
          <w:rStyle w:val="Funotenzeichen"/>
          <w:rFonts w:ascii="Arial" w:hAnsi="Arial" w:cs="Arial"/>
        </w:rPr>
        <w:footnoteReference w:id="675"/>
      </w:r>
      <w:r>
        <w:rPr>
          <w:rFonts w:ascii="Arial" w:hAnsi="Arial" w:cs="Arial"/>
        </w:rPr>
        <w:t xml:space="preserve"> The price elasticity of demand indicates how sensitive consumer demand for a specific product </w:t>
      </w:r>
      <w:r w:rsidR="009D02EE">
        <w:rPr>
          <w:rFonts w:ascii="Arial" w:hAnsi="Arial" w:cs="Arial"/>
        </w:rPr>
        <w:t xml:space="preserve">(for example product X) </w:t>
      </w:r>
      <w:r>
        <w:rPr>
          <w:rFonts w:ascii="Arial" w:hAnsi="Arial" w:cs="Arial"/>
        </w:rPr>
        <w:t>is to changes in the price of that product.</w:t>
      </w:r>
      <w:r w:rsidR="00C042A5">
        <w:rPr>
          <w:rStyle w:val="Funotenzeichen"/>
          <w:rFonts w:ascii="Arial" w:hAnsi="Arial" w:cs="Arial"/>
        </w:rPr>
        <w:footnoteReference w:id="676"/>
      </w:r>
      <w:r>
        <w:rPr>
          <w:rFonts w:ascii="Arial" w:hAnsi="Arial" w:cs="Arial"/>
        </w:rPr>
        <w:t xml:space="preserve"> In other </w:t>
      </w:r>
      <w:r w:rsidR="00605F90">
        <w:rPr>
          <w:rFonts w:ascii="Arial" w:hAnsi="Arial" w:cs="Arial"/>
        </w:rPr>
        <w:t>words,</w:t>
      </w:r>
      <w:r>
        <w:rPr>
          <w:rFonts w:ascii="Arial" w:hAnsi="Arial" w:cs="Arial"/>
        </w:rPr>
        <w:t xml:space="preserve"> by how much will the demand for product</w:t>
      </w:r>
      <w:r w:rsidR="009D02EE">
        <w:rPr>
          <w:rFonts w:ascii="Arial" w:hAnsi="Arial" w:cs="Arial"/>
        </w:rPr>
        <w:t xml:space="preserve"> X change</w:t>
      </w:r>
      <w:r>
        <w:rPr>
          <w:rFonts w:ascii="Arial" w:hAnsi="Arial" w:cs="Arial"/>
        </w:rPr>
        <w:t xml:space="preserve"> if the </w:t>
      </w:r>
      <w:r w:rsidR="00605F90">
        <w:rPr>
          <w:rFonts w:ascii="Arial" w:hAnsi="Arial" w:cs="Arial"/>
        </w:rPr>
        <w:t>price of</w:t>
      </w:r>
      <w:r w:rsidR="009D02EE">
        <w:rPr>
          <w:rFonts w:ascii="Arial" w:hAnsi="Arial" w:cs="Arial"/>
        </w:rPr>
        <w:t xml:space="preserve"> product X</w:t>
      </w:r>
      <w:r w:rsidR="00605F90">
        <w:rPr>
          <w:rFonts w:ascii="Arial" w:hAnsi="Arial" w:cs="Arial"/>
        </w:rPr>
        <w:t xml:space="preserve"> increases</w:t>
      </w:r>
      <w:r>
        <w:rPr>
          <w:rFonts w:ascii="Arial" w:hAnsi="Arial" w:cs="Arial"/>
        </w:rPr>
        <w:t xml:space="preserve"> or decrease</w:t>
      </w:r>
      <w:r w:rsidR="00605F90">
        <w:rPr>
          <w:rFonts w:ascii="Arial" w:hAnsi="Arial" w:cs="Arial"/>
        </w:rPr>
        <w:t>s</w:t>
      </w:r>
      <w:r>
        <w:rPr>
          <w:rFonts w:ascii="Arial" w:hAnsi="Arial" w:cs="Arial"/>
        </w:rPr>
        <w:t>?</w:t>
      </w:r>
      <w:r w:rsidR="00605F90">
        <w:rPr>
          <w:rFonts w:ascii="Arial" w:hAnsi="Arial" w:cs="Arial"/>
        </w:rPr>
        <w:t xml:space="preserve"> </w:t>
      </w:r>
      <w:r w:rsidR="009D02EE">
        <w:rPr>
          <w:rFonts w:ascii="Arial" w:hAnsi="Arial" w:cs="Arial"/>
        </w:rPr>
        <w:t>Accordingly, t</w:t>
      </w:r>
      <w:r w:rsidR="00605F90">
        <w:rPr>
          <w:rFonts w:ascii="Arial" w:hAnsi="Arial" w:cs="Arial"/>
        </w:rPr>
        <w:t>he price elasticity of demand is defined as follow:</w:t>
      </w:r>
      <w:r w:rsidR="00C042A5">
        <w:rPr>
          <w:rStyle w:val="Funotenzeichen"/>
          <w:rFonts w:ascii="Arial" w:hAnsi="Arial" w:cs="Arial"/>
        </w:rPr>
        <w:footnoteReference w:id="677"/>
      </w:r>
    </w:p>
    <w:p w:rsidR="00605F90" w:rsidRDefault="00605F90" w:rsidP="002563E6">
      <w:pPr>
        <w:contextualSpacing/>
        <w:jc w:val="both"/>
        <w:rPr>
          <w:rFonts w:ascii="Arial" w:hAnsi="Arial" w:cs="Arial"/>
        </w:rPr>
      </w:pPr>
    </w:p>
    <w:p w:rsidR="00605F90" w:rsidRDefault="00605F90" w:rsidP="009D02EE">
      <w:pPr>
        <w:contextualSpacing/>
        <w:jc w:val="center"/>
        <w:rPr>
          <w:rFonts w:ascii="Arial" w:eastAsiaTheme="minorEastAsia" w:hAnsi="Arial" w:cs="Arial"/>
        </w:rPr>
      </w:pPr>
      <w:r>
        <w:rPr>
          <w:rFonts w:ascii="Arial" w:hAnsi="Arial" w:cs="Arial"/>
        </w:rPr>
        <w:t>E</w:t>
      </w:r>
      <w:r>
        <w:rPr>
          <w:rFonts w:ascii="Arial" w:hAnsi="Arial" w:cs="Arial"/>
          <w:vertAlign w:val="subscript"/>
        </w:rPr>
        <w:t xml:space="preserve">d </w:t>
      </w:r>
      <w:r>
        <w:rPr>
          <w:rFonts w:ascii="Arial" w:hAnsi="Arial" w:cs="Arial"/>
        </w:rPr>
        <w:t xml:space="preserve">= </w:t>
      </w:r>
      <m:oMath>
        <m:f>
          <m:fPr>
            <m:ctrlPr>
              <w:rPr>
                <w:rFonts w:ascii="Cambria Math" w:hAnsi="Cambria Math" w:cs="Arial"/>
                <w:i/>
              </w:rPr>
            </m:ctrlPr>
          </m:fPr>
          <m:num>
            <m:r>
              <w:rPr>
                <w:rFonts w:ascii="Cambria Math" w:hAnsi="Cambria Math" w:cs="Arial"/>
              </w:rPr>
              <m:t>percentage change in the quantity demanded of product X</m:t>
            </m:r>
          </m:num>
          <m:den>
            <m:r>
              <w:rPr>
                <w:rFonts w:ascii="Cambria Math" w:hAnsi="Cambria Math" w:cs="Arial"/>
              </w:rPr>
              <m:t>percentage change in the price of product X</m:t>
            </m:r>
          </m:den>
        </m:f>
      </m:oMath>
    </w:p>
    <w:p w:rsidR="009D02EE" w:rsidRDefault="009D02EE" w:rsidP="009D02EE">
      <w:pPr>
        <w:contextualSpacing/>
        <w:jc w:val="center"/>
        <w:rPr>
          <w:rFonts w:ascii="Arial" w:eastAsiaTheme="minorEastAsia" w:hAnsi="Arial" w:cs="Arial"/>
        </w:rPr>
      </w:pPr>
    </w:p>
    <w:p w:rsidR="009D02EE" w:rsidRDefault="009D02EE" w:rsidP="009D02EE">
      <w:pPr>
        <w:contextualSpacing/>
        <w:rPr>
          <w:rFonts w:ascii="Arial" w:eastAsiaTheme="minorEastAsia" w:hAnsi="Arial" w:cs="Arial"/>
        </w:rPr>
      </w:pPr>
      <w:r>
        <w:rPr>
          <w:rFonts w:ascii="Arial" w:eastAsiaTheme="minorEastAsia" w:hAnsi="Arial" w:cs="Arial"/>
        </w:rPr>
        <w:t>Where:</w:t>
      </w:r>
    </w:p>
    <w:p w:rsidR="009D02EE" w:rsidRDefault="009D02EE" w:rsidP="009D02EE">
      <w:pPr>
        <w:contextualSpacing/>
        <w:rPr>
          <w:rFonts w:ascii="Arial" w:hAnsi="Arial" w:cs="Arial"/>
        </w:rPr>
      </w:pPr>
      <w:r>
        <w:rPr>
          <w:rFonts w:ascii="Arial" w:hAnsi="Arial" w:cs="Arial"/>
        </w:rPr>
        <w:t>E</w:t>
      </w:r>
      <w:r>
        <w:rPr>
          <w:rFonts w:ascii="Arial" w:hAnsi="Arial" w:cs="Arial"/>
          <w:vertAlign w:val="subscript"/>
        </w:rPr>
        <w:t>d</w:t>
      </w:r>
      <w:r w:rsidR="00DA41BF">
        <w:rPr>
          <w:rFonts w:ascii="Arial" w:hAnsi="Arial" w:cs="Arial"/>
        </w:rPr>
        <w:t xml:space="preserve"> = p</w:t>
      </w:r>
      <w:r>
        <w:rPr>
          <w:rFonts w:ascii="Arial" w:hAnsi="Arial" w:cs="Arial"/>
        </w:rPr>
        <w:t>rice elasticity of demand.</w:t>
      </w:r>
    </w:p>
    <w:p w:rsidR="00B45C3A" w:rsidRDefault="00B45C3A" w:rsidP="009D02EE">
      <w:pPr>
        <w:contextualSpacing/>
        <w:rPr>
          <w:rFonts w:ascii="Arial" w:hAnsi="Arial" w:cs="Arial"/>
        </w:rPr>
      </w:pPr>
    </w:p>
    <w:p w:rsidR="00B45C3A" w:rsidRDefault="009F7349" w:rsidP="00B45C3A">
      <w:pPr>
        <w:contextualSpacing/>
        <w:rPr>
          <w:rFonts w:ascii="Arial" w:hAnsi="Arial" w:cs="Arial"/>
        </w:rPr>
      </w:pPr>
      <w:r w:rsidRPr="00DA41BF">
        <w:rPr>
          <w:rFonts w:ascii="Arial" w:hAnsi="Arial" w:cs="Arial"/>
          <w:u w:val="single"/>
        </w:rPr>
        <w:t>Note</w:t>
      </w:r>
      <w:r w:rsidR="00DA41BF" w:rsidRPr="00DA41BF">
        <w:rPr>
          <w:rFonts w:ascii="Arial" w:hAnsi="Arial" w:cs="Arial"/>
          <w:u w:val="single"/>
        </w:rPr>
        <w:t>:</w:t>
      </w:r>
      <w:r>
        <w:rPr>
          <w:rFonts w:ascii="Arial" w:hAnsi="Arial" w:cs="Arial"/>
        </w:rPr>
        <w:t xml:space="preserve"> </w:t>
      </w:r>
      <w:r w:rsidR="00B524B9">
        <w:rPr>
          <w:rFonts w:ascii="Arial" w:hAnsi="Arial" w:cs="Arial"/>
        </w:rPr>
        <w:t>D</w:t>
      </w:r>
      <w:r>
        <w:rPr>
          <w:rFonts w:ascii="Arial" w:hAnsi="Arial" w:cs="Arial"/>
        </w:rPr>
        <w:t xml:space="preserve">emand is inversely related to </w:t>
      </w:r>
      <w:r w:rsidR="00186DF6">
        <w:rPr>
          <w:rFonts w:ascii="Arial" w:hAnsi="Arial" w:cs="Arial"/>
        </w:rPr>
        <w:t>price</w:t>
      </w:r>
      <w:r w:rsidR="00B524B9">
        <w:rPr>
          <w:rFonts w:ascii="Arial" w:hAnsi="Arial" w:cs="Arial"/>
        </w:rPr>
        <w:t xml:space="preserve"> therefore</w:t>
      </w:r>
      <w:r w:rsidR="00186DF6">
        <w:rPr>
          <w:rFonts w:ascii="Arial" w:hAnsi="Arial" w:cs="Arial"/>
        </w:rPr>
        <w:t>, E</w:t>
      </w:r>
      <w:r w:rsidR="00186DF6">
        <w:rPr>
          <w:rFonts w:ascii="Arial" w:hAnsi="Arial" w:cs="Arial"/>
          <w:vertAlign w:val="subscript"/>
        </w:rPr>
        <w:t>d</w:t>
      </w:r>
      <w:r w:rsidR="00186DF6">
        <w:rPr>
          <w:rFonts w:ascii="Arial" w:hAnsi="Arial" w:cs="Arial"/>
        </w:rPr>
        <w:t xml:space="preserve"> will always have a negative sign.</w:t>
      </w:r>
      <w:r w:rsidR="00186DF6">
        <w:rPr>
          <w:rStyle w:val="Funotenzeichen"/>
          <w:rFonts w:ascii="Arial" w:hAnsi="Arial" w:cs="Arial"/>
        </w:rPr>
        <w:footnoteReference w:id="678"/>
      </w:r>
      <w:r w:rsidR="00186DF6">
        <w:rPr>
          <w:rFonts w:ascii="Arial" w:hAnsi="Arial" w:cs="Arial"/>
        </w:rPr>
        <w:t xml:space="preserve"> </w:t>
      </w:r>
      <w:r w:rsidR="00501BC3">
        <w:rPr>
          <w:rFonts w:ascii="Arial" w:hAnsi="Arial" w:cs="Arial"/>
        </w:rPr>
        <w:t>Nonetheless, t</w:t>
      </w:r>
      <w:r w:rsidR="00186DF6">
        <w:rPr>
          <w:rFonts w:ascii="Arial" w:hAnsi="Arial" w:cs="Arial"/>
        </w:rPr>
        <w:t>his negative sign is ignored and</w:t>
      </w:r>
      <w:r w:rsidR="00501BC3">
        <w:rPr>
          <w:rFonts w:ascii="Arial" w:hAnsi="Arial" w:cs="Arial"/>
        </w:rPr>
        <w:t xml:space="preserve"> consequently </w:t>
      </w:r>
      <w:r w:rsidR="00186DF6">
        <w:rPr>
          <w:rFonts w:ascii="Arial" w:hAnsi="Arial" w:cs="Arial"/>
        </w:rPr>
        <w:t xml:space="preserve"> E</w:t>
      </w:r>
      <w:r w:rsidR="00186DF6">
        <w:rPr>
          <w:rFonts w:ascii="Arial" w:hAnsi="Arial" w:cs="Arial"/>
          <w:vertAlign w:val="subscript"/>
        </w:rPr>
        <w:t>d</w:t>
      </w:r>
      <w:r w:rsidR="00186DF6">
        <w:rPr>
          <w:rFonts w:ascii="Arial" w:hAnsi="Arial" w:cs="Arial"/>
        </w:rPr>
        <w:t xml:space="preserve"> is always expressed in absolute</w:t>
      </w:r>
      <w:r w:rsidR="00501BC3">
        <w:rPr>
          <w:rFonts w:ascii="Arial" w:hAnsi="Arial" w:cs="Arial"/>
        </w:rPr>
        <w:t xml:space="preserve"> (positive)</w:t>
      </w:r>
      <w:r w:rsidR="00186DF6">
        <w:rPr>
          <w:rFonts w:ascii="Arial" w:hAnsi="Arial" w:cs="Arial"/>
        </w:rPr>
        <w:t xml:space="preserve"> terms.</w:t>
      </w:r>
      <w:r w:rsidR="00B45C3A">
        <w:rPr>
          <w:rStyle w:val="Funotenzeichen"/>
          <w:rFonts w:ascii="Arial" w:hAnsi="Arial" w:cs="Arial"/>
        </w:rPr>
        <w:footnoteReference w:id="679"/>
      </w:r>
      <w:r w:rsidR="00B45C3A">
        <w:rPr>
          <w:rFonts w:ascii="Arial" w:hAnsi="Arial" w:cs="Arial"/>
        </w:rPr>
        <w:t xml:space="preserve"> </w:t>
      </w:r>
    </w:p>
    <w:p w:rsidR="00B45C3A" w:rsidRDefault="00B45C3A" w:rsidP="00B45C3A">
      <w:pPr>
        <w:contextualSpacing/>
        <w:rPr>
          <w:rFonts w:ascii="Arial" w:hAnsi="Arial" w:cs="Arial"/>
        </w:rPr>
      </w:pPr>
    </w:p>
    <w:p w:rsidR="00856EEE" w:rsidRDefault="00406254" w:rsidP="00B45C3A">
      <w:pPr>
        <w:contextualSpacing/>
        <w:rPr>
          <w:rFonts w:ascii="Arial" w:hAnsi="Arial" w:cs="Arial"/>
        </w:rPr>
      </w:pPr>
      <w:r>
        <w:rPr>
          <w:rFonts w:ascii="Arial" w:hAnsi="Arial" w:cs="Arial"/>
        </w:rPr>
        <w:t>If the percentage change in the quantity demanded of a product is larger than the percentage change in the price of that product, the demand is said to be elastic.</w:t>
      </w:r>
      <w:r w:rsidR="000429DA">
        <w:rPr>
          <w:rStyle w:val="Funotenzeichen"/>
          <w:rFonts w:ascii="Arial" w:hAnsi="Arial" w:cs="Arial"/>
        </w:rPr>
        <w:footnoteReference w:id="680"/>
      </w:r>
      <w:r>
        <w:rPr>
          <w:rFonts w:ascii="Arial" w:hAnsi="Arial" w:cs="Arial"/>
        </w:rPr>
        <w:t xml:space="preserve"> If the </w:t>
      </w:r>
      <w:r w:rsidR="006205DC">
        <w:rPr>
          <w:rFonts w:ascii="Arial" w:hAnsi="Arial" w:cs="Arial"/>
        </w:rPr>
        <w:t>percentage change in the quantity demanded of a product is smaller than the percentage change in the price of that product, the demand is said to be inelastic.</w:t>
      </w:r>
      <w:r w:rsidR="002342AA">
        <w:rPr>
          <w:rStyle w:val="Funotenzeichen"/>
          <w:rFonts w:ascii="Arial" w:hAnsi="Arial" w:cs="Arial"/>
        </w:rPr>
        <w:footnoteReference w:id="681"/>
      </w:r>
      <w:r w:rsidR="006205DC">
        <w:rPr>
          <w:rFonts w:ascii="Arial" w:hAnsi="Arial" w:cs="Arial"/>
        </w:rPr>
        <w:t xml:space="preserve"> </w:t>
      </w:r>
    </w:p>
    <w:p w:rsidR="00856EEE" w:rsidRDefault="00856EEE" w:rsidP="002563E6">
      <w:pPr>
        <w:contextualSpacing/>
        <w:jc w:val="both"/>
        <w:rPr>
          <w:rFonts w:ascii="Arial" w:hAnsi="Arial" w:cs="Arial"/>
        </w:rPr>
      </w:pPr>
    </w:p>
    <w:p w:rsidR="00FC0E6A" w:rsidRPr="00FC0E6A" w:rsidRDefault="006205DC" w:rsidP="002563E6">
      <w:pPr>
        <w:contextualSpacing/>
        <w:jc w:val="both"/>
        <w:rPr>
          <w:rFonts w:ascii="Arial" w:hAnsi="Arial" w:cs="Arial"/>
        </w:rPr>
      </w:pPr>
      <w:r>
        <w:rPr>
          <w:rFonts w:ascii="Arial" w:hAnsi="Arial" w:cs="Arial"/>
        </w:rPr>
        <w:t xml:space="preserve">For example, if the demand for a product is elastic, a 5 percent decrease in the price of that product will result in an increase in the demand of that product that is larger than </w:t>
      </w:r>
      <w:r w:rsidR="00FC0E6A">
        <w:rPr>
          <w:rFonts w:ascii="Arial" w:hAnsi="Arial" w:cs="Arial"/>
        </w:rPr>
        <w:t xml:space="preserve">the </w:t>
      </w:r>
      <w:r>
        <w:rPr>
          <w:rFonts w:ascii="Arial" w:hAnsi="Arial" w:cs="Arial"/>
        </w:rPr>
        <w:t>5 percent decrease in the price.</w:t>
      </w:r>
      <w:r w:rsidR="00860380">
        <w:rPr>
          <w:rStyle w:val="Funotenzeichen"/>
          <w:rFonts w:ascii="Arial" w:hAnsi="Arial" w:cs="Arial"/>
        </w:rPr>
        <w:footnoteReference w:id="682"/>
      </w:r>
      <w:r w:rsidR="00572F88">
        <w:rPr>
          <w:rFonts w:ascii="Arial" w:hAnsi="Arial" w:cs="Arial"/>
        </w:rPr>
        <w:t xml:space="preserve"> </w:t>
      </w:r>
      <w:r w:rsidR="00BD6F20">
        <w:rPr>
          <w:rFonts w:ascii="Arial" w:hAnsi="Arial" w:cs="Arial"/>
        </w:rPr>
        <w:t>Furthermore, elastic demand is indicated by a value of E</w:t>
      </w:r>
      <w:r w:rsidR="00BD6F20">
        <w:rPr>
          <w:rFonts w:ascii="Arial" w:hAnsi="Arial" w:cs="Arial"/>
          <w:vertAlign w:val="subscript"/>
        </w:rPr>
        <w:t>d</w:t>
      </w:r>
      <w:r w:rsidR="00BD6F20">
        <w:rPr>
          <w:rFonts w:ascii="Arial" w:hAnsi="Arial" w:cs="Arial"/>
        </w:rPr>
        <w:t xml:space="preserve"> larger than one i.e. E</w:t>
      </w:r>
      <w:r w:rsidR="00BD6F20">
        <w:rPr>
          <w:rFonts w:ascii="Arial" w:hAnsi="Arial" w:cs="Arial"/>
          <w:vertAlign w:val="subscript"/>
        </w:rPr>
        <w:t xml:space="preserve">d </w:t>
      </w:r>
      <w:r w:rsidR="00BD6F20">
        <w:rPr>
          <w:rFonts w:ascii="Arial" w:hAnsi="Arial" w:cs="Arial"/>
        </w:rPr>
        <w:t xml:space="preserve">&gt; </w:t>
      </w:r>
      <w:r w:rsidR="00572F88">
        <w:rPr>
          <w:rFonts w:ascii="Arial" w:hAnsi="Arial" w:cs="Arial"/>
        </w:rPr>
        <w:t>1 and</w:t>
      </w:r>
      <w:r w:rsidR="00BD6F20">
        <w:rPr>
          <w:rFonts w:ascii="Arial" w:hAnsi="Arial" w:cs="Arial"/>
        </w:rPr>
        <w:t xml:space="preserve"> </w:t>
      </w:r>
      <w:r w:rsidR="00572F88">
        <w:rPr>
          <w:rFonts w:ascii="Arial" w:hAnsi="Arial" w:cs="Arial"/>
        </w:rPr>
        <w:t>i</w:t>
      </w:r>
      <w:r w:rsidR="00BD6F20">
        <w:rPr>
          <w:rFonts w:ascii="Arial" w:hAnsi="Arial" w:cs="Arial"/>
        </w:rPr>
        <w:t>nelastic demand is indicated by a value of E</w:t>
      </w:r>
      <w:r w:rsidR="00BD6F20">
        <w:rPr>
          <w:rFonts w:ascii="Arial" w:hAnsi="Arial" w:cs="Arial"/>
          <w:vertAlign w:val="subscript"/>
        </w:rPr>
        <w:t>d</w:t>
      </w:r>
      <w:r w:rsidR="00BD6F20">
        <w:rPr>
          <w:rFonts w:ascii="Arial" w:hAnsi="Arial" w:cs="Arial"/>
        </w:rPr>
        <w:t xml:space="preserve"> smaller than one i.e. E</w:t>
      </w:r>
      <w:r w:rsidR="00BD6F20">
        <w:rPr>
          <w:rFonts w:ascii="Arial" w:hAnsi="Arial" w:cs="Arial"/>
          <w:vertAlign w:val="subscript"/>
        </w:rPr>
        <w:t xml:space="preserve">d </w:t>
      </w:r>
      <w:r w:rsidR="00BD6F20">
        <w:rPr>
          <w:rFonts w:ascii="Arial" w:hAnsi="Arial" w:cs="Arial"/>
        </w:rPr>
        <w:t>&lt; 1.</w:t>
      </w:r>
      <w:r w:rsidR="00397071">
        <w:rPr>
          <w:rStyle w:val="Funotenzeichen"/>
          <w:rFonts w:ascii="Arial" w:hAnsi="Arial" w:cs="Arial"/>
        </w:rPr>
        <w:footnoteReference w:id="683"/>
      </w:r>
      <w:r w:rsidR="00FC0E6A">
        <w:rPr>
          <w:rFonts w:ascii="Arial" w:hAnsi="Arial" w:cs="Arial"/>
        </w:rPr>
        <w:t xml:space="preserve"> </w:t>
      </w:r>
    </w:p>
    <w:p w:rsidR="00FC0E6A" w:rsidRDefault="00FC0E6A" w:rsidP="002563E6">
      <w:pPr>
        <w:contextualSpacing/>
        <w:jc w:val="both"/>
        <w:rPr>
          <w:rFonts w:ascii="Arial" w:hAnsi="Arial" w:cs="Arial"/>
          <w:vertAlign w:val="subscript"/>
        </w:rPr>
      </w:pPr>
    </w:p>
    <w:p w:rsidR="00406254" w:rsidRPr="006F3A2F" w:rsidRDefault="00D3731D" w:rsidP="002563E6">
      <w:pPr>
        <w:contextualSpacing/>
        <w:jc w:val="both"/>
        <w:rPr>
          <w:rFonts w:ascii="Arial" w:hAnsi="Arial" w:cs="Arial"/>
        </w:rPr>
      </w:pPr>
      <w:r>
        <w:rPr>
          <w:rFonts w:ascii="Arial" w:hAnsi="Arial" w:cs="Arial"/>
        </w:rPr>
        <w:t>Additionally, it is held that a firm possess market power if the demand for his product is inelastic.</w:t>
      </w:r>
      <w:r w:rsidR="00D6265C">
        <w:rPr>
          <w:rStyle w:val="Funotenzeichen"/>
          <w:rFonts w:ascii="Arial" w:hAnsi="Arial" w:cs="Arial"/>
        </w:rPr>
        <w:footnoteReference w:id="684"/>
      </w:r>
      <w:r>
        <w:rPr>
          <w:rFonts w:ascii="Arial" w:hAnsi="Arial" w:cs="Arial"/>
        </w:rPr>
        <w:t xml:space="preserve"> The reason for this lies in the fact that the percentage change in the price of the </w:t>
      </w:r>
      <w:r w:rsidR="00A13083">
        <w:rPr>
          <w:rFonts w:ascii="Arial" w:hAnsi="Arial" w:cs="Arial"/>
        </w:rPr>
        <w:t>firm’s</w:t>
      </w:r>
      <w:r>
        <w:rPr>
          <w:rFonts w:ascii="Arial" w:hAnsi="Arial" w:cs="Arial"/>
        </w:rPr>
        <w:t xml:space="preserve"> product is larger than the percentage change in the demand for that product.</w:t>
      </w:r>
      <w:r w:rsidR="00D6265C">
        <w:rPr>
          <w:rStyle w:val="Funotenzeichen"/>
          <w:rFonts w:ascii="Arial" w:hAnsi="Arial" w:cs="Arial"/>
        </w:rPr>
        <w:footnoteReference w:id="685"/>
      </w:r>
      <w:r>
        <w:rPr>
          <w:rFonts w:ascii="Arial" w:hAnsi="Arial" w:cs="Arial"/>
        </w:rPr>
        <w:t xml:space="preserve"> This implies that for example</w:t>
      </w:r>
      <w:r w:rsidR="00A13083">
        <w:rPr>
          <w:rFonts w:ascii="Arial" w:hAnsi="Arial" w:cs="Arial"/>
        </w:rPr>
        <w:t>,</w:t>
      </w:r>
      <w:r>
        <w:rPr>
          <w:rFonts w:ascii="Arial" w:hAnsi="Arial" w:cs="Arial"/>
        </w:rPr>
        <w:t xml:space="preserve"> if </w:t>
      </w:r>
      <w:r w:rsidR="00A13083">
        <w:rPr>
          <w:rFonts w:ascii="Arial" w:hAnsi="Arial" w:cs="Arial"/>
        </w:rPr>
        <w:t>a</w:t>
      </w:r>
      <w:r>
        <w:rPr>
          <w:rFonts w:ascii="Arial" w:hAnsi="Arial" w:cs="Arial"/>
        </w:rPr>
        <w:t xml:space="preserve"> firm decide to increase the price of its product by 20 percent, the demand for that product will decrease by less than 20 percent i.e. by increasing the price</w:t>
      </w:r>
      <w:r w:rsidR="00A13083">
        <w:rPr>
          <w:rFonts w:ascii="Arial" w:hAnsi="Arial" w:cs="Arial"/>
        </w:rPr>
        <w:t>,</w:t>
      </w:r>
      <w:r>
        <w:rPr>
          <w:rFonts w:ascii="Arial" w:hAnsi="Arial" w:cs="Arial"/>
        </w:rPr>
        <w:t xml:space="preserve"> the firm in</w:t>
      </w:r>
      <w:r w:rsidR="00FC0E6A">
        <w:rPr>
          <w:rFonts w:ascii="Arial" w:hAnsi="Arial" w:cs="Arial"/>
        </w:rPr>
        <w:t>creased its profits.</w:t>
      </w:r>
      <w:r w:rsidR="00D6265C">
        <w:rPr>
          <w:rStyle w:val="Funotenzeichen"/>
          <w:rFonts w:ascii="Arial" w:hAnsi="Arial" w:cs="Arial"/>
        </w:rPr>
        <w:footnoteReference w:id="686"/>
      </w:r>
      <w:r w:rsidR="00FC0E6A">
        <w:rPr>
          <w:rFonts w:ascii="Arial" w:hAnsi="Arial" w:cs="Arial"/>
        </w:rPr>
        <w:t xml:space="preserve"> The opposite holds for elastic demand.</w:t>
      </w:r>
      <w:r w:rsidR="004D25C4">
        <w:rPr>
          <w:rStyle w:val="Funotenzeichen"/>
          <w:rFonts w:ascii="Arial" w:hAnsi="Arial" w:cs="Arial"/>
        </w:rPr>
        <w:footnoteReference w:id="687"/>
      </w:r>
      <w:r w:rsidR="00860380">
        <w:rPr>
          <w:rFonts w:ascii="Arial" w:hAnsi="Arial" w:cs="Arial"/>
        </w:rPr>
        <w:t xml:space="preserve"> In other words, a firm is regarded as having market power if E</w:t>
      </w:r>
      <w:r w:rsidR="00860380">
        <w:rPr>
          <w:rFonts w:ascii="Arial" w:hAnsi="Arial" w:cs="Arial"/>
          <w:vertAlign w:val="subscript"/>
        </w:rPr>
        <w:t xml:space="preserve">d </w:t>
      </w:r>
      <w:r w:rsidR="00860380">
        <w:rPr>
          <w:rFonts w:ascii="Arial" w:hAnsi="Arial" w:cs="Arial"/>
        </w:rPr>
        <w:t>&lt; 1 and is regarded as not having market power if E</w:t>
      </w:r>
      <w:r w:rsidR="00860380">
        <w:rPr>
          <w:rFonts w:ascii="Arial" w:hAnsi="Arial" w:cs="Arial"/>
          <w:vertAlign w:val="subscript"/>
        </w:rPr>
        <w:t xml:space="preserve">d </w:t>
      </w:r>
      <w:r w:rsidR="00860380">
        <w:rPr>
          <w:rFonts w:ascii="Arial" w:hAnsi="Arial" w:cs="Arial"/>
        </w:rPr>
        <w:t>&gt; 1.</w:t>
      </w:r>
      <w:r w:rsidR="004D25C4">
        <w:rPr>
          <w:rStyle w:val="Funotenzeichen"/>
          <w:rFonts w:ascii="Arial" w:hAnsi="Arial" w:cs="Arial"/>
        </w:rPr>
        <w:footnoteReference w:id="688"/>
      </w:r>
    </w:p>
    <w:p w:rsidR="00406254" w:rsidRDefault="00406254" w:rsidP="002563E6">
      <w:pPr>
        <w:contextualSpacing/>
        <w:jc w:val="both"/>
        <w:rPr>
          <w:rFonts w:ascii="Arial" w:hAnsi="Arial" w:cs="Arial"/>
        </w:rPr>
      </w:pPr>
    </w:p>
    <w:p w:rsidR="00406254" w:rsidRPr="00FF6F9E" w:rsidRDefault="00FF6F9E" w:rsidP="002563E6">
      <w:pPr>
        <w:contextualSpacing/>
        <w:jc w:val="both"/>
        <w:rPr>
          <w:rFonts w:ascii="Arial" w:hAnsi="Arial" w:cs="Arial"/>
        </w:rPr>
      </w:pPr>
      <w:r w:rsidRPr="00B524B9">
        <w:rPr>
          <w:rFonts w:ascii="Arial" w:hAnsi="Arial" w:cs="Arial"/>
          <w:u w:val="single"/>
        </w:rPr>
        <w:t>Note</w:t>
      </w:r>
      <w:r w:rsidR="00B524B9">
        <w:rPr>
          <w:rFonts w:ascii="Arial" w:hAnsi="Arial" w:cs="Arial"/>
          <w:u w:val="single"/>
        </w:rPr>
        <w:t>:</w:t>
      </w:r>
      <w:r>
        <w:rPr>
          <w:rFonts w:ascii="Arial" w:hAnsi="Arial" w:cs="Arial"/>
        </w:rPr>
        <w:t xml:space="preserve"> </w:t>
      </w:r>
      <w:r w:rsidR="00B524B9">
        <w:rPr>
          <w:rFonts w:ascii="Arial" w:hAnsi="Arial" w:cs="Arial"/>
        </w:rPr>
        <w:t>T</w:t>
      </w:r>
      <w:r>
        <w:rPr>
          <w:rFonts w:ascii="Arial" w:hAnsi="Arial" w:cs="Arial"/>
        </w:rPr>
        <w:t>he price elasticity of demand and the Lerner Index are inversely related since elastic demand will make it extremely difficult for firms to apply a price mark-up.</w:t>
      </w:r>
      <w:r w:rsidR="00076505">
        <w:rPr>
          <w:rStyle w:val="Funotenzeichen"/>
          <w:rFonts w:ascii="Arial" w:hAnsi="Arial" w:cs="Arial"/>
        </w:rPr>
        <w:footnoteReference w:id="689"/>
      </w:r>
      <w:r>
        <w:rPr>
          <w:rFonts w:ascii="Arial" w:hAnsi="Arial" w:cs="Arial"/>
        </w:rPr>
        <w:t xml:space="preserve"> Inelastic demand however</w:t>
      </w:r>
      <w:r w:rsidR="00E96E59">
        <w:rPr>
          <w:rFonts w:ascii="Arial" w:hAnsi="Arial" w:cs="Arial"/>
        </w:rPr>
        <w:t>, will</w:t>
      </w:r>
      <w:r>
        <w:rPr>
          <w:rFonts w:ascii="Arial" w:hAnsi="Arial" w:cs="Arial"/>
        </w:rPr>
        <w:t xml:space="preserve"> make </w:t>
      </w:r>
      <w:r w:rsidR="00E96E59">
        <w:rPr>
          <w:rFonts w:ascii="Arial" w:hAnsi="Arial" w:cs="Arial"/>
        </w:rPr>
        <w:t>it much</w:t>
      </w:r>
      <w:r>
        <w:rPr>
          <w:rFonts w:ascii="Arial" w:hAnsi="Arial" w:cs="Arial"/>
        </w:rPr>
        <w:t xml:space="preserve"> easier for firms to apply a price mark-up. In other words</w:t>
      </w:r>
      <w:r w:rsidR="00E96E59">
        <w:rPr>
          <w:rFonts w:ascii="Arial" w:hAnsi="Arial" w:cs="Arial"/>
        </w:rPr>
        <w:t>,</w:t>
      </w:r>
      <w:r>
        <w:rPr>
          <w:rFonts w:ascii="Arial" w:hAnsi="Arial" w:cs="Arial"/>
        </w:rPr>
        <w:t xml:space="preserve"> the larger E</w:t>
      </w:r>
      <w:r>
        <w:rPr>
          <w:rFonts w:ascii="Arial" w:hAnsi="Arial" w:cs="Arial"/>
          <w:vertAlign w:val="subscript"/>
        </w:rPr>
        <w:t>d</w:t>
      </w:r>
      <w:r w:rsidR="00DB2833" w:rsidRPr="00DB2833">
        <w:rPr>
          <w:rFonts w:ascii="Arial" w:hAnsi="Arial" w:cs="Arial"/>
        </w:rPr>
        <w:t>,</w:t>
      </w:r>
      <w:r>
        <w:rPr>
          <w:rFonts w:ascii="Arial" w:hAnsi="Arial" w:cs="Arial"/>
          <w:vertAlign w:val="subscript"/>
        </w:rPr>
        <w:t xml:space="preserve"> </w:t>
      </w:r>
      <w:r>
        <w:rPr>
          <w:rFonts w:ascii="Arial" w:hAnsi="Arial" w:cs="Arial"/>
        </w:rPr>
        <w:t xml:space="preserve">the smaller the </w:t>
      </w:r>
      <w:r w:rsidR="00E96E59">
        <w:rPr>
          <w:rFonts w:ascii="Arial" w:hAnsi="Arial" w:cs="Arial"/>
        </w:rPr>
        <w:t xml:space="preserve">potential </w:t>
      </w:r>
      <w:r>
        <w:rPr>
          <w:rFonts w:ascii="Arial" w:hAnsi="Arial" w:cs="Arial"/>
        </w:rPr>
        <w:t xml:space="preserve">price </w:t>
      </w:r>
      <w:r w:rsidR="00DB2833">
        <w:rPr>
          <w:rFonts w:ascii="Arial" w:hAnsi="Arial" w:cs="Arial"/>
        </w:rPr>
        <w:t>mark-up and</w:t>
      </w:r>
      <w:r w:rsidR="00B524B9">
        <w:rPr>
          <w:rFonts w:ascii="Arial" w:hAnsi="Arial" w:cs="Arial"/>
        </w:rPr>
        <w:t xml:space="preserve"> Lerner Index value</w:t>
      </w:r>
      <w:r w:rsidR="00DB2833">
        <w:rPr>
          <w:rFonts w:ascii="Arial" w:hAnsi="Arial" w:cs="Arial"/>
        </w:rPr>
        <w:t xml:space="preserve"> will be</w:t>
      </w:r>
      <w:r w:rsidR="00B524B9">
        <w:rPr>
          <w:rFonts w:ascii="Arial" w:hAnsi="Arial" w:cs="Arial"/>
        </w:rPr>
        <w:t>,</w:t>
      </w:r>
      <w:r>
        <w:rPr>
          <w:rFonts w:ascii="Arial" w:hAnsi="Arial" w:cs="Arial"/>
        </w:rPr>
        <w:t xml:space="preserve"> and the smaller </w:t>
      </w:r>
      <w:r w:rsidR="00DB2833">
        <w:rPr>
          <w:rFonts w:ascii="Arial" w:hAnsi="Arial" w:cs="Arial"/>
        </w:rPr>
        <w:t>E</w:t>
      </w:r>
      <w:r w:rsidR="00DB2833" w:rsidRPr="00DB2833">
        <w:rPr>
          <w:rFonts w:ascii="Arial" w:hAnsi="Arial" w:cs="Arial"/>
          <w:vertAlign w:val="subscript"/>
        </w:rPr>
        <w:t>d</w:t>
      </w:r>
      <w:r w:rsidR="00DB2833">
        <w:rPr>
          <w:rFonts w:ascii="Arial" w:hAnsi="Arial" w:cs="Arial"/>
        </w:rPr>
        <w:t>,</w:t>
      </w:r>
      <w:r>
        <w:rPr>
          <w:rFonts w:ascii="Arial" w:hAnsi="Arial" w:cs="Arial"/>
          <w:vertAlign w:val="subscript"/>
        </w:rPr>
        <w:t xml:space="preserve"> </w:t>
      </w:r>
      <w:r>
        <w:rPr>
          <w:rFonts w:ascii="Arial" w:hAnsi="Arial" w:cs="Arial"/>
        </w:rPr>
        <w:t xml:space="preserve">the larger the </w:t>
      </w:r>
      <w:r w:rsidR="00E96E59">
        <w:rPr>
          <w:rFonts w:ascii="Arial" w:hAnsi="Arial" w:cs="Arial"/>
        </w:rPr>
        <w:t xml:space="preserve">potential </w:t>
      </w:r>
      <w:r>
        <w:rPr>
          <w:rFonts w:ascii="Arial" w:hAnsi="Arial" w:cs="Arial"/>
        </w:rPr>
        <w:t>price mark-up</w:t>
      </w:r>
      <w:r w:rsidR="00B524B9">
        <w:rPr>
          <w:rFonts w:ascii="Arial" w:hAnsi="Arial" w:cs="Arial"/>
        </w:rPr>
        <w:t xml:space="preserve"> and the larger the Lerner Index value</w:t>
      </w:r>
      <w:r>
        <w:rPr>
          <w:rFonts w:ascii="Arial" w:hAnsi="Arial" w:cs="Arial"/>
        </w:rPr>
        <w:t>.</w:t>
      </w:r>
      <w:r w:rsidR="00076505">
        <w:rPr>
          <w:rStyle w:val="Funotenzeichen"/>
          <w:rFonts w:ascii="Arial" w:hAnsi="Arial" w:cs="Arial"/>
        </w:rPr>
        <w:footnoteReference w:id="690"/>
      </w:r>
    </w:p>
    <w:p w:rsidR="00406254" w:rsidRDefault="00406254" w:rsidP="002563E6">
      <w:pPr>
        <w:contextualSpacing/>
        <w:jc w:val="both"/>
        <w:rPr>
          <w:rFonts w:ascii="Arial" w:hAnsi="Arial" w:cs="Arial"/>
        </w:rPr>
      </w:pPr>
    </w:p>
    <w:p w:rsidR="00E10567" w:rsidRDefault="00E10567" w:rsidP="002563E6">
      <w:pPr>
        <w:contextualSpacing/>
        <w:jc w:val="both"/>
        <w:rPr>
          <w:rFonts w:ascii="Arial" w:hAnsi="Arial" w:cs="Arial"/>
        </w:rPr>
      </w:pPr>
      <w:r>
        <w:rPr>
          <w:rFonts w:ascii="Arial" w:hAnsi="Arial" w:cs="Arial"/>
        </w:rPr>
        <w:t>To conclude, in practice the application of the Lerner Index and the price elasticity of demand is severely limited by the scarcity of</w:t>
      </w:r>
      <w:r w:rsidR="001D31CC">
        <w:rPr>
          <w:rFonts w:ascii="Arial" w:hAnsi="Arial" w:cs="Arial"/>
        </w:rPr>
        <w:t xml:space="preserve"> the</w:t>
      </w:r>
      <w:r>
        <w:rPr>
          <w:rFonts w:ascii="Arial" w:hAnsi="Arial" w:cs="Arial"/>
        </w:rPr>
        <w:t xml:space="preserve"> </w:t>
      </w:r>
      <w:r w:rsidR="00982ADD">
        <w:rPr>
          <w:rFonts w:ascii="Arial" w:hAnsi="Arial" w:cs="Arial"/>
        </w:rPr>
        <w:t xml:space="preserve">data required to </w:t>
      </w:r>
      <w:r w:rsidR="00982ADD" w:rsidRPr="00982ADD">
        <w:rPr>
          <w:rFonts w:ascii="Arial" w:hAnsi="Arial" w:cs="Arial"/>
        </w:rPr>
        <w:t>calculate</w:t>
      </w:r>
      <w:r w:rsidR="00982ADD">
        <w:rPr>
          <w:rFonts w:ascii="Arial" w:hAnsi="Arial" w:cs="Arial"/>
        </w:rPr>
        <w:t xml:space="preserve"> </w:t>
      </w:r>
      <w:r w:rsidR="000F2FD0">
        <w:rPr>
          <w:rFonts w:ascii="Arial" w:hAnsi="Arial" w:cs="Arial"/>
        </w:rPr>
        <w:t>the</w:t>
      </w:r>
      <w:r w:rsidR="002A2B36">
        <w:rPr>
          <w:rFonts w:ascii="Arial" w:hAnsi="Arial" w:cs="Arial"/>
        </w:rPr>
        <w:t>se direct measures of market power</w:t>
      </w:r>
      <w:r w:rsidR="00982ADD">
        <w:rPr>
          <w:rFonts w:ascii="Arial" w:hAnsi="Arial" w:cs="Arial"/>
        </w:rPr>
        <w:t>.</w:t>
      </w:r>
      <w:r w:rsidR="00982ADD">
        <w:rPr>
          <w:rStyle w:val="Funotenzeichen"/>
          <w:rFonts w:ascii="Arial" w:hAnsi="Arial" w:cs="Arial"/>
        </w:rPr>
        <w:footnoteReference w:id="691"/>
      </w:r>
      <w:r w:rsidR="000F2FD0">
        <w:rPr>
          <w:rFonts w:ascii="Arial" w:hAnsi="Arial" w:cs="Arial"/>
        </w:rPr>
        <w:t xml:space="preserve"> Accordingly, </w:t>
      </w:r>
      <w:r w:rsidR="009E0E3D">
        <w:rPr>
          <w:rFonts w:ascii="Arial" w:hAnsi="Arial" w:cs="Arial"/>
        </w:rPr>
        <w:t>various methods</w:t>
      </w:r>
      <w:r w:rsidR="000F2FD0">
        <w:rPr>
          <w:rFonts w:ascii="Arial" w:hAnsi="Arial" w:cs="Arial"/>
        </w:rPr>
        <w:t xml:space="preserve"> have been developed to measure market power</w:t>
      </w:r>
      <w:r w:rsidR="001D31CC">
        <w:rPr>
          <w:rFonts w:ascii="Arial" w:hAnsi="Arial" w:cs="Arial"/>
        </w:rPr>
        <w:t xml:space="preserve"> </w:t>
      </w:r>
      <w:r w:rsidR="009E0E3D">
        <w:rPr>
          <w:rFonts w:ascii="Arial" w:hAnsi="Arial" w:cs="Arial"/>
        </w:rPr>
        <w:t xml:space="preserve">indirectly </w:t>
      </w:r>
      <w:r w:rsidR="001D31CC">
        <w:rPr>
          <w:rFonts w:ascii="Arial" w:hAnsi="Arial" w:cs="Arial"/>
        </w:rPr>
        <w:t>to indicate whether a firm or a group of firms acting together have sufficient market power to enable them to abuse that market power and accordingly destroy competition in that market.</w:t>
      </w:r>
      <w:r w:rsidR="001D31CC">
        <w:rPr>
          <w:rStyle w:val="Funotenzeichen"/>
          <w:rFonts w:ascii="Arial" w:hAnsi="Arial" w:cs="Arial"/>
        </w:rPr>
        <w:footnoteReference w:id="692"/>
      </w:r>
      <w:r w:rsidR="002A2B36">
        <w:rPr>
          <w:rFonts w:ascii="Arial" w:hAnsi="Arial" w:cs="Arial"/>
        </w:rPr>
        <w:t xml:space="preserve"> In South Africa</w:t>
      </w:r>
      <w:r w:rsidR="00EF1088">
        <w:rPr>
          <w:rFonts w:ascii="Arial" w:hAnsi="Arial" w:cs="Arial"/>
        </w:rPr>
        <w:t>,</w:t>
      </w:r>
      <w:r w:rsidR="002A2B36">
        <w:rPr>
          <w:rFonts w:ascii="Arial" w:hAnsi="Arial" w:cs="Arial"/>
        </w:rPr>
        <w:t xml:space="preserve"> market power is measured indirectly using the </w:t>
      </w:r>
      <w:r w:rsidR="009E0E3D">
        <w:rPr>
          <w:rFonts w:ascii="Arial" w:hAnsi="Arial" w:cs="Arial"/>
        </w:rPr>
        <w:t>so-called</w:t>
      </w:r>
      <w:r w:rsidR="002A2B36">
        <w:rPr>
          <w:rFonts w:ascii="Arial" w:hAnsi="Arial" w:cs="Arial"/>
        </w:rPr>
        <w:t xml:space="preserve"> Structure</w:t>
      </w:r>
      <w:r w:rsidR="007C022B">
        <w:rPr>
          <w:rFonts w:ascii="Arial" w:hAnsi="Arial" w:cs="Arial"/>
        </w:rPr>
        <w:t>-</w:t>
      </w:r>
      <w:r w:rsidR="002A2B36">
        <w:rPr>
          <w:rFonts w:ascii="Arial" w:hAnsi="Arial" w:cs="Arial"/>
        </w:rPr>
        <w:t>Conduct</w:t>
      </w:r>
      <w:r w:rsidR="007C022B">
        <w:rPr>
          <w:rFonts w:ascii="Arial" w:hAnsi="Arial" w:cs="Arial"/>
        </w:rPr>
        <w:t>-</w:t>
      </w:r>
      <w:r w:rsidR="002A2B36">
        <w:rPr>
          <w:rFonts w:ascii="Arial" w:hAnsi="Arial" w:cs="Arial"/>
        </w:rPr>
        <w:t xml:space="preserve"> Performance paradigm</w:t>
      </w:r>
      <w:r w:rsidR="009E0E3D">
        <w:rPr>
          <w:rFonts w:ascii="Arial" w:hAnsi="Arial" w:cs="Arial"/>
        </w:rPr>
        <w:t xml:space="preserve"> (SCP)</w:t>
      </w:r>
      <w:r w:rsidR="002A2B36">
        <w:rPr>
          <w:rFonts w:ascii="Arial" w:hAnsi="Arial" w:cs="Arial"/>
        </w:rPr>
        <w:t>.</w:t>
      </w:r>
      <w:r w:rsidR="00C822B1">
        <w:rPr>
          <w:rFonts w:ascii="Arial" w:hAnsi="Arial" w:cs="Arial"/>
        </w:rPr>
        <w:t xml:space="preserve"> The SCP paradigm will be discussed in the following section.</w:t>
      </w:r>
      <w:r w:rsidR="00B30694">
        <w:rPr>
          <w:rStyle w:val="Funotenzeichen"/>
          <w:rFonts w:ascii="Arial" w:hAnsi="Arial" w:cs="Arial"/>
        </w:rPr>
        <w:footnoteReference w:id="693"/>
      </w:r>
    </w:p>
    <w:p w:rsidR="00E10567" w:rsidRDefault="00E10567" w:rsidP="002563E6">
      <w:pPr>
        <w:contextualSpacing/>
        <w:jc w:val="both"/>
        <w:rPr>
          <w:rFonts w:ascii="Arial" w:hAnsi="Arial" w:cs="Arial"/>
        </w:rPr>
      </w:pPr>
    </w:p>
    <w:p w:rsidR="00BE4F5A" w:rsidRDefault="00BE4F5A" w:rsidP="002563E6">
      <w:pPr>
        <w:contextualSpacing/>
        <w:jc w:val="both"/>
        <w:rPr>
          <w:rFonts w:ascii="Arial" w:hAnsi="Arial" w:cs="Arial"/>
        </w:rPr>
      </w:pPr>
    </w:p>
    <w:p w:rsidR="002563E6" w:rsidRDefault="002F5763" w:rsidP="002563E6">
      <w:pPr>
        <w:contextualSpacing/>
        <w:jc w:val="both"/>
        <w:rPr>
          <w:rFonts w:ascii="Arial" w:hAnsi="Arial" w:cs="Arial"/>
        </w:rPr>
      </w:pPr>
      <w:r>
        <w:rPr>
          <w:rFonts w:ascii="Arial" w:hAnsi="Arial" w:cs="Arial"/>
        </w:rPr>
        <w:t>3.3.4.2</w:t>
      </w:r>
      <w:r w:rsidR="009A280A">
        <w:rPr>
          <w:rFonts w:ascii="Arial" w:hAnsi="Arial" w:cs="Arial"/>
        </w:rPr>
        <w:t xml:space="preserve"> Indirect measure of market power</w:t>
      </w:r>
    </w:p>
    <w:p w:rsidR="008109F9" w:rsidRDefault="0064106E" w:rsidP="00E106FE">
      <w:pPr>
        <w:contextualSpacing/>
        <w:jc w:val="both"/>
        <w:rPr>
          <w:rFonts w:ascii="Arial" w:hAnsi="Arial" w:cs="Arial"/>
        </w:rPr>
      </w:pPr>
      <w:r w:rsidRPr="002F5763">
        <w:rPr>
          <w:rFonts w:ascii="Arial" w:hAnsi="Arial" w:cs="Arial"/>
          <w:u w:val="single"/>
        </w:rPr>
        <w:t>Note</w:t>
      </w:r>
      <w:r w:rsidR="002F5763" w:rsidRPr="002F5763">
        <w:rPr>
          <w:rFonts w:ascii="Arial" w:hAnsi="Arial" w:cs="Arial"/>
          <w:u w:val="single"/>
        </w:rPr>
        <w:t>:</w:t>
      </w:r>
      <w:r>
        <w:rPr>
          <w:rFonts w:ascii="Arial" w:hAnsi="Arial" w:cs="Arial"/>
        </w:rPr>
        <w:t xml:space="preserve"> this paper focuses on the determinants and measurement of supply side market power i.e. the market power of producers and sellers and not those of consumers and buyers (demand side market power).</w:t>
      </w:r>
      <w:r w:rsidR="00D15F5D">
        <w:rPr>
          <w:rFonts w:ascii="Arial" w:hAnsi="Arial" w:cs="Arial"/>
        </w:rPr>
        <w:t xml:space="preserve"> </w:t>
      </w:r>
    </w:p>
    <w:p w:rsidR="00D15F5D" w:rsidRDefault="00D15F5D" w:rsidP="00E106FE">
      <w:pPr>
        <w:contextualSpacing/>
        <w:jc w:val="both"/>
        <w:rPr>
          <w:rFonts w:ascii="Arial" w:hAnsi="Arial" w:cs="Arial"/>
        </w:rPr>
      </w:pPr>
    </w:p>
    <w:p w:rsidR="00E106FE" w:rsidRPr="007F12FA" w:rsidRDefault="00097515" w:rsidP="00E106FE">
      <w:pPr>
        <w:contextualSpacing/>
        <w:jc w:val="both"/>
        <w:rPr>
          <w:rFonts w:ascii="Arial" w:hAnsi="Arial" w:cs="Arial"/>
        </w:rPr>
      </w:pPr>
      <w:r>
        <w:rPr>
          <w:rFonts w:ascii="Arial" w:hAnsi="Arial" w:cs="Arial"/>
        </w:rPr>
        <w:t>3.3.4.2.1</w:t>
      </w:r>
      <w:r w:rsidR="00E106FE">
        <w:rPr>
          <w:rFonts w:ascii="Arial" w:hAnsi="Arial" w:cs="Arial"/>
        </w:rPr>
        <w:t xml:space="preserve"> The Structure</w:t>
      </w:r>
      <w:r w:rsidR="00B438AE">
        <w:rPr>
          <w:rFonts w:ascii="Arial" w:hAnsi="Arial" w:cs="Arial"/>
        </w:rPr>
        <w:t>-</w:t>
      </w:r>
      <w:r w:rsidR="00E106FE">
        <w:rPr>
          <w:rFonts w:ascii="Arial" w:hAnsi="Arial" w:cs="Arial"/>
        </w:rPr>
        <w:t>Conduct</w:t>
      </w:r>
      <w:r w:rsidR="00B438AE">
        <w:rPr>
          <w:rFonts w:ascii="Arial" w:hAnsi="Arial" w:cs="Arial"/>
        </w:rPr>
        <w:t>-</w:t>
      </w:r>
      <w:r w:rsidR="00E106FE">
        <w:rPr>
          <w:rFonts w:ascii="Arial" w:hAnsi="Arial" w:cs="Arial"/>
        </w:rPr>
        <w:t xml:space="preserve">Performance </w:t>
      </w:r>
      <w:r w:rsidR="00E106FE" w:rsidRPr="00B83DCE">
        <w:rPr>
          <w:rFonts w:ascii="Arial" w:hAnsi="Arial" w:cs="Arial"/>
        </w:rPr>
        <w:t>paradigm</w:t>
      </w:r>
    </w:p>
    <w:p w:rsidR="0047332F" w:rsidRDefault="0047332F" w:rsidP="002563E6">
      <w:pPr>
        <w:contextualSpacing/>
        <w:jc w:val="both"/>
        <w:rPr>
          <w:rFonts w:ascii="Arial" w:hAnsi="Arial" w:cs="Arial"/>
        </w:rPr>
      </w:pPr>
    </w:p>
    <w:p w:rsidR="00AF6009" w:rsidRDefault="00B83DCE" w:rsidP="00AF6009">
      <w:pPr>
        <w:contextualSpacing/>
        <w:jc w:val="both"/>
        <w:rPr>
          <w:rFonts w:ascii="Arial" w:hAnsi="Arial" w:cs="Arial"/>
        </w:rPr>
      </w:pPr>
      <w:r>
        <w:rPr>
          <w:rFonts w:ascii="Arial" w:hAnsi="Arial" w:cs="Arial"/>
        </w:rPr>
        <w:t>As discussed earlier</w:t>
      </w:r>
      <w:r w:rsidR="00822994">
        <w:rPr>
          <w:rStyle w:val="Funotenzeichen"/>
          <w:rFonts w:ascii="Arial" w:hAnsi="Arial" w:cs="Arial"/>
        </w:rPr>
        <w:footnoteReference w:id="694"/>
      </w:r>
      <w:r>
        <w:rPr>
          <w:rFonts w:ascii="Arial" w:hAnsi="Arial" w:cs="Arial"/>
        </w:rPr>
        <w:t xml:space="preserve"> t</w:t>
      </w:r>
      <w:r w:rsidRPr="00140702">
        <w:rPr>
          <w:rFonts w:ascii="Arial" w:hAnsi="Arial" w:cs="Arial"/>
        </w:rPr>
        <w:t>he market system itself consists of different models with the so called “perfectly competitive model” being the most efficient model for the market system.</w:t>
      </w:r>
      <w:r w:rsidRPr="00140702">
        <w:rPr>
          <w:rStyle w:val="Funotenzeichen"/>
          <w:rFonts w:ascii="Arial" w:hAnsi="Arial" w:cs="Arial"/>
        </w:rPr>
        <w:footnoteReference w:id="695"/>
      </w:r>
      <w:r w:rsidRPr="00140702">
        <w:rPr>
          <w:rFonts w:ascii="Arial" w:hAnsi="Arial" w:cs="Arial"/>
        </w:rPr>
        <w:t xml:space="preserve"> </w:t>
      </w:r>
      <w:r w:rsidR="00AF6009">
        <w:rPr>
          <w:rFonts w:ascii="Arial" w:hAnsi="Arial" w:cs="Arial"/>
        </w:rPr>
        <w:t xml:space="preserve">Furthermore, economic theory stipulates that in a perfectly competitive market no firm </w:t>
      </w:r>
      <w:r w:rsidR="00AF6009" w:rsidRPr="006C7AC5">
        <w:rPr>
          <w:rFonts w:ascii="Arial" w:hAnsi="Arial" w:cs="Arial"/>
        </w:rPr>
        <w:t>possess</w:t>
      </w:r>
      <w:r w:rsidR="00AF6009">
        <w:rPr>
          <w:rFonts w:ascii="Arial" w:hAnsi="Arial" w:cs="Arial"/>
        </w:rPr>
        <w:t xml:space="preserve"> sufficient market power to allow it to individually influence the market price and hence also the market quantity.</w:t>
      </w:r>
      <w:r w:rsidR="00AF6009">
        <w:rPr>
          <w:rStyle w:val="Funotenzeichen"/>
          <w:rFonts w:ascii="Arial" w:hAnsi="Arial" w:cs="Arial"/>
        </w:rPr>
        <w:footnoteReference w:id="696"/>
      </w:r>
      <w:r w:rsidR="00AF6009">
        <w:rPr>
          <w:rFonts w:ascii="Arial" w:hAnsi="Arial" w:cs="Arial"/>
        </w:rPr>
        <w:t xml:space="preserve"> Consequently, in a perfectly competitive market, all firms are price takers since all firms within that perfectly competitive market are constraint to ask the market price (P</w:t>
      </w:r>
      <w:r w:rsidR="00AF6009">
        <w:rPr>
          <w:rFonts w:ascii="Arial" w:hAnsi="Arial" w:cs="Arial"/>
          <w:vertAlign w:val="subscript"/>
        </w:rPr>
        <w:t>m</w:t>
      </w:r>
      <w:r w:rsidR="00AF6009">
        <w:rPr>
          <w:rFonts w:ascii="Arial" w:hAnsi="Arial" w:cs="Arial"/>
        </w:rPr>
        <w:t>) for their products.</w:t>
      </w:r>
      <w:r w:rsidR="00AF6009">
        <w:rPr>
          <w:rStyle w:val="Funotenzeichen"/>
          <w:rFonts w:ascii="Arial" w:hAnsi="Arial" w:cs="Arial"/>
        </w:rPr>
        <w:footnoteReference w:id="697"/>
      </w:r>
      <w:r w:rsidR="00AF6009">
        <w:rPr>
          <w:rFonts w:ascii="Arial" w:hAnsi="Arial" w:cs="Arial"/>
        </w:rPr>
        <w:t xml:space="preserve"> </w:t>
      </w:r>
    </w:p>
    <w:p w:rsidR="00B83DCE" w:rsidRDefault="00B83DCE" w:rsidP="00B83DCE">
      <w:pPr>
        <w:contextualSpacing/>
        <w:jc w:val="both"/>
        <w:rPr>
          <w:rFonts w:ascii="Arial" w:hAnsi="Arial" w:cs="Arial"/>
        </w:rPr>
      </w:pPr>
    </w:p>
    <w:p w:rsidR="00B83DCE" w:rsidRPr="00140702" w:rsidRDefault="00B83DCE" w:rsidP="00B83DCE">
      <w:pPr>
        <w:contextualSpacing/>
        <w:jc w:val="both"/>
        <w:rPr>
          <w:rFonts w:ascii="Arial" w:hAnsi="Arial" w:cs="Arial"/>
        </w:rPr>
      </w:pPr>
      <w:r w:rsidRPr="00140702">
        <w:rPr>
          <w:rFonts w:ascii="Arial" w:hAnsi="Arial" w:cs="Arial"/>
        </w:rPr>
        <w:t xml:space="preserve">Accordingly, no individual firm is in a position to coordinate and direct the economic activity within </w:t>
      </w:r>
      <w:r w:rsidR="00AF6009">
        <w:rPr>
          <w:rFonts w:ascii="Arial" w:hAnsi="Arial" w:cs="Arial"/>
        </w:rPr>
        <w:t>a perfectly competitive</w:t>
      </w:r>
      <w:r w:rsidRPr="00140702">
        <w:rPr>
          <w:rFonts w:ascii="Arial" w:hAnsi="Arial" w:cs="Arial"/>
        </w:rPr>
        <w:t xml:space="preserve"> market. Stated differently, in a perfectly competitive market no individual firm can influence the market price and accordingly no individual firm has control over the quantity de</w:t>
      </w:r>
      <w:r w:rsidR="00044460">
        <w:rPr>
          <w:rFonts w:ascii="Arial" w:hAnsi="Arial" w:cs="Arial"/>
        </w:rPr>
        <w:t xml:space="preserve">manded and supplied within that </w:t>
      </w:r>
      <w:r w:rsidRPr="00140702">
        <w:rPr>
          <w:rFonts w:ascii="Arial" w:hAnsi="Arial" w:cs="Arial"/>
        </w:rPr>
        <w:t xml:space="preserve"> market.</w:t>
      </w:r>
      <w:r w:rsidRPr="00140702">
        <w:rPr>
          <w:rStyle w:val="Funotenzeichen"/>
          <w:rFonts w:ascii="Arial" w:hAnsi="Arial" w:cs="Arial"/>
        </w:rPr>
        <w:footnoteReference w:id="698"/>
      </w:r>
      <w:r w:rsidRPr="00140702">
        <w:rPr>
          <w:rFonts w:ascii="Arial" w:hAnsi="Arial" w:cs="Arial"/>
        </w:rPr>
        <w:t xml:space="preserve"> Consequently, in a perfectly competitive market all the firms are in a position of perfect competition with each other.</w:t>
      </w:r>
      <w:r w:rsidRPr="00140702">
        <w:rPr>
          <w:rStyle w:val="Funotenzeichen"/>
          <w:rFonts w:ascii="Arial" w:hAnsi="Arial" w:cs="Arial"/>
        </w:rPr>
        <w:footnoteReference w:id="699"/>
      </w:r>
      <w:r w:rsidRPr="00140702">
        <w:rPr>
          <w:rFonts w:ascii="Arial" w:hAnsi="Arial" w:cs="Arial"/>
        </w:rPr>
        <w:t xml:space="preserve"> </w:t>
      </w:r>
      <w:r w:rsidR="00521F5F">
        <w:rPr>
          <w:rFonts w:ascii="Arial" w:hAnsi="Arial" w:cs="Arial"/>
        </w:rPr>
        <w:t xml:space="preserve">The result of the perfectly competitive market is thus that the scarce economic </w:t>
      </w:r>
      <w:r w:rsidR="00521F5F" w:rsidRPr="00140702">
        <w:rPr>
          <w:rFonts w:ascii="Arial" w:hAnsi="Arial" w:cs="Arial"/>
        </w:rPr>
        <w:t>resources</w:t>
      </w:r>
      <w:r w:rsidR="00521F5F">
        <w:rPr>
          <w:rFonts w:ascii="Arial" w:hAnsi="Arial" w:cs="Arial"/>
        </w:rPr>
        <w:t xml:space="preserve"> </w:t>
      </w:r>
      <w:r w:rsidR="00B70F1B">
        <w:rPr>
          <w:rFonts w:ascii="Arial" w:hAnsi="Arial" w:cs="Arial"/>
        </w:rPr>
        <w:t xml:space="preserve">of society </w:t>
      </w:r>
      <w:r w:rsidR="00521F5F">
        <w:rPr>
          <w:rFonts w:ascii="Arial" w:hAnsi="Arial" w:cs="Arial"/>
        </w:rPr>
        <w:t>are used</w:t>
      </w:r>
      <w:r w:rsidR="00521F5F" w:rsidRPr="00140702">
        <w:rPr>
          <w:rFonts w:ascii="Arial" w:hAnsi="Arial" w:cs="Arial"/>
        </w:rPr>
        <w:t xml:space="preserve"> in such a way that the socially efficient quantity is produced at the socially efficient price i.e. market equilibrium is </w:t>
      </w:r>
      <w:r w:rsidR="00B70F1B">
        <w:rPr>
          <w:rFonts w:ascii="Arial" w:hAnsi="Arial" w:cs="Arial"/>
        </w:rPr>
        <w:t>obtained</w:t>
      </w:r>
      <w:r w:rsidR="00521F5F" w:rsidRPr="00140702">
        <w:rPr>
          <w:rFonts w:ascii="Arial" w:hAnsi="Arial" w:cs="Arial"/>
        </w:rPr>
        <w:t>.</w:t>
      </w:r>
      <w:r w:rsidR="00521F5F" w:rsidRPr="00140702">
        <w:rPr>
          <w:rStyle w:val="Funotenzeichen"/>
          <w:rFonts w:ascii="Arial" w:hAnsi="Arial" w:cs="Arial"/>
        </w:rPr>
        <w:footnoteReference w:id="700"/>
      </w:r>
    </w:p>
    <w:p w:rsidR="00AF6009" w:rsidRDefault="00AF6009" w:rsidP="00B83DCE">
      <w:pPr>
        <w:contextualSpacing/>
        <w:jc w:val="both"/>
        <w:rPr>
          <w:rFonts w:ascii="Arial" w:hAnsi="Arial" w:cs="Arial"/>
        </w:rPr>
      </w:pPr>
    </w:p>
    <w:p w:rsidR="00B83DCE" w:rsidRPr="00140702" w:rsidRDefault="00AF6009" w:rsidP="00B83DCE">
      <w:pPr>
        <w:contextualSpacing/>
        <w:jc w:val="both"/>
        <w:rPr>
          <w:rFonts w:ascii="Arial" w:hAnsi="Arial" w:cs="Arial"/>
        </w:rPr>
      </w:pPr>
      <w:r>
        <w:rPr>
          <w:rFonts w:ascii="Arial" w:hAnsi="Arial" w:cs="Arial"/>
        </w:rPr>
        <w:t>I</w:t>
      </w:r>
      <w:r w:rsidRPr="00140702">
        <w:rPr>
          <w:rFonts w:ascii="Arial" w:hAnsi="Arial" w:cs="Arial"/>
        </w:rPr>
        <w:t>n view of the fact that</w:t>
      </w:r>
      <w:r w:rsidR="00B83DCE" w:rsidRPr="00140702">
        <w:rPr>
          <w:rFonts w:ascii="Arial" w:hAnsi="Arial" w:cs="Arial"/>
        </w:rPr>
        <w:t xml:space="preserve"> the perfectly competitive market is the most efficient form of the market </w:t>
      </w:r>
      <w:r w:rsidR="009E7476" w:rsidRPr="00140702">
        <w:rPr>
          <w:rFonts w:ascii="Arial" w:hAnsi="Arial" w:cs="Arial"/>
        </w:rPr>
        <w:t>system,</w:t>
      </w:r>
      <w:r w:rsidR="00B83DCE" w:rsidRPr="00140702">
        <w:rPr>
          <w:rFonts w:ascii="Arial" w:hAnsi="Arial" w:cs="Arial"/>
        </w:rPr>
        <w:t xml:space="preserve"> it is used as the benchmark for reviewing all other markets.</w:t>
      </w:r>
      <w:r w:rsidR="00B83DCE" w:rsidRPr="00140702">
        <w:rPr>
          <w:rStyle w:val="Funotenzeichen"/>
          <w:rFonts w:ascii="Arial" w:hAnsi="Arial" w:cs="Arial"/>
        </w:rPr>
        <w:footnoteReference w:id="701"/>
      </w:r>
      <w:r w:rsidR="00B83DCE" w:rsidRPr="00140702">
        <w:rPr>
          <w:rFonts w:ascii="Arial" w:hAnsi="Arial" w:cs="Arial"/>
        </w:rPr>
        <w:t xml:space="preserve"> In real life</w:t>
      </w:r>
      <w:r w:rsidR="00B83DCE">
        <w:rPr>
          <w:rFonts w:ascii="Arial" w:hAnsi="Arial" w:cs="Arial"/>
        </w:rPr>
        <w:t xml:space="preserve"> however,</w:t>
      </w:r>
      <w:r w:rsidR="00B83DCE" w:rsidRPr="00140702">
        <w:rPr>
          <w:rFonts w:ascii="Arial" w:hAnsi="Arial" w:cs="Arial"/>
        </w:rPr>
        <w:t xml:space="preserve"> no market actually achieves the position of being perfectly competitive.</w:t>
      </w:r>
      <w:r w:rsidR="00B83DCE" w:rsidRPr="00140702">
        <w:rPr>
          <w:rStyle w:val="Funotenzeichen"/>
          <w:rFonts w:ascii="Arial" w:hAnsi="Arial" w:cs="Arial"/>
        </w:rPr>
        <w:footnoteReference w:id="702"/>
      </w:r>
      <w:r w:rsidR="00B83DCE" w:rsidRPr="00140702">
        <w:rPr>
          <w:rFonts w:ascii="Arial" w:hAnsi="Arial" w:cs="Arial"/>
        </w:rPr>
        <w:t xml:space="preserve"> The perfectly competitive market does however provide a very useful benchmark that can be used to estimate and increase the efficiency </w:t>
      </w:r>
      <w:r w:rsidR="00B83DCE">
        <w:rPr>
          <w:rFonts w:ascii="Arial" w:hAnsi="Arial" w:cs="Arial"/>
        </w:rPr>
        <w:t>in</w:t>
      </w:r>
      <w:r w:rsidR="00B83DCE" w:rsidRPr="00140702">
        <w:rPr>
          <w:rFonts w:ascii="Arial" w:hAnsi="Arial" w:cs="Arial"/>
        </w:rPr>
        <w:t xml:space="preserve"> markets.</w:t>
      </w:r>
      <w:r w:rsidR="00B83DCE" w:rsidRPr="00140702">
        <w:rPr>
          <w:rStyle w:val="Funotenzeichen"/>
          <w:rFonts w:ascii="Arial" w:hAnsi="Arial" w:cs="Arial"/>
        </w:rPr>
        <w:footnoteReference w:id="703"/>
      </w:r>
      <w:r w:rsidR="00B83DCE" w:rsidRPr="00140702">
        <w:rPr>
          <w:rFonts w:ascii="Arial" w:hAnsi="Arial" w:cs="Arial"/>
        </w:rPr>
        <w:t xml:space="preserve"> </w:t>
      </w:r>
    </w:p>
    <w:p w:rsidR="00B83DCE" w:rsidRDefault="00B83DCE" w:rsidP="002563E6">
      <w:pPr>
        <w:contextualSpacing/>
        <w:jc w:val="both"/>
        <w:rPr>
          <w:rFonts w:ascii="Arial" w:hAnsi="Arial" w:cs="Arial"/>
        </w:rPr>
      </w:pPr>
    </w:p>
    <w:p w:rsidR="00B83DCE" w:rsidRDefault="000715C8" w:rsidP="002563E6">
      <w:pPr>
        <w:contextualSpacing/>
        <w:jc w:val="both"/>
        <w:rPr>
          <w:rFonts w:ascii="Arial" w:hAnsi="Arial" w:cs="Arial"/>
        </w:rPr>
      </w:pPr>
      <w:r>
        <w:rPr>
          <w:rFonts w:ascii="Arial" w:hAnsi="Arial" w:cs="Arial"/>
        </w:rPr>
        <w:t xml:space="preserve">Also </w:t>
      </w:r>
      <w:r w:rsidR="00790076">
        <w:rPr>
          <w:rFonts w:ascii="Arial" w:hAnsi="Arial" w:cs="Arial"/>
        </w:rPr>
        <w:t xml:space="preserve">mentioned earlier, the monopoly </w:t>
      </w:r>
      <w:r w:rsidR="00790076" w:rsidRPr="006328C8">
        <w:rPr>
          <w:rFonts w:ascii="Arial" w:hAnsi="Arial" w:cs="Arial"/>
        </w:rPr>
        <w:t xml:space="preserve">market </w:t>
      </w:r>
      <w:r w:rsidR="006328C8">
        <w:rPr>
          <w:rFonts w:ascii="Arial" w:hAnsi="Arial" w:cs="Arial"/>
        </w:rPr>
        <w:t>is positioned in</w:t>
      </w:r>
      <w:r w:rsidR="00790076">
        <w:rPr>
          <w:rFonts w:ascii="Arial" w:hAnsi="Arial" w:cs="Arial"/>
        </w:rPr>
        <w:t xml:space="preserve"> stark </w:t>
      </w:r>
      <w:r w:rsidR="006328C8">
        <w:rPr>
          <w:rFonts w:ascii="Arial" w:hAnsi="Arial" w:cs="Arial"/>
        </w:rPr>
        <w:t>contrast</w:t>
      </w:r>
      <w:r w:rsidR="00790076">
        <w:rPr>
          <w:rFonts w:ascii="Arial" w:hAnsi="Arial" w:cs="Arial"/>
        </w:rPr>
        <w:t xml:space="preserve"> to the perfectly competitive </w:t>
      </w:r>
      <w:r w:rsidR="006328C8">
        <w:rPr>
          <w:rFonts w:ascii="Arial" w:hAnsi="Arial" w:cs="Arial"/>
        </w:rPr>
        <w:t>market.</w:t>
      </w:r>
      <w:r w:rsidR="006328C8">
        <w:rPr>
          <w:rStyle w:val="Funotenzeichen"/>
          <w:rFonts w:ascii="Arial" w:hAnsi="Arial" w:cs="Arial"/>
        </w:rPr>
        <w:footnoteReference w:id="704"/>
      </w:r>
      <w:r w:rsidR="00790076">
        <w:rPr>
          <w:rFonts w:ascii="Arial" w:hAnsi="Arial" w:cs="Arial"/>
        </w:rPr>
        <w:t xml:space="preserve"> </w:t>
      </w:r>
      <w:r w:rsidR="006328C8">
        <w:rPr>
          <w:rFonts w:ascii="Arial" w:hAnsi="Arial" w:cs="Arial"/>
        </w:rPr>
        <w:t>T</w:t>
      </w:r>
      <w:r w:rsidR="00790076">
        <w:rPr>
          <w:rFonts w:ascii="Arial" w:hAnsi="Arial" w:cs="Arial"/>
        </w:rPr>
        <w:t>he monopolist is unconstraint from asking the market price and consequently the monopolist will ask a higher price than that of the market price i.e. the monopolist has a great degree of market power</w:t>
      </w:r>
      <w:r w:rsidR="006328C8">
        <w:rPr>
          <w:rFonts w:ascii="Arial" w:hAnsi="Arial" w:cs="Arial"/>
        </w:rPr>
        <w:t xml:space="preserve"> which implies that the monopolist is in a position to influence the market forces and consequently also the efficiency of the market</w:t>
      </w:r>
      <w:r w:rsidR="00790076">
        <w:rPr>
          <w:rFonts w:ascii="Arial" w:hAnsi="Arial" w:cs="Arial"/>
        </w:rPr>
        <w:t>.</w:t>
      </w:r>
      <w:r w:rsidR="00790076">
        <w:rPr>
          <w:rStyle w:val="Funotenzeichen"/>
          <w:rFonts w:ascii="Arial" w:hAnsi="Arial" w:cs="Arial"/>
        </w:rPr>
        <w:footnoteReference w:id="705"/>
      </w:r>
    </w:p>
    <w:p w:rsidR="000715C8" w:rsidRDefault="000715C8" w:rsidP="002563E6">
      <w:pPr>
        <w:contextualSpacing/>
        <w:jc w:val="both"/>
        <w:rPr>
          <w:rFonts w:ascii="Arial" w:hAnsi="Arial" w:cs="Arial"/>
        </w:rPr>
      </w:pPr>
    </w:p>
    <w:p w:rsidR="000715C8" w:rsidRDefault="007C022B" w:rsidP="002563E6">
      <w:pPr>
        <w:contextualSpacing/>
        <w:jc w:val="both"/>
        <w:rPr>
          <w:rFonts w:ascii="Arial" w:hAnsi="Arial" w:cs="Arial"/>
        </w:rPr>
      </w:pPr>
      <w:r>
        <w:rPr>
          <w:rFonts w:ascii="Arial" w:hAnsi="Arial" w:cs="Arial"/>
        </w:rPr>
        <w:t>With the</w:t>
      </w:r>
      <w:r w:rsidR="00B438AE">
        <w:rPr>
          <w:rFonts w:ascii="Arial" w:hAnsi="Arial" w:cs="Arial"/>
        </w:rPr>
        <w:t>se</w:t>
      </w:r>
      <w:r>
        <w:rPr>
          <w:rFonts w:ascii="Arial" w:hAnsi="Arial" w:cs="Arial"/>
        </w:rPr>
        <w:t xml:space="preserve"> two extremes namely the perfectly competitive market and the monopoly market in mind</w:t>
      </w:r>
      <w:r w:rsidR="00B438AE">
        <w:rPr>
          <w:rFonts w:ascii="Arial" w:hAnsi="Arial" w:cs="Arial"/>
        </w:rPr>
        <w:t>,</w:t>
      </w:r>
      <w:r>
        <w:rPr>
          <w:rFonts w:ascii="Arial" w:hAnsi="Arial" w:cs="Arial"/>
        </w:rPr>
        <w:t xml:space="preserve"> Edward S. Mason developed the </w:t>
      </w:r>
      <w:r w:rsidR="000715C8">
        <w:rPr>
          <w:rFonts w:ascii="Arial" w:hAnsi="Arial" w:cs="Arial"/>
        </w:rPr>
        <w:t>Structure-Conduct-Performance</w:t>
      </w:r>
      <w:r>
        <w:rPr>
          <w:rFonts w:ascii="Arial" w:hAnsi="Arial" w:cs="Arial"/>
        </w:rPr>
        <w:t xml:space="preserve"> paradigm.</w:t>
      </w:r>
      <w:r w:rsidR="00092528">
        <w:rPr>
          <w:rStyle w:val="Funotenzeichen"/>
          <w:rFonts w:ascii="Arial" w:hAnsi="Arial" w:cs="Arial"/>
        </w:rPr>
        <w:footnoteReference w:id="706"/>
      </w:r>
      <w:r>
        <w:rPr>
          <w:rFonts w:ascii="Arial" w:hAnsi="Arial" w:cs="Arial"/>
        </w:rPr>
        <w:t xml:space="preserve"> The SCP paradigm functions between </w:t>
      </w:r>
      <w:r w:rsidR="00B438AE">
        <w:rPr>
          <w:rFonts w:ascii="Arial" w:hAnsi="Arial" w:cs="Arial"/>
        </w:rPr>
        <w:t xml:space="preserve">the </w:t>
      </w:r>
      <w:r>
        <w:rPr>
          <w:rFonts w:ascii="Arial" w:hAnsi="Arial" w:cs="Arial"/>
        </w:rPr>
        <w:t>perfectly competitive market and the monopoly market and is used to determine</w:t>
      </w:r>
      <w:r w:rsidR="00B438AE">
        <w:rPr>
          <w:rFonts w:ascii="Arial" w:hAnsi="Arial" w:cs="Arial"/>
        </w:rPr>
        <w:t xml:space="preserve"> the</w:t>
      </w:r>
      <w:r>
        <w:rPr>
          <w:rFonts w:ascii="Arial" w:hAnsi="Arial" w:cs="Arial"/>
        </w:rPr>
        <w:t xml:space="preserve"> nature and degree of competition in </w:t>
      </w:r>
      <w:r w:rsidR="00044460">
        <w:rPr>
          <w:rFonts w:ascii="Arial" w:hAnsi="Arial" w:cs="Arial"/>
        </w:rPr>
        <w:t>the relevant</w:t>
      </w:r>
      <w:r w:rsidR="00B438AE">
        <w:rPr>
          <w:rFonts w:ascii="Arial" w:hAnsi="Arial" w:cs="Arial"/>
        </w:rPr>
        <w:t xml:space="preserve"> market</w:t>
      </w:r>
      <w:r>
        <w:rPr>
          <w:rFonts w:ascii="Arial" w:hAnsi="Arial" w:cs="Arial"/>
        </w:rPr>
        <w:t>.</w:t>
      </w:r>
      <w:r w:rsidR="002A6F60">
        <w:rPr>
          <w:rStyle w:val="Funotenzeichen"/>
          <w:rFonts w:ascii="Arial" w:hAnsi="Arial" w:cs="Arial"/>
        </w:rPr>
        <w:footnoteReference w:id="707"/>
      </w:r>
      <w:r>
        <w:rPr>
          <w:rFonts w:ascii="Arial" w:hAnsi="Arial" w:cs="Arial"/>
        </w:rPr>
        <w:t xml:space="preserve"> </w:t>
      </w:r>
      <w:r w:rsidRPr="00092528">
        <w:rPr>
          <w:rFonts w:ascii="Arial" w:hAnsi="Arial" w:cs="Arial"/>
        </w:rPr>
        <w:t>Furthermore</w:t>
      </w:r>
      <w:r>
        <w:rPr>
          <w:rFonts w:ascii="Arial" w:hAnsi="Arial" w:cs="Arial"/>
        </w:rPr>
        <w:t xml:space="preserve">, it is held that the nature and degree of competition in a </w:t>
      </w:r>
      <w:r w:rsidR="00092528">
        <w:rPr>
          <w:rFonts w:ascii="Arial" w:hAnsi="Arial" w:cs="Arial"/>
        </w:rPr>
        <w:t xml:space="preserve">market </w:t>
      </w:r>
      <w:r w:rsidR="00092528" w:rsidRPr="00092528">
        <w:rPr>
          <w:rFonts w:ascii="Arial" w:hAnsi="Arial" w:cs="Arial"/>
        </w:rPr>
        <w:t>determine</w:t>
      </w:r>
      <w:r w:rsidR="00092528">
        <w:rPr>
          <w:rFonts w:ascii="Arial" w:hAnsi="Arial" w:cs="Arial"/>
        </w:rPr>
        <w:t>s</w:t>
      </w:r>
      <w:r>
        <w:rPr>
          <w:rFonts w:ascii="Arial" w:hAnsi="Arial" w:cs="Arial"/>
        </w:rPr>
        <w:t xml:space="preserve"> whether it is possible for fi</w:t>
      </w:r>
      <w:r w:rsidR="00092528">
        <w:rPr>
          <w:rFonts w:ascii="Arial" w:hAnsi="Arial" w:cs="Arial"/>
        </w:rPr>
        <w:t>rms to abuse their unilateral and/or collective market power.</w:t>
      </w:r>
      <w:r w:rsidR="00E769F4">
        <w:rPr>
          <w:rStyle w:val="Funotenzeichen"/>
          <w:rFonts w:ascii="Arial" w:hAnsi="Arial" w:cs="Arial"/>
        </w:rPr>
        <w:footnoteReference w:id="708"/>
      </w:r>
      <w:r w:rsidR="00E769F4">
        <w:rPr>
          <w:rFonts w:ascii="Arial" w:hAnsi="Arial" w:cs="Arial"/>
        </w:rPr>
        <w:t>*</w:t>
      </w:r>
    </w:p>
    <w:p w:rsidR="00224C43" w:rsidRDefault="00224C43" w:rsidP="002563E6">
      <w:pPr>
        <w:contextualSpacing/>
        <w:jc w:val="both"/>
        <w:rPr>
          <w:rFonts w:ascii="Arial" w:hAnsi="Arial" w:cs="Arial"/>
        </w:rPr>
      </w:pPr>
    </w:p>
    <w:p w:rsidR="00B83DCE" w:rsidRDefault="00224C43" w:rsidP="002563E6">
      <w:pPr>
        <w:contextualSpacing/>
        <w:jc w:val="both"/>
        <w:rPr>
          <w:rFonts w:ascii="Arial" w:hAnsi="Arial" w:cs="Arial"/>
        </w:rPr>
      </w:pPr>
      <w:r>
        <w:rPr>
          <w:rFonts w:ascii="Arial" w:hAnsi="Arial" w:cs="Arial"/>
        </w:rPr>
        <w:t>The SCP paradigm states that “</w:t>
      </w:r>
      <w:r w:rsidR="00DD37CA">
        <w:rPr>
          <w:rFonts w:ascii="Arial" w:hAnsi="Arial" w:cs="Arial"/>
        </w:rPr>
        <w:t>exogenous basic conditions determine market structure and that there is a unidirectional flow of causality from market structure, through conduct, to performance.</w:t>
      </w:r>
      <w:r>
        <w:rPr>
          <w:rFonts w:ascii="Arial" w:hAnsi="Arial" w:cs="Arial"/>
        </w:rPr>
        <w:t>”</w:t>
      </w:r>
      <w:r w:rsidR="00DD37CA">
        <w:rPr>
          <w:rStyle w:val="Funotenzeichen"/>
          <w:rFonts w:ascii="Arial" w:hAnsi="Arial" w:cs="Arial"/>
        </w:rPr>
        <w:footnoteReference w:id="709"/>
      </w:r>
      <w:r w:rsidR="00D85E02">
        <w:rPr>
          <w:rFonts w:ascii="Arial" w:hAnsi="Arial" w:cs="Arial"/>
        </w:rPr>
        <w:t xml:space="preserve"> Stated differently, the SCP paradigm suggests that there is a causal </w:t>
      </w:r>
      <w:r w:rsidR="00DD4C45">
        <w:rPr>
          <w:rFonts w:ascii="Arial" w:hAnsi="Arial" w:cs="Arial"/>
        </w:rPr>
        <w:t>link</w:t>
      </w:r>
      <w:r w:rsidR="00D85E02">
        <w:rPr>
          <w:rFonts w:ascii="Arial" w:hAnsi="Arial" w:cs="Arial"/>
        </w:rPr>
        <w:t>, which run</w:t>
      </w:r>
      <w:r w:rsidR="00A97F46">
        <w:rPr>
          <w:rFonts w:ascii="Arial" w:hAnsi="Arial" w:cs="Arial"/>
        </w:rPr>
        <w:t>s</w:t>
      </w:r>
      <w:r w:rsidR="00D85E02">
        <w:rPr>
          <w:rFonts w:ascii="Arial" w:hAnsi="Arial" w:cs="Arial"/>
        </w:rPr>
        <w:t xml:space="preserve"> from the market structure, to the conduct of the firms</w:t>
      </w:r>
      <w:r w:rsidR="00754BCC">
        <w:rPr>
          <w:rFonts w:ascii="Arial" w:hAnsi="Arial" w:cs="Arial"/>
        </w:rPr>
        <w:t xml:space="preserve"> in that</w:t>
      </w:r>
      <w:r w:rsidR="00A97F46">
        <w:rPr>
          <w:rFonts w:ascii="Arial" w:hAnsi="Arial" w:cs="Arial"/>
        </w:rPr>
        <w:t xml:space="preserve"> </w:t>
      </w:r>
      <w:r w:rsidR="00DD4C45">
        <w:rPr>
          <w:rFonts w:ascii="Arial" w:hAnsi="Arial" w:cs="Arial"/>
        </w:rPr>
        <w:t>market to</w:t>
      </w:r>
      <w:r w:rsidR="00D85E02">
        <w:rPr>
          <w:rFonts w:ascii="Arial" w:hAnsi="Arial" w:cs="Arial"/>
        </w:rPr>
        <w:t xml:space="preserve"> the performan</w:t>
      </w:r>
      <w:r w:rsidR="00290541">
        <w:rPr>
          <w:rFonts w:ascii="Arial" w:hAnsi="Arial" w:cs="Arial"/>
        </w:rPr>
        <w:t>ce of the</w:t>
      </w:r>
      <w:r w:rsidR="00754BCC">
        <w:rPr>
          <w:rFonts w:ascii="Arial" w:hAnsi="Arial" w:cs="Arial"/>
        </w:rPr>
        <w:t xml:space="preserve"> firms in that</w:t>
      </w:r>
      <w:r w:rsidR="00290541">
        <w:rPr>
          <w:rFonts w:ascii="Arial" w:hAnsi="Arial" w:cs="Arial"/>
        </w:rPr>
        <w:t xml:space="preserve"> market.</w:t>
      </w:r>
      <w:r w:rsidR="00A97F46">
        <w:rPr>
          <w:rStyle w:val="Funotenzeichen"/>
          <w:rFonts w:ascii="Arial" w:hAnsi="Arial" w:cs="Arial"/>
        </w:rPr>
        <w:footnoteReference w:id="710"/>
      </w:r>
      <w:r w:rsidR="00290541">
        <w:rPr>
          <w:rFonts w:ascii="Arial" w:hAnsi="Arial" w:cs="Arial"/>
        </w:rPr>
        <w:t xml:space="preserve"> Furthermore</w:t>
      </w:r>
      <w:r w:rsidR="00A97F46">
        <w:rPr>
          <w:rFonts w:ascii="Arial" w:hAnsi="Arial" w:cs="Arial"/>
        </w:rPr>
        <w:t>,</w:t>
      </w:r>
      <w:r w:rsidR="00290541">
        <w:rPr>
          <w:rFonts w:ascii="Arial" w:hAnsi="Arial" w:cs="Arial"/>
        </w:rPr>
        <w:t xml:space="preserve"> it is suggested that this causal </w:t>
      </w:r>
      <w:r w:rsidR="00DD4C45">
        <w:rPr>
          <w:rFonts w:ascii="Arial" w:hAnsi="Arial" w:cs="Arial"/>
        </w:rPr>
        <w:t>link</w:t>
      </w:r>
      <w:r w:rsidR="00290541">
        <w:rPr>
          <w:rFonts w:ascii="Arial" w:hAnsi="Arial" w:cs="Arial"/>
        </w:rPr>
        <w:t xml:space="preserve"> only </w:t>
      </w:r>
      <w:r w:rsidR="00DD4C45">
        <w:rPr>
          <w:rFonts w:ascii="Arial" w:hAnsi="Arial" w:cs="Arial"/>
        </w:rPr>
        <w:t>moves</w:t>
      </w:r>
      <w:r w:rsidR="00290541">
        <w:rPr>
          <w:rFonts w:ascii="Arial" w:hAnsi="Arial" w:cs="Arial"/>
        </w:rPr>
        <w:t xml:space="preserve"> in one direction namely from the market structure, to the firm behaviour to the performance of the </w:t>
      </w:r>
      <w:r w:rsidR="00B438AE">
        <w:rPr>
          <w:rFonts w:ascii="Arial" w:hAnsi="Arial" w:cs="Arial"/>
        </w:rPr>
        <w:t>firms</w:t>
      </w:r>
      <w:r w:rsidR="00290541">
        <w:rPr>
          <w:rFonts w:ascii="Arial" w:hAnsi="Arial" w:cs="Arial"/>
        </w:rPr>
        <w:t>.</w:t>
      </w:r>
      <w:r w:rsidR="00DD4C45">
        <w:rPr>
          <w:rStyle w:val="Funotenzeichen"/>
          <w:rFonts w:ascii="Arial" w:hAnsi="Arial" w:cs="Arial"/>
        </w:rPr>
        <w:footnoteReference w:id="711"/>
      </w:r>
      <w:r w:rsidR="00290541">
        <w:rPr>
          <w:rFonts w:ascii="Arial" w:hAnsi="Arial" w:cs="Arial"/>
        </w:rPr>
        <w:t xml:space="preserve"> </w:t>
      </w:r>
      <w:r w:rsidR="004275A2">
        <w:rPr>
          <w:rFonts w:ascii="Arial" w:hAnsi="Arial" w:cs="Arial"/>
        </w:rPr>
        <w:t>Accordingly, the most important concept in the SCP paradigm is that of market structure</w:t>
      </w:r>
      <w:r w:rsidR="00A13868">
        <w:rPr>
          <w:rFonts w:ascii="Arial" w:hAnsi="Arial" w:cs="Arial"/>
        </w:rPr>
        <w:t xml:space="preserve"> because market structure is regarded as the primary variable that influences market performance i.e. the efficiency of the market</w:t>
      </w:r>
      <w:r w:rsidR="004275A2">
        <w:rPr>
          <w:rFonts w:ascii="Arial" w:hAnsi="Arial" w:cs="Arial"/>
        </w:rPr>
        <w:t>.</w:t>
      </w:r>
      <w:r w:rsidR="00AC7947">
        <w:rPr>
          <w:rStyle w:val="Funotenzeichen"/>
          <w:rFonts w:ascii="Arial" w:hAnsi="Arial" w:cs="Arial"/>
        </w:rPr>
        <w:footnoteReference w:id="712"/>
      </w:r>
      <w:r w:rsidR="00A13868">
        <w:rPr>
          <w:rFonts w:ascii="Arial" w:hAnsi="Arial" w:cs="Arial"/>
        </w:rPr>
        <w:t xml:space="preserve"> </w:t>
      </w:r>
      <w:r w:rsidR="00AC7947">
        <w:rPr>
          <w:rFonts w:ascii="Arial" w:hAnsi="Arial" w:cs="Arial"/>
        </w:rPr>
        <w:t>Therefore</w:t>
      </w:r>
      <w:r w:rsidR="00A13868">
        <w:rPr>
          <w:rFonts w:ascii="Arial" w:hAnsi="Arial" w:cs="Arial"/>
        </w:rPr>
        <w:t xml:space="preserve">, competition authorities should </w:t>
      </w:r>
      <w:r w:rsidR="00AC7947">
        <w:rPr>
          <w:rFonts w:ascii="Arial" w:hAnsi="Arial" w:cs="Arial"/>
        </w:rPr>
        <w:t>assess</w:t>
      </w:r>
      <w:r w:rsidR="00A13868">
        <w:rPr>
          <w:rFonts w:ascii="Arial" w:hAnsi="Arial" w:cs="Arial"/>
        </w:rPr>
        <w:t xml:space="preserve"> </w:t>
      </w:r>
      <w:r w:rsidR="00AC7947">
        <w:rPr>
          <w:rFonts w:ascii="Arial" w:hAnsi="Arial" w:cs="Arial"/>
        </w:rPr>
        <w:t xml:space="preserve">competition matters by evaluating where the structure of the relevant market lies between the </w:t>
      </w:r>
      <w:r w:rsidR="00AC7947" w:rsidRPr="00AC7947">
        <w:rPr>
          <w:rFonts w:ascii="Arial" w:hAnsi="Arial" w:cs="Arial"/>
        </w:rPr>
        <w:t>continuum</w:t>
      </w:r>
      <w:r w:rsidR="00AC7947">
        <w:rPr>
          <w:rFonts w:ascii="Arial" w:hAnsi="Arial" w:cs="Arial"/>
        </w:rPr>
        <w:t xml:space="preserve"> of a perfectly competitive market and a monopoly market.</w:t>
      </w:r>
      <w:r w:rsidR="007B11A5">
        <w:rPr>
          <w:rStyle w:val="Funotenzeichen"/>
          <w:rFonts w:ascii="Arial" w:hAnsi="Arial" w:cs="Arial"/>
        </w:rPr>
        <w:footnoteReference w:id="713"/>
      </w:r>
    </w:p>
    <w:p w:rsidR="00B83DCE" w:rsidRDefault="00B83DCE" w:rsidP="002563E6">
      <w:pPr>
        <w:contextualSpacing/>
        <w:jc w:val="both"/>
        <w:rPr>
          <w:rFonts w:ascii="Arial" w:hAnsi="Arial" w:cs="Arial"/>
        </w:rPr>
      </w:pPr>
    </w:p>
    <w:p w:rsidR="007B11A5" w:rsidRDefault="00B80449" w:rsidP="002563E6">
      <w:pPr>
        <w:contextualSpacing/>
        <w:jc w:val="both"/>
        <w:rPr>
          <w:rFonts w:ascii="Arial" w:hAnsi="Arial" w:cs="Arial"/>
        </w:rPr>
      </w:pPr>
      <w:r>
        <w:rPr>
          <w:rFonts w:ascii="Arial" w:hAnsi="Arial" w:cs="Arial"/>
        </w:rPr>
        <w:t>The SCP paradigm can be illustrated as follow:</w:t>
      </w:r>
      <w:r>
        <w:rPr>
          <w:rStyle w:val="Funotenzeichen"/>
          <w:rFonts w:ascii="Arial" w:hAnsi="Arial" w:cs="Arial"/>
        </w:rPr>
        <w:footnoteReference w:id="714"/>
      </w:r>
    </w:p>
    <w:tbl>
      <w:tblPr>
        <w:tblStyle w:val="Tabellenraster"/>
        <w:tblW w:w="9767" w:type="dxa"/>
        <w:tblLook w:val="04A0" w:firstRow="1" w:lastRow="0" w:firstColumn="1" w:lastColumn="0" w:noHBand="0" w:noVBand="1"/>
      </w:tblPr>
      <w:tblGrid>
        <w:gridCol w:w="2518"/>
        <w:gridCol w:w="3993"/>
        <w:gridCol w:w="3256"/>
      </w:tblGrid>
      <w:tr w:rsidR="007B11A5" w:rsidTr="00C10C55">
        <w:trPr>
          <w:trHeight w:val="266"/>
        </w:trPr>
        <w:tc>
          <w:tcPr>
            <w:tcW w:w="2518" w:type="dxa"/>
          </w:tcPr>
          <w:p w:rsidR="007B11A5" w:rsidRPr="00C10C55" w:rsidRDefault="007B11A5" w:rsidP="002563E6">
            <w:pPr>
              <w:contextualSpacing/>
              <w:jc w:val="both"/>
              <w:rPr>
                <w:rFonts w:ascii="Arial" w:hAnsi="Arial" w:cs="Arial"/>
                <w:b/>
              </w:rPr>
            </w:pPr>
            <w:r w:rsidRPr="00C10C55">
              <w:rPr>
                <w:rFonts w:ascii="Arial" w:hAnsi="Arial" w:cs="Arial"/>
                <w:b/>
              </w:rPr>
              <w:t>Structure</w:t>
            </w:r>
          </w:p>
        </w:tc>
        <w:tc>
          <w:tcPr>
            <w:tcW w:w="3993" w:type="dxa"/>
          </w:tcPr>
          <w:p w:rsidR="007B11A5" w:rsidRPr="00C10C55" w:rsidRDefault="007B11A5" w:rsidP="002563E6">
            <w:pPr>
              <w:contextualSpacing/>
              <w:jc w:val="both"/>
              <w:rPr>
                <w:rFonts w:ascii="Arial" w:hAnsi="Arial" w:cs="Arial"/>
                <w:b/>
              </w:rPr>
            </w:pPr>
            <w:r w:rsidRPr="00C10C55">
              <w:rPr>
                <w:rFonts w:ascii="Arial" w:hAnsi="Arial" w:cs="Arial"/>
                <w:b/>
              </w:rPr>
              <w:t>Conduct</w:t>
            </w:r>
          </w:p>
        </w:tc>
        <w:tc>
          <w:tcPr>
            <w:tcW w:w="3256" w:type="dxa"/>
          </w:tcPr>
          <w:p w:rsidR="007B11A5" w:rsidRPr="00C10C55" w:rsidRDefault="007B11A5" w:rsidP="002563E6">
            <w:pPr>
              <w:contextualSpacing/>
              <w:jc w:val="both"/>
              <w:rPr>
                <w:rFonts w:ascii="Arial" w:hAnsi="Arial" w:cs="Arial"/>
                <w:b/>
              </w:rPr>
            </w:pPr>
            <w:r w:rsidRPr="00C10C55">
              <w:rPr>
                <w:rFonts w:ascii="Arial" w:hAnsi="Arial" w:cs="Arial"/>
                <w:b/>
              </w:rPr>
              <w:t>Performance</w:t>
            </w:r>
          </w:p>
        </w:tc>
      </w:tr>
      <w:tr w:rsidR="007B11A5" w:rsidTr="00C10C55">
        <w:trPr>
          <w:trHeight w:val="278"/>
        </w:trPr>
        <w:tc>
          <w:tcPr>
            <w:tcW w:w="2518" w:type="dxa"/>
          </w:tcPr>
          <w:p w:rsidR="007B11A5" w:rsidRPr="003E1A11" w:rsidRDefault="007B11A5" w:rsidP="002563E6">
            <w:pPr>
              <w:contextualSpacing/>
              <w:jc w:val="both"/>
              <w:rPr>
                <w:rFonts w:ascii="Arial" w:hAnsi="Arial" w:cs="Arial"/>
              </w:rPr>
            </w:pPr>
            <w:r w:rsidRPr="003E1A11">
              <w:rPr>
                <w:rFonts w:ascii="Arial" w:hAnsi="Arial" w:cs="Arial"/>
              </w:rPr>
              <w:t>Perfect Competition</w:t>
            </w:r>
          </w:p>
        </w:tc>
        <w:tc>
          <w:tcPr>
            <w:tcW w:w="3993" w:type="dxa"/>
          </w:tcPr>
          <w:p w:rsidR="007B11A5" w:rsidRPr="003E1A11" w:rsidRDefault="007B11A5" w:rsidP="007B11A5">
            <w:pPr>
              <w:contextualSpacing/>
              <w:jc w:val="both"/>
              <w:rPr>
                <w:rFonts w:ascii="Arial" w:hAnsi="Arial" w:cs="Arial"/>
              </w:rPr>
            </w:pPr>
            <w:r w:rsidRPr="003E1A11">
              <w:rPr>
                <w:rFonts w:ascii="Arial" w:hAnsi="Arial" w:cs="Arial"/>
              </w:rPr>
              <w:t>marginal cost pricing</w:t>
            </w:r>
          </w:p>
        </w:tc>
        <w:tc>
          <w:tcPr>
            <w:tcW w:w="3256" w:type="dxa"/>
          </w:tcPr>
          <w:p w:rsidR="007B11A5" w:rsidRPr="003E1A11" w:rsidRDefault="007B11A5" w:rsidP="002563E6">
            <w:pPr>
              <w:contextualSpacing/>
              <w:jc w:val="both"/>
              <w:rPr>
                <w:rFonts w:ascii="Arial" w:hAnsi="Arial" w:cs="Arial"/>
              </w:rPr>
            </w:pPr>
            <w:r w:rsidRPr="003E1A11">
              <w:rPr>
                <w:rFonts w:ascii="Arial" w:hAnsi="Arial" w:cs="Arial"/>
              </w:rPr>
              <w:t>Allocative efficiency and equity</w:t>
            </w:r>
            <w:r w:rsidR="00C10C55" w:rsidRPr="003E1A11">
              <w:rPr>
                <w:rFonts w:ascii="Arial" w:hAnsi="Arial" w:cs="Arial"/>
              </w:rPr>
              <w:t xml:space="preserve"> between firms</w:t>
            </w:r>
          </w:p>
        </w:tc>
      </w:tr>
      <w:tr w:rsidR="007B11A5" w:rsidTr="00C10C55">
        <w:trPr>
          <w:trHeight w:val="557"/>
        </w:trPr>
        <w:tc>
          <w:tcPr>
            <w:tcW w:w="2518" w:type="dxa"/>
          </w:tcPr>
          <w:p w:rsidR="007B11A5" w:rsidRPr="003E1A11" w:rsidRDefault="007B11A5" w:rsidP="002563E6">
            <w:pPr>
              <w:contextualSpacing/>
              <w:jc w:val="both"/>
              <w:rPr>
                <w:rFonts w:ascii="Arial" w:hAnsi="Arial" w:cs="Arial"/>
              </w:rPr>
            </w:pPr>
            <w:r w:rsidRPr="003E1A11">
              <w:rPr>
                <w:rFonts w:ascii="Arial" w:hAnsi="Arial" w:cs="Arial"/>
              </w:rPr>
              <w:t>Imperfect Competition</w:t>
            </w:r>
          </w:p>
        </w:tc>
        <w:tc>
          <w:tcPr>
            <w:tcW w:w="3993" w:type="dxa"/>
          </w:tcPr>
          <w:p w:rsidR="007B11A5" w:rsidRPr="003E1A11" w:rsidRDefault="007B11A5" w:rsidP="007B11A5">
            <w:pPr>
              <w:contextualSpacing/>
              <w:jc w:val="both"/>
              <w:rPr>
                <w:rFonts w:ascii="Arial" w:hAnsi="Arial" w:cs="Arial"/>
              </w:rPr>
            </w:pPr>
            <w:r w:rsidRPr="003E1A11">
              <w:rPr>
                <w:rFonts w:ascii="Arial" w:hAnsi="Arial" w:cs="Arial"/>
              </w:rPr>
              <w:t xml:space="preserve">pricing </w:t>
            </w:r>
            <w:r w:rsidR="00754BCC" w:rsidRPr="003E1A11">
              <w:rPr>
                <w:rFonts w:ascii="Arial" w:hAnsi="Arial" w:cs="Arial"/>
              </w:rPr>
              <w:t>deviate</w:t>
            </w:r>
            <w:r w:rsidR="00754BCC">
              <w:rPr>
                <w:rFonts w:ascii="Arial" w:hAnsi="Arial" w:cs="Arial"/>
              </w:rPr>
              <w:t>s</w:t>
            </w:r>
            <w:r w:rsidRPr="003E1A11">
              <w:rPr>
                <w:rFonts w:ascii="Arial" w:hAnsi="Arial" w:cs="Arial"/>
              </w:rPr>
              <w:t xml:space="preserve"> from marginal cost</w:t>
            </w:r>
          </w:p>
        </w:tc>
        <w:tc>
          <w:tcPr>
            <w:tcW w:w="3256" w:type="dxa"/>
          </w:tcPr>
          <w:p w:rsidR="007B11A5" w:rsidRPr="003E1A11" w:rsidRDefault="00C10C55" w:rsidP="00C10C55">
            <w:pPr>
              <w:contextualSpacing/>
              <w:jc w:val="both"/>
              <w:rPr>
                <w:rFonts w:ascii="Arial" w:hAnsi="Arial" w:cs="Arial"/>
              </w:rPr>
            </w:pPr>
            <w:r w:rsidRPr="003E1A11">
              <w:rPr>
                <w:rFonts w:ascii="Arial" w:hAnsi="Arial" w:cs="Arial"/>
              </w:rPr>
              <w:t>Inefficiency and potential monopoly profits</w:t>
            </w:r>
          </w:p>
        </w:tc>
      </w:tr>
    </w:tbl>
    <w:p w:rsidR="007B11A5" w:rsidRDefault="007B11A5" w:rsidP="002563E6">
      <w:pPr>
        <w:contextualSpacing/>
        <w:jc w:val="both"/>
        <w:rPr>
          <w:rFonts w:ascii="Arial" w:hAnsi="Arial" w:cs="Arial"/>
        </w:rPr>
      </w:pPr>
    </w:p>
    <w:p w:rsidR="00F14FC1" w:rsidRDefault="001A6CBF" w:rsidP="002563E6">
      <w:pPr>
        <w:contextualSpacing/>
        <w:jc w:val="both"/>
        <w:rPr>
          <w:rFonts w:ascii="Arial" w:hAnsi="Arial" w:cs="Arial"/>
        </w:rPr>
      </w:pPr>
      <w:r>
        <w:rPr>
          <w:rFonts w:ascii="Arial" w:hAnsi="Arial" w:cs="Arial"/>
        </w:rPr>
        <w:t>A</w:t>
      </w:r>
      <w:r w:rsidR="0067239A">
        <w:rPr>
          <w:rFonts w:ascii="Arial" w:hAnsi="Arial" w:cs="Arial"/>
        </w:rPr>
        <w:t>ccording</w:t>
      </w:r>
      <w:r w:rsidR="00F14FC1">
        <w:rPr>
          <w:rFonts w:ascii="Arial" w:hAnsi="Arial" w:cs="Arial"/>
        </w:rPr>
        <w:t xml:space="preserve"> to</w:t>
      </w:r>
      <w:r w:rsidR="0067239A">
        <w:rPr>
          <w:rFonts w:ascii="Arial" w:hAnsi="Arial" w:cs="Arial"/>
        </w:rPr>
        <w:t xml:space="preserve"> the SCP paradigm the closer the market structure resembles that of a perfectly competitive market</w:t>
      </w:r>
      <w:r w:rsidR="00F14FC1">
        <w:rPr>
          <w:rFonts w:ascii="Arial" w:hAnsi="Arial" w:cs="Arial"/>
        </w:rPr>
        <w:t>,</w:t>
      </w:r>
      <w:r w:rsidR="0067239A">
        <w:rPr>
          <w:rFonts w:ascii="Arial" w:hAnsi="Arial" w:cs="Arial"/>
        </w:rPr>
        <w:t xml:space="preserve"> the lower the market price is and accordingly the higher the quantity </w:t>
      </w:r>
      <w:r w:rsidR="00F14FC1">
        <w:rPr>
          <w:rFonts w:ascii="Arial" w:hAnsi="Arial" w:cs="Arial"/>
        </w:rPr>
        <w:t xml:space="preserve">of products </w:t>
      </w:r>
      <w:r w:rsidR="0067239A">
        <w:rPr>
          <w:rFonts w:ascii="Arial" w:hAnsi="Arial" w:cs="Arial"/>
        </w:rPr>
        <w:t>produced are.</w:t>
      </w:r>
      <w:r w:rsidR="00DC397A">
        <w:rPr>
          <w:rStyle w:val="Funotenzeichen"/>
          <w:rFonts w:ascii="Arial" w:hAnsi="Arial" w:cs="Arial"/>
        </w:rPr>
        <w:footnoteReference w:id="715"/>
      </w:r>
      <w:r w:rsidR="0067239A">
        <w:rPr>
          <w:rFonts w:ascii="Arial" w:hAnsi="Arial" w:cs="Arial"/>
        </w:rPr>
        <w:t xml:space="preserve"> Such </w:t>
      </w:r>
      <w:r w:rsidR="00F14FC1">
        <w:rPr>
          <w:rFonts w:ascii="Arial" w:hAnsi="Arial" w:cs="Arial"/>
        </w:rPr>
        <w:t>a</w:t>
      </w:r>
      <w:r w:rsidR="0067239A">
        <w:rPr>
          <w:rFonts w:ascii="Arial" w:hAnsi="Arial" w:cs="Arial"/>
        </w:rPr>
        <w:t xml:space="preserve"> market is said to provide the highest benefit to society.</w:t>
      </w:r>
      <w:r w:rsidR="002851C6">
        <w:rPr>
          <w:rStyle w:val="Funotenzeichen"/>
          <w:rFonts w:ascii="Arial" w:hAnsi="Arial" w:cs="Arial"/>
        </w:rPr>
        <w:footnoteReference w:id="716"/>
      </w:r>
      <w:r w:rsidR="0067239A">
        <w:rPr>
          <w:rFonts w:ascii="Arial" w:hAnsi="Arial" w:cs="Arial"/>
        </w:rPr>
        <w:t xml:space="preserve"> On the other hand, markets </w:t>
      </w:r>
      <w:r w:rsidR="004D1202">
        <w:rPr>
          <w:rFonts w:ascii="Arial" w:hAnsi="Arial" w:cs="Arial"/>
        </w:rPr>
        <w:t xml:space="preserve">structures </w:t>
      </w:r>
      <w:r w:rsidR="0067239A">
        <w:rPr>
          <w:rFonts w:ascii="Arial" w:hAnsi="Arial" w:cs="Arial"/>
        </w:rPr>
        <w:t>that more closely resembles a monopoly market are associated with higher market prices and thus lower quantities</w:t>
      </w:r>
      <w:r w:rsidR="00F14FC1">
        <w:rPr>
          <w:rFonts w:ascii="Arial" w:hAnsi="Arial" w:cs="Arial"/>
        </w:rPr>
        <w:t xml:space="preserve"> of products</w:t>
      </w:r>
      <w:r w:rsidR="0067239A">
        <w:rPr>
          <w:rFonts w:ascii="Arial" w:hAnsi="Arial" w:cs="Arial"/>
        </w:rPr>
        <w:t xml:space="preserve"> produced.</w:t>
      </w:r>
      <w:r w:rsidR="002851C6">
        <w:rPr>
          <w:rStyle w:val="Funotenzeichen"/>
          <w:rFonts w:ascii="Arial" w:hAnsi="Arial" w:cs="Arial"/>
        </w:rPr>
        <w:footnoteReference w:id="717"/>
      </w:r>
      <w:r w:rsidR="0067239A">
        <w:rPr>
          <w:rFonts w:ascii="Arial" w:hAnsi="Arial" w:cs="Arial"/>
        </w:rPr>
        <w:t xml:space="preserve"> Such markets are </w:t>
      </w:r>
      <w:r w:rsidR="004D1202">
        <w:rPr>
          <w:rFonts w:ascii="Arial" w:hAnsi="Arial" w:cs="Arial"/>
        </w:rPr>
        <w:t xml:space="preserve">also </w:t>
      </w:r>
      <w:r w:rsidR="0074608D">
        <w:rPr>
          <w:rFonts w:ascii="Arial" w:hAnsi="Arial" w:cs="Arial"/>
        </w:rPr>
        <w:t>said to provide less benefit to society.</w:t>
      </w:r>
      <w:r w:rsidR="002851C6">
        <w:rPr>
          <w:rStyle w:val="Funotenzeichen"/>
          <w:rFonts w:ascii="Arial" w:hAnsi="Arial" w:cs="Arial"/>
        </w:rPr>
        <w:footnoteReference w:id="718"/>
      </w:r>
      <w:r w:rsidR="0074608D">
        <w:rPr>
          <w:rFonts w:ascii="Arial" w:hAnsi="Arial" w:cs="Arial"/>
        </w:rPr>
        <w:t xml:space="preserve"> </w:t>
      </w:r>
      <w:r>
        <w:rPr>
          <w:rFonts w:ascii="Arial" w:hAnsi="Arial" w:cs="Arial"/>
        </w:rPr>
        <w:t>In other words</w:t>
      </w:r>
      <w:r w:rsidR="00364D3D">
        <w:rPr>
          <w:rFonts w:ascii="Arial" w:hAnsi="Arial" w:cs="Arial"/>
        </w:rPr>
        <w:t>,</w:t>
      </w:r>
      <w:r>
        <w:rPr>
          <w:rFonts w:ascii="Arial" w:hAnsi="Arial" w:cs="Arial"/>
        </w:rPr>
        <w:t xml:space="preserve"> according to the SCP paradigm the further </w:t>
      </w:r>
      <w:r w:rsidR="00364D3D">
        <w:rPr>
          <w:rFonts w:ascii="Arial" w:hAnsi="Arial" w:cs="Arial"/>
        </w:rPr>
        <w:t>the</w:t>
      </w:r>
      <w:r>
        <w:rPr>
          <w:rFonts w:ascii="Arial" w:hAnsi="Arial" w:cs="Arial"/>
        </w:rPr>
        <w:t xml:space="preserve"> market structure of a market departs from that of a perfectly competitive market</w:t>
      </w:r>
      <w:r w:rsidR="00364D3D">
        <w:rPr>
          <w:rFonts w:ascii="Arial" w:hAnsi="Arial" w:cs="Arial"/>
        </w:rPr>
        <w:t xml:space="preserve"> the further that market depart</w:t>
      </w:r>
      <w:r w:rsidR="00782466">
        <w:rPr>
          <w:rFonts w:ascii="Arial" w:hAnsi="Arial" w:cs="Arial"/>
        </w:rPr>
        <w:t>s</w:t>
      </w:r>
      <w:r w:rsidR="00364D3D">
        <w:rPr>
          <w:rFonts w:ascii="Arial" w:hAnsi="Arial" w:cs="Arial"/>
        </w:rPr>
        <w:t xml:space="preserve"> from the social ideal or equilibrium.</w:t>
      </w:r>
      <w:r w:rsidR="00364D3D">
        <w:rPr>
          <w:rStyle w:val="Funotenzeichen"/>
          <w:rFonts w:ascii="Arial" w:hAnsi="Arial" w:cs="Arial"/>
        </w:rPr>
        <w:footnoteReference w:id="719"/>
      </w:r>
      <w:r>
        <w:rPr>
          <w:rFonts w:ascii="Arial" w:hAnsi="Arial" w:cs="Arial"/>
        </w:rPr>
        <w:t xml:space="preserve"> </w:t>
      </w:r>
    </w:p>
    <w:p w:rsidR="004A11C3" w:rsidRDefault="004A11C3" w:rsidP="002563E6">
      <w:pPr>
        <w:contextualSpacing/>
        <w:jc w:val="both"/>
        <w:rPr>
          <w:rFonts w:ascii="Arial" w:hAnsi="Arial" w:cs="Arial"/>
        </w:rPr>
      </w:pPr>
    </w:p>
    <w:p w:rsidR="004A11C3" w:rsidRDefault="004A11C3" w:rsidP="002563E6">
      <w:pPr>
        <w:contextualSpacing/>
        <w:jc w:val="both"/>
        <w:rPr>
          <w:rFonts w:ascii="Arial" w:hAnsi="Arial" w:cs="Arial"/>
        </w:rPr>
      </w:pPr>
      <w:r>
        <w:rPr>
          <w:rFonts w:ascii="Arial" w:hAnsi="Arial" w:cs="Arial"/>
        </w:rPr>
        <w:t>The structure of a market refers to the number and relative size of the firms in th</w:t>
      </w:r>
      <w:r w:rsidR="00044460">
        <w:rPr>
          <w:rFonts w:ascii="Arial" w:hAnsi="Arial" w:cs="Arial"/>
        </w:rPr>
        <w:t>at</w:t>
      </w:r>
      <w:r>
        <w:rPr>
          <w:rFonts w:ascii="Arial" w:hAnsi="Arial" w:cs="Arial"/>
        </w:rPr>
        <w:t xml:space="preserve"> market</w:t>
      </w:r>
      <w:r w:rsidR="00AC421B">
        <w:rPr>
          <w:rFonts w:ascii="Arial" w:hAnsi="Arial" w:cs="Arial"/>
        </w:rPr>
        <w:t xml:space="preserve"> i.e. the level of concentration</w:t>
      </w:r>
      <w:r>
        <w:rPr>
          <w:rFonts w:ascii="Arial" w:hAnsi="Arial" w:cs="Arial"/>
        </w:rPr>
        <w:t>.</w:t>
      </w:r>
      <w:r w:rsidR="005301B4">
        <w:rPr>
          <w:rStyle w:val="Funotenzeichen"/>
          <w:rFonts w:ascii="Arial" w:hAnsi="Arial" w:cs="Arial"/>
        </w:rPr>
        <w:footnoteReference w:id="720"/>
      </w:r>
      <w:r>
        <w:rPr>
          <w:rFonts w:ascii="Arial" w:hAnsi="Arial" w:cs="Arial"/>
        </w:rPr>
        <w:t xml:space="preserve"> Conduct refers to the conduct of the firms</w:t>
      </w:r>
      <w:r w:rsidR="00517FDB">
        <w:rPr>
          <w:rFonts w:ascii="Arial" w:hAnsi="Arial" w:cs="Arial"/>
        </w:rPr>
        <w:t xml:space="preserve"> in a market</w:t>
      </w:r>
      <w:r>
        <w:rPr>
          <w:rFonts w:ascii="Arial" w:hAnsi="Arial" w:cs="Arial"/>
        </w:rPr>
        <w:t xml:space="preserve"> </w:t>
      </w:r>
      <w:r w:rsidR="00517FDB">
        <w:rPr>
          <w:rFonts w:ascii="Arial" w:hAnsi="Arial" w:cs="Arial"/>
        </w:rPr>
        <w:t>for example do the</w:t>
      </w:r>
      <w:r w:rsidR="005301B4">
        <w:rPr>
          <w:rFonts w:ascii="Arial" w:hAnsi="Arial" w:cs="Arial"/>
        </w:rPr>
        <w:t>y</w:t>
      </w:r>
      <w:r w:rsidR="00517FDB">
        <w:rPr>
          <w:rFonts w:ascii="Arial" w:hAnsi="Arial" w:cs="Arial"/>
        </w:rPr>
        <w:t xml:space="preserve"> collude, what prices do they ask for their products and any other anticompetitive conduct by the firms in the market.</w:t>
      </w:r>
      <w:r w:rsidR="005301B4">
        <w:rPr>
          <w:rStyle w:val="Funotenzeichen"/>
          <w:rFonts w:ascii="Arial" w:hAnsi="Arial" w:cs="Arial"/>
        </w:rPr>
        <w:footnoteReference w:id="721"/>
      </w:r>
      <w:r w:rsidR="00517FDB">
        <w:rPr>
          <w:rFonts w:ascii="Arial" w:hAnsi="Arial" w:cs="Arial"/>
        </w:rPr>
        <w:t xml:space="preserve"> Performance include </w:t>
      </w:r>
      <w:r w:rsidR="00EC198E">
        <w:rPr>
          <w:rFonts w:ascii="Arial" w:hAnsi="Arial" w:cs="Arial"/>
        </w:rPr>
        <w:t>among other things</w:t>
      </w:r>
      <w:r w:rsidR="0009771F">
        <w:rPr>
          <w:rFonts w:ascii="Arial" w:hAnsi="Arial" w:cs="Arial"/>
        </w:rPr>
        <w:t>,</w:t>
      </w:r>
      <w:r w:rsidR="00EC198E">
        <w:rPr>
          <w:rFonts w:ascii="Arial" w:hAnsi="Arial" w:cs="Arial"/>
        </w:rPr>
        <w:t xml:space="preserve"> </w:t>
      </w:r>
      <w:r w:rsidR="00517FDB">
        <w:rPr>
          <w:rFonts w:ascii="Arial" w:hAnsi="Arial" w:cs="Arial"/>
        </w:rPr>
        <w:t xml:space="preserve">the profitability </w:t>
      </w:r>
      <w:r w:rsidR="00EC198E">
        <w:rPr>
          <w:rFonts w:ascii="Arial" w:hAnsi="Arial" w:cs="Arial"/>
        </w:rPr>
        <w:t>t</w:t>
      </w:r>
      <w:r w:rsidR="00517FDB">
        <w:rPr>
          <w:rFonts w:ascii="Arial" w:hAnsi="Arial" w:cs="Arial"/>
        </w:rPr>
        <w:t>he firm</w:t>
      </w:r>
      <w:r w:rsidR="00EC198E">
        <w:rPr>
          <w:rFonts w:ascii="Arial" w:hAnsi="Arial" w:cs="Arial"/>
        </w:rPr>
        <w:t>s in a market, their efficiency and</w:t>
      </w:r>
      <w:r w:rsidR="00517FDB">
        <w:rPr>
          <w:rFonts w:ascii="Arial" w:hAnsi="Arial" w:cs="Arial"/>
        </w:rPr>
        <w:t xml:space="preserve"> any economies of scale they obtain</w:t>
      </w:r>
      <w:r w:rsidR="00EC198E">
        <w:rPr>
          <w:rFonts w:ascii="Arial" w:hAnsi="Arial" w:cs="Arial"/>
        </w:rPr>
        <w:t>.</w:t>
      </w:r>
      <w:r w:rsidR="005301B4">
        <w:rPr>
          <w:rStyle w:val="Funotenzeichen"/>
          <w:rFonts w:ascii="Arial" w:hAnsi="Arial" w:cs="Arial"/>
        </w:rPr>
        <w:footnoteReference w:id="722"/>
      </w:r>
      <w:r w:rsidR="00517FDB">
        <w:rPr>
          <w:rFonts w:ascii="Arial" w:hAnsi="Arial" w:cs="Arial"/>
        </w:rPr>
        <w:t xml:space="preserve"> </w:t>
      </w:r>
    </w:p>
    <w:p w:rsidR="000C30EE" w:rsidRDefault="000C30EE" w:rsidP="002563E6">
      <w:pPr>
        <w:contextualSpacing/>
        <w:jc w:val="both"/>
        <w:rPr>
          <w:rFonts w:ascii="Arial" w:hAnsi="Arial" w:cs="Arial"/>
        </w:rPr>
      </w:pPr>
    </w:p>
    <w:p w:rsidR="007B11A5" w:rsidRDefault="0074608D" w:rsidP="002563E6">
      <w:pPr>
        <w:contextualSpacing/>
        <w:jc w:val="both"/>
        <w:rPr>
          <w:rFonts w:ascii="Arial" w:hAnsi="Arial" w:cs="Arial"/>
        </w:rPr>
      </w:pPr>
      <w:r>
        <w:rPr>
          <w:rFonts w:ascii="Arial" w:hAnsi="Arial" w:cs="Arial"/>
        </w:rPr>
        <w:t>Also</w:t>
      </w:r>
      <w:r w:rsidR="006B577C">
        <w:rPr>
          <w:rFonts w:ascii="Arial" w:hAnsi="Arial" w:cs="Arial"/>
        </w:rPr>
        <w:t>,</w:t>
      </w:r>
      <w:r>
        <w:rPr>
          <w:rFonts w:ascii="Arial" w:hAnsi="Arial" w:cs="Arial"/>
        </w:rPr>
        <w:t xml:space="preserve"> note</w:t>
      </w:r>
      <w:r w:rsidR="006B577C">
        <w:rPr>
          <w:rFonts w:ascii="Arial" w:hAnsi="Arial" w:cs="Arial"/>
        </w:rPr>
        <w:t xml:space="preserve"> that</w:t>
      </w:r>
      <w:r>
        <w:rPr>
          <w:rFonts w:ascii="Arial" w:hAnsi="Arial" w:cs="Arial"/>
        </w:rPr>
        <w:t xml:space="preserve"> a perfectly competitive market is said to be less concentrated</w:t>
      </w:r>
      <w:r w:rsidR="004D1202">
        <w:rPr>
          <w:rStyle w:val="Funotenzeichen"/>
          <w:rFonts w:ascii="Arial" w:hAnsi="Arial" w:cs="Arial"/>
        </w:rPr>
        <w:footnoteReference w:id="723"/>
      </w:r>
      <w:r>
        <w:rPr>
          <w:rFonts w:ascii="Arial" w:hAnsi="Arial" w:cs="Arial"/>
        </w:rPr>
        <w:t xml:space="preserve"> (the number </w:t>
      </w:r>
      <w:r w:rsidR="00F90F6A">
        <w:rPr>
          <w:rFonts w:ascii="Arial" w:hAnsi="Arial" w:cs="Arial"/>
        </w:rPr>
        <w:t xml:space="preserve">and relative size </w:t>
      </w:r>
      <w:r>
        <w:rPr>
          <w:rFonts w:ascii="Arial" w:hAnsi="Arial" w:cs="Arial"/>
        </w:rPr>
        <w:t>of</w:t>
      </w:r>
      <w:r w:rsidR="00F90F6A">
        <w:rPr>
          <w:rFonts w:ascii="Arial" w:hAnsi="Arial" w:cs="Arial"/>
        </w:rPr>
        <w:t xml:space="preserve"> the</w:t>
      </w:r>
      <w:r>
        <w:rPr>
          <w:rFonts w:ascii="Arial" w:hAnsi="Arial" w:cs="Arial"/>
        </w:rPr>
        <w:t xml:space="preserve"> firms in a market) whereas a monopoly market </w:t>
      </w:r>
      <w:r w:rsidR="00F14FC1">
        <w:rPr>
          <w:rFonts w:ascii="Arial" w:hAnsi="Arial" w:cs="Arial"/>
        </w:rPr>
        <w:t>is</w:t>
      </w:r>
      <w:r>
        <w:rPr>
          <w:rFonts w:ascii="Arial" w:hAnsi="Arial" w:cs="Arial"/>
        </w:rPr>
        <w:t xml:space="preserve"> said to be more concentrated.</w:t>
      </w:r>
      <w:r w:rsidR="00782466">
        <w:rPr>
          <w:rStyle w:val="Funotenzeichen"/>
          <w:rFonts w:ascii="Arial" w:hAnsi="Arial" w:cs="Arial"/>
        </w:rPr>
        <w:footnoteReference w:id="724"/>
      </w:r>
      <w:r>
        <w:rPr>
          <w:rFonts w:ascii="Arial" w:hAnsi="Arial" w:cs="Arial"/>
        </w:rPr>
        <w:t xml:space="preserve"> Furthermore, </w:t>
      </w:r>
      <w:r w:rsidR="008509B5">
        <w:rPr>
          <w:rFonts w:ascii="Arial" w:hAnsi="Arial" w:cs="Arial"/>
        </w:rPr>
        <w:t>according to the SCP paradigm it is held that</w:t>
      </w:r>
      <w:r>
        <w:rPr>
          <w:rFonts w:ascii="Arial" w:hAnsi="Arial" w:cs="Arial"/>
        </w:rPr>
        <w:t xml:space="preserve"> higher concentration levels are positively correlated with </w:t>
      </w:r>
      <w:r w:rsidR="00DC397A">
        <w:rPr>
          <w:rFonts w:ascii="Arial" w:hAnsi="Arial" w:cs="Arial"/>
        </w:rPr>
        <w:t>the ability of firms to act together</w:t>
      </w:r>
      <w:r w:rsidR="001D30E9">
        <w:rPr>
          <w:rFonts w:ascii="Arial" w:hAnsi="Arial" w:cs="Arial"/>
        </w:rPr>
        <w:t xml:space="preserve"> (collude)</w:t>
      </w:r>
      <w:r w:rsidR="00DC397A">
        <w:rPr>
          <w:rFonts w:ascii="Arial" w:hAnsi="Arial" w:cs="Arial"/>
        </w:rPr>
        <w:t xml:space="preserve"> and so </w:t>
      </w:r>
      <w:r w:rsidR="00857348">
        <w:rPr>
          <w:rFonts w:ascii="Arial" w:hAnsi="Arial" w:cs="Arial"/>
        </w:rPr>
        <w:t xml:space="preserve">to </w:t>
      </w:r>
      <w:r w:rsidR="00DC397A">
        <w:rPr>
          <w:rFonts w:ascii="Arial" w:hAnsi="Arial" w:cs="Arial"/>
        </w:rPr>
        <w:t>obtain collective market power</w:t>
      </w:r>
      <w:r w:rsidR="004D1202">
        <w:rPr>
          <w:rFonts w:ascii="Arial" w:hAnsi="Arial" w:cs="Arial"/>
        </w:rPr>
        <w:t xml:space="preserve"> in addition to their unilateral market power</w:t>
      </w:r>
      <w:r w:rsidR="007F3588">
        <w:rPr>
          <w:rFonts w:ascii="Arial" w:hAnsi="Arial" w:cs="Arial"/>
        </w:rPr>
        <w:t xml:space="preserve"> i.e. high concentration levels are held to lead to abnormal profits for firms,  lower social welfare and potentially lower economic growth</w:t>
      </w:r>
      <w:r w:rsidR="00DC397A">
        <w:rPr>
          <w:rFonts w:ascii="Arial" w:hAnsi="Arial" w:cs="Arial"/>
        </w:rPr>
        <w:t>.</w:t>
      </w:r>
      <w:r w:rsidR="00DC397A">
        <w:rPr>
          <w:rStyle w:val="Funotenzeichen"/>
          <w:rFonts w:ascii="Arial" w:hAnsi="Arial" w:cs="Arial"/>
        </w:rPr>
        <w:footnoteReference w:id="725"/>
      </w:r>
      <w:r w:rsidR="001A6CBF">
        <w:rPr>
          <w:rFonts w:ascii="Arial" w:hAnsi="Arial" w:cs="Arial"/>
        </w:rPr>
        <w:t xml:space="preserve"> </w:t>
      </w:r>
      <w:r w:rsidR="00F571F3">
        <w:rPr>
          <w:rFonts w:ascii="Arial" w:hAnsi="Arial" w:cs="Arial"/>
        </w:rPr>
        <w:t xml:space="preserve">For this reason, the SCP </w:t>
      </w:r>
      <w:r w:rsidR="00BE3360">
        <w:rPr>
          <w:rFonts w:ascii="Arial" w:hAnsi="Arial" w:cs="Arial"/>
        </w:rPr>
        <w:t>paradigm argues</w:t>
      </w:r>
      <w:r w:rsidR="00F571F3">
        <w:rPr>
          <w:rFonts w:ascii="Arial" w:hAnsi="Arial" w:cs="Arial"/>
        </w:rPr>
        <w:t xml:space="preserve"> that </w:t>
      </w:r>
      <w:r w:rsidR="00F571F3" w:rsidRPr="00F571F3">
        <w:rPr>
          <w:rFonts w:ascii="Arial" w:hAnsi="Arial" w:cs="Arial"/>
        </w:rPr>
        <w:t>industrial</w:t>
      </w:r>
      <w:r w:rsidR="00F571F3">
        <w:rPr>
          <w:rFonts w:ascii="Arial" w:hAnsi="Arial" w:cs="Arial"/>
        </w:rPr>
        <w:t xml:space="preserve"> structure</w:t>
      </w:r>
      <w:r w:rsidR="00D6796D">
        <w:rPr>
          <w:rFonts w:ascii="Arial" w:hAnsi="Arial" w:cs="Arial"/>
        </w:rPr>
        <w:t xml:space="preserve"> (concentration)</w:t>
      </w:r>
      <w:r w:rsidR="00F571F3">
        <w:rPr>
          <w:rFonts w:ascii="Arial" w:hAnsi="Arial" w:cs="Arial"/>
        </w:rPr>
        <w:t xml:space="preserve"> </w:t>
      </w:r>
      <w:r w:rsidR="00BE3360">
        <w:rPr>
          <w:rFonts w:ascii="Arial" w:hAnsi="Arial" w:cs="Arial"/>
        </w:rPr>
        <w:t>ought to be</w:t>
      </w:r>
      <w:r w:rsidR="00F571F3">
        <w:rPr>
          <w:rFonts w:ascii="Arial" w:hAnsi="Arial" w:cs="Arial"/>
        </w:rPr>
        <w:t xml:space="preserve"> regulated</w:t>
      </w:r>
      <w:r w:rsidR="00BE3360">
        <w:rPr>
          <w:rFonts w:ascii="Arial" w:hAnsi="Arial" w:cs="Arial"/>
        </w:rPr>
        <w:t xml:space="preserve"> to prevent firms from obtaining and abusing market power</w:t>
      </w:r>
      <w:r w:rsidR="00F571F3">
        <w:rPr>
          <w:rFonts w:ascii="Arial" w:hAnsi="Arial" w:cs="Arial"/>
        </w:rPr>
        <w:t>.</w:t>
      </w:r>
      <w:r w:rsidR="00BE3360">
        <w:rPr>
          <w:rStyle w:val="Funotenzeichen"/>
          <w:rFonts w:ascii="Arial" w:hAnsi="Arial" w:cs="Arial"/>
        </w:rPr>
        <w:footnoteReference w:id="726"/>
      </w:r>
      <w:r w:rsidR="00F571F3">
        <w:rPr>
          <w:rFonts w:ascii="Arial" w:hAnsi="Arial" w:cs="Arial"/>
        </w:rPr>
        <w:t xml:space="preserve"> </w:t>
      </w:r>
    </w:p>
    <w:p w:rsidR="003E1A11" w:rsidRDefault="003E1A11" w:rsidP="002563E6">
      <w:pPr>
        <w:contextualSpacing/>
        <w:jc w:val="both"/>
        <w:rPr>
          <w:rFonts w:ascii="Arial" w:hAnsi="Arial" w:cs="Arial"/>
        </w:rPr>
      </w:pPr>
    </w:p>
    <w:p w:rsidR="001B3AA6" w:rsidRDefault="00521711" w:rsidP="001A6CBF">
      <w:pPr>
        <w:contextualSpacing/>
        <w:jc w:val="both"/>
        <w:rPr>
          <w:rFonts w:ascii="Arial" w:hAnsi="Arial" w:cs="Arial"/>
        </w:rPr>
      </w:pPr>
      <w:r>
        <w:rPr>
          <w:rFonts w:ascii="Arial" w:hAnsi="Arial" w:cs="Arial"/>
        </w:rPr>
        <w:t>Thus, i</w:t>
      </w:r>
      <w:r w:rsidR="001A6CBF">
        <w:rPr>
          <w:rFonts w:ascii="Arial" w:hAnsi="Arial" w:cs="Arial"/>
        </w:rPr>
        <w:t>n practical terms, the SCP paradigm assumes that all firms within a market endeavour to obtain</w:t>
      </w:r>
      <w:r w:rsidR="006B577C">
        <w:rPr>
          <w:rFonts w:ascii="Arial" w:hAnsi="Arial" w:cs="Arial"/>
        </w:rPr>
        <w:t xml:space="preserve"> and to</w:t>
      </w:r>
      <w:r w:rsidR="00E9417D">
        <w:rPr>
          <w:rFonts w:ascii="Arial" w:hAnsi="Arial" w:cs="Arial"/>
        </w:rPr>
        <w:t xml:space="preserve"> abuse</w:t>
      </w:r>
      <w:r w:rsidR="001A6CBF">
        <w:rPr>
          <w:rFonts w:ascii="Arial" w:hAnsi="Arial" w:cs="Arial"/>
        </w:rPr>
        <w:t xml:space="preserve"> a large market share in order to maximise their profits.</w:t>
      </w:r>
      <w:r w:rsidR="001A6CBF">
        <w:rPr>
          <w:rStyle w:val="Funotenzeichen"/>
          <w:rFonts w:ascii="Arial" w:hAnsi="Arial" w:cs="Arial"/>
        </w:rPr>
        <w:footnoteReference w:id="727"/>
      </w:r>
      <w:r w:rsidR="001A6CBF">
        <w:rPr>
          <w:rFonts w:ascii="Arial" w:hAnsi="Arial" w:cs="Arial"/>
        </w:rPr>
        <w:t xml:space="preserve"> This endeavour by all firms is said to lead to a struggle between the various firms in the market to obtain a larger market share.</w:t>
      </w:r>
      <w:r w:rsidR="001A6CBF">
        <w:rPr>
          <w:rStyle w:val="Funotenzeichen"/>
          <w:rFonts w:ascii="Arial" w:hAnsi="Arial" w:cs="Arial"/>
        </w:rPr>
        <w:footnoteReference w:id="728"/>
      </w:r>
      <w:r w:rsidR="001A6CBF">
        <w:rPr>
          <w:rFonts w:ascii="Arial" w:hAnsi="Arial" w:cs="Arial"/>
        </w:rPr>
        <w:t xml:space="preserve"> This struggle in turn</w:t>
      </w:r>
      <w:r w:rsidR="0009771F">
        <w:rPr>
          <w:rFonts w:ascii="Arial" w:hAnsi="Arial" w:cs="Arial"/>
        </w:rPr>
        <w:t>,</w:t>
      </w:r>
      <w:r w:rsidR="001A6CBF">
        <w:rPr>
          <w:rFonts w:ascii="Arial" w:hAnsi="Arial" w:cs="Arial"/>
        </w:rPr>
        <w:t xml:space="preserve"> constrain</w:t>
      </w:r>
      <w:r w:rsidR="00782466">
        <w:rPr>
          <w:rFonts w:ascii="Arial" w:hAnsi="Arial" w:cs="Arial"/>
        </w:rPr>
        <w:t>t</w:t>
      </w:r>
      <w:r w:rsidR="001A6CBF">
        <w:rPr>
          <w:rFonts w:ascii="Arial" w:hAnsi="Arial" w:cs="Arial"/>
        </w:rPr>
        <w:t xml:space="preserve">s the firms in the </w:t>
      </w:r>
      <w:r w:rsidR="00782466">
        <w:rPr>
          <w:rFonts w:ascii="Arial" w:hAnsi="Arial" w:cs="Arial"/>
        </w:rPr>
        <w:t>market, keeps costs</w:t>
      </w:r>
      <w:r w:rsidR="001A6CBF">
        <w:rPr>
          <w:rFonts w:ascii="Arial" w:hAnsi="Arial" w:cs="Arial"/>
        </w:rPr>
        <w:t xml:space="preserve"> and prices under control</w:t>
      </w:r>
      <w:r w:rsidR="00920A93">
        <w:rPr>
          <w:rFonts w:ascii="Arial" w:hAnsi="Arial" w:cs="Arial"/>
        </w:rPr>
        <w:t xml:space="preserve"> and ensures that the market structure </w:t>
      </w:r>
      <w:r w:rsidR="00D06F8B">
        <w:rPr>
          <w:rFonts w:ascii="Arial" w:hAnsi="Arial" w:cs="Arial"/>
        </w:rPr>
        <w:t>remains one that resembles a perfectly competitive market</w:t>
      </w:r>
      <w:r w:rsidR="001A6CBF">
        <w:rPr>
          <w:rFonts w:ascii="Arial" w:hAnsi="Arial" w:cs="Arial"/>
        </w:rPr>
        <w:t>.</w:t>
      </w:r>
      <w:r w:rsidR="001A6CBF">
        <w:rPr>
          <w:rStyle w:val="Funotenzeichen"/>
          <w:rFonts w:ascii="Arial" w:hAnsi="Arial" w:cs="Arial"/>
        </w:rPr>
        <w:footnoteReference w:id="729"/>
      </w:r>
      <w:r w:rsidR="001A6CBF">
        <w:rPr>
          <w:rFonts w:ascii="Arial" w:hAnsi="Arial" w:cs="Arial"/>
        </w:rPr>
        <w:t xml:space="preserve"> If however, a firm were to obtain a large market share</w:t>
      </w:r>
      <w:r w:rsidR="00D06F8B">
        <w:rPr>
          <w:rFonts w:ascii="Arial" w:hAnsi="Arial" w:cs="Arial"/>
        </w:rPr>
        <w:t>, monopoly power,</w:t>
      </w:r>
      <w:r w:rsidR="001A6CBF">
        <w:rPr>
          <w:rFonts w:ascii="Arial" w:hAnsi="Arial" w:cs="Arial"/>
        </w:rPr>
        <w:t xml:space="preserve"> it is held that th</w:t>
      </w:r>
      <w:r w:rsidR="00D06F8B">
        <w:rPr>
          <w:rFonts w:ascii="Arial" w:hAnsi="Arial" w:cs="Arial"/>
        </w:rPr>
        <w:t>at</w:t>
      </w:r>
      <w:r w:rsidR="001A6CBF">
        <w:rPr>
          <w:rFonts w:ascii="Arial" w:hAnsi="Arial" w:cs="Arial"/>
        </w:rPr>
        <w:t xml:space="preserve"> firm can increase prices</w:t>
      </w:r>
      <w:r w:rsidR="00F571F3">
        <w:rPr>
          <w:rFonts w:ascii="Arial" w:hAnsi="Arial" w:cs="Arial"/>
        </w:rPr>
        <w:t xml:space="preserve"> and so obtain monopoly profits</w:t>
      </w:r>
      <w:r w:rsidR="001A6CBF">
        <w:rPr>
          <w:rFonts w:ascii="Arial" w:hAnsi="Arial" w:cs="Arial"/>
        </w:rPr>
        <w:t xml:space="preserve"> and consequently </w:t>
      </w:r>
      <w:r w:rsidR="00F571F3">
        <w:rPr>
          <w:rFonts w:ascii="Arial" w:hAnsi="Arial" w:cs="Arial"/>
        </w:rPr>
        <w:t xml:space="preserve">also </w:t>
      </w:r>
      <w:r w:rsidR="001A6CBF">
        <w:rPr>
          <w:rFonts w:ascii="Arial" w:hAnsi="Arial" w:cs="Arial"/>
        </w:rPr>
        <w:t>pave the way for inefficiency</w:t>
      </w:r>
      <w:r w:rsidR="006A1CAC">
        <w:rPr>
          <w:rFonts w:ascii="Arial" w:hAnsi="Arial" w:cs="Arial"/>
        </w:rPr>
        <w:t>, reduced innovation</w:t>
      </w:r>
      <w:r w:rsidR="001A6CBF">
        <w:rPr>
          <w:rFonts w:ascii="Arial" w:hAnsi="Arial" w:cs="Arial"/>
        </w:rPr>
        <w:t xml:space="preserve"> and an inequitable distribution of income and wealth in that market.</w:t>
      </w:r>
      <w:r w:rsidR="001A6CBF">
        <w:rPr>
          <w:rStyle w:val="Funotenzeichen"/>
          <w:rFonts w:ascii="Arial" w:hAnsi="Arial" w:cs="Arial"/>
        </w:rPr>
        <w:footnoteReference w:id="730"/>
      </w:r>
      <w:r w:rsidR="001A6CBF">
        <w:rPr>
          <w:rFonts w:ascii="Arial" w:hAnsi="Arial" w:cs="Arial"/>
        </w:rPr>
        <w:t xml:space="preserve"> </w:t>
      </w:r>
      <w:r w:rsidR="00D06F8B">
        <w:rPr>
          <w:rFonts w:ascii="Arial" w:hAnsi="Arial" w:cs="Arial"/>
        </w:rPr>
        <w:t>As a result, the</w:t>
      </w:r>
      <w:r w:rsidR="006F02D2">
        <w:rPr>
          <w:rFonts w:ascii="Arial" w:hAnsi="Arial" w:cs="Arial"/>
        </w:rPr>
        <w:t xml:space="preserve"> number of firms in a market and their </w:t>
      </w:r>
      <w:r w:rsidR="002D671B">
        <w:rPr>
          <w:rFonts w:ascii="Arial" w:hAnsi="Arial" w:cs="Arial"/>
        </w:rPr>
        <w:t>relative</w:t>
      </w:r>
      <w:r w:rsidR="006F02D2">
        <w:rPr>
          <w:rFonts w:ascii="Arial" w:hAnsi="Arial" w:cs="Arial"/>
        </w:rPr>
        <w:t xml:space="preserve"> size</w:t>
      </w:r>
      <w:r w:rsidR="002D671B">
        <w:rPr>
          <w:rFonts w:ascii="Arial" w:hAnsi="Arial" w:cs="Arial"/>
        </w:rPr>
        <w:t>s</w:t>
      </w:r>
      <w:r w:rsidR="006F02D2">
        <w:rPr>
          <w:rFonts w:ascii="Arial" w:hAnsi="Arial" w:cs="Arial"/>
        </w:rPr>
        <w:t xml:space="preserve"> i.e.</w:t>
      </w:r>
      <w:r w:rsidR="002D671B">
        <w:rPr>
          <w:rFonts w:ascii="Arial" w:hAnsi="Arial" w:cs="Arial"/>
        </w:rPr>
        <w:t xml:space="preserve"> the concentration in the market,</w:t>
      </w:r>
      <w:r w:rsidR="006F02D2">
        <w:rPr>
          <w:rFonts w:ascii="Arial" w:hAnsi="Arial" w:cs="Arial"/>
        </w:rPr>
        <w:t xml:space="preserve"> </w:t>
      </w:r>
      <w:r w:rsidR="00D06F8B">
        <w:rPr>
          <w:rFonts w:ascii="Arial" w:hAnsi="Arial" w:cs="Arial"/>
        </w:rPr>
        <w:t>is an important element in determining market structure</w:t>
      </w:r>
      <w:r w:rsidR="00926D62">
        <w:rPr>
          <w:rFonts w:ascii="Arial" w:hAnsi="Arial" w:cs="Arial"/>
        </w:rPr>
        <w:t>.</w:t>
      </w:r>
      <w:r w:rsidR="00244112">
        <w:rPr>
          <w:rStyle w:val="Funotenzeichen"/>
          <w:rFonts w:ascii="Arial" w:hAnsi="Arial" w:cs="Arial"/>
        </w:rPr>
        <w:footnoteReference w:id="731"/>
      </w:r>
      <w:r w:rsidR="00926D62">
        <w:rPr>
          <w:rFonts w:ascii="Arial" w:hAnsi="Arial" w:cs="Arial"/>
        </w:rPr>
        <w:t xml:space="preserve"> </w:t>
      </w:r>
    </w:p>
    <w:p w:rsidR="00E9417D" w:rsidRDefault="00E9417D" w:rsidP="001A6CBF">
      <w:pPr>
        <w:contextualSpacing/>
        <w:jc w:val="both"/>
        <w:rPr>
          <w:rFonts w:ascii="Arial" w:hAnsi="Arial" w:cs="Arial"/>
        </w:rPr>
      </w:pPr>
    </w:p>
    <w:p w:rsidR="001A6CBF" w:rsidRDefault="001B3AA6" w:rsidP="001A6CBF">
      <w:pPr>
        <w:contextualSpacing/>
        <w:jc w:val="both"/>
        <w:rPr>
          <w:rFonts w:ascii="Arial" w:hAnsi="Arial" w:cs="Arial"/>
        </w:rPr>
      </w:pPr>
      <w:r>
        <w:rPr>
          <w:rFonts w:ascii="Arial" w:hAnsi="Arial" w:cs="Arial"/>
        </w:rPr>
        <w:t>Nonetheless</w:t>
      </w:r>
      <w:r w:rsidR="002D04A9">
        <w:rPr>
          <w:rFonts w:ascii="Arial" w:hAnsi="Arial" w:cs="Arial"/>
        </w:rPr>
        <w:t>, it is argued by some</w:t>
      </w:r>
      <w:r w:rsidR="00C40AC8">
        <w:rPr>
          <w:rFonts w:ascii="Arial" w:hAnsi="Arial" w:cs="Arial"/>
        </w:rPr>
        <w:t xml:space="preserve"> that these inefficienc</w:t>
      </w:r>
      <w:r w:rsidR="002D04A9">
        <w:rPr>
          <w:rFonts w:ascii="Arial" w:hAnsi="Arial" w:cs="Arial"/>
        </w:rPr>
        <w:t>ies and</w:t>
      </w:r>
      <w:r w:rsidR="00C40AC8">
        <w:rPr>
          <w:rFonts w:ascii="Arial" w:hAnsi="Arial" w:cs="Arial"/>
        </w:rPr>
        <w:t xml:space="preserve"> reduced innovation</w:t>
      </w:r>
      <w:r w:rsidR="002D04A9">
        <w:rPr>
          <w:rFonts w:ascii="Arial" w:hAnsi="Arial" w:cs="Arial"/>
        </w:rPr>
        <w:t>s</w:t>
      </w:r>
      <w:r>
        <w:rPr>
          <w:rFonts w:ascii="Arial" w:hAnsi="Arial" w:cs="Arial"/>
        </w:rPr>
        <w:t xml:space="preserve">, associated with </w:t>
      </w:r>
      <w:r w:rsidR="00C40AC8">
        <w:rPr>
          <w:rFonts w:ascii="Arial" w:hAnsi="Arial" w:cs="Arial"/>
        </w:rPr>
        <w:t>monopoly structure</w:t>
      </w:r>
      <w:r>
        <w:rPr>
          <w:rFonts w:ascii="Arial" w:hAnsi="Arial" w:cs="Arial"/>
        </w:rPr>
        <w:t>s</w:t>
      </w:r>
      <w:r w:rsidR="002D04A9">
        <w:rPr>
          <w:rFonts w:ascii="Arial" w:hAnsi="Arial" w:cs="Arial"/>
        </w:rPr>
        <w:t>,</w:t>
      </w:r>
      <w:r w:rsidR="00C40AC8">
        <w:rPr>
          <w:rFonts w:ascii="Arial" w:hAnsi="Arial" w:cs="Arial"/>
        </w:rPr>
        <w:t xml:space="preserve"> </w:t>
      </w:r>
      <w:r w:rsidR="002D04A9">
        <w:rPr>
          <w:rFonts w:ascii="Arial" w:hAnsi="Arial" w:cs="Arial"/>
        </w:rPr>
        <w:t xml:space="preserve">could </w:t>
      </w:r>
      <w:r>
        <w:rPr>
          <w:rFonts w:ascii="Arial" w:hAnsi="Arial" w:cs="Arial"/>
        </w:rPr>
        <w:t xml:space="preserve">in fact </w:t>
      </w:r>
      <w:r w:rsidR="00C40AC8">
        <w:rPr>
          <w:rFonts w:ascii="Arial" w:hAnsi="Arial" w:cs="Arial"/>
        </w:rPr>
        <w:t xml:space="preserve">be counterbalanced by an </w:t>
      </w:r>
      <w:r>
        <w:rPr>
          <w:rFonts w:ascii="Arial" w:hAnsi="Arial" w:cs="Arial"/>
        </w:rPr>
        <w:t xml:space="preserve">actual </w:t>
      </w:r>
      <w:r w:rsidR="00C40AC8">
        <w:rPr>
          <w:rFonts w:ascii="Arial" w:hAnsi="Arial" w:cs="Arial"/>
        </w:rPr>
        <w:t xml:space="preserve">increase in efficiency and innovations </w:t>
      </w:r>
      <w:r w:rsidR="00DF4CC1">
        <w:rPr>
          <w:rFonts w:ascii="Arial" w:hAnsi="Arial" w:cs="Arial"/>
        </w:rPr>
        <w:t>under</w:t>
      </w:r>
      <w:r w:rsidR="00C40AC8">
        <w:rPr>
          <w:rFonts w:ascii="Arial" w:hAnsi="Arial" w:cs="Arial"/>
        </w:rPr>
        <w:t xml:space="preserve"> certain </w:t>
      </w:r>
      <w:r w:rsidR="00DF4CC1">
        <w:rPr>
          <w:rFonts w:ascii="Arial" w:hAnsi="Arial" w:cs="Arial"/>
        </w:rPr>
        <w:t>conditions of monopoly structure</w:t>
      </w:r>
      <w:r w:rsidR="00C40AC8">
        <w:rPr>
          <w:rFonts w:ascii="Arial" w:hAnsi="Arial" w:cs="Arial"/>
        </w:rPr>
        <w:t>.</w:t>
      </w:r>
      <w:r w:rsidR="002920C8">
        <w:rPr>
          <w:rStyle w:val="Funotenzeichen"/>
          <w:rFonts w:ascii="Arial" w:hAnsi="Arial" w:cs="Arial"/>
        </w:rPr>
        <w:footnoteReference w:id="732"/>
      </w:r>
      <w:r w:rsidR="00C40AC8">
        <w:rPr>
          <w:rFonts w:ascii="Arial" w:hAnsi="Arial" w:cs="Arial"/>
        </w:rPr>
        <w:t xml:space="preserve"> T</w:t>
      </w:r>
      <w:r w:rsidR="00EF3587">
        <w:rPr>
          <w:rFonts w:ascii="Arial" w:hAnsi="Arial" w:cs="Arial"/>
        </w:rPr>
        <w:t>his is relevant for the weighing of anti-competitive effects against technological, efficiency and other pro-competitive gains</w:t>
      </w:r>
      <w:r w:rsidR="00DF4CC1">
        <w:rPr>
          <w:rFonts w:ascii="Arial" w:hAnsi="Arial" w:cs="Arial"/>
        </w:rPr>
        <w:t>,</w:t>
      </w:r>
      <w:r w:rsidR="00EF3587">
        <w:rPr>
          <w:rFonts w:ascii="Arial" w:hAnsi="Arial" w:cs="Arial"/>
        </w:rPr>
        <w:t xml:space="preserve"> which forms an </w:t>
      </w:r>
      <w:r w:rsidR="00DF4CC1">
        <w:rPr>
          <w:rFonts w:ascii="Arial" w:hAnsi="Arial" w:cs="Arial"/>
        </w:rPr>
        <w:t>essential</w:t>
      </w:r>
      <w:r w:rsidR="00EF3587">
        <w:rPr>
          <w:rFonts w:ascii="Arial" w:hAnsi="Arial" w:cs="Arial"/>
        </w:rPr>
        <w:t xml:space="preserve"> part of the efficiency </w:t>
      </w:r>
      <w:r w:rsidR="00DF4CC1">
        <w:rPr>
          <w:rFonts w:ascii="Arial" w:hAnsi="Arial" w:cs="Arial"/>
        </w:rPr>
        <w:t>defence, which</w:t>
      </w:r>
      <w:r w:rsidR="00EF3587">
        <w:rPr>
          <w:rFonts w:ascii="Arial" w:hAnsi="Arial" w:cs="Arial"/>
        </w:rPr>
        <w:t xml:space="preserve"> is the object of this paper. These potential increases in efficiency and innovation </w:t>
      </w:r>
      <w:r w:rsidR="00DF4CC1">
        <w:rPr>
          <w:rFonts w:ascii="Arial" w:hAnsi="Arial" w:cs="Arial"/>
        </w:rPr>
        <w:t xml:space="preserve">and the subsequent weighing process </w:t>
      </w:r>
      <w:r w:rsidR="00EF3587">
        <w:rPr>
          <w:rFonts w:ascii="Arial" w:hAnsi="Arial" w:cs="Arial"/>
        </w:rPr>
        <w:t xml:space="preserve">will be discussed </w:t>
      </w:r>
      <w:r w:rsidR="00E01868">
        <w:rPr>
          <w:rFonts w:ascii="Arial" w:hAnsi="Arial" w:cs="Arial"/>
        </w:rPr>
        <w:t xml:space="preserve">in </w:t>
      </w:r>
      <w:r w:rsidR="00EF3587">
        <w:rPr>
          <w:rFonts w:ascii="Arial" w:hAnsi="Arial" w:cs="Arial"/>
        </w:rPr>
        <w:t xml:space="preserve">later </w:t>
      </w:r>
      <w:r w:rsidR="00E01868">
        <w:rPr>
          <w:rFonts w:ascii="Arial" w:hAnsi="Arial" w:cs="Arial"/>
        </w:rPr>
        <w:t>chapters</w:t>
      </w:r>
      <w:r w:rsidR="00EF3587">
        <w:rPr>
          <w:rFonts w:ascii="Arial" w:hAnsi="Arial" w:cs="Arial"/>
        </w:rPr>
        <w:t>.</w:t>
      </w:r>
    </w:p>
    <w:p w:rsidR="001A6CBF" w:rsidRDefault="001A6CBF" w:rsidP="001A6CBF">
      <w:pPr>
        <w:contextualSpacing/>
        <w:jc w:val="both"/>
        <w:rPr>
          <w:rFonts w:ascii="Arial" w:hAnsi="Arial" w:cs="Arial"/>
        </w:rPr>
      </w:pPr>
    </w:p>
    <w:p w:rsidR="001A6CBF" w:rsidRDefault="0018577B" w:rsidP="001A6CBF">
      <w:pPr>
        <w:contextualSpacing/>
        <w:jc w:val="both"/>
        <w:rPr>
          <w:rFonts w:ascii="Arial" w:hAnsi="Arial" w:cs="Arial"/>
        </w:rPr>
      </w:pPr>
      <w:r>
        <w:rPr>
          <w:rFonts w:ascii="Arial" w:hAnsi="Arial" w:cs="Arial"/>
        </w:rPr>
        <w:t>3.3.4.2.</w:t>
      </w:r>
      <w:r w:rsidR="00DE0724">
        <w:rPr>
          <w:rFonts w:ascii="Arial" w:hAnsi="Arial" w:cs="Arial"/>
        </w:rPr>
        <w:t>1.</w:t>
      </w:r>
      <w:r w:rsidR="00F40580">
        <w:rPr>
          <w:rFonts w:ascii="Arial" w:hAnsi="Arial" w:cs="Arial"/>
        </w:rPr>
        <w:t xml:space="preserve"> </w:t>
      </w:r>
      <w:r w:rsidR="00C60AAB">
        <w:rPr>
          <w:rFonts w:ascii="Arial" w:hAnsi="Arial" w:cs="Arial"/>
        </w:rPr>
        <w:t xml:space="preserve">The </w:t>
      </w:r>
      <w:r w:rsidR="00BE4FFF" w:rsidRPr="005800F3">
        <w:rPr>
          <w:rFonts w:ascii="Arial" w:hAnsi="Arial" w:cs="Arial"/>
        </w:rPr>
        <w:t>validity</w:t>
      </w:r>
      <w:r w:rsidR="00C60AAB">
        <w:rPr>
          <w:rFonts w:ascii="Arial" w:hAnsi="Arial" w:cs="Arial"/>
        </w:rPr>
        <w:t xml:space="preserve"> of the SCP paradigm in South Africa</w:t>
      </w:r>
    </w:p>
    <w:p w:rsidR="00540D8F" w:rsidRDefault="00540D8F" w:rsidP="002563E6">
      <w:pPr>
        <w:contextualSpacing/>
        <w:jc w:val="both"/>
        <w:rPr>
          <w:rFonts w:ascii="Arial" w:hAnsi="Arial" w:cs="Arial"/>
        </w:rPr>
      </w:pPr>
    </w:p>
    <w:p w:rsidR="005F191C" w:rsidRDefault="0039408F" w:rsidP="002563E6">
      <w:pPr>
        <w:contextualSpacing/>
        <w:jc w:val="both"/>
        <w:rPr>
          <w:rFonts w:ascii="Arial" w:hAnsi="Arial" w:cs="Arial"/>
        </w:rPr>
      </w:pPr>
      <w:r>
        <w:rPr>
          <w:rFonts w:ascii="Arial" w:hAnsi="Arial" w:cs="Arial"/>
        </w:rPr>
        <w:t xml:space="preserve">The development of the SCP paradigm was based upon empirical </w:t>
      </w:r>
      <w:r w:rsidR="0009771F">
        <w:rPr>
          <w:rFonts w:ascii="Arial" w:hAnsi="Arial" w:cs="Arial"/>
        </w:rPr>
        <w:t xml:space="preserve">research, which </w:t>
      </w:r>
      <w:r>
        <w:rPr>
          <w:rFonts w:ascii="Arial" w:hAnsi="Arial" w:cs="Arial"/>
        </w:rPr>
        <w:t>indicated that the profits of firms in relatively more concentrated markets are significantly higher than those of firms in relatively less concentrated markets.</w:t>
      </w:r>
      <w:r w:rsidR="00052894">
        <w:rPr>
          <w:rStyle w:val="Funotenzeichen"/>
          <w:rFonts w:ascii="Arial" w:hAnsi="Arial" w:cs="Arial"/>
        </w:rPr>
        <w:footnoteReference w:id="733"/>
      </w:r>
      <w:r>
        <w:rPr>
          <w:rFonts w:ascii="Arial" w:hAnsi="Arial" w:cs="Arial"/>
        </w:rPr>
        <w:t xml:space="preserve"> Accordingly, it was held that </w:t>
      </w:r>
      <w:r w:rsidR="002B70DE">
        <w:rPr>
          <w:rFonts w:ascii="Arial" w:hAnsi="Arial" w:cs="Arial"/>
        </w:rPr>
        <w:t xml:space="preserve">concentrated markets make </w:t>
      </w:r>
      <w:r w:rsidR="00DA62B9">
        <w:rPr>
          <w:rFonts w:ascii="Arial" w:hAnsi="Arial" w:cs="Arial"/>
        </w:rPr>
        <w:t xml:space="preserve">it easier for firms to </w:t>
      </w:r>
      <w:r w:rsidR="002B70DE">
        <w:rPr>
          <w:rFonts w:ascii="Arial" w:hAnsi="Arial" w:cs="Arial"/>
        </w:rPr>
        <w:t xml:space="preserve">obtain abnormal </w:t>
      </w:r>
      <w:r w:rsidR="00DA62B9">
        <w:rPr>
          <w:rFonts w:ascii="Arial" w:hAnsi="Arial" w:cs="Arial"/>
        </w:rPr>
        <w:t>profits by</w:t>
      </w:r>
      <w:r w:rsidR="002B70DE">
        <w:rPr>
          <w:rFonts w:ascii="Arial" w:hAnsi="Arial" w:cs="Arial"/>
        </w:rPr>
        <w:t xml:space="preserve"> way of</w:t>
      </w:r>
      <w:r w:rsidR="00DA62B9">
        <w:rPr>
          <w:rFonts w:ascii="Arial" w:hAnsi="Arial" w:cs="Arial"/>
        </w:rPr>
        <w:t xml:space="preserve"> collusive behaviour and increased prices</w:t>
      </w:r>
      <w:r w:rsidR="0009771F">
        <w:rPr>
          <w:rFonts w:ascii="Arial" w:hAnsi="Arial" w:cs="Arial"/>
        </w:rPr>
        <w:t xml:space="preserve"> (collective and unilateral market power)</w:t>
      </w:r>
      <w:r w:rsidR="00DA62B9">
        <w:rPr>
          <w:rFonts w:ascii="Arial" w:hAnsi="Arial" w:cs="Arial"/>
        </w:rPr>
        <w:t>.</w:t>
      </w:r>
      <w:r w:rsidR="00052894">
        <w:rPr>
          <w:rStyle w:val="Funotenzeichen"/>
          <w:rFonts w:ascii="Arial" w:hAnsi="Arial" w:cs="Arial"/>
        </w:rPr>
        <w:footnoteReference w:id="734"/>
      </w:r>
      <w:r w:rsidR="002B70DE">
        <w:rPr>
          <w:rFonts w:ascii="Arial" w:hAnsi="Arial" w:cs="Arial"/>
        </w:rPr>
        <w:t xml:space="preserve"> As a result, it was promulgated that the structure of a market influences the conduct of firms, which in turn influence their performance</w:t>
      </w:r>
      <w:r w:rsidR="00B90EB9">
        <w:rPr>
          <w:rFonts w:ascii="Arial" w:hAnsi="Arial" w:cs="Arial"/>
        </w:rPr>
        <w:t xml:space="preserve"> i.e. </w:t>
      </w:r>
      <w:r w:rsidR="00AC2B70">
        <w:rPr>
          <w:rFonts w:ascii="Arial" w:hAnsi="Arial" w:cs="Arial"/>
        </w:rPr>
        <w:t xml:space="preserve">high levels of </w:t>
      </w:r>
      <w:r w:rsidR="00B90EB9">
        <w:rPr>
          <w:rFonts w:ascii="Arial" w:hAnsi="Arial" w:cs="Arial"/>
        </w:rPr>
        <w:t>concentration</w:t>
      </w:r>
      <w:r w:rsidR="00AC2B70">
        <w:rPr>
          <w:rFonts w:ascii="Arial" w:hAnsi="Arial" w:cs="Arial"/>
        </w:rPr>
        <w:t xml:space="preserve"> (structure)</w:t>
      </w:r>
      <w:r w:rsidR="00B90EB9">
        <w:rPr>
          <w:rFonts w:ascii="Arial" w:hAnsi="Arial" w:cs="Arial"/>
        </w:rPr>
        <w:t xml:space="preserve"> leads to</w:t>
      </w:r>
      <w:r w:rsidR="00AC2B70">
        <w:rPr>
          <w:rFonts w:ascii="Arial" w:hAnsi="Arial" w:cs="Arial"/>
        </w:rPr>
        <w:t xml:space="preserve"> collusive behaviour and higher prices (conduct) which leads to</w:t>
      </w:r>
      <w:r w:rsidR="00B90EB9">
        <w:rPr>
          <w:rFonts w:ascii="Arial" w:hAnsi="Arial" w:cs="Arial"/>
        </w:rPr>
        <w:t xml:space="preserve"> abnormal profits </w:t>
      </w:r>
      <w:r w:rsidR="00AC2B70">
        <w:rPr>
          <w:rFonts w:ascii="Arial" w:hAnsi="Arial" w:cs="Arial"/>
        </w:rPr>
        <w:t xml:space="preserve">(performance) </w:t>
      </w:r>
      <w:r w:rsidR="00B90EB9">
        <w:rPr>
          <w:rFonts w:ascii="Arial" w:hAnsi="Arial" w:cs="Arial"/>
        </w:rPr>
        <w:t>and its associated disadvantages.</w:t>
      </w:r>
      <w:r w:rsidR="00052894">
        <w:rPr>
          <w:rStyle w:val="Funotenzeichen"/>
          <w:rFonts w:ascii="Arial" w:hAnsi="Arial" w:cs="Arial"/>
        </w:rPr>
        <w:footnoteReference w:id="735"/>
      </w:r>
      <w:r w:rsidR="00DA62B9">
        <w:rPr>
          <w:rFonts w:ascii="Arial" w:hAnsi="Arial" w:cs="Arial"/>
        </w:rPr>
        <w:t xml:space="preserve"> Hence, </w:t>
      </w:r>
      <w:r w:rsidR="00052894">
        <w:rPr>
          <w:rFonts w:ascii="Arial" w:hAnsi="Arial" w:cs="Arial"/>
        </w:rPr>
        <w:t>market</w:t>
      </w:r>
      <w:r w:rsidR="00DA62B9">
        <w:rPr>
          <w:rFonts w:ascii="Arial" w:hAnsi="Arial" w:cs="Arial"/>
        </w:rPr>
        <w:t xml:space="preserve"> structure </w:t>
      </w:r>
      <w:r w:rsidR="00B90EB9">
        <w:rPr>
          <w:rFonts w:ascii="Arial" w:hAnsi="Arial" w:cs="Arial"/>
        </w:rPr>
        <w:t>ought</w:t>
      </w:r>
      <w:r w:rsidR="00052894">
        <w:rPr>
          <w:rFonts w:ascii="Arial" w:hAnsi="Arial" w:cs="Arial"/>
        </w:rPr>
        <w:t xml:space="preserve"> to</w:t>
      </w:r>
      <w:r w:rsidR="00DA62B9">
        <w:rPr>
          <w:rFonts w:ascii="Arial" w:hAnsi="Arial" w:cs="Arial"/>
        </w:rPr>
        <w:t xml:space="preserve"> be regulated.</w:t>
      </w:r>
      <w:r w:rsidR="00AC2B70">
        <w:rPr>
          <w:rStyle w:val="Funotenzeichen"/>
          <w:rFonts w:ascii="Arial" w:hAnsi="Arial" w:cs="Arial"/>
        </w:rPr>
        <w:footnoteReference w:id="736"/>
      </w:r>
      <w:r w:rsidR="00DA62B9">
        <w:rPr>
          <w:rFonts w:ascii="Arial" w:hAnsi="Arial" w:cs="Arial"/>
        </w:rPr>
        <w:t xml:space="preserve"> </w:t>
      </w:r>
    </w:p>
    <w:p w:rsidR="004501F8" w:rsidRDefault="004501F8" w:rsidP="002563E6">
      <w:pPr>
        <w:contextualSpacing/>
        <w:jc w:val="both"/>
        <w:rPr>
          <w:rFonts w:ascii="Arial" w:hAnsi="Arial" w:cs="Arial"/>
        </w:rPr>
      </w:pPr>
    </w:p>
    <w:p w:rsidR="0039408F" w:rsidRDefault="002B70DE" w:rsidP="002563E6">
      <w:pPr>
        <w:contextualSpacing/>
        <w:jc w:val="both"/>
        <w:rPr>
          <w:rFonts w:ascii="Arial" w:hAnsi="Arial" w:cs="Arial"/>
        </w:rPr>
      </w:pPr>
      <w:r>
        <w:rPr>
          <w:rFonts w:ascii="Arial" w:hAnsi="Arial" w:cs="Arial"/>
        </w:rPr>
        <w:t xml:space="preserve">This was </w:t>
      </w:r>
      <w:r w:rsidR="00052894">
        <w:rPr>
          <w:rFonts w:ascii="Arial" w:hAnsi="Arial" w:cs="Arial"/>
        </w:rPr>
        <w:t>the</w:t>
      </w:r>
      <w:r>
        <w:rPr>
          <w:rFonts w:ascii="Arial" w:hAnsi="Arial" w:cs="Arial"/>
        </w:rPr>
        <w:t xml:space="preserve"> standard position </w:t>
      </w:r>
      <w:r w:rsidR="00052894">
        <w:rPr>
          <w:rFonts w:ascii="Arial" w:hAnsi="Arial" w:cs="Arial"/>
        </w:rPr>
        <w:t>of the SCP paradigm</w:t>
      </w:r>
      <w:r w:rsidR="0097391C">
        <w:rPr>
          <w:rFonts w:ascii="Arial" w:hAnsi="Arial" w:cs="Arial"/>
        </w:rPr>
        <w:t xml:space="preserve"> and it is termed the </w:t>
      </w:r>
      <w:r w:rsidR="001A5624">
        <w:rPr>
          <w:rFonts w:ascii="Arial" w:hAnsi="Arial" w:cs="Arial"/>
        </w:rPr>
        <w:t>“</w:t>
      </w:r>
      <w:r w:rsidR="00707227">
        <w:rPr>
          <w:rFonts w:ascii="Arial" w:hAnsi="Arial" w:cs="Arial"/>
        </w:rPr>
        <w:t>monopoly</w:t>
      </w:r>
      <w:r w:rsidR="0097391C">
        <w:rPr>
          <w:rFonts w:ascii="Arial" w:hAnsi="Arial" w:cs="Arial"/>
        </w:rPr>
        <w:t xml:space="preserve"> hypothesis</w:t>
      </w:r>
      <w:r w:rsidR="001A5624">
        <w:rPr>
          <w:rFonts w:ascii="Arial" w:hAnsi="Arial" w:cs="Arial"/>
        </w:rPr>
        <w:t>” or the “</w:t>
      </w:r>
      <w:r w:rsidR="00707227">
        <w:rPr>
          <w:rFonts w:ascii="Arial" w:hAnsi="Arial" w:cs="Arial"/>
        </w:rPr>
        <w:t>collusion</w:t>
      </w:r>
      <w:r w:rsidR="001A5624">
        <w:rPr>
          <w:rFonts w:ascii="Arial" w:hAnsi="Arial" w:cs="Arial"/>
        </w:rPr>
        <w:t xml:space="preserve"> hypothesis”</w:t>
      </w:r>
      <w:r w:rsidR="00052894">
        <w:rPr>
          <w:rFonts w:ascii="Arial" w:hAnsi="Arial" w:cs="Arial"/>
        </w:rPr>
        <w:t>.</w:t>
      </w:r>
      <w:r w:rsidR="00052894">
        <w:rPr>
          <w:rStyle w:val="Funotenzeichen"/>
          <w:rFonts w:ascii="Arial" w:hAnsi="Arial" w:cs="Arial"/>
        </w:rPr>
        <w:footnoteReference w:id="737"/>
      </w:r>
      <w:r w:rsidR="00052894">
        <w:rPr>
          <w:rFonts w:ascii="Arial" w:hAnsi="Arial" w:cs="Arial"/>
        </w:rPr>
        <w:t xml:space="preserve"> </w:t>
      </w:r>
      <w:r w:rsidR="0097391C">
        <w:rPr>
          <w:rFonts w:ascii="Arial" w:hAnsi="Arial" w:cs="Arial"/>
        </w:rPr>
        <w:t xml:space="preserve">The </w:t>
      </w:r>
      <w:r w:rsidR="00707227">
        <w:rPr>
          <w:rFonts w:ascii="Arial" w:hAnsi="Arial" w:cs="Arial"/>
        </w:rPr>
        <w:t>monopoly</w:t>
      </w:r>
      <w:r w:rsidR="0097391C">
        <w:rPr>
          <w:rFonts w:ascii="Arial" w:hAnsi="Arial" w:cs="Arial"/>
        </w:rPr>
        <w:t xml:space="preserve"> hypothesis </w:t>
      </w:r>
      <w:r w:rsidR="00857348">
        <w:rPr>
          <w:rFonts w:ascii="Arial" w:hAnsi="Arial" w:cs="Arial"/>
        </w:rPr>
        <w:t>states</w:t>
      </w:r>
      <w:r w:rsidR="0097391C">
        <w:rPr>
          <w:rFonts w:ascii="Arial" w:hAnsi="Arial" w:cs="Arial"/>
        </w:rPr>
        <w:t xml:space="preserve"> that a positive </w:t>
      </w:r>
      <w:r w:rsidR="005F191C">
        <w:rPr>
          <w:rFonts w:ascii="Arial" w:hAnsi="Arial" w:cs="Arial"/>
        </w:rPr>
        <w:t>correlation</w:t>
      </w:r>
      <w:r w:rsidR="0097391C">
        <w:rPr>
          <w:rFonts w:ascii="Arial" w:hAnsi="Arial" w:cs="Arial"/>
        </w:rPr>
        <w:t xml:space="preserve"> between </w:t>
      </w:r>
      <w:r w:rsidR="005F191C">
        <w:rPr>
          <w:rFonts w:ascii="Arial" w:hAnsi="Arial" w:cs="Arial"/>
        </w:rPr>
        <w:t xml:space="preserve">market </w:t>
      </w:r>
      <w:r w:rsidR="0097391C">
        <w:rPr>
          <w:rFonts w:ascii="Arial" w:hAnsi="Arial" w:cs="Arial"/>
        </w:rPr>
        <w:t xml:space="preserve">concentration and </w:t>
      </w:r>
      <w:r w:rsidR="005D4F42">
        <w:rPr>
          <w:rFonts w:ascii="Arial" w:hAnsi="Arial" w:cs="Arial"/>
        </w:rPr>
        <w:t xml:space="preserve">the </w:t>
      </w:r>
      <w:r w:rsidR="0097391C">
        <w:rPr>
          <w:rFonts w:ascii="Arial" w:hAnsi="Arial" w:cs="Arial"/>
        </w:rPr>
        <w:t xml:space="preserve">profitability </w:t>
      </w:r>
      <w:r w:rsidR="005F191C">
        <w:rPr>
          <w:rFonts w:ascii="Arial" w:hAnsi="Arial" w:cs="Arial"/>
        </w:rPr>
        <w:t>levels</w:t>
      </w:r>
      <w:r w:rsidR="005D4F42">
        <w:rPr>
          <w:rFonts w:ascii="Arial" w:hAnsi="Arial" w:cs="Arial"/>
        </w:rPr>
        <w:t xml:space="preserve"> in the market</w:t>
      </w:r>
      <w:r w:rsidR="005F191C">
        <w:rPr>
          <w:rFonts w:ascii="Arial" w:hAnsi="Arial" w:cs="Arial"/>
        </w:rPr>
        <w:t xml:space="preserve"> </w:t>
      </w:r>
      <w:r w:rsidR="0097391C">
        <w:rPr>
          <w:rFonts w:ascii="Arial" w:hAnsi="Arial" w:cs="Arial"/>
        </w:rPr>
        <w:t xml:space="preserve">is an indication of collusive behaviour and/or other </w:t>
      </w:r>
      <w:r w:rsidR="0097391C" w:rsidRPr="0097391C">
        <w:rPr>
          <w:rFonts w:ascii="Arial" w:hAnsi="Arial" w:cs="Arial"/>
        </w:rPr>
        <w:t>abuse</w:t>
      </w:r>
      <w:r w:rsidR="0097391C">
        <w:rPr>
          <w:rFonts w:ascii="Arial" w:hAnsi="Arial" w:cs="Arial"/>
        </w:rPr>
        <w:t>s of market power designed to increase profits</w:t>
      </w:r>
      <w:r w:rsidR="00BD1F7C">
        <w:rPr>
          <w:rFonts w:ascii="Arial" w:hAnsi="Arial" w:cs="Arial"/>
        </w:rPr>
        <w:t xml:space="preserve"> i.e. there is a unidirectional causality from structure, to conduct to performance</w:t>
      </w:r>
      <w:r w:rsidR="0097391C">
        <w:rPr>
          <w:rFonts w:ascii="Arial" w:hAnsi="Arial" w:cs="Arial"/>
        </w:rPr>
        <w:t>.</w:t>
      </w:r>
      <w:r w:rsidR="00857348">
        <w:rPr>
          <w:rStyle w:val="Funotenzeichen"/>
          <w:rFonts w:ascii="Arial" w:hAnsi="Arial" w:cs="Arial"/>
        </w:rPr>
        <w:footnoteReference w:id="738"/>
      </w:r>
      <w:r w:rsidR="0097391C">
        <w:rPr>
          <w:rFonts w:ascii="Arial" w:hAnsi="Arial" w:cs="Arial"/>
        </w:rPr>
        <w:t xml:space="preserve"> </w:t>
      </w:r>
      <w:r w:rsidR="005D4F42">
        <w:rPr>
          <w:rFonts w:ascii="Arial" w:hAnsi="Arial" w:cs="Arial"/>
        </w:rPr>
        <w:t>Stated differently</w:t>
      </w:r>
      <w:r w:rsidR="005F191C">
        <w:rPr>
          <w:rFonts w:ascii="Arial" w:hAnsi="Arial" w:cs="Arial"/>
        </w:rPr>
        <w:t xml:space="preserve">, a concentrated market structure makes it possible for firms to abuse their unilateral market power or to collude with other firms </w:t>
      </w:r>
      <w:r w:rsidR="003B642C">
        <w:rPr>
          <w:rFonts w:ascii="Arial" w:hAnsi="Arial" w:cs="Arial"/>
        </w:rPr>
        <w:t>to</w:t>
      </w:r>
      <w:r w:rsidR="005F191C">
        <w:rPr>
          <w:rFonts w:ascii="Arial" w:hAnsi="Arial" w:cs="Arial"/>
        </w:rPr>
        <w:t xml:space="preserve"> abuse their collective market power.</w:t>
      </w:r>
      <w:r w:rsidR="0002587A">
        <w:rPr>
          <w:rStyle w:val="Funotenzeichen"/>
          <w:rFonts w:ascii="Arial" w:hAnsi="Arial" w:cs="Arial"/>
        </w:rPr>
        <w:footnoteReference w:id="739"/>
      </w:r>
      <w:r w:rsidR="005F191C">
        <w:rPr>
          <w:rFonts w:ascii="Arial" w:hAnsi="Arial" w:cs="Arial"/>
        </w:rPr>
        <w:t xml:space="preserve"> </w:t>
      </w:r>
      <w:r w:rsidR="003B642C">
        <w:rPr>
          <w:rFonts w:ascii="Arial" w:hAnsi="Arial" w:cs="Arial"/>
        </w:rPr>
        <w:t>It is this abuse of market power (conduct) that is said to cause increased levels of profit (performance).</w:t>
      </w:r>
      <w:r w:rsidR="0002587A">
        <w:rPr>
          <w:rStyle w:val="Funotenzeichen"/>
          <w:rFonts w:ascii="Arial" w:hAnsi="Arial" w:cs="Arial"/>
        </w:rPr>
        <w:footnoteReference w:id="740"/>
      </w:r>
      <w:r w:rsidR="003B642C">
        <w:rPr>
          <w:rFonts w:ascii="Arial" w:hAnsi="Arial" w:cs="Arial"/>
        </w:rPr>
        <w:t xml:space="preserve"> Accordingly, market structure </w:t>
      </w:r>
      <w:r w:rsidR="0002587A">
        <w:rPr>
          <w:rFonts w:ascii="Arial" w:hAnsi="Arial" w:cs="Arial"/>
        </w:rPr>
        <w:t>causes</w:t>
      </w:r>
      <w:r w:rsidR="003B642C">
        <w:rPr>
          <w:rFonts w:ascii="Arial" w:hAnsi="Arial" w:cs="Arial"/>
        </w:rPr>
        <w:t xml:space="preserve"> firms to abuse their market power</w:t>
      </w:r>
      <w:r w:rsidR="0002587A">
        <w:rPr>
          <w:rFonts w:ascii="Arial" w:hAnsi="Arial" w:cs="Arial"/>
        </w:rPr>
        <w:t xml:space="preserve"> (conduct)</w:t>
      </w:r>
      <w:r w:rsidR="003B642C">
        <w:rPr>
          <w:rFonts w:ascii="Arial" w:hAnsi="Arial" w:cs="Arial"/>
        </w:rPr>
        <w:t xml:space="preserve"> which increase</w:t>
      </w:r>
      <w:r w:rsidR="0002587A">
        <w:rPr>
          <w:rFonts w:ascii="Arial" w:hAnsi="Arial" w:cs="Arial"/>
        </w:rPr>
        <w:t>s</w:t>
      </w:r>
      <w:r w:rsidR="003B642C">
        <w:rPr>
          <w:rFonts w:ascii="Arial" w:hAnsi="Arial" w:cs="Arial"/>
        </w:rPr>
        <w:t xml:space="preserve"> their performance</w:t>
      </w:r>
      <w:r w:rsidR="0002587A">
        <w:rPr>
          <w:rFonts w:ascii="Arial" w:hAnsi="Arial" w:cs="Arial"/>
        </w:rPr>
        <w:t xml:space="preserve"> (profits)</w:t>
      </w:r>
      <w:r w:rsidR="003B642C">
        <w:rPr>
          <w:rFonts w:ascii="Arial" w:hAnsi="Arial" w:cs="Arial"/>
        </w:rPr>
        <w:t>.</w:t>
      </w:r>
      <w:r w:rsidR="0002587A">
        <w:rPr>
          <w:rStyle w:val="Funotenzeichen"/>
          <w:rFonts w:ascii="Arial" w:hAnsi="Arial" w:cs="Arial"/>
        </w:rPr>
        <w:footnoteReference w:id="741"/>
      </w:r>
    </w:p>
    <w:p w:rsidR="000A7AC3" w:rsidRDefault="000A7AC3" w:rsidP="002563E6">
      <w:pPr>
        <w:contextualSpacing/>
        <w:jc w:val="both"/>
        <w:rPr>
          <w:rFonts w:ascii="Arial" w:hAnsi="Arial" w:cs="Arial"/>
        </w:rPr>
      </w:pPr>
    </w:p>
    <w:p w:rsidR="003065D1" w:rsidRDefault="000A7AC3" w:rsidP="002563E6">
      <w:pPr>
        <w:contextualSpacing/>
        <w:jc w:val="both"/>
        <w:rPr>
          <w:rFonts w:ascii="Arial" w:hAnsi="Arial" w:cs="Arial"/>
        </w:rPr>
      </w:pPr>
      <w:r>
        <w:rPr>
          <w:rFonts w:ascii="Arial" w:hAnsi="Arial" w:cs="Arial"/>
        </w:rPr>
        <w:t xml:space="preserve">Several schools of thought however, </w:t>
      </w:r>
      <w:r w:rsidR="001A5624">
        <w:rPr>
          <w:rFonts w:ascii="Arial" w:hAnsi="Arial" w:cs="Arial"/>
        </w:rPr>
        <w:t>have</w:t>
      </w:r>
      <w:r>
        <w:rPr>
          <w:rFonts w:ascii="Arial" w:hAnsi="Arial" w:cs="Arial"/>
        </w:rPr>
        <w:t xml:space="preserve"> rejected the </w:t>
      </w:r>
      <w:r w:rsidR="00707227">
        <w:rPr>
          <w:rFonts w:ascii="Arial" w:hAnsi="Arial" w:cs="Arial"/>
        </w:rPr>
        <w:t>monopoly</w:t>
      </w:r>
      <w:r>
        <w:rPr>
          <w:rFonts w:ascii="Arial" w:hAnsi="Arial" w:cs="Arial"/>
        </w:rPr>
        <w:t xml:space="preserve"> hypothesis</w:t>
      </w:r>
      <w:r w:rsidR="00857348">
        <w:rPr>
          <w:rFonts w:ascii="Arial" w:hAnsi="Arial" w:cs="Arial"/>
        </w:rPr>
        <w:t xml:space="preserve"> </w:t>
      </w:r>
      <w:r>
        <w:rPr>
          <w:rFonts w:ascii="Arial" w:hAnsi="Arial" w:cs="Arial"/>
        </w:rPr>
        <w:t xml:space="preserve">and stated that </w:t>
      </w:r>
      <w:r w:rsidR="00870F7E">
        <w:rPr>
          <w:rFonts w:ascii="Arial" w:hAnsi="Arial" w:cs="Arial"/>
        </w:rPr>
        <w:t xml:space="preserve">a positive </w:t>
      </w:r>
      <w:r w:rsidR="001A5624">
        <w:rPr>
          <w:rFonts w:ascii="Arial" w:hAnsi="Arial" w:cs="Arial"/>
        </w:rPr>
        <w:t>correlation</w:t>
      </w:r>
      <w:r w:rsidR="00870F7E">
        <w:rPr>
          <w:rFonts w:ascii="Arial" w:hAnsi="Arial" w:cs="Arial"/>
        </w:rPr>
        <w:t xml:space="preserve"> between </w:t>
      </w:r>
      <w:r w:rsidR="001A5624">
        <w:rPr>
          <w:rFonts w:ascii="Arial" w:hAnsi="Arial" w:cs="Arial"/>
        </w:rPr>
        <w:t xml:space="preserve">market </w:t>
      </w:r>
      <w:r w:rsidR="00870F7E">
        <w:rPr>
          <w:rFonts w:ascii="Arial" w:hAnsi="Arial" w:cs="Arial"/>
        </w:rPr>
        <w:t xml:space="preserve">concentration and </w:t>
      </w:r>
      <w:r w:rsidR="001A5624">
        <w:rPr>
          <w:rFonts w:ascii="Arial" w:hAnsi="Arial" w:cs="Arial"/>
        </w:rPr>
        <w:t xml:space="preserve">the </w:t>
      </w:r>
      <w:r w:rsidR="00870F7E">
        <w:rPr>
          <w:rFonts w:ascii="Arial" w:hAnsi="Arial" w:cs="Arial"/>
        </w:rPr>
        <w:t>profitability</w:t>
      </w:r>
      <w:r>
        <w:rPr>
          <w:rFonts w:ascii="Arial" w:hAnsi="Arial" w:cs="Arial"/>
        </w:rPr>
        <w:t xml:space="preserve"> </w:t>
      </w:r>
      <w:r w:rsidR="001A5624">
        <w:rPr>
          <w:rFonts w:ascii="Arial" w:hAnsi="Arial" w:cs="Arial"/>
        </w:rPr>
        <w:t xml:space="preserve">level within that market </w:t>
      </w:r>
      <w:r w:rsidR="00870F7E">
        <w:rPr>
          <w:rFonts w:ascii="Arial" w:hAnsi="Arial" w:cs="Arial"/>
        </w:rPr>
        <w:t xml:space="preserve">reflects the natural tendency of efficient firms to obtain </w:t>
      </w:r>
      <w:r w:rsidR="00380550">
        <w:rPr>
          <w:rFonts w:ascii="Arial" w:hAnsi="Arial" w:cs="Arial"/>
        </w:rPr>
        <w:t>larger</w:t>
      </w:r>
      <w:r w:rsidR="00870F7E">
        <w:rPr>
          <w:rFonts w:ascii="Arial" w:hAnsi="Arial" w:cs="Arial"/>
        </w:rPr>
        <w:t xml:space="preserve"> market share</w:t>
      </w:r>
      <w:r w:rsidR="00561DA6">
        <w:rPr>
          <w:rFonts w:ascii="Arial" w:hAnsi="Arial" w:cs="Arial"/>
        </w:rPr>
        <w:t>s</w:t>
      </w:r>
      <w:r w:rsidR="00870F7E">
        <w:rPr>
          <w:rFonts w:ascii="Arial" w:hAnsi="Arial" w:cs="Arial"/>
        </w:rPr>
        <w:t xml:space="preserve"> </w:t>
      </w:r>
      <w:r w:rsidR="00380550">
        <w:rPr>
          <w:rFonts w:ascii="Arial" w:hAnsi="Arial" w:cs="Arial"/>
        </w:rPr>
        <w:t xml:space="preserve">and higher profits </w:t>
      </w:r>
      <w:r w:rsidR="00870F7E">
        <w:rPr>
          <w:rFonts w:ascii="Arial" w:hAnsi="Arial" w:cs="Arial"/>
        </w:rPr>
        <w:t>and thus contribute to the concentration of th</w:t>
      </w:r>
      <w:r w:rsidR="00561DA6">
        <w:rPr>
          <w:rFonts w:ascii="Arial" w:hAnsi="Arial" w:cs="Arial"/>
        </w:rPr>
        <w:t>at</w:t>
      </w:r>
      <w:r w:rsidR="00870F7E">
        <w:rPr>
          <w:rFonts w:ascii="Arial" w:hAnsi="Arial" w:cs="Arial"/>
        </w:rPr>
        <w:t xml:space="preserve"> market</w:t>
      </w:r>
      <w:r w:rsidR="00BD1F7C">
        <w:rPr>
          <w:rFonts w:ascii="Arial" w:hAnsi="Arial" w:cs="Arial"/>
        </w:rPr>
        <w:t xml:space="preserve"> i.e. </w:t>
      </w:r>
      <w:r w:rsidR="001A5624">
        <w:rPr>
          <w:rFonts w:ascii="Arial" w:hAnsi="Arial" w:cs="Arial"/>
        </w:rPr>
        <w:t xml:space="preserve">market </w:t>
      </w:r>
      <w:r w:rsidR="00BD1F7C">
        <w:rPr>
          <w:rFonts w:ascii="Arial" w:hAnsi="Arial" w:cs="Arial"/>
        </w:rPr>
        <w:t>conduct</w:t>
      </w:r>
      <w:r w:rsidR="001A5624">
        <w:rPr>
          <w:rFonts w:ascii="Arial" w:hAnsi="Arial" w:cs="Arial"/>
        </w:rPr>
        <w:t xml:space="preserve"> (being efficient)</w:t>
      </w:r>
      <w:r w:rsidR="00BD1F7C">
        <w:rPr>
          <w:rFonts w:ascii="Arial" w:hAnsi="Arial" w:cs="Arial"/>
        </w:rPr>
        <w:t xml:space="preserve"> influences </w:t>
      </w:r>
      <w:r w:rsidR="001A5624">
        <w:rPr>
          <w:rFonts w:ascii="Arial" w:hAnsi="Arial" w:cs="Arial"/>
        </w:rPr>
        <w:t xml:space="preserve">market </w:t>
      </w:r>
      <w:r w:rsidR="00BD1F7C">
        <w:rPr>
          <w:rFonts w:ascii="Arial" w:hAnsi="Arial" w:cs="Arial"/>
        </w:rPr>
        <w:t>structure and not the other way around</w:t>
      </w:r>
      <w:r w:rsidR="001A5624">
        <w:rPr>
          <w:rFonts w:ascii="Arial" w:hAnsi="Arial" w:cs="Arial"/>
        </w:rPr>
        <w:t xml:space="preserve"> as proclaimed by the supporters of the SCP paradigm</w:t>
      </w:r>
      <w:r w:rsidR="00870F7E">
        <w:rPr>
          <w:rFonts w:ascii="Arial" w:hAnsi="Arial" w:cs="Arial"/>
        </w:rPr>
        <w:t>.</w:t>
      </w:r>
      <w:r w:rsidR="00561DA6">
        <w:rPr>
          <w:rStyle w:val="Funotenzeichen"/>
          <w:rFonts w:ascii="Arial" w:hAnsi="Arial" w:cs="Arial"/>
        </w:rPr>
        <w:footnoteReference w:id="742"/>
      </w:r>
      <w:r w:rsidR="00870F7E">
        <w:rPr>
          <w:rFonts w:ascii="Arial" w:hAnsi="Arial" w:cs="Arial"/>
        </w:rPr>
        <w:t xml:space="preserve"> </w:t>
      </w:r>
    </w:p>
    <w:p w:rsidR="003065D1" w:rsidRDefault="003065D1" w:rsidP="002563E6">
      <w:pPr>
        <w:contextualSpacing/>
        <w:jc w:val="both"/>
        <w:rPr>
          <w:rFonts w:ascii="Arial" w:hAnsi="Arial" w:cs="Arial"/>
        </w:rPr>
      </w:pPr>
    </w:p>
    <w:p w:rsidR="009C6388" w:rsidRDefault="002C1180" w:rsidP="002563E6">
      <w:pPr>
        <w:contextualSpacing/>
        <w:jc w:val="both"/>
        <w:rPr>
          <w:rFonts w:ascii="Arial" w:hAnsi="Arial" w:cs="Arial"/>
        </w:rPr>
      </w:pPr>
      <w:r>
        <w:rPr>
          <w:rFonts w:ascii="Arial" w:hAnsi="Arial" w:cs="Arial"/>
        </w:rPr>
        <w:t xml:space="preserve">This </w:t>
      </w:r>
      <w:r w:rsidR="00460AE4">
        <w:rPr>
          <w:rFonts w:ascii="Arial" w:hAnsi="Arial" w:cs="Arial"/>
        </w:rPr>
        <w:t>point of view</w:t>
      </w:r>
      <w:r>
        <w:rPr>
          <w:rFonts w:ascii="Arial" w:hAnsi="Arial" w:cs="Arial"/>
        </w:rPr>
        <w:t xml:space="preserve"> is known as the </w:t>
      </w:r>
      <w:r w:rsidR="001A5624">
        <w:rPr>
          <w:rFonts w:ascii="Arial" w:hAnsi="Arial" w:cs="Arial"/>
        </w:rPr>
        <w:t>“</w:t>
      </w:r>
      <w:r>
        <w:rPr>
          <w:rFonts w:ascii="Arial" w:hAnsi="Arial" w:cs="Arial"/>
        </w:rPr>
        <w:t>efficiency hypothesis</w:t>
      </w:r>
      <w:r w:rsidR="001A5624">
        <w:rPr>
          <w:rFonts w:ascii="Arial" w:hAnsi="Arial" w:cs="Arial"/>
        </w:rPr>
        <w:t>”</w:t>
      </w:r>
      <w:r>
        <w:rPr>
          <w:rFonts w:ascii="Arial" w:hAnsi="Arial" w:cs="Arial"/>
        </w:rPr>
        <w:t xml:space="preserve"> </w:t>
      </w:r>
      <w:r w:rsidR="00460AE4">
        <w:rPr>
          <w:rFonts w:ascii="Arial" w:hAnsi="Arial" w:cs="Arial"/>
        </w:rPr>
        <w:t xml:space="preserve">and it states that high levels of </w:t>
      </w:r>
      <w:r w:rsidR="001A5624">
        <w:rPr>
          <w:rFonts w:ascii="Arial" w:hAnsi="Arial" w:cs="Arial"/>
        </w:rPr>
        <w:t xml:space="preserve">market </w:t>
      </w:r>
      <w:r w:rsidR="00460AE4">
        <w:rPr>
          <w:rFonts w:ascii="Arial" w:hAnsi="Arial" w:cs="Arial"/>
        </w:rPr>
        <w:t xml:space="preserve">concentration and the associated high levels of market power is the result of the competition process in which efficient firms have </w:t>
      </w:r>
      <w:r w:rsidR="00460AE4" w:rsidRPr="006921C9">
        <w:rPr>
          <w:rFonts w:ascii="Arial" w:hAnsi="Arial" w:cs="Arial"/>
        </w:rPr>
        <w:t>outperformed</w:t>
      </w:r>
      <w:r w:rsidR="00460AE4">
        <w:rPr>
          <w:rFonts w:ascii="Arial" w:hAnsi="Arial" w:cs="Arial"/>
        </w:rPr>
        <w:t xml:space="preserve"> less efficient firms.</w:t>
      </w:r>
      <w:r w:rsidR="009B1BCC">
        <w:rPr>
          <w:rStyle w:val="Funotenzeichen"/>
          <w:rFonts w:ascii="Arial" w:hAnsi="Arial" w:cs="Arial"/>
        </w:rPr>
        <w:footnoteReference w:id="743"/>
      </w:r>
      <w:r w:rsidR="006921C9">
        <w:rPr>
          <w:rFonts w:ascii="Arial" w:hAnsi="Arial" w:cs="Arial"/>
        </w:rPr>
        <w:t xml:space="preserve"> Accordingly, firms with large market shares do not necessarily implement collusive and</w:t>
      </w:r>
      <w:r w:rsidR="00006089">
        <w:rPr>
          <w:rFonts w:ascii="Arial" w:hAnsi="Arial" w:cs="Arial"/>
        </w:rPr>
        <w:t>/or</w:t>
      </w:r>
      <w:r w:rsidR="006921C9">
        <w:rPr>
          <w:rFonts w:ascii="Arial" w:hAnsi="Arial" w:cs="Arial"/>
        </w:rPr>
        <w:t xml:space="preserve"> other anticompetitive conduct.</w:t>
      </w:r>
      <w:r w:rsidR="009B1BCC">
        <w:rPr>
          <w:rStyle w:val="Funotenzeichen"/>
          <w:rFonts w:ascii="Arial" w:hAnsi="Arial" w:cs="Arial"/>
        </w:rPr>
        <w:footnoteReference w:id="744"/>
      </w:r>
      <w:r w:rsidR="006921C9">
        <w:rPr>
          <w:rFonts w:ascii="Arial" w:hAnsi="Arial" w:cs="Arial"/>
        </w:rPr>
        <w:t xml:space="preserve"> </w:t>
      </w:r>
      <w:r w:rsidR="009C6388">
        <w:rPr>
          <w:rFonts w:ascii="Arial" w:hAnsi="Arial" w:cs="Arial"/>
        </w:rPr>
        <w:t>T</w:t>
      </w:r>
      <w:r w:rsidR="00E10E17">
        <w:rPr>
          <w:rFonts w:ascii="Arial" w:hAnsi="Arial" w:cs="Arial"/>
        </w:rPr>
        <w:t>he efficiency hypothesis</w:t>
      </w:r>
      <w:r w:rsidR="009C6388">
        <w:rPr>
          <w:rFonts w:ascii="Arial" w:hAnsi="Arial" w:cs="Arial"/>
        </w:rPr>
        <w:t xml:space="preserve"> thus rejects the hypothesis that there is a unidirectional flow of causality from market structure, through conduct, to performance.</w:t>
      </w:r>
      <w:r w:rsidR="003C7C42">
        <w:rPr>
          <w:rStyle w:val="Funotenzeichen"/>
          <w:rFonts w:ascii="Arial" w:hAnsi="Arial" w:cs="Arial"/>
        </w:rPr>
        <w:footnoteReference w:id="745"/>
      </w:r>
      <w:r w:rsidR="009C6388">
        <w:rPr>
          <w:rFonts w:ascii="Arial" w:hAnsi="Arial" w:cs="Arial"/>
        </w:rPr>
        <w:t xml:space="preserve"> In other words, </w:t>
      </w:r>
      <w:r w:rsidR="00006089">
        <w:rPr>
          <w:rFonts w:ascii="Arial" w:hAnsi="Arial" w:cs="Arial"/>
        </w:rPr>
        <w:t xml:space="preserve">the efficiency hypothesis proclaims that there is a multi-directional flow of causality between market structure, conduct and performance i.e. structure, conduct and performance can all influence each other in no apparent </w:t>
      </w:r>
      <w:r w:rsidR="00F1299D" w:rsidRPr="00F1299D">
        <w:rPr>
          <w:rFonts w:ascii="Arial" w:hAnsi="Arial" w:cs="Arial"/>
        </w:rPr>
        <w:t>hierarchy</w:t>
      </w:r>
      <w:r w:rsidR="009C6388">
        <w:rPr>
          <w:rFonts w:ascii="Arial" w:hAnsi="Arial" w:cs="Arial"/>
        </w:rPr>
        <w:t>.</w:t>
      </w:r>
      <w:r w:rsidR="00222ACC">
        <w:rPr>
          <w:rStyle w:val="Funotenzeichen"/>
          <w:rFonts w:ascii="Arial" w:hAnsi="Arial" w:cs="Arial"/>
        </w:rPr>
        <w:footnoteReference w:id="746"/>
      </w:r>
      <w:r w:rsidR="00727765">
        <w:rPr>
          <w:rFonts w:ascii="Arial" w:hAnsi="Arial" w:cs="Arial"/>
        </w:rPr>
        <w:t xml:space="preserve"> The supporters of the </w:t>
      </w:r>
      <w:r w:rsidR="00707227">
        <w:rPr>
          <w:rFonts w:ascii="Arial" w:hAnsi="Arial" w:cs="Arial"/>
        </w:rPr>
        <w:t>monopoly</w:t>
      </w:r>
      <w:r w:rsidR="00727765">
        <w:rPr>
          <w:rFonts w:ascii="Arial" w:hAnsi="Arial" w:cs="Arial"/>
        </w:rPr>
        <w:t xml:space="preserve"> hypothesis can be </w:t>
      </w:r>
      <w:r w:rsidR="00727765" w:rsidRPr="00727765">
        <w:rPr>
          <w:rFonts w:ascii="Arial" w:hAnsi="Arial" w:cs="Arial"/>
        </w:rPr>
        <w:t>referred</w:t>
      </w:r>
      <w:r w:rsidR="00727765">
        <w:rPr>
          <w:rFonts w:ascii="Arial" w:hAnsi="Arial" w:cs="Arial"/>
        </w:rPr>
        <w:t xml:space="preserve"> to as the non-Chicago school of </w:t>
      </w:r>
      <w:r w:rsidR="00BD3DCE">
        <w:rPr>
          <w:rFonts w:ascii="Arial" w:hAnsi="Arial" w:cs="Arial"/>
        </w:rPr>
        <w:t>thought</w:t>
      </w:r>
      <w:r w:rsidR="00727765">
        <w:rPr>
          <w:rFonts w:ascii="Arial" w:hAnsi="Arial" w:cs="Arial"/>
        </w:rPr>
        <w:t xml:space="preserve"> while the supporters of the efficiency hypothesis can be referred to as the Chicago School of thought.</w:t>
      </w:r>
      <w:r w:rsidR="00727765">
        <w:rPr>
          <w:rStyle w:val="Funotenzeichen"/>
          <w:rFonts w:ascii="Arial" w:hAnsi="Arial" w:cs="Arial"/>
        </w:rPr>
        <w:footnoteReference w:id="747"/>
      </w:r>
      <w:r w:rsidR="00727765">
        <w:rPr>
          <w:rFonts w:ascii="Arial" w:hAnsi="Arial" w:cs="Arial"/>
        </w:rPr>
        <w:t xml:space="preserve"> The importance of this debate between the Chicago and non-Chicago schools</w:t>
      </w:r>
      <w:r w:rsidR="00BD3DCE">
        <w:rPr>
          <w:rFonts w:ascii="Arial" w:hAnsi="Arial" w:cs="Arial"/>
        </w:rPr>
        <w:t xml:space="preserve"> of thought</w:t>
      </w:r>
      <w:r w:rsidR="00727765">
        <w:rPr>
          <w:rFonts w:ascii="Arial" w:hAnsi="Arial" w:cs="Arial"/>
        </w:rPr>
        <w:t xml:space="preserve"> </w:t>
      </w:r>
      <w:r w:rsidR="00796AA0">
        <w:rPr>
          <w:rFonts w:ascii="Arial" w:hAnsi="Arial" w:cs="Arial"/>
        </w:rPr>
        <w:t>lies in its i</w:t>
      </w:r>
      <w:r w:rsidR="00FB3EC9">
        <w:rPr>
          <w:rFonts w:ascii="Arial" w:hAnsi="Arial" w:cs="Arial"/>
        </w:rPr>
        <w:t>nfluence on competition p</w:t>
      </w:r>
      <w:r w:rsidR="00260A2B">
        <w:rPr>
          <w:rFonts w:ascii="Arial" w:hAnsi="Arial" w:cs="Arial"/>
        </w:rPr>
        <w:t>olicy.</w:t>
      </w:r>
      <w:r w:rsidR="0021003A">
        <w:rPr>
          <w:rStyle w:val="Funotenzeichen"/>
          <w:rFonts w:ascii="Arial" w:hAnsi="Arial" w:cs="Arial"/>
        </w:rPr>
        <w:footnoteReference w:id="748"/>
      </w:r>
      <w:r w:rsidR="00260A2B">
        <w:rPr>
          <w:rFonts w:ascii="Arial" w:hAnsi="Arial" w:cs="Arial"/>
        </w:rPr>
        <w:t xml:space="preserve"> Competition policy based upon </w:t>
      </w:r>
      <w:r w:rsidR="00FB3EC9">
        <w:rPr>
          <w:rFonts w:ascii="Arial" w:hAnsi="Arial" w:cs="Arial"/>
        </w:rPr>
        <w:t xml:space="preserve">the non-Chicago school will primarily focus on industry structure </w:t>
      </w:r>
      <w:r w:rsidR="00260A2B">
        <w:rPr>
          <w:rFonts w:ascii="Arial" w:hAnsi="Arial" w:cs="Arial"/>
        </w:rPr>
        <w:t>whereas</w:t>
      </w:r>
      <w:r w:rsidR="00FB3EC9">
        <w:rPr>
          <w:rFonts w:ascii="Arial" w:hAnsi="Arial" w:cs="Arial"/>
        </w:rPr>
        <w:t xml:space="preserve"> competition policy </w:t>
      </w:r>
      <w:r w:rsidR="00260A2B">
        <w:rPr>
          <w:rFonts w:ascii="Arial" w:hAnsi="Arial" w:cs="Arial"/>
        </w:rPr>
        <w:t>based upon the</w:t>
      </w:r>
      <w:r w:rsidR="00FB3EC9">
        <w:rPr>
          <w:rFonts w:ascii="Arial" w:hAnsi="Arial" w:cs="Arial"/>
        </w:rPr>
        <w:t xml:space="preserve"> Chicago school will mainly focus on market conduct.</w:t>
      </w:r>
      <w:r w:rsidR="00260A2B">
        <w:rPr>
          <w:rStyle w:val="Funotenzeichen"/>
          <w:rFonts w:ascii="Arial" w:hAnsi="Arial" w:cs="Arial"/>
        </w:rPr>
        <w:footnoteReference w:id="749"/>
      </w:r>
      <w:r w:rsidR="00796AA0">
        <w:rPr>
          <w:rFonts w:ascii="Arial" w:hAnsi="Arial" w:cs="Arial"/>
        </w:rPr>
        <w:t xml:space="preserve"> </w:t>
      </w:r>
    </w:p>
    <w:p w:rsidR="00727765" w:rsidRDefault="00727765" w:rsidP="002563E6">
      <w:pPr>
        <w:contextualSpacing/>
        <w:jc w:val="both"/>
        <w:rPr>
          <w:rFonts w:ascii="Arial" w:hAnsi="Arial" w:cs="Arial"/>
        </w:rPr>
      </w:pPr>
    </w:p>
    <w:p w:rsidR="006A7F4F" w:rsidRDefault="005800F3" w:rsidP="002563E6">
      <w:pPr>
        <w:contextualSpacing/>
        <w:jc w:val="both"/>
        <w:rPr>
          <w:rFonts w:ascii="Arial" w:hAnsi="Arial" w:cs="Arial"/>
        </w:rPr>
      </w:pPr>
      <w:r>
        <w:rPr>
          <w:rFonts w:ascii="Arial" w:hAnsi="Arial" w:cs="Arial"/>
        </w:rPr>
        <w:t>As discussed earlier, South Africa’s economy is highly concentrated</w:t>
      </w:r>
      <w:r w:rsidR="00DE7B2A">
        <w:rPr>
          <w:rFonts w:ascii="Arial" w:hAnsi="Arial" w:cs="Arial"/>
        </w:rPr>
        <w:t>.</w:t>
      </w:r>
      <w:r w:rsidR="00DE7B2A">
        <w:rPr>
          <w:rStyle w:val="Funotenzeichen"/>
          <w:rFonts w:ascii="Arial" w:hAnsi="Arial" w:cs="Arial"/>
        </w:rPr>
        <w:footnoteReference w:id="750"/>
      </w:r>
      <w:r w:rsidR="00DE7B2A">
        <w:rPr>
          <w:rFonts w:ascii="Arial" w:hAnsi="Arial" w:cs="Arial"/>
        </w:rPr>
        <w:t xml:space="preserve"> Furthermore, it is argued that </w:t>
      </w:r>
      <w:r w:rsidR="00A72308">
        <w:rPr>
          <w:rFonts w:ascii="Arial" w:hAnsi="Arial" w:cs="Arial"/>
        </w:rPr>
        <w:t xml:space="preserve">prices within </w:t>
      </w:r>
      <w:r w:rsidR="00DE7B2A">
        <w:rPr>
          <w:rFonts w:ascii="Arial" w:hAnsi="Arial" w:cs="Arial"/>
        </w:rPr>
        <w:t>South Africa</w:t>
      </w:r>
      <w:r w:rsidR="00A72308">
        <w:rPr>
          <w:rFonts w:ascii="Arial" w:hAnsi="Arial" w:cs="Arial"/>
        </w:rPr>
        <w:t xml:space="preserve"> are</w:t>
      </w:r>
      <w:r w:rsidR="00DE7B2A">
        <w:rPr>
          <w:rFonts w:ascii="Arial" w:hAnsi="Arial" w:cs="Arial"/>
        </w:rPr>
        <w:t xml:space="preserve"> extremely high because of the concentrated nature of</w:t>
      </w:r>
      <w:r>
        <w:rPr>
          <w:rFonts w:ascii="Arial" w:hAnsi="Arial" w:cs="Arial"/>
        </w:rPr>
        <w:t xml:space="preserve"> </w:t>
      </w:r>
      <w:r w:rsidR="00DE7B2A">
        <w:rPr>
          <w:rFonts w:ascii="Arial" w:hAnsi="Arial" w:cs="Arial"/>
        </w:rPr>
        <w:t>South Africa’s markets.</w:t>
      </w:r>
      <w:r w:rsidR="00A72308">
        <w:rPr>
          <w:rStyle w:val="Funotenzeichen"/>
          <w:rFonts w:ascii="Arial" w:hAnsi="Arial" w:cs="Arial"/>
        </w:rPr>
        <w:footnoteReference w:id="751"/>
      </w:r>
      <w:r w:rsidR="00DE7B2A">
        <w:rPr>
          <w:rFonts w:ascii="Arial" w:hAnsi="Arial" w:cs="Arial"/>
        </w:rPr>
        <w:t xml:space="preserve"> A</w:t>
      </w:r>
      <w:r>
        <w:rPr>
          <w:rFonts w:ascii="Arial" w:hAnsi="Arial" w:cs="Arial"/>
        </w:rPr>
        <w:t xml:space="preserve">s a </w:t>
      </w:r>
      <w:r w:rsidR="00D36A26">
        <w:rPr>
          <w:rFonts w:ascii="Arial" w:hAnsi="Arial" w:cs="Arial"/>
        </w:rPr>
        <w:t>result,</w:t>
      </w:r>
      <w:r>
        <w:rPr>
          <w:rFonts w:ascii="Arial" w:hAnsi="Arial" w:cs="Arial"/>
        </w:rPr>
        <w:t xml:space="preserve"> several authors have tested the validity of the SCP paradigm in South Africa</w:t>
      </w:r>
      <w:r w:rsidR="00622BA9">
        <w:rPr>
          <w:rFonts w:ascii="Arial" w:hAnsi="Arial" w:cs="Arial"/>
        </w:rPr>
        <w:t xml:space="preserve"> in light of the </w:t>
      </w:r>
      <w:r w:rsidR="00DE7B2A">
        <w:rPr>
          <w:rFonts w:ascii="Arial" w:hAnsi="Arial" w:cs="Arial"/>
        </w:rPr>
        <w:t>debate</w:t>
      </w:r>
      <w:r w:rsidR="00622BA9">
        <w:rPr>
          <w:rFonts w:ascii="Arial" w:hAnsi="Arial" w:cs="Arial"/>
        </w:rPr>
        <w:t xml:space="preserve"> between the </w:t>
      </w:r>
      <w:r w:rsidR="00DE7B2A">
        <w:rPr>
          <w:rFonts w:ascii="Arial" w:hAnsi="Arial" w:cs="Arial"/>
        </w:rPr>
        <w:t xml:space="preserve">non-Chicago and the Chicago </w:t>
      </w:r>
      <w:r w:rsidR="00622BA9">
        <w:rPr>
          <w:rFonts w:ascii="Arial" w:hAnsi="Arial" w:cs="Arial"/>
        </w:rPr>
        <w:t>schools of thought</w:t>
      </w:r>
      <w:r>
        <w:rPr>
          <w:rFonts w:ascii="Arial" w:hAnsi="Arial" w:cs="Arial"/>
        </w:rPr>
        <w:t>.</w:t>
      </w:r>
      <w:r w:rsidR="00841E97">
        <w:rPr>
          <w:rStyle w:val="Funotenzeichen"/>
          <w:rFonts w:ascii="Arial" w:hAnsi="Arial" w:cs="Arial"/>
        </w:rPr>
        <w:footnoteReference w:id="752"/>
      </w:r>
      <w:r w:rsidR="00841E97">
        <w:rPr>
          <w:rFonts w:ascii="Arial" w:hAnsi="Arial" w:cs="Arial"/>
        </w:rPr>
        <w:t xml:space="preserve"> </w:t>
      </w:r>
    </w:p>
    <w:p w:rsidR="006A7F4F" w:rsidRDefault="006A7F4F" w:rsidP="002563E6">
      <w:pPr>
        <w:contextualSpacing/>
        <w:jc w:val="both"/>
        <w:rPr>
          <w:rFonts w:ascii="Arial" w:hAnsi="Arial" w:cs="Arial"/>
        </w:rPr>
      </w:pPr>
    </w:p>
    <w:p w:rsidR="00BD1F7C" w:rsidRDefault="009872F5" w:rsidP="002563E6">
      <w:pPr>
        <w:contextualSpacing/>
        <w:jc w:val="both"/>
        <w:rPr>
          <w:rFonts w:ascii="Arial" w:hAnsi="Arial" w:cs="Arial"/>
        </w:rPr>
      </w:pPr>
      <w:r>
        <w:rPr>
          <w:rFonts w:ascii="Arial" w:hAnsi="Arial" w:cs="Arial"/>
        </w:rPr>
        <w:t>The first author to test the validity of the SCP paradigm in South Africa was Reekie in 1984.</w:t>
      </w:r>
      <w:r w:rsidR="004E4DE6">
        <w:rPr>
          <w:rStyle w:val="Funotenzeichen"/>
          <w:rFonts w:ascii="Arial" w:hAnsi="Arial" w:cs="Arial"/>
        </w:rPr>
        <w:footnoteReference w:id="753"/>
      </w:r>
      <w:r>
        <w:rPr>
          <w:rFonts w:ascii="Arial" w:hAnsi="Arial" w:cs="Arial"/>
        </w:rPr>
        <w:t xml:space="preserve"> His results however</w:t>
      </w:r>
      <w:r w:rsidR="006A7F4F">
        <w:rPr>
          <w:rFonts w:ascii="Arial" w:hAnsi="Arial" w:cs="Arial"/>
        </w:rPr>
        <w:t>,</w:t>
      </w:r>
      <w:r>
        <w:rPr>
          <w:rFonts w:ascii="Arial" w:hAnsi="Arial" w:cs="Arial"/>
        </w:rPr>
        <w:t xml:space="preserve"> provided for an </w:t>
      </w:r>
      <w:r w:rsidRPr="009872F5">
        <w:rPr>
          <w:rFonts w:ascii="Arial" w:hAnsi="Arial" w:cs="Arial"/>
        </w:rPr>
        <w:t>ambiguous</w:t>
      </w:r>
      <w:r>
        <w:rPr>
          <w:rFonts w:ascii="Arial" w:hAnsi="Arial" w:cs="Arial"/>
        </w:rPr>
        <w:t xml:space="preserve"> interpretation supporting both the collusion hypothesis and the efficiency hypothesis.</w:t>
      </w:r>
      <w:r w:rsidR="004E4DE6">
        <w:rPr>
          <w:rStyle w:val="Funotenzeichen"/>
          <w:rFonts w:ascii="Arial" w:hAnsi="Arial" w:cs="Arial"/>
        </w:rPr>
        <w:footnoteReference w:id="754"/>
      </w:r>
      <w:r>
        <w:rPr>
          <w:rFonts w:ascii="Arial" w:hAnsi="Arial" w:cs="Arial"/>
        </w:rPr>
        <w:t xml:space="preserve"> Accordingly, Reekie </w:t>
      </w:r>
      <w:r w:rsidR="004E4DE6">
        <w:rPr>
          <w:rFonts w:ascii="Arial" w:hAnsi="Arial" w:cs="Arial"/>
        </w:rPr>
        <w:t xml:space="preserve">disputed the </w:t>
      </w:r>
      <w:r w:rsidR="004E4DE6" w:rsidRPr="004E4DE6">
        <w:rPr>
          <w:rFonts w:ascii="Arial" w:hAnsi="Arial" w:cs="Arial"/>
        </w:rPr>
        <w:t>correctness</w:t>
      </w:r>
      <w:r w:rsidR="004E4DE6">
        <w:rPr>
          <w:rFonts w:ascii="Arial" w:hAnsi="Arial" w:cs="Arial"/>
        </w:rPr>
        <w:t xml:space="preserve"> of</w:t>
      </w:r>
      <w:r>
        <w:rPr>
          <w:rFonts w:ascii="Arial" w:hAnsi="Arial" w:cs="Arial"/>
        </w:rPr>
        <w:t xml:space="preserve"> the SCP paradigm </w:t>
      </w:r>
      <w:r w:rsidR="004E4DE6">
        <w:rPr>
          <w:rFonts w:ascii="Arial" w:hAnsi="Arial" w:cs="Arial"/>
        </w:rPr>
        <w:t>within the context of</w:t>
      </w:r>
      <w:r>
        <w:rPr>
          <w:rFonts w:ascii="Arial" w:hAnsi="Arial" w:cs="Arial"/>
        </w:rPr>
        <w:t xml:space="preserve"> the South Africa</w:t>
      </w:r>
      <w:r w:rsidR="00BD1F7C">
        <w:rPr>
          <w:rFonts w:ascii="Arial" w:hAnsi="Arial" w:cs="Arial"/>
        </w:rPr>
        <w:t>n</w:t>
      </w:r>
      <w:r w:rsidR="004E4DE6">
        <w:rPr>
          <w:rFonts w:ascii="Arial" w:hAnsi="Arial" w:cs="Arial"/>
        </w:rPr>
        <w:t xml:space="preserve"> economy</w:t>
      </w:r>
      <w:r>
        <w:rPr>
          <w:rFonts w:ascii="Arial" w:hAnsi="Arial" w:cs="Arial"/>
        </w:rPr>
        <w:t>.</w:t>
      </w:r>
      <w:r w:rsidR="004E4DE6">
        <w:rPr>
          <w:rStyle w:val="Funotenzeichen"/>
          <w:rFonts w:ascii="Arial" w:hAnsi="Arial" w:cs="Arial"/>
        </w:rPr>
        <w:footnoteReference w:id="755"/>
      </w:r>
      <w:r>
        <w:rPr>
          <w:rFonts w:ascii="Arial" w:hAnsi="Arial" w:cs="Arial"/>
        </w:rPr>
        <w:t xml:space="preserve"> The next author to test the validity of the SCP paradigm in South Africa was </w:t>
      </w:r>
      <w:r w:rsidR="009B32FC">
        <w:rPr>
          <w:rFonts w:ascii="Arial" w:hAnsi="Arial" w:cs="Arial"/>
        </w:rPr>
        <w:t>Leach in 1991.</w:t>
      </w:r>
      <w:r w:rsidR="004E4DE6">
        <w:rPr>
          <w:rStyle w:val="Funotenzeichen"/>
          <w:rFonts w:ascii="Arial" w:hAnsi="Arial" w:cs="Arial"/>
        </w:rPr>
        <w:footnoteReference w:id="756"/>
      </w:r>
      <w:r w:rsidR="009B32FC">
        <w:rPr>
          <w:rFonts w:ascii="Arial" w:hAnsi="Arial" w:cs="Arial"/>
        </w:rPr>
        <w:t xml:space="preserve"> Leach concluded that the efficiency hypothesis rather than the collusion hypothesis holds for South Africa</w:t>
      </w:r>
      <w:r w:rsidR="000227ED">
        <w:rPr>
          <w:rFonts w:ascii="Arial" w:hAnsi="Arial" w:cs="Arial"/>
        </w:rPr>
        <w:t xml:space="preserve"> and hence he argued that market conduct influences market structure and not the other way around.</w:t>
      </w:r>
      <w:r w:rsidR="004E4DE6">
        <w:rPr>
          <w:rStyle w:val="Funotenzeichen"/>
          <w:rFonts w:ascii="Arial" w:hAnsi="Arial" w:cs="Arial"/>
        </w:rPr>
        <w:footnoteReference w:id="757"/>
      </w:r>
      <w:r w:rsidR="000227ED">
        <w:rPr>
          <w:rFonts w:ascii="Arial" w:hAnsi="Arial" w:cs="Arial"/>
        </w:rPr>
        <w:t xml:space="preserve"> </w:t>
      </w:r>
      <w:r w:rsidR="00272453">
        <w:rPr>
          <w:rFonts w:ascii="Arial" w:hAnsi="Arial" w:cs="Arial"/>
        </w:rPr>
        <w:t xml:space="preserve">However, in a later paper in 1997, Leach found that the correlation between concentration and industry profitability is consistent with both the collusion hypothesis and the efficiency hypothesis i.e. his results were </w:t>
      </w:r>
      <w:r w:rsidR="00272453" w:rsidRPr="00272453">
        <w:rPr>
          <w:rFonts w:ascii="Arial" w:hAnsi="Arial" w:cs="Arial"/>
        </w:rPr>
        <w:t>ambiguous</w:t>
      </w:r>
      <w:r w:rsidR="00272453">
        <w:rPr>
          <w:rFonts w:ascii="Arial" w:hAnsi="Arial" w:cs="Arial"/>
        </w:rPr>
        <w:t>.</w:t>
      </w:r>
      <w:r w:rsidR="00272453">
        <w:rPr>
          <w:rStyle w:val="Funotenzeichen"/>
          <w:rFonts w:ascii="Arial" w:hAnsi="Arial" w:cs="Arial"/>
        </w:rPr>
        <w:footnoteReference w:id="758"/>
      </w:r>
      <w:r w:rsidR="006A7F4F">
        <w:rPr>
          <w:rFonts w:ascii="Arial" w:hAnsi="Arial" w:cs="Arial"/>
        </w:rPr>
        <w:t xml:space="preserve"> Although, Reekie and Leach could not dismiss the SCP paradigm </w:t>
      </w:r>
      <w:r w:rsidR="000D3FF1">
        <w:rPr>
          <w:rFonts w:ascii="Arial" w:hAnsi="Arial" w:cs="Arial"/>
        </w:rPr>
        <w:t xml:space="preserve">they </w:t>
      </w:r>
      <w:r w:rsidR="006A7F4F">
        <w:rPr>
          <w:rFonts w:ascii="Arial" w:hAnsi="Arial" w:cs="Arial"/>
        </w:rPr>
        <w:t xml:space="preserve">did cast significant doubt on its accuracy. </w:t>
      </w:r>
    </w:p>
    <w:p w:rsidR="00BD1F7C" w:rsidRDefault="00BD1F7C" w:rsidP="002563E6">
      <w:pPr>
        <w:contextualSpacing/>
        <w:jc w:val="both"/>
        <w:rPr>
          <w:rFonts w:ascii="Arial" w:hAnsi="Arial" w:cs="Arial"/>
        </w:rPr>
      </w:pPr>
    </w:p>
    <w:p w:rsidR="005279F0" w:rsidRDefault="00F0666B" w:rsidP="002563E6">
      <w:pPr>
        <w:contextualSpacing/>
        <w:jc w:val="both"/>
        <w:rPr>
          <w:rFonts w:ascii="Arial" w:hAnsi="Arial" w:cs="Arial"/>
        </w:rPr>
      </w:pPr>
      <w:r>
        <w:rPr>
          <w:rFonts w:ascii="Arial" w:hAnsi="Arial" w:cs="Arial"/>
        </w:rPr>
        <w:t xml:space="preserve">Nonetheless, there are authors in South Africa who </w:t>
      </w:r>
      <w:r w:rsidR="000D3FF1" w:rsidRPr="000D3FF1">
        <w:rPr>
          <w:rFonts w:ascii="Arial" w:hAnsi="Arial" w:cs="Arial"/>
        </w:rPr>
        <w:t>unequivocally</w:t>
      </w:r>
      <w:r w:rsidR="000D3FF1">
        <w:rPr>
          <w:rFonts w:ascii="Arial" w:hAnsi="Arial" w:cs="Arial"/>
        </w:rPr>
        <w:t xml:space="preserve"> </w:t>
      </w:r>
      <w:r>
        <w:rPr>
          <w:rFonts w:ascii="Arial" w:hAnsi="Arial" w:cs="Arial"/>
        </w:rPr>
        <w:t xml:space="preserve">support the </w:t>
      </w:r>
      <w:r w:rsidR="00642996">
        <w:rPr>
          <w:rFonts w:ascii="Arial" w:hAnsi="Arial" w:cs="Arial"/>
        </w:rPr>
        <w:t>monopoly</w:t>
      </w:r>
      <w:r>
        <w:rPr>
          <w:rFonts w:ascii="Arial" w:hAnsi="Arial" w:cs="Arial"/>
        </w:rPr>
        <w:t xml:space="preserve"> hypothesis most notably the authors Fourie and Smith.</w:t>
      </w:r>
      <w:r>
        <w:rPr>
          <w:rStyle w:val="Funotenzeichen"/>
          <w:rFonts w:ascii="Arial" w:hAnsi="Arial" w:cs="Arial"/>
        </w:rPr>
        <w:footnoteReference w:id="759"/>
      </w:r>
      <w:r>
        <w:rPr>
          <w:rFonts w:ascii="Arial" w:hAnsi="Arial" w:cs="Arial"/>
        </w:rPr>
        <w:t xml:space="preserve"> </w:t>
      </w:r>
      <w:r w:rsidR="00F95F0F">
        <w:rPr>
          <w:rFonts w:ascii="Arial" w:hAnsi="Arial" w:cs="Arial"/>
        </w:rPr>
        <w:t xml:space="preserve">In </w:t>
      </w:r>
      <w:r w:rsidR="00807393">
        <w:rPr>
          <w:rFonts w:ascii="Arial" w:hAnsi="Arial" w:cs="Arial"/>
        </w:rPr>
        <w:t>199</w:t>
      </w:r>
      <w:r w:rsidR="003853FA">
        <w:rPr>
          <w:rFonts w:ascii="Arial" w:hAnsi="Arial" w:cs="Arial"/>
        </w:rPr>
        <w:t>8</w:t>
      </w:r>
      <w:r w:rsidR="00807393">
        <w:rPr>
          <w:rFonts w:ascii="Arial" w:hAnsi="Arial" w:cs="Arial"/>
        </w:rPr>
        <w:t>,</w:t>
      </w:r>
      <w:r w:rsidR="00F95F0F">
        <w:rPr>
          <w:rFonts w:ascii="Arial" w:hAnsi="Arial" w:cs="Arial"/>
        </w:rPr>
        <w:t xml:space="preserve"> Fourie and Smith published a paper in which they declared a stalemate between the </w:t>
      </w:r>
      <w:r w:rsidR="00914085">
        <w:rPr>
          <w:rFonts w:ascii="Arial" w:hAnsi="Arial" w:cs="Arial"/>
        </w:rPr>
        <w:t xml:space="preserve">validity of the </w:t>
      </w:r>
      <w:r w:rsidR="00642996">
        <w:rPr>
          <w:rFonts w:ascii="Arial" w:hAnsi="Arial" w:cs="Arial"/>
        </w:rPr>
        <w:t>monopoly</w:t>
      </w:r>
      <w:r w:rsidR="00F95F0F">
        <w:rPr>
          <w:rFonts w:ascii="Arial" w:hAnsi="Arial" w:cs="Arial"/>
        </w:rPr>
        <w:t xml:space="preserve"> hypothesis and the</w:t>
      </w:r>
      <w:r w:rsidR="00914085">
        <w:rPr>
          <w:rFonts w:ascii="Arial" w:hAnsi="Arial" w:cs="Arial"/>
        </w:rPr>
        <w:t xml:space="preserve"> validity of the</w:t>
      </w:r>
      <w:r w:rsidR="00F95F0F">
        <w:rPr>
          <w:rFonts w:ascii="Arial" w:hAnsi="Arial" w:cs="Arial"/>
        </w:rPr>
        <w:t xml:space="preserve"> efficiency hypothesis</w:t>
      </w:r>
      <w:r w:rsidR="000D3FF1">
        <w:rPr>
          <w:rFonts w:ascii="Arial" w:hAnsi="Arial" w:cs="Arial"/>
        </w:rPr>
        <w:t xml:space="preserve"> in South Africa</w:t>
      </w:r>
      <w:r w:rsidR="00F95F0F">
        <w:rPr>
          <w:rFonts w:ascii="Arial" w:hAnsi="Arial" w:cs="Arial"/>
        </w:rPr>
        <w:t>.</w:t>
      </w:r>
      <w:r w:rsidR="00807393">
        <w:rPr>
          <w:rStyle w:val="Funotenzeichen"/>
          <w:rFonts w:ascii="Arial" w:hAnsi="Arial" w:cs="Arial"/>
        </w:rPr>
        <w:footnoteReference w:id="760"/>
      </w:r>
      <w:r w:rsidR="00930BA8">
        <w:rPr>
          <w:rFonts w:ascii="Arial" w:hAnsi="Arial" w:cs="Arial"/>
        </w:rPr>
        <w:t xml:space="preserve"> </w:t>
      </w:r>
      <w:r w:rsidR="00F95F0F">
        <w:rPr>
          <w:rFonts w:ascii="Arial" w:hAnsi="Arial" w:cs="Arial"/>
        </w:rPr>
        <w:t>In their paper the</w:t>
      </w:r>
      <w:r w:rsidR="00807393">
        <w:rPr>
          <w:rFonts w:ascii="Arial" w:hAnsi="Arial" w:cs="Arial"/>
        </w:rPr>
        <w:t>y</w:t>
      </w:r>
      <w:r w:rsidR="00F95F0F">
        <w:rPr>
          <w:rFonts w:ascii="Arial" w:hAnsi="Arial" w:cs="Arial"/>
        </w:rPr>
        <w:t xml:space="preserve"> emphasised that it is inappropriate, to search for universal laws</w:t>
      </w:r>
      <w:r w:rsidR="00930BA8">
        <w:rPr>
          <w:rFonts w:ascii="Arial" w:hAnsi="Arial" w:cs="Arial"/>
        </w:rPr>
        <w:t xml:space="preserve"> </w:t>
      </w:r>
      <w:r w:rsidR="00F95F0F">
        <w:rPr>
          <w:rFonts w:ascii="Arial" w:hAnsi="Arial" w:cs="Arial"/>
        </w:rPr>
        <w:t>that are applicable to all situations i.e. to follow an either/or approach.</w:t>
      </w:r>
      <w:r w:rsidR="00807393">
        <w:rPr>
          <w:rStyle w:val="Funotenzeichen"/>
          <w:rFonts w:ascii="Arial" w:hAnsi="Arial" w:cs="Arial"/>
        </w:rPr>
        <w:footnoteReference w:id="761"/>
      </w:r>
      <w:r w:rsidR="00F95F0F">
        <w:rPr>
          <w:rFonts w:ascii="Arial" w:hAnsi="Arial" w:cs="Arial"/>
        </w:rPr>
        <w:t xml:space="preserve"> </w:t>
      </w:r>
      <w:r w:rsidR="00E73366">
        <w:rPr>
          <w:rFonts w:ascii="Arial" w:hAnsi="Arial" w:cs="Arial"/>
        </w:rPr>
        <w:t xml:space="preserve">Furthermore, they cited deep ideological and methodological differences as contributing </w:t>
      </w:r>
      <w:r w:rsidR="001403BA">
        <w:rPr>
          <w:rFonts w:ascii="Arial" w:hAnsi="Arial" w:cs="Arial"/>
        </w:rPr>
        <w:t>to the stalemate between the Chicago and non-Chicago school of thought in addition to the technical difficulties of testing causality.</w:t>
      </w:r>
      <w:r w:rsidR="001403BA">
        <w:rPr>
          <w:rStyle w:val="Funotenzeichen"/>
          <w:rFonts w:ascii="Arial" w:hAnsi="Arial" w:cs="Arial"/>
        </w:rPr>
        <w:footnoteReference w:id="762"/>
      </w:r>
      <w:r w:rsidR="00E73366">
        <w:rPr>
          <w:rFonts w:ascii="Arial" w:hAnsi="Arial" w:cs="Arial"/>
        </w:rPr>
        <w:t xml:space="preserve"> </w:t>
      </w:r>
    </w:p>
    <w:p w:rsidR="005279F0" w:rsidRDefault="005279F0" w:rsidP="002563E6">
      <w:pPr>
        <w:contextualSpacing/>
        <w:jc w:val="both"/>
        <w:rPr>
          <w:rFonts w:ascii="Arial" w:hAnsi="Arial" w:cs="Arial"/>
        </w:rPr>
      </w:pPr>
    </w:p>
    <w:p w:rsidR="00CA3798" w:rsidRDefault="0005083D" w:rsidP="002563E6">
      <w:pPr>
        <w:contextualSpacing/>
        <w:jc w:val="both"/>
        <w:rPr>
          <w:rFonts w:ascii="Arial" w:hAnsi="Arial" w:cs="Arial"/>
        </w:rPr>
      </w:pPr>
      <w:r>
        <w:rPr>
          <w:rFonts w:ascii="Arial" w:hAnsi="Arial" w:cs="Arial"/>
        </w:rPr>
        <w:t>In spite of</w:t>
      </w:r>
      <w:r w:rsidR="005279F0">
        <w:rPr>
          <w:rFonts w:ascii="Arial" w:hAnsi="Arial" w:cs="Arial"/>
        </w:rPr>
        <w:t xml:space="preserve"> more recent empirical research, the stalemate between the Chicago and non-Chicago </w:t>
      </w:r>
      <w:r>
        <w:rPr>
          <w:rFonts w:ascii="Arial" w:hAnsi="Arial" w:cs="Arial"/>
        </w:rPr>
        <w:t xml:space="preserve">schools of thought </w:t>
      </w:r>
      <w:r w:rsidR="005279F0">
        <w:rPr>
          <w:rFonts w:ascii="Arial" w:hAnsi="Arial" w:cs="Arial"/>
        </w:rPr>
        <w:t>seems to remain in South Africa.</w:t>
      </w:r>
      <w:r w:rsidR="005279F0">
        <w:rPr>
          <w:rStyle w:val="Funotenzeichen"/>
          <w:rFonts w:ascii="Arial" w:hAnsi="Arial" w:cs="Arial"/>
        </w:rPr>
        <w:footnoteReference w:id="763"/>
      </w:r>
      <w:r w:rsidR="005279F0">
        <w:rPr>
          <w:rFonts w:ascii="Arial" w:hAnsi="Arial" w:cs="Arial"/>
        </w:rPr>
        <w:t xml:space="preserve"> </w:t>
      </w:r>
      <w:r w:rsidR="00AE6B7C">
        <w:rPr>
          <w:rFonts w:ascii="Arial" w:hAnsi="Arial" w:cs="Arial"/>
        </w:rPr>
        <w:t xml:space="preserve">Accordingly, in South Africa </w:t>
      </w:r>
      <w:r w:rsidR="003E4520">
        <w:rPr>
          <w:rFonts w:ascii="Arial" w:hAnsi="Arial" w:cs="Arial"/>
        </w:rPr>
        <w:t xml:space="preserve">the validity of </w:t>
      </w:r>
      <w:r w:rsidR="00AE6B7C">
        <w:rPr>
          <w:rFonts w:ascii="Arial" w:hAnsi="Arial" w:cs="Arial"/>
        </w:rPr>
        <w:t xml:space="preserve">the SCP paradigm </w:t>
      </w:r>
      <w:r w:rsidR="003E4520">
        <w:rPr>
          <w:rFonts w:ascii="Arial" w:hAnsi="Arial" w:cs="Arial"/>
        </w:rPr>
        <w:t>is in doubt</w:t>
      </w:r>
      <w:r w:rsidR="00AE6B7C">
        <w:rPr>
          <w:rFonts w:ascii="Arial" w:hAnsi="Arial" w:cs="Arial"/>
        </w:rPr>
        <w:t xml:space="preserve"> i.e. </w:t>
      </w:r>
      <w:r w:rsidR="003E4520">
        <w:rPr>
          <w:rFonts w:ascii="Arial" w:hAnsi="Arial" w:cs="Arial"/>
        </w:rPr>
        <w:t>it is uncertain whether</w:t>
      </w:r>
      <w:r w:rsidR="00AE6B7C">
        <w:rPr>
          <w:rFonts w:ascii="Arial" w:hAnsi="Arial" w:cs="Arial"/>
        </w:rPr>
        <w:t xml:space="preserve"> there is </w:t>
      </w:r>
      <w:r>
        <w:rPr>
          <w:rFonts w:ascii="Arial" w:hAnsi="Arial" w:cs="Arial"/>
        </w:rPr>
        <w:t>a</w:t>
      </w:r>
      <w:r w:rsidR="00AE6B7C">
        <w:rPr>
          <w:rFonts w:ascii="Arial" w:hAnsi="Arial" w:cs="Arial"/>
        </w:rPr>
        <w:t xml:space="preserve"> unidirectional flow of causality from market structure, through conduct, to performance.</w:t>
      </w:r>
      <w:r w:rsidR="00A50B01">
        <w:rPr>
          <w:rStyle w:val="Funotenzeichen"/>
          <w:rFonts w:ascii="Arial" w:hAnsi="Arial" w:cs="Arial"/>
        </w:rPr>
        <w:footnoteReference w:id="764"/>
      </w:r>
      <w:r w:rsidR="00AE6B7C">
        <w:rPr>
          <w:rFonts w:ascii="Arial" w:hAnsi="Arial" w:cs="Arial"/>
        </w:rPr>
        <w:t xml:space="preserve"> </w:t>
      </w:r>
    </w:p>
    <w:p w:rsidR="00CA3798" w:rsidRDefault="00CA3798" w:rsidP="002563E6">
      <w:pPr>
        <w:contextualSpacing/>
        <w:jc w:val="both"/>
        <w:rPr>
          <w:rFonts w:ascii="Arial" w:hAnsi="Arial" w:cs="Arial"/>
        </w:rPr>
      </w:pPr>
    </w:p>
    <w:p w:rsidR="00CA3798" w:rsidRDefault="00AE6B7C" w:rsidP="002563E6">
      <w:pPr>
        <w:contextualSpacing/>
        <w:jc w:val="both"/>
        <w:rPr>
          <w:rFonts w:ascii="Arial" w:hAnsi="Arial" w:cs="Arial"/>
        </w:rPr>
      </w:pPr>
      <w:r>
        <w:rPr>
          <w:rFonts w:ascii="Arial" w:hAnsi="Arial" w:cs="Arial"/>
        </w:rPr>
        <w:t>Despite these uncertainties surrounding the validity of the SCP paradigm in South Africa, it has nonetheless been incorporated into the Competition Act.</w:t>
      </w:r>
      <w:r w:rsidR="004A1B97">
        <w:rPr>
          <w:rStyle w:val="Funotenzeichen"/>
          <w:rFonts w:ascii="Arial" w:hAnsi="Arial" w:cs="Arial"/>
        </w:rPr>
        <w:footnoteReference w:id="765"/>
      </w:r>
      <w:r>
        <w:rPr>
          <w:rFonts w:ascii="Arial" w:hAnsi="Arial" w:cs="Arial"/>
        </w:rPr>
        <w:t xml:space="preserve"> The competition authorities </w:t>
      </w:r>
      <w:r w:rsidR="00450CCC">
        <w:rPr>
          <w:rFonts w:ascii="Arial" w:hAnsi="Arial" w:cs="Arial"/>
        </w:rPr>
        <w:t>are</w:t>
      </w:r>
      <w:r w:rsidR="00D8104A">
        <w:rPr>
          <w:rFonts w:ascii="Arial" w:hAnsi="Arial" w:cs="Arial"/>
        </w:rPr>
        <w:t xml:space="preserve"> however hesitant to assume </w:t>
      </w:r>
      <w:r w:rsidR="0005083D">
        <w:rPr>
          <w:rFonts w:ascii="Arial" w:hAnsi="Arial" w:cs="Arial"/>
        </w:rPr>
        <w:t>a</w:t>
      </w:r>
      <w:r w:rsidR="00D8104A">
        <w:rPr>
          <w:rFonts w:ascii="Arial" w:hAnsi="Arial" w:cs="Arial"/>
        </w:rPr>
        <w:t xml:space="preserve"> unidirectional causality from structure, to conduct to performance.</w:t>
      </w:r>
      <w:r w:rsidR="004A1B97">
        <w:rPr>
          <w:rStyle w:val="Funotenzeichen"/>
          <w:rFonts w:ascii="Arial" w:hAnsi="Arial" w:cs="Arial"/>
        </w:rPr>
        <w:footnoteReference w:id="766"/>
      </w:r>
      <w:r w:rsidR="00D8104A">
        <w:rPr>
          <w:rFonts w:ascii="Arial" w:hAnsi="Arial" w:cs="Arial"/>
        </w:rPr>
        <w:t xml:space="preserve"> Accordingly, the </w:t>
      </w:r>
      <w:r w:rsidR="00807393">
        <w:rPr>
          <w:rFonts w:ascii="Arial" w:hAnsi="Arial" w:cs="Arial"/>
        </w:rPr>
        <w:t xml:space="preserve">South African </w:t>
      </w:r>
      <w:r w:rsidR="00D8104A">
        <w:rPr>
          <w:rFonts w:ascii="Arial" w:hAnsi="Arial" w:cs="Arial"/>
        </w:rPr>
        <w:t>competition authorities follow a holistic approach</w:t>
      </w:r>
      <w:r w:rsidR="00450CCC">
        <w:rPr>
          <w:rFonts w:ascii="Arial" w:hAnsi="Arial" w:cs="Arial"/>
        </w:rPr>
        <w:t>,</w:t>
      </w:r>
      <w:r w:rsidR="00D8104A">
        <w:rPr>
          <w:rFonts w:ascii="Arial" w:hAnsi="Arial" w:cs="Arial"/>
        </w:rPr>
        <w:t xml:space="preserve"> considering all relevant factors when assessing market power.</w:t>
      </w:r>
      <w:r w:rsidR="00D8104A">
        <w:rPr>
          <w:rStyle w:val="Funotenzeichen"/>
          <w:rFonts w:ascii="Arial" w:hAnsi="Arial" w:cs="Arial"/>
        </w:rPr>
        <w:footnoteReference w:id="767"/>
      </w:r>
      <w:r w:rsidR="00073A51">
        <w:rPr>
          <w:rFonts w:ascii="Arial" w:hAnsi="Arial" w:cs="Arial"/>
        </w:rPr>
        <w:t xml:space="preserve"> In this regard</w:t>
      </w:r>
      <w:r w:rsidR="00994906">
        <w:rPr>
          <w:rFonts w:ascii="Arial" w:hAnsi="Arial" w:cs="Arial"/>
        </w:rPr>
        <w:t>,</w:t>
      </w:r>
      <w:r w:rsidR="00073A51">
        <w:rPr>
          <w:rFonts w:ascii="Arial" w:hAnsi="Arial" w:cs="Arial"/>
        </w:rPr>
        <w:t xml:space="preserve"> the delineation of the relevant market is</w:t>
      </w:r>
      <w:r w:rsidR="00994906">
        <w:rPr>
          <w:rFonts w:ascii="Arial" w:hAnsi="Arial" w:cs="Arial"/>
        </w:rPr>
        <w:t xml:space="preserve"> very</w:t>
      </w:r>
      <w:r w:rsidR="00073A51">
        <w:rPr>
          <w:rFonts w:ascii="Arial" w:hAnsi="Arial" w:cs="Arial"/>
        </w:rPr>
        <w:t xml:space="preserve"> important since it includes all the potential competitive constraints that prohibit firms from abusing their unilateral and collective market power.</w:t>
      </w:r>
      <w:r w:rsidR="00994906">
        <w:rPr>
          <w:rStyle w:val="Funotenzeichen"/>
          <w:rFonts w:ascii="Arial" w:hAnsi="Arial" w:cs="Arial"/>
        </w:rPr>
        <w:footnoteReference w:id="768"/>
      </w:r>
      <w:r w:rsidR="00D8104A">
        <w:rPr>
          <w:rFonts w:ascii="Arial" w:hAnsi="Arial" w:cs="Arial"/>
        </w:rPr>
        <w:t xml:space="preserve"> </w:t>
      </w:r>
    </w:p>
    <w:p w:rsidR="00CA3798" w:rsidRDefault="00CA3798" w:rsidP="002563E6">
      <w:pPr>
        <w:contextualSpacing/>
        <w:jc w:val="both"/>
        <w:rPr>
          <w:rFonts w:ascii="Arial" w:hAnsi="Arial" w:cs="Arial"/>
        </w:rPr>
      </w:pPr>
    </w:p>
    <w:p w:rsidR="005800F3" w:rsidRDefault="00E03F47" w:rsidP="002563E6">
      <w:pPr>
        <w:contextualSpacing/>
        <w:jc w:val="both"/>
        <w:rPr>
          <w:rFonts w:ascii="Arial" w:hAnsi="Arial" w:cs="Arial"/>
        </w:rPr>
      </w:pPr>
      <w:r>
        <w:rPr>
          <w:rFonts w:ascii="Arial" w:hAnsi="Arial" w:cs="Arial"/>
        </w:rPr>
        <w:t>Nonetheless, t</w:t>
      </w:r>
      <w:r w:rsidR="00D8104A">
        <w:rPr>
          <w:rFonts w:ascii="Arial" w:hAnsi="Arial" w:cs="Arial"/>
        </w:rPr>
        <w:t>he SCP paradigm</w:t>
      </w:r>
      <w:r w:rsidR="000E6BBD">
        <w:rPr>
          <w:rFonts w:ascii="Arial" w:hAnsi="Arial" w:cs="Arial"/>
        </w:rPr>
        <w:t>,</w:t>
      </w:r>
      <w:r w:rsidR="00D8104A">
        <w:rPr>
          <w:rFonts w:ascii="Arial" w:hAnsi="Arial" w:cs="Arial"/>
        </w:rPr>
        <w:t xml:space="preserve"> </w:t>
      </w:r>
      <w:r w:rsidR="00EF37E0">
        <w:rPr>
          <w:rFonts w:ascii="Arial" w:hAnsi="Arial" w:cs="Arial"/>
        </w:rPr>
        <w:t>and thus market structure</w:t>
      </w:r>
      <w:r w:rsidR="000E6BBD">
        <w:rPr>
          <w:rFonts w:ascii="Arial" w:hAnsi="Arial" w:cs="Arial"/>
        </w:rPr>
        <w:t>,</w:t>
      </w:r>
      <w:r w:rsidR="00EF37E0">
        <w:rPr>
          <w:rFonts w:ascii="Arial" w:hAnsi="Arial" w:cs="Arial"/>
        </w:rPr>
        <w:t xml:space="preserve"> </w:t>
      </w:r>
      <w:r w:rsidR="00D8104A">
        <w:rPr>
          <w:rFonts w:ascii="Arial" w:hAnsi="Arial" w:cs="Arial"/>
        </w:rPr>
        <w:t>remain</w:t>
      </w:r>
      <w:r w:rsidR="00994906">
        <w:rPr>
          <w:rFonts w:ascii="Arial" w:hAnsi="Arial" w:cs="Arial"/>
        </w:rPr>
        <w:t>s</w:t>
      </w:r>
      <w:r w:rsidR="00D8104A">
        <w:rPr>
          <w:rFonts w:ascii="Arial" w:hAnsi="Arial" w:cs="Arial"/>
        </w:rPr>
        <w:t xml:space="preserve"> an important element in the assessment of market power</w:t>
      </w:r>
      <w:r w:rsidR="0005083D">
        <w:rPr>
          <w:rFonts w:ascii="Arial" w:hAnsi="Arial" w:cs="Arial"/>
        </w:rPr>
        <w:t xml:space="preserve"> and it provides a very useful framework within which to </w:t>
      </w:r>
      <w:r w:rsidR="00994906">
        <w:rPr>
          <w:rFonts w:ascii="Arial" w:hAnsi="Arial" w:cs="Arial"/>
        </w:rPr>
        <w:t>assess</w:t>
      </w:r>
      <w:r w:rsidR="0005083D">
        <w:rPr>
          <w:rFonts w:ascii="Arial" w:hAnsi="Arial" w:cs="Arial"/>
        </w:rPr>
        <w:t xml:space="preserve"> </w:t>
      </w:r>
      <w:r w:rsidR="00D61D7B">
        <w:rPr>
          <w:rFonts w:ascii="Arial" w:hAnsi="Arial" w:cs="Arial"/>
        </w:rPr>
        <w:t xml:space="preserve">the </w:t>
      </w:r>
      <w:r w:rsidR="0005083D">
        <w:rPr>
          <w:rFonts w:ascii="Arial" w:hAnsi="Arial" w:cs="Arial"/>
        </w:rPr>
        <w:t>market power</w:t>
      </w:r>
      <w:r w:rsidR="00994906">
        <w:rPr>
          <w:rFonts w:ascii="Arial" w:hAnsi="Arial" w:cs="Arial"/>
        </w:rPr>
        <w:t xml:space="preserve"> </w:t>
      </w:r>
      <w:r>
        <w:rPr>
          <w:rFonts w:ascii="Arial" w:hAnsi="Arial" w:cs="Arial"/>
        </w:rPr>
        <w:t>and the ability to abuse it of</w:t>
      </w:r>
      <w:r w:rsidR="00994906">
        <w:rPr>
          <w:rFonts w:ascii="Arial" w:hAnsi="Arial" w:cs="Arial"/>
        </w:rPr>
        <w:t xml:space="preserve"> the firms in the relevant market</w:t>
      </w:r>
      <w:r w:rsidR="00D8104A">
        <w:rPr>
          <w:rFonts w:ascii="Arial" w:hAnsi="Arial" w:cs="Arial"/>
        </w:rPr>
        <w:t>.</w:t>
      </w:r>
      <w:r w:rsidR="007A33A8">
        <w:rPr>
          <w:rStyle w:val="Funotenzeichen"/>
          <w:rFonts w:ascii="Arial" w:hAnsi="Arial" w:cs="Arial"/>
        </w:rPr>
        <w:footnoteReference w:id="769"/>
      </w:r>
      <w:r w:rsidR="00D8104A">
        <w:rPr>
          <w:rFonts w:ascii="Arial" w:hAnsi="Arial" w:cs="Arial"/>
        </w:rPr>
        <w:t xml:space="preserve"> </w:t>
      </w:r>
    </w:p>
    <w:p w:rsidR="0039408F" w:rsidRDefault="0039408F" w:rsidP="002563E6">
      <w:pPr>
        <w:contextualSpacing/>
        <w:jc w:val="both"/>
        <w:rPr>
          <w:rFonts w:ascii="Arial" w:hAnsi="Arial" w:cs="Arial"/>
        </w:rPr>
      </w:pPr>
    </w:p>
    <w:p w:rsidR="003611E9" w:rsidRDefault="00E63CDB" w:rsidP="002563E6">
      <w:pPr>
        <w:contextualSpacing/>
        <w:jc w:val="both"/>
        <w:rPr>
          <w:rFonts w:ascii="Arial" w:hAnsi="Arial" w:cs="Arial"/>
        </w:rPr>
      </w:pPr>
      <w:r w:rsidRPr="00D61D7B">
        <w:rPr>
          <w:rFonts w:ascii="Arial" w:hAnsi="Arial" w:cs="Arial"/>
          <w:u w:val="single"/>
        </w:rPr>
        <w:t>Note</w:t>
      </w:r>
      <w:r w:rsidR="00D61D7B">
        <w:rPr>
          <w:rFonts w:ascii="Arial" w:hAnsi="Arial" w:cs="Arial"/>
          <w:u w:val="single"/>
        </w:rPr>
        <w:t>:</w:t>
      </w:r>
      <w:r>
        <w:rPr>
          <w:rFonts w:ascii="Arial" w:hAnsi="Arial" w:cs="Arial"/>
        </w:rPr>
        <w:t xml:space="preserve"> the d</w:t>
      </w:r>
      <w:r w:rsidR="003611E9">
        <w:rPr>
          <w:rFonts w:ascii="Arial" w:hAnsi="Arial" w:cs="Arial"/>
        </w:rPr>
        <w:t>ebate</w:t>
      </w:r>
      <w:r>
        <w:rPr>
          <w:rFonts w:ascii="Arial" w:hAnsi="Arial" w:cs="Arial"/>
        </w:rPr>
        <w:t xml:space="preserve"> between the Chicago and non-Chicago schools of thought</w:t>
      </w:r>
      <w:r w:rsidR="003611E9">
        <w:rPr>
          <w:rFonts w:ascii="Arial" w:hAnsi="Arial" w:cs="Arial"/>
        </w:rPr>
        <w:t xml:space="preserve"> entails </w:t>
      </w:r>
      <w:r>
        <w:rPr>
          <w:rFonts w:ascii="Arial" w:hAnsi="Arial" w:cs="Arial"/>
        </w:rPr>
        <w:t>a great deal</w:t>
      </w:r>
      <w:r w:rsidR="003611E9">
        <w:rPr>
          <w:rFonts w:ascii="Arial" w:hAnsi="Arial" w:cs="Arial"/>
        </w:rPr>
        <w:t xml:space="preserve"> more than what is discussed in this paper. A lengthy discussion on this debate is however beyond the scope of this paper.</w:t>
      </w:r>
      <w:r>
        <w:rPr>
          <w:rFonts w:ascii="Arial" w:hAnsi="Arial" w:cs="Arial"/>
        </w:rPr>
        <w:t xml:space="preserve"> Furthermore, the following sections will briefly discuss the structure, conduct and performance elements of the SCP paradigm. Once more, a comprehensive discussion on these elements is beyond the scope of this paper.</w:t>
      </w:r>
    </w:p>
    <w:p w:rsidR="00BD3DCE" w:rsidRDefault="00BD3DCE" w:rsidP="002563E6">
      <w:pPr>
        <w:contextualSpacing/>
        <w:jc w:val="both"/>
        <w:rPr>
          <w:rFonts w:ascii="Arial" w:hAnsi="Arial" w:cs="Arial"/>
        </w:rPr>
      </w:pPr>
    </w:p>
    <w:p w:rsidR="00BC1820" w:rsidRDefault="00DE0724" w:rsidP="00992A45">
      <w:pPr>
        <w:contextualSpacing/>
        <w:rPr>
          <w:rFonts w:ascii="Arial" w:hAnsi="Arial" w:cs="Arial"/>
        </w:rPr>
      </w:pPr>
      <w:r>
        <w:rPr>
          <w:rFonts w:ascii="Arial" w:hAnsi="Arial" w:cs="Arial"/>
        </w:rPr>
        <w:t>3.3.4.2.2</w:t>
      </w:r>
      <w:r w:rsidR="007518D8">
        <w:rPr>
          <w:rFonts w:ascii="Arial" w:hAnsi="Arial" w:cs="Arial"/>
        </w:rPr>
        <w:t xml:space="preserve"> Structure</w:t>
      </w:r>
    </w:p>
    <w:p w:rsidR="00DE0724" w:rsidRDefault="00DE0724" w:rsidP="000838B0">
      <w:pPr>
        <w:contextualSpacing/>
        <w:jc w:val="both"/>
        <w:rPr>
          <w:rFonts w:ascii="Arial" w:hAnsi="Arial" w:cs="Arial"/>
        </w:rPr>
      </w:pPr>
    </w:p>
    <w:p w:rsidR="00A26F2F" w:rsidRDefault="006E774F" w:rsidP="000838B0">
      <w:pPr>
        <w:contextualSpacing/>
        <w:jc w:val="both"/>
        <w:rPr>
          <w:rFonts w:ascii="Arial" w:hAnsi="Arial" w:cs="Arial"/>
        </w:rPr>
      </w:pPr>
      <w:r>
        <w:rPr>
          <w:rFonts w:ascii="Arial" w:hAnsi="Arial" w:cs="Arial"/>
        </w:rPr>
        <w:t xml:space="preserve">Market structure can be defined as the </w:t>
      </w:r>
      <w:r w:rsidRPr="00AD3075">
        <w:rPr>
          <w:rFonts w:ascii="Arial" w:hAnsi="Arial" w:cs="Arial"/>
        </w:rPr>
        <w:t>characteristics</w:t>
      </w:r>
      <w:r>
        <w:rPr>
          <w:rFonts w:ascii="Arial" w:hAnsi="Arial" w:cs="Arial"/>
        </w:rPr>
        <w:t xml:space="preserve"> of a market that determines the conduct and the performance of the firms within that market.</w:t>
      </w:r>
      <w:r>
        <w:rPr>
          <w:rStyle w:val="Funotenzeichen"/>
          <w:rFonts w:ascii="Arial" w:hAnsi="Arial" w:cs="Arial"/>
        </w:rPr>
        <w:footnoteReference w:id="770"/>
      </w:r>
      <w:r>
        <w:rPr>
          <w:rFonts w:ascii="Arial" w:hAnsi="Arial" w:cs="Arial"/>
        </w:rPr>
        <w:t xml:space="preserve"> </w:t>
      </w:r>
      <w:r w:rsidR="006D5C03">
        <w:rPr>
          <w:rFonts w:ascii="Arial" w:hAnsi="Arial" w:cs="Arial"/>
        </w:rPr>
        <w:t xml:space="preserve">Accordingly, the market structure itself consists out of various </w:t>
      </w:r>
      <w:r w:rsidR="00AD3075">
        <w:rPr>
          <w:rFonts w:ascii="Arial" w:hAnsi="Arial" w:cs="Arial"/>
        </w:rPr>
        <w:t>characteristics</w:t>
      </w:r>
      <w:r w:rsidR="006D5C03">
        <w:rPr>
          <w:rFonts w:ascii="Arial" w:hAnsi="Arial" w:cs="Arial"/>
        </w:rPr>
        <w:t xml:space="preserve">, which include among others the following:  </w:t>
      </w:r>
    </w:p>
    <w:p w:rsidR="006D5C03" w:rsidRDefault="006D5C03" w:rsidP="000838B0">
      <w:pPr>
        <w:contextualSpacing/>
        <w:jc w:val="both"/>
        <w:rPr>
          <w:rFonts w:ascii="Arial" w:hAnsi="Arial" w:cs="Arial"/>
        </w:rPr>
      </w:pPr>
      <w:r>
        <w:rPr>
          <w:rFonts w:ascii="Arial" w:hAnsi="Arial" w:cs="Arial"/>
        </w:rPr>
        <w:tab/>
        <w:t>1. The number of firms within the market.</w:t>
      </w:r>
      <w:r w:rsidR="007F791F">
        <w:rPr>
          <w:rStyle w:val="Funotenzeichen"/>
          <w:rFonts w:ascii="Arial" w:hAnsi="Arial" w:cs="Arial"/>
        </w:rPr>
        <w:footnoteReference w:id="771"/>
      </w:r>
    </w:p>
    <w:p w:rsidR="006D5C03" w:rsidRDefault="00E95ABF" w:rsidP="000838B0">
      <w:pPr>
        <w:contextualSpacing/>
        <w:jc w:val="both"/>
        <w:rPr>
          <w:rFonts w:ascii="Arial" w:hAnsi="Arial" w:cs="Arial"/>
        </w:rPr>
      </w:pPr>
      <w:r>
        <w:rPr>
          <w:rFonts w:ascii="Arial" w:hAnsi="Arial" w:cs="Arial"/>
        </w:rPr>
        <w:tab/>
      </w:r>
      <w:r w:rsidR="006D5C03">
        <w:rPr>
          <w:rFonts w:ascii="Arial" w:hAnsi="Arial" w:cs="Arial"/>
        </w:rPr>
        <w:t xml:space="preserve">2. The size of the firms in the market relative to the </w:t>
      </w:r>
      <w:r>
        <w:rPr>
          <w:rFonts w:ascii="Arial" w:hAnsi="Arial" w:cs="Arial"/>
        </w:rPr>
        <w:t xml:space="preserve">size of the </w:t>
      </w:r>
      <w:r w:rsidR="006D5C03">
        <w:rPr>
          <w:rFonts w:ascii="Arial" w:hAnsi="Arial" w:cs="Arial"/>
        </w:rPr>
        <w:t xml:space="preserve">other firms in </w:t>
      </w:r>
      <w:r>
        <w:rPr>
          <w:rFonts w:ascii="Arial" w:hAnsi="Arial" w:cs="Arial"/>
        </w:rPr>
        <w:tab/>
      </w:r>
      <w:r w:rsidR="006D5C03">
        <w:rPr>
          <w:rFonts w:ascii="Arial" w:hAnsi="Arial" w:cs="Arial"/>
        </w:rPr>
        <w:t>the market.</w:t>
      </w:r>
      <w:r w:rsidR="007F791F">
        <w:rPr>
          <w:rStyle w:val="Funotenzeichen"/>
          <w:rFonts w:ascii="Arial" w:hAnsi="Arial" w:cs="Arial"/>
        </w:rPr>
        <w:footnoteReference w:id="772"/>
      </w:r>
    </w:p>
    <w:p w:rsidR="006D5C03" w:rsidRDefault="00E95ABF" w:rsidP="000838B0">
      <w:pPr>
        <w:contextualSpacing/>
        <w:jc w:val="both"/>
        <w:rPr>
          <w:rFonts w:ascii="Arial" w:hAnsi="Arial" w:cs="Arial"/>
        </w:rPr>
      </w:pPr>
      <w:r>
        <w:rPr>
          <w:rFonts w:ascii="Arial" w:hAnsi="Arial" w:cs="Arial"/>
        </w:rPr>
        <w:tab/>
      </w:r>
      <w:r w:rsidR="006D5C03">
        <w:rPr>
          <w:rFonts w:ascii="Arial" w:hAnsi="Arial" w:cs="Arial"/>
        </w:rPr>
        <w:t xml:space="preserve">3. </w:t>
      </w:r>
      <w:r>
        <w:rPr>
          <w:rFonts w:ascii="Arial" w:hAnsi="Arial" w:cs="Arial"/>
        </w:rPr>
        <w:t>Barriers (</w:t>
      </w:r>
      <w:r w:rsidRPr="00E95ABF">
        <w:rPr>
          <w:rFonts w:ascii="Arial" w:hAnsi="Arial" w:cs="Arial"/>
        </w:rPr>
        <w:t>obstacles</w:t>
      </w:r>
      <w:r>
        <w:rPr>
          <w:rFonts w:ascii="Arial" w:hAnsi="Arial" w:cs="Arial"/>
        </w:rPr>
        <w:t>) to entry and exit.</w:t>
      </w:r>
      <w:r w:rsidR="007F791F">
        <w:rPr>
          <w:rStyle w:val="Funotenzeichen"/>
          <w:rFonts w:ascii="Arial" w:hAnsi="Arial" w:cs="Arial"/>
        </w:rPr>
        <w:footnoteReference w:id="773"/>
      </w:r>
    </w:p>
    <w:p w:rsidR="007F791F" w:rsidRDefault="00E95ABF" w:rsidP="000838B0">
      <w:pPr>
        <w:contextualSpacing/>
        <w:jc w:val="both"/>
        <w:rPr>
          <w:rFonts w:ascii="Arial" w:hAnsi="Arial" w:cs="Arial"/>
        </w:rPr>
      </w:pPr>
      <w:r>
        <w:rPr>
          <w:rFonts w:ascii="Arial" w:hAnsi="Arial" w:cs="Arial"/>
        </w:rPr>
        <w:tab/>
      </w:r>
      <w:r w:rsidR="007F791F">
        <w:rPr>
          <w:rFonts w:ascii="Arial" w:hAnsi="Arial" w:cs="Arial"/>
        </w:rPr>
        <w:t xml:space="preserve">4. </w:t>
      </w:r>
      <w:r w:rsidR="00D15F5D">
        <w:rPr>
          <w:rFonts w:ascii="Arial" w:hAnsi="Arial" w:cs="Arial"/>
        </w:rPr>
        <w:t>Product</w:t>
      </w:r>
      <w:r w:rsidR="007F791F">
        <w:rPr>
          <w:rFonts w:ascii="Arial" w:hAnsi="Arial" w:cs="Arial"/>
        </w:rPr>
        <w:t xml:space="preserve"> differentiat</w:t>
      </w:r>
      <w:r w:rsidR="00D15F5D">
        <w:rPr>
          <w:rFonts w:ascii="Arial" w:hAnsi="Arial" w:cs="Arial"/>
        </w:rPr>
        <w:t>ion.</w:t>
      </w:r>
      <w:r w:rsidR="003637FC">
        <w:rPr>
          <w:rStyle w:val="Funotenzeichen"/>
          <w:rFonts w:ascii="Arial" w:hAnsi="Arial" w:cs="Arial"/>
        </w:rPr>
        <w:footnoteReference w:id="774"/>
      </w:r>
    </w:p>
    <w:p w:rsidR="00AD3075" w:rsidRDefault="007F791F" w:rsidP="000838B0">
      <w:pPr>
        <w:contextualSpacing/>
        <w:jc w:val="both"/>
        <w:rPr>
          <w:rFonts w:ascii="Arial" w:hAnsi="Arial" w:cs="Arial"/>
        </w:rPr>
      </w:pPr>
      <w:r>
        <w:rPr>
          <w:rFonts w:ascii="Arial" w:hAnsi="Arial" w:cs="Arial"/>
        </w:rPr>
        <w:tab/>
      </w:r>
      <w:r w:rsidR="00AD3075">
        <w:rPr>
          <w:rFonts w:ascii="Arial" w:hAnsi="Arial" w:cs="Arial"/>
        </w:rPr>
        <w:t xml:space="preserve">5. </w:t>
      </w:r>
      <w:r w:rsidR="00AD3075" w:rsidRPr="00AD3075">
        <w:rPr>
          <w:rFonts w:ascii="Arial" w:hAnsi="Arial" w:cs="Arial"/>
        </w:rPr>
        <w:t>Diversification</w:t>
      </w:r>
      <w:r w:rsidR="00AD3075">
        <w:rPr>
          <w:rFonts w:ascii="Arial" w:hAnsi="Arial" w:cs="Arial"/>
        </w:rPr>
        <w:t xml:space="preserve"> between the various firms in the market.</w:t>
      </w:r>
      <w:r w:rsidR="003637FC">
        <w:rPr>
          <w:rStyle w:val="Funotenzeichen"/>
          <w:rFonts w:ascii="Arial" w:hAnsi="Arial" w:cs="Arial"/>
        </w:rPr>
        <w:footnoteReference w:id="775"/>
      </w:r>
    </w:p>
    <w:p w:rsidR="00E95ABF" w:rsidRDefault="00AD3075" w:rsidP="000838B0">
      <w:pPr>
        <w:contextualSpacing/>
        <w:jc w:val="both"/>
        <w:rPr>
          <w:rFonts w:ascii="Arial" w:hAnsi="Arial" w:cs="Arial"/>
        </w:rPr>
      </w:pPr>
      <w:r>
        <w:rPr>
          <w:rFonts w:ascii="Arial" w:hAnsi="Arial" w:cs="Arial"/>
        </w:rPr>
        <w:tab/>
      </w:r>
      <w:r w:rsidR="00E95ABF">
        <w:rPr>
          <w:rFonts w:ascii="Arial" w:hAnsi="Arial" w:cs="Arial"/>
        </w:rPr>
        <w:t>4. The cost conditions within the market</w:t>
      </w:r>
      <w:r>
        <w:rPr>
          <w:rFonts w:ascii="Arial" w:hAnsi="Arial" w:cs="Arial"/>
        </w:rPr>
        <w:t xml:space="preserve"> and economies of scale</w:t>
      </w:r>
      <w:r w:rsidR="00E95ABF">
        <w:rPr>
          <w:rFonts w:ascii="Arial" w:hAnsi="Arial" w:cs="Arial"/>
        </w:rPr>
        <w:t>.</w:t>
      </w:r>
      <w:r w:rsidR="007F791F">
        <w:rPr>
          <w:rStyle w:val="Funotenzeichen"/>
          <w:rFonts w:ascii="Arial" w:hAnsi="Arial" w:cs="Arial"/>
        </w:rPr>
        <w:footnoteReference w:id="776"/>
      </w:r>
    </w:p>
    <w:p w:rsidR="0021565B" w:rsidRDefault="00E95ABF" w:rsidP="000838B0">
      <w:pPr>
        <w:contextualSpacing/>
        <w:jc w:val="both"/>
        <w:rPr>
          <w:rFonts w:ascii="Arial" w:hAnsi="Arial" w:cs="Arial"/>
        </w:rPr>
      </w:pPr>
      <w:r>
        <w:rPr>
          <w:rFonts w:ascii="Arial" w:hAnsi="Arial" w:cs="Arial"/>
        </w:rPr>
        <w:tab/>
        <w:t>5. The technological environment within the market.</w:t>
      </w:r>
      <w:r w:rsidR="007F791F">
        <w:rPr>
          <w:rStyle w:val="Funotenzeichen"/>
          <w:rFonts w:ascii="Arial" w:hAnsi="Arial" w:cs="Arial"/>
        </w:rPr>
        <w:footnoteReference w:id="777"/>
      </w:r>
      <w:r>
        <w:rPr>
          <w:rFonts w:ascii="Arial" w:hAnsi="Arial" w:cs="Arial"/>
        </w:rPr>
        <w:t xml:space="preserve"> </w:t>
      </w:r>
    </w:p>
    <w:p w:rsidR="00E95ABF" w:rsidRDefault="00E95ABF" w:rsidP="000838B0">
      <w:pPr>
        <w:contextualSpacing/>
        <w:jc w:val="both"/>
        <w:rPr>
          <w:rFonts w:ascii="Arial" w:hAnsi="Arial" w:cs="Arial"/>
        </w:rPr>
      </w:pPr>
    </w:p>
    <w:p w:rsidR="00723C13" w:rsidRDefault="00723C13" w:rsidP="000838B0">
      <w:pPr>
        <w:contextualSpacing/>
        <w:jc w:val="both"/>
        <w:rPr>
          <w:rFonts w:ascii="Arial" w:hAnsi="Arial" w:cs="Arial"/>
        </w:rPr>
      </w:pPr>
      <w:r>
        <w:rPr>
          <w:rFonts w:ascii="Arial" w:hAnsi="Arial" w:cs="Arial"/>
        </w:rPr>
        <w:t xml:space="preserve">These </w:t>
      </w:r>
      <w:r w:rsidR="00AD3075">
        <w:rPr>
          <w:rFonts w:ascii="Arial" w:hAnsi="Arial" w:cs="Arial"/>
        </w:rPr>
        <w:t>characteristics</w:t>
      </w:r>
      <w:r>
        <w:rPr>
          <w:rFonts w:ascii="Arial" w:hAnsi="Arial" w:cs="Arial"/>
        </w:rPr>
        <w:t xml:space="preserve"> of market structure</w:t>
      </w:r>
      <w:r w:rsidR="00122ABC">
        <w:rPr>
          <w:rFonts w:ascii="Arial" w:hAnsi="Arial" w:cs="Arial"/>
        </w:rPr>
        <w:t xml:space="preserve">, among others, </w:t>
      </w:r>
      <w:r>
        <w:rPr>
          <w:rFonts w:ascii="Arial" w:hAnsi="Arial" w:cs="Arial"/>
        </w:rPr>
        <w:t>are used to d</w:t>
      </w:r>
      <w:r w:rsidR="00B12494">
        <w:rPr>
          <w:rFonts w:ascii="Arial" w:hAnsi="Arial" w:cs="Arial"/>
        </w:rPr>
        <w:t>etermine the structure of a market</w:t>
      </w:r>
      <w:r w:rsidR="00122ABC">
        <w:rPr>
          <w:rFonts w:ascii="Arial" w:hAnsi="Arial" w:cs="Arial"/>
        </w:rPr>
        <w:t xml:space="preserve"> and to </w:t>
      </w:r>
      <w:r w:rsidR="00122ABC" w:rsidRPr="00122ABC">
        <w:rPr>
          <w:rFonts w:ascii="Arial" w:hAnsi="Arial" w:cs="Arial"/>
        </w:rPr>
        <w:t>classify</w:t>
      </w:r>
      <w:r w:rsidR="00122ABC">
        <w:rPr>
          <w:rFonts w:ascii="Arial" w:hAnsi="Arial" w:cs="Arial"/>
        </w:rPr>
        <w:t xml:space="preserve"> markets into </w:t>
      </w:r>
      <w:r w:rsidR="00122ABC" w:rsidRPr="00A87A6A">
        <w:rPr>
          <w:rFonts w:ascii="Arial" w:hAnsi="Arial" w:cs="Arial"/>
        </w:rPr>
        <w:t>various</w:t>
      </w:r>
      <w:r w:rsidR="00A87A6A">
        <w:rPr>
          <w:rFonts w:ascii="Arial" w:hAnsi="Arial" w:cs="Arial"/>
        </w:rPr>
        <w:t xml:space="preserve"> </w:t>
      </w:r>
      <w:r w:rsidR="000D699F">
        <w:rPr>
          <w:rFonts w:ascii="Arial" w:hAnsi="Arial" w:cs="Arial"/>
        </w:rPr>
        <w:t>types</w:t>
      </w:r>
      <w:r w:rsidR="00A87A6A">
        <w:rPr>
          <w:rFonts w:ascii="Arial" w:hAnsi="Arial" w:cs="Arial"/>
        </w:rPr>
        <w:t xml:space="preserve"> of market models</w:t>
      </w:r>
      <w:r w:rsidR="00B12494">
        <w:rPr>
          <w:rFonts w:ascii="Arial" w:hAnsi="Arial" w:cs="Arial"/>
        </w:rPr>
        <w:t>.</w:t>
      </w:r>
      <w:r w:rsidR="00A87A6A">
        <w:rPr>
          <w:rStyle w:val="Funotenzeichen"/>
          <w:rFonts w:ascii="Arial" w:hAnsi="Arial" w:cs="Arial"/>
        </w:rPr>
        <w:footnoteReference w:id="778"/>
      </w:r>
      <w:r w:rsidR="00122ABC">
        <w:rPr>
          <w:rFonts w:ascii="Arial" w:hAnsi="Arial" w:cs="Arial"/>
        </w:rPr>
        <w:t xml:space="preserve"> </w:t>
      </w:r>
      <w:r w:rsidR="00A87A6A">
        <w:rPr>
          <w:rFonts w:ascii="Arial" w:hAnsi="Arial" w:cs="Arial"/>
        </w:rPr>
        <w:t>The market model in turn is an indication of the nature and degree of competition within that market</w:t>
      </w:r>
      <w:r w:rsidR="00AD3075">
        <w:rPr>
          <w:rFonts w:ascii="Arial" w:hAnsi="Arial" w:cs="Arial"/>
        </w:rPr>
        <w:t xml:space="preserve"> model</w:t>
      </w:r>
      <w:r w:rsidR="00A87A6A">
        <w:rPr>
          <w:rFonts w:ascii="Arial" w:hAnsi="Arial" w:cs="Arial"/>
        </w:rPr>
        <w:t>.</w:t>
      </w:r>
      <w:r w:rsidR="003E3877">
        <w:rPr>
          <w:rStyle w:val="Funotenzeichen"/>
          <w:rFonts w:ascii="Arial" w:hAnsi="Arial" w:cs="Arial"/>
        </w:rPr>
        <w:footnoteReference w:id="779"/>
      </w:r>
      <w:r>
        <w:rPr>
          <w:rFonts w:ascii="Arial" w:hAnsi="Arial" w:cs="Arial"/>
        </w:rPr>
        <w:t xml:space="preserve"> </w:t>
      </w:r>
      <w:r w:rsidR="000D699F">
        <w:rPr>
          <w:rFonts w:ascii="Arial" w:hAnsi="Arial" w:cs="Arial"/>
        </w:rPr>
        <w:t xml:space="preserve">As mentioned, there </w:t>
      </w:r>
      <w:r w:rsidR="00A41953">
        <w:rPr>
          <w:rFonts w:ascii="Arial" w:hAnsi="Arial" w:cs="Arial"/>
        </w:rPr>
        <w:t>is a variety of</w:t>
      </w:r>
      <w:r w:rsidR="000D699F">
        <w:rPr>
          <w:rFonts w:ascii="Arial" w:hAnsi="Arial" w:cs="Arial"/>
        </w:rPr>
        <w:t xml:space="preserve"> different market models, t</w:t>
      </w:r>
      <w:r>
        <w:rPr>
          <w:rFonts w:ascii="Arial" w:hAnsi="Arial" w:cs="Arial"/>
        </w:rPr>
        <w:t xml:space="preserve">his paper </w:t>
      </w:r>
      <w:r w:rsidR="000D699F">
        <w:rPr>
          <w:rFonts w:ascii="Arial" w:hAnsi="Arial" w:cs="Arial"/>
        </w:rPr>
        <w:t xml:space="preserve">however </w:t>
      </w:r>
      <w:r>
        <w:rPr>
          <w:rFonts w:ascii="Arial" w:hAnsi="Arial" w:cs="Arial"/>
        </w:rPr>
        <w:t xml:space="preserve">only considers </w:t>
      </w:r>
      <w:r w:rsidR="000D699F">
        <w:rPr>
          <w:rFonts w:ascii="Arial" w:hAnsi="Arial" w:cs="Arial"/>
        </w:rPr>
        <w:t>two</w:t>
      </w:r>
      <w:r>
        <w:rPr>
          <w:rFonts w:ascii="Arial" w:hAnsi="Arial" w:cs="Arial"/>
        </w:rPr>
        <w:t xml:space="preserve"> namely the perfectly compe</w:t>
      </w:r>
      <w:r w:rsidR="003E3877">
        <w:rPr>
          <w:rFonts w:ascii="Arial" w:hAnsi="Arial" w:cs="Arial"/>
        </w:rPr>
        <w:t>ti</w:t>
      </w:r>
      <w:r>
        <w:rPr>
          <w:rFonts w:ascii="Arial" w:hAnsi="Arial" w:cs="Arial"/>
        </w:rPr>
        <w:t>tive</w:t>
      </w:r>
      <w:r w:rsidR="003E3877">
        <w:rPr>
          <w:rFonts w:ascii="Arial" w:hAnsi="Arial" w:cs="Arial"/>
        </w:rPr>
        <w:t xml:space="preserve"> model</w:t>
      </w:r>
      <w:r w:rsidR="000D699F">
        <w:rPr>
          <w:rFonts w:ascii="Arial" w:hAnsi="Arial" w:cs="Arial"/>
        </w:rPr>
        <w:t xml:space="preserve"> and</w:t>
      </w:r>
      <w:r>
        <w:rPr>
          <w:rFonts w:ascii="Arial" w:hAnsi="Arial" w:cs="Arial"/>
        </w:rPr>
        <w:t xml:space="preserve"> the monopoly m</w:t>
      </w:r>
      <w:r w:rsidR="003E3877">
        <w:rPr>
          <w:rFonts w:ascii="Arial" w:hAnsi="Arial" w:cs="Arial"/>
        </w:rPr>
        <w:t>odel</w:t>
      </w:r>
      <w:r w:rsidR="000D699F">
        <w:rPr>
          <w:rFonts w:ascii="Arial" w:hAnsi="Arial" w:cs="Arial"/>
        </w:rPr>
        <w:t>.</w:t>
      </w:r>
      <w:r w:rsidR="00A87A6A">
        <w:rPr>
          <w:rFonts w:ascii="Arial" w:hAnsi="Arial" w:cs="Arial"/>
        </w:rPr>
        <w:t xml:space="preserve"> </w:t>
      </w:r>
      <w:r>
        <w:rPr>
          <w:rFonts w:ascii="Arial" w:hAnsi="Arial" w:cs="Arial"/>
        </w:rPr>
        <w:t xml:space="preserve">  </w:t>
      </w:r>
    </w:p>
    <w:p w:rsidR="00A87A6A" w:rsidRDefault="00A87A6A" w:rsidP="000838B0">
      <w:pPr>
        <w:contextualSpacing/>
        <w:jc w:val="both"/>
        <w:rPr>
          <w:rFonts w:ascii="Arial" w:hAnsi="Arial" w:cs="Arial"/>
        </w:rPr>
      </w:pPr>
    </w:p>
    <w:p w:rsidR="00B97934" w:rsidRDefault="00B97934" w:rsidP="00B97934">
      <w:pPr>
        <w:contextualSpacing/>
        <w:rPr>
          <w:rFonts w:ascii="Arial" w:hAnsi="Arial" w:cs="Arial"/>
        </w:rPr>
      </w:pPr>
      <w:r>
        <w:rPr>
          <w:rFonts w:ascii="Arial" w:hAnsi="Arial" w:cs="Arial"/>
        </w:rPr>
        <w:t>3.3.4.2.2.1 Market models</w:t>
      </w:r>
    </w:p>
    <w:p w:rsidR="00B97934" w:rsidRDefault="00B97934" w:rsidP="000838B0">
      <w:pPr>
        <w:contextualSpacing/>
        <w:jc w:val="both"/>
        <w:rPr>
          <w:rFonts w:ascii="Arial" w:hAnsi="Arial" w:cs="Arial"/>
          <w:u w:val="single"/>
        </w:rPr>
      </w:pPr>
    </w:p>
    <w:p w:rsidR="00A87A6A" w:rsidRPr="007B1F87" w:rsidRDefault="007B1F87" w:rsidP="000838B0">
      <w:pPr>
        <w:contextualSpacing/>
        <w:jc w:val="both"/>
        <w:rPr>
          <w:rFonts w:ascii="Arial" w:hAnsi="Arial" w:cs="Arial"/>
          <w:u w:val="single"/>
        </w:rPr>
      </w:pPr>
      <w:r w:rsidRPr="007B1F87">
        <w:rPr>
          <w:rFonts w:ascii="Arial" w:hAnsi="Arial" w:cs="Arial"/>
          <w:u w:val="single"/>
        </w:rPr>
        <w:t>The perfectly competitive model</w:t>
      </w:r>
      <w:r w:rsidR="007058AC">
        <w:rPr>
          <w:rStyle w:val="Funotenzeichen"/>
          <w:rFonts w:ascii="Arial" w:hAnsi="Arial" w:cs="Arial"/>
          <w:u w:val="single"/>
        </w:rPr>
        <w:footnoteReference w:id="780"/>
      </w:r>
    </w:p>
    <w:p w:rsidR="007B1F87" w:rsidRDefault="00625C83" w:rsidP="000838B0">
      <w:pPr>
        <w:contextualSpacing/>
        <w:jc w:val="both"/>
        <w:rPr>
          <w:rFonts w:ascii="Arial" w:hAnsi="Arial" w:cs="Arial"/>
        </w:rPr>
      </w:pPr>
      <w:r>
        <w:rPr>
          <w:rFonts w:ascii="Arial" w:hAnsi="Arial" w:cs="Arial"/>
        </w:rPr>
        <w:t>The perfectly competitive model has the following characteristics:</w:t>
      </w:r>
    </w:p>
    <w:p w:rsidR="00625C83" w:rsidRDefault="00850079" w:rsidP="000838B0">
      <w:pPr>
        <w:contextualSpacing/>
        <w:jc w:val="both"/>
        <w:rPr>
          <w:rFonts w:ascii="Arial" w:hAnsi="Arial" w:cs="Arial"/>
        </w:rPr>
      </w:pPr>
      <w:r>
        <w:rPr>
          <w:rFonts w:ascii="Arial" w:hAnsi="Arial" w:cs="Arial"/>
        </w:rPr>
        <w:tab/>
      </w:r>
      <w:r w:rsidR="008C28B7">
        <w:rPr>
          <w:rFonts w:ascii="Arial" w:hAnsi="Arial" w:cs="Arial"/>
        </w:rPr>
        <w:t>1.</w:t>
      </w:r>
      <w:r w:rsidR="00BE687F">
        <w:rPr>
          <w:rFonts w:ascii="Arial" w:hAnsi="Arial" w:cs="Arial"/>
        </w:rPr>
        <w:t xml:space="preserve"> </w:t>
      </w:r>
      <w:r w:rsidR="008C28B7">
        <w:rPr>
          <w:rFonts w:ascii="Arial" w:hAnsi="Arial" w:cs="Arial"/>
        </w:rPr>
        <w:t>Large number of buyers</w:t>
      </w:r>
      <w:r w:rsidR="00BE687F">
        <w:rPr>
          <w:rFonts w:ascii="Arial" w:hAnsi="Arial" w:cs="Arial"/>
        </w:rPr>
        <w:t xml:space="preserve"> and sellers</w:t>
      </w:r>
      <w:r w:rsidR="008C28B7">
        <w:rPr>
          <w:rFonts w:ascii="Arial" w:hAnsi="Arial" w:cs="Arial"/>
        </w:rPr>
        <w:t>.</w:t>
      </w:r>
      <w:r>
        <w:rPr>
          <w:rStyle w:val="Funotenzeichen"/>
          <w:rFonts w:ascii="Arial" w:hAnsi="Arial" w:cs="Arial"/>
        </w:rPr>
        <w:footnoteReference w:id="781"/>
      </w:r>
    </w:p>
    <w:p w:rsidR="008C28B7" w:rsidRDefault="00850079" w:rsidP="000838B0">
      <w:pPr>
        <w:contextualSpacing/>
        <w:jc w:val="both"/>
        <w:rPr>
          <w:rFonts w:ascii="Arial" w:hAnsi="Arial" w:cs="Arial"/>
        </w:rPr>
      </w:pPr>
      <w:r>
        <w:rPr>
          <w:rFonts w:ascii="Arial" w:hAnsi="Arial" w:cs="Arial"/>
        </w:rPr>
        <w:tab/>
      </w:r>
      <w:r w:rsidR="008C28B7">
        <w:rPr>
          <w:rFonts w:ascii="Arial" w:hAnsi="Arial" w:cs="Arial"/>
        </w:rPr>
        <w:t>2. Consumers and producers have perfect knowledge.</w:t>
      </w:r>
      <w:r w:rsidR="0045298A">
        <w:rPr>
          <w:rStyle w:val="Funotenzeichen"/>
          <w:rFonts w:ascii="Arial" w:hAnsi="Arial" w:cs="Arial"/>
        </w:rPr>
        <w:footnoteReference w:id="782"/>
      </w:r>
    </w:p>
    <w:p w:rsidR="008C28B7" w:rsidRDefault="00850079" w:rsidP="000838B0">
      <w:pPr>
        <w:contextualSpacing/>
        <w:jc w:val="both"/>
        <w:rPr>
          <w:rFonts w:ascii="Arial" w:hAnsi="Arial" w:cs="Arial"/>
        </w:rPr>
      </w:pPr>
      <w:r>
        <w:rPr>
          <w:rFonts w:ascii="Arial" w:hAnsi="Arial" w:cs="Arial"/>
        </w:rPr>
        <w:tab/>
      </w:r>
      <w:r w:rsidR="008C28B7">
        <w:rPr>
          <w:rFonts w:ascii="Arial" w:hAnsi="Arial" w:cs="Arial"/>
        </w:rPr>
        <w:t>3. A homogenous product.</w:t>
      </w:r>
      <w:r w:rsidR="0045298A">
        <w:rPr>
          <w:rStyle w:val="Funotenzeichen"/>
          <w:rFonts w:ascii="Arial" w:hAnsi="Arial" w:cs="Arial"/>
        </w:rPr>
        <w:footnoteReference w:id="783"/>
      </w:r>
    </w:p>
    <w:p w:rsidR="008C28B7" w:rsidRDefault="00850079" w:rsidP="000838B0">
      <w:pPr>
        <w:contextualSpacing/>
        <w:jc w:val="both"/>
        <w:rPr>
          <w:rFonts w:ascii="Arial" w:hAnsi="Arial" w:cs="Arial"/>
        </w:rPr>
      </w:pPr>
      <w:r>
        <w:rPr>
          <w:rFonts w:ascii="Arial" w:hAnsi="Arial" w:cs="Arial"/>
        </w:rPr>
        <w:tab/>
      </w:r>
      <w:r w:rsidR="008C28B7">
        <w:rPr>
          <w:rFonts w:ascii="Arial" w:hAnsi="Arial" w:cs="Arial"/>
        </w:rPr>
        <w:t>4. No barriers of entry and exit i.e. easy entry into and exit from the market.</w:t>
      </w:r>
      <w:r w:rsidR="0045298A">
        <w:rPr>
          <w:rStyle w:val="Funotenzeichen"/>
          <w:rFonts w:ascii="Arial" w:hAnsi="Arial" w:cs="Arial"/>
        </w:rPr>
        <w:footnoteReference w:id="784"/>
      </w:r>
    </w:p>
    <w:p w:rsidR="0092389A" w:rsidRDefault="00850079" w:rsidP="000838B0">
      <w:pPr>
        <w:contextualSpacing/>
        <w:jc w:val="both"/>
        <w:rPr>
          <w:rFonts w:ascii="Arial" w:hAnsi="Arial" w:cs="Arial"/>
        </w:rPr>
      </w:pPr>
      <w:r>
        <w:rPr>
          <w:rFonts w:ascii="Arial" w:hAnsi="Arial" w:cs="Arial"/>
        </w:rPr>
        <w:tab/>
      </w:r>
      <w:r w:rsidR="0092389A">
        <w:rPr>
          <w:rFonts w:ascii="Arial" w:hAnsi="Arial" w:cs="Arial"/>
        </w:rPr>
        <w:t xml:space="preserve">5. </w:t>
      </w:r>
      <w:r w:rsidR="00252D74">
        <w:rPr>
          <w:rFonts w:ascii="Arial" w:hAnsi="Arial" w:cs="Arial"/>
        </w:rPr>
        <w:t xml:space="preserve">Firms act independently from one another and endeavour to maximise </w:t>
      </w:r>
      <w:r>
        <w:rPr>
          <w:rFonts w:ascii="Arial" w:hAnsi="Arial" w:cs="Arial"/>
        </w:rPr>
        <w:tab/>
      </w:r>
      <w:r w:rsidR="00252D74">
        <w:rPr>
          <w:rFonts w:ascii="Arial" w:hAnsi="Arial" w:cs="Arial"/>
        </w:rPr>
        <w:t>profits.</w:t>
      </w:r>
      <w:r w:rsidR="0045298A">
        <w:rPr>
          <w:rStyle w:val="Funotenzeichen"/>
          <w:rFonts w:ascii="Arial" w:hAnsi="Arial" w:cs="Arial"/>
        </w:rPr>
        <w:footnoteReference w:id="785"/>
      </w:r>
    </w:p>
    <w:p w:rsidR="00252D74" w:rsidRDefault="00850079" w:rsidP="000838B0">
      <w:pPr>
        <w:contextualSpacing/>
        <w:jc w:val="both"/>
        <w:rPr>
          <w:rFonts w:ascii="Arial" w:hAnsi="Arial" w:cs="Arial"/>
        </w:rPr>
      </w:pPr>
      <w:r>
        <w:rPr>
          <w:rFonts w:ascii="Arial" w:hAnsi="Arial" w:cs="Arial"/>
        </w:rPr>
        <w:tab/>
      </w:r>
      <w:r w:rsidR="00252D74">
        <w:rPr>
          <w:rFonts w:ascii="Arial" w:hAnsi="Arial" w:cs="Arial"/>
        </w:rPr>
        <w:t xml:space="preserve">6. </w:t>
      </w:r>
      <w:r>
        <w:rPr>
          <w:rFonts w:ascii="Arial" w:hAnsi="Arial" w:cs="Arial"/>
        </w:rPr>
        <w:t>All f</w:t>
      </w:r>
      <w:r w:rsidR="00252D74">
        <w:rPr>
          <w:rFonts w:ascii="Arial" w:hAnsi="Arial" w:cs="Arial"/>
        </w:rPr>
        <w:t xml:space="preserve">irms are price takers and accordingly there is no price competition </w:t>
      </w:r>
      <w:r>
        <w:rPr>
          <w:rFonts w:ascii="Arial" w:hAnsi="Arial" w:cs="Arial"/>
        </w:rPr>
        <w:tab/>
      </w:r>
      <w:r w:rsidR="00252D74">
        <w:rPr>
          <w:rFonts w:ascii="Arial" w:hAnsi="Arial" w:cs="Arial"/>
        </w:rPr>
        <w:t>between the firms in a perfectly competitive market.</w:t>
      </w:r>
      <w:r w:rsidR="0045298A">
        <w:rPr>
          <w:rStyle w:val="Funotenzeichen"/>
          <w:rFonts w:ascii="Arial" w:hAnsi="Arial" w:cs="Arial"/>
        </w:rPr>
        <w:footnoteReference w:id="786"/>
      </w:r>
    </w:p>
    <w:p w:rsidR="00252D74" w:rsidRDefault="00850079" w:rsidP="000838B0">
      <w:pPr>
        <w:contextualSpacing/>
        <w:jc w:val="both"/>
        <w:rPr>
          <w:rFonts w:ascii="Arial" w:hAnsi="Arial" w:cs="Arial"/>
        </w:rPr>
      </w:pPr>
      <w:r>
        <w:rPr>
          <w:rFonts w:ascii="Arial" w:hAnsi="Arial" w:cs="Arial"/>
        </w:rPr>
        <w:tab/>
      </w:r>
      <w:r w:rsidR="00252D74">
        <w:rPr>
          <w:rFonts w:ascii="Arial" w:hAnsi="Arial" w:cs="Arial"/>
        </w:rPr>
        <w:t>7. At the market price</w:t>
      </w:r>
      <w:r w:rsidR="0045298A">
        <w:rPr>
          <w:rFonts w:ascii="Arial" w:hAnsi="Arial" w:cs="Arial"/>
        </w:rPr>
        <w:t>,</w:t>
      </w:r>
      <w:r w:rsidR="00252D74">
        <w:rPr>
          <w:rFonts w:ascii="Arial" w:hAnsi="Arial" w:cs="Arial"/>
        </w:rPr>
        <w:t xml:space="preserve"> a firm can sell as </w:t>
      </w:r>
      <w:r w:rsidR="0045298A">
        <w:rPr>
          <w:rFonts w:ascii="Arial" w:hAnsi="Arial" w:cs="Arial"/>
        </w:rPr>
        <w:t>much output</w:t>
      </w:r>
      <w:r w:rsidR="00252D74">
        <w:rPr>
          <w:rFonts w:ascii="Arial" w:hAnsi="Arial" w:cs="Arial"/>
        </w:rPr>
        <w:t xml:space="preserve"> as it </w:t>
      </w:r>
      <w:r>
        <w:rPr>
          <w:rFonts w:ascii="Arial" w:hAnsi="Arial" w:cs="Arial"/>
        </w:rPr>
        <w:t>wishes</w:t>
      </w:r>
      <w:r w:rsidR="00601904">
        <w:rPr>
          <w:rFonts w:ascii="Arial" w:hAnsi="Arial" w:cs="Arial"/>
        </w:rPr>
        <w:t xml:space="preserve"> i.e. the </w:t>
      </w:r>
      <w:r w:rsidR="00601904">
        <w:rPr>
          <w:rFonts w:ascii="Arial" w:hAnsi="Arial" w:cs="Arial"/>
        </w:rPr>
        <w:tab/>
        <w:t>demand curve of an individual firm is perfectly elastic</w:t>
      </w:r>
      <w:r w:rsidR="00252D74">
        <w:rPr>
          <w:rFonts w:ascii="Arial" w:hAnsi="Arial" w:cs="Arial"/>
        </w:rPr>
        <w:t>.</w:t>
      </w:r>
      <w:r w:rsidR="0045298A">
        <w:rPr>
          <w:rStyle w:val="Funotenzeichen"/>
          <w:rFonts w:ascii="Arial" w:hAnsi="Arial" w:cs="Arial"/>
        </w:rPr>
        <w:footnoteReference w:id="787"/>
      </w:r>
    </w:p>
    <w:p w:rsidR="00BE7AF4" w:rsidRDefault="00BE7AF4" w:rsidP="000838B0">
      <w:pPr>
        <w:contextualSpacing/>
        <w:jc w:val="both"/>
        <w:rPr>
          <w:rFonts w:ascii="Arial" w:hAnsi="Arial" w:cs="Arial"/>
        </w:rPr>
      </w:pPr>
    </w:p>
    <w:p w:rsidR="0030258B" w:rsidRDefault="001B48FB" w:rsidP="000838B0">
      <w:pPr>
        <w:contextualSpacing/>
        <w:jc w:val="both"/>
        <w:rPr>
          <w:rFonts w:ascii="Arial" w:hAnsi="Arial" w:cs="Arial"/>
        </w:rPr>
      </w:pPr>
      <w:r>
        <w:rPr>
          <w:rFonts w:ascii="Arial" w:hAnsi="Arial" w:cs="Arial"/>
        </w:rPr>
        <w:t>As mentioned earlier</w:t>
      </w:r>
      <w:r w:rsidR="0030258B">
        <w:rPr>
          <w:rFonts w:ascii="Arial" w:hAnsi="Arial" w:cs="Arial"/>
        </w:rPr>
        <w:t>,</w:t>
      </w:r>
      <w:r>
        <w:rPr>
          <w:rFonts w:ascii="Arial" w:hAnsi="Arial" w:cs="Arial"/>
        </w:rPr>
        <w:t xml:space="preserve"> this is the most efficient model of the market system and accordingly the perfectly competitive model serves as a benchmark to </w:t>
      </w:r>
      <w:r w:rsidR="00BC05A1">
        <w:rPr>
          <w:rFonts w:ascii="Arial" w:hAnsi="Arial" w:cs="Arial"/>
        </w:rPr>
        <w:t>asses</w:t>
      </w:r>
      <w:r>
        <w:rPr>
          <w:rFonts w:ascii="Arial" w:hAnsi="Arial" w:cs="Arial"/>
        </w:rPr>
        <w:t xml:space="preserve"> all markets </w:t>
      </w:r>
      <w:r w:rsidR="00DF4363">
        <w:rPr>
          <w:rFonts w:ascii="Arial" w:hAnsi="Arial" w:cs="Arial"/>
        </w:rPr>
        <w:t>by</w:t>
      </w:r>
      <w:r>
        <w:rPr>
          <w:rFonts w:ascii="Arial" w:hAnsi="Arial" w:cs="Arial"/>
        </w:rPr>
        <w:t>.</w:t>
      </w:r>
      <w:r w:rsidR="0017068E">
        <w:rPr>
          <w:rStyle w:val="Funotenzeichen"/>
          <w:rFonts w:ascii="Arial" w:hAnsi="Arial" w:cs="Arial"/>
        </w:rPr>
        <w:footnoteReference w:id="788"/>
      </w:r>
      <w:r>
        <w:rPr>
          <w:rFonts w:ascii="Arial" w:hAnsi="Arial" w:cs="Arial"/>
        </w:rPr>
        <w:t xml:space="preserve"> Furthermore, in a perfectly competitive</w:t>
      </w:r>
      <w:r w:rsidR="00AE5DF2">
        <w:rPr>
          <w:rFonts w:ascii="Arial" w:hAnsi="Arial" w:cs="Arial"/>
        </w:rPr>
        <w:t xml:space="preserve"> </w:t>
      </w:r>
      <w:r w:rsidR="00CB6687">
        <w:rPr>
          <w:rFonts w:ascii="Arial" w:hAnsi="Arial" w:cs="Arial"/>
        </w:rPr>
        <w:t>market,</w:t>
      </w:r>
      <w:r w:rsidR="00AE5DF2">
        <w:rPr>
          <w:rFonts w:ascii="Arial" w:hAnsi="Arial" w:cs="Arial"/>
        </w:rPr>
        <w:t xml:space="preserve"> firms do not </w:t>
      </w:r>
      <w:r w:rsidR="00CB6687">
        <w:rPr>
          <w:rFonts w:ascii="Arial" w:hAnsi="Arial" w:cs="Arial"/>
        </w:rPr>
        <w:t>possess</w:t>
      </w:r>
      <w:r w:rsidR="00AE5DF2">
        <w:rPr>
          <w:rFonts w:ascii="Arial" w:hAnsi="Arial" w:cs="Arial"/>
        </w:rPr>
        <w:t xml:space="preserve"> unilateral nor collective market power as defined in the Competition Act.</w:t>
      </w:r>
      <w:r w:rsidR="00AE5DF2">
        <w:rPr>
          <w:rStyle w:val="Funotenzeichen"/>
          <w:rFonts w:ascii="Arial" w:hAnsi="Arial" w:cs="Arial"/>
        </w:rPr>
        <w:footnoteReference w:id="789"/>
      </w:r>
      <w:r w:rsidR="00AE5DF2">
        <w:rPr>
          <w:rFonts w:ascii="Arial" w:hAnsi="Arial" w:cs="Arial"/>
        </w:rPr>
        <w:t xml:space="preserve"> From the characteristics of the perfectly competitive market it is clear that no individual firm is in a position to “control prices, exclude competition and to behave to an appreciable extent independently of its competitors, customers or suppliers</w:t>
      </w:r>
      <w:r w:rsidR="00CB6687">
        <w:rPr>
          <w:rFonts w:ascii="Arial" w:hAnsi="Arial" w:cs="Arial"/>
        </w:rPr>
        <w:t>,</w:t>
      </w:r>
      <w:r w:rsidR="00AE5DF2">
        <w:rPr>
          <w:rFonts w:ascii="Arial" w:hAnsi="Arial" w:cs="Arial"/>
        </w:rPr>
        <w:t>”</w:t>
      </w:r>
      <w:r w:rsidR="00CB6687">
        <w:rPr>
          <w:rFonts w:ascii="Arial" w:hAnsi="Arial" w:cs="Arial"/>
        </w:rPr>
        <w:t xml:space="preserve"> i.e. no firm is in a position to abuse its unilateral market power.</w:t>
      </w:r>
      <w:r w:rsidR="00AE5DF2">
        <w:rPr>
          <w:rStyle w:val="Funotenzeichen"/>
          <w:rFonts w:ascii="Arial" w:hAnsi="Arial" w:cs="Arial"/>
        </w:rPr>
        <w:footnoteReference w:id="790"/>
      </w:r>
      <w:r w:rsidR="00CB6687">
        <w:rPr>
          <w:rFonts w:ascii="Arial" w:hAnsi="Arial" w:cs="Arial"/>
        </w:rPr>
        <w:t xml:space="preserve"> </w:t>
      </w:r>
    </w:p>
    <w:p w:rsidR="0030258B" w:rsidRDefault="0030258B" w:rsidP="000838B0">
      <w:pPr>
        <w:contextualSpacing/>
        <w:jc w:val="both"/>
        <w:rPr>
          <w:rFonts w:ascii="Arial" w:hAnsi="Arial" w:cs="Arial"/>
        </w:rPr>
      </w:pPr>
    </w:p>
    <w:p w:rsidR="007B1F87" w:rsidRDefault="00CB6687" w:rsidP="000838B0">
      <w:pPr>
        <w:contextualSpacing/>
        <w:jc w:val="both"/>
        <w:rPr>
          <w:rFonts w:ascii="Arial" w:hAnsi="Arial" w:cs="Arial"/>
        </w:rPr>
      </w:pPr>
      <w:r>
        <w:rPr>
          <w:rFonts w:ascii="Arial" w:hAnsi="Arial" w:cs="Arial"/>
        </w:rPr>
        <w:t xml:space="preserve">Additionally, because the perfectly competitive market consists of a large number of buyers and sellers, it is very difficult for firms in the market to coordinate their behaviour </w:t>
      </w:r>
      <w:r w:rsidR="006872F0">
        <w:rPr>
          <w:rFonts w:ascii="Arial" w:hAnsi="Arial" w:cs="Arial"/>
        </w:rPr>
        <w:t>to</w:t>
      </w:r>
      <w:r>
        <w:rPr>
          <w:rFonts w:ascii="Arial" w:hAnsi="Arial" w:cs="Arial"/>
        </w:rPr>
        <w:t xml:space="preserve"> obtain collective market power i.e.</w:t>
      </w:r>
      <w:r w:rsidR="00DF4363">
        <w:rPr>
          <w:rFonts w:ascii="Arial" w:hAnsi="Arial" w:cs="Arial"/>
        </w:rPr>
        <w:t xml:space="preserve"> in a perfectly competitive market,</w:t>
      </w:r>
      <w:r>
        <w:rPr>
          <w:rFonts w:ascii="Arial" w:hAnsi="Arial" w:cs="Arial"/>
        </w:rPr>
        <w:t xml:space="preserve"> firms do not possess collective market power.</w:t>
      </w:r>
      <w:r>
        <w:rPr>
          <w:rStyle w:val="Funotenzeichen"/>
          <w:rFonts w:ascii="Arial" w:hAnsi="Arial" w:cs="Arial"/>
        </w:rPr>
        <w:footnoteReference w:id="791"/>
      </w:r>
      <w:r>
        <w:rPr>
          <w:rFonts w:ascii="Arial" w:hAnsi="Arial" w:cs="Arial"/>
        </w:rPr>
        <w:t xml:space="preserve"> </w:t>
      </w:r>
      <w:r w:rsidR="00AC4153">
        <w:rPr>
          <w:rFonts w:ascii="Arial" w:hAnsi="Arial" w:cs="Arial"/>
        </w:rPr>
        <w:t>Accordingly, the perfectly competitive market has the greatest degree of competition and as a result, the competition authorities rarely regulate it.</w:t>
      </w:r>
      <w:r w:rsidR="00AC4153">
        <w:rPr>
          <w:rStyle w:val="Funotenzeichen"/>
          <w:rFonts w:ascii="Arial" w:hAnsi="Arial" w:cs="Arial"/>
        </w:rPr>
        <w:footnoteReference w:id="792"/>
      </w:r>
    </w:p>
    <w:p w:rsidR="00BE7AF4" w:rsidRDefault="00BE7AF4" w:rsidP="000838B0">
      <w:pPr>
        <w:contextualSpacing/>
        <w:jc w:val="both"/>
        <w:rPr>
          <w:rFonts w:ascii="Arial" w:hAnsi="Arial" w:cs="Arial"/>
        </w:rPr>
      </w:pPr>
    </w:p>
    <w:p w:rsidR="00AE5DF2" w:rsidRDefault="00BC05A1" w:rsidP="000838B0">
      <w:pPr>
        <w:contextualSpacing/>
        <w:jc w:val="both"/>
        <w:rPr>
          <w:rFonts w:ascii="Arial" w:hAnsi="Arial" w:cs="Arial"/>
        </w:rPr>
      </w:pPr>
      <w:r w:rsidRPr="00140702">
        <w:rPr>
          <w:rFonts w:ascii="Arial" w:hAnsi="Arial" w:cs="Arial"/>
        </w:rPr>
        <w:t>In real life</w:t>
      </w:r>
      <w:r>
        <w:rPr>
          <w:rFonts w:ascii="Arial" w:hAnsi="Arial" w:cs="Arial"/>
        </w:rPr>
        <w:t xml:space="preserve"> however</w:t>
      </w:r>
      <w:r w:rsidRPr="00140702">
        <w:rPr>
          <w:rFonts w:ascii="Arial" w:hAnsi="Arial" w:cs="Arial"/>
        </w:rPr>
        <w:t>, no market actually achieves the position of being perfectly competitive.</w:t>
      </w:r>
      <w:r w:rsidRPr="00140702">
        <w:rPr>
          <w:rStyle w:val="Funotenzeichen"/>
          <w:rFonts w:ascii="Arial" w:hAnsi="Arial" w:cs="Arial"/>
        </w:rPr>
        <w:footnoteReference w:id="793"/>
      </w:r>
      <w:r w:rsidRPr="00140702">
        <w:rPr>
          <w:rFonts w:ascii="Arial" w:hAnsi="Arial" w:cs="Arial"/>
        </w:rPr>
        <w:t xml:space="preserve"> </w:t>
      </w:r>
      <w:r>
        <w:rPr>
          <w:rFonts w:ascii="Arial" w:hAnsi="Arial" w:cs="Arial"/>
        </w:rPr>
        <w:t>Nonetheless, t</w:t>
      </w:r>
      <w:r w:rsidRPr="00140702">
        <w:rPr>
          <w:rFonts w:ascii="Arial" w:hAnsi="Arial" w:cs="Arial"/>
        </w:rPr>
        <w:t xml:space="preserve">he perfectly competitive </w:t>
      </w:r>
      <w:r>
        <w:rPr>
          <w:rFonts w:ascii="Arial" w:hAnsi="Arial" w:cs="Arial"/>
        </w:rPr>
        <w:t>model</w:t>
      </w:r>
      <w:r w:rsidRPr="00140702">
        <w:rPr>
          <w:rFonts w:ascii="Arial" w:hAnsi="Arial" w:cs="Arial"/>
        </w:rPr>
        <w:t xml:space="preserve"> provide</w:t>
      </w:r>
      <w:r>
        <w:rPr>
          <w:rFonts w:ascii="Arial" w:hAnsi="Arial" w:cs="Arial"/>
        </w:rPr>
        <w:t>s</w:t>
      </w:r>
      <w:r w:rsidRPr="00140702">
        <w:rPr>
          <w:rFonts w:ascii="Arial" w:hAnsi="Arial" w:cs="Arial"/>
        </w:rPr>
        <w:t xml:space="preserve"> a very useful benchmark to</w:t>
      </w:r>
      <w:r w:rsidR="009B37FE">
        <w:rPr>
          <w:rFonts w:ascii="Arial" w:hAnsi="Arial" w:cs="Arial"/>
        </w:rPr>
        <w:t xml:space="preserve"> asses all markets by</w:t>
      </w:r>
      <w:r w:rsidRPr="00140702">
        <w:rPr>
          <w:rFonts w:ascii="Arial" w:hAnsi="Arial" w:cs="Arial"/>
        </w:rPr>
        <w:t>.</w:t>
      </w:r>
      <w:r w:rsidRPr="00140702">
        <w:rPr>
          <w:rStyle w:val="Funotenzeichen"/>
          <w:rFonts w:ascii="Arial" w:hAnsi="Arial" w:cs="Arial"/>
        </w:rPr>
        <w:footnoteReference w:id="794"/>
      </w:r>
    </w:p>
    <w:p w:rsidR="002915DE" w:rsidRDefault="002915DE" w:rsidP="000838B0">
      <w:pPr>
        <w:contextualSpacing/>
        <w:jc w:val="both"/>
        <w:rPr>
          <w:rFonts w:ascii="Arial" w:hAnsi="Arial" w:cs="Arial"/>
        </w:rPr>
      </w:pPr>
    </w:p>
    <w:p w:rsidR="007B1F87" w:rsidRPr="00956E38" w:rsidRDefault="00956E38" w:rsidP="000838B0">
      <w:pPr>
        <w:contextualSpacing/>
        <w:jc w:val="both"/>
        <w:rPr>
          <w:rFonts w:ascii="Arial" w:hAnsi="Arial" w:cs="Arial"/>
          <w:u w:val="single"/>
        </w:rPr>
      </w:pPr>
      <w:r w:rsidRPr="00956E38">
        <w:rPr>
          <w:rFonts w:ascii="Arial" w:hAnsi="Arial" w:cs="Arial"/>
          <w:u w:val="single"/>
        </w:rPr>
        <w:t>Monopoly model</w:t>
      </w:r>
    </w:p>
    <w:p w:rsidR="00956E38" w:rsidRDefault="00BE687F" w:rsidP="000838B0">
      <w:pPr>
        <w:contextualSpacing/>
        <w:jc w:val="both"/>
        <w:rPr>
          <w:rFonts w:ascii="Arial" w:hAnsi="Arial" w:cs="Arial"/>
        </w:rPr>
      </w:pPr>
      <w:r>
        <w:rPr>
          <w:rFonts w:ascii="Arial" w:hAnsi="Arial" w:cs="Arial"/>
        </w:rPr>
        <w:t>The monopoly model has the following characteristics:</w:t>
      </w:r>
    </w:p>
    <w:p w:rsidR="00BE687F" w:rsidRDefault="00BE687F" w:rsidP="000838B0">
      <w:pPr>
        <w:contextualSpacing/>
        <w:jc w:val="both"/>
        <w:rPr>
          <w:rFonts w:ascii="Arial" w:hAnsi="Arial" w:cs="Arial"/>
        </w:rPr>
      </w:pPr>
      <w:r>
        <w:rPr>
          <w:rFonts w:ascii="Arial" w:hAnsi="Arial" w:cs="Arial"/>
        </w:rPr>
        <w:t>1. There is only one seller of the product.</w:t>
      </w:r>
      <w:r w:rsidR="00A92097">
        <w:rPr>
          <w:rStyle w:val="Funotenzeichen"/>
          <w:rFonts w:ascii="Arial" w:hAnsi="Arial" w:cs="Arial"/>
        </w:rPr>
        <w:footnoteReference w:id="795"/>
      </w:r>
    </w:p>
    <w:p w:rsidR="00BE687F" w:rsidRDefault="00BE687F" w:rsidP="000838B0">
      <w:pPr>
        <w:contextualSpacing/>
        <w:jc w:val="both"/>
        <w:rPr>
          <w:rFonts w:ascii="Arial" w:hAnsi="Arial" w:cs="Arial"/>
        </w:rPr>
      </w:pPr>
      <w:r>
        <w:rPr>
          <w:rFonts w:ascii="Arial" w:hAnsi="Arial" w:cs="Arial"/>
        </w:rPr>
        <w:t>2. There are a large number of buyers.</w:t>
      </w:r>
      <w:r w:rsidR="005D4787">
        <w:rPr>
          <w:rStyle w:val="Funotenzeichen"/>
          <w:rFonts w:ascii="Arial" w:hAnsi="Arial" w:cs="Arial"/>
        </w:rPr>
        <w:footnoteReference w:id="796"/>
      </w:r>
    </w:p>
    <w:p w:rsidR="00BE687F" w:rsidRDefault="00BE687F" w:rsidP="000838B0">
      <w:pPr>
        <w:contextualSpacing/>
        <w:jc w:val="both"/>
        <w:rPr>
          <w:rFonts w:ascii="Arial" w:hAnsi="Arial" w:cs="Arial"/>
        </w:rPr>
      </w:pPr>
      <w:r>
        <w:rPr>
          <w:rFonts w:ascii="Arial" w:hAnsi="Arial" w:cs="Arial"/>
        </w:rPr>
        <w:t>3. The product of the monopolist is unique and there are no close substitutes for it.</w:t>
      </w:r>
      <w:r w:rsidR="005D4787">
        <w:rPr>
          <w:rStyle w:val="Funotenzeichen"/>
          <w:rFonts w:ascii="Arial" w:hAnsi="Arial" w:cs="Arial"/>
        </w:rPr>
        <w:footnoteReference w:id="797"/>
      </w:r>
    </w:p>
    <w:p w:rsidR="00BE687F" w:rsidRDefault="00BE687F" w:rsidP="000838B0">
      <w:pPr>
        <w:contextualSpacing/>
        <w:jc w:val="both"/>
        <w:rPr>
          <w:rFonts w:ascii="Arial" w:hAnsi="Arial" w:cs="Arial"/>
        </w:rPr>
      </w:pPr>
      <w:r>
        <w:rPr>
          <w:rFonts w:ascii="Arial" w:hAnsi="Arial" w:cs="Arial"/>
        </w:rPr>
        <w:t>4. Very large barriers to entry.</w:t>
      </w:r>
      <w:r w:rsidR="005D4787">
        <w:rPr>
          <w:rStyle w:val="Funotenzeichen"/>
          <w:rFonts w:ascii="Arial" w:hAnsi="Arial" w:cs="Arial"/>
        </w:rPr>
        <w:footnoteReference w:id="798"/>
      </w:r>
    </w:p>
    <w:p w:rsidR="00BE687F" w:rsidRDefault="00BE687F" w:rsidP="000838B0">
      <w:pPr>
        <w:contextualSpacing/>
        <w:jc w:val="both"/>
        <w:rPr>
          <w:rFonts w:ascii="Arial" w:hAnsi="Arial" w:cs="Arial"/>
        </w:rPr>
      </w:pPr>
    </w:p>
    <w:p w:rsidR="00D3319C" w:rsidRDefault="00FF60CC" w:rsidP="000838B0">
      <w:pPr>
        <w:contextualSpacing/>
        <w:jc w:val="both"/>
        <w:rPr>
          <w:rFonts w:ascii="Arial" w:hAnsi="Arial" w:cs="Arial"/>
        </w:rPr>
      </w:pPr>
      <w:r>
        <w:rPr>
          <w:rFonts w:ascii="Arial" w:hAnsi="Arial" w:cs="Arial"/>
        </w:rPr>
        <w:t xml:space="preserve">The monopoly model is </w:t>
      </w:r>
      <w:r w:rsidR="00566908">
        <w:rPr>
          <w:rFonts w:ascii="Arial" w:hAnsi="Arial" w:cs="Arial"/>
        </w:rPr>
        <w:t xml:space="preserve">positioned in </w:t>
      </w:r>
      <w:r w:rsidR="00566908" w:rsidRPr="00566908">
        <w:rPr>
          <w:rFonts w:ascii="Arial" w:hAnsi="Arial" w:cs="Arial"/>
        </w:rPr>
        <w:t>contrast</w:t>
      </w:r>
      <w:r w:rsidR="00566908">
        <w:rPr>
          <w:rFonts w:ascii="Arial" w:hAnsi="Arial" w:cs="Arial"/>
        </w:rPr>
        <w:t xml:space="preserve"> to </w:t>
      </w:r>
      <w:r>
        <w:rPr>
          <w:rFonts w:ascii="Arial" w:hAnsi="Arial" w:cs="Arial"/>
        </w:rPr>
        <w:t>the perfectly competitive market.</w:t>
      </w:r>
      <w:r w:rsidR="00701A2A">
        <w:rPr>
          <w:rStyle w:val="Funotenzeichen"/>
          <w:rFonts w:ascii="Arial" w:hAnsi="Arial" w:cs="Arial"/>
        </w:rPr>
        <w:footnoteReference w:id="799"/>
      </w:r>
      <w:r>
        <w:rPr>
          <w:rFonts w:ascii="Arial" w:hAnsi="Arial" w:cs="Arial"/>
        </w:rPr>
        <w:t xml:space="preserve"> </w:t>
      </w:r>
      <w:r w:rsidR="00566908">
        <w:rPr>
          <w:rFonts w:ascii="Arial" w:hAnsi="Arial" w:cs="Arial"/>
        </w:rPr>
        <w:t>Furthermore, because that</w:t>
      </w:r>
      <w:r>
        <w:rPr>
          <w:rFonts w:ascii="Arial" w:hAnsi="Arial" w:cs="Arial"/>
        </w:rPr>
        <w:t xml:space="preserve"> the monopolist is the only supplier in the market, it is in control of the </w:t>
      </w:r>
      <w:r w:rsidR="008B3BE6">
        <w:rPr>
          <w:rFonts w:ascii="Arial" w:hAnsi="Arial" w:cs="Arial"/>
        </w:rPr>
        <w:t xml:space="preserve">total </w:t>
      </w:r>
      <w:r>
        <w:rPr>
          <w:rFonts w:ascii="Arial" w:hAnsi="Arial" w:cs="Arial"/>
        </w:rPr>
        <w:t>output of th</w:t>
      </w:r>
      <w:r w:rsidR="008B3BE6">
        <w:rPr>
          <w:rFonts w:ascii="Arial" w:hAnsi="Arial" w:cs="Arial"/>
        </w:rPr>
        <w:t>at</w:t>
      </w:r>
      <w:r>
        <w:rPr>
          <w:rFonts w:ascii="Arial" w:hAnsi="Arial" w:cs="Arial"/>
        </w:rPr>
        <w:t xml:space="preserve"> market.</w:t>
      </w:r>
      <w:r w:rsidR="004E07A2">
        <w:rPr>
          <w:rStyle w:val="Funotenzeichen"/>
          <w:rFonts w:ascii="Arial" w:hAnsi="Arial" w:cs="Arial"/>
        </w:rPr>
        <w:footnoteReference w:id="800"/>
      </w:r>
      <w:r>
        <w:rPr>
          <w:rFonts w:ascii="Arial" w:hAnsi="Arial" w:cs="Arial"/>
        </w:rPr>
        <w:t xml:space="preserve"> Accordingly, the monopolist has a great degree of control over the price of the product.</w:t>
      </w:r>
      <w:r w:rsidR="00524835">
        <w:rPr>
          <w:rStyle w:val="Funotenzeichen"/>
          <w:rFonts w:ascii="Arial" w:hAnsi="Arial" w:cs="Arial"/>
        </w:rPr>
        <w:footnoteReference w:id="801"/>
      </w:r>
      <w:r w:rsidR="00F82660">
        <w:rPr>
          <w:rFonts w:ascii="Arial" w:hAnsi="Arial" w:cs="Arial"/>
        </w:rPr>
        <w:t xml:space="preserve"> </w:t>
      </w:r>
      <w:r w:rsidR="00F82660" w:rsidRPr="00566908">
        <w:rPr>
          <w:rFonts w:ascii="Arial" w:hAnsi="Arial" w:cs="Arial"/>
        </w:rPr>
        <w:t>As</w:t>
      </w:r>
      <w:r w:rsidR="00F82660">
        <w:rPr>
          <w:rFonts w:ascii="Arial" w:hAnsi="Arial" w:cs="Arial"/>
        </w:rPr>
        <w:t xml:space="preserve"> a result</w:t>
      </w:r>
      <w:r w:rsidR="00566908">
        <w:rPr>
          <w:rFonts w:ascii="Arial" w:hAnsi="Arial" w:cs="Arial"/>
        </w:rPr>
        <w:t>,</w:t>
      </w:r>
      <w:r w:rsidR="00F82660">
        <w:rPr>
          <w:rFonts w:ascii="Arial" w:hAnsi="Arial" w:cs="Arial"/>
        </w:rPr>
        <w:t xml:space="preserve"> the monopolist will charge a price higher than that of the equilibrium price namely where price is equal to the monopolist’s marginal cost.</w:t>
      </w:r>
      <w:r w:rsidR="00524835">
        <w:rPr>
          <w:rStyle w:val="Funotenzeichen"/>
          <w:rFonts w:ascii="Arial" w:hAnsi="Arial" w:cs="Arial"/>
        </w:rPr>
        <w:footnoteReference w:id="802"/>
      </w:r>
      <w:r w:rsidR="00F82660">
        <w:rPr>
          <w:rFonts w:ascii="Arial" w:hAnsi="Arial" w:cs="Arial"/>
        </w:rPr>
        <w:t xml:space="preserve"> </w:t>
      </w:r>
    </w:p>
    <w:p w:rsidR="00D3319C" w:rsidRDefault="00D3319C" w:rsidP="000838B0">
      <w:pPr>
        <w:contextualSpacing/>
        <w:jc w:val="both"/>
        <w:rPr>
          <w:rFonts w:ascii="Arial" w:hAnsi="Arial" w:cs="Arial"/>
        </w:rPr>
      </w:pPr>
    </w:p>
    <w:p w:rsidR="00566908" w:rsidRDefault="00D3319C" w:rsidP="000838B0">
      <w:pPr>
        <w:contextualSpacing/>
        <w:jc w:val="both"/>
        <w:rPr>
          <w:rFonts w:ascii="Arial" w:hAnsi="Arial" w:cs="Arial"/>
        </w:rPr>
      </w:pPr>
      <w:r>
        <w:rPr>
          <w:rFonts w:ascii="Arial" w:hAnsi="Arial" w:cs="Arial"/>
        </w:rPr>
        <w:t>Additionally,</w:t>
      </w:r>
      <w:r w:rsidR="00566908">
        <w:rPr>
          <w:rFonts w:ascii="Arial" w:hAnsi="Arial" w:cs="Arial"/>
        </w:rPr>
        <w:t xml:space="preserve"> the monopoly model is associated with</w:t>
      </w:r>
      <w:r>
        <w:rPr>
          <w:rFonts w:ascii="Arial" w:hAnsi="Arial" w:cs="Arial"/>
        </w:rPr>
        <w:t xml:space="preserve"> certain </w:t>
      </w:r>
      <w:r w:rsidR="00566908">
        <w:rPr>
          <w:rFonts w:ascii="Arial" w:hAnsi="Arial" w:cs="Arial"/>
        </w:rPr>
        <w:t>efficiency and welfare losses</w:t>
      </w:r>
      <w:r>
        <w:rPr>
          <w:rFonts w:ascii="Arial" w:hAnsi="Arial" w:cs="Arial"/>
        </w:rPr>
        <w:t xml:space="preserve"> for society.</w:t>
      </w:r>
      <w:r w:rsidR="00524835">
        <w:rPr>
          <w:rStyle w:val="Funotenzeichen"/>
          <w:rFonts w:ascii="Arial" w:hAnsi="Arial" w:cs="Arial"/>
        </w:rPr>
        <w:footnoteReference w:id="803"/>
      </w:r>
      <w:r>
        <w:rPr>
          <w:rFonts w:ascii="Arial" w:hAnsi="Arial" w:cs="Arial"/>
        </w:rPr>
        <w:t xml:space="preserve"> These losses are caused by the lack of competition in the monopoly </w:t>
      </w:r>
      <w:r w:rsidR="00FC7B28">
        <w:rPr>
          <w:rFonts w:ascii="Arial" w:hAnsi="Arial" w:cs="Arial"/>
        </w:rPr>
        <w:t>market, which</w:t>
      </w:r>
      <w:r>
        <w:rPr>
          <w:rFonts w:ascii="Arial" w:hAnsi="Arial" w:cs="Arial"/>
        </w:rPr>
        <w:t xml:space="preserve"> in turn makes it possible for the monopolist to decrease output </w:t>
      </w:r>
      <w:r w:rsidR="00FC7B28">
        <w:rPr>
          <w:rFonts w:ascii="Arial" w:hAnsi="Arial" w:cs="Arial"/>
        </w:rPr>
        <w:t>so as to</w:t>
      </w:r>
      <w:r>
        <w:rPr>
          <w:rFonts w:ascii="Arial" w:hAnsi="Arial" w:cs="Arial"/>
        </w:rPr>
        <w:t xml:space="preserve"> increase prices.</w:t>
      </w:r>
      <w:r w:rsidR="00524835">
        <w:rPr>
          <w:rStyle w:val="Funotenzeichen"/>
          <w:rFonts w:ascii="Arial" w:hAnsi="Arial" w:cs="Arial"/>
        </w:rPr>
        <w:footnoteReference w:id="804"/>
      </w:r>
      <w:r>
        <w:rPr>
          <w:rFonts w:ascii="Arial" w:hAnsi="Arial" w:cs="Arial"/>
        </w:rPr>
        <w:t xml:space="preserve"> Furthermore, the lack of </w:t>
      </w:r>
      <w:r w:rsidR="00FC7B28">
        <w:rPr>
          <w:rFonts w:ascii="Arial" w:hAnsi="Arial" w:cs="Arial"/>
        </w:rPr>
        <w:t>comp</w:t>
      </w:r>
      <w:r>
        <w:rPr>
          <w:rFonts w:ascii="Arial" w:hAnsi="Arial" w:cs="Arial"/>
        </w:rPr>
        <w:t>et</w:t>
      </w:r>
      <w:r w:rsidR="00FC7B28">
        <w:rPr>
          <w:rFonts w:ascii="Arial" w:hAnsi="Arial" w:cs="Arial"/>
        </w:rPr>
        <w:t>it</w:t>
      </w:r>
      <w:r>
        <w:rPr>
          <w:rFonts w:ascii="Arial" w:hAnsi="Arial" w:cs="Arial"/>
        </w:rPr>
        <w:t>ion also makes it possible for the monopolist to survive in the market despite of being inefficient and asking higher prices.</w:t>
      </w:r>
      <w:r w:rsidR="00075DB1">
        <w:rPr>
          <w:rStyle w:val="Funotenzeichen"/>
          <w:rFonts w:ascii="Arial" w:hAnsi="Arial" w:cs="Arial"/>
        </w:rPr>
        <w:footnoteReference w:id="805"/>
      </w:r>
      <w:r>
        <w:rPr>
          <w:rFonts w:ascii="Arial" w:hAnsi="Arial" w:cs="Arial"/>
        </w:rPr>
        <w:t xml:space="preserve"> </w:t>
      </w:r>
      <w:r w:rsidR="00FC7B28">
        <w:rPr>
          <w:rFonts w:ascii="Arial" w:hAnsi="Arial" w:cs="Arial"/>
        </w:rPr>
        <w:t>The monopolist is also in a position to contribute to the barriers of entry into the monopoly market, thereby strengthen the monopolist’s grip on the market.</w:t>
      </w:r>
      <w:r w:rsidR="000A67A9">
        <w:rPr>
          <w:rStyle w:val="Funotenzeichen"/>
          <w:rFonts w:ascii="Arial" w:hAnsi="Arial" w:cs="Arial"/>
        </w:rPr>
        <w:footnoteReference w:id="806"/>
      </w:r>
      <w:r w:rsidR="00FC7B28">
        <w:rPr>
          <w:rFonts w:ascii="Arial" w:hAnsi="Arial" w:cs="Arial"/>
        </w:rPr>
        <w:t xml:space="preserve"> </w:t>
      </w:r>
    </w:p>
    <w:p w:rsidR="00FC7B28" w:rsidRDefault="00FC7B28" w:rsidP="000838B0">
      <w:pPr>
        <w:contextualSpacing/>
        <w:jc w:val="both"/>
        <w:rPr>
          <w:rFonts w:ascii="Arial" w:hAnsi="Arial" w:cs="Arial"/>
        </w:rPr>
      </w:pPr>
    </w:p>
    <w:p w:rsidR="00FC7B28" w:rsidRDefault="00FC7B28" w:rsidP="000838B0">
      <w:pPr>
        <w:contextualSpacing/>
        <w:jc w:val="both"/>
        <w:rPr>
          <w:rFonts w:ascii="Arial" w:hAnsi="Arial" w:cs="Arial"/>
        </w:rPr>
      </w:pPr>
      <w:r>
        <w:rPr>
          <w:rFonts w:ascii="Arial" w:hAnsi="Arial" w:cs="Arial"/>
        </w:rPr>
        <w:t>From the preceding paragraphs it is clear that the monopolist is in a position to “control prices, exclude competition and to behave to an appreciable extent independently of its competitors, customers or suppliers</w:t>
      </w:r>
      <w:r w:rsidR="0027657C">
        <w:rPr>
          <w:rFonts w:ascii="Arial" w:hAnsi="Arial" w:cs="Arial"/>
        </w:rPr>
        <w:t>.”</w:t>
      </w:r>
      <w:r w:rsidR="000A67A9">
        <w:rPr>
          <w:rStyle w:val="Funotenzeichen"/>
          <w:rFonts w:ascii="Arial" w:hAnsi="Arial" w:cs="Arial"/>
        </w:rPr>
        <w:footnoteReference w:id="807"/>
      </w:r>
      <w:r w:rsidR="0027657C">
        <w:rPr>
          <w:rFonts w:ascii="Arial" w:hAnsi="Arial" w:cs="Arial"/>
        </w:rPr>
        <w:t xml:space="preserve"> Accordingly, the monopolist has the greatest degree of market power </w:t>
      </w:r>
      <w:r w:rsidR="00DA4C57">
        <w:rPr>
          <w:rFonts w:ascii="Arial" w:hAnsi="Arial" w:cs="Arial"/>
        </w:rPr>
        <w:t>and consequently the monopolist has a Lerner Index value of one.</w:t>
      </w:r>
      <w:r w:rsidR="00DA4C57">
        <w:rPr>
          <w:rStyle w:val="Funotenzeichen"/>
          <w:rFonts w:ascii="Arial" w:hAnsi="Arial" w:cs="Arial"/>
        </w:rPr>
        <w:footnoteReference w:id="808"/>
      </w:r>
      <w:r w:rsidR="00DA4C57">
        <w:rPr>
          <w:rFonts w:ascii="Arial" w:hAnsi="Arial" w:cs="Arial"/>
        </w:rPr>
        <w:t xml:space="preserve"> </w:t>
      </w:r>
      <w:r w:rsidR="002536C8">
        <w:rPr>
          <w:rFonts w:ascii="Arial" w:hAnsi="Arial" w:cs="Arial"/>
        </w:rPr>
        <w:t>Furthermore, the monopoly market has the lowest degree of competition and as a result, the competition authorities vigorously regulate it.</w:t>
      </w:r>
      <w:r w:rsidR="001515C2">
        <w:rPr>
          <w:rStyle w:val="Funotenzeichen"/>
          <w:rFonts w:ascii="Arial" w:hAnsi="Arial" w:cs="Arial"/>
        </w:rPr>
        <w:footnoteReference w:id="809"/>
      </w:r>
      <w:r w:rsidR="002536C8">
        <w:rPr>
          <w:rFonts w:ascii="Arial" w:hAnsi="Arial" w:cs="Arial"/>
        </w:rPr>
        <w:t xml:space="preserve"> </w:t>
      </w:r>
      <w:r w:rsidR="00DA4C57">
        <w:rPr>
          <w:rFonts w:ascii="Arial" w:hAnsi="Arial" w:cs="Arial"/>
        </w:rPr>
        <w:t>Lastly, the monopoly market is contrasted with the perfectly competitive market and accordingly competition regulation functions between these two extremes.</w:t>
      </w:r>
      <w:r w:rsidR="00C107B9">
        <w:rPr>
          <w:rStyle w:val="Funotenzeichen"/>
          <w:rFonts w:ascii="Arial" w:hAnsi="Arial" w:cs="Arial"/>
        </w:rPr>
        <w:footnoteReference w:id="810"/>
      </w:r>
      <w:r w:rsidR="002536C8">
        <w:rPr>
          <w:rFonts w:ascii="Arial" w:hAnsi="Arial" w:cs="Arial"/>
        </w:rPr>
        <w:t xml:space="preserve"> </w:t>
      </w:r>
    </w:p>
    <w:p w:rsidR="00D3319C" w:rsidRDefault="00D3319C" w:rsidP="000838B0">
      <w:pPr>
        <w:contextualSpacing/>
        <w:jc w:val="both"/>
        <w:rPr>
          <w:rFonts w:ascii="Arial" w:hAnsi="Arial" w:cs="Arial"/>
        </w:rPr>
      </w:pPr>
    </w:p>
    <w:p w:rsidR="006B2AB1" w:rsidRDefault="006872F0" w:rsidP="000838B0">
      <w:pPr>
        <w:contextualSpacing/>
        <w:jc w:val="both"/>
        <w:rPr>
          <w:rFonts w:ascii="Arial" w:hAnsi="Arial" w:cs="Arial"/>
        </w:rPr>
      </w:pPr>
      <w:r>
        <w:rPr>
          <w:rFonts w:ascii="Arial" w:hAnsi="Arial" w:cs="Arial"/>
        </w:rPr>
        <w:t xml:space="preserve">As mentioned earlier, markets have various </w:t>
      </w:r>
      <w:r w:rsidR="00407F94">
        <w:rPr>
          <w:rFonts w:ascii="Arial" w:hAnsi="Arial" w:cs="Arial"/>
        </w:rPr>
        <w:t>characteristics that</w:t>
      </w:r>
      <w:r>
        <w:rPr>
          <w:rFonts w:ascii="Arial" w:hAnsi="Arial" w:cs="Arial"/>
        </w:rPr>
        <w:t xml:space="preserve"> </w:t>
      </w:r>
      <w:r w:rsidR="00407F94">
        <w:rPr>
          <w:rFonts w:ascii="Arial" w:hAnsi="Arial" w:cs="Arial"/>
        </w:rPr>
        <w:t>are</w:t>
      </w:r>
      <w:r>
        <w:rPr>
          <w:rFonts w:ascii="Arial" w:hAnsi="Arial" w:cs="Arial"/>
        </w:rPr>
        <w:t xml:space="preserve"> used to classify </w:t>
      </w:r>
      <w:r w:rsidR="004A6E32">
        <w:rPr>
          <w:rFonts w:ascii="Arial" w:hAnsi="Arial" w:cs="Arial"/>
        </w:rPr>
        <w:t xml:space="preserve">the structure of </w:t>
      </w:r>
      <w:r w:rsidR="003E27F0">
        <w:rPr>
          <w:rFonts w:ascii="Arial" w:hAnsi="Arial" w:cs="Arial"/>
        </w:rPr>
        <w:t>a</w:t>
      </w:r>
      <w:r w:rsidR="004A6E32">
        <w:rPr>
          <w:rFonts w:ascii="Arial" w:hAnsi="Arial" w:cs="Arial"/>
        </w:rPr>
        <w:t xml:space="preserve"> </w:t>
      </w:r>
      <w:r>
        <w:rPr>
          <w:rFonts w:ascii="Arial" w:hAnsi="Arial" w:cs="Arial"/>
        </w:rPr>
        <w:t>market</w:t>
      </w:r>
      <w:r w:rsidR="004A6E32">
        <w:rPr>
          <w:rFonts w:ascii="Arial" w:hAnsi="Arial" w:cs="Arial"/>
        </w:rPr>
        <w:t xml:space="preserve">. </w:t>
      </w:r>
      <w:r w:rsidR="006B2AB1">
        <w:rPr>
          <w:rFonts w:ascii="Arial" w:hAnsi="Arial" w:cs="Arial"/>
        </w:rPr>
        <w:t xml:space="preserve">All these characteristics are important do assess the degree of market power. However, this paper will only discuss two characteristics namely concentration and barriers to entry. </w:t>
      </w:r>
    </w:p>
    <w:p w:rsidR="006B2AB1" w:rsidRDefault="006B2AB1" w:rsidP="000838B0">
      <w:pPr>
        <w:contextualSpacing/>
        <w:jc w:val="both"/>
        <w:rPr>
          <w:rFonts w:ascii="Arial" w:hAnsi="Arial" w:cs="Arial"/>
        </w:rPr>
      </w:pPr>
    </w:p>
    <w:p w:rsidR="00F82660" w:rsidRDefault="00710E7D" w:rsidP="000838B0">
      <w:pPr>
        <w:contextualSpacing/>
        <w:jc w:val="both"/>
        <w:rPr>
          <w:rFonts w:ascii="Arial" w:hAnsi="Arial" w:cs="Arial"/>
        </w:rPr>
      </w:pPr>
      <w:r w:rsidRPr="00710E7D">
        <w:rPr>
          <w:rFonts w:ascii="Arial" w:hAnsi="Arial" w:cs="Arial"/>
          <w:u w:val="single"/>
        </w:rPr>
        <w:t>Note:</w:t>
      </w:r>
      <w:r w:rsidR="006B2AB1">
        <w:rPr>
          <w:rFonts w:ascii="Arial" w:hAnsi="Arial" w:cs="Arial"/>
        </w:rPr>
        <w:t xml:space="preserve"> </w:t>
      </w:r>
      <w:r w:rsidR="00B97934">
        <w:rPr>
          <w:rFonts w:ascii="Arial" w:hAnsi="Arial" w:cs="Arial"/>
        </w:rPr>
        <w:t>M</w:t>
      </w:r>
      <w:r w:rsidR="006B2AB1">
        <w:rPr>
          <w:rFonts w:ascii="Arial" w:hAnsi="Arial" w:cs="Arial"/>
        </w:rPr>
        <w:t>arket characteristics are used to classify the structure of a market.</w:t>
      </w:r>
      <w:r w:rsidR="002C6343">
        <w:rPr>
          <w:rStyle w:val="Funotenzeichen"/>
          <w:rFonts w:ascii="Arial" w:hAnsi="Arial" w:cs="Arial"/>
        </w:rPr>
        <w:footnoteReference w:id="811"/>
      </w:r>
      <w:r w:rsidR="006B2AB1">
        <w:rPr>
          <w:rFonts w:ascii="Arial" w:hAnsi="Arial" w:cs="Arial"/>
        </w:rPr>
        <w:t xml:space="preserve"> </w:t>
      </w:r>
      <w:r w:rsidR="004A6E32">
        <w:rPr>
          <w:rFonts w:ascii="Arial" w:hAnsi="Arial" w:cs="Arial"/>
        </w:rPr>
        <w:t>The market structure in turn</w:t>
      </w:r>
      <w:r w:rsidR="006B2AB1">
        <w:rPr>
          <w:rFonts w:ascii="Arial" w:hAnsi="Arial" w:cs="Arial"/>
        </w:rPr>
        <w:t>,</w:t>
      </w:r>
      <w:r w:rsidR="004A6E32">
        <w:rPr>
          <w:rFonts w:ascii="Arial" w:hAnsi="Arial" w:cs="Arial"/>
        </w:rPr>
        <w:t xml:space="preserve"> is an indication of </w:t>
      </w:r>
      <w:r w:rsidR="00407F94">
        <w:rPr>
          <w:rFonts w:ascii="Arial" w:hAnsi="Arial" w:cs="Arial"/>
        </w:rPr>
        <w:t xml:space="preserve">the </w:t>
      </w:r>
      <w:r w:rsidR="00CF344C">
        <w:rPr>
          <w:rFonts w:ascii="Arial" w:hAnsi="Arial" w:cs="Arial"/>
        </w:rPr>
        <w:t>nature and degree of competition in a market.</w:t>
      </w:r>
      <w:r w:rsidR="002C6343">
        <w:rPr>
          <w:rStyle w:val="Funotenzeichen"/>
          <w:rFonts w:ascii="Arial" w:hAnsi="Arial" w:cs="Arial"/>
        </w:rPr>
        <w:footnoteReference w:id="812"/>
      </w:r>
      <w:r w:rsidR="00CF344C">
        <w:rPr>
          <w:rFonts w:ascii="Arial" w:hAnsi="Arial" w:cs="Arial"/>
        </w:rPr>
        <w:t xml:space="preserve"> The nature and degree of competition in turn</w:t>
      </w:r>
      <w:r w:rsidR="006B2AB1">
        <w:rPr>
          <w:rFonts w:ascii="Arial" w:hAnsi="Arial" w:cs="Arial"/>
        </w:rPr>
        <w:t>,</w:t>
      </w:r>
      <w:r w:rsidR="00CF344C">
        <w:rPr>
          <w:rFonts w:ascii="Arial" w:hAnsi="Arial" w:cs="Arial"/>
        </w:rPr>
        <w:t xml:space="preserve"> is used to assess the degree of </w:t>
      </w:r>
      <w:r w:rsidR="00407F94">
        <w:rPr>
          <w:rFonts w:ascii="Arial" w:hAnsi="Arial" w:cs="Arial"/>
        </w:rPr>
        <w:t>unilateral</w:t>
      </w:r>
      <w:r w:rsidR="004A6E32">
        <w:rPr>
          <w:rFonts w:ascii="Arial" w:hAnsi="Arial" w:cs="Arial"/>
        </w:rPr>
        <w:t xml:space="preserve"> or collective market power of the firms in </w:t>
      </w:r>
      <w:r w:rsidR="001343C5">
        <w:rPr>
          <w:rFonts w:ascii="Arial" w:hAnsi="Arial" w:cs="Arial"/>
        </w:rPr>
        <w:t>a</w:t>
      </w:r>
      <w:r w:rsidR="004A6E32">
        <w:rPr>
          <w:rFonts w:ascii="Arial" w:hAnsi="Arial" w:cs="Arial"/>
        </w:rPr>
        <w:t xml:space="preserve"> market</w:t>
      </w:r>
      <w:r w:rsidR="006872F0">
        <w:rPr>
          <w:rFonts w:ascii="Arial" w:hAnsi="Arial" w:cs="Arial"/>
        </w:rPr>
        <w:t>.</w:t>
      </w:r>
      <w:r w:rsidR="000D699F">
        <w:rPr>
          <w:rStyle w:val="Funotenzeichen"/>
          <w:rFonts w:ascii="Arial" w:hAnsi="Arial" w:cs="Arial"/>
        </w:rPr>
        <w:footnoteReference w:id="813"/>
      </w:r>
      <w:r w:rsidR="00407F94">
        <w:rPr>
          <w:rFonts w:ascii="Arial" w:hAnsi="Arial" w:cs="Arial"/>
        </w:rPr>
        <w:t xml:space="preserve"> </w:t>
      </w:r>
    </w:p>
    <w:p w:rsidR="00B97934" w:rsidRDefault="00B97934" w:rsidP="00B97934">
      <w:pPr>
        <w:contextualSpacing/>
        <w:rPr>
          <w:rFonts w:ascii="Arial" w:hAnsi="Arial" w:cs="Arial"/>
        </w:rPr>
      </w:pPr>
    </w:p>
    <w:p w:rsidR="00B97934" w:rsidRDefault="00B97934" w:rsidP="00B97934">
      <w:pPr>
        <w:contextualSpacing/>
        <w:rPr>
          <w:rFonts w:ascii="Arial" w:hAnsi="Arial" w:cs="Arial"/>
        </w:rPr>
      </w:pPr>
      <w:r>
        <w:rPr>
          <w:rFonts w:ascii="Arial" w:hAnsi="Arial" w:cs="Arial"/>
        </w:rPr>
        <w:t>3.3.4.2.2.2 Market characteristics</w:t>
      </w:r>
    </w:p>
    <w:p w:rsidR="00B97934" w:rsidRDefault="00B97934" w:rsidP="00B97934">
      <w:pPr>
        <w:contextualSpacing/>
        <w:rPr>
          <w:rFonts w:ascii="Arial" w:hAnsi="Arial" w:cs="Arial"/>
        </w:rPr>
      </w:pPr>
    </w:p>
    <w:p w:rsidR="007B1F87" w:rsidRPr="009A5705" w:rsidRDefault="009A5705" w:rsidP="00B97934">
      <w:pPr>
        <w:contextualSpacing/>
        <w:rPr>
          <w:rFonts w:ascii="Arial" w:hAnsi="Arial" w:cs="Arial"/>
        </w:rPr>
      </w:pPr>
      <w:r w:rsidRPr="009A5705">
        <w:rPr>
          <w:rFonts w:ascii="Arial" w:hAnsi="Arial" w:cs="Arial"/>
        </w:rPr>
        <w:t xml:space="preserve">3.3.4.2.2.2.1 </w:t>
      </w:r>
      <w:r w:rsidR="006F3763" w:rsidRPr="009A5705">
        <w:rPr>
          <w:rFonts w:ascii="Arial" w:hAnsi="Arial" w:cs="Arial"/>
        </w:rPr>
        <w:t xml:space="preserve">Market </w:t>
      </w:r>
      <w:r w:rsidR="006B2AB1" w:rsidRPr="009A5705">
        <w:rPr>
          <w:rFonts w:ascii="Arial" w:hAnsi="Arial" w:cs="Arial"/>
        </w:rPr>
        <w:t>Concentration</w:t>
      </w:r>
    </w:p>
    <w:p w:rsidR="007A42A7" w:rsidRDefault="007A42A7" w:rsidP="007F2545">
      <w:pPr>
        <w:contextualSpacing/>
        <w:jc w:val="both"/>
        <w:rPr>
          <w:rFonts w:ascii="Arial" w:hAnsi="Arial" w:cs="Arial"/>
        </w:rPr>
      </w:pPr>
    </w:p>
    <w:p w:rsidR="00843D8E" w:rsidRDefault="00843D8E" w:rsidP="007F2545">
      <w:pPr>
        <w:contextualSpacing/>
        <w:jc w:val="both"/>
        <w:rPr>
          <w:rFonts w:ascii="Arial" w:hAnsi="Arial" w:cs="Arial"/>
        </w:rPr>
      </w:pPr>
      <w:r>
        <w:rPr>
          <w:rFonts w:ascii="Arial" w:hAnsi="Arial" w:cs="Arial"/>
        </w:rPr>
        <w:t xml:space="preserve">As discussed earlier, the SCP paradigm </w:t>
      </w:r>
      <w:r w:rsidRPr="00843D8E">
        <w:rPr>
          <w:rFonts w:ascii="Arial" w:hAnsi="Arial" w:cs="Arial"/>
        </w:rPr>
        <w:t>assert</w:t>
      </w:r>
      <w:r>
        <w:rPr>
          <w:rFonts w:ascii="Arial" w:hAnsi="Arial" w:cs="Arial"/>
        </w:rPr>
        <w:t xml:space="preserve">s that there is a positive correlation between the level of concentration and the profitability in a market and that this correlation is an indication of collusive behaviour and/or other </w:t>
      </w:r>
      <w:r w:rsidRPr="0097391C">
        <w:rPr>
          <w:rFonts w:ascii="Arial" w:hAnsi="Arial" w:cs="Arial"/>
        </w:rPr>
        <w:t>abuse</w:t>
      </w:r>
      <w:r>
        <w:rPr>
          <w:rFonts w:ascii="Arial" w:hAnsi="Arial" w:cs="Arial"/>
        </w:rPr>
        <w:t>s of market power designed to increase profits i.e. there is a unidirectional causality from structure, to conduct to performance.</w:t>
      </w:r>
      <w:r>
        <w:rPr>
          <w:rStyle w:val="Funotenzeichen"/>
          <w:rFonts w:ascii="Arial" w:hAnsi="Arial" w:cs="Arial"/>
        </w:rPr>
        <w:footnoteReference w:id="814"/>
      </w:r>
      <w:r>
        <w:rPr>
          <w:rFonts w:ascii="Arial" w:hAnsi="Arial" w:cs="Arial"/>
        </w:rPr>
        <w:t xml:space="preserve"> Stated differently, a concentrated market structure makes it possible for firms to abuse their unilateral market power or to collude with other firms to obtain and abuse their collective market power.</w:t>
      </w:r>
      <w:r>
        <w:rPr>
          <w:rStyle w:val="Funotenzeichen"/>
          <w:rFonts w:ascii="Arial" w:hAnsi="Arial" w:cs="Arial"/>
        </w:rPr>
        <w:footnoteReference w:id="815"/>
      </w:r>
      <w:r>
        <w:rPr>
          <w:rFonts w:ascii="Arial" w:hAnsi="Arial" w:cs="Arial"/>
        </w:rPr>
        <w:t xml:space="preserve"> Accordingly, it is held that relatively more concentrated markets </w:t>
      </w:r>
      <w:r w:rsidR="004A2247">
        <w:rPr>
          <w:rFonts w:ascii="Arial" w:hAnsi="Arial" w:cs="Arial"/>
        </w:rPr>
        <w:t>results in higher prices and lower levels of social welfare i.e. the closer the structure of a market resembles that of a monopoly market, the higher the prices and the lower the social welfare should be.</w:t>
      </w:r>
      <w:r w:rsidR="004A2247">
        <w:rPr>
          <w:rStyle w:val="Funotenzeichen"/>
          <w:rFonts w:ascii="Arial" w:hAnsi="Arial" w:cs="Arial"/>
        </w:rPr>
        <w:footnoteReference w:id="816"/>
      </w:r>
    </w:p>
    <w:p w:rsidR="007A42A7" w:rsidRDefault="00C46090" w:rsidP="00A8769B">
      <w:pPr>
        <w:contextualSpacing/>
        <w:jc w:val="both"/>
        <w:rPr>
          <w:rFonts w:ascii="Arial" w:hAnsi="Arial" w:cs="Arial"/>
        </w:rPr>
      </w:pPr>
      <w:r>
        <w:rPr>
          <w:rFonts w:ascii="Arial" w:hAnsi="Arial" w:cs="Arial"/>
        </w:rPr>
        <w:t xml:space="preserve">Market concentration refers to the number of firms in </w:t>
      </w:r>
      <w:r w:rsidR="0066590E">
        <w:rPr>
          <w:rFonts w:ascii="Arial" w:hAnsi="Arial" w:cs="Arial"/>
        </w:rPr>
        <w:t>the relevant</w:t>
      </w:r>
      <w:r>
        <w:rPr>
          <w:rFonts w:ascii="Arial" w:hAnsi="Arial" w:cs="Arial"/>
        </w:rPr>
        <w:t xml:space="preserve"> market and their size </w:t>
      </w:r>
      <w:r w:rsidR="0066590E">
        <w:rPr>
          <w:rFonts w:ascii="Arial" w:hAnsi="Arial" w:cs="Arial"/>
        </w:rPr>
        <w:t xml:space="preserve">in the market </w:t>
      </w:r>
      <w:r>
        <w:rPr>
          <w:rFonts w:ascii="Arial" w:hAnsi="Arial" w:cs="Arial"/>
        </w:rPr>
        <w:t xml:space="preserve">relative to </w:t>
      </w:r>
      <w:r w:rsidR="0066590E">
        <w:rPr>
          <w:rFonts w:ascii="Arial" w:hAnsi="Arial" w:cs="Arial"/>
        </w:rPr>
        <w:t>each other</w:t>
      </w:r>
      <w:r>
        <w:rPr>
          <w:rFonts w:ascii="Arial" w:hAnsi="Arial" w:cs="Arial"/>
        </w:rPr>
        <w:t>.</w:t>
      </w:r>
      <w:r>
        <w:rPr>
          <w:rStyle w:val="Funotenzeichen"/>
          <w:rFonts w:ascii="Arial" w:hAnsi="Arial" w:cs="Arial"/>
        </w:rPr>
        <w:footnoteReference w:id="817"/>
      </w:r>
      <w:r w:rsidR="00F30B03">
        <w:rPr>
          <w:rFonts w:ascii="Arial" w:hAnsi="Arial" w:cs="Arial"/>
        </w:rPr>
        <w:t xml:space="preserve"> Stated differently, concentration refers to the extent to which a small number of firms are responsible for a large proportion of the economic activity within a market.</w:t>
      </w:r>
      <w:r w:rsidR="00B13398">
        <w:rPr>
          <w:rStyle w:val="Funotenzeichen"/>
          <w:rFonts w:ascii="Arial" w:hAnsi="Arial" w:cs="Arial"/>
        </w:rPr>
        <w:footnoteReference w:id="818"/>
      </w:r>
      <w:r>
        <w:rPr>
          <w:rFonts w:ascii="Arial" w:hAnsi="Arial" w:cs="Arial"/>
        </w:rPr>
        <w:t xml:space="preserve"> </w:t>
      </w:r>
      <w:r w:rsidR="00AA17D0">
        <w:rPr>
          <w:rFonts w:ascii="Arial" w:hAnsi="Arial" w:cs="Arial"/>
        </w:rPr>
        <w:t>Numerous</w:t>
      </w:r>
      <w:r w:rsidR="00A41F2C">
        <w:rPr>
          <w:rFonts w:ascii="Arial" w:hAnsi="Arial" w:cs="Arial"/>
        </w:rPr>
        <w:t xml:space="preserve"> indices </w:t>
      </w:r>
      <w:r w:rsidR="00AA17D0">
        <w:rPr>
          <w:rFonts w:ascii="Arial" w:hAnsi="Arial" w:cs="Arial"/>
        </w:rPr>
        <w:t>are</w:t>
      </w:r>
      <w:r w:rsidR="00A41F2C">
        <w:rPr>
          <w:rFonts w:ascii="Arial" w:hAnsi="Arial" w:cs="Arial"/>
        </w:rPr>
        <w:t xml:space="preserve"> used to measure industry concentration.</w:t>
      </w:r>
      <w:r w:rsidR="00833F10">
        <w:rPr>
          <w:rFonts w:ascii="Arial" w:hAnsi="Arial" w:cs="Arial"/>
        </w:rPr>
        <w:t xml:space="preserve"> Several</w:t>
      </w:r>
      <w:r w:rsidR="00A41F2C">
        <w:rPr>
          <w:rFonts w:ascii="Arial" w:hAnsi="Arial" w:cs="Arial"/>
        </w:rPr>
        <w:t xml:space="preserve"> </w:t>
      </w:r>
      <w:r w:rsidR="00833F10">
        <w:rPr>
          <w:rFonts w:ascii="Arial" w:hAnsi="Arial" w:cs="Arial"/>
        </w:rPr>
        <w:t xml:space="preserve">of these </w:t>
      </w:r>
      <w:r w:rsidR="00833F10" w:rsidRPr="001B6ADB">
        <w:rPr>
          <w:rFonts w:ascii="Arial" w:hAnsi="Arial" w:cs="Arial"/>
        </w:rPr>
        <w:t>indices</w:t>
      </w:r>
      <w:r w:rsidR="00833F10">
        <w:rPr>
          <w:rFonts w:ascii="Arial" w:hAnsi="Arial" w:cs="Arial"/>
        </w:rPr>
        <w:t xml:space="preserve"> have been used in South Africa and </w:t>
      </w:r>
      <w:r w:rsidR="00AA17D0">
        <w:rPr>
          <w:rFonts w:ascii="Arial" w:hAnsi="Arial" w:cs="Arial"/>
        </w:rPr>
        <w:t xml:space="preserve">they </w:t>
      </w:r>
      <w:r w:rsidR="00833F10">
        <w:rPr>
          <w:rFonts w:ascii="Arial" w:hAnsi="Arial" w:cs="Arial"/>
        </w:rPr>
        <w:t>include</w:t>
      </w:r>
      <w:r w:rsidR="00A41F2C">
        <w:rPr>
          <w:rFonts w:ascii="Arial" w:hAnsi="Arial" w:cs="Arial"/>
        </w:rPr>
        <w:t xml:space="preserve"> among others</w:t>
      </w:r>
      <w:r w:rsidR="00833F10">
        <w:rPr>
          <w:rFonts w:ascii="Arial" w:hAnsi="Arial" w:cs="Arial"/>
        </w:rPr>
        <w:t xml:space="preserve"> the following:</w:t>
      </w:r>
      <w:r w:rsidR="00A41F2C">
        <w:rPr>
          <w:rFonts w:ascii="Arial" w:hAnsi="Arial" w:cs="Arial"/>
        </w:rPr>
        <w:t xml:space="preserve"> market </w:t>
      </w:r>
      <w:r w:rsidR="00C01F6A">
        <w:rPr>
          <w:rFonts w:ascii="Arial" w:hAnsi="Arial" w:cs="Arial"/>
        </w:rPr>
        <w:t>share;</w:t>
      </w:r>
      <w:r w:rsidR="00A41F2C">
        <w:rPr>
          <w:rFonts w:ascii="Arial" w:hAnsi="Arial" w:cs="Arial"/>
        </w:rPr>
        <w:t xml:space="preserve"> the Concentration Ratio, the </w:t>
      </w:r>
      <w:r w:rsidR="00A41F2C" w:rsidRPr="00A41F2C">
        <w:rPr>
          <w:rFonts w:ascii="Arial" w:hAnsi="Arial" w:cs="Arial"/>
        </w:rPr>
        <w:t>Herfindahl-Hirschman Index;</w:t>
      </w:r>
      <w:r w:rsidR="00A41F2C">
        <w:rPr>
          <w:rFonts w:ascii="Arial" w:hAnsi="Arial" w:cs="Arial"/>
        </w:rPr>
        <w:t xml:space="preserve"> the </w:t>
      </w:r>
      <w:r w:rsidR="00A41F2C" w:rsidRPr="00A41F2C">
        <w:rPr>
          <w:rFonts w:ascii="Arial" w:hAnsi="Arial" w:cs="Arial"/>
        </w:rPr>
        <w:t>Rosenbluth Index</w:t>
      </w:r>
      <w:r w:rsidR="00A41F2C">
        <w:rPr>
          <w:rFonts w:ascii="Arial" w:hAnsi="Arial" w:cs="Arial"/>
        </w:rPr>
        <w:t xml:space="preserve">, the Gini Coefficient; Lorenz Curve; </w:t>
      </w:r>
      <w:r w:rsidR="00A41F2C" w:rsidRPr="00A41F2C">
        <w:rPr>
          <w:rFonts w:ascii="Arial" w:hAnsi="Arial" w:cs="Arial"/>
        </w:rPr>
        <w:t>the Occupancy Count</w:t>
      </w:r>
      <w:r w:rsidR="00A41F2C">
        <w:rPr>
          <w:rFonts w:ascii="Arial" w:hAnsi="Arial" w:cs="Arial"/>
        </w:rPr>
        <w:t xml:space="preserve">; </w:t>
      </w:r>
      <w:r w:rsidR="00A41F2C" w:rsidRPr="00A41F2C">
        <w:rPr>
          <w:rFonts w:ascii="Arial" w:hAnsi="Arial" w:cs="Arial"/>
        </w:rPr>
        <w:t>C5% index</w:t>
      </w:r>
      <w:r w:rsidR="00AA617D">
        <w:rPr>
          <w:rFonts w:ascii="Arial" w:hAnsi="Arial" w:cs="Arial"/>
        </w:rPr>
        <w:t>.</w:t>
      </w:r>
      <w:r w:rsidR="00833F10">
        <w:rPr>
          <w:rStyle w:val="Funotenzeichen"/>
          <w:rFonts w:ascii="Arial" w:hAnsi="Arial" w:cs="Arial"/>
        </w:rPr>
        <w:footnoteReference w:id="819"/>
      </w:r>
      <w:r w:rsidR="00A41F2C">
        <w:rPr>
          <w:rFonts w:ascii="Arial" w:hAnsi="Arial" w:cs="Arial"/>
        </w:rPr>
        <w:t xml:space="preserve"> </w:t>
      </w:r>
    </w:p>
    <w:p w:rsidR="007A42A7" w:rsidRDefault="007A42A7" w:rsidP="00A8769B">
      <w:pPr>
        <w:contextualSpacing/>
        <w:jc w:val="both"/>
        <w:rPr>
          <w:rFonts w:ascii="Arial" w:hAnsi="Arial" w:cs="Arial"/>
        </w:rPr>
      </w:pPr>
    </w:p>
    <w:p w:rsidR="007A42A7" w:rsidRDefault="00F559C3" w:rsidP="00A8769B">
      <w:pPr>
        <w:contextualSpacing/>
        <w:jc w:val="both"/>
        <w:rPr>
          <w:rFonts w:ascii="Arial" w:hAnsi="Arial" w:cs="Arial"/>
        </w:rPr>
      </w:pPr>
      <w:r w:rsidRPr="00F559C3">
        <w:rPr>
          <w:rFonts w:ascii="Arial" w:hAnsi="Arial" w:cs="Arial"/>
        </w:rPr>
        <w:t>Nonetheless</w:t>
      </w:r>
      <w:r>
        <w:rPr>
          <w:rFonts w:ascii="Arial" w:hAnsi="Arial" w:cs="Arial"/>
        </w:rPr>
        <w:t>, t</w:t>
      </w:r>
      <w:r w:rsidR="006F5800">
        <w:rPr>
          <w:rFonts w:ascii="Arial" w:hAnsi="Arial" w:cs="Arial"/>
        </w:rPr>
        <w:t xml:space="preserve">he two most widely used concentration measures are the </w:t>
      </w:r>
      <w:r w:rsidR="00536A9A">
        <w:rPr>
          <w:rFonts w:ascii="Arial" w:hAnsi="Arial" w:cs="Arial"/>
        </w:rPr>
        <w:t xml:space="preserve">Concentration Ratio (CR) and the </w:t>
      </w:r>
      <w:r w:rsidR="00536A9A" w:rsidRPr="00A41F2C">
        <w:rPr>
          <w:rFonts w:ascii="Arial" w:hAnsi="Arial" w:cs="Arial"/>
        </w:rPr>
        <w:t>Herfindahl-Hirschman Index</w:t>
      </w:r>
      <w:r w:rsidR="00536A9A">
        <w:rPr>
          <w:rFonts w:ascii="Arial" w:hAnsi="Arial" w:cs="Arial"/>
        </w:rPr>
        <w:t xml:space="preserve"> (HHI).</w:t>
      </w:r>
      <w:r w:rsidR="00536A9A">
        <w:rPr>
          <w:rStyle w:val="Funotenzeichen"/>
          <w:rFonts w:ascii="Arial" w:hAnsi="Arial" w:cs="Arial"/>
        </w:rPr>
        <w:footnoteReference w:id="820"/>
      </w:r>
      <w:r w:rsidR="00536A9A">
        <w:rPr>
          <w:rFonts w:ascii="Arial" w:hAnsi="Arial" w:cs="Arial"/>
        </w:rPr>
        <w:t xml:space="preserve"> Accordingly, this paper will only focus on these two indices along with market share (</w:t>
      </w:r>
      <w:r>
        <w:rPr>
          <w:rFonts w:ascii="Arial" w:hAnsi="Arial" w:cs="Arial"/>
        </w:rPr>
        <w:t>which is</w:t>
      </w:r>
      <w:r w:rsidR="00536A9A">
        <w:rPr>
          <w:rFonts w:ascii="Arial" w:hAnsi="Arial" w:cs="Arial"/>
        </w:rPr>
        <w:t xml:space="preserve"> necessary to calculate the CR and HHI). </w:t>
      </w:r>
    </w:p>
    <w:p w:rsidR="007A42A7" w:rsidRDefault="007A42A7" w:rsidP="00A8769B">
      <w:pPr>
        <w:contextualSpacing/>
        <w:jc w:val="both"/>
        <w:rPr>
          <w:rFonts w:ascii="Arial" w:hAnsi="Arial" w:cs="Arial"/>
          <w:u w:val="single"/>
        </w:rPr>
      </w:pPr>
    </w:p>
    <w:p w:rsidR="00A8769B" w:rsidRDefault="007A42A7" w:rsidP="00A8769B">
      <w:pPr>
        <w:contextualSpacing/>
        <w:jc w:val="both"/>
        <w:rPr>
          <w:rFonts w:ascii="Arial" w:hAnsi="Arial" w:cs="Arial"/>
        </w:rPr>
      </w:pPr>
      <w:r w:rsidRPr="007A42A7">
        <w:rPr>
          <w:rFonts w:ascii="Arial" w:hAnsi="Arial" w:cs="Arial"/>
          <w:u w:val="single"/>
        </w:rPr>
        <w:t>N</w:t>
      </w:r>
      <w:r w:rsidR="00C26299" w:rsidRPr="007A42A7">
        <w:rPr>
          <w:rFonts w:ascii="Arial" w:hAnsi="Arial" w:cs="Arial"/>
          <w:u w:val="single"/>
        </w:rPr>
        <w:t>ote</w:t>
      </w:r>
      <w:r w:rsidRPr="007A42A7">
        <w:rPr>
          <w:rFonts w:ascii="Arial" w:hAnsi="Arial" w:cs="Arial"/>
          <w:u w:val="single"/>
        </w:rPr>
        <w:t>:</w:t>
      </w:r>
      <w:r w:rsidR="001B6ADB">
        <w:rPr>
          <w:rFonts w:ascii="Arial" w:hAnsi="Arial" w:cs="Arial"/>
        </w:rPr>
        <w:t xml:space="preserve"> </w:t>
      </w:r>
      <w:r>
        <w:rPr>
          <w:rFonts w:ascii="Arial" w:hAnsi="Arial" w:cs="Arial"/>
        </w:rPr>
        <w:t>N</w:t>
      </w:r>
      <w:r w:rsidR="00C26299">
        <w:rPr>
          <w:rFonts w:ascii="Arial" w:hAnsi="Arial" w:cs="Arial"/>
        </w:rPr>
        <w:t xml:space="preserve">o single </w:t>
      </w:r>
      <w:r w:rsidR="001B6ADB" w:rsidRPr="001B6ADB">
        <w:rPr>
          <w:rFonts w:ascii="Arial" w:hAnsi="Arial" w:cs="Arial"/>
        </w:rPr>
        <w:t>index</w:t>
      </w:r>
      <w:r w:rsidR="001B6ADB">
        <w:rPr>
          <w:rFonts w:ascii="Arial" w:hAnsi="Arial" w:cs="Arial"/>
        </w:rPr>
        <w:t xml:space="preserve"> is</w:t>
      </w:r>
      <w:r w:rsidR="00C26299">
        <w:rPr>
          <w:rFonts w:ascii="Arial" w:hAnsi="Arial" w:cs="Arial"/>
        </w:rPr>
        <w:t xml:space="preserve"> </w:t>
      </w:r>
      <w:r w:rsidR="00937686">
        <w:rPr>
          <w:rFonts w:ascii="Arial" w:hAnsi="Arial" w:cs="Arial"/>
        </w:rPr>
        <w:t>superior</w:t>
      </w:r>
      <w:r w:rsidR="001B6ADB">
        <w:rPr>
          <w:rFonts w:ascii="Arial" w:hAnsi="Arial" w:cs="Arial"/>
        </w:rPr>
        <w:t xml:space="preserve"> to</w:t>
      </w:r>
      <w:r w:rsidR="00937686">
        <w:rPr>
          <w:rFonts w:ascii="Arial" w:hAnsi="Arial" w:cs="Arial"/>
        </w:rPr>
        <w:t xml:space="preserve"> all</w:t>
      </w:r>
      <w:r w:rsidR="001B6ADB">
        <w:rPr>
          <w:rFonts w:ascii="Arial" w:hAnsi="Arial" w:cs="Arial"/>
        </w:rPr>
        <w:t xml:space="preserve"> the other indices</w:t>
      </w:r>
      <w:r w:rsidR="00C26299">
        <w:rPr>
          <w:rFonts w:ascii="Arial" w:hAnsi="Arial" w:cs="Arial"/>
        </w:rPr>
        <w:t>.</w:t>
      </w:r>
      <w:r w:rsidR="00937686">
        <w:rPr>
          <w:rStyle w:val="Funotenzeichen"/>
          <w:rFonts w:ascii="Arial" w:hAnsi="Arial" w:cs="Arial"/>
        </w:rPr>
        <w:footnoteReference w:id="821"/>
      </w:r>
      <w:r w:rsidR="00C26299">
        <w:rPr>
          <w:rFonts w:ascii="Arial" w:hAnsi="Arial" w:cs="Arial"/>
        </w:rPr>
        <w:t xml:space="preserve"> The appropriateness of </w:t>
      </w:r>
      <w:r w:rsidR="001B6ADB">
        <w:rPr>
          <w:rFonts w:ascii="Arial" w:hAnsi="Arial" w:cs="Arial"/>
        </w:rPr>
        <w:t>an</w:t>
      </w:r>
      <w:r w:rsidR="00C26299">
        <w:rPr>
          <w:rFonts w:ascii="Arial" w:hAnsi="Arial" w:cs="Arial"/>
        </w:rPr>
        <w:t xml:space="preserve"> ind</w:t>
      </w:r>
      <w:r w:rsidR="001B6ADB">
        <w:rPr>
          <w:rFonts w:ascii="Arial" w:hAnsi="Arial" w:cs="Arial"/>
        </w:rPr>
        <w:t>ex</w:t>
      </w:r>
      <w:r w:rsidR="00C26299">
        <w:rPr>
          <w:rFonts w:ascii="Arial" w:hAnsi="Arial" w:cs="Arial"/>
        </w:rPr>
        <w:t xml:space="preserve"> depends on the study being done</w:t>
      </w:r>
      <w:r w:rsidR="001B6ADB">
        <w:rPr>
          <w:rFonts w:ascii="Arial" w:hAnsi="Arial" w:cs="Arial"/>
        </w:rPr>
        <w:t xml:space="preserve"> and on the availability of the </w:t>
      </w:r>
      <w:r w:rsidR="00937686">
        <w:rPr>
          <w:rFonts w:ascii="Arial" w:hAnsi="Arial" w:cs="Arial"/>
        </w:rPr>
        <w:t>necessary</w:t>
      </w:r>
      <w:r w:rsidR="001B6ADB">
        <w:rPr>
          <w:rFonts w:ascii="Arial" w:hAnsi="Arial" w:cs="Arial"/>
        </w:rPr>
        <w:t xml:space="preserve"> data</w:t>
      </w:r>
      <w:r w:rsidR="00937686">
        <w:rPr>
          <w:rFonts w:ascii="Arial" w:hAnsi="Arial" w:cs="Arial"/>
        </w:rPr>
        <w:t xml:space="preserve"> </w:t>
      </w:r>
      <w:r>
        <w:rPr>
          <w:rFonts w:ascii="Arial" w:hAnsi="Arial" w:cs="Arial"/>
        </w:rPr>
        <w:t>required</w:t>
      </w:r>
      <w:r w:rsidR="00937686">
        <w:rPr>
          <w:rFonts w:ascii="Arial" w:hAnsi="Arial" w:cs="Arial"/>
        </w:rPr>
        <w:t xml:space="preserve"> to calculate a specific concentration index</w:t>
      </w:r>
      <w:r w:rsidR="00C26299">
        <w:rPr>
          <w:rFonts w:ascii="Arial" w:hAnsi="Arial" w:cs="Arial"/>
        </w:rPr>
        <w:t>.</w:t>
      </w:r>
      <w:r w:rsidR="001B6ADB">
        <w:rPr>
          <w:rStyle w:val="Funotenzeichen"/>
          <w:rFonts w:ascii="Arial" w:hAnsi="Arial" w:cs="Arial"/>
        </w:rPr>
        <w:footnoteReference w:id="822"/>
      </w:r>
      <w:r w:rsidR="00C26299">
        <w:rPr>
          <w:rFonts w:ascii="Arial" w:hAnsi="Arial" w:cs="Arial"/>
        </w:rPr>
        <w:t xml:space="preserve"> </w:t>
      </w:r>
    </w:p>
    <w:p w:rsidR="001B6ADB" w:rsidRDefault="001B6ADB" w:rsidP="000838B0">
      <w:pPr>
        <w:contextualSpacing/>
        <w:jc w:val="both"/>
        <w:rPr>
          <w:rFonts w:ascii="Arial" w:hAnsi="Arial" w:cs="Arial"/>
          <w:u w:val="single"/>
        </w:rPr>
      </w:pPr>
    </w:p>
    <w:p w:rsidR="006B2AB1" w:rsidRPr="009A5705" w:rsidRDefault="001D4EF5" w:rsidP="000838B0">
      <w:pPr>
        <w:contextualSpacing/>
        <w:jc w:val="both"/>
        <w:rPr>
          <w:rFonts w:ascii="Arial" w:hAnsi="Arial" w:cs="Arial"/>
          <w:u w:val="single"/>
        </w:rPr>
      </w:pPr>
      <w:r w:rsidRPr="009A5705">
        <w:rPr>
          <w:rFonts w:ascii="Arial" w:hAnsi="Arial" w:cs="Arial"/>
          <w:u w:val="single"/>
        </w:rPr>
        <w:t>Market share</w:t>
      </w:r>
    </w:p>
    <w:p w:rsidR="009A5705" w:rsidRDefault="009A5705" w:rsidP="000838B0">
      <w:pPr>
        <w:contextualSpacing/>
        <w:jc w:val="both"/>
        <w:rPr>
          <w:rFonts w:ascii="Arial" w:hAnsi="Arial" w:cs="Arial"/>
        </w:rPr>
      </w:pPr>
    </w:p>
    <w:p w:rsidR="00291D78" w:rsidRDefault="001D4EF5" w:rsidP="000838B0">
      <w:pPr>
        <w:contextualSpacing/>
        <w:jc w:val="both"/>
        <w:rPr>
          <w:rFonts w:ascii="Arial" w:hAnsi="Arial" w:cs="Arial"/>
        </w:rPr>
      </w:pPr>
      <w:r>
        <w:rPr>
          <w:rFonts w:ascii="Arial" w:hAnsi="Arial" w:cs="Arial"/>
        </w:rPr>
        <w:t>Market share measure</w:t>
      </w:r>
      <w:r w:rsidR="0062261F">
        <w:rPr>
          <w:rFonts w:ascii="Arial" w:hAnsi="Arial" w:cs="Arial"/>
        </w:rPr>
        <w:t>s</w:t>
      </w:r>
      <w:r>
        <w:rPr>
          <w:rFonts w:ascii="Arial" w:hAnsi="Arial" w:cs="Arial"/>
        </w:rPr>
        <w:t xml:space="preserve"> the percentage of </w:t>
      </w:r>
      <w:r w:rsidR="00FE5B62">
        <w:rPr>
          <w:rFonts w:ascii="Arial" w:hAnsi="Arial" w:cs="Arial"/>
        </w:rPr>
        <w:t xml:space="preserve">the </w:t>
      </w:r>
      <w:r>
        <w:rPr>
          <w:rFonts w:ascii="Arial" w:hAnsi="Arial" w:cs="Arial"/>
        </w:rPr>
        <w:t>total sales</w:t>
      </w:r>
      <w:r w:rsidR="00FE5B62">
        <w:rPr>
          <w:rFonts w:ascii="Arial" w:hAnsi="Arial" w:cs="Arial"/>
        </w:rPr>
        <w:t xml:space="preserve"> within the relevant market</w:t>
      </w:r>
      <w:r w:rsidR="0062261F">
        <w:rPr>
          <w:rFonts w:ascii="Arial" w:hAnsi="Arial" w:cs="Arial"/>
        </w:rPr>
        <w:t xml:space="preserve"> that can be attributed to </w:t>
      </w:r>
      <w:r w:rsidR="00291D78">
        <w:rPr>
          <w:rFonts w:ascii="Arial" w:hAnsi="Arial" w:cs="Arial"/>
        </w:rPr>
        <w:t>a particular firm</w:t>
      </w:r>
      <w:r w:rsidR="0062261F">
        <w:rPr>
          <w:rFonts w:ascii="Arial" w:hAnsi="Arial" w:cs="Arial"/>
        </w:rPr>
        <w:t xml:space="preserve"> and the distribution of the remaining percentage market share among its competitors.</w:t>
      </w:r>
      <w:r w:rsidR="00310295">
        <w:rPr>
          <w:rStyle w:val="Funotenzeichen"/>
          <w:rFonts w:ascii="Arial" w:hAnsi="Arial" w:cs="Arial"/>
        </w:rPr>
        <w:footnoteReference w:id="823"/>
      </w:r>
      <w:r w:rsidR="009F5543">
        <w:rPr>
          <w:rFonts w:ascii="Arial" w:hAnsi="Arial" w:cs="Arial"/>
        </w:rPr>
        <w:t xml:space="preserve"> Total sales</w:t>
      </w:r>
      <w:r w:rsidR="00FE5B62">
        <w:rPr>
          <w:rFonts w:ascii="Arial" w:hAnsi="Arial" w:cs="Arial"/>
        </w:rPr>
        <w:t xml:space="preserve"> can be substituted with other metrics such as total </w:t>
      </w:r>
      <w:r w:rsidR="00FE5B62" w:rsidRPr="00FE5B62">
        <w:rPr>
          <w:rFonts w:ascii="Arial" w:hAnsi="Arial" w:cs="Arial"/>
        </w:rPr>
        <w:t xml:space="preserve">revenues, </w:t>
      </w:r>
      <w:r w:rsidR="00FE5B62">
        <w:rPr>
          <w:rFonts w:ascii="Arial" w:hAnsi="Arial" w:cs="Arial"/>
        </w:rPr>
        <w:t xml:space="preserve">total </w:t>
      </w:r>
      <w:r w:rsidR="00F400D3">
        <w:rPr>
          <w:rFonts w:ascii="Arial" w:hAnsi="Arial" w:cs="Arial"/>
        </w:rPr>
        <w:t>output</w:t>
      </w:r>
      <w:r w:rsidR="00FE5B62" w:rsidRPr="00FE5B62">
        <w:rPr>
          <w:rFonts w:ascii="Arial" w:hAnsi="Arial" w:cs="Arial"/>
        </w:rPr>
        <w:t>,</w:t>
      </w:r>
      <w:r w:rsidR="00FE5B62">
        <w:rPr>
          <w:rFonts w:ascii="Arial" w:hAnsi="Arial" w:cs="Arial"/>
        </w:rPr>
        <w:t xml:space="preserve"> total </w:t>
      </w:r>
      <w:r w:rsidR="00FE5B62" w:rsidRPr="00FE5B62">
        <w:rPr>
          <w:rFonts w:ascii="Arial" w:hAnsi="Arial" w:cs="Arial"/>
        </w:rPr>
        <w:t>production capacit</w:t>
      </w:r>
      <w:r w:rsidR="00FE5B62">
        <w:rPr>
          <w:rFonts w:ascii="Arial" w:hAnsi="Arial" w:cs="Arial"/>
        </w:rPr>
        <w:t>y</w:t>
      </w:r>
      <w:r w:rsidR="00F400D3">
        <w:rPr>
          <w:rFonts w:ascii="Arial" w:hAnsi="Arial" w:cs="Arial"/>
        </w:rPr>
        <w:t>, total value</w:t>
      </w:r>
      <w:r w:rsidR="00FE5B62" w:rsidRPr="00FE5B62">
        <w:rPr>
          <w:rFonts w:ascii="Arial" w:hAnsi="Arial" w:cs="Arial"/>
        </w:rPr>
        <w:t xml:space="preserve"> </w:t>
      </w:r>
      <w:r w:rsidR="00FE5B62">
        <w:rPr>
          <w:rFonts w:ascii="Arial" w:hAnsi="Arial" w:cs="Arial"/>
        </w:rPr>
        <w:t xml:space="preserve">and total </w:t>
      </w:r>
      <w:r w:rsidR="00FE5B62" w:rsidRPr="00FE5B62">
        <w:rPr>
          <w:rFonts w:ascii="Arial" w:hAnsi="Arial" w:cs="Arial"/>
        </w:rPr>
        <w:t>inputs</w:t>
      </w:r>
      <w:r w:rsidR="00FE5B62">
        <w:rPr>
          <w:rFonts w:ascii="Arial" w:hAnsi="Arial" w:cs="Arial"/>
        </w:rPr>
        <w:t>.</w:t>
      </w:r>
      <w:r w:rsidR="00FE5B62">
        <w:rPr>
          <w:rStyle w:val="Funotenzeichen"/>
          <w:rFonts w:ascii="Arial" w:hAnsi="Arial" w:cs="Arial"/>
        </w:rPr>
        <w:footnoteReference w:id="824"/>
      </w:r>
      <w:r w:rsidR="00FE5B62" w:rsidRPr="00FE5B62">
        <w:rPr>
          <w:rFonts w:ascii="Arial" w:hAnsi="Arial" w:cs="Arial"/>
        </w:rPr>
        <w:t xml:space="preserve"> </w:t>
      </w:r>
      <w:r w:rsidR="005E2F4C">
        <w:rPr>
          <w:rFonts w:ascii="Arial" w:hAnsi="Arial" w:cs="Arial"/>
        </w:rPr>
        <w:t>A</w:t>
      </w:r>
      <w:r w:rsidR="00310295">
        <w:rPr>
          <w:rFonts w:ascii="Arial" w:hAnsi="Arial" w:cs="Arial"/>
        </w:rPr>
        <w:t xml:space="preserve"> market will be regarded as concentrated if for example one or two firms</w:t>
      </w:r>
      <w:r w:rsidR="005E2F4C">
        <w:rPr>
          <w:rFonts w:ascii="Arial" w:hAnsi="Arial" w:cs="Arial"/>
        </w:rPr>
        <w:t xml:space="preserve"> in that market possess large market shares.</w:t>
      </w:r>
      <w:r w:rsidR="005E2F4C">
        <w:rPr>
          <w:rStyle w:val="Funotenzeichen"/>
          <w:rFonts w:ascii="Arial" w:hAnsi="Arial" w:cs="Arial"/>
        </w:rPr>
        <w:footnoteReference w:id="825"/>
      </w:r>
      <w:r w:rsidR="005E2F4C">
        <w:rPr>
          <w:rFonts w:ascii="Arial" w:hAnsi="Arial" w:cs="Arial"/>
        </w:rPr>
        <w:t xml:space="preserve"> In South Africa, a firm will be regarded as having sufficient market power to allow it to abuse that market power if it has a</w:t>
      </w:r>
      <w:r w:rsidR="00BD5472">
        <w:rPr>
          <w:rFonts w:ascii="Arial" w:hAnsi="Arial" w:cs="Arial"/>
        </w:rPr>
        <w:t>t least</w:t>
      </w:r>
      <w:r w:rsidR="005E2F4C">
        <w:rPr>
          <w:rFonts w:ascii="Arial" w:hAnsi="Arial" w:cs="Arial"/>
        </w:rPr>
        <w:t xml:space="preserve"> 45 percent market share.</w:t>
      </w:r>
      <w:r w:rsidR="005E2F4C">
        <w:rPr>
          <w:rStyle w:val="Funotenzeichen"/>
          <w:rFonts w:ascii="Arial" w:hAnsi="Arial" w:cs="Arial"/>
        </w:rPr>
        <w:footnoteReference w:id="826"/>
      </w:r>
      <w:r w:rsidR="00097D9F">
        <w:rPr>
          <w:rFonts w:ascii="Arial" w:hAnsi="Arial" w:cs="Arial"/>
        </w:rPr>
        <w:t xml:space="preserve"> </w:t>
      </w:r>
    </w:p>
    <w:p w:rsidR="00291D78" w:rsidRDefault="00291D78" w:rsidP="000838B0">
      <w:pPr>
        <w:contextualSpacing/>
        <w:jc w:val="both"/>
        <w:rPr>
          <w:rFonts w:ascii="Arial" w:hAnsi="Arial" w:cs="Arial"/>
        </w:rPr>
      </w:pPr>
    </w:p>
    <w:p w:rsidR="001D4EF5" w:rsidRDefault="00097D9F" w:rsidP="000838B0">
      <w:pPr>
        <w:contextualSpacing/>
        <w:jc w:val="both"/>
        <w:rPr>
          <w:rFonts w:ascii="Arial" w:hAnsi="Arial" w:cs="Arial"/>
        </w:rPr>
      </w:pPr>
      <w:r>
        <w:rPr>
          <w:rFonts w:ascii="Arial" w:hAnsi="Arial" w:cs="Arial"/>
        </w:rPr>
        <w:t>As mentioned previously, the delineation of the relevant market determines the area within which the market shares are to be calculated.</w:t>
      </w:r>
      <w:r>
        <w:rPr>
          <w:rStyle w:val="Funotenzeichen"/>
          <w:rFonts w:ascii="Arial" w:hAnsi="Arial" w:cs="Arial"/>
        </w:rPr>
        <w:footnoteReference w:id="827"/>
      </w:r>
      <w:r>
        <w:rPr>
          <w:rFonts w:ascii="Arial" w:hAnsi="Arial" w:cs="Arial"/>
        </w:rPr>
        <w:t xml:space="preserve"> Accordingly, an erroneous delineation of the relevant market could potentially lead to an overestimate or an underestimate of the market shares.</w:t>
      </w:r>
      <w:r>
        <w:rPr>
          <w:rStyle w:val="Funotenzeichen"/>
          <w:rFonts w:ascii="Arial" w:hAnsi="Arial" w:cs="Arial"/>
        </w:rPr>
        <w:footnoteReference w:id="828"/>
      </w:r>
      <w:r>
        <w:rPr>
          <w:rFonts w:ascii="Arial" w:hAnsi="Arial" w:cs="Arial"/>
        </w:rPr>
        <w:t xml:space="preserve"> Furthermore, using market shares as an </w:t>
      </w:r>
      <w:r w:rsidR="00291D78">
        <w:rPr>
          <w:rFonts w:ascii="Arial" w:hAnsi="Arial" w:cs="Arial"/>
        </w:rPr>
        <w:t>indication of market power has several shortcomings.</w:t>
      </w:r>
      <w:r w:rsidR="002C6343">
        <w:rPr>
          <w:rStyle w:val="Funotenzeichen"/>
          <w:rFonts w:ascii="Arial" w:hAnsi="Arial" w:cs="Arial"/>
        </w:rPr>
        <w:footnoteReference w:id="829"/>
      </w:r>
      <w:r w:rsidR="00291D78">
        <w:rPr>
          <w:rFonts w:ascii="Arial" w:hAnsi="Arial" w:cs="Arial"/>
        </w:rPr>
        <w:t xml:space="preserve"> These </w:t>
      </w:r>
      <w:r w:rsidR="00BD5472">
        <w:rPr>
          <w:rFonts w:ascii="Arial" w:hAnsi="Arial" w:cs="Arial"/>
        </w:rPr>
        <w:t>shortcomings</w:t>
      </w:r>
      <w:r w:rsidR="00291D78">
        <w:rPr>
          <w:rFonts w:ascii="Arial" w:hAnsi="Arial" w:cs="Arial"/>
        </w:rPr>
        <w:t xml:space="preserve"> are however beyond the scope of this paper.</w:t>
      </w:r>
    </w:p>
    <w:p w:rsidR="00BD5472" w:rsidRDefault="00BD5472" w:rsidP="000838B0">
      <w:pPr>
        <w:contextualSpacing/>
        <w:jc w:val="both"/>
        <w:rPr>
          <w:rFonts w:ascii="Arial" w:hAnsi="Arial" w:cs="Arial"/>
        </w:rPr>
      </w:pPr>
    </w:p>
    <w:p w:rsidR="00BD5472" w:rsidRPr="006A56B3" w:rsidRDefault="00C01F6A" w:rsidP="000838B0">
      <w:pPr>
        <w:contextualSpacing/>
        <w:jc w:val="both"/>
        <w:rPr>
          <w:rFonts w:ascii="Arial" w:hAnsi="Arial" w:cs="Arial"/>
          <w:u w:val="single"/>
        </w:rPr>
      </w:pPr>
      <w:r w:rsidRPr="006A56B3">
        <w:rPr>
          <w:rFonts w:ascii="Arial" w:hAnsi="Arial" w:cs="Arial"/>
          <w:u w:val="single"/>
        </w:rPr>
        <w:t xml:space="preserve">The </w:t>
      </w:r>
      <w:r w:rsidR="00BD5472" w:rsidRPr="006A56B3">
        <w:rPr>
          <w:rFonts w:ascii="Arial" w:hAnsi="Arial" w:cs="Arial"/>
          <w:u w:val="single"/>
        </w:rPr>
        <w:t>Concentration Ratio (CR)</w:t>
      </w:r>
    </w:p>
    <w:p w:rsidR="006A56B3" w:rsidRDefault="006A56B3" w:rsidP="008F1533">
      <w:pPr>
        <w:contextualSpacing/>
        <w:jc w:val="both"/>
        <w:rPr>
          <w:rFonts w:ascii="Arial" w:hAnsi="Arial" w:cs="Arial"/>
        </w:rPr>
      </w:pPr>
    </w:p>
    <w:p w:rsidR="00E9752A" w:rsidRDefault="00A81399" w:rsidP="008F1533">
      <w:pPr>
        <w:contextualSpacing/>
        <w:jc w:val="both"/>
        <w:rPr>
          <w:rFonts w:ascii="Arial" w:hAnsi="Arial" w:cs="Arial"/>
        </w:rPr>
      </w:pPr>
      <w:r>
        <w:rPr>
          <w:rFonts w:ascii="Arial" w:hAnsi="Arial" w:cs="Arial"/>
        </w:rPr>
        <w:t xml:space="preserve">The concentration ratio is a </w:t>
      </w:r>
      <w:r w:rsidR="00532DC2">
        <w:rPr>
          <w:rFonts w:ascii="Arial" w:hAnsi="Arial" w:cs="Arial"/>
        </w:rPr>
        <w:t>straightforward</w:t>
      </w:r>
      <w:r>
        <w:rPr>
          <w:rFonts w:ascii="Arial" w:hAnsi="Arial" w:cs="Arial"/>
        </w:rPr>
        <w:t xml:space="preserve"> summary statistics</w:t>
      </w:r>
      <w:r w:rsidR="00F74246">
        <w:rPr>
          <w:rStyle w:val="Funotenzeichen"/>
          <w:rFonts w:ascii="Arial" w:hAnsi="Arial" w:cs="Arial"/>
        </w:rPr>
        <w:footnoteReference w:id="830"/>
      </w:r>
      <w:r>
        <w:rPr>
          <w:rFonts w:ascii="Arial" w:hAnsi="Arial" w:cs="Arial"/>
        </w:rPr>
        <w:t xml:space="preserve"> and is </w:t>
      </w:r>
      <w:r w:rsidR="008F1533" w:rsidRPr="008F1533">
        <w:rPr>
          <w:rFonts w:ascii="Arial" w:hAnsi="Arial" w:cs="Arial"/>
        </w:rPr>
        <w:t xml:space="preserve">defined as </w:t>
      </w:r>
      <w:r w:rsidR="008F1533">
        <w:rPr>
          <w:rFonts w:ascii="Arial" w:hAnsi="Arial" w:cs="Arial"/>
        </w:rPr>
        <w:t>“the</w:t>
      </w:r>
      <w:r w:rsidR="008F1533" w:rsidRPr="008F1533">
        <w:rPr>
          <w:rFonts w:ascii="Arial" w:hAnsi="Arial" w:cs="Arial"/>
        </w:rPr>
        <w:t xml:space="preserve"> percentage of total industry sales (or capacity, or employment, or value added, or physical output)</w:t>
      </w:r>
      <w:r w:rsidR="008F1533">
        <w:rPr>
          <w:rFonts w:ascii="Arial" w:hAnsi="Arial" w:cs="Arial"/>
        </w:rPr>
        <w:t>”</w:t>
      </w:r>
      <w:r w:rsidR="008F1533">
        <w:rPr>
          <w:rStyle w:val="Funotenzeichen"/>
          <w:rFonts w:ascii="Arial" w:hAnsi="Arial" w:cs="Arial"/>
        </w:rPr>
        <w:footnoteReference w:id="831"/>
      </w:r>
      <w:r w:rsidR="008F1533">
        <w:rPr>
          <w:rFonts w:ascii="Arial" w:hAnsi="Arial" w:cs="Arial"/>
        </w:rPr>
        <w:t xml:space="preserve"> contributed by an </w:t>
      </w:r>
      <w:r>
        <w:rPr>
          <w:rFonts w:ascii="Arial" w:hAnsi="Arial" w:cs="Arial"/>
        </w:rPr>
        <w:t>N</w:t>
      </w:r>
      <w:r w:rsidR="008F1533">
        <w:rPr>
          <w:rFonts w:ascii="Arial" w:hAnsi="Arial" w:cs="Arial"/>
        </w:rPr>
        <w:t xml:space="preserve"> number of leading firms within </w:t>
      </w:r>
      <w:r w:rsidR="00532DC2">
        <w:rPr>
          <w:rFonts w:ascii="Arial" w:hAnsi="Arial" w:cs="Arial"/>
        </w:rPr>
        <w:t>the</w:t>
      </w:r>
      <w:r w:rsidR="008F1533">
        <w:rPr>
          <w:rFonts w:ascii="Arial" w:hAnsi="Arial" w:cs="Arial"/>
        </w:rPr>
        <w:t xml:space="preserve"> </w:t>
      </w:r>
      <w:r w:rsidR="00C95E41">
        <w:rPr>
          <w:rFonts w:ascii="Arial" w:hAnsi="Arial" w:cs="Arial"/>
        </w:rPr>
        <w:t xml:space="preserve">relevant </w:t>
      </w:r>
      <w:r w:rsidR="008F1533">
        <w:rPr>
          <w:rFonts w:ascii="Arial" w:hAnsi="Arial" w:cs="Arial"/>
        </w:rPr>
        <w:t>market.</w:t>
      </w:r>
      <w:r w:rsidR="008F1533">
        <w:rPr>
          <w:rStyle w:val="Funotenzeichen"/>
          <w:rFonts w:ascii="Arial" w:hAnsi="Arial" w:cs="Arial"/>
        </w:rPr>
        <w:footnoteReference w:id="832"/>
      </w:r>
      <w:r w:rsidR="008F1533">
        <w:rPr>
          <w:rFonts w:ascii="Arial" w:hAnsi="Arial" w:cs="Arial"/>
        </w:rPr>
        <w:t xml:space="preserve"> </w:t>
      </w:r>
      <w:r w:rsidR="00B602EA">
        <w:rPr>
          <w:rFonts w:ascii="Arial" w:hAnsi="Arial" w:cs="Arial"/>
        </w:rPr>
        <w:t xml:space="preserve">Accordingly, the CR </w:t>
      </w:r>
      <w:r w:rsidR="00D07D68">
        <w:rPr>
          <w:rFonts w:ascii="Arial" w:hAnsi="Arial" w:cs="Arial"/>
        </w:rPr>
        <w:t>is</w:t>
      </w:r>
      <w:r w:rsidR="00B602EA">
        <w:rPr>
          <w:rFonts w:ascii="Arial" w:hAnsi="Arial" w:cs="Arial"/>
        </w:rPr>
        <w:t xml:space="preserve"> written as follows:</w:t>
      </w:r>
    </w:p>
    <w:p w:rsidR="00E9752A" w:rsidRPr="00EC14F3" w:rsidRDefault="0009210E" w:rsidP="00B602EA">
      <w:pPr>
        <w:spacing w:line="240" w:lineRule="auto"/>
        <w:contextualSpacing/>
        <w:jc w:val="center"/>
        <w:rPr>
          <w:rFonts w:ascii="Arial" w:hAnsi="Arial" w:cs="Arial"/>
          <w:sz w:val="28"/>
          <w:szCs w:val="28"/>
        </w:rPr>
      </w:pPr>
      <w:r>
        <w:rPr>
          <w:rFonts w:ascii="Arial" w:hAnsi="Arial" w:cs="Arial"/>
          <w:vertAlign w:val="subscript"/>
        </w:rPr>
        <w:t xml:space="preserve">  </w:t>
      </w:r>
      <w:r w:rsidR="009F55F9">
        <w:rPr>
          <w:rFonts w:ascii="Arial" w:hAnsi="Arial" w:cs="Arial"/>
          <w:vertAlign w:val="subscript"/>
        </w:rPr>
        <w:t xml:space="preserve">        </w:t>
      </w:r>
      <w:r w:rsidR="00EC14F3">
        <w:rPr>
          <w:rFonts w:ascii="Arial" w:hAnsi="Arial" w:cs="Arial"/>
        </w:rPr>
        <w:t>n</w:t>
      </w:r>
    </w:p>
    <w:p w:rsidR="00E9752A" w:rsidRPr="00B602EA" w:rsidRDefault="009F55F9" w:rsidP="00B602EA">
      <w:pPr>
        <w:spacing w:line="240" w:lineRule="auto"/>
        <w:contextualSpacing/>
        <w:jc w:val="center"/>
        <w:rPr>
          <w:rFonts w:ascii="Arial" w:hAnsi="Arial" w:cs="Arial"/>
          <w:sz w:val="40"/>
          <w:szCs w:val="40"/>
          <w:vertAlign w:val="subscript"/>
        </w:rPr>
      </w:pPr>
      <w:r w:rsidRPr="009F55F9">
        <w:rPr>
          <w:rFonts w:ascii="Arial" w:hAnsi="Arial" w:cs="Arial"/>
          <w:noProof/>
          <w:sz w:val="28"/>
          <w:szCs w:val="28"/>
          <w:lang w:eastAsia="en-GB"/>
        </w:rPr>
        <w:t>CR</w:t>
      </w:r>
      <w:r w:rsidRPr="009F55F9">
        <w:rPr>
          <w:rFonts w:ascii="Arial" w:hAnsi="Arial" w:cs="Arial"/>
          <w:noProof/>
          <w:sz w:val="28"/>
          <w:szCs w:val="28"/>
          <w:vertAlign w:val="subscript"/>
          <w:lang w:eastAsia="en-GB"/>
        </w:rPr>
        <w:t>n</w:t>
      </w:r>
      <w:r>
        <w:rPr>
          <w:rFonts w:ascii="Arial" w:hAnsi="Arial" w:cs="Arial"/>
          <w:noProof/>
          <w:sz w:val="28"/>
          <w:szCs w:val="28"/>
          <w:vertAlign w:val="subscript"/>
          <w:lang w:eastAsia="en-GB"/>
        </w:rPr>
        <w:t xml:space="preserve"> </w:t>
      </w:r>
      <w:r>
        <w:rPr>
          <w:rFonts w:ascii="Arial" w:hAnsi="Arial" w:cs="Arial"/>
          <w:noProof/>
          <w:sz w:val="40"/>
          <w:szCs w:val="40"/>
          <w:vertAlign w:val="subscript"/>
          <w:lang w:eastAsia="en-GB"/>
        </w:rPr>
        <w:t>=</w:t>
      </w:r>
      <w:r w:rsidR="00B602EA" w:rsidRPr="0009210E">
        <w:rPr>
          <w:rFonts w:ascii="Arial" w:hAnsi="Arial" w:cs="Arial"/>
          <w:noProof/>
          <w:sz w:val="44"/>
          <w:szCs w:val="44"/>
          <w:lang w:eastAsia="en-GB"/>
        </w:rPr>
        <w:t>∑</w:t>
      </w:r>
      <w:r w:rsidR="00B602EA" w:rsidRPr="0009210E">
        <w:rPr>
          <w:rFonts w:ascii="Arial" w:hAnsi="Arial" w:cs="Arial"/>
          <w:noProof/>
          <w:lang w:eastAsia="en-GB"/>
        </w:rPr>
        <w:t>S</w:t>
      </w:r>
      <w:r w:rsidR="00B602EA" w:rsidRPr="0009210E">
        <w:rPr>
          <w:rFonts w:ascii="Arial" w:hAnsi="Arial" w:cs="Arial"/>
          <w:noProof/>
          <w:sz w:val="28"/>
          <w:szCs w:val="28"/>
          <w:vertAlign w:val="subscript"/>
          <w:lang w:eastAsia="en-GB"/>
        </w:rPr>
        <w:t>i</w:t>
      </w:r>
    </w:p>
    <w:p w:rsidR="00E9752A" w:rsidRPr="00EC14F3" w:rsidRDefault="0009210E" w:rsidP="00B602EA">
      <w:pPr>
        <w:spacing w:line="240" w:lineRule="auto"/>
        <w:contextualSpacing/>
        <w:jc w:val="center"/>
        <w:rPr>
          <w:rFonts w:ascii="Arial" w:hAnsi="Arial" w:cs="Arial"/>
          <w:sz w:val="28"/>
          <w:szCs w:val="28"/>
        </w:rPr>
      </w:pPr>
      <w:r w:rsidRPr="009F55F9">
        <w:rPr>
          <w:rFonts w:ascii="Arial" w:hAnsi="Arial" w:cs="Arial"/>
          <w:sz w:val="28"/>
          <w:szCs w:val="28"/>
          <w:vertAlign w:val="subscript"/>
        </w:rPr>
        <w:t xml:space="preserve">  </w:t>
      </w:r>
      <w:r w:rsidR="009F55F9" w:rsidRPr="009F55F9">
        <w:rPr>
          <w:rFonts w:ascii="Arial" w:hAnsi="Arial" w:cs="Arial"/>
          <w:sz w:val="28"/>
          <w:szCs w:val="28"/>
          <w:vertAlign w:val="subscript"/>
        </w:rPr>
        <w:t xml:space="preserve">        </w:t>
      </w:r>
      <w:r w:rsidR="00B602EA" w:rsidRPr="009F55F9">
        <w:rPr>
          <w:rFonts w:ascii="Arial" w:hAnsi="Arial" w:cs="Arial"/>
          <w:sz w:val="28"/>
          <w:szCs w:val="28"/>
          <w:vertAlign w:val="subscript"/>
        </w:rPr>
        <w:t xml:space="preserve"> </w:t>
      </w:r>
      <w:r w:rsidR="00EC14F3">
        <w:rPr>
          <w:rFonts w:ascii="Arial" w:hAnsi="Arial" w:cs="Arial"/>
          <w:sz w:val="28"/>
          <w:szCs w:val="28"/>
        </w:rPr>
        <w:t>i=1</w:t>
      </w:r>
    </w:p>
    <w:p w:rsidR="009F55F9" w:rsidRDefault="009F55F9" w:rsidP="009F55F9">
      <w:pPr>
        <w:spacing w:line="240" w:lineRule="auto"/>
        <w:contextualSpacing/>
        <w:rPr>
          <w:rFonts w:ascii="Arial" w:hAnsi="Arial" w:cs="Arial"/>
        </w:rPr>
      </w:pPr>
    </w:p>
    <w:p w:rsidR="009F55F9" w:rsidRDefault="009F55F9" w:rsidP="009F55F9">
      <w:pPr>
        <w:spacing w:line="240" w:lineRule="auto"/>
        <w:contextualSpacing/>
        <w:rPr>
          <w:rFonts w:ascii="Arial" w:hAnsi="Arial" w:cs="Arial"/>
        </w:rPr>
      </w:pPr>
      <w:r>
        <w:rPr>
          <w:rFonts w:ascii="Arial" w:hAnsi="Arial" w:cs="Arial"/>
        </w:rPr>
        <w:t>Where:</w:t>
      </w:r>
    </w:p>
    <w:p w:rsidR="009F55F9" w:rsidRDefault="00B67485" w:rsidP="009F55F9">
      <w:pPr>
        <w:spacing w:line="240" w:lineRule="auto"/>
        <w:contextualSpacing/>
        <w:rPr>
          <w:rFonts w:ascii="Arial" w:hAnsi="Arial" w:cs="Arial"/>
        </w:rPr>
      </w:pPr>
      <w:r>
        <w:rPr>
          <w:rFonts w:ascii="Arial" w:hAnsi="Arial" w:cs="Arial"/>
        </w:rPr>
        <w:t>n</w:t>
      </w:r>
      <w:r w:rsidR="009F55F9">
        <w:rPr>
          <w:rFonts w:ascii="Arial" w:hAnsi="Arial" w:cs="Arial"/>
        </w:rPr>
        <w:t xml:space="preserve"> = the number of firms being measured.</w:t>
      </w:r>
    </w:p>
    <w:p w:rsidR="009F55F9" w:rsidRPr="009F55F9" w:rsidRDefault="009F55F9" w:rsidP="009F55F9">
      <w:pPr>
        <w:spacing w:line="240" w:lineRule="auto"/>
        <w:contextualSpacing/>
        <w:rPr>
          <w:rFonts w:ascii="Arial" w:hAnsi="Arial" w:cs="Arial"/>
        </w:rPr>
      </w:pPr>
      <w:r>
        <w:rPr>
          <w:rFonts w:ascii="Arial" w:hAnsi="Arial" w:cs="Arial"/>
        </w:rPr>
        <w:t>S</w:t>
      </w:r>
      <w:r>
        <w:rPr>
          <w:rFonts w:ascii="Arial" w:hAnsi="Arial" w:cs="Arial"/>
          <w:vertAlign w:val="subscript"/>
        </w:rPr>
        <w:t>i</w:t>
      </w:r>
      <w:r>
        <w:rPr>
          <w:rFonts w:ascii="Arial" w:hAnsi="Arial" w:cs="Arial"/>
        </w:rPr>
        <w:t xml:space="preserve"> = the</w:t>
      </w:r>
      <w:r w:rsidR="00532DC2">
        <w:rPr>
          <w:rFonts w:ascii="Arial" w:hAnsi="Arial" w:cs="Arial"/>
        </w:rPr>
        <w:t xml:space="preserve"> </w:t>
      </w:r>
      <w:r w:rsidR="00B67485">
        <w:rPr>
          <w:rFonts w:ascii="Arial" w:hAnsi="Arial" w:cs="Arial"/>
        </w:rPr>
        <w:t>market share</w:t>
      </w:r>
      <w:r w:rsidR="00766C6D">
        <w:rPr>
          <w:rStyle w:val="Funotenzeichen"/>
          <w:rFonts w:ascii="Arial" w:hAnsi="Arial" w:cs="Arial"/>
        </w:rPr>
        <w:footnoteReference w:id="833"/>
      </w:r>
      <w:r w:rsidR="00532DC2">
        <w:rPr>
          <w:rFonts w:ascii="Arial" w:hAnsi="Arial" w:cs="Arial"/>
        </w:rPr>
        <w:t xml:space="preserve"> of a </w:t>
      </w:r>
      <w:r w:rsidR="006A56B3">
        <w:rPr>
          <w:rFonts w:ascii="Arial" w:hAnsi="Arial" w:cs="Arial"/>
        </w:rPr>
        <w:t>specific</w:t>
      </w:r>
      <w:r w:rsidR="00532DC2">
        <w:rPr>
          <w:rFonts w:ascii="Arial" w:hAnsi="Arial" w:cs="Arial"/>
        </w:rPr>
        <w:t xml:space="preserve"> firm.</w:t>
      </w:r>
    </w:p>
    <w:p w:rsidR="00E9752A" w:rsidRDefault="00E9752A" w:rsidP="008F1533">
      <w:pPr>
        <w:contextualSpacing/>
        <w:jc w:val="both"/>
        <w:rPr>
          <w:rFonts w:ascii="Arial" w:hAnsi="Arial" w:cs="Arial"/>
        </w:rPr>
      </w:pPr>
    </w:p>
    <w:p w:rsidR="00532DC2" w:rsidRDefault="00A81399" w:rsidP="008F1533">
      <w:pPr>
        <w:contextualSpacing/>
        <w:jc w:val="both"/>
        <w:rPr>
          <w:rFonts w:ascii="Arial" w:hAnsi="Arial" w:cs="Arial"/>
        </w:rPr>
      </w:pPr>
      <w:r>
        <w:rPr>
          <w:rFonts w:ascii="Arial" w:hAnsi="Arial" w:cs="Arial"/>
        </w:rPr>
        <w:t>Concentration ratios come in a variety of different categories for example CR</w:t>
      </w:r>
      <w:r>
        <w:rPr>
          <w:rFonts w:ascii="Arial" w:hAnsi="Arial" w:cs="Arial"/>
          <w:vertAlign w:val="subscript"/>
        </w:rPr>
        <w:t>4</w:t>
      </w:r>
      <w:r>
        <w:rPr>
          <w:rFonts w:ascii="Arial" w:hAnsi="Arial" w:cs="Arial"/>
        </w:rPr>
        <w:t>, CR</w:t>
      </w:r>
      <w:r>
        <w:rPr>
          <w:rFonts w:ascii="Arial" w:hAnsi="Arial" w:cs="Arial"/>
          <w:vertAlign w:val="subscript"/>
        </w:rPr>
        <w:t>8</w:t>
      </w:r>
      <w:r>
        <w:rPr>
          <w:rFonts w:ascii="Arial" w:hAnsi="Arial" w:cs="Arial"/>
        </w:rPr>
        <w:t xml:space="preserve"> and CR</w:t>
      </w:r>
      <w:r>
        <w:rPr>
          <w:rFonts w:ascii="Arial" w:hAnsi="Arial" w:cs="Arial"/>
          <w:vertAlign w:val="subscript"/>
        </w:rPr>
        <w:t>10</w:t>
      </w:r>
      <w:r>
        <w:rPr>
          <w:rFonts w:ascii="Arial" w:hAnsi="Arial" w:cs="Arial"/>
        </w:rPr>
        <w:t>.</w:t>
      </w:r>
      <w:r w:rsidR="00F74246">
        <w:rPr>
          <w:rStyle w:val="Funotenzeichen"/>
          <w:rFonts w:ascii="Arial" w:hAnsi="Arial" w:cs="Arial"/>
        </w:rPr>
        <w:footnoteReference w:id="834"/>
      </w:r>
      <w:r>
        <w:rPr>
          <w:rFonts w:ascii="Arial" w:hAnsi="Arial" w:cs="Arial"/>
        </w:rPr>
        <w:t xml:space="preserve"> </w:t>
      </w:r>
      <w:r w:rsidR="003C1D84">
        <w:rPr>
          <w:rFonts w:ascii="Arial" w:hAnsi="Arial" w:cs="Arial"/>
        </w:rPr>
        <w:t>Where</w:t>
      </w:r>
      <w:r w:rsidR="007A7800">
        <w:rPr>
          <w:rFonts w:ascii="Arial" w:hAnsi="Arial" w:cs="Arial"/>
        </w:rPr>
        <w:t xml:space="preserve"> the</w:t>
      </w:r>
      <w:r w:rsidR="003C1D84">
        <w:rPr>
          <w:rFonts w:ascii="Arial" w:hAnsi="Arial" w:cs="Arial"/>
        </w:rPr>
        <w:t xml:space="preserve"> letters indicate how much of the market is controlled by the 4, 8 or 10 leading firms in the market.</w:t>
      </w:r>
      <w:r w:rsidR="00B52D1C">
        <w:rPr>
          <w:rStyle w:val="Funotenzeichen"/>
          <w:rFonts w:ascii="Arial" w:hAnsi="Arial" w:cs="Arial"/>
        </w:rPr>
        <w:footnoteReference w:id="835"/>
      </w:r>
      <w:r w:rsidR="003C1D84">
        <w:rPr>
          <w:rFonts w:ascii="Arial" w:hAnsi="Arial" w:cs="Arial"/>
        </w:rPr>
        <w:t xml:space="preserve"> </w:t>
      </w:r>
      <w:r w:rsidR="007A7800">
        <w:rPr>
          <w:rFonts w:ascii="Arial" w:hAnsi="Arial" w:cs="Arial"/>
        </w:rPr>
        <w:t>Stated differently</w:t>
      </w:r>
      <w:r w:rsidR="003C1D84">
        <w:rPr>
          <w:rFonts w:ascii="Arial" w:hAnsi="Arial" w:cs="Arial"/>
        </w:rPr>
        <w:t xml:space="preserve">, </w:t>
      </w:r>
      <w:r w:rsidR="007A7800">
        <w:rPr>
          <w:rFonts w:ascii="Arial" w:hAnsi="Arial" w:cs="Arial"/>
        </w:rPr>
        <w:t>the</w:t>
      </w:r>
      <w:r w:rsidR="003C1D84">
        <w:rPr>
          <w:rFonts w:ascii="Arial" w:hAnsi="Arial" w:cs="Arial"/>
        </w:rPr>
        <w:t xml:space="preserve"> CR is calculated by the </w:t>
      </w:r>
      <w:r w:rsidR="003C1D84" w:rsidRPr="003C1D84">
        <w:rPr>
          <w:rFonts w:ascii="Arial" w:hAnsi="Arial" w:cs="Arial"/>
        </w:rPr>
        <w:t>summation</w:t>
      </w:r>
      <w:r w:rsidR="003C1D84">
        <w:rPr>
          <w:rFonts w:ascii="Arial" w:hAnsi="Arial" w:cs="Arial"/>
        </w:rPr>
        <w:t xml:space="preserve"> of the market shares of the </w:t>
      </w:r>
      <w:r w:rsidR="007A7800">
        <w:rPr>
          <w:rFonts w:ascii="Arial" w:hAnsi="Arial" w:cs="Arial"/>
        </w:rPr>
        <w:t>N</w:t>
      </w:r>
      <w:r w:rsidR="003C1D84">
        <w:rPr>
          <w:rFonts w:ascii="Arial" w:hAnsi="Arial" w:cs="Arial"/>
        </w:rPr>
        <w:t xml:space="preserve"> lead</w:t>
      </w:r>
      <w:r w:rsidR="007A7800">
        <w:rPr>
          <w:rFonts w:ascii="Arial" w:hAnsi="Arial" w:cs="Arial"/>
        </w:rPr>
        <w:t>ing firms in the relevant market</w:t>
      </w:r>
      <w:r w:rsidR="003C1D84">
        <w:rPr>
          <w:rFonts w:ascii="Arial" w:hAnsi="Arial" w:cs="Arial"/>
        </w:rPr>
        <w:t>.</w:t>
      </w:r>
      <w:r w:rsidR="00501607">
        <w:rPr>
          <w:rStyle w:val="Funotenzeichen"/>
          <w:rFonts w:ascii="Arial" w:hAnsi="Arial" w:cs="Arial"/>
        </w:rPr>
        <w:footnoteReference w:id="836"/>
      </w:r>
      <w:r w:rsidR="007A7800">
        <w:rPr>
          <w:rFonts w:ascii="Arial" w:hAnsi="Arial" w:cs="Arial"/>
        </w:rPr>
        <w:t xml:space="preserve"> For example, the CR</w:t>
      </w:r>
      <w:r w:rsidR="007A7800">
        <w:rPr>
          <w:rFonts w:ascii="Arial" w:hAnsi="Arial" w:cs="Arial"/>
          <w:vertAlign w:val="subscript"/>
        </w:rPr>
        <w:t>2</w:t>
      </w:r>
      <w:r w:rsidR="007A7800">
        <w:rPr>
          <w:rFonts w:ascii="Arial" w:hAnsi="Arial" w:cs="Arial"/>
        </w:rPr>
        <w:t xml:space="preserve"> is calculated by adding the market shares of the two leading firms in the relevant market together.</w:t>
      </w:r>
      <w:r w:rsidR="0069165E">
        <w:rPr>
          <w:rStyle w:val="Funotenzeichen"/>
          <w:rFonts w:ascii="Arial" w:hAnsi="Arial" w:cs="Arial"/>
        </w:rPr>
        <w:footnoteReference w:id="837"/>
      </w:r>
      <w:r w:rsidR="00942D62">
        <w:rPr>
          <w:rFonts w:ascii="Arial" w:hAnsi="Arial" w:cs="Arial"/>
        </w:rPr>
        <w:t xml:space="preserve"> </w:t>
      </w:r>
    </w:p>
    <w:p w:rsidR="00532DC2" w:rsidRDefault="00532DC2" w:rsidP="008F1533">
      <w:pPr>
        <w:contextualSpacing/>
        <w:jc w:val="both"/>
        <w:rPr>
          <w:rFonts w:ascii="Arial" w:hAnsi="Arial" w:cs="Arial"/>
        </w:rPr>
      </w:pPr>
    </w:p>
    <w:p w:rsidR="001D4EF5" w:rsidRPr="007A7800" w:rsidRDefault="00942D62" w:rsidP="008F1533">
      <w:pPr>
        <w:contextualSpacing/>
        <w:jc w:val="both"/>
        <w:rPr>
          <w:rFonts w:ascii="Arial" w:hAnsi="Arial" w:cs="Arial"/>
        </w:rPr>
      </w:pPr>
      <w:r>
        <w:rPr>
          <w:rFonts w:ascii="Arial" w:hAnsi="Arial" w:cs="Arial"/>
        </w:rPr>
        <w:t xml:space="preserve">The CR to, </w:t>
      </w:r>
      <w:r w:rsidR="00532DC2">
        <w:rPr>
          <w:rFonts w:ascii="Arial" w:hAnsi="Arial" w:cs="Arial"/>
        </w:rPr>
        <w:t>is</w:t>
      </w:r>
      <w:r>
        <w:rPr>
          <w:rFonts w:ascii="Arial" w:hAnsi="Arial" w:cs="Arial"/>
        </w:rPr>
        <w:t xml:space="preserve"> plagued with inadequacies.</w:t>
      </w:r>
      <w:r w:rsidR="00D553AB">
        <w:rPr>
          <w:rStyle w:val="Funotenzeichen"/>
          <w:rFonts w:ascii="Arial" w:hAnsi="Arial" w:cs="Arial"/>
        </w:rPr>
        <w:footnoteReference w:id="838"/>
      </w:r>
      <w:r>
        <w:rPr>
          <w:rFonts w:ascii="Arial" w:hAnsi="Arial" w:cs="Arial"/>
        </w:rPr>
        <w:t xml:space="preserve"> The largest of these </w:t>
      </w:r>
      <w:r w:rsidR="00D553AB">
        <w:rPr>
          <w:rFonts w:ascii="Arial" w:hAnsi="Arial" w:cs="Arial"/>
        </w:rPr>
        <w:t>inadequacies</w:t>
      </w:r>
      <w:r>
        <w:rPr>
          <w:rFonts w:ascii="Arial" w:hAnsi="Arial" w:cs="Arial"/>
        </w:rPr>
        <w:t xml:space="preserve"> </w:t>
      </w:r>
      <w:r w:rsidR="00D553AB">
        <w:rPr>
          <w:rFonts w:ascii="Arial" w:hAnsi="Arial" w:cs="Arial"/>
        </w:rPr>
        <w:t>being</w:t>
      </w:r>
      <w:r>
        <w:rPr>
          <w:rFonts w:ascii="Arial" w:hAnsi="Arial" w:cs="Arial"/>
        </w:rPr>
        <w:t xml:space="preserve"> that the CR do not </w:t>
      </w:r>
      <w:r w:rsidR="00D553AB">
        <w:rPr>
          <w:rFonts w:ascii="Arial" w:hAnsi="Arial" w:cs="Arial"/>
        </w:rPr>
        <w:t xml:space="preserve">consider </w:t>
      </w:r>
      <w:r w:rsidR="00C26299">
        <w:rPr>
          <w:rFonts w:ascii="Arial" w:hAnsi="Arial" w:cs="Arial"/>
        </w:rPr>
        <w:t xml:space="preserve">all the firms in a market nor does it account for </w:t>
      </w:r>
      <w:r w:rsidR="00D553AB">
        <w:rPr>
          <w:rFonts w:ascii="Arial" w:hAnsi="Arial" w:cs="Arial"/>
        </w:rPr>
        <w:t xml:space="preserve">the differences in </w:t>
      </w:r>
      <w:r w:rsidR="00C32B8A">
        <w:rPr>
          <w:rFonts w:ascii="Arial" w:hAnsi="Arial" w:cs="Arial"/>
        </w:rPr>
        <w:t>the size</w:t>
      </w:r>
      <w:r w:rsidR="009A5A02">
        <w:rPr>
          <w:rFonts w:ascii="Arial" w:hAnsi="Arial" w:cs="Arial"/>
        </w:rPr>
        <w:t xml:space="preserve"> (size distribution)</w:t>
      </w:r>
      <w:r w:rsidR="00D553AB">
        <w:rPr>
          <w:rFonts w:ascii="Arial" w:hAnsi="Arial" w:cs="Arial"/>
        </w:rPr>
        <w:t xml:space="preserve"> of the various leading firms.</w:t>
      </w:r>
      <w:r w:rsidR="00D553AB">
        <w:rPr>
          <w:rStyle w:val="Funotenzeichen"/>
          <w:rFonts w:ascii="Arial" w:hAnsi="Arial" w:cs="Arial"/>
        </w:rPr>
        <w:footnoteReference w:id="839"/>
      </w:r>
      <w:r>
        <w:rPr>
          <w:rFonts w:ascii="Arial" w:hAnsi="Arial" w:cs="Arial"/>
        </w:rPr>
        <w:t xml:space="preserve"> </w:t>
      </w:r>
      <w:r w:rsidR="00D553AB">
        <w:rPr>
          <w:rFonts w:ascii="Arial" w:hAnsi="Arial" w:cs="Arial"/>
        </w:rPr>
        <w:t>Again, these inadequacies fall beyond the scope of this paper.</w:t>
      </w:r>
    </w:p>
    <w:p w:rsidR="008F1533" w:rsidRDefault="008F1533" w:rsidP="000838B0">
      <w:pPr>
        <w:contextualSpacing/>
        <w:jc w:val="both"/>
        <w:rPr>
          <w:rFonts w:ascii="Arial" w:hAnsi="Arial" w:cs="Arial"/>
        </w:rPr>
      </w:pPr>
    </w:p>
    <w:p w:rsidR="00C95E41" w:rsidRPr="006A56B3" w:rsidRDefault="00BE67EA" w:rsidP="000838B0">
      <w:pPr>
        <w:contextualSpacing/>
        <w:jc w:val="both"/>
        <w:rPr>
          <w:rFonts w:ascii="Arial" w:hAnsi="Arial" w:cs="Arial"/>
          <w:u w:val="single"/>
        </w:rPr>
      </w:pPr>
      <w:r w:rsidRPr="006A56B3">
        <w:rPr>
          <w:rFonts w:ascii="Arial" w:hAnsi="Arial" w:cs="Arial"/>
          <w:u w:val="single"/>
        </w:rPr>
        <w:t>Herfindahl-Hirschman Index (HHI)</w:t>
      </w:r>
    </w:p>
    <w:p w:rsidR="006A56B3" w:rsidRDefault="006A56B3" w:rsidP="00D07D68">
      <w:pPr>
        <w:spacing w:line="240" w:lineRule="auto"/>
        <w:contextualSpacing/>
        <w:jc w:val="both"/>
        <w:rPr>
          <w:rFonts w:ascii="Arial" w:hAnsi="Arial" w:cs="Arial"/>
          <w:noProof/>
          <w:lang w:eastAsia="en-GB"/>
        </w:rPr>
      </w:pPr>
    </w:p>
    <w:p w:rsidR="009A5A02" w:rsidRPr="00D07D68" w:rsidRDefault="00D07D68" w:rsidP="00D07D68">
      <w:pPr>
        <w:spacing w:line="240" w:lineRule="auto"/>
        <w:contextualSpacing/>
        <w:jc w:val="both"/>
        <w:rPr>
          <w:rFonts w:ascii="Arial" w:hAnsi="Arial" w:cs="Arial"/>
          <w:noProof/>
          <w:lang w:eastAsia="en-GB"/>
        </w:rPr>
      </w:pPr>
      <w:r w:rsidRPr="00D07D68">
        <w:rPr>
          <w:rFonts w:ascii="Arial" w:hAnsi="Arial" w:cs="Arial"/>
          <w:noProof/>
          <w:lang w:eastAsia="en-GB"/>
        </w:rPr>
        <w:t>The HHI account</w:t>
      </w:r>
      <w:r w:rsidR="005B1F67">
        <w:rPr>
          <w:rFonts w:ascii="Arial" w:hAnsi="Arial" w:cs="Arial"/>
          <w:noProof/>
          <w:lang w:eastAsia="en-GB"/>
        </w:rPr>
        <w:t>s</w:t>
      </w:r>
      <w:r w:rsidRPr="00D07D68">
        <w:rPr>
          <w:rFonts w:ascii="Arial" w:hAnsi="Arial" w:cs="Arial"/>
          <w:noProof/>
          <w:lang w:eastAsia="en-GB"/>
        </w:rPr>
        <w:t xml:space="preserve"> for the</w:t>
      </w:r>
      <w:r>
        <w:rPr>
          <w:rFonts w:ascii="Arial" w:hAnsi="Arial" w:cs="Arial"/>
          <w:noProof/>
          <w:lang w:eastAsia="en-GB"/>
        </w:rPr>
        <w:t xml:space="preserve"> total number of firms in the relevant market as well as their size distrubution</w:t>
      </w:r>
      <w:r w:rsidR="005B1F67">
        <w:rPr>
          <w:rFonts w:ascii="Arial" w:hAnsi="Arial" w:cs="Arial"/>
          <w:noProof/>
          <w:lang w:eastAsia="en-GB"/>
        </w:rPr>
        <w:t>s</w:t>
      </w:r>
      <w:r>
        <w:rPr>
          <w:rFonts w:ascii="Arial" w:hAnsi="Arial" w:cs="Arial"/>
          <w:noProof/>
          <w:lang w:eastAsia="en-GB"/>
        </w:rPr>
        <w:t>.</w:t>
      </w:r>
      <w:r w:rsidR="005136B4">
        <w:rPr>
          <w:rStyle w:val="Funotenzeichen"/>
          <w:rFonts w:ascii="Arial" w:hAnsi="Arial" w:cs="Arial"/>
          <w:noProof/>
          <w:lang w:eastAsia="en-GB"/>
        </w:rPr>
        <w:footnoteReference w:id="840"/>
      </w:r>
      <w:r>
        <w:rPr>
          <w:rFonts w:ascii="Arial" w:hAnsi="Arial" w:cs="Arial"/>
          <w:noProof/>
          <w:lang w:eastAsia="en-GB"/>
        </w:rPr>
        <w:t xml:space="preserve"> The HHI is calculated by the summation of the squares of the market shares of all the firms in the </w:t>
      </w:r>
      <w:r w:rsidR="005B1F67">
        <w:rPr>
          <w:rFonts w:ascii="Arial" w:hAnsi="Arial" w:cs="Arial"/>
          <w:noProof/>
          <w:lang w:eastAsia="en-GB"/>
        </w:rPr>
        <w:t xml:space="preserve">relevant </w:t>
      </w:r>
      <w:r>
        <w:rPr>
          <w:rFonts w:ascii="Arial" w:hAnsi="Arial" w:cs="Arial"/>
          <w:noProof/>
          <w:lang w:eastAsia="en-GB"/>
        </w:rPr>
        <w:t>market.</w:t>
      </w:r>
      <w:r w:rsidR="00092F50">
        <w:rPr>
          <w:rStyle w:val="Funotenzeichen"/>
          <w:rFonts w:ascii="Arial" w:hAnsi="Arial" w:cs="Arial"/>
          <w:noProof/>
          <w:lang w:eastAsia="en-GB"/>
        </w:rPr>
        <w:footnoteReference w:id="841"/>
      </w:r>
      <w:r>
        <w:rPr>
          <w:rFonts w:ascii="Arial" w:hAnsi="Arial" w:cs="Arial"/>
          <w:noProof/>
          <w:lang w:eastAsia="en-GB"/>
        </w:rPr>
        <w:t xml:space="preserve"> Accordingly, the HHI is written as follows:</w:t>
      </w:r>
      <w:r w:rsidR="00092F50">
        <w:rPr>
          <w:rStyle w:val="Funotenzeichen"/>
          <w:rFonts w:ascii="Arial" w:hAnsi="Arial" w:cs="Arial"/>
          <w:noProof/>
          <w:lang w:eastAsia="en-GB"/>
        </w:rPr>
        <w:footnoteReference w:id="842"/>
      </w:r>
      <w:r>
        <w:rPr>
          <w:rFonts w:ascii="Arial" w:hAnsi="Arial" w:cs="Arial"/>
          <w:noProof/>
          <w:lang w:eastAsia="en-GB"/>
        </w:rPr>
        <w:t xml:space="preserve"> </w:t>
      </w:r>
      <w:r w:rsidRPr="00D07D68">
        <w:rPr>
          <w:rFonts w:ascii="Arial" w:hAnsi="Arial" w:cs="Arial"/>
          <w:noProof/>
          <w:lang w:eastAsia="en-GB"/>
        </w:rPr>
        <w:t xml:space="preserve"> </w:t>
      </w:r>
    </w:p>
    <w:p w:rsidR="009A5A02" w:rsidRPr="00D07D68" w:rsidRDefault="00EC14F3" w:rsidP="00D07D68">
      <w:pPr>
        <w:spacing w:line="240" w:lineRule="auto"/>
        <w:contextualSpacing/>
        <w:jc w:val="both"/>
        <w:rPr>
          <w:rFonts w:ascii="Arial" w:hAnsi="Arial" w:cs="Arial"/>
          <w:noProof/>
          <w:lang w:eastAsia="en-GB"/>
        </w:rPr>
      </w:pP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 xml:space="preserve">     </w:t>
      </w:r>
      <w:r w:rsidR="00B67485">
        <w:rPr>
          <w:rFonts w:ascii="Arial" w:hAnsi="Arial" w:cs="Arial"/>
          <w:noProof/>
          <w:lang w:eastAsia="en-GB"/>
        </w:rPr>
        <w:t>n</w:t>
      </w:r>
    </w:p>
    <w:p w:rsidR="009A5A02" w:rsidRPr="00B67485" w:rsidRDefault="009A5A02" w:rsidP="009A5A02">
      <w:pPr>
        <w:spacing w:line="240" w:lineRule="auto"/>
        <w:contextualSpacing/>
        <w:jc w:val="center"/>
        <w:rPr>
          <w:rFonts w:ascii="Arial" w:hAnsi="Arial" w:cs="Arial"/>
          <w:sz w:val="40"/>
          <w:szCs w:val="40"/>
        </w:rPr>
      </w:pPr>
      <w:r w:rsidRPr="009F55F9">
        <w:rPr>
          <w:rFonts w:ascii="Arial" w:hAnsi="Arial" w:cs="Arial"/>
          <w:noProof/>
          <w:sz w:val="28"/>
          <w:szCs w:val="28"/>
          <w:lang w:eastAsia="en-GB"/>
        </w:rPr>
        <w:t>CR</w:t>
      </w:r>
      <w:r w:rsidRPr="009F55F9">
        <w:rPr>
          <w:rFonts w:ascii="Arial" w:hAnsi="Arial" w:cs="Arial"/>
          <w:noProof/>
          <w:sz w:val="28"/>
          <w:szCs w:val="28"/>
          <w:vertAlign w:val="subscript"/>
          <w:lang w:eastAsia="en-GB"/>
        </w:rPr>
        <w:t>n</w:t>
      </w:r>
      <w:r>
        <w:rPr>
          <w:rFonts w:ascii="Arial" w:hAnsi="Arial" w:cs="Arial"/>
          <w:noProof/>
          <w:sz w:val="28"/>
          <w:szCs w:val="28"/>
          <w:vertAlign w:val="subscript"/>
          <w:lang w:eastAsia="en-GB"/>
        </w:rPr>
        <w:t xml:space="preserve"> </w:t>
      </w:r>
      <w:r>
        <w:rPr>
          <w:rFonts w:ascii="Arial" w:hAnsi="Arial" w:cs="Arial"/>
          <w:noProof/>
          <w:sz w:val="40"/>
          <w:szCs w:val="40"/>
          <w:vertAlign w:val="subscript"/>
          <w:lang w:eastAsia="en-GB"/>
        </w:rPr>
        <w:t>=</w:t>
      </w:r>
      <w:r w:rsidRPr="0009210E">
        <w:rPr>
          <w:rFonts w:ascii="Arial" w:hAnsi="Arial" w:cs="Arial"/>
          <w:noProof/>
          <w:sz w:val="44"/>
          <w:szCs w:val="44"/>
          <w:lang w:eastAsia="en-GB"/>
        </w:rPr>
        <w:t>∑</w:t>
      </w:r>
      <w:r w:rsidRPr="0009210E">
        <w:rPr>
          <w:rFonts w:ascii="Arial" w:hAnsi="Arial" w:cs="Arial"/>
          <w:noProof/>
          <w:lang w:eastAsia="en-GB"/>
        </w:rPr>
        <w:t>S</w:t>
      </w:r>
      <w:r w:rsidRPr="0009210E">
        <w:rPr>
          <w:rFonts w:ascii="Arial" w:hAnsi="Arial" w:cs="Arial"/>
          <w:noProof/>
          <w:sz w:val="28"/>
          <w:szCs w:val="28"/>
          <w:vertAlign w:val="subscript"/>
          <w:lang w:eastAsia="en-GB"/>
        </w:rPr>
        <w:t>i</w:t>
      </w:r>
      <w:r w:rsidR="00B67485">
        <w:rPr>
          <w:rFonts w:ascii="Arial" w:hAnsi="Arial" w:cs="Arial"/>
          <w:noProof/>
          <w:sz w:val="28"/>
          <w:szCs w:val="28"/>
          <w:vertAlign w:val="superscript"/>
          <w:lang w:eastAsia="en-GB"/>
        </w:rPr>
        <w:t>2</w:t>
      </w:r>
    </w:p>
    <w:p w:rsidR="009A5A02" w:rsidRPr="009F2B3B" w:rsidRDefault="009A5A02" w:rsidP="009A5A02">
      <w:pPr>
        <w:spacing w:line="240" w:lineRule="auto"/>
        <w:contextualSpacing/>
        <w:jc w:val="center"/>
        <w:rPr>
          <w:rFonts w:ascii="Arial" w:hAnsi="Arial" w:cs="Arial"/>
          <w:sz w:val="28"/>
          <w:szCs w:val="28"/>
        </w:rPr>
      </w:pPr>
      <w:r w:rsidRPr="009F55F9">
        <w:rPr>
          <w:rFonts w:ascii="Arial" w:hAnsi="Arial" w:cs="Arial"/>
          <w:sz w:val="28"/>
          <w:szCs w:val="28"/>
          <w:vertAlign w:val="subscript"/>
        </w:rPr>
        <w:t xml:space="preserve">           </w:t>
      </w:r>
      <w:r w:rsidRPr="009F2B3B">
        <w:rPr>
          <w:rFonts w:ascii="Arial" w:hAnsi="Arial" w:cs="Arial"/>
          <w:sz w:val="28"/>
          <w:szCs w:val="28"/>
        </w:rPr>
        <w:t>i=1</w:t>
      </w:r>
    </w:p>
    <w:p w:rsidR="00836F71" w:rsidRDefault="00836F71" w:rsidP="000838B0">
      <w:pPr>
        <w:contextualSpacing/>
        <w:jc w:val="both"/>
        <w:rPr>
          <w:rFonts w:ascii="Arial" w:hAnsi="Arial" w:cs="Arial"/>
        </w:rPr>
      </w:pPr>
    </w:p>
    <w:p w:rsidR="00B67485" w:rsidRDefault="00B67485" w:rsidP="00B67485">
      <w:pPr>
        <w:spacing w:line="240" w:lineRule="auto"/>
        <w:contextualSpacing/>
        <w:rPr>
          <w:rFonts w:ascii="Arial" w:hAnsi="Arial" w:cs="Arial"/>
        </w:rPr>
      </w:pPr>
      <w:r>
        <w:rPr>
          <w:rFonts w:ascii="Arial" w:hAnsi="Arial" w:cs="Arial"/>
        </w:rPr>
        <w:t>Where:</w:t>
      </w:r>
    </w:p>
    <w:p w:rsidR="00B67485" w:rsidRDefault="00B67485" w:rsidP="00B67485">
      <w:pPr>
        <w:spacing w:line="240" w:lineRule="auto"/>
        <w:contextualSpacing/>
        <w:rPr>
          <w:rFonts w:ascii="Arial" w:hAnsi="Arial" w:cs="Arial"/>
        </w:rPr>
      </w:pPr>
      <w:r>
        <w:rPr>
          <w:rFonts w:ascii="Arial" w:hAnsi="Arial" w:cs="Arial"/>
        </w:rPr>
        <w:t>n  = the total number of firms in the market.</w:t>
      </w:r>
    </w:p>
    <w:p w:rsidR="00836F71" w:rsidRDefault="00B67485" w:rsidP="00B67485">
      <w:pPr>
        <w:contextualSpacing/>
        <w:jc w:val="both"/>
        <w:rPr>
          <w:rFonts w:ascii="Arial" w:hAnsi="Arial" w:cs="Arial"/>
        </w:rPr>
      </w:pPr>
      <w:r>
        <w:rPr>
          <w:rFonts w:ascii="Arial" w:hAnsi="Arial" w:cs="Arial"/>
        </w:rPr>
        <w:t>S</w:t>
      </w:r>
      <w:r>
        <w:rPr>
          <w:rFonts w:ascii="Arial" w:hAnsi="Arial" w:cs="Arial"/>
          <w:vertAlign w:val="subscript"/>
        </w:rPr>
        <w:t>i</w:t>
      </w:r>
      <w:r>
        <w:rPr>
          <w:rFonts w:ascii="Arial" w:hAnsi="Arial" w:cs="Arial"/>
        </w:rPr>
        <w:t xml:space="preserve"> = the market share</w:t>
      </w:r>
      <w:r w:rsidR="00457B34">
        <w:rPr>
          <w:rStyle w:val="Funotenzeichen"/>
          <w:rFonts w:ascii="Arial" w:hAnsi="Arial" w:cs="Arial"/>
        </w:rPr>
        <w:footnoteReference w:id="843"/>
      </w:r>
      <w:r>
        <w:rPr>
          <w:rFonts w:ascii="Arial" w:hAnsi="Arial" w:cs="Arial"/>
        </w:rPr>
        <w:t xml:space="preserve"> of a particular firm.</w:t>
      </w:r>
    </w:p>
    <w:p w:rsidR="00836F71" w:rsidRDefault="00836F71" w:rsidP="000838B0">
      <w:pPr>
        <w:contextualSpacing/>
        <w:jc w:val="both"/>
        <w:rPr>
          <w:rFonts w:ascii="Arial" w:hAnsi="Arial" w:cs="Arial"/>
        </w:rPr>
      </w:pPr>
    </w:p>
    <w:p w:rsidR="001F30F0" w:rsidRDefault="001808F5" w:rsidP="000838B0">
      <w:pPr>
        <w:contextualSpacing/>
        <w:jc w:val="both"/>
        <w:rPr>
          <w:rFonts w:ascii="Arial" w:hAnsi="Arial" w:cs="Arial"/>
        </w:rPr>
      </w:pPr>
      <w:r>
        <w:rPr>
          <w:rFonts w:ascii="Arial" w:hAnsi="Arial" w:cs="Arial"/>
        </w:rPr>
        <w:t>The HHI can have an index value between zero and 10000.</w:t>
      </w:r>
      <w:r w:rsidR="00C967B8">
        <w:rPr>
          <w:rStyle w:val="Funotenzeichen"/>
          <w:rFonts w:ascii="Arial" w:hAnsi="Arial" w:cs="Arial"/>
        </w:rPr>
        <w:footnoteReference w:id="844"/>
      </w:r>
      <w:r>
        <w:rPr>
          <w:rFonts w:ascii="Arial" w:hAnsi="Arial" w:cs="Arial"/>
        </w:rPr>
        <w:t xml:space="preserve"> An index value of zero indicates that </w:t>
      </w:r>
      <w:r w:rsidR="00C967B8">
        <w:rPr>
          <w:rFonts w:ascii="Arial" w:hAnsi="Arial" w:cs="Arial"/>
        </w:rPr>
        <w:t xml:space="preserve">each of the firms in </w:t>
      </w:r>
      <w:r>
        <w:rPr>
          <w:rFonts w:ascii="Arial" w:hAnsi="Arial" w:cs="Arial"/>
        </w:rPr>
        <w:t xml:space="preserve">the market have an </w:t>
      </w:r>
      <w:r w:rsidR="00C967B8">
        <w:rPr>
          <w:rFonts w:ascii="Arial" w:hAnsi="Arial" w:cs="Arial"/>
        </w:rPr>
        <w:t>immeasurable</w:t>
      </w:r>
      <w:r>
        <w:rPr>
          <w:rFonts w:ascii="Arial" w:hAnsi="Arial" w:cs="Arial"/>
        </w:rPr>
        <w:t xml:space="preserve"> small market share.</w:t>
      </w:r>
      <w:r w:rsidR="00EF0CA7">
        <w:rPr>
          <w:rStyle w:val="Funotenzeichen"/>
          <w:rFonts w:ascii="Arial" w:hAnsi="Arial" w:cs="Arial"/>
        </w:rPr>
        <w:footnoteReference w:id="845"/>
      </w:r>
      <w:r>
        <w:rPr>
          <w:rFonts w:ascii="Arial" w:hAnsi="Arial" w:cs="Arial"/>
        </w:rPr>
        <w:t xml:space="preserve"> This indicates that the market is perfectly competitive.</w:t>
      </w:r>
      <w:r w:rsidR="00EF0CA7">
        <w:rPr>
          <w:rStyle w:val="Funotenzeichen"/>
          <w:rFonts w:ascii="Arial" w:hAnsi="Arial" w:cs="Arial"/>
        </w:rPr>
        <w:footnoteReference w:id="846"/>
      </w:r>
      <w:r w:rsidR="00C967B8">
        <w:rPr>
          <w:rFonts w:ascii="Arial" w:hAnsi="Arial" w:cs="Arial"/>
        </w:rPr>
        <w:t xml:space="preserve"> An index value of 10000 indicates that one firm has a 100 percent market share (100</w:t>
      </w:r>
      <w:r w:rsidR="00C967B8">
        <w:rPr>
          <w:rFonts w:ascii="Arial" w:hAnsi="Arial" w:cs="Arial"/>
          <w:vertAlign w:val="superscript"/>
        </w:rPr>
        <w:t>2</w:t>
      </w:r>
      <w:r w:rsidR="00C967B8">
        <w:rPr>
          <w:rFonts w:ascii="Arial" w:hAnsi="Arial" w:cs="Arial"/>
        </w:rPr>
        <w:t xml:space="preserve"> = 10000).</w:t>
      </w:r>
      <w:r w:rsidR="00EF0CA7">
        <w:rPr>
          <w:rStyle w:val="Funotenzeichen"/>
          <w:rFonts w:ascii="Arial" w:hAnsi="Arial" w:cs="Arial"/>
        </w:rPr>
        <w:footnoteReference w:id="847"/>
      </w:r>
      <w:r>
        <w:rPr>
          <w:rFonts w:ascii="Arial" w:hAnsi="Arial" w:cs="Arial"/>
        </w:rPr>
        <w:t xml:space="preserve"> </w:t>
      </w:r>
      <w:r w:rsidR="00C967B8">
        <w:rPr>
          <w:rFonts w:ascii="Arial" w:hAnsi="Arial" w:cs="Arial"/>
        </w:rPr>
        <w:t>This indicates that the market is a monopoly market.</w:t>
      </w:r>
      <w:r w:rsidR="00EF0CA7">
        <w:rPr>
          <w:rStyle w:val="Funotenzeichen"/>
          <w:rFonts w:ascii="Arial" w:hAnsi="Arial" w:cs="Arial"/>
        </w:rPr>
        <w:footnoteReference w:id="848"/>
      </w:r>
      <w:r w:rsidR="00EF3F3B">
        <w:rPr>
          <w:rFonts w:ascii="Arial" w:hAnsi="Arial" w:cs="Arial"/>
        </w:rPr>
        <w:t xml:space="preserve"> </w:t>
      </w:r>
    </w:p>
    <w:p w:rsidR="001F30F0" w:rsidRDefault="001F30F0" w:rsidP="000838B0">
      <w:pPr>
        <w:contextualSpacing/>
        <w:jc w:val="both"/>
        <w:rPr>
          <w:rFonts w:ascii="Arial" w:hAnsi="Arial" w:cs="Arial"/>
        </w:rPr>
      </w:pPr>
    </w:p>
    <w:p w:rsidR="001F30F0" w:rsidRDefault="00155962" w:rsidP="000838B0">
      <w:pPr>
        <w:contextualSpacing/>
        <w:jc w:val="both"/>
        <w:rPr>
          <w:rFonts w:ascii="Arial" w:hAnsi="Arial" w:cs="Arial"/>
        </w:rPr>
      </w:pPr>
      <w:r>
        <w:rPr>
          <w:rFonts w:ascii="Arial" w:hAnsi="Arial" w:cs="Arial"/>
        </w:rPr>
        <w:t>The US Merger Guidelines of 1992 divides the HHI into three regions.</w:t>
      </w:r>
      <w:r w:rsidR="00F20DED">
        <w:rPr>
          <w:rStyle w:val="Funotenzeichen"/>
          <w:rFonts w:ascii="Arial" w:hAnsi="Arial" w:cs="Arial"/>
        </w:rPr>
        <w:footnoteReference w:id="849"/>
      </w:r>
      <w:r>
        <w:rPr>
          <w:rFonts w:ascii="Arial" w:hAnsi="Arial" w:cs="Arial"/>
        </w:rPr>
        <w:t xml:space="preserve"> Region one encompasses all values between zero and 1000, region two encompasses all values between 1000 and 1800 and region three encompasses all values higher than 1800.</w:t>
      </w:r>
      <w:r w:rsidR="00F20DED">
        <w:rPr>
          <w:rStyle w:val="Funotenzeichen"/>
          <w:rFonts w:ascii="Arial" w:hAnsi="Arial" w:cs="Arial"/>
        </w:rPr>
        <w:footnoteReference w:id="850"/>
      </w:r>
      <w:r>
        <w:rPr>
          <w:rFonts w:ascii="Arial" w:hAnsi="Arial" w:cs="Arial"/>
        </w:rPr>
        <w:t xml:space="preserve"> Additionally, the regions are characterised</w:t>
      </w:r>
      <w:r w:rsidR="001F30F0">
        <w:rPr>
          <w:rFonts w:ascii="Arial" w:hAnsi="Arial" w:cs="Arial"/>
        </w:rPr>
        <w:t xml:space="preserve"> respectively</w:t>
      </w:r>
      <w:r>
        <w:rPr>
          <w:rFonts w:ascii="Arial" w:hAnsi="Arial" w:cs="Arial"/>
        </w:rPr>
        <w:t xml:space="preserve"> as unconcentrated, moderately concentrated and highly concentrated.</w:t>
      </w:r>
      <w:r w:rsidR="00F20DED">
        <w:rPr>
          <w:rStyle w:val="Funotenzeichen"/>
          <w:rFonts w:ascii="Arial" w:hAnsi="Arial" w:cs="Arial"/>
        </w:rPr>
        <w:footnoteReference w:id="851"/>
      </w:r>
      <w:r w:rsidR="00B5709D">
        <w:rPr>
          <w:rFonts w:ascii="Arial" w:hAnsi="Arial" w:cs="Arial"/>
        </w:rPr>
        <w:t xml:space="preserve"> </w:t>
      </w:r>
    </w:p>
    <w:p w:rsidR="001F30F0" w:rsidRDefault="001F30F0" w:rsidP="000838B0">
      <w:pPr>
        <w:contextualSpacing/>
        <w:jc w:val="both"/>
        <w:rPr>
          <w:rFonts w:ascii="Arial" w:hAnsi="Arial" w:cs="Arial"/>
        </w:rPr>
      </w:pPr>
    </w:p>
    <w:p w:rsidR="001808F5" w:rsidRDefault="001F30F0" w:rsidP="000838B0">
      <w:pPr>
        <w:contextualSpacing/>
        <w:jc w:val="both"/>
        <w:rPr>
          <w:rFonts w:ascii="Arial" w:hAnsi="Arial" w:cs="Arial"/>
        </w:rPr>
      </w:pPr>
      <w:r>
        <w:rPr>
          <w:rFonts w:ascii="Arial" w:hAnsi="Arial" w:cs="Arial"/>
        </w:rPr>
        <w:t>Furthermore, t</w:t>
      </w:r>
      <w:r w:rsidR="00B5709D">
        <w:rPr>
          <w:rFonts w:ascii="Arial" w:hAnsi="Arial" w:cs="Arial"/>
        </w:rPr>
        <w:t xml:space="preserve">he HHI has various mathematical and economic theory </w:t>
      </w:r>
      <w:r w:rsidR="00E770D5">
        <w:rPr>
          <w:rFonts w:ascii="Arial" w:hAnsi="Arial" w:cs="Arial"/>
        </w:rPr>
        <w:t xml:space="preserve">characteristics which makes it an attractive concentration </w:t>
      </w:r>
      <w:r w:rsidR="00E770D5" w:rsidRPr="00E770D5">
        <w:rPr>
          <w:rFonts w:ascii="Arial" w:hAnsi="Arial" w:cs="Arial"/>
        </w:rPr>
        <w:t>index</w:t>
      </w:r>
      <w:r w:rsidR="00E770D5">
        <w:rPr>
          <w:rFonts w:ascii="Arial" w:hAnsi="Arial" w:cs="Arial"/>
        </w:rPr>
        <w:t>.</w:t>
      </w:r>
      <w:r w:rsidR="00E770D5">
        <w:rPr>
          <w:rStyle w:val="Funotenzeichen"/>
          <w:rFonts w:ascii="Arial" w:hAnsi="Arial" w:cs="Arial"/>
        </w:rPr>
        <w:footnoteReference w:id="852"/>
      </w:r>
      <w:r w:rsidR="00E770D5">
        <w:rPr>
          <w:rFonts w:ascii="Arial" w:hAnsi="Arial" w:cs="Arial"/>
        </w:rPr>
        <w:t xml:space="preserve"> One of these characteristics is that it recognises the important influence </w:t>
      </w:r>
      <w:r>
        <w:rPr>
          <w:rFonts w:ascii="Arial" w:hAnsi="Arial" w:cs="Arial"/>
        </w:rPr>
        <w:t>of</w:t>
      </w:r>
      <w:r w:rsidR="00E770D5">
        <w:rPr>
          <w:rFonts w:ascii="Arial" w:hAnsi="Arial" w:cs="Arial"/>
        </w:rPr>
        <w:t xml:space="preserve"> large firms have on the degree of competition in a market while also recognising the influence of smaller firms.</w:t>
      </w:r>
      <w:r w:rsidR="00E770D5">
        <w:rPr>
          <w:rStyle w:val="Funotenzeichen"/>
          <w:rFonts w:ascii="Arial" w:hAnsi="Arial" w:cs="Arial"/>
        </w:rPr>
        <w:footnoteReference w:id="853"/>
      </w:r>
      <w:r w:rsidR="00E770D5">
        <w:rPr>
          <w:rFonts w:ascii="Arial" w:hAnsi="Arial" w:cs="Arial"/>
        </w:rPr>
        <w:t xml:space="preserve"> </w:t>
      </w:r>
      <w:r w:rsidR="00C4059B">
        <w:rPr>
          <w:rFonts w:ascii="Arial" w:hAnsi="Arial" w:cs="Arial"/>
        </w:rPr>
        <w:t>Despite of the advantage of using the HHI to measure market concentration there is no consensus in South Africa on which measure is best</w:t>
      </w:r>
      <w:r w:rsidR="00CA51CE">
        <w:rPr>
          <w:rFonts w:ascii="Arial" w:hAnsi="Arial" w:cs="Arial"/>
        </w:rPr>
        <w:t xml:space="preserve"> seeing that concentration is a highly </w:t>
      </w:r>
      <w:r w:rsidR="0073651B">
        <w:rPr>
          <w:rFonts w:ascii="Arial" w:hAnsi="Arial" w:cs="Arial"/>
        </w:rPr>
        <w:t>complex concept and extremely difficult to measure</w:t>
      </w:r>
      <w:r w:rsidR="00C4059B">
        <w:rPr>
          <w:rFonts w:ascii="Arial" w:hAnsi="Arial" w:cs="Arial"/>
        </w:rPr>
        <w:t>.</w:t>
      </w:r>
      <w:r w:rsidR="00C4059B">
        <w:rPr>
          <w:rStyle w:val="Funotenzeichen"/>
          <w:rFonts w:ascii="Arial" w:hAnsi="Arial" w:cs="Arial"/>
        </w:rPr>
        <w:footnoteReference w:id="854"/>
      </w:r>
      <w:r w:rsidR="00C4059B">
        <w:rPr>
          <w:rFonts w:ascii="Arial" w:hAnsi="Arial" w:cs="Arial"/>
        </w:rPr>
        <w:t xml:space="preserve"> </w:t>
      </w:r>
    </w:p>
    <w:p w:rsidR="00141D81" w:rsidRDefault="00141D81" w:rsidP="000838B0">
      <w:pPr>
        <w:contextualSpacing/>
        <w:jc w:val="both"/>
        <w:rPr>
          <w:rFonts w:ascii="Arial" w:hAnsi="Arial" w:cs="Arial"/>
        </w:rPr>
      </w:pPr>
    </w:p>
    <w:p w:rsidR="00141D81" w:rsidRDefault="001F30F0" w:rsidP="002F2C51">
      <w:pPr>
        <w:contextualSpacing/>
        <w:jc w:val="both"/>
        <w:rPr>
          <w:rFonts w:ascii="Arial" w:hAnsi="Arial" w:cs="Arial"/>
        </w:rPr>
      </w:pPr>
      <w:r>
        <w:rPr>
          <w:rFonts w:ascii="Arial" w:hAnsi="Arial" w:cs="Arial"/>
        </w:rPr>
        <w:t>However, i</w:t>
      </w:r>
      <w:r w:rsidR="00141D81">
        <w:rPr>
          <w:rFonts w:ascii="Arial" w:hAnsi="Arial" w:cs="Arial"/>
        </w:rPr>
        <w:t xml:space="preserve">n most </w:t>
      </w:r>
      <w:r w:rsidR="00F24D4D">
        <w:rPr>
          <w:rFonts w:ascii="Arial" w:hAnsi="Arial" w:cs="Arial"/>
        </w:rPr>
        <w:t>cases,</w:t>
      </w:r>
      <w:r w:rsidR="00141D81">
        <w:rPr>
          <w:rFonts w:ascii="Arial" w:hAnsi="Arial" w:cs="Arial"/>
        </w:rPr>
        <w:t xml:space="preserve"> the South African Competition Authorities </w:t>
      </w:r>
      <w:r w:rsidR="00F24D4D">
        <w:rPr>
          <w:rFonts w:ascii="Arial" w:hAnsi="Arial" w:cs="Arial"/>
        </w:rPr>
        <w:t>use</w:t>
      </w:r>
      <w:r w:rsidR="00141D81">
        <w:rPr>
          <w:rFonts w:ascii="Arial" w:hAnsi="Arial" w:cs="Arial"/>
        </w:rPr>
        <w:t xml:space="preserve"> the HHI and the CR as an indication of market concentration.</w:t>
      </w:r>
      <w:r w:rsidR="00F24D4D">
        <w:rPr>
          <w:rStyle w:val="Funotenzeichen"/>
          <w:rFonts w:ascii="Arial" w:hAnsi="Arial" w:cs="Arial"/>
        </w:rPr>
        <w:footnoteReference w:id="855"/>
      </w:r>
      <w:r w:rsidR="00141D81">
        <w:rPr>
          <w:rFonts w:ascii="Arial" w:hAnsi="Arial" w:cs="Arial"/>
        </w:rPr>
        <w:t xml:space="preserve"> </w:t>
      </w:r>
      <w:r w:rsidR="00F86EC4">
        <w:rPr>
          <w:rFonts w:ascii="Arial" w:hAnsi="Arial" w:cs="Arial"/>
        </w:rPr>
        <w:t xml:space="preserve">Some </w:t>
      </w:r>
      <w:r w:rsidR="0024102A">
        <w:rPr>
          <w:rFonts w:ascii="Arial" w:hAnsi="Arial" w:cs="Arial"/>
        </w:rPr>
        <w:t xml:space="preserve">of these </w:t>
      </w:r>
      <w:r w:rsidR="00F86EC4">
        <w:rPr>
          <w:rFonts w:ascii="Arial" w:hAnsi="Arial" w:cs="Arial"/>
        </w:rPr>
        <w:t xml:space="preserve">cases include the proposed mergers between </w:t>
      </w:r>
      <w:r w:rsidR="00F86EC4" w:rsidRPr="00F86EC4">
        <w:rPr>
          <w:rFonts w:ascii="Arial" w:hAnsi="Arial" w:cs="Arial"/>
        </w:rPr>
        <w:t>Santam Limited</w:t>
      </w:r>
      <w:r w:rsidR="002F2C51">
        <w:rPr>
          <w:rFonts w:ascii="Arial" w:hAnsi="Arial" w:cs="Arial"/>
        </w:rPr>
        <w:t xml:space="preserve"> and</w:t>
      </w:r>
      <w:r w:rsidR="00F86EC4">
        <w:rPr>
          <w:rFonts w:ascii="Arial" w:hAnsi="Arial" w:cs="Arial"/>
        </w:rPr>
        <w:t xml:space="preserve"> </w:t>
      </w:r>
      <w:r w:rsidR="00F86EC4" w:rsidRPr="00F86EC4">
        <w:rPr>
          <w:rFonts w:ascii="Arial" w:hAnsi="Arial" w:cs="Arial"/>
        </w:rPr>
        <w:t>Guardian National Insurance Company Limited</w:t>
      </w:r>
      <w:r w:rsidR="002F2C51">
        <w:rPr>
          <w:rFonts w:ascii="Arial" w:hAnsi="Arial" w:cs="Arial"/>
        </w:rPr>
        <w:t>;</w:t>
      </w:r>
      <w:r w:rsidR="002F2C51">
        <w:rPr>
          <w:rStyle w:val="Funotenzeichen"/>
          <w:rFonts w:ascii="Arial" w:hAnsi="Arial" w:cs="Arial"/>
        </w:rPr>
        <w:footnoteReference w:id="856"/>
      </w:r>
      <w:r w:rsidR="002F2C51">
        <w:rPr>
          <w:rFonts w:ascii="Arial" w:hAnsi="Arial" w:cs="Arial"/>
        </w:rPr>
        <w:t xml:space="preserve"> </w:t>
      </w:r>
      <w:r w:rsidR="002F2C51" w:rsidRPr="002F2C51">
        <w:rPr>
          <w:rFonts w:ascii="Arial" w:hAnsi="Arial" w:cs="Arial"/>
        </w:rPr>
        <w:t>JD Group Ltd and Ellerine Holdings Ltd</w:t>
      </w:r>
      <w:r w:rsidR="002F2C51">
        <w:rPr>
          <w:rFonts w:ascii="Arial" w:hAnsi="Arial" w:cs="Arial"/>
        </w:rPr>
        <w:t>;</w:t>
      </w:r>
      <w:r w:rsidR="0024102A">
        <w:rPr>
          <w:rStyle w:val="Funotenzeichen"/>
          <w:rFonts w:ascii="Arial" w:hAnsi="Arial" w:cs="Arial"/>
        </w:rPr>
        <w:footnoteReference w:id="857"/>
      </w:r>
      <w:r w:rsidR="002F2C51">
        <w:rPr>
          <w:rFonts w:ascii="Arial" w:hAnsi="Arial" w:cs="Arial"/>
        </w:rPr>
        <w:t xml:space="preserve"> </w:t>
      </w:r>
      <w:r w:rsidR="002F2C51" w:rsidRPr="002F2C51">
        <w:rPr>
          <w:rFonts w:ascii="Arial" w:hAnsi="Arial" w:cs="Arial"/>
        </w:rPr>
        <w:t xml:space="preserve">Tongaat-Hulett Group Ltd </w:t>
      </w:r>
      <w:r w:rsidR="002F2C51">
        <w:rPr>
          <w:rFonts w:ascii="Arial" w:hAnsi="Arial" w:cs="Arial"/>
        </w:rPr>
        <w:t>a</w:t>
      </w:r>
      <w:r w:rsidR="002F2C51" w:rsidRPr="002F2C51">
        <w:rPr>
          <w:rFonts w:ascii="Arial" w:hAnsi="Arial" w:cs="Arial"/>
        </w:rPr>
        <w:t>nd Transvaal Suiker Bpk.</w:t>
      </w:r>
      <w:r w:rsidR="0024102A">
        <w:rPr>
          <w:rStyle w:val="Funotenzeichen"/>
          <w:rFonts w:ascii="Arial" w:hAnsi="Arial" w:cs="Arial"/>
        </w:rPr>
        <w:footnoteReference w:id="858"/>
      </w:r>
    </w:p>
    <w:p w:rsidR="008F134E" w:rsidRDefault="008F134E" w:rsidP="000838B0">
      <w:pPr>
        <w:contextualSpacing/>
        <w:jc w:val="both"/>
        <w:rPr>
          <w:rFonts w:ascii="Arial" w:hAnsi="Arial" w:cs="Arial"/>
        </w:rPr>
      </w:pPr>
    </w:p>
    <w:p w:rsidR="008F134E" w:rsidRDefault="002E5679" w:rsidP="000838B0">
      <w:pPr>
        <w:contextualSpacing/>
        <w:jc w:val="both"/>
        <w:rPr>
          <w:rFonts w:ascii="Arial" w:hAnsi="Arial" w:cs="Arial"/>
        </w:rPr>
      </w:pPr>
      <w:r>
        <w:rPr>
          <w:rFonts w:ascii="Arial" w:hAnsi="Arial" w:cs="Arial"/>
        </w:rPr>
        <w:t>Lastly, empirical research in South Africa indicate that South Africa’s industry concentration was very high and increasing up to 1996.</w:t>
      </w:r>
      <w:r w:rsidR="00F32E9F">
        <w:rPr>
          <w:rStyle w:val="Funotenzeichen"/>
          <w:rFonts w:ascii="Arial" w:hAnsi="Arial" w:cs="Arial"/>
        </w:rPr>
        <w:footnoteReference w:id="859"/>
      </w:r>
      <w:r>
        <w:rPr>
          <w:rFonts w:ascii="Arial" w:hAnsi="Arial" w:cs="Arial"/>
        </w:rPr>
        <w:t xml:space="preserve"> However, concentration levels seems to have decreased after 1996.</w:t>
      </w:r>
      <w:r w:rsidR="004A76E8">
        <w:rPr>
          <w:rStyle w:val="Funotenzeichen"/>
          <w:rFonts w:ascii="Arial" w:hAnsi="Arial" w:cs="Arial"/>
        </w:rPr>
        <w:footnoteReference w:id="860"/>
      </w:r>
      <w:r>
        <w:rPr>
          <w:rFonts w:ascii="Arial" w:hAnsi="Arial" w:cs="Arial"/>
        </w:rPr>
        <w:t xml:space="preserve"> Nonetheless, </w:t>
      </w:r>
      <w:r w:rsidR="004A76E8">
        <w:rPr>
          <w:rFonts w:ascii="Arial" w:hAnsi="Arial" w:cs="Arial"/>
        </w:rPr>
        <w:t>empirical</w:t>
      </w:r>
      <w:r>
        <w:rPr>
          <w:rFonts w:ascii="Arial" w:hAnsi="Arial" w:cs="Arial"/>
        </w:rPr>
        <w:t xml:space="preserve"> research indicate that price mark-ups in South Africa are significantly higher than </w:t>
      </w:r>
      <w:r w:rsidR="004A76E8">
        <w:rPr>
          <w:rFonts w:ascii="Arial" w:hAnsi="Arial" w:cs="Arial"/>
        </w:rPr>
        <w:t>those</w:t>
      </w:r>
      <w:r>
        <w:rPr>
          <w:rFonts w:ascii="Arial" w:hAnsi="Arial" w:cs="Arial"/>
        </w:rPr>
        <w:t xml:space="preserve"> of comparable industries and that these mark-ups are increasing.</w:t>
      </w:r>
      <w:r w:rsidR="004A76E8">
        <w:rPr>
          <w:rStyle w:val="Funotenzeichen"/>
          <w:rFonts w:ascii="Arial" w:hAnsi="Arial" w:cs="Arial"/>
        </w:rPr>
        <w:footnoteReference w:id="861"/>
      </w:r>
      <w:r>
        <w:rPr>
          <w:rFonts w:ascii="Arial" w:hAnsi="Arial" w:cs="Arial"/>
        </w:rPr>
        <w:t xml:space="preserve"> </w:t>
      </w:r>
    </w:p>
    <w:p w:rsidR="008F134E" w:rsidRDefault="008F134E" w:rsidP="000838B0">
      <w:pPr>
        <w:contextualSpacing/>
        <w:jc w:val="both"/>
        <w:rPr>
          <w:rFonts w:ascii="Arial" w:hAnsi="Arial" w:cs="Arial"/>
        </w:rPr>
      </w:pPr>
    </w:p>
    <w:p w:rsidR="006B2AB1" w:rsidRPr="005E7922" w:rsidRDefault="00AB2957" w:rsidP="000838B0">
      <w:pPr>
        <w:contextualSpacing/>
        <w:jc w:val="both"/>
        <w:rPr>
          <w:rFonts w:ascii="Arial" w:hAnsi="Arial" w:cs="Arial"/>
        </w:rPr>
      </w:pPr>
      <w:r>
        <w:rPr>
          <w:rFonts w:ascii="Arial" w:hAnsi="Arial" w:cs="Arial"/>
        </w:rPr>
        <w:t xml:space="preserve">3.3.4.2.2.2.2 </w:t>
      </w:r>
      <w:r w:rsidR="006B2AB1" w:rsidRPr="005E7922">
        <w:rPr>
          <w:rFonts w:ascii="Arial" w:hAnsi="Arial" w:cs="Arial"/>
        </w:rPr>
        <w:t>Barriers to entry</w:t>
      </w:r>
    </w:p>
    <w:p w:rsidR="00AB2957" w:rsidRDefault="00AB2957" w:rsidP="000838B0">
      <w:pPr>
        <w:contextualSpacing/>
        <w:jc w:val="both"/>
        <w:rPr>
          <w:rFonts w:ascii="Arial" w:hAnsi="Arial" w:cs="Arial"/>
        </w:rPr>
      </w:pPr>
    </w:p>
    <w:p w:rsidR="00313597" w:rsidRDefault="00AD5276" w:rsidP="000838B0">
      <w:pPr>
        <w:contextualSpacing/>
        <w:jc w:val="both"/>
        <w:rPr>
          <w:rFonts w:ascii="Arial" w:hAnsi="Arial" w:cs="Arial"/>
        </w:rPr>
      </w:pPr>
      <w:r>
        <w:rPr>
          <w:rFonts w:ascii="Arial" w:hAnsi="Arial" w:cs="Arial"/>
        </w:rPr>
        <w:t>There are several definitions for barriers to entry which include the following definitions: “Barriers to entry are anything that allow existing firms to earn pure (abnormal) profits without threat of entry by other firms</w:t>
      </w:r>
      <w:r w:rsidR="00101B61">
        <w:rPr>
          <w:rFonts w:ascii="Arial" w:hAnsi="Arial" w:cs="Arial"/>
        </w:rPr>
        <w:t>;</w:t>
      </w:r>
      <w:r>
        <w:rPr>
          <w:rFonts w:ascii="Arial" w:hAnsi="Arial" w:cs="Arial"/>
        </w:rPr>
        <w:t>”</w:t>
      </w:r>
      <w:r>
        <w:rPr>
          <w:rStyle w:val="Funotenzeichen"/>
          <w:rFonts w:ascii="Arial" w:hAnsi="Arial" w:cs="Arial"/>
        </w:rPr>
        <w:footnoteReference w:id="862"/>
      </w:r>
      <w:r>
        <w:rPr>
          <w:rFonts w:ascii="Arial" w:hAnsi="Arial" w:cs="Arial"/>
        </w:rPr>
        <w:t xml:space="preserve"> </w:t>
      </w:r>
      <w:r w:rsidR="00101B61">
        <w:rPr>
          <w:rFonts w:ascii="Arial" w:hAnsi="Arial" w:cs="Arial"/>
        </w:rPr>
        <w:t>“a Cost of production which must be borne by a firm which seeks to enter an industry but is no borne by firms already in the industry;”</w:t>
      </w:r>
      <w:r w:rsidR="00101B61">
        <w:rPr>
          <w:rStyle w:val="Funotenzeichen"/>
          <w:rFonts w:ascii="Arial" w:hAnsi="Arial" w:cs="Arial"/>
        </w:rPr>
        <w:footnoteReference w:id="863"/>
      </w:r>
      <w:r w:rsidR="00101B61">
        <w:rPr>
          <w:rFonts w:ascii="Arial" w:hAnsi="Arial" w:cs="Arial"/>
        </w:rPr>
        <w:t xml:space="preserve"> “any competitive advantage that establishe</w:t>
      </w:r>
      <w:r w:rsidR="00B85492">
        <w:rPr>
          <w:rFonts w:ascii="Arial" w:hAnsi="Arial" w:cs="Arial"/>
        </w:rPr>
        <w:t>d</w:t>
      </w:r>
      <w:r w:rsidR="00101B61">
        <w:rPr>
          <w:rFonts w:ascii="Arial" w:hAnsi="Arial" w:cs="Arial"/>
        </w:rPr>
        <w:t xml:space="preserve"> firms</w:t>
      </w:r>
      <w:r w:rsidR="00B85492">
        <w:rPr>
          <w:rFonts w:ascii="Arial" w:hAnsi="Arial" w:cs="Arial"/>
        </w:rPr>
        <w:t xml:space="preserve"> have over potential entrants.</w:t>
      </w:r>
      <w:r w:rsidR="00101B61">
        <w:rPr>
          <w:rFonts w:ascii="Arial" w:hAnsi="Arial" w:cs="Arial"/>
        </w:rPr>
        <w:t>”</w:t>
      </w:r>
      <w:r w:rsidR="00B85492">
        <w:rPr>
          <w:rStyle w:val="Funotenzeichen"/>
          <w:rFonts w:ascii="Arial" w:hAnsi="Arial" w:cs="Arial"/>
        </w:rPr>
        <w:footnoteReference w:id="864"/>
      </w:r>
      <w:r w:rsidR="00B85492">
        <w:rPr>
          <w:rFonts w:ascii="Arial" w:hAnsi="Arial" w:cs="Arial"/>
        </w:rPr>
        <w:t xml:space="preserve"> A more formal definition of barriers to entry is that “barriers to entry reflect the extent to which established firms, in the long run, can elevate their selling price above minimum average cost of production and distribution without inducing potential entrants to enter the industry.”</w:t>
      </w:r>
      <w:r w:rsidR="00B85492">
        <w:rPr>
          <w:rStyle w:val="Funotenzeichen"/>
          <w:rFonts w:ascii="Arial" w:hAnsi="Arial" w:cs="Arial"/>
        </w:rPr>
        <w:footnoteReference w:id="865"/>
      </w:r>
    </w:p>
    <w:p w:rsidR="00B85492" w:rsidRDefault="00B85492" w:rsidP="000838B0">
      <w:pPr>
        <w:contextualSpacing/>
        <w:jc w:val="both"/>
        <w:rPr>
          <w:rFonts w:ascii="Arial" w:hAnsi="Arial" w:cs="Arial"/>
        </w:rPr>
      </w:pPr>
    </w:p>
    <w:p w:rsidR="00B85492" w:rsidRDefault="00B85492" w:rsidP="000838B0">
      <w:pPr>
        <w:contextualSpacing/>
        <w:jc w:val="both"/>
        <w:rPr>
          <w:rFonts w:ascii="Arial" w:hAnsi="Arial" w:cs="Arial"/>
        </w:rPr>
      </w:pPr>
      <w:r>
        <w:rPr>
          <w:rFonts w:ascii="Arial" w:hAnsi="Arial" w:cs="Arial"/>
        </w:rPr>
        <w:t>It is clear from the preceding paragraph that barriers of entry is anything that prevents new firms from entering into a market or anything that makes it possible for existing firms to ask high prices for their products without the worry that new competitors will enter into the market.</w:t>
      </w:r>
    </w:p>
    <w:p w:rsidR="00A87DEF" w:rsidRDefault="00A87DEF" w:rsidP="000838B0">
      <w:pPr>
        <w:contextualSpacing/>
        <w:jc w:val="both"/>
        <w:rPr>
          <w:rFonts w:ascii="Arial" w:hAnsi="Arial" w:cs="Arial"/>
        </w:rPr>
      </w:pPr>
    </w:p>
    <w:p w:rsidR="00313597" w:rsidRDefault="00AD5ECB" w:rsidP="000838B0">
      <w:pPr>
        <w:contextualSpacing/>
        <w:jc w:val="both"/>
        <w:rPr>
          <w:rFonts w:ascii="Arial" w:hAnsi="Arial" w:cs="Arial"/>
        </w:rPr>
      </w:pPr>
      <w:r>
        <w:rPr>
          <w:rFonts w:ascii="Arial" w:hAnsi="Arial" w:cs="Arial"/>
        </w:rPr>
        <w:t>What is important for barriers of entry as a consideration in the assessment of market power is the relative ease or difficulty with which new firms can enter into a market.</w:t>
      </w:r>
      <w:r>
        <w:rPr>
          <w:rStyle w:val="Funotenzeichen"/>
          <w:rFonts w:ascii="Arial" w:hAnsi="Arial" w:cs="Arial"/>
        </w:rPr>
        <w:footnoteReference w:id="866"/>
      </w:r>
      <w:r>
        <w:rPr>
          <w:rFonts w:ascii="Arial" w:hAnsi="Arial" w:cs="Arial"/>
        </w:rPr>
        <w:t xml:space="preserve"> </w:t>
      </w:r>
      <w:r w:rsidR="00F578E3">
        <w:rPr>
          <w:rFonts w:ascii="Arial" w:hAnsi="Arial" w:cs="Arial"/>
        </w:rPr>
        <w:t>Furthermore, h</w:t>
      </w:r>
      <w:r>
        <w:rPr>
          <w:rFonts w:ascii="Arial" w:hAnsi="Arial" w:cs="Arial"/>
        </w:rPr>
        <w:t>igh barriers to entry will make it possible for firms to sustain prices in excess of its marginal costs in the long run whereas low barriers to entry will prevent firms from asking prices that are higher than its marginal cost.</w:t>
      </w:r>
      <w:r w:rsidR="00F578E3">
        <w:rPr>
          <w:rStyle w:val="Funotenzeichen"/>
          <w:rFonts w:ascii="Arial" w:hAnsi="Arial" w:cs="Arial"/>
        </w:rPr>
        <w:footnoteReference w:id="867"/>
      </w:r>
      <w:r>
        <w:rPr>
          <w:rFonts w:ascii="Arial" w:hAnsi="Arial" w:cs="Arial"/>
        </w:rPr>
        <w:t xml:space="preserve"> Accordingly, </w:t>
      </w:r>
      <w:r w:rsidR="00F578E3">
        <w:rPr>
          <w:rFonts w:ascii="Arial" w:hAnsi="Arial" w:cs="Arial"/>
        </w:rPr>
        <w:t>a firm with a large market share in an industry with low barriers to entry is unlikely to have market power whereas a firm with a large market share in an industry with high barriers of entry is likely to have market power.</w:t>
      </w:r>
      <w:r w:rsidR="00F578E3">
        <w:rPr>
          <w:rStyle w:val="Funotenzeichen"/>
          <w:rFonts w:ascii="Arial" w:hAnsi="Arial" w:cs="Arial"/>
        </w:rPr>
        <w:footnoteReference w:id="868"/>
      </w:r>
    </w:p>
    <w:p w:rsidR="000B66A2" w:rsidRDefault="000B66A2" w:rsidP="000838B0">
      <w:pPr>
        <w:contextualSpacing/>
        <w:jc w:val="both"/>
        <w:rPr>
          <w:rFonts w:ascii="Arial" w:hAnsi="Arial" w:cs="Arial"/>
        </w:rPr>
      </w:pPr>
    </w:p>
    <w:p w:rsidR="000B66A2" w:rsidRDefault="00421C9A" w:rsidP="000838B0">
      <w:pPr>
        <w:contextualSpacing/>
        <w:jc w:val="both"/>
        <w:rPr>
          <w:rFonts w:ascii="Arial" w:hAnsi="Arial" w:cs="Arial"/>
        </w:rPr>
      </w:pPr>
      <w:r>
        <w:rPr>
          <w:rFonts w:ascii="Arial" w:hAnsi="Arial" w:cs="Arial"/>
        </w:rPr>
        <w:t>Broadly speaking, barriers to entry can be divided into two categories namely natural barriers to entry and artificial barriers to entry.</w:t>
      </w:r>
      <w:r>
        <w:rPr>
          <w:rStyle w:val="Funotenzeichen"/>
          <w:rFonts w:ascii="Arial" w:hAnsi="Arial" w:cs="Arial"/>
        </w:rPr>
        <w:footnoteReference w:id="869"/>
      </w:r>
      <w:r w:rsidR="00381210">
        <w:rPr>
          <w:rFonts w:ascii="Arial" w:hAnsi="Arial" w:cs="Arial"/>
        </w:rPr>
        <w:t xml:space="preserve"> Natural barriers to entry </w:t>
      </w:r>
      <w:r w:rsidR="002A5152">
        <w:rPr>
          <w:rFonts w:ascii="Arial" w:hAnsi="Arial" w:cs="Arial"/>
        </w:rPr>
        <w:t>are those barriers of entry that are inherently part of functioning in a market.</w:t>
      </w:r>
      <w:r w:rsidR="00606C04">
        <w:rPr>
          <w:rStyle w:val="Funotenzeichen"/>
          <w:rFonts w:ascii="Arial" w:hAnsi="Arial" w:cs="Arial"/>
        </w:rPr>
        <w:footnoteReference w:id="870"/>
      </w:r>
      <w:r w:rsidR="002A5152">
        <w:rPr>
          <w:rFonts w:ascii="Arial" w:hAnsi="Arial" w:cs="Arial"/>
        </w:rPr>
        <w:t xml:space="preserve"> Examples of natural barriers to entry include economies of scale for existing firms,</w:t>
      </w:r>
      <w:r w:rsidR="002A5152">
        <w:rPr>
          <w:rStyle w:val="Funotenzeichen"/>
          <w:rFonts w:ascii="Arial" w:hAnsi="Arial" w:cs="Arial"/>
        </w:rPr>
        <w:footnoteReference w:id="871"/>
      </w:r>
      <w:r w:rsidR="002A5152">
        <w:rPr>
          <w:rFonts w:ascii="Arial" w:hAnsi="Arial" w:cs="Arial"/>
        </w:rPr>
        <w:t xml:space="preserve"> absolute cost advantages by existing firms,</w:t>
      </w:r>
      <w:r w:rsidR="007975D7">
        <w:rPr>
          <w:rStyle w:val="Funotenzeichen"/>
          <w:rFonts w:ascii="Arial" w:hAnsi="Arial" w:cs="Arial"/>
        </w:rPr>
        <w:footnoteReference w:id="872"/>
      </w:r>
      <w:r w:rsidR="002A5152">
        <w:rPr>
          <w:rFonts w:ascii="Arial" w:hAnsi="Arial" w:cs="Arial"/>
        </w:rPr>
        <w:t xml:space="preserve"> product differentiation,</w:t>
      </w:r>
      <w:r w:rsidR="00AA4DF2">
        <w:rPr>
          <w:rStyle w:val="Funotenzeichen"/>
          <w:rFonts w:ascii="Arial" w:hAnsi="Arial" w:cs="Arial"/>
        </w:rPr>
        <w:footnoteReference w:id="873"/>
      </w:r>
      <w:r w:rsidR="002A5152">
        <w:rPr>
          <w:rFonts w:ascii="Arial" w:hAnsi="Arial" w:cs="Arial"/>
        </w:rPr>
        <w:t xml:space="preserve"> switching costs,</w:t>
      </w:r>
      <w:r w:rsidR="00575EF2">
        <w:rPr>
          <w:rStyle w:val="Funotenzeichen"/>
          <w:rFonts w:ascii="Arial" w:hAnsi="Arial" w:cs="Arial"/>
        </w:rPr>
        <w:footnoteReference w:id="874"/>
      </w:r>
      <w:r w:rsidR="002A5152">
        <w:rPr>
          <w:rFonts w:ascii="Arial" w:hAnsi="Arial" w:cs="Arial"/>
        </w:rPr>
        <w:t xml:space="preserve"> network externalities,</w:t>
      </w:r>
      <w:r w:rsidR="005350CB">
        <w:rPr>
          <w:rStyle w:val="Funotenzeichen"/>
          <w:rFonts w:ascii="Arial" w:hAnsi="Arial" w:cs="Arial"/>
        </w:rPr>
        <w:footnoteReference w:id="875"/>
      </w:r>
      <w:r w:rsidR="002A5152">
        <w:rPr>
          <w:rFonts w:ascii="Arial" w:hAnsi="Arial" w:cs="Arial"/>
        </w:rPr>
        <w:t xml:space="preserve"> geographical barriers</w:t>
      </w:r>
      <w:r w:rsidR="005E7EEE">
        <w:rPr>
          <w:rStyle w:val="Funotenzeichen"/>
          <w:rFonts w:ascii="Arial" w:hAnsi="Arial" w:cs="Arial"/>
        </w:rPr>
        <w:footnoteReference w:id="876"/>
      </w:r>
      <w:r w:rsidR="002A5152">
        <w:rPr>
          <w:rFonts w:ascii="Arial" w:hAnsi="Arial" w:cs="Arial"/>
        </w:rPr>
        <w:t xml:space="preserve"> and legal barriers to entry.</w:t>
      </w:r>
      <w:r w:rsidR="00240931">
        <w:rPr>
          <w:rStyle w:val="Funotenzeichen"/>
          <w:rFonts w:ascii="Arial" w:hAnsi="Arial" w:cs="Arial"/>
        </w:rPr>
        <w:footnoteReference w:id="877"/>
      </w:r>
    </w:p>
    <w:p w:rsidR="00606C04" w:rsidRDefault="00606C04" w:rsidP="000838B0">
      <w:pPr>
        <w:contextualSpacing/>
        <w:jc w:val="both"/>
        <w:rPr>
          <w:rFonts w:ascii="Arial" w:hAnsi="Arial" w:cs="Arial"/>
        </w:rPr>
      </w:pPr>
    </w:p>
    <w:p w:rsidR="000944D2" w:rsidRDefault="0097664A" w:rsidP="000838B0">
      <w:pPr>
        <w:contextualSpacing/>
        <w:jc w:val="both"/>
        <w:rPr>
          <w:rFonts w:ascii="Arial" w:hAnsi="Arial" w:cs="Arial"/>
        </w:rPr>
      </w:pPr>
      <w:r>
        <w:rPr>
          <w:rFonts w:ascii="Arial" w:hAnsi="Arial" w:cs="Arial"/>
        </w:rPr>
        <w:t>On the other hand, a</w:t>
      </w:r>
      <w:r w:rsidR="000944D2">
        <w:rPr>
          <w:rFonts w:ascii="Arial" w:hAnsi="Arial" w:cs="Arial"/>
        </w:rPr>
        <w:t xml:space="preserve">rtificial barriers to entry are barriers to </w:t>
      </w:r>
      <w:r>
        <w:rPr>
          <w:rFonts w:ascii="Arial" w:hAnsi="Arial" w:cs="Arial"/>
        </w:rPr>
        <w:t>entry that</w:t>
      </w:r>
      <w:r w:rsidR="000944D2">
        <w:rPr>
          <w:rFonts w:ascii="Arial" w:hAnsi="Arial" w:cs="Arial"/>
        </w:rPr>
        <w:t xml:space="preserve"> </w:t>
      </w:r>
      <w:r w:rsidR="00C13AAD">
        <w:rPr>
          <w:rFonts w:ascii="Arial" w:hAnsi="Arial" w:cs="Arial"/>
        </w:rPr>
        <w:t>are</w:t>
      </w:r>
      <w:r w:rsidR="000944D2">
        <w:rPr>
          <w:rFonts w:ascii="Arial" w:hAnsi="Arial" w:cs="Arial"/>
        </w:rPr>
        <w:t xml:space="preserve"> </w:t>
      </w:r>
      <w:r w:rsidR="00C13AAD">
        <w:rPr>
          <w:rFonts w:ascii="Arial" w:hAnsi="Arial" w:cs="Arial"/>
        </w:rPr>
        <w:t>established</w:t>
      </w:r>
      <w:r w:rsidR="000944D2">
        <w:rPr>
          <w:rFonts w:ascii="Arial" w:hAnsi="Arial" w:cs="Arial"/>
        </w:rPr>
        <w:t xml:space="preserve"> by the existing firms through entry-deterring strategies.</w:t>
      </w:r>
      <w:r w:rsidR="00753190">
        <w:rPr>
          <w:rStyle w:val="Funotenzeichen"/>
          <w:rFonts w:ascii="Arial" w:hAnsi="Arial" w:cs="Arial"/>
        </w:rPr>
        <w:footnoteReference w:id="878"/>
      </w:r>
      <w:r w:rsidR="000944D2">
        <w:rPr>
          <w:rFonts w:ascii="Arial" w:hAnsi="Arial" w:cs="Arial"/>
        </w:rPr>
        <w:t xml:space="preserve"> </w:t>
      </w:r>
      <w:r w:rsidR="00753190">
        <w:rPr>
          <w:rFonts w:ascii="Arial" w:hAnsi="Arial" w:cs="Arial"/>
        </w:rPr>
        <w:t>Artificial barriers to entry include among others pricing strategies such as providing large rebates to customers, lowering the price to such an extent that the new entrant or an existing entrant is forced to leave the market (called predatory pricing).</w:t>
      </w:r>
      <w:r w:rsidR="001900DB">
        <w:rPr>
          <w:rStyle w:val="Funotenzeichen"/>
          <w:rFonts w:ascii="Arial" w:hAnsi="Arial" w:cs="Arial"/>
        </w:rPr>
        <w:footnoteReference w:id="879"/>
      </w:r>
      <w:r w:rsidR="00753190">
        <w:rPr>
          <w:rFonts w:ascii="Arial" w:hAnsi="Arial" w:cs="Arial"/>
        </w:rPr>
        <w:t xml:space="preserve"> Artificial barriers to entry also include agreements by which an existing firm secures </w:t>
      </w:r>
      <w:r w:rsidR="001900DB">
        <w:rPr>
          <w:rFonts w:ascii="Arial" w:hAnsi="Arial" w:cs="Arial"/>
        </w:rPr>
        <w:t xml:space="preserve">exclusive </w:t>
      </w:r>
      <w:r w:rsidR="00753190">
        <w:rPr>
          <w:rFonts w:ascii="Arial" w:hAnsi="Arial" w:cs="Arial"/>
        </w:rPr>
        <w:t>ownership</w:t>
      </w:r>
      <w:r w:rsidR="001900DB">
        <w:rPr>
          <w:rFonts w:ascii="Arial" w:hAnsi="Arial" w:cs="Arial"/>
        </w:rPr>
        <w:t>,</w:t>
      </w:r>
      <w:r w:rsidR="00753190">
        <w:rPr>
          <w:rFonts w:ascii="Arial" w:hAnsi="Arial" w:cs="Arial"/>
        </w:rPr>
        <w:t xml:space="preserve"> control</w:t>
      </w:r>
      <w:r w:rsidR="001900DB">
        <w:rPr>
          <w:rFonts w:ascii="Arial" w:hAnsi="Arial" w:cs="Arial"/>
        </w:rPr>
        <w:t xml:space="preserve"> or supply</w:t>
      </w:r>
      <w:r w:rsidR="00753190">
        <w:rPr>
          <w:rFonts w:ascii="Arial" w:hAnsi="Arial" w:cs="Arial"/>
        </w:rPr>
        <w:t xml:space="preserve"> over essential resources required to function in that market.</w:t>
      </w:r>
      <w:r w:rsidR="001900DB">
        <w:rPr>
          <w:rStyle w:val="Funotenzeichen"/>
          <w:rFonts w:ascii="Arial" w:hAnsi="Arial" w:cs="Arial"/>
        </w:rPr>
        <w:footnoteReference w:id="880"/>
      </w:r>
    </w:p>
    <w:p w:rsidR="002F7C11" w:rsidRDefault="002F7C11" w:rsidP="000838B0">
      <w:pPr>
        <w:contextualSpacing/>
        <w:jc w:val="both"/>
        <w:rPr>
          <w:rFonts w:ascii="Arial" w:hAnsi="Arial" w:cs="Arial"/>
        </w:rPr>
      </w:pPr>
    </w:p>
    <w:p w:rsidR="002F7C11" w:rsidRDefault="0047378C" w:rsidP="000838B0">
      <w:pPr>
        <w:contextualSpacing/>
        <w:jc w:val="both"/>
        <w:rPr>
          <w:rFonts w:ascii="Arial" w:hAnsi="Arial" w:cs="Arial"/>
        </w:rPr>
      </w:pPr>
      <w:r>
        <w:rPr>
          <w:rFonts w:ascii="Arial" w:hAnsi="Arial" w:cs="Arial"/>
        </w:rPr>
        <w:t>Furthermore, barriers to exit may also be considered when assessing market power.</w:t>
      </w:r>
      <w:r>
        <w:rPr>
          <w:rStyle w:val="Funotenzeichen"/>
          <w:rFonts w:ascii="Arial" w:hAnsi="Arial" w:cs="Arial"/>
        </w:rPr>
        <w:footnoteReference w:id="881"/>
      </w:r>
      <w:r>
        <w:rPr>
          <w:rFonts w:ascii="Arial" w:hAnsi="Arial" w:cs="Arial"/>
        </w:rPr>
        <w:t xml:space="preserve"> These barriers generally refer to sunk costs.</w:t>
      </w:r>
      <w:r w:rsidR="00B86231">
        <w:rPr>
          <w:rStyle w:val="Funotenzeichen"/>
          <w:rFonts w:ascii="Arial" w:hAnsi="Arial" w:cs="Arial"/>
        </w:rPr>
        <w:footnoteReference w:id="882"/>
      </w:r>
      <w:r>
        <w:rPr>
          <w:rFonts w:ascii="Arial" w:hAnsi="Arial" w:cs="Arial"/>
        </w:rPr>
        <w:t xml:space="preserve"> Sunk costs are cost that cannot be recuperated when a firm leaves a market.</w:t>
      </w:r>
      <w:r w:rsidR="00B86231">
        <w:rPr>
          <w:rStyle w:val="Funotenzeichen"/>
          <w:rFonts w:ascii="Arial" w:hAnsi="Arial" w:cs="Arial"/>
        </w:rPr>
        <w:footnoteReference w:id="883"/>
      </w:r>
      <w:r>
        <w:rPr>
          <w:rFonts w:ascii="Arial" w:hAnsi="Arial" w:cs="Arial"/>
        </w:rPr>
        <w:t xml:space="preserve"> Accordingly, a new entrant will be hesitant to enter a market if the sunk cost are high since that firm is unsure whether it will survive in that market.</w:t>
      </w:r>
      <w:r w:rsidR="00B86231">
        <w:rPr>
          <w:rStyle w:val="Funotenzeichen"/>
          <w:rFonts w:ascii="Arial" w:hAnsi="Arial" w:cs="Arial"/>
        </w:rPr>
        <w:footnoteReference w:id="884"/>
      </w:r>
      <w:r w:rsidR="00D832B3">
        <w:rPr>
          <w:rFonts w:ascii="Arial" w:hAnsi="Arial" w:cs="Arial"/>
        </w:rPr>
        <w:t xml:space="preserve"> This application of sunk costs to barriers of entry and exit is also referred to as the Contestable Market </w:t>
      </w:r>
      <w:r w:rsidR="0097664A">
        <w:rPr>
          <w:rFonts w:ascii="Arial" w:hAnsi="Arial" w:cs="Arial"/>
        </w:rPr>
        <w:t>theory, which</w:t>
      </w:r>
      <w:r w:rsidR="00D832B3">
        <w:rPr>
          <w:rFonts w:ascii="Arial" w:hAnsi="Arial" w:cs="Arial"/>
        </w:rPr>
        <w:t xml:space="preserve"> was developed in 1982.</w:t>
      </w:r>
      <w:r w:rsidR="00D832B3">
        <w:rPr>
          <w:rStyle w:val="Funotenzeichen"/>
          <w:rFonts w:ascii="Arial" w:hAnsi="Arial" w:cs="Arial"/>
        </w:rPr>
        <w:footnoteReference w:id="885"/>
      </w:r>
    </w:p>
    <w:p w:rsidR="00D832B3" w:rsidRDefault="00D832B3" w:rsidP="000838B0">
      <w:pPr>
        <w:contextualSpacing/>
        <w:jc w:val="both"/>
        <w:rPr>
          <w:rFonts w:ascii="Arial" w:hAnsi="Arial" w:cs="Arial"/>
        </w:rPr>
      </w:pPr>
    </w:p>
    <w:p w:rsidR="002F7C11" w:rsidRDefault="00E83737" w:rsidP="000838B0">
      <w:pPr>
        <w:contextualSpacing/>
        <w:jc w:val="both"/>
        <w:rPr>
          <w:rFonts w:ascii="Arial" w:hAnsi="Arial" w:cs="Arial"/>
        </w:rPr>
      </w:pPr>
      <w:r>
        <w:rPr>
          <w:rFonts w:ascii="Arial" w:hAnsi="Arial" w:cs="Arial"/>
        </w:rPr>
        <w:t xml:space="preserve">From the preceding </w:t>
      </w:r>
      <w:r w:rsidR="004774ED">
        <w:rPr>
          <w:rFonts w:ascii="Arial" w:hAnsi="Arial" w:cs="Arial"/>
        </w:rPr>
        <w:t>paragraphs,</w:t>
      </w:r>
      <w:r>
        <w:rPr>
          <w:rFonts w:ascii="Arial" w:hAnsi="Arial" w:cs="Arial"/>
        </w:rPr>
        <w:t xml:space="preserve"> it is clear that there are numerous barriers to entry that can exist in a specific market and that these barriers can vary from market to market. Accordingly, the competition authorities consider all the factors that influence a firm </w:t>
      </w:r>
      <w:r w:rsidR="004774ED">
        <w:rPr>
          <w:rFonts w:ascii="Arial" w:hAnsi="Arial" w:cs="Arial"/>
        </w:rPr>
        <w:t>in its</w:t>
      </w:r>
      <w:r>
        <w:rPr>
          <w:rFonts w:ascii="Arial" w:hAnsi="Arial" w:cs="Arial"/>
        </w:rPr>
        <w:t xml:space="preserve"> deci</w:t>
      </w:r>
      <w:r w:rsidR="004774ED">
        <w:rPr>
          <w:rFonts w:ascii="Arial" w:hAnsi="Arial" w:cs="Arial"/>
        </w:rPr>
        <w:t>sion</w:t>
      </w:r>
      <w:r>
        <w:rPr>
          <w:rFonts w:ascii="Arial" w:hAnsi="Arial" w:cs="Arial"/>
        </w:rPr>
        <w:t xml:space="preserve"> to enter a market.</w:t>
      </w:r>
      <w:r w:rsidR="00441FF5">
        <w:rPr>
          <w:rStyle w:val="Funotenzeichen"/>
          <w:rFonts w:ascii="Arial" w:hAnsi="Arial" w:cs="Arial"/>
        </w:rPr>
        <w:footnoteReference w:id="886"/>
      </w:r>
      <w:r>
        <w:rPr>
          <w:rFonts w:ascii="Arial" w:hAnsi="Arial" w:cs="Arial"/>
        </w:rPr>
        <w:t xml:space="preserve"> A more detailed discussion on barriers to entry and the different types of barriers to entry is beyond the scope of this paper. </w:t>
      </w:r>
    </w:p>
    <w:p w:rsidR="007B1F87" w:rsidRDefault="007B1F87" w:rsidP="000838B0">
      <w:pPr>
        <w:contextualSpacing/>
        <w:jc w:val="both"/>
        <w:rPr>
          <w:rFonts w:ascii="Arial" w:hAnsi="Arial" w:cs="Arial"/>
        </w:rPr>
      </w:pPr>
    </w:p>
    <w:p w:rsidR="00897410" w:rsidRDefault="004774ED" w:rsidP="00CA3798">
      <w:pPr>
        <w:contextualSpacing/>
        <w:jc w:val="both"/>
        <w:rPr>
          <w:rFonts w:ascii="Arial" w:hAnsi="Arial" w:cs="Arial"/>
        </w:rPr>
      </w:pPr>
      <w:r>
        <w:rPr>
          <w:rFonts w:ascii="Arial" w:hAnsi="Arial" w:cs="Arial"/>
        </w:rPr>
        <w:t>Furthermore, a</w:t>
      </w:r>
      <w:r w:rsidR="00CA3798">
        <w:rPr>
          <w:rFonts w:ascii="Arial" w:hAnsi="Arial" w:cs="Arial"/>
        </w:rPr>
        <w:t>s mentioned earlier, the SCP paradigm assumes a unidirectional causality from structure, to conduct to performance.</w:t>
      </w:r>
      <w:r w:rsidR="00CA3798">
        <w:rPr>
          <w:rStyle w:val="Funotenzeichen"/>
          <w:rFonts w:ascii="Arial" w:hAnsi="Arial" w:cs="Arial"/>
        </w:rPr>
        <w:footnoteReference w:id="887"/>
      </w:r>
      <w:r w:rsidR="00CA3798">
        <w:rPr>
          <w:rFonts w:ascii="Arial" w:hAnsi="Arial" w:cs="Arial"/>
        </w:rPr>
        <w:t xml:space="preserve"> Accordingly, market structure is the most important element when assessing market power using the SCP paradigm.</w:t>
      </w:r>
      <w:r w:rsidR="00897410">
        <w:rPr>
          <w:rStyle w:val="Funotenzeichen"/>
          <w:rFonts w:ascii="Arial" w:hAnsi="Arial" w:cs="Arial"/>
        </w:rPr>
        <w:footnoteReference w:id="888"/>
      </w:r>
      <w:r w:rsidR="00CA3798">
        <w:rPr>
          <w:rFonts w:ascii="Arial" w:hAnsi="Arial" w:cs="Arial"/>
        </w:rPr>
        <w:t xml:space="preserve"> Indeed, this is also the case in South Africa </w:t>
      </w:r>
      <w:r w:rsidR="00A02DF0">
        <w:rPr>
          <w:rFonts w:ascii="Arial" w:hAnsi="Arial" w:cs="Arial"/>
        </w:rPr>
        <w:t>where the market structure remains a very important element in the assessment of market power and the ability of firms to abuse it.</w:t>
      </w:r>
      <w:r w:rsidR="00A02DF0">
        <w:rPr>
          <w:rStyle w:val="Funotenzeichen"/>
          <w:rFonts w:ascii="Arial" w:hAnsi="Arial" w:cs="Arial"/>
        </w:rPr>
        <w:footnoteReference w:id="889"/>
      </w:r>
      <w:r w:rsidR="00A02DF0">
        <w:rPr>
          <w:rFonts w:ascii="Arial" w:hAnsi="Arial" w:cs="Arial"/>
        </w:rPr>
        <w:t xml:space="preserve"> </w:t>
      </w:r>
    </w:p>
    <w:p w:rsidR="00897410" w:rsidRDefault="00897410" w:rsidP="00CA3798">
      <w:pPr>
        <w:contextualSpacing/>
        <w:jc w:val="both"/>
        <w:rPr>
          <w:rFonts w:ascii="Arial" w:hAnsi="Arial" w:cs="Arial"/>
        </w:rPr>
      </w:pPr>
    </w:p>
    <w:p w:rsidR="00CA3798" w:rsidRDefault="00636E8A" w:rsidP="00CA3798">
      <w:pPr>
        <w:contextualSpacing/>
        <w:jc w:val="both"/>
        <w:rPr>
          <w:rFonts w:ascii="Arial" w:hAnsi="Arial" w:cs="Arial"/>
        </w:rPr>
      </w:pPr>
      <w:r>
        <w:rPr>
          <w:rFonts w:ascii="Arial" w:hAnsi="Arial" w:cs="Arial"/>
        </w:rPr>
        <w:t>Nevertheless</w:t>
      </w:r>
      <w:r w:rsidR="00A02DF0">
        <w:rPr>
          <w:rFonts w:ascii="Arial" w:hAnsi="Arial" w:cs="Arial"/>
        </w:rPr>
        <w:t>, the Competition Act</w:t>
      </w:r>
      <w:r>
        <w:rPr>
          <w:rStyle w:val="Funotenzeichen"/>
          <w:rFonts w:ascii="Arial" w:hAnsi="Arial" w:cs="Arial"/>
        </w:rPr>
        <w:footnoteReference w:id="890"/>
      </w:r>
      <w:r w:rsidR="00A02DF0">
        <w:rPr>
          <w:rFonts w:ascii="Arial" w:hAnsi="Arial" w:cs="Arial"/>
        </w:rPr>
        <w:t xml:space="preserve"> does not prohibit the possession of market power</w:t>
      </w:r>
      <w:r w:rsidR="00591494">
        <w:rPr>
          <w:rFonts w:ascii="Arial" w:hAnsi="Arial" w:cs="Arial"/>
        </w:rPr>
        <w:t xml:space="preserve"> but rather the abuse thereof.</w:t>
      </w:r>
      <w:r w:rsidR="00897410">
        <w:rPr>
          <w:rStyle w:val="Funotenzeichen"/>
          <w:rFonts w:ascii="Arial" w:hAnsi="Arial" w:cs="Arial"/>
        </w:rPr>
        <w:footnoteReference w:id="891"/>
      </w:r>
      <w:r w:rsidR="00591494">
        <w:rPr>
          <w:rFonts w:ascii="Arial" w:hAnsi="Arial" w:cs="Arial"/>
        </w:rPr>
        <w:t xml:space="preserve"> Accordingly, </w:t>
      </w:r>
      <w:r>
        <w:rPr>
          <w:rFonts w:ascii="Arial" w:hAnsi="Arial" w:cs="Arial"/>
        </w:rPr>
        <w:t>structural characteristics, which are an indication of the degree of market power in an industry,</w:t>
      </w:r>
      <w:r w:rsidR="00591494">
        <w:rPr>
          <w:rFonts w:ascii="Arial" w:hAnsi="Arial" w:cs="Arial"/>
        </w:rPr>
        <w:t xml:space="preserve"> </w:t>
      </w:r>
      <w:r>
        <w:rPr>
          <w:rFonts w:ascii="Arial" w:hAnsi="Arial" w:cs="Arial"/>
        </w:rPr>
        <w:t>do not provide sufficient</w:t>
      </w:r>
      <w:r w:rsidR="00591494">
        <w:rPr>
          <w:rFonts w:ascii="Arial" w:hAnsi="Arial" w:cs="Arial"/>
        </w:rPr>
        <w:t xml:space="preserve"> </w:t>
      </w:r>
      <w:r w:rsidR="00605DCD">
        <w:rPr>
          <w:rFonts w:ascii="Arial" w:hAnsi="Arial" w:cs="Arial"/>
        </w:rPr>
        <w:t>evidence to conclude</w:t>
      </w:r>
      <w:r w:rsidR="00591494">
        <w:rPr>
          <w:rFonts w:ascii="Arial" w:hAnsi="Arial" w:cs="Arial"/>
        </w:rPr>
        <w:t xml:space="preserve"> whether or not a firm is in a position to abuse its </w:t>
      </w:r>
      <w:r w:rsidR="00591494" w:rsidRPr="00233532">
        <w:rPr>
          <w:rFonts w:ascii="Arial" w:hAnsi="Arial" w:cs="Arial"/>
        </w:rPr>
        <w:t>market power.</w:t>
      </w:r>
      <w:r w:rsidR="00897410" w:rsidRPr="00233532">
        <w:rPr>
          <w:rStyle w:val="Funotenzeichen"/>
          <w:rFonts w:ascii="Arial" w:hAnsi="Arial" w:cs="Arial"/>
        </w:rPr>
        <w:footnoteReference w:id="892"/>
      </w:r>
      <w:r w:rsidR="00605DCD" w:rsidRPr="00233532">
        <w:rPr>
          <w:rFonts w:ascii="Arial" w:hAnsi="Arial" w:cs="Arial"/>
        </w:rPr>
        <w:t xml:space="preserve"> One example would be a market where buyers choose suppliers by</w:t>
      </w:r>
      <w:r w:rsidR="00605DCD">
        <w:rPr>
          <w:rFonts w:ascii="Arial" w:hAnsi="Arial" w:cs="Arial"/>
        </w:rPr>
        <w:t xml:space="preserve"> way of a bidding process.</w:t>
      </w:r>
      <w:r w:rsidR="00897410">
        <w:rPr>
          <w:rStyle w:val="Funotenzeichen"/>
          <w:rFonts w:ascii="Arial" w:hAnsi="Arial" w:cs="Arial"/>
        </w:rPr>
        <w:footnoteReference w:id="893"/>
      </w:r>
      <w:r w:rsidR="00605DCD">
        <w:rPr>
          <w:rFonts w:ascii="Arial" w:hAnsi="Arial" w:cs="Arial"/>
        </w:rPr>
        <w:t xml:space="preserve"> </w:t>
      </w:r>
      <w:r w:rsidR="00F62F82">
        <w:rPr>
          <w:rFonts w:ascii="Arial" w:hAnsi="Arial" w:cs="Arial"/>
        </w:rPr>
        <w:t>Even if</w:t>
      </w:r>
      <w:r w:rsidR="00605DCD">
        <w:rPr>
          <w:rFonts w:ascii="Arial" w:hAnsi="Arial" w:cs="Arial"/>
        </w:rPr>
        <w:t xml:space="preserve"> </w:t>
      </w:r>
      <w:r w:rsidR="00F62F82">
        <w:rPr>
          <w:rFonts w:ascii="Arial" w:hAnsi="Arial" w:cs="Arial"/>
        </w:rPr>
        <w:t>these</w:t>
      </w:r>
      <w:r w:rsidR="00605DCD">
        <w:rPr>
          <w:rFonts w:ascii="Arial" w:hAnsi="Arial" w:cs="Arial"/>
        </w:rPr>
        <w:t xml:space="preserve"> market</w:t>
      </w:r>
      <w:r w:rsidR="00F62F82">
        <w:rPr>
          <w:rFonts w:ascii="Arial" w:hAnsi="Arial" w:cs="Arial"/>
        </w:rPr>
        <w:t>s</w:t>
      </w:r>
      <w:r w:rsidR="00605DCD">
        <w:rPr>
          <w:rFonts w:ascii="Arial" w:hAnsi="Arial" w:cs="Arial"/>
        </w:rPr>
        <w:t xml:space="preserve"> where to be characterised by high concentration levels and large barriers to entry,</w:t>
      </w:r>
      <w:r w:rsidR="00F62F82">
        <w:rPr>
          <w:rFonts w:ascii="Arial" w:hAnsi="Arial" w:cs="Arial"/>
        </w:rPr>
        <w:t xml:space="preserve"> structural indicators could potentially provide a wrong assessment of market power.</w:t>
      </w:r>
      <w:r w:rsidR="00897410">
        <w:rPr>
          <w:rStyle w:val="Funotenzeichen"/>
          <w:rFonts w:ascii="Arial" w:hAnsi="Arial" w:cs="Arial"/>
        </w:rPr>
        <w:footnoteReference w:id="894"/>
      </w:r>
      <w:r w:rsidR="00F62F82">
        <w:rPr>
          <w:rFonts w:ascii="Arial" w:hAnsi="Arial" w:cs="Arial"/>
        </w:rPr>
        <w:t xml:space="preserve"> The reason for this is that the bidding process could prohibit firms with large market shares from abusing their market power.</w:t>
      </w:r>
      <w:r w:rsidR="00897410">
        <w:rPr>
          <w:rStyle w:val="Funotenzeichen"/>
          <w:rFonts w:ascii="Arial" w:hAnsi="Arial" w:cs="Arial"/>
        </w:rPr>
        <w:footnoteReference w:id="895"/>
      </w:r>
      <w:r w:rsidR="00F62F82">
        <w:rPr>
          <w:rFonts w:ascii="Arial" w:hAnsi="Arial" w:cs="Arial"/>
        </w:rPr>
        <w:t xml:space="preserve"> </w:t>
      </w:r>
    </w:p>
    <w:p w:rsidR="00897410" w:rsidRDefault="00897410" w:rsidP="00CA3798">
      <w:pPr>
        <w:contextualSpacing/>
        <w:jc w:val="both"/>
        <w:rPr>
          <w:rFonts w:ascii="Arial" w:hAnsi="Arial" w:cs="Arial"/>
        </w:rPr>
      </w:pPr>
    </w:p>
    <w:p w:rsidR="00061D19" w:rsidRPr="009139B0" w:rsidRDefault="00061D19" w:rsidP="00CA3798">
      <w:pPr>
        <w:contextualSpacing/>
        <w:jc w:val="both"/>
        <w:rPr>
          <w:rFonts w:ascii="Arial" w:hAnsi="Arial" w:cs="Arial"/>
        </w:rPr>
      </w:pPr>
      <w:r>
        <w:rPr>
          <w:rFonts w:ascii="Arial" w:hAnsi="Arial" w:cs="Arial"/>
        </w:rPr>
        <w:t>Given that structural characteristics are insufficient to conclude that firms are in a position to abuse their market power</w:t>
      </w:r>
      <w:r w:rsidR="00F62F82">
        <w:rPr>
          <w:rFonts w:ascii="Arial" w:hAnsi="Arial" w:cs="Arial"/>
        </w:rPr>
        <w:t xml:space="preserve">, the South African competition authorities follow a holistic approach </w:t>
      </w:r>
      <w:r w:rsidR="00522D14">
        <w:rPr>
          <w:rFonts w:ascii="Arial" w:hAnsi="Arial" w:cs="Arial"/>
        </w:rPr>
        <w:t>when assessing the ability of firms to abuse their market power.</w:t>
      </w:r>
      <w:r>
        <w:rPr>
          <w:rStyle w:val="Funotenzeichen"/>
          <w:rFonts w:ascii="Arial" w:hAnsi="Arial" w:cs="Arial"/>
        </w:rPr>
        <w:footnoteReference w:id="896"/>
      </w:r>
      <w:r w:rsidR="00522D14">
        <w:rPr>
          <w:rFonts w:ascii="Arial" w:hAnsi="Arial" w:cs="Arial"/>
        </w:rPr>
        <w:t xml:space="preserve"> </w:t>
      </w:r>
      <w:r w:rsidR="009139B0">
        <w:rPr>
          <w:rFonts w:ascii="Arial" w:hAnsi="Arial" w:cs="Arial"/>
        </w:rPr>
        <w:t>Furthermore, it has been said the “</w:t>
      </w:r>
      <w:r w:rsidR="009139B0" w:rsidRPr="009139B0">
        <w:rPr>
          <w:rFonts w:ascii="Arial" w:hAnsi="Arial" w:cs="Arial"/>
        </w:rPr>
        <w:t>market power is not an absolute term but a matter of degree, and the degree of market power will depend on the circumstances of each case. In assessing whether an undertaking has substantial market power, it is helpful to consider whether and the extent to which an undertaking faces competitive constraints</w:t>
      </w:r>
      <w:r w:rsidR="009139B0" w:rsidRPr="00011073">
        <w:rPr>
          <w:rFonts w:ascii="Arial" w:hAnsi="Arial" w:cs="Arial"/>
          <w:i/>
        </w:rPr>
        <w:t>.</w:t>
      </w:r>
      <w:r w:rsidR="009139B0">
        <w:rPr>
          <w:rFonts w:ascii="Arial" w:hAnsi="Arial" w:cs="Arial"/>
          <w:i/>
        </w:rPr>
        <w:t>”</w:t>
      </w:r>
      <w:r w:rsidR="0070730B">
        <w:rPr>
          <w:rStyle w:val="Funotenzeichen"/>
          <w:rFonts w:ascii="Arial" w:hAnsi="Arial" w:cs="Arial"/>
          <w:i/>
        </w:rPr>
        <w:footnoteReference w:id="897"/>
      </w:r>
      <w:r w:rsidR="009139B0">
        <w:rPr>
          <w:rFonts w:ascii="Arial" w:hAnsi="Arial" w:cs="Arial"/>
        </w:rPr>
        <w:t xml:space="preserve"> With this statement in mind, the holistic approach followed by the South African competition authorities is one that </w:t>
      </w:r>
      <w:r w:rsidR="00291BBA">
        <w:rPr>
          <w:rFonts w:ascii="Arial" w:hAnsi="Arial" w:cs="Arial"/>
        </w:rPr>
        <w:t xml:space="preserve">This holistic approach </w:t>
      </w:r>
      <w:r w:rsidR="009139B0">
        <w:rPr>
          <w:rFonts w:ascii="Arial" w:hAnsi="Arial" w:cs="Arial"/>
        </w:rPr>
        <w:t>includes all factors (conditions) that could potentially constraint firms from abusing their market power.</w:t>
      </w:r>
      <w:r w:rsidR="0070730B">
        <w:rPr>
          <w:rStyle w:val="Funotenzeichen"/>
          <w:rFonts w:ascii="Arial" w:hAnsi="Arial" w:cs="Arial"/>
        </w:rPr>
        <w:footnoteReference w:id="898"/>
      </w:r>
    </w:p>
    <w:p w:rsidR="00061D19" w:rsidRDefault="00061D19" w:rsidP="00CA3798">
      <w:pPr>
        <w:contextualSpacing/>
        <w:jc w:val="both"/>
        <w:rPr>
          <w:rFonts w:ascii="Arial" w:hAnsi="Arial" w:cs="Arial"/>
        </w:rPr>
      </w:pPr>
    </w:p>
    <w:p w:rsidR="00CA3798" w:rsidRDefault="002C05B4" w:rsidP="00CA3798">
      <w:pPr>
        <w:contextualSpacing/>
        <w:jc w:val="both"/>
        <w:rPr>
          <w:rFonts w:ascii="Arial" w:hAnsi="Arial" w:cs="Arial"/>
        </w:rPr>
      </w:pPr>
      <w:r>
        <w:rPr>
          <w:rFonts w:ascii="Arial" w:hAnsi="Arial" w:cs="Arial"/>
        </w:rPr>
        <w:t xml:space="preserve">One </w:t>
      </w:r>
      <w:r w:rsidR="00455C5A">
        <w:rPr>
          <w:rFonts w:ascii="Arial" w:hAnsi="Arial" w:cs="Arial"/>
        </w:rPr>
        <w:t>means</w:t>
      </w:r>
      <w:r>
        <w:rPr>
          <w:rFonts w:ascii="Arial" w:hAnsi="Arial" w:cs="Arial"/>
        </w:rPr>
        <w:t xml:space="preserve"> </w:t>
      </w:r>
      <w:r w:rsidR="009139B0">
        <w:rPr>
          <w:rFonts w:ascii="Arial" w:hAnsi="Arial" w:cs="Arial"/>
        </w:rPr>
        <w:t xml:space="preserve">in which to </w:t>
      </w:r>
      <w:r>
        <w:rPr>
          <w:rFonts w:ascii="Arial" w:hAnsi="Arial" w:cs="Arial"/>
        </w:rPr>
        <w:t xml:space="preserve">assess the existence of </w:t>
      </w:r>
      <w:r w:rsidR="009139B0">
        <w:rPr>
          <w:rFonts w:ascii="Arial" w:hAnsi="Arial" w:cs="Arial"/>
        </w:rPr>
        <w:t xml:space="preserve">these </w:t>
      </w:r>
      <w:r>
        <w:rPr>
          <w:rFonts w:ascii="Arial" w:hAnsi="Arial" w:cs="Arial"/>
        </w:rPr>
        <w:t xml:space="preserve">competitive constraints is by analysing the conduct and the performance of the firms within </w:t>
      </w:r>
      <w:r w:rsidR="009139B0">
        <w:rPr>
          <w:rFonts w:ascii="Arial" w:hAnsi="Arial" w:cs="Arial"/>
        </w:rPr>
        <w:t>a</w:t>
      </w:r>
      <w:r>
        <w:rPr>
          <w:rFonts w:ascii="Arial" w:hAnsi="Arial" w:cs="Arial"/>
        </w:rPr>
        <w:t xml:space="preserve"> market.</w:t>
      </w:r>
      <w:r w:rsidR="00455C5A">
        <w:rPr>
          <w:rStyle w:val="Funotenzeichen"/>
          <w:rFonts w:ascii="Arial" w:hAnsi="Arial" w:cs="Arial"/>
        </w:rPr>
        <w:footnoteReference w:id="899"/>
      </w:r>
      <w:r>
        <w:rPr>
          <w:rFonts w:ascii="Arial" w:hAnsi="Arial" w:cs="Arial"/>
        </w:rPr>
        <w:t xml:space="preserve"> Accordingly, the conduct </w:t>
      </w:r>
      <w:r w:rsidR="00F5194E">
        <w:rPr>
          <w:rFonts w:ascii="Arial" w:hAnsi="Arial" w:cs="Arial"/>
        </w:rPr>
        <w:t>and</w:t>
      </w:r>
      <w:r>
        <w:rPr>
          <w:rFonts w:ascii="Arial" w:hAnsi="Arial" w:cs="Arial"/>
        </w:rPr>
        <w:t xml:space="preserve"> the performance of firms </w:t>
      </w:r>
      <w:r w:rsidR="00F5194E">
        <w:rPr>
          <w:rFonts w:ascii="Arial" w:hAnsi="Arial" w:cs="Arial"/>
        </w:rPr>
        <w:t>that could indicate an absence of competitive constraints within a market</w:t>
      </w:r>
      <w:r w:rsidR="002020B4">
        <w:rPr>
          <w:rFonts w:ascii="Arial" w:hAnsi="Arial" w:cs="Arial"/>
        </w:rPr>
        <w:t xml:space="preserve"> will</w:t>
      </w:r>
      <w:r w:rsidR="00291BBA">
        <w:rPr>
          <w:rFonts w:ascii="Arial" w:hAnsi="Arial" w:cs="Arial"/>
        </w:rPr>
        <w:t xml:space="preserve"> be discussed in the following </w:t>
      </w:r>
      <w:r w:rsidR="002020B4">
        <w:rPr>
          <w:rFonts w:ascii="Arial" w:hAnsi="Arial" w:cs="Arial"/>
        </w:rPr>
        <w:t>sections</w:t>
      </w:r>
      <w:r w:rsidR="00F5194E">
        <w:rPr>
          <w:rFonts w:ascii="Arial" w:hAnsi="Arial" w:cs="Arial"/>
        </w:rPr>
        <w:t xml:space="preserve">. These discussions </w:t>
      </w:r>
      <w:r w:rsidR="00897410">
        <w:rPr>
          <w:rFonts w:ascii="Arial" w:hAnsi="Arial" w:cs="Arial"/>
        </w:rPr>
        <w:t>h</w:t>
      </w:r>
      <w:r w:rsidR="00F5194E">
        <w:rPr>
          <w:rFonts w:ascii="Arial" w:hAnsi="Arial" w:cs="Arial"/>
        </w:rPr>
        <w:t>owever</w:t>
      </w:r>
      <w:r w:rsidR="00897410">
        <w:rPr>
          <w:rFonts w:ascii="Arial" w:hAnsi="Arial" w:cs="Arial"/>
        </w:rPr>
        <w:t>, will</w:t>
      </w:r>
      <w:r w:rsidR="00F5194E">
        <w:rPr>
          <w:rFonts w:ascii="Arial" w:hAnsi="Arial" w:cs="Arial"/>
        </w:rPr>
        <w:t xml:space="preserve"> be brief and only focus on the essence of the conduct and the performance that is relevant for the assessment of the ability of firms to abuse their market power.</w:t>
      </w:r>
    </w:p>
    <w:p w:rsidR="00CA3798" w:rsidRDefault="00CA3798" w:rsidP="00CA3798">
      <w:pPr>
        <w:contextualSpacing/>
        <w:jc w:val="both"/>
        <w:rPr>
          <w:rFonts w:ascii="Arial" w:hAnsi="Arial" w:cs="Arial"/>
        </w:rPr>
      </w:pPr>
    </w:p>
    <w:p w:rsidR="007518D8" w:rsidRDefault="00FA4B58" w:rsidP="00992A45">
      <w:pPr>
        <w:contextualSpacing/>
        <w:rPr>
          <w:rFonts w:ascii="Arial" w:hAnsi="Arial" w:cs="Arial"/>
        </w:rPr>
      </w:pPr>
      <w:r>
        <w:rPr>
          <w:rFonts w:ascii="Arial" w:hAnsi="Arial" w:cs="Arial"/>
        </w:rPr>
        <w:t xml:space="preserve">3.3.4.2.3 </w:t>
      </w:r>
      <w:r w:rsidR="007518D8">
        <w:rPr>
          <w:rFonts w:ascii="Arial" w:hAnsi="Arial" w:cs="Arial"/>
        </w:rPr>
        <w:t>Conduct</w:t>
      </w:r>
    </w:p>
    <w:p w:rsidR="00FA4B58" w:rsidRDefault="00FA4B58" w:rsidP="00992A45">
      <w:pPr>
        <w:contextualSpacing/>
        <w:rPr>
          <w:rFonts w:ascii="Arial" w:hAnsi="Arial" w:cs="Arial"/>
        </w:rPr>
      </w:pPr>
    </w:p>
    <w:p w:rsidR="00B85B98" w:rsidRDefault="00495AC6" w:rsidP="00992A45">
      <w:pPr>
        <w:contextualSpacing/>
        <w:rPr>
          <w:rFonts w:ascii="Arial" w:hAnsi="Arial" w:cs="Arial"/>
        </w:rPr>
      </w:pPr>
      <w:r>
        <w:rPr>
          <w:rFonts w:ascii="Arial" w:hAnsi="Arial" w:cs="Arial"/>
        </w:rPr>
        <w:t xml:space="preserve">Conduct refers </w:t>
      </w:r>
      <w:r w:rsidR="00F142CC">
        <w:rPr>
          <w:rFonts w:ascii="Arial" w:hAnsi="Arial" w:cs="Arial"/>
        </w:rPr>
        <w:t xml:space="preserve">to </w:t>
      </w:r>
      <w:r>
        <w:rPr>
          <w:rFonts w:ascii="Arial" w:hAnsi="Arial" w:cs="Arial"/>
        </w:rPr>
        <w:t>the behaviour of firms.</w:t>
      </w:r>
      <w:r>
        <w:rPr>
          <w:rStyle w:val="Funotenzeichen"/>
          <w:rFonts w:ascii="Arial" w:hAnsi="Arial" w:cs="Arial"/>
        </w:rPr>
        <w:footnoteReference w:id="900"/>
      </w:r>
      <w:r>
        <w:rPr>
          <w:rFonts w:ascii="Arial" w:hAnsi="Arial" w:cs="Arial"/>
        </w:rPr>
        <w:t xml:space="preserve"> More </w:t>
      </w:r>
      <w:r w:rsidR="00A07AB1">
        <w:rPr>
          <w:rFonts w:ascii="Arial" w:hAnsi="Arial" w:cs="Arial"/>
        </w:rPr>
        <w:t>specifically,</w:t>
      </w:r>
      <w:r>
        <w:rPr>
          <w:rFonts w:ascii="Arial" w:hAnsi="Arial" w:cs="Arial"/>
        </w:rPr>
        <w:t xml:space="preserve"> </w:t>
      </w:r>
      <w:r w:rsidR="00A07AB1">
        <w:rPr>
          <w:rFonts w:ascii="Arial" w:hAnsi="Arial" w:cs="Arial"/>
        </w:rPr>
        <w:t>conduct</w:t>
      </w:r>
      <w:r>
        <w:rPr>
          <w:rFonts w:ascii="Arial" w:hAnsi="Arial" w:cs="Arial"/>
        </w:rPr>
        <w:t xml:space="preserve"> refers to the numerous business </w:t>
      </w:r>
      <w:r w:rsidR="00A07AB1">
        <w:rPr>
          <w:rFonts w:ascii="Arial" w:hAnsi="Arial" w:cs="Arial"/>
        </w:rPr>
        <w:t>decisions</w:t>
      </w:r>
      <w:r>
        <w:rPr>
          <w:rFonts w:ascii="Arial" w:hAnsi="Arial" w:cs="Arial"/>
        </w:rPr>
        <w:t xml:space="preserve"> that </w:t>
      </w:r>
      <w:r w:rsidR="00A07AB1">
        <w:rPr>
          <w:rFonts w:ascii="Arial" w:hAnsi="Arial" w:cs="Arial"/>
        </w:rPr>
        <w:t>need</w:t>
      </w:r>
      <w:r>
        <w:rPr>
          <w:rFonts w:ascii="Arial" w:hAnsi="Arial" w:cs="Arial"/>
        </w:rPr>
        <w:t xml:space="preserve"> to be taken on a daily </w:t>
      </w:r>
      <w:r w:rsidR="00A07AB1">
        <w:rPr>
          <w:rFonts w:ascii="Arial" w:hAnsi="Arial" w:cs="Arial"/>
        </w:rPr>
        <w:t>bases by the firms within a market</w:t>
      </w:r>
      <w:r>
        <w:rPr>
          <w:rFonts w:ascii="Arial" w:hAnsi="Arial" w:cs="Arial"/>
        </w:rPr>
        <w:t>.</w:t>
      </w:r>
      <w:r w:rsidR="00A07AB1">
        <w:rPr>
          <w:rStyle w:val="Funotenzeichen"/>
          <w:rFonts w:ascii="Arial" w:hAnsi="Arial" w:cs="Arial"/>
        </w:rPr>
        <w:footnoteReference w:id="901"/>
      </w:r>
      <w:r>
        <w:rPr>
          <w:rFonts w:ascii="Arial" w:hAnsi="Arial" w:cs="Arial"/>
        </w:rPr>
        <w:t xml:space="preserve"> In the context of the SCP paradigm</w:t>
      </w:r>
      <w:r w:rsidR="008C4F8A">
        <w:rPr>
          <w:rFonts w:ascii="Arial" w:hAnsi="Arial" w:cs="Arial"/>
        </w:rPr>
        <w:t xml:space="preserve"> however</w:t>
      </w:r>
      <w:r>
        <w:rPr>
          <w:rFonts w:ascii="Arial" w:hAnsi="Arial" w:cs="Arial"/>
        </w:rPr>
        <w:t xml:space="preserve">, the relevant behavioural patterns (conduct) </w:t>
      </w:r>
      <w:r w:rsidR="008C4F8A">
        <w:rPr>
          <w:rFonts w:ascii="Arial" w:hAnsi="Arial" w:cs="Arial"/>
        </w:rPr>
        <w:t xml:space="preserve">of firms </w:t>
      </w:r>
      <w:r>
        <w:rPr>
          <w:rFonts w:ascii="Arial" w:hAnsi="Arial" w:cs="Arial"/>
        </w:rPr>
        <w:t>relate to the market structure.</w:t>
      </w:r>
      <w:r w:rsidR="00F142CC">
        <w:rPr>
          <w:rStyle w:val="Funotenzeichen"/>
          <w:rFonts w:ascii="Arial" w:hAnsi="Arial" w:cs="Arial"/>
        </w:rPr>
        <w:footnoteReference w:id="902"/>
      </w:r>
      <w:r w:rsidR="00A07AB1">
        <w:rPr>
          <w:rFonts w:ascii="Arial" w:hAnsi="Arial" w:cs="Arial"/>
        </w:rPr>
        <w:t xml:space="preserve"> Furthermore, it is argued that market structure and market conduct is always </w:t>
      </w:r>
      <w:r w:rsidR="00A07AB1" w:rsidRPr="008C4F8A">
        <w:rPr>
          <w:rFonts w:ascii="Arial" w:hAnsi="Arial" w:cs="Arial"/>
        </w:rPr>
        <w:t>correlated</w:t>
      </w:r>
      <w:r w:rsidR="00A07AB1">
        <w:rPr>
          <w:rFonts w:ascii="Arial" w:hAnsi="Arial" w:cs="Arial"/>
        </w:rPr>
        <w:t xml:space="preserve"> with each other.</w:t>
      </w:r>
      <w:r w:rsidR="003E3FEA">
        <w:rPr>
          <w:rStyle w:val="Funotenzeichen"/>
          <w:rFonts w:ascii="Arial" w:hAnsi="Arial" w:cs="Arial"/>
        </w:rPr>
        <w:footnoteReference w:id="903"/>
      </w:r>
      <w:r w:rsidR="00A07AB1">
        <w:rPr>
          <w:rFonts w:ascii="Arial" w:hAnsi="Arial" w:cs="Arial"/>
        </w:rPr>
        <w:t xml:space="preserve"> Be it </w:t>
      </w:r>
      <w:r w:rsidR="003E3FEA">
        <w:rPr>
          <w:rFonts w:ascii="Arial" w:hAnsi="Arial" w:cs="Arial"/>
        </w:rPr>
        <w:t xml:space="preserve">whether </w:t>
      </w:r>
      <w:r w:rsidR="008C4F8A">
        <w:rPr>
          <w:rFonts w:ascii="Arial" w:hAnsi="Arial" w:cs="Arial"/>
        </w:rPr>
        <w:t xml:space="preserve">market </w:t>
      </w:r>
      <w:r w:rsidR="00A07AB1">
        <w:rPr>
          <w:rFonts w:ascii="Arial" w:hAnsi="Arial" w:cs="Arial"/>
        </w:rPr>
        <w:t xml:space="preserve">structure </w:t>
      </w:r>
      <w:r w:rsidR="008C4F8A">
        <w:rPr>
          <w:rFonts w:ascii="Arial" w:hAnsi="Arial" w:cs="Arial"/>
        </w:rPr>
        <w:t>determines</w:t>
      </w:r>
      <w:r w:rsidR="00A07AB1">
        <w:rPr>
          <w:rFonts w:ascii="Arial" w:hAnsi="Arial" w:cs="Arial"/>
        </w:rPr>
        <w:t xml:space="preserve"> </w:t>
      </w:r>
      <w:r w:rsidR="008C4F8A">
        <w:rPr>
          <w:rFonts w:ascii="Arial" w:hAnsi="Arial" w:cs="Arial"/>
        </w:rPr>
        <w:t xml:space="preserve">market </w:t>
      </w:r>
      <w:r w:rsidR="00A07AB1">
        <w:rPr>
          <w:rFonts w:ascii="Arial" w:hAnsi="Arial" w:cs="Arial"/>
        </w:rPr>
        <w:t xml:space="preserve">conduct or </w:t>
      </w:r>
      <w:r w:rsidR="003E3FEA">
        <w:rPr>
          <w:rFonts w:ascii="Arial" w:hAnsi="Arial" w:cs="Arial"/>
        </w:rPr>
        <w:t>whether</w:t>
      </w:r>
      <w:r w:rsidR="00A07AB1">
        <w:rPr>
          <w:rFonts w:ascii="Arial" w:hAnsi="Arial" w:cs="Arial"/>
        </w:rPr>
        <w:t xml:space="preserve"> </w:t>
      </w:r>
      <w:r w:rsidR="008C4F8A">
        <w:rPr>
          <w:rFonts w:ascii="Arial" w:hAnsi="Arial" w:cs="Arial"/>
        </w:rPr>
        <w:t>market conduct determines</w:t>
      </w:r>
      <w:r w:rsidR="00A07AB1">
        <w:rPr>
          <w:rFonts w:ascii="Arial" w:hAnsi="Arial" w:cs="Arial"/>
        </w:rPr>
        <w:t xml:space="preserve"> market structure.</w:t>
      </w:r>
      <w:r w:rsidR="003E3FEA">
        <w:rPr>
          <w:rStyle w:val="Funotenzeichen"/>
          <w:rFonts w:ascii="Arial" w:hAnsi="Arial" w:cs="Arial"/>
        </w:rPr>
        <w:footnoteReference w:id="904"/>
      </w:r>
      <w:r w:rsidR="00A07AB1">
        <w:rPr>
          <w:rFonts w:ascii="Arial" w:hAnsi="Arial" w:cs="Arial"/>
        </w:rPr>
        <w:t xml:space="preserve"> </w:t>
      </w:r>
    </w:p>
    <w:p w:rsidR="00B85B98" w:rsidRDefault="00B85B98" w:rsidP="00992A45">
      <w:pPr>
        <w:contextualSpacing/>
        <w:rPr>
          <w:rFonts w:ascii="Arial" w:hAnsi="Arial" w:cs="Arial"/>
        </w:rPr>
      </w:pPr>
    </w:p>
    <w:p w:rsidR="00495AC6" w:rsidRDefault="00B85B98" w:rsidP="00992A45">
      <w:pPr>
        <w:contextualSpacing/>
        <w:rPr>
          <w:rFonts w:ascii="Arial" w:hAnsi="Arial" w:cs="Arial"/>
        </w:rPr>
      </w:pPr>
      <w:r>
        <w:rPr>
          <w:rFonts w:ascii="Arial" w:hAnsi="Arial" w:cs="Arial"/>
        </w:rPr>
        <w:t>However, a</w:t>
      </w:r>
      <w:r w:rsidR="00A07AB1">
        <w:rPr>
          <w:rFonts w:ascii="Arial" w:hAnsi="Arial" w:cs="Arial"/>
        </w:rPr>
        <w:t>s discussed previously, the SCP paradigm assumes that market conduct is determined by the market structure i.e. there</w:t>
      </w:r>
      <w:r w:rsidR="00F142CC">
        <w:rPr>
          <w:rFonts w:ascii="Arial" w:hAnsi="Arial" w:cs="Arial"/>
        </w:rPr>
        <w:t xml:space="preserve"> is a</w:t>
      </w:r>
      <w:r w:rsidR="00A07AB1">
        <w:rPr>
          <w:rFonts w:ascii="Arial" w:hAnsi="Arial" w:cs="Arial"/>
        </w:rPr>
        <w:t xml:space="preserve"> unidirectional causality from structure, to conduct</w:t>
      </w:r>
      <w:r w:rsidR="008C4F8A">
        <w:rPr>
          <w:rFonts w:ascii="Arial" w:hAnsi="Arial" w:cs="Arial"/>
        </w:rPr>
        <w:t xml:space="preserve"> </w:t>
      </w:r>
      <w:r w:rsidR="00A07AB1">
        <w:rPr>
          <w:rFonts w:ascii="Arial" w:hAnsi="Arial" w:cs="Arial"/>
        </w:rPr>
        <w:t xml:space="preserve"> to performance.</w:t>
      </w:r>
      <w:r w:rsidR="00A07AB1">
        <w:rPr>
          <w:rStyle w:val="Funotenzeichen"/>
          <w:rFonts w:ascii="Arial" w:hAnsi="Arial" w:cs="Arial"/>
        </w:rPr>
        <w:footnoteReference w:id="905"/>
      </w:r>
      <w:r w:rsidR="00F46976">
        <w:rPr>
          <w:rFonts w:ascii="Arial" w:hAnsi="Arial" w:cs="Arial"/>
        </w:rPr>
        <w:t xml:space="preserve"> </w:t>
      </w:r>
      <w:r w:rsidR="00DC0DA1">
        <w:rPr>
          <w:rFonts w:ascii="Arial" w:hAnsi="Arial" w:cs="Arial"/>
        </w:rPr>
        <w:t>As a result</w:t>
      </w:r>
      <w:r w:rsidR="00F46976">
        <w:rPr>
          <w:rFonts w:ascii="Arial" w:hAnsi="Arial" w:cs="Arial"/>
        </w:rPr>
        <w:t xml:space="preserve">, it is </w:t>
      </w:r>
      <w:r w:rsidR="00DC0DA1">
        <w:rPr>
          <w:rFonts w:ascii="Arial" w:hAnsi="Arial" w:cs="Arial"/>
        </w:rPr>
        <w:t>assumed</w:t>
      </w:r>
      <w:r w:rsidR="00F46976">
        <w:rPr>
          <w:rFonts w:ascii="Arial" w:hAnsi="Arial" w:cs="Arial"/>
        </w:rPr>
        <w:t xml:space="preserve"> that a </w:t>
      </w:r>
      <w:r>
        <w:rPr>
          <w:rFonts w:ascii="Arial" w:hAnsi="Arial" w:cs="Arial"/>
        </w:rPr>
        <w:t>firm’s</w:t>
      </w:r>
      <w:r w:rsidR="00F46976">
        <w:rPr>
          <w:rFonts w:ascii="Arial" w:hAnsi="Arial" w:cs="Arial"/>
        </w:rPr>
        <w:t xml:space="preserve"> </w:t>
      </w:r>
      <w:r w:rsidR="00DC0DA1">
        <w:rPr>
          <w:rFonts w:ascii="Arial" w:hAnsi="Arial" w:cs="Arial"/>
        </w:rPr>
        <w:t xml:space="preserve">market </w:t>
      </w:r>
      <w:r w:rsidR="00F46976">
        <w:rPr>
          <w:rFonts w:ascii="Arial" w:hAnsi="Arial" w:cs="Arial"/>
        </w:rPr>
        <w:t xml:space="preserve">conduct </w:t>
      </w:r>
      <w:r>
        <w:rPr>
          <w:rFonts w:ascii="Arial" w:hAnsi="Arial" w:cs="Arial"/>
        </w:rPr>
        <w:t>is</w:t>
      </w:r>
      <w:r w:rsidR="00F46976">
        <w:rPr>
          <w:rFonts w:ascii="Arial" w:hAnsi="Arial" w:cs="Arial"/>
        </w:rPr>
        <w:t xml:space="preserve"> an indication </w:t>
      </w:r>
      <w:r>
        <w:rPr>
          <w:rFonts w:ascii="Arial" w:hAnsi="Arial" w:cs="Arial"/>
        </w:rPr>
        <w:t>of whether</w:t>
      </w:r>
      <w:r w:rsidR="00F46976">
        <w:rPr>
          <w:rFonts w:ascii="Arial" w:hAnsi="Arial" w:cs="Arial"/>
        </w:rPr>
        <w:t xml:space="preserve"> that firm is</w:t>
      </w:r>
      <w:r w:rsidR="00937E8A">
        <w:rPr>
          <w:rFonts w:ascii="Arial" w:hAnsi="Arial" w:cs="Arial"/>
        </w:rPr>
        <w:t xml:space="preserve"> able</w:t>
      </w:r>
      <w:r w:rsidR="00F46976">
        <w:rPr>
          <w:rFonts w:ascii="Arial" w:hAnsi="Arial" w:cs="Arial"/>
        </w:rPr>
        <w:t xml:space="preserve"> to abuse </w:t>
      </w:r>
      <w:r w:rsidR="00937E8A">
        <w:rPr>
          <w:rFonts w:ascii="Arial" w:hAnsi="Arial" w:cs="Arial"/>
        </w:rPr>
        <w:t>its</w:t>
      </w:r>
      <w:r w:rsidR="00F46976">
        <w:rPr>
          <w:rFonts w:ascii="Arial" w:hAnsi="Arial" w:cs="Arial"/>
        </w:rPr>
        <w:t xml:space="preserve"> market power</w:t>
      </w:r>
      <w:r w:rsidR="00441598">
        <w:rPr>
          <w:rFonts w:ascii="Arial" w:hAnsi="Arial" w:cs="Arial"/>
        </w:rPr>
        <w:t xml:space="preserve"> </w:t>
      </w:r>
      <w:r w:rsidR="00243418">
        <w:rPr>
          <w:rFonts w:ascii="Arial" w:hAnsi="Arial" w:cs="Arial"/>
        </w:rPr>
        <w:t xml:space="preserve">within the relevant market structure </w:t>
      </w:r>
      <w:r w:rsidR="00441598">
        <w:rPr>
          <w:rFonts w:ascii="Arial" w:hAnsi="Arial" w:cs="Arial"/>
        </w:rPr>
        <w:t xml:space="preserve">i.e. </w:t>
      </w:r>
      <w:r w:rsidR="007D6A28">
        <w:rPr>
          <w:rFonts w:ascii="Arial" w:hAnsi="Arial" w:cs="Arial"/>
        </w:rPr>
        <w:t>it is an indication of the</w:t>
      </w:r>
      <w:r w:rsidR="00441598">
        <w:rPr>
          <w:rFonts w:ascii="Arial" w:hAnsi="Arial" w:cs="Arial"/>
        </w:rPr>
        <w:t xml:space="preserve"> competitive constraints </w:t>
      </w:r>
      <w:r w:rsidR="007D6A28">
        <w:rPr>
          <w:rFonts w:ascii="Arial" w:hAnsi="Arial" w:cs="Arial"/>
        </w:rPr>
        <w:t xml:space="preserve">that exist </w:t>
      </w:r>
      <w:r w:rsidR="00243418">
        <w:rPr>
          <w:rFonts w:ascii="Arial" w:hAnsi="Arial" w:cs="Arial"/>
        </w:rPr>
        <w:t>within</w:t>
      </w:r>
      <w:r w:rsidR="00441598">
        <w:rPr>
          <w:rFonts w:ascii="Arial" w:hAnsi="Arial" w:cs="Arial"/>
        </w:rPr>
        <w:t xml:space="preserve"> </w:t>
      </w:r>
      <w:r w:rsidR="007D6A28">
        <w:rPr>
          <w:rFonts w:ascii="Arial" w:hAnsi="Arial" w:cs="Arial"/>
        </w:rPr>
        <w:t xml:space="preserve">that </w:t>
      </w:r>
      <w:r w:rsidR="00DE4E5F">
        <w:rPr>
          <w:rFonts w:ascii="Arial" w:hAnsi="Arial" w:cs="Arial"/>
        </w:rPr>
        <w:t xml:space="preserve">specific </w:t>
      </w:r>
      <w:r w:rsidR="00441598">
        <w:rPr>
          <w:rFonts w:ascii="Arial" w:hAnsi="Arial" w:cs="Arial"/>
        </w:rPr>
        <w:t>market</w:t>
      </w:r>
      <w:r w:rsidR="00243418">
        <w:rPr>
          <w:rFonts w:ascii="Arial" w:hAnsi="Arial" w:cs="Arial"/>
        </w:rPr>
        <w:t xml:space="preserve">’s structure, prohibiting firms </w:t>
      </w:r>
      <w:r w:rsidR="00DE4E5F">
        <w:rPr>
          <w:rFonts w:ascii="Arial" w:hAnsi="Arial" w:cs="Arial"/>
        </w:rPr>
        <w:t>from</w:t>
      </w:r>
      <w:r w:rsidR="00243418">
        <w:rPr>
          <w:rFonts w:ascii="Arial" w:hAnsi="Arial" w:cs="Arial"/>
        </w:rPr>
        <w:t xml:space="preserve"> abus</w:t>
      </w:r>
      <w:r w:rsidR="00DE4E5F">
        <w:rPr>
          <w:rFonts w:ascii="Arial" w:hAnsi="Arial" w:cs="Arial"/>
        </w:rPr>
        <w:t>ing</w:t>
      </w:r>
      <w:r w:rsidR="00243418">
        <w:rPr>
          <w:rFonts w:ascii="Arial" w:hAnsi="Arial" w:cs="Arial"/>
        </w:rPr>
        <w:t xml:space="preserve"> their market power</w:t>
      </w:r>
      <w:r w:rsidR="00F46976">
        <w:rPr>
          <w:rFonts w:ascii="Arial" w:hAnsi="Arial" w:cs="Arial"/>
        </w:rPr>
        <w:t>.</w:t>
      </w:r>
      <w:r w:rsidR="00F46976">
        <w:rPr>
          <w:rStyle w:val="Funotenzeichen"/>
          <w:rFonts w:ascii="Arial" w:hAnsi="Arial" w:cs="Arial"/>
        </w:rPr>
        <w:footnoteReference w:id="906"/>
      </w:r>
      <w:r w:rsidR="00DC0DA1">
        <w:rPr>
          <w:rFonts w:ascii="Arial" w:hAnsi="Arial" w:cs="Arial"/>
        </w:rPr>
        <w:t xml:space="preserve"> </w:t>
      </w:r>
    </w:p>
    <w:p w:rsidR="00DE4E5F" w:rsidRDefault="00DE4E5F" w:rsidP="00992A45">
      <w:pPr>
        <w:contextualSpacing/>
        <w:rPr>
          <w:rFonts w:ascii="Arial" w:hAnsi="Arial" w:cs="Arial"/>
        </w:rPr>
      </w:pPr>
    </w:p>
    <w:p w:rsidR="004F2F58" w:rsidRDefault="008C4F8A" w:rsidP="00992A45">
      <w:pPr>
        <w:contextualSpacing/>
        <w:rPr>
          <w:rFonts w:ascii="Arial" w:hAnsi="Arial" w:cs="Arial"/>
        </w:rPr>
      </w:pPr>
      <w:r>
        <w:rPr>
          <w:rFonts w:ascii="Arial" w:hAnsi="Arial" w:cs="Arial"/>
        </w:rPr>
        <w:t>Furthermore, t</w:t>
      </w:r>
      <w:r w:rsidR="00441598">
        <w:rPr>
          <w:rFonts w:ascii="Arial" w:hAnsi="Arial" w:cs="Arial"/>
        </w:rPr>
        <w:t xml:space="preserve">he abuse of market power is </w:t>
      </w:r>
      <w:r>
        <w:rPr>
          <w:rFonts w:ascii="Arial" w:hAnsi="Arial" w:cs="Arial"/>
        </w:rPr>
        <w:t xml:space="preserve">also </w:t>
      </w:r>
      <w:r w:rsidR="00441598">
        <w:rPr>
          <w:rFonts w:ascii="Arial" w:hAnsi="Arial" w:cs="Arial"/>
        </w:rPr>
        <w:t>referred to as anti-competitive conduct.</w:t>
      </w:r>
      <w:r w:rsidR="00441598">
        <w:rPr>
          <w:rStyle w:val="Funotenzeichen"/>
          <w:rFonts w:ascii="Arial" w:hAnsi="Arial" w:cs="Arial"/>
        </w:rPr>
        <w:footnoteReference w:id="907"/>
      </w:r>
      <w:r>
        <w:rPr>
          <w:rFonts w:ascii="Arial" w:hAnsi="Arial" w:cs="Arial"/>
        </w:rPr>
        <w:t xml:space="preserve"> </w:t>
      </w:r>
      <w:r w:rsidR="00557C54">
        <w:rPr>
          <w:rFonts w:ascii="Arial" w:hAnsi="Arial" w:cs="Arial"/>
        </w:rPr>
        <w:t xml:space="preserve">As discussed earlier, the abuse of market power i.e. anticompetitive </w:t>
      </w:r>
      <w:r w:rsidR="004F2F58">
        <w:rPr>
          <w:rFonts w:ascii="Arial" w:hAnsi="Arial" w:cs="Arial"/>
        </w:rPr>
        <w:t>conduct</w:t>
      </w:r>
      <w:r w:rsidR="009E2557">
        <w:rPr>
          <w:rFonts w:ascii="Arial" w:hAnsi="Arial" w:cs="Arial"/>
        </w:rPr>
        <w:t>,</w:t>
      </w:r>
      <w:r w:rsidR="004F2F58">
        <w:rPr>
          <w:rFonts w:ascii="Arial" w:hAnsi="Arial" w:cs="Arial"/>
        </w:rPr>
        <w:t xml:space="preserve"> is</w:t>
      </w:r>
      <w:r w:rsidR="00557C54">
        <w:rPr>
          <w:rFonts w:ascii="Arial" w:hAnsi="Arial" w:cs="Arial"/>
        </w:rPr>
        <w:t xml:space="preserve"> taken to be detrimental to competition.</w:t>
      </w:r>
      <w:r w:rsidR="008218C7">
        <w:rPr>
          <w:rStyle w:val="Funotenzeichen"/>
          <w:rFonts w:ascii="Arial" w:hAnsi="Arial" w:cs="Arial"/>
        </w:rPr>
        <w:footnoteReference w:id="908"/>
      </w:r>
      <w:r w:rsidR="00557C54">
        <w:rPr>
          <w:rFonts w:ascii="Arial" w:hAnsi="Arial" w:cs="Arial"/>
        </w:rPr>
        <w:t xml:space="preserve"> </w:t>
      </w:r>
      <w:r>
        <w:rPr>
          <w:rFonts w:ascii="Arial" w:hAnsi="Arial" w:cs="Arial"/>
        </w:rPr>
        <w:t>In other words, anti-competitive conduct is any conduct that lessens or prevents competition within a market.</w:t>
      </w:r>
      <w:r w:rsidR="00E46A14">
        <w:rPr>
          <w:rStyle w:val="Funotenzeichen"/>
          <w:rFonts w:ascii="Arial" w:hAnsi="Arial" w:cs="Arial"/>
        </w:rPr>
        <w:footnoteReference w:id="909"/>
      </w:r>
      <w:r>
        <w:rPr>
          <w:rFonts w:ascii="Arial" w:hAnsi="Arial" w:cs="Arial"/>
        </w:rPr>
        <w:t xml:space="preserve"> </w:t>
      </w:r>
    </w:p>
    <w:p w:rsidR="004F2F58" w:rsidRDefault="004F2F58" w:rsidP="00992A45">
      <w:pPr>
        <w:contextualSpacing/>
        <w:rPr>
          <w:rFonts w:ascii="Arial" w:hAnsi="Arial" w:cs="Arial"/>
        </w:rPr>
      </w:pPr>
    </w:p>
    <w:p w:rsidR="008D7786" w:rsidRDefault="00423E88" w:rsidP="00992A45">
      <w:pPr>
        <w:contextualSpacing/>
        <w:rPr>
          <w:rFonts w:ascii="Arial" w:hAnsi="Arial" w:cs="Arial"/>
        </w:rPr>
      </w:pPr>
      <w:r>
        <w:rPr>
          <w:rFonts w:ascii="Arial" w:hAnsi="Arial" w:cs="Arial"/>
        </w:rPr>
        <w:t>When considering the conduct element of the SCP paradigm the competition authorities consider all conduct that could potentially prevent or lessen competition in the relevant market.</w:t>
      </w:r>
      <w:r w:rsidR="003F28EA">
        <w:rPr>
          <w:rStyle w:val="Funotenzeichen"/>
          <w:rFonts w:ascii="Arial" w:hAnsi="Arial" w:cs="Arial"/>
        </w:rPr>
        <w:footnoteReference w:id="910"/>
      </w:r>
      <w:r>
        <w:rPr>
          <w:rFonts w:ascii="Arial" w:hAnsi="Arial" w:cs="Arial"/>
        </w:rPr>
        <w:t xml:space="preserve"> </w:t>
      </w:r>
      <w:r w:rsidR="009E2557">
        <w:rPr>
          <w:rFonts w:ascii="Arial" w:hAnsi="Arial" w:cs="Arial"/>
        </w:rPr>
        <w:t>Conduct that is viewed as anti-competitive depends on the circumstances of each case and market and as a result it will vary from case to case and from market  to market.</w:t>
      </w:r>
      <w:r w:rsidR="009E2557">
        <w:rPr>
          <w:rStyle w:val="Funotenzeichen"/>
          <w:rFonts w:ascii="Arial" w:hAnsi="Arial" w:cs="Arial"/>
        </w:rPr>
        <w:footnoteReference w:id="911"/>
      </w:r>
      <w:r w:rsidR="009E2557">
        <w:rPr>
          <w:rFonts w:ascii="Arial" w:hAnsi="Arial" w:cs="Arial"/>
        </w:rPr>
        <w:t xml:space="preserve"> </w:t>
      </w:r>
      <w:r w:rsidR="003F28EA">
        <w:rPr>
          <w:rFonts w:ascii="Arial" w:hAnsi="Arial" w:cs="Arial"/>
        </w:rPr>
        <w:t>Furthermore, t</w:t>
      </w:r>
      <w:r>
        <w:rPr>
          <w:rFonts w:ascii="Arial" w:hAnsi="Arial" w:cs="Arial"/>
        </w:rPr>
        <w:t xml:space="preserve">here are </w:t>
      </w:r>
      <w:r w:rsidR="003F28EA">
        <w:rPr>
          <w:rFonts w:ascii="Arial" w:hAnsi="Arial" w:cs="Arial"/>
        </w:rPr>
        <w:t>copious quantities</w:t>
      </w:r>
      <w:r>
        <w:rPr>
          <w:rFonts w:ascii="Arial" w:hAnsi="Arial" w:cs="Arial"/>
        </w:rPr>
        <w:t xml:space="preserve"> of different types of conduct that can be regarded as being anti-competitive.</w:t>
      </w:r>
      <w:r w:rsidR="003F28EA">
        <w:rPr>
          <w:rStyle w:val="Funotenzeichen"/>
          <w:rFonts w:ascii="Arial" w:hAnsi="Arial" w:cs="Arial"/>
        </w:rPr>
        <w:footnoteReference w:id="912"/>
      </w:r>
      <w:r>
        <w:rPr>
          <w:rFonts w:ascii="Arial" w:hAnsi="Arial" w:cs="Arial"/>
        </w:rPr>
        <w:t xml:space="preserve"> Accordingly, it is impossible to provide an exhaustive list of </w:t>
      </w:r>
      <w:r w:rsidR="003F28EA">
        <w:rPr>
          <w:rFonts w:ascii="Arial" w:hAnsi="Arial" w:cs="Arial"/>
        </w:rPr>
        <w:t xml:space="preserve">all </w:t>
      </w:r>
      <w:r>
        <w:rPr>
          <w:rFonts w:ascii="Arial" w:hAnsi="Arial" w:cs="Arial"/>
        </w:rPr>
        <w:t>the different types of cond</w:t>
      </w:r>
      <w:r w:rsidR="003F28EA">
        <w:rPr>
          <w:rFonts w:ascii="Arial" w:hAnsi="Arial" w:cs="Arial"/>
        </w:rPr>
        <w:t xml:space="preserve">uct that can be considered </w:t>
      </w:r>
      <w:r w:rsidR="00C16F0B">
        <w:rPr>
          <w:rFonts w:ascii="Arial" w:hAnsi="Arial" w:cs="Arial"/>
        </w:rPr>
        <w:t xml:space="preserve">as </w:t>
      </w:r>
      <w:r w:rsidR="003F28EA">
        <w:rPr>
          <w:rFonts w:ascii="Arial" w:hAnsi="Arial" w:cs="Arial"/>
        </w:rPr>
        <w:t>anti-</w:t>
      </w:r>
      <w:r>
        <w:rPr>
          <w:rFonts w:ascii="Arial" w:hAnsi="Arial" w:cs="Arial"/>
        </w:rPr>
        <w:t>competit</w:t>
      </w:r>
      <w:r w:rsidR="003F28EA">
        <w:rPr>
          <w:rFonts w:ascii="Arial" w:hAnsi="Arial" w:cs="Arial"/>
        </w:rPr>
        <w:t>i</w:t>
      </w:r>
      <w:r>
        <w:rPr>
          <w:rFonts w:ascii="Arial" w:hAnsi="Arial" w:cs="Arial"/>
        </w:rPr>
        <w:t>ve.</w:t>
      </w:r>
      <w:r w:rsidR="003F28EA">
        <w:rPr>
          <w:rStyle w:val="Funotenzeichen"/>
          <w:rFonts w:ascii="Arial" w:hAnsi="Arial" w:cs="Arial"/>
        </w:rPr>
        <w:footnoteReference w:id="913"/>
      </w:r>
      <w:r w:rsidR="00C16F0B">
        <w:rPr>
          <w:rFonts w:ascii="Arial" w:hAnsi="Arial" w:cs="Arial"/>
        </w:rPr>
        <w:t xml:space="preserve"> A</w:t>
      </w:r>
      <w:r w:rsidR="008D7786">
        <w:rPr>
          <w:rFonts w:ascii="Arial" w:hAnsi="Arial" w:cs="Arial"/>
        </w:rPr>
        <w:t>nti-competitive conduct</w:t>
      </w:r>
      <w:r w:rsidR="00C16F0B">
        <w:rPr>
          <w:rFonts w:ascii="Arial" w:hAnsi="Arial" w:cs="Arial"/>
        </w:rPr>
        <w:t xml:space="preserve"> could</w:t>
      </w:r>
      <w:r w:rsidR="008D7786">
        <w:rPr>
          <w:rFonts w:ascii="Arial" w:hAnsi="Arial" w:cs="Arial"/>
        </w:rPr>
        <w:t xml:space="preserve"> include among others the following:</w:t>
      </w:r>
    </w:p>
    <w:p w:rsidR="001F2A7F" w:rsidRDefault="001F2A7F" w:rsidP="00992A45">
      <w:pPr>
        <w:contextualSpacing/>
        <w:rPr>
          <w:rFonts w:ascii="Arial" w:hAnsi="Arial" w:cs="Arial"/>
        </w:rPr>
      </w:pPr>
    </w:p>
    <w:p w:rsidR="008D7786" w:rsidRDefault="008D7786" w:rsidP="00992A45">
      <w:pPr>
        <w:contextualSpacing/>
        <w:rPr>
          <w:rFonts w:ascii="Arial" w:hAnsi="Arial" w:cs="Arial"/>
        </w:rPr>
      </w:pPr>
      <w:r>
        <w:rPr>
          <w:rFonts w:ascii="Arial" w:hAnsi="Arial" w:cs="Arial"/>
        </w:rPr>
        <w:t>1. The pricing behav</w:t>
      </w:r>
      <w:r w:rsidR="001F2A7F">
        <w:rPr>
          <w:rFonts w:ascii="Arial" w:hAnsi="Arial" w:cs="Arial"/>
        </w:rPr>
        <w:t>iour of the firms in the market:</w:t>
      </w:r>
      <w:r w:rsidR="00696ECA">
        <w:rPr>
          <w:rStyle w:val="Funotenzeichen"/>
          <w:rFonts w:ascii="Arial" w:hAnsi="Arial" w:cs="Arial"/>
        </w:rPr>
        <w:footnoteReference w:id="914"/>
      </w:r>
      <w:r>
        <w:rPr>
          <w:rFonts w:ascii="Arial" w:hAnsi="Arial" w:cs="Arial"/>
        </w:rPr>
        <w:t xml:space="preserve"> Here the key question is whether the firms in the market are able to sustain prices in excess of their marginal costs.</w:t>
      </w:r>
      <w:r w:rsidR="007A1C57">
        <w:rPr>
          <w:rStyle w:val="Funotenzeichen"/>
          <w:rFonts w:ascii="Arial" w:hAnsi="Arial" w:cs="Arial"/>
        </w:rPr>
        <w:footnoteReference w:id="915"/>
      </w:r>
      <w:r w:rsidR="001F2A7F">
        <w:rPr>
          <w:rFonts w:ascii="Arial" w:hAnsi="Arial" w:cs="Arial"/>
        </w:rPr>
        <w:t xml:space="preserve"> Remember, it is argued that only highly concentrated markets with high barriers to entry will allow firms to determine prices in excess of their marginal cost</w:t>
      </w:r>
      <w:r w:rsidR="004C5288">
        <w:rPr>
          <w:rFonts w:ascii="Arial" w:hAnsi="Arial" w:cs="Arial"/>
        </w:rPr>
        <w:t>.</w:t>
      </w:r>
      <w:r w:rsidR="004C5288">
        <w:rPr>
          <w:rStyle w:val="Funotenzeichen"/>
          <w:rFonts w:ascii="Arial" w:hAnsi="Arial" w:cs="Arial"/>
        </w:rPr>
        <w:footnoteReference w:id="916"/>
      </w:r>
      <w:r w:rsidR="001F2A7F">
        <w:rPr>
          <w:rFonts w:ascii="Arial" w:hAnsi="Arial" w:cs="Arial"/>
        </w:rPr>
        <w:t xml:space="preserve"> </w:t>
      </w:r>
      <w:r w:rsidR="004C5288">
        <w:rPr>
          <w:rFonts w:ascii="Arial" w:hAnsi="Arial" w:cs="Arial"/>
        </w:rPr>
        <w:t>In other words,</w:t>
      </w:r>
      <w:r w:rsidR="001F2A7F">
        <w:rPr>
          <w:rFonts w:ascii="Arial" w:hAnsi="Arial" w:cs="Arial"/>
        </w:rPr>
        <w:t xml:space="preserve"> if firms are able to sustain prices above their marginal cost it indicates that the firms have market power and that the market structure more closely resembles that of the monopoly model.</w:t>
      </w:r>
      <w:r w:rsidR="007A1C57">
        <w:rPr>
          <w:rStyle w:val="Funotenzeichen"/>
          <w:rFonts w:ascii="Arial" w:hAnsi="Arial" w:cs="Arial"/>
        </w:rPr>
        <w:footnoteReference w:id="917"/>
      </w:r>
      <w:r w:rsidR="001F2A7F">
        <w:rPr>
          <w:rFonts w:ascii="Arial" w:hAnsi="Arial" w:cs="Arial"/>
        </w:rPr>
        <w:t xml:space="preserve"> Lastly, pricing behaviour </w:t>
      </w:r>
      <w:r>
        <w:rPr>
          <w:rFonts w:ascii="Arial" w:hAnsi="Arial" w:cs="Arial"/>
        </w:rPr>
        <w:t>seems to be the most important measure of conduct.</w:t>
      </w:r>
      <w:r w:rsidR="004362FB">
        <w:rPr>
          <w:rStyle w:val="Funotenzeichen"/>
          <w:rFonts w:ascii="Arial" w:hAnsi="Arial" w:cs="Arial"/>
        </w:rPr>
        <w:footnoteReference w:id="918"/>
      </w:r>
    </w:p>
    <w:p w:rsidR="00F82ED3" w:rsidRDefault="00F82ED3" w:rsidP="00992A45">
      <w:pPr>
        <w:contextualSpacing/>
        <w:rPr>
          <w:rFonts w:ascii="Arial" w:hAnsi="Arial" w:cs="Arial"/>
        </w:rPr>
      </w:pPr>
    </w:p>
    <w:p w:rsidR="00F82ED3" w:rsidRDefault="00F82ED3" w:rsidP="00992A45">
      <w:pPr>
        <w:contextualSpacing/>
        <w:rPr>
          <w:rFonts w:ascii="Arial" w:hAnsi="Arial" w:cs="Arial"/>
        </w:rPr>
      </w:pPr>
      <w:r>
        <w:rPr>
          <w:rFonts w:ascii="Arial" w:hAnsi="Arial" w:cs="Arial"/>
        </w:rPr>
        <w:t>2. Barriers to entry:</w:t>
      </w:r>
      <w:r w:rsidR="00C041D5">
        <w:rPr>
          <w:rStyle w:val="Funotenzeichen"/>
          <w:rFonts w:ascii="Arial" w:hAnsi="Arial" w:cs="Arial"/>
        </w:rPr>
        <w:footnoteReference w:id="919"/>
      </w:r>
      <w:r>
        <w:rPr>
          <w:rFonts w:ascii="Arial" w:hAnsi="Arial" w:cs="Arial"/>
        </w:rPr>
        <w:t xml:space="preserve"> Th</w:t>
      </w:r>
      <w:r w:rsidR="005E6AC6">
        <w:rPr>
          <w:rFonts w:ascii="Arial" w:hAnsi="Arial" w:cs="Arial"/>
        </w:rPr>
        <w:t>is</w:t>
      </w:r>
      <w:r>
        <w:rPr>
          <w:rFonts w:ascii="Arial" w:hAnsi="Arial" w:cs="Arial"/>
        </w:rPr>
        <w:t xml:space="preserve"> measure of conduct refers to any conduct of a firm that contribute</w:t>
      </w:r>
      <w:r w:rsidR="00C16F0B">
        <w:rPr>
          <w:rFonts w:ascii="Arial" w:hAnsi="Arial" w:cs="Arial"/>
        </w:rPr>
        <w:t>s</w:t>
      </w:r>
      <w:r>
        <w:rPr>
          <w:rFonts w:ascii="Arial" w:hAnsi="Arial" w:cs="Arial"/>
        </w:rPr>
        <w:t xml:space="preserve"> to any barriers to entry.</w:t>
      </w:r>
      <w:r w:rsidR="000526CA">
        <w:rPr>
          <w:rStyle w:val="Funotenzeichen"/>
          <w:rFonts w:ascii="Arial" w:hAnsi="Arial" w:cs="Arial"/>
        </w:rPr>
        <w:footnoteReference w:id="920"/>
      </w:r>
      <w:r>
        <w:rPr>
          <w:rFonts w:ascii="Arial" w:hAnsi="Arial" w:cs="Arial"/>
        </w:rPr>
        <w:t xml:space="preserve"> These include</w:t>
      </w:r>
      <w:r w:rsidR="00FE6E87">
        <w:rPr>
          <w:rFonts w:ascii="Arial" w:hAnsi="Arial" w:cs="Arial"/>
        </w:rPr>
        <w:t xml:space="preserve"> among others,</w:t>
      </w:r>
      <w:r>
        <w:rPr>
          <w:rFonts w:ascii="Arial" w:hAnsi="Arial" w:cs="Arial"/>
        </w:rPr>
        <w:t xml:space="preserve"> product design, branding, advertising and marketing which contribute to the product differentiation barrier to entry.</w:t>
      </w:r>
      <w:r w:rsidR="000526CA">
        <w:rPr>
          <w:rStyle w:val="Funotenzeichen"/>
          <w:rFonts w:ascii="Arial" w:hAnsi="Arial" w:cs="Arial"/>
        </w:rPr>
        <w:footnoteReference w:id="921"/>
      </w:r>
      <w:r>
        <w:rPr>
          <w:rFonts w:ascii="Arial" w:hAnsi="Arial" w:cs="Arial"/>
        </w:rPr>
        <w:t xml:space="preserve"> </w:t>
      </w:r>
    </w:p>
    <w:p w:rsidR="00423E88" w:rsidRDefault="00423E88" w:rsidP="00992A45">
      <w:pPr>
        <w:contextualSpacing/>
        <w:rPr>
          <w:rFonts w:ascii="Arial" w:hAnsi="Arial" w:cs="Arial"/>
        </w:rPr>
      </w:pPr>
    </w:p>
    <w:p w:rsidR="007A1C57" w:rsidRDefault="007A1C57" w:rsidP="00992A45">
      <w:pPr>
        <w:contextualSpacing/>
        <w:rPr>
          <w:rFonts w:ascii="Arial" w:hAnsi="Arial" w:cs="Arial"/>
        </w:rPr>
      </w:pPr>
      <w:r>
        <w:rPr>
          <w:rFonts w:ascii="Arial" w:hAnsi="Arial" w:cs="Arial"/>
        </w:rPr>
        <w:t xml:space="preserve">3. </w:t>
      </w:r>
      <w:r w:rsidR="000526CA">
        <w:rPr>
          <w:rFonts w:ascii="Arial" w:hAnsi="Arial" w:cs="Arial"/>
        </w:rPr>
        <w:t>Research and development:</w:t>
      </w:r>
      <w:r w:rsidR="004A33A8">
        <w:rPr>
          <w:rStyle w:val="Funotenzeichen"/>
          <w:rFonts w:ascii="Arial" w:hAnsi="Arial" w:cs="Arial"/>
        </w:rPr>
        <w:footnoteReference w:id="922"/>
      </w:r>
      <w:r w:rsidR="000526CA">
        <w:rPr>
          <w:rFonts w:ascii="Arial" w:hAnsi="Arial" w:cs="Arial"/>
        </w:rPr>
        <w:t xml:space="preserve"> The investment in research and </w:t>
      </w:r>
      <w:r w:rsidR="004A33A8">
        <w:rPr>
          <w:rFonts w:ascii="Arial" w:hAnsi="Arial" w:cs="Arial"/>
        </w:rPr>
        <w:t>development together</w:t>
      </w:r>
      <w:r w:rsidR="000526CA">
        <w:rPr>
          <w:rFonts w:ascii="Arial" w:hAnsi="Arial" w:cs="Arial"/>
        </w:rPr>
        <w:t xml:space="preserve"> with advertising and marketing is an important measure to indicate the degree of non-price competition between the </w:t>
      </w:r>
      <w:r w:rsidR="00C16F0B">
        <w:rPr>
          <w:rFonts w:ascii="Arial" w:hAnsi="Arial" w:cs="Arial"/>
        </w:rPr>
        <w:t xml:space="preserve">various </w:t>
      </w:r>
      <w:r w:rsidR="000526CA">
        <w:rPr>
          <w:rFonts w:ascii="Arial" w:hAnsi="Arial" w:cs="Arial"/>
        </w:rPr>
        <w:t>firms in the market.</w:t>
      </w:r>
      <w:r w:rsidR="00FF1784">
        <w:rPr>
          <w:rStyle w:val="Funotenzeichen"/>
          <w:rFonts w:ascii="Arial" w:hAnsi="Arial" w:cs="Arial"/>
        </w:rPr>
        <w:footnoteReference w:id="923"/>
      </w:r>
    </w:p>
    <w:p w:rsidR="00423E88" w:rsidRDefault="00423E88" w:rsidP="00992A45">
      <w:pPr>
        <w:contextualSpacing/>
        <w:rPr>
          <w:rFonts w:ascii="Arial" w:hAnsi="Arial" w:cs="Arial"/>
        </w:rPr>
      </w:pPr>
    </w:p>
    <w:p w:rsidR="00FF1784" w:rsidRDefault="00FF1784" w:rsidP="00992A45">
      <w:pPr>
        <w:contextualSpacing/>
        <w:rPr>
          <w:rFonts w:ascii="Arial" w:hAnsi="Arial" w:cs="Arial"/>
        </w:rPr>
      </w:pPr>
      <w:r>
        <w:rPr>
          <w:rFonts w:ascii="Arial" w:hAnsi="Arial" w:cs="Arial"/>
        </w:rPr>
        <w:t>4. Collusion:</w:t>
      </w:r>
      <w:r w:rsidR="00467C83">
        <w:rPr>
          <w:rStyle w:val="Funotenzeichen"/>
          <w:rFonts w:ascii="Arial" w:hAnsi="Arial" w:cs="Arial"/>
        </w:rPr>
        <w:footnoteReference w:id="924"/>
      </w:r>
      <w:r>
        <w:rPr>
          <w:rFonts w:ascii="Arial" w:hAnsi="Arial" w:cs="Arial"/>
        </w:rPr>
        <w:t xml:space="preserve"> This measure</w:t>
      </w:r>
      <w:r w:rsidR="005E6AC6">
        <w:rPr>
          <w:rFonts w:ascii="Arial" w:hAnsi="Arial" w:cs="Arial"/>
        </w:rPr>
        <w:t xml:space="preserve"> of conduct </w:t>
      </w:r>
      <w:r>
        <w:rPr>
          <w:rFonts w:ascii="Arial" w:hAnsi="Arial" w:cs="Arial"/>
        </w:rPr>
        <w:t xml:space="preserve">includes all agreements between firms in </w:t>
      </w:r>
      <w:r w:rsidR="005E6AC6">
        <w:rPr>
          <w:rFonts w:ascii="Arial" w:hAnsi="Arial" w:cs="Arial"/>
        </w:rPr>
        <w:t>the same</w:t>
      </w:r>
      <w:r>
        <w:rPr>
          <w:rFonts w:ascii="Arial" w:hAnsi="Arial" w:cs="Arial"/>
        </w:rPr>
        <w:t xml:space="preserve"> market by which they agree not to directly compete with each other.</w:t>
      </w:r>
      <w:r w:rsidR="005E6AC6">
        <w:rPr>
          <w:rStyle w:val="Funotenzeichen"/>
          <w:rFonts w:ascii="Arial" w:hAnsi="Arial" w:cs="Arial"/>
        </w:rPr>
        <w:footnoteReference w:id="925"/>
      </w:r>
      <w:r>
        <w:rPr>
          <w:rFonts w:ascii="Arial" w:hAnsi="Arial" w:cs="Arial"/>
        </w:rPr>
        <w:t xml:space="preserve"> This includes collective decision on prices; output; advertising and marketing and research and development.</w:t>
      </w:r>
      <w:r w:rsidR="005E6AC6">
        <w:rPr>
          <w:rStyle w:val="Funotenzeichen"/>
          <w:rFonts w:ascii="Arial" w:hAnsi="Arial" w:cs="Arial"/>
        </w:rPr>
        <w:footnoteReference w:id="926"/>
      </w:r>
      <w:r>
        <w:rPr>
          <w:rFonts w:ascii="Arial" w:hAnsi="Arial" w:cs="Arial"/>
        </w:rPr>
        <w:t xml:space="preserve"> Lastly, collusion can be explicit or </w:t>
      </w:r>
      <w:r w:rsidRPr="00FF1784">
        <w:rPr>
          <w:rFonts w:ascii="Arial" w:hAnsi="Arial" w:cs="Arial"/>
        </w:rPr>
        <w:t>tacit</w:t>
      </w:r>
      <w:r>
        <w:rPr>
          <w:rFonts w:ascii="Arial" w:hAnsi="Arial" w:cs="Arial"/>
        </w:rPr>
        <w:t>.</w:t>
      </w:r>
      <w:r w:rsidR="005E6AC6">
        <w:rPr>
          <w:rStyle w:val="Funotenzeichen"/>
          <w:rFonts w:ascii="Arial" w:hAnsi="Arial" w:cs="Arial"/>
        </w:rPr>
        <w:footnoteReference w:id="927"/>
      </w:r>
      <w:r>
        <w:rPr>
          <w:rFonts w:ascii="Arial" w:hAnsi="Arial" w:cs="Arial"/>
        </w:rPr>
        <w:t xml:space="preserve"> </w:t>
      </w:r>
    </w:p>
    <w:p w:rsidR="00FF1784" w:rsidRDefault="00FF1784" w:rsidP="00992A45">
      <w:pPr>
        <w:contextualSpacing/>
        <w:rPr>
          <w:rFonts w:ascii="Arial" w:hAnsi="Arial" w:cs="Arial"/>
        </w:rPr>
      </w:pPr>
    </w:p>
    <w:p w:rsidR="00FF1784" w:rsidRDefault="00FF1784" w:rsidP="00992A45">
      <w:pPr>
        <w:contextualSpacing/>
        <w:rPr>
          <w:rFonts w:ascii="Arial" w:hAnsi="Arial" w:cs="Arial"/>
        </w:rPr>
      </w:pPr>
      <w:r>
        <w:rPr>
          <w:rFonts w:ascii="Arial" w:hAnsi="Arial" w:cs="Arial"/>
        </w:rPr>
        <w:t>5. Mergers:</w:t>
      </w:r>
      <w:r w:rsidR="00B26AE0">
        <w:rPr>
          <w:rStyle w:val="Funotenzeichen"/>
          <w:rFonts w:ascii="Arial" w:hAnsi="Arial" w:cs="Arial"/>
        </w:rPr>
        <w:footnoteReference w:id="928"/>
      </w:r>
      <w:r>
        <w:rPr>
          <w:rFonts w:ascii="Arial" w:hAnsi="Arial" w:cs="Arial"/>
        </w:rPr>
        <w:t xml:space="preserve"> This</w:t>
      </w:r>
      <w:r w:rsidR="00B26AE0">
        <w:rPr>
          <w:rFonts w:ascii="Arial" w:hAnsi="Arial" w:cs="Arial"/>
        </w:rPr>
        <w:t xml:space="preserve"> includes horizontal, vertical and conglomerate mergers.</w:t>
      </w:r>
      <w:r w:rsidR="00B26AE0">
        <w:rPr>
          <w:rStyle w:val="Funotenzeichen"/>
          <w:rFonts w:ascii="Arial" w:hAnsi="Arial" w:cs="Arial"/>
        </w:rPr>
        <w:footnoteReference w:id="929"/>
      </w:r>
      <w:r w:rsidR="00B26AE0">
        <w:rPr>
          <w:rFonts w:ascii="Arial" w:hAnsi="Arial" w:cs="Arial"/>
        </w:rPr>
        <w:t xml:space="preserve"> Each one of these mergers could alter the market structure of the relevant market and provide the merging parties with sufficient market power to abuse it.</w:t>
      </w:r>
      <w:r w:rsidR="00B26AE0">
        <w:rPr>
          <w:rStyle w:val="Funotenzeichen"/>
          <w:rFonts w:ascii="Arial" w:hAnsi="Arial" w:cs="Arial"/>
        </w:rPr>
        <w:footnoteReference w:id="930"/>
      </w:r>
      <w:r>
        <w:rPr>
          <w:rFonts w:ascii="Arial" w:hAnsi="Arial" w:cs="Arial"/>
        </w:rPr>
        <w:t xml:space="preserve">   </w:t>
      </w:r>
    </w:p>
    <w:p w:rsidR="00FF1784" w:rsidRDefault="00FF1784" w:rsidP="00992A45">
      <w:pPr>
        <w:contextualSpacing/>
        <w:rPr>
          <w:rFonts w:ascii="Arial" w:hAnsi="Arial" w:cs="Arial"/>
        </w:rPr>
      </w:pPr>
    </w:p>
    <w:p w:rsidR="007518D8" w:rsidRDefault="00C745DA" w:rsidP="00992A45">
      <w:pPr>
        <w:contextualSpacing/>
        <w:rPr>
          <w:rFonts w:ascii="Arial" w:hAnsi="Arial" w:cs="Arial"/>
        </w:rPr>
      </w:pPr>
      <w:r>
        <w:rPr>
          <w:rFonts w:ascii="Arial" w:hAnsi="Arial" w:cs="Arial"/>
        </w:rPr>
        <w:t xml:space="preserve">3.3.4.2.4 </w:t>
      </w:r>
      <w:r w:rsidR="007518D8">
        <w:rPr>
          <w:rFonts w:ascii="Arial" w:hAnsi="Arial" w:cs="Arial"/>
        </w:rPr>
        <w:t>Performance</w:t>
      </w:r>
    </w:p>
    <w:p w:rsidR="00AC15DE" w:rsidRDefault="00AC15DE" w:rsidP="00AC15DE">
      <w:pPr>
        <w:contextualSpacing/>
        <w:jc w:val="both"/>
        <w:rPr>
          <w:rFonts w:ascii="Arial" w:hAnsi="Arial" w:cs="Arial"/>
        </w:rPr>
      </w:pPr>
    </w:p>
    <w:p w:rsidR="001919BF" w:rsidRDefault="001919BF" w:rsidP="00AC15DE">
      <w:pPr>
        <w:contextualSpacing/>
        <w:jc w:val="both"/>
        <w:rPr>
          <w:rFonts w:ascii="Arial" w:hAnsi="Arial" w:cs="Arial"/>
        </w:rPr>
      </w:pPr>
      <w:r>
        <w:rPr>
          <w:rFonts w:ascii="Arial" w:hAnsi="Arial" w:cs="Arial"/>
        </w:rPr>
        <w:t>As discussed</w:t>
      </w:r>
      <w:r w:rsidR="00710DAB">
        <w:rPr>
          <w:rFonts w:ascii="Arial" w:hAnsi="Arial" w:cs="Arial"/>
        </w:rPr>
        <w:t xml:space="preserve"> earlier</w:t>
      </w:r>
      <w:r>
        <w:rPr>
          <w:rFonts w:ascii="Arial" w:hAnsi="Arial" w:cs="Arial"/>
        </w:rPr>
        <w:t>,</w:t>
      </w:r>
      <w:r w:rsidR="000E4418">
        <w:rPr>
          <w:rFonts w:ascii="Arial" w:hAnsi="Arial" w:cs="Arial"/>
        </w:rPr>
        <w:t xml:space="preserve"> the perfectly competitive </w:t>
      </w:r>
      <w:r>
        <w:rPr>
          <w:rFonts w:ascii="Arial" w:hAnsi="Arial" w:cs="Arial"/>
        </w:rPr>
        <w:t xml:space="preserve">market </w:t>
      </w:r>
      <w:r w:rsidR="000E4418">
        <w:rPr>
          <w:rFonts w:ascii="Arial" w:hAnsi="Arial" w:cs="Arial"/>
        </w:rPr>
        <w:t>model is the most efficient market model.</w:t>
      </w:r>
      <w:r w:rsidR="00DB7D85">
        <w:rPr>
          <w:rStyle w:val="Funotenzeichen"/>
          <w:rFonts w:ascii="Arial" w:hAnsi="Arial" w:cs="Arial"/>
        </w:rPr>
        <w:footnoteReference w:id="931"/>
      </w:r>
      <w:r w:rsidR="000E4418">
        <w:rPr>
          <w:rFonts w:ascii="Arial" w:hAnsi="Arial" w:cs="Arial"/>
        </w:rPr>
        <w:t xml:space="preserve"> The reason being that the perfectly competitive market is regulated by the competition process, which ensures that the market forces functions properly.</w:t>
      </w:r>
      <w:r w:rsidR="00DB7D85">
        <w:rPr>
          <w:rStyle w:val="Funotenzeichen"/>
          <w:rFonts w:ascii="Arial" w:hAnsi="Arial" w:cs="Arial"/>
        </w:rPr>
        <w:footnoteReference w:id="932"/>
      </w:r>
      <w:r w:rsidR="000E4418">
        <w:rPr>
          <w:rFonts w:ascii="Arial" w:hAnsi="Arial" w:cs="Arial"/>
        </w:rPr>
        <w:t xml:space="preserve"> Th</w:t>
      </w:r>
      <w:r w:rsidR="00B70637">
        <w:rPr>
          <w:rFonts w:ascii="Arial" w:hAnsi="Arial" w:cs="Arial"/>
        </w:rPr>
        <w:t xml:space="preserve">e consequence </w:t>
      </w:r>
      <w:r>
        <w:rPr>
          <w:rFonts w:ascii="Arial" w:hAnsi="Arial" w:cs="Arial"/>
        </w:rPr>
        <w:t xml:space="preserve">of this </w:t>
      </w:r>
      <w:r w:rsidR="00B70637">
        <w:rPr>
          <w:rFonts w:ascii="Arial" w:hAnsi="Arial" w:cs="Arial"/>
        </w:rPr>
        <w:t>being</w:t>
      </w:r>
      <w:r w:rsidR="000E4418">
        <w:rPr>
          <w:rFonts w:ascii="Arial" w:hAnsi="Arial" w:cs="Arial"/>
        </w:rPr>
        <w:t xml:space="preserve"> th</w:t>
      </w:r>
      <w:r w:rsidR="00B70637">
        <w:rPr>
          <w:rFonts w:ascii="Arial" w:hAnsi="Arial" w:cs="Arial"/>
        </w:rPr>
        <w:t>at</w:t>
      </w:r>
      <w:r w:rsidR="000E4418">
        <w:rPr>
          <w:rFonts w:ascii="Arial" w:hAnsi="Arial" w:cs="Arial"/>
        </w:rPr>
        <w:t xml:space="preserve"> </w:t>
      </w:r>
      <w:r w:rsidR="006E65B9">
        <w:rPr>
          <w:rFonts w:ascii="Arial" w:hAnsi="Arial" w:cs="Arial"/>
        </w:rPr>
        <w:t xml:space="preserve">the </w:t>
      </w:r>
      <w:r w:rsidR="000E4418">
        <w:rPr>
          <w:rFonts w:ascii="Arial" w:hAnsi="Arial" w:cs="Arial"/>
        </w:rPr>
        <w:t xml:space="preserve">market equilibrium </w:t>
      </w:r>
      <w:r w:rsidR="00B70637">
        <w:rPr>
          <w:rFonts w:ascii="Arial" w:hAnsi="Arial" w:cs="Arial"/>
        </w:rPr>
        <w:t xml:space="preserve">is achieved </w:t>
      </w:r>
      <w:r w:rsidR="000E4418">
        <w:rPr>
          <w:rFonts w:ascii="Arial" w:hAnsi="Arial" w:cs="Arial"/>
        </w:rPr>
        <w:t xml:space="preserve">i.e. </w:t>
      </w:r>
      <w:r w:rsidR="00B70637">
        <w:rPr>
          <w:rFonts w:ascii="Arial" w:hAnsi="Arial" w:cs="Arial"/>
        </w:rPr>
        <w:t>the socially efficient quantity is produced at the socially efficient price.</w:t>
      </w:r>
      <w:r w:rsidR="00DB7D85">
        <w:rPr>
          <w:rStyle w:val="Funotenzeichen"/>
          <w:rFonts w:ascii="Arial" w:hAnsi="Arial" w:cs="Arial"/>
        </w:rPr>
        <w:footnoteReference w:id="933"/>
      </w:r>
      <w:r w:rsidR="006E65B9">
        <w:rPr>
          <w:rFonts w:ascii="Arial" w:hAnsi="Arial" w:cs="Arial"/>
        </w:rPr>
        <w:t xml:space="preserve"> </w:t>
      </w:r>
    </w:p>
    <w:p w:rsidR="001919BF" w:rsidRDefault="001919BF" w:rsidP="00AC15DE">
      <w:pPr>
        <w:contextualSpacing/>
        <w:jc w:val="both"/>
        <w:rPr>
          <w:rFonts w:ascii="Arial" w:hAnsi="Arial" w:cs="Arial"/>
        </w:rPr>
      </w:pPr>
    </w:p>
    <w:p w:rsidR="00EB13C3" w:rsidRDefault="006E65B9" w:rsidP="00AC15DE">
      <w:pPr>
        <w:contextualSpacing/>
        <w:jc w:val="both"/>
        <w:rPr>
          <w:rFonts w:ascii="Arial" w:hAnsi="Arial" w:cs="Arial"/>
        </w:rPr>
      </w:pPr>
      <w:r>
        <w:rPr>
          <w:rFonts w:ascii="Arial" w:hAnsi="Arial" w:cs="Arial"/>
        </w:rPr>
        <w:t>Furthermore, the competition process</w:t>
      </w:r>
      <w:r w:rsidR="00710DAB">
        <w:rPr>
          <w:rFonts w:ascii="Arial" w:hAnsi="Arial" w:cs="Arial"/>
        </w:rPr>
        <w:t>,</w:t>
      </w:r>
      <w:r>
        <w:rPr>
          <w:rFonts w:ascii="Arial" w:hAnsi="Arial" w:cs="Arial"/>
        </w:rPr>
        <w:t xml:space="preserve"> which regulates the perfectly competitive market</w:t>
      </w:r>
      <w:r w:rsidR="00710DAB">
        <w:rPr>
          <w:rFonts w:ascii="Arial" w:hAnsi="Arial" w:cs="Arial"/>
        </w:rPr>
        <w:t>,</w:t>
      </w:r>
      <w:r>
        <w:rPr>
          <w:rFonts w:ascii="Arial" w:hAnsi="Arial" w:cs="Arial"/>
        </w:rPr>
        <w:t xml:space="preserve"> ensures that</w:t>
      </w:r>
      <w:r w:rsidR="00B35A38">
        <w:rPr>
          <w:rFonts w:ascii="Arial" w:hAnsi="Arial" w:cs="Arial"/>
        </w:rPr>
        <w:t xml:space="preserve"> all</w:t>
      </w:r>
      <w:r>
        <w:rPr>
          <w:rFonts w:ascii="Arial" w:hAnsi="Arial" w:cs="Arial"/>
        </w:rPr>
        <w:t xml:space="preserve"> firms are efficient </w:t>
      </w:r>
      <w:r w:rsidR="00710DAB">
        <w:rPr>
          <w:rFonts w:ascii="Arial" w:hAnsi="Arial" w:cs="Arial"/>
        </w:rPr>
        <w:t>given that</w:t>
      </w:r>
      <w:r>
        <w:rPr>
          <w:rFonts w:ascii="Arial" w:hAnsi="Arial" w:cs="Arial"/>
        </w:rPr>
        <w:t xml:space="preserve"> they face exit from the market if they </w:t>
      </w:r>
      <w:r w:rsidR="00710DAB">
        <w:rPr>
          <w:rFonts w:ascii="Arial" w:hAnsi="Arial" w:cs="Arial"/>
        </w:rPr>
        <w:t>are not</w:t>
      </w:r>
      <w:r>
        <w:rPr>
          <w:rFonts w:ascii="Arial" w:hAnsi="Arial" w:cs="Arial"/>
        </w:rPr>
        <w:t>.</w:t>
      </w:r>
      <w:r w:rsidR="00DB7D85">
        <w:rPr>
          <w:rStyle w:val="Funotenzeichen"/>
          <w:rFonts w:ascii="Arial" w:hAnsi="Arial" w:cs="Arial"/>
        </w:rPr>
        <w:footnoteReference w:id="934"/>
      </w:r>
      <w:r>
        <w:rPr>
          <w:rFonts w:ascii="Arial" w:hAnsi="Arial" w:cs="Arial"/>
        </w:rPr>
        <w:t xml:space="preserve"> </w:t>
      </w:r>
      <w:r w:rsidR="00EB13C3">
        <w:rPr>
          <w:rFonts w:ascii="Arial" w:hAnsi="Arial" w:cs="Arial"/>
        </w:rPr>
        <w:t>Competition thus ensures economic efficiency and consumer welfare.</w:t>
      </w:r>
      <w:r w:rsidR="000B4F28">
        <w:rPr>
          <w:rFonts w:ascii="Arial" w:hAnsi="Arial" w:cs="Arial"/>
        </w:rPr>
        <w:t xml:space="preserve"> Accordingly, t</w:t>
      </w:r>
      <w:r w:rsidR="00EB13C3">
        <w:rPr>
          <w:rFonts w:ascii="Arial" w:hAnsi="Arial" w:cs="Arial"/>
        </w:rPr>
        <w:t xml:space="preserve">he purpose of the </w:t>
      </w:r>
      <w:r w:rsidR="004D1390">
        <w:rPr>
          <w:rFonts w:ascii="Arial" w:hAnsi="Arial" w:cs="Arial"/>
        </w:rPr>
        <w:t xml:space="preserve">South African </w:t>
      </w:r>
      <w:r w:rsidR="00EB13C3">
        <w:rPr>
          <w:rFonts w:ascii="Arial" w:hAnsi="Arial" w:cs="Arial"/>
        </w:rPr>
        <w:t>Competition Act</w:t>
      </w:r>
      <w:r w:rsidR="00E31A4A">
        <w:rPr>
          <w:rStyle w:val="Funotenzeichen"/>
          <w:rFonts w:ascii="Arial" w:hAnsi="Arial" w:cs="Arial"/>
        </w:rPr>
        <w:footnoteReference w:id="935"/>
      </w:r>
      <w:r w:rsidR="00EB13C3">
        <w:rPr>
          <w:rFonts w:ascii="Arial" w:hAnsi="Arial" w:cs="Arial"/>
        </w:rPr>
        <w:t xml:space="preserve"> is to promote and maintain competition within </w:t>
      </w:r>
      <w:r w:rsidR="00710DAB">
        <w:rPr>
          <w:rFonts w:ascii="Arial" w:hAnsi="Arial" w:cs="Arial"/>
        </w:rPr>
        <w:t xml:space="preserve">the Republic of </w:t>
      </w:r>
      <w:r w:rsidR="00EB13C3">
        <w:rPr>
          <w:rFonts w:ascii="Arial" w:hAnsi="Arial" w:cs="Arial"/>
        </w:rPr>
        <w:t xml:space="preserve">South Africa with </w:t>
      </w:r>
      <w:r w:rsidR="00EB13C3" w:rsidRPr="00140702">
        <w:rPr>
          <w:rFonts w:ascii="Arial" w:hAnsi="Arial" w:cs="Arial"/>
        </w:rPr>
        <w:t xml:space="preserve">economic efficiency and consumer welfare </w:t>
      </w:r>
      <w:r w:rsidR="00EB13C3">
        <w:rPr>
          <w:rFonts w:ascii="Arial" w:hAnsi="Arial" w:cs="Arial"/>
        </w:rPr>
        <w:t>being</w:t>
      </w:r>
      <w:r w:rsidR="00EB13C3" w:rsidRPr="00140702">
        <w:rPr>
          <w:rFonts w:ascii="Arial" w:hAnsi="Arial" w:cs="Arial"/>
        </w:rPr>
        <w:t xml:space="preserve"> the overruling principle</w:t>
      </w:r>
      <w:r w:rsidR="00EB13C3">
        <w:rPr>
          <w:rFonts w:ascii="Arial" w:hAnsi="Arial" w:cs="Arial"/>
        </w:rPr>
        <w:t>s</w:t>
      </w:r>
      <w:r w:rsidR="00EB13C3" w:rsidRPr="00140702">
        <w:rPr>
          <w:rFonts w:ascii="Arial" w:hAnsi="Arial" w:cs="Arial"/>
        </w:rPr>
        <w:t xml:space="preserve"> for the application of the </w:t>
      </w:r>
      <w:r w:rsidR="00EB13C3">
        <w:rPr>
          <w:rFonts w:ascii="Arial" w:hAnsi="Arial" w:cs="Arial"/>
        </w:rPr>
        <w:t>C</w:t>
      </w:r>
      <w:r w:rsidR="00EB13C3" w:rsidRPr="00140702">
        <w:rPr>
          <w:rFonts w:ascii="Arial" w:hAnsi="Arial" w:cs="Arial"/>
        </w:rPr>
        <w:t>ompetition</w:t>
      </w:r>
      <w:r w:rsidR="00EB13C3">
        <w:rPr>
          <w:rFonts w:ascii="Arial" w:hAnsi="Arial" w:cs="Arial"/>
        </w:rPr>
        <w:t xml:space="preserve"> Act.</w:t>
      </w:r>
      <w:r w:rsidR="00F72FC6">
        <w:rPr>
          <w:rStyle w:val="Funotenzeichen"/>
          <w:rFonts w:ascii="Arial" w:hAnsi="Arial" w:cs="Arial"/>
        </w:rPr>
        <w:footnoteReference w:id="936"/>
      </w:r>
    </w:p>
    <w:p w:rsidR="00EB13C3" w:rsidRDefault="00EB13C3" w:rsidP="00AC15DE">
      <w:pPr>
        <w:contextualSpacing/>
        <w:jc w:val="both"/>
        <w:rPr>
          <w:rFonts w:ascii="Arial" w:hAnsi="Arial" w:cs="Arial"/>
        </w:rPr>
      </w:pPr>
    </w:p>
    <w:p w:rsidR="00710DAB" w:rsidRDefault="006E65B9" w:rsidP="00FB22CE">
      <w:pPr>
        <w:contextualSpacing/>
        <w:jc w:val="both"/>
        <w:rPr>
          <w:rFonts w:ascii="Arial" w:hAnsi="Arial" w:cs="Arial"/>
        </w:rPr>
      </w:pPr>
      <w:r>
        <w:rPr>
          <w:rFonts w:ascii="Arial" w:hAnsi="Arial" w:cs="Arial"/>
        </w:rPr>
        <w:t xml:space="preserve">Additionally, it </w:t>
      </w:r>
      <w:r w:rsidR="00880F39">
        <w:rPr>
          <w:rFonts w:ascii="Arial" w:hAnsi="Arial" w:cs="Arial"/>
        </w:rPr>
        <w:t xml:space="preserve">has been </w:t>
      </w:r>
      <w:r w:rsidR="00B70637">
        <w:rPr>
          <w:rFonts w:ascii="Arial" w:hAnsi="Arial" w:cs="Arial"/>
        </w:rPr>
        <w:t xml:space="preserve">discussed that </w:t>
      </w:r>
      <w:r w:rsidR="00880F39">
        <w:rPr>
          <w:rFonts w:ascii="Arial" w:hAnsi="Arial" w:cs="Arial"/>
        </w:rPr>
        <w:t xml:space="preserve">in </w:t>
      </w:r>
      <w:r w:rsidR="00B70637" w:rsidRPr="00880F39">
        <w:rPr>
          <w:rFonts w:ascii="Arial" w:hAnsi="Arial" w:cs="Arial"/>
        </w:rPr>
        <w:t>equilibrium</w:t>
      </w:r>
      <w:r w:rsidR="00710DAB">
        <w:rPr>
          <w:rFonts w:ascii="Arial" w:hAnsi="Arial" w:cs="Arial"/>
        </w:rPr>
        <w:t xml:space="preserve"> </w:t>
      </w:r>
      <w:r w:rsidR="00B70637">
        <w:rPr>
          <w:rFonts w:ascii="Arial" w:hAnsi="Arial" w:cs="Arial"/>
        </w:rPr>
        <w:t>the follow equation holds</w:t>
      </w:r>
      <w:r>
        <w:rPr>
          <w:rFonts w:ascii="Arial" w:hAnsi="Arial" w:cs="Arial"/>
        </w:rPr>
        <w:t xml:space="preserve"> for the profit maximising firm:</w:t>
      </w:r>
      <w:r w:rsidR="00B70637">
        <w:rPr>
          <w:rFonts w:ascii="Arial" w:hAnsi="Arial" w:cs="Arial"/>
        </w:rPr>
        <w:t xml:space="preserve"> P</w:t>
      </w:r>
      <w:r>
        <w:rPr>
          <w:rFonts w:ascii="Arial" w:hAnsi="Arial" w:cs="Arial"/>
          <w:vertAlign w:val="subscript"/>
        </w:rPr>
        <w:t>f</w:t>
      </w:r>
      <w:r w:rsidR="00B70637">
        <w:rPr>
          <w:rFonts w:ascii="Arial" w:hAnsi="Arial" w:cs="Arial"/>
        </w:rPr>
        <w:t>=P</w:t>
      </w:r>
      <w:r>
        <w:rPr>
          <w:rFonts w:ascii="Arial" w:hAnsi="Arial" w:cs="Arial"/>
          <w:vertAlign w:val="subscript"/>
        </w:rPr>
        <w:t>m</w:t>
      </w:r>
      <w:r w:rsidR="00B70637">
        <w:rPr>
          <w:rFonts w:ascii="Arial" w:hAnsi="Arial" w:cs="Arial"/>
        </w:rPr>
        <w:t>=MR=MC</w:t>
      </w:r>
      <w:r w:rsidR="000B4F28">
        <w:rPr>
          <w:rFonts w:ascii="Arial" w:hAnsi="Arial" w:cs="Arial"/>
        </w:rPr>
        <w:t>.</w:t>
      </w:r>
      <w:r w:rsidR="00DB7D85">
        <w:rPr>
          <w:rStyle w:val="Funotenzeichen"/>
          <w:rFonts w:ascii="Arial" w:hAnsi="Arial" w:cs="Arial"/>
        </w:rPr>
        <w:footnoteReference w:id="937"/>
      </w:r>
      <w:r w:rsidR="000B4F28">
        <w:rPr>
          <w:rFonts w:ascii="Arial" w:hAnsi="Arial" w:cs="Arial"/>
        </w:rPr>
        <w:t xml:space="preserve"> Furthermore, market power has been said to be the ability of a firm or a group of firms acting together to raise the price of their products above their marginal costs at the profit </w:t>
      </w:r>
      <w:r w:rsidR="000B4F28" w:rsidRPr="000C6B11">
        <w:rPr>
          <w:rFonts w:ascii="Arial" w:hAnsi="Arial" w:cs="Arial"/>
        </w:rPr>
        <w:t>maximi</w:t>
      </w:r>
      <w:r w:rsidR="000B4F28">
        <w:rPr>
          <w:rFonts w:ascii="Arial" w:hAnsi="Arial" w:cs="Arial"/>
        </w:rPr>
        <w:t>s</w:t>
      </w:r>
      <w:r w:rsidR="000B4F28" w:rsidRPr="000C6B11">
        <w:rPr>
          <w:rFonts w:ascii="Arial" w:hAnsi="Arial" w:cs="Arial"/>
        </w:rPr>
        <w:t>ing</w:t>
      </w:r>
      <w:r w:rsidR="000B4F28">
        <w:rPr>
          <w:rFonts w:ascii="Arial" w:hAnsi="Arial" w:cs="Arial"/>
        </w:rPr>
        <w:t xml:space="preserve"> level of output.</w:t>
      </w:r>
      <w:r w:rsidR="000B4F28">
        <w:rPr>
          <w:rStyle w:val="Funotenzeichen"/>
          <w:rFonts w:ascii="Arial" w:hAnsi="Arial" w:cs="Arial"/>
        </w:rPr>
        <w:footnoteReference w:id="938"/>
      </w:r>
      <w:r w:rsidR="000B4F28">
        <w:rPr>
          <w:rFonts w:ascii="Arial" w:hAnsi="Arial" w:cs="Arial"/>
        </w:rPr>
        <w:t xml:space="preserve"> </w:t>
      </w:r>
      <w:r w:rsidR="004D1390">
        <w:rPr>
          <w:rFonts w:ascii="Arial" w:hAnsi="Arial" w:cs="Arial"/>
        </w:rPr>
        <w:t>This will</w:t>
      </w:r>
      <w:r w:rsidR="000B4F28">
        <w:rPr>
          <w:rFonts w:ascii="Arial" w:hAnsi="Arial" w:cs="Arial"/>
        </w:rPr>
        <w:t xml:space="preserve"> </w:t>
      </w:r>
      <w:r w:rsidR="004D1390">
        <w:rPr>
          <w:rFonts w:ascii="Arial" w:hAnsi="Arial" w:cs="Arial"/>
        </w:rPr>
        <w:t>result in increasing their</w:t>
      </w:r>
      <w:r w:rsidR="000B4F28">
        <w:rPr>
          <w:rFonts w:ascii="Arial" w:hAnsi="Arial" w:cs="Arial"/>
        </w:rPr>
        <w:t xml:space="preserve"> profit</w:t>
      </w:r>
      <w:r w:rsidR="004D1390">
        <w:rPr>
          <w:rFonts w:ascii="Arial" w:hAnsi="Arial" w:cs="Arial"/>
        </w:rPr>
        <w:t>s</w:t>
      </w:r>
      <w:r w:rsidR="000B4F28">
        <w:rPr>
          <w:rFonts w:ascii="Arial" w:hAnsi="Arial" w:cs="Arial"/>
        </w:rPr>
        <w:t xml:space="preserve"> from what it would have been under conditions of perfect competition namely where P</w:t>
      </w:r>
      <w:r w:rsidR="000B4F28">
        <w:rPr>
          <w:rFonts w:ascii="Arial" w:hAnsi="Arial" w:cs="Arial"/>
          <w:vertAlign w:val="subscript"/>
        </w:rPr>
        <w:t>f</w:t>
      </w:r>
      <w:r w:rsidR="000B4F28">
        <w:rPr>
          <w:rFonts w:ascii="Arial" w:hAnsi="Arial" w:cs="Arial"/>
        </w:rPr>
        <w:t>=P</w:t>
      </w:r>
      <w:r w:rsidR="000B4F28">
        <w:rPr>
          <w:rFonts w:ascii="Arial" w:hAnsi="Arial" w:cs="Arial"/>
          <w:vertAlign w:val="subscript"/>
        </w:rPr>
        <w:t>m</w:t>
      </w:r>
      <w:r w:rsidR="000B4F28">
        <w:rPr>
          <w:rFonts w:ascii="Arial" w:hAnsi="Arial" w:cs="Arial"/>
        </w:rPr>
        <w:t>=MR=MC.</w:t>
      </w:r>
      <w:r w:rsidR="000B4F28">
        <w:rPr>
          <w:rStyle w:val="Funotenzeichen"/>
          <w:rFonts w:ascii="Arial" w:hAnsi="Arial" w:cs="Arial"/>
        </w:rPr>
        <w:footnoteReference w:id="939"/>
      </w:r>
      <w:r w:rsidR="00FB22CE">
        <w:rPr>
          <w:rFonts w:ascii="Arial" w:hAnsi="Arial" w:cs="Arial"/>
        </w:rPr>
        <w:t xml:space="preserve"> </w:t>
      </w:r>
    </w:p>
    <w:p w:rsidR="00710DAB" w:rsidRDefault="00710DAB" w:rsidP="00FB22CE">
      <w:pPr>
        <w:contextualSpacing/>
        <w:jc w:val="both"/>
        <w:rPr>
          <w:rFonts w:ascii="Arial" w:hAnsi="Arial" w:cs="Arial"/>
        </w:rPr>
      </w:pPr>
    </w:p>
    <w:p w:rsidR="00FB22CE" w:rsidRDefault="00880F39" w:rsidP="00FB22CE">
      <w:pPr>
        <w:contextualSpacing/>
        <w:jc w:val="both"/>
        <w:rPr>
          <w:rFonts w:ascii="Arial" w:hAnsi="Arial" w:cs="Arial"/>
        </w:rPr>
      </w:pPr>
      <w:r>
        <w:rPr>
          <w:rFonts w:ascii="Arial" w:hAnsi="Arial" w:cs="Arial"/>
        </w:rPr>
        <w:t>Moreover</w:t>
      </w:r>
      <w:r w:rsidR="00FB22CE">
        <w:rPr>
          <w:rFonts w:ascii="Arial" w:hAnsi="Arial" w:cs="Arial"/>
        </w:rPr>
        <w:t>, it has been discussed that the essence of the Competition Act</w:t>
      </w:r>
      <w:r w:rsidR="00E31A4A">
        <w:rPr>
          <w:rStyle w:val="Funotenzeichen"/>
          <w:rFonts w:ascii="Arial" w:hAnsi="Arial" w:cs="Arial"/>
        </w:rPr>
        <w:footnoteReference w:id="940"/>
      </w:r>
      <w:r w:rsidR="00FB22CE">
        <w:rPr>
          <w:rFonts w:ascii="Arial" w:hAnsi="Arial" w:cs="Arial"/>
        </w:rPr>
        <w:t xml:space="preserve"> </w:t>
      </w:r>
      <w:r>
        <w:rPr>
          <w:rFonts w:ascii="Arial" w:hAnsi="Arial" w:cs="Arial"/>
        </w:rPr>
        <w:t>lies in</w:t>
      </w:r>
      <w:r w:rsidR="00FB22CE">
        <w:rPr>
          <w:rFonts w:ascii="Arial" w:hAnsi="Arial" w:cs="Arial"/>
        </w:rPr>
        <w:t xml:space="preserve"> the regulation of market power.</w:t>
      </w:r>
      <w:r w:rsidR="00020923">
        <w:rPr>
          <w:rStyle w:val="Funotenzeichen"/>
          <w:rFonts w:ascii="Arial" w:hAnsi="Arial" w:cs="Arial"/>
        </w:rPr>
        <w:footnoteReference w:id="941"/>
      </w:r>
      <w:r w:rsidR="00FB22CE">
        <w:rPr>
          <w:rFonts w:ascii="Arial" w:hAnsi="Arial" w:cs="Arial"/>
        </w:rPr>
        <w:t xml:space="preserve"> More </w:t>
      </w:r>
      <w:r>
        <w:rPr>
          <w:rFonts w:ascii="Arial" w:hAnsi="Arial" w:cs="Arial"/>
        </w:rPr>
        <w:t>specifically,</w:t>
      </w:r>
      <w:r w:rsidR="00FB22CE">
        <w:rPr>
          <w:rFonts w:ascii="Arial" w:hAnsi="Arial" w:cs="Arial"/>
        </w:rPr>
        <w:t xml:space="preserve"> the essence of the Competition Act</w:t>
      </w:r>
      <w:r w:rsidR="00E31A4A">
        <w:rPr>
          <w:rStyle w:val="Funotenzeichen"/>
          <w:rFonts w:ascii="Arial" w:hAnsi="Arial" w:cs="Arial"/>
        </w:rPr>
        <w:footnoteReference w:id="942"/>
      </w:r>
      <w:r w:rsidR="00FB22CE">
        <w:rPr>
          <w:rFonts w:ascii="Arial" w:hAnsi="Arial" w:cs="Arial"/>
        </w:rPr>
        <w:t xml:space="preserve"> is to </w:t>
      </w:r>
      <w:r w:rsidR="00FB22CE" w:rsidRPr="007F12FA">
        <w:rPr>
          <w:rFonts w:ascii="Arial" w:hAnsi="Arial" w:cs="Arial"/>
        </w:rPr>
        <w:t>regulate the situation where a single firm or a group of firms acting together possess so much market power so as to allow it/them to abuse this market power and hence decrease the level of competition in that market.</w:t>
      </w:r>
      <w:r w:rsidR="00FB22CE" w:rsidRPr="007F12FA">
        <w:rPr>
          <w:rStyle w:val="Funotenzeichen"/>
          <w:rFonts w:ascii="Arial" w:hAnsi="Arial" w:cs="Arial"/>
        </w:rPr>
        <w:footnoteReference w:id="943"/>
      </w:r>
      <w:r w:rsidR="00FB22CE">
        <w:rPr>
          <w:rFonts w:ascii="Arial" w:hAnsi="Arial" w:cs="Arial"/>
        </w:rPr>
        <w:t xml:space="preserve"> </w:t>
      </w:r>
    </w:p>
    <w:p w:rsidR="00FB22CE" w:rsidRDefault="00FB22CE" w:rsidP="00FB22CE">
      <w:pPr>
        <w:contextualSpacing/>
        <w:jc w:val="both"/>
        <w:rPr>
          <w:rFonts w:ascii="Arial" w:hAnsi="Arial" w:cs="Arial"/>
        </w:rPr>
      </w:pPr>
    </w:p>
    <w:p w:rsidR="00710DAB" w:rsidRDefault="00CE76F0" w:rsidP="00FB22CE">
      <w:pPr>
        <w:contextualSpacing/>
        <w:jc w:val="both"/>
        <w:rPr>
          <w:rFonts w:ascii="Arial" w:hAnsi="Arial" w:cs="Arial"/>
        </w:rPr>
      </w:pPr>
      <w:r>
        <w:rPr>
          <w:rFonts w:ascii="Arial" w:hAnsi="Arial" w:cs="Arial"/>
        </w:rPr>
        <w:t>As a result, the performance element of the SCP paradigm is nothing more than an evaluation of the performance of the firms in the relevant market in light of the performance outcomes of the perfectly competitive market</w:t>
      </w:r>
      <w:r w:rsidR="00880F39">
        <w:rPr>
          <w:rFonts w:ascii="Arial" w:hAnsi="Arial" w:cs="Arial"/>
        </w:rPr>
        <w:t>,</w:t>
      </w:r>
      <w:r>
        <w:rPr>
          <w:rFonts w:ascii="Arial" w:hAnsi="Arial" w:cs="Arial"/>
        </w:rPr>
        <w:t xml:space="preserve"> where the competition process functions </w:t>
      </w:r>
      <w:r w:rsidR="00880F39">
        <w:rPr>
          <w:rFonts w:ascii="Arial" w:hAnsi="Arial" w:cs="Arial"/>
        </w:rPr>
        <w:t>properly,</w:t>
      </w:r>
      <w:r>
        <w:rPr>
          <w:rFonts w:ascii="Arial" w:hAnsi="Arial" w:cs="Arial"/>
        </w:rPr>
        <w:t xml:space="preserve"> and where no unilateral or collective </w:t>
      </w:r>
      <w:r w:rsidR="003C4921">
        <w:rPr>
          <w:rFonts w:ascii="Arial" w:hAnsi="Arial" w:cs="Arial"/>
        </w:rPr>
        <w:t xml:space="preserve">market </w:t>
      </w:r>
      <w:r>
        <w:rPr>
          <w:rFonts w:ascii="Arial" w:hAnsi="Arial" w:cs="Arial"/>
        </w:rPr>
        <w:t>power exist</w:t>
      </w:r>
      <w:r w:rsidR="003C4921">
        <w:rPr>
          <w:rFonts w:ascii="Arial" w:hAnsi="Arial" w:cs="Arial"/>
        </w:rPr>
        <w:t>s</w:t>
      </w:r>
      <w:r>
        <w:rPr>
          <w:rFonts w:ascii="Arial" w:hAnsi="Arial" w:cs="Arial"/>
        </w:rPr>
        <w:t>.</w:t>
      </w:r>
      <w:r w:rsidR="00710DAB">
        <w:rPr>
          <w:rFonts w:ascii="Arial" w:hAnsi="Arial" w:cs="Arial"/>
        </w:rPr>
        <w:t xml:space="preserve"> The evaluation of market performance is thus an indication of</w:t>
      </w:r>
      <w:r w:rsidR="002A33BA">
        <w:rPr>
          <w:rFonts w:ascii="Arial" w:hAnsi="Arial" w:cs="Arial"/>
        </w:rPr>
        <w:t xml:space="preserve"> the degree</w:t>
      </w:r>
      <w:r w:rsidR="00710DAB">
        <w:rPr>
          <w:rFonts w:ascii="Arial" w:hAnsi="Arial" w:cs="Arial"/>
        </w:rPr>
        <w:t xml:space="preserve"> market power</w:t>
      </w:r>
      <w:r w:rsidR="002A33BA">
        <w:rPr>
          <w:rFonts w:ascii="Arial" w:hAnsi="Arial" w:cs="Arial"/>
        </w:rPr>
        <w:t xml:space="preserve"> that exists in the </w:t>
      </w:r>
      <w:r w:rsidR="00C17D73">
        <w:rPr>
          <w:rFonts w:ascii="Arial" w:hAnsi="Arial" w:cs="Arial"/>
        </w:rPr>
        <w:t xml:space="preserve">structure of </w:t>
      </w:r>
      <w:r w:rsidR="00BB4046">
        <w:rPr>
          <w:rFonts w:ascii="Arial" w:hAnsi="Arial" w:cs="Arial"/>
        </w:rPr>
        <w:t xml:space="preserve">the </w:t>
      </w:r>
      <w:r w:rsidR="002A33BA">
        <w:rPr>
          <w:rFonts w:ascii="Arial" w:hAnsi="Arial" w:cs="Arial"/>
        </w:rPr>
        <w:t>relevant market.</w:t>
      </w:r>
      <w:r>
        <w:rPr>
          <w:rFonts w:ascii="Arial" w:hAnsi="Arial" w:cs="Arial"/>
        </w:rPr>
        <w:t xml:space="preserve"> </w:t>
      </w:r>
    </w:p>
    <w:p w:rsidR="00710DAB" w:rsidRDefault="00710DAB" w:rsidP="00FB22CE">
      <w:pPr>
        <w:contextualSpacing/>
        <w:jc w:val="both"/>
        <w:rPr>
          <w:rFonts w:ascii="Arial" w:hAnsi="Arial" w:cs="Arial"/>
        </w:rPr>
      </w:pPr>
    </w:p>
    <w:p w:rsidR="00DC5427" w:rsidRDefault="003C4921" w:rsidP="00FB22CE">
      <w:pPr>
        <w:contextualSpacing/>
        <w:jc w:val="both"/>
        <w:rPr>
          <w:rFonts w:ascii="Arial" w:hAnsi="Arial" w:cs="Arial"/>
        </w:rPr>
      </w:pPr>
      <w:r>
        <w:rPr>
          <w:rFonts w:ascii="Arial" w:hAnsi="Arial" w:cs="Arial"/>
        </w:rPr>
        <w:t>The relevant performance outcomes of the perfectly competitive market</w:t>
      </w:r>
      <w:r w:rsidR="002A33BA">
        <w:rPr>
          <w:rFonts w:ascii="Arial" w:hAnsi="Arial" w:cs="Arial"/>
        </w:rPr>
        <w:t>, in the context of the SCP paradigm,</w:t>
      </w:r>
      <w:r>
        <w:rPr>
          <w:rFonts w:ascii="Arial" w:hAnsi="Arial" w:cs="Arial"/>
        </w:rPr>
        <w:t xml:space="preserve"> is lower prices, higher quality goods, more choices </w:t>
      </w:r>
      <w:r w:rsidR="002A33BA">
        <w:rPr>
          <w:rFonts w:ascii="Arial" w:hAnsi="Arial" w:cs="Arial"/>
        </w:rPr>
        <w:t xml:space="preserve">of goods and/or services </w:t>
      </w:r>
      <w:r>
        <w:rPr>
          <w:rFonts w:ascii="Arial" w:hAnsi="Arial" w:cs="Arial"/>
        </w:rPr>
        <w:t>for consumer</w:t>
      </w:r>
      <w:r w:rsidR="004D1390">
        <w:rPr>
          <w:rFonts w:ascii="Arial" w:hAnsi="Arial" w:cs="Arial"/>
        </w:rPr>
        <w:t>s</w:t>
      </w:r>
      <w:r>
        <w:rPr>
          <w:rFonts w:ascii="Arial" w:hAnsi="Arial" w:cs="Arial"/>
        </w:rPr>
        <w:t xml:space="preserve"> and for producers </w:t>
      </w:r>
      <w:r w:rsidR="002A33BA">
        <w:rPr>
          <w:rFonts w:ascii="Arial" w:hAnsi="Arial" w:cs="Arial"/>
        </w:rPr>
        <w:t>it is higher</w:t>
      </w:r>
      <w:r>
        <w:rPr>
          <w:rFonts w:ascii="Arial" w:hAnsi="Arial" w:cs="Arial"/>
        </w:rPr>
        <w:t xml:space="preserve"> efficiency.</w:t>
      </w:r>
      <w:r w:rsidR="00E54AD5">
        <w:rPr>
          <w:rStyle w:val="Funotenzeichen"/>
          <w:rFonts w:ascii="Arial" w:hAnsi="Arial" w:cs="Arial"/>
        </w:rPr>
        <w:footnoteReference w:id="944"/>
      </w:r>
      <w:r w:rsidR="00DC5427">
        <w:rPr>
          <w:rFonts w:ascii="Arial" w:hAnsi="Arial" w:cs="Arial"/>
        </w:rPr>
        <w:t xml:space="preserve"> These </w:t>
      </w:r>
      <w:r w:rsidR="002A33BA">
        <w:rPr>
          <w:rFonts w:ascii="Arial" w:hAnsi="Arial" w:cs="Arial"/>
        </w:rPr>
        <w:t xml:space="preserve">performance </w:t>
      </w:r>
      <w:r w:rsidR="00DC5427">
        <w:rPr>
          <w:rFonts w:ascii="Arial" w:hAnsi="Arial" w:cs="Arial"/>
        </w:rPr>
        <w:t xml:space="preserve">outcomes </w:t>
      </w:r>
      <w:r w:rsidR="004D1390">
        <w:rPr>
          <w:rFonts w:ascii="Arial" w:hAnsi="Arial" w:cs="Arial"/>
        </w:rPr>
        <w:t xml:space="preserve">also </w:t>
      </w:r>
      <w:r w:rsidR="00DC5427">
        <w:rPr>
          <w:rFonts w:ascii="Arial" w:hAnsi="Arial" w:cs="Arial"/>
        </w:rPr>
        <w:t>results in the highest possible consumer welfare.</w:t>
      </w:r>
      <w:r w:rsidR="003770F2">
        <w:rPr>
          <w:rStyle w:val="Funotenzeichen"/>
          <w:rFonts w:ascii="Arial" w:hAnsi="Arial" w:cs="Arial"/>
        </w:rPr>
        <w:footnoteReference w:id="945"/>
      </w:r>
    </w:p>
    <w:p w:rsidR="003770F2" w:rsidRDefault="003770F2" w:rsidP="00FB22CE">
      <w:pPr>
        <w:contextualSpacing/>
        <w:jc w:val="both"/>
        <w:rPr>
          <w:rFonts w:ascii="Arial" w:hAnsi="Arial" w:cs="Arial"/>
        </w:rPr>
      </w:pPr>
    </w:p>
    <w:p w:rsidR="00FB22CE" w:rsidRDefault="003C4921" w:rsidP="00FB22CE">
      <w:pPr>
        <w:contextualSpacing/>
        <w:jc w:val="both"/>
        <w:rPr>
          <w:rFonts w:ascii="Arial" w:hAnsi="Arial" w:cs="Arial"/>
        </w:rPr>
      </w:pPr>
      <w:r>
        <w:rPr>
          <w:rFonts w:ascii="Arial" w:hAnsi="Arial" w:cs="Arial"/>
        </w:rPr>
        <w:t>Accordingly, market performance in context of the</w:t>
      </w:r>
      <w:r w:rsidR="00DC5427">
        <w:rPr>
          <w:rFonts w:ascii="Arial" w:hAnsi="Arial" w:cs="Arial"/>
        </w:rPr>
        <w:t xml:space="preserve"> </w:t>
      </w:r>
      <w:r>
        <w:rPr>
          <w:rFonts w:ascii="Arial" w:hAnsi="Arial" w:cs="Arial"/>
        </w:rPr>
        <w:t xml:space="preserve">SCP paradigm is </w:t>
      </w:r>
      <w:r w:rsidR="00DC5427">
        <w:rPr>
          <w:rFonts w:ascii="Arial" w:hAnsi="Arial" w:cs="Arial"/>
        </w:rPr>
        <w:t>assessed</w:t>
      </w:r>
      <w:r>
        <w:rPr>
          <w:rFonts w:ascii="Arial" w:hAnsi="Arial" w:cs="Arial"/>
        </w:rPr>
        <w:t xml:space="preserve"> by, among others, the </w:t>
      </w:r>
      <w:r w:rsidR="00DC5427">
        <w:rPr>
          <w:rFonts w:ascii="Arial" w:hAnsi="Arial" w:cs="Arial"/>
        </w:rPr>
        <w:t xml:space="preserve">following metrics: </w:t>
      </w:r>
    </w:p>
    <w:p w:rsidR="006F34F8" w:rsidRDefault="006F34F8" w:rsidP="00633711">
      <w:pPr>
        <w:contextualSpacing/>
        <w:jc w:val="both"/>
        <w:rPr>
          <w:rFonts w:ascii="Arial" w:hAnsi="Arial" w:cs="Arial"/>
        </w:rPr>
      </w:pPr>
    </w:p>
    <w:p w:rsidR="00CD0E7D" w:rsidRDefault="006F34F8" w:rsidP="00633711">
      <w:pPr>
        <w:contextualSpacing/>
        <w:jc w:val="both"/>
        <w:rPr>
          <w:rFonts w:ascii="Arial" w:hAnsi="Arial" w:cs="Arial"/>
        </w:rPr>
      </w:pPr>
      <w:r>
        <w:rPr>
          <w:rFonts w:ascii="Arial" w:hAnsi="Arial" w:cs="Arial"/>
        </w:rPr>
        <w:t>1. Profitability:</w:t>
      </w:r>
      <w:r w:rsidR="00BA6EDD">
        <w:rPr>
          <w:rStyle w:val="Funotenzeichen"/>
          <w:rFonts w:ascii="Arial" w:hAnsi="Arial" w:cs="Arial"/>
        </w:rPr>
        <w:footnoteReference w:id="946"/>
      </w:r>
      <w:r>
        <w:rPr>
          <w:rFonts w:ascii="Arial" w:hAnsi="Arial" w:cs="Arial"/>
        </w:rPr>
        <w:t xml:space="preserve"> As discussed in the preceding paragraphs, market power is the ability to raise prices above marginal cost to obtain higher profits.</w:t>
      </w:r>
      <w:r w:rsidR="00927C98">
        <w:rPr>
          <w:rFonts w:ascii="Arial" w:hAnsi="Arial" w:cs="Arial"/>
        </w:rPr>
        <w:t xml:space="preserve"> High profits are thus an indication of market power. However, there is a debate on whether high profits are a result of market power or a result of efficiency.</w:t>
      </w:r>
      <w:r w:rsidR="00BA6EDD">
        <w:rPr>
          <w:rStyle w:val="Funotenzeichen"/>
          <w:rFonts w:ascii="Arial" w:hAnsi="Arial" w:cs="Arial"/>
        </w:rPr>
        <w:footnoteReference w:id="947"/>
      </w:r>
      <w:r w:rsidR="00927C98">
        <w:rPr>
          <w:rFonts w:ascii="Arial" w:hAnsi="Arial" w:cs="Arial"/>
        </w:rPr>
        <w:t xml:space="preserve"> This debate is beyond the scope of this paper.  </w:t>
      </w:r>
      <w:r>
        <w:rPr>
          <w:rFonts w:ascii="Arial" w:hAnsi="Arial" w:cs="Arial"/>
        </w:rPr>
        <w:t xml:space="preserve"> </w:t>
      </w:r>
    </w:p>
    <w:p w:rsidR="00BA6EDD" w:rsidRDefault="00BA6EDD" w:rsidP="00633711">
      <w:pPr>
        <w:contextualSpacing/>
        <w:jc w:val="both"/>
        <w:rPr>
          <w:rFonts w:ascii="Arial" w:hAnsi="Arial" w:cs="Arial"/>
        </w:rPr>
      </w:pPr>
    </w:p>
    <w:p w:rsidR="00BA6EDD" w:rsidRDefault="00BA6EDD" w:rsidP="00633711">
      <w:pPr>
        <w:contextualSpacing/>
        <w:jc w:val="both"/>
        <w:rPr>
          <w:rFonts w:ascii="Arial" w:hAnsi="Arial" w:cs="Arial"/>
        </w:rPr>
      </w:pPr>
      <w:r>
        <w:rPr>
          <w:rFonts w:ascii="Arial" w:hAnsi="Arial" w:cs="Arial"/>
        </w:rPr>
        <w:t>2. Growth:</w:t>
      </w:r>
      <w:r>
        <w:rPr>
          <w:rStyle w:val="Funotenzeichen"/>
          <w:rFonts w:ascii="Arial" w:hAnsi="Arial" w:cs="Arial"/>
        </w:rPr>
        <w:footnoteReference w:id="948"/>
      </w:r>
      <w:r>
        <w:rPr>
          <w:rFonts w:ascii="Arial" w:hAnsi="Arial" w:cs="Arial"/>
        </w:rPr>
        <w:t xml:space="preserve"> The profitability measure is less </w:t>
      </w:r>
      <w:r w:rsidR="008D59F7">
        <w:rPr>
          <w:rFonts w:ascii="Arial" w:hAnsi="Arial" w:cs="Arial"/>
        </w:rPr>
        <w:t>appropriate</w:t>
      </w:r>
      <w:r>
        <w:rPr>
          <w:rFonts w:ascii="Arial" w:hAnsi="Arial" w:cs="Arial"/>
        </w:rPr>
        <w:t xml:space="preserve"> to firms that pursue other objectives as profit maximisation for example firms that pursue growth, sales, number of clients etc.</w:t>
      </w:r>
      <w:r w:rsidR="008D59F7">
        <w:rPr>
          <w:rStyle w:val="Funotenzeichen"/>
          <w:rFonts w:ascii="Arial" w:hAnsi="Arial" w:cs="Arial"/>
        </w:rPr>
        <w:footnoteReference w:id="949"/>
      </w:r>
      <w:r>
        <w:rPr>
          <w:rFonts w:ascii="Arial" w:hAnsi="Arial" w:cs="Arial"/>
        </w:rPr>
        <w:t xml:space="preserve">  </w:t>
      </w:r>
      <w:r w:rsidR="008D59F7">
        <w:rPr>
          <w:rFonts w:ascii="Arial" w:hAnsi="Arial" w:cs="Arial"/>
        </w:rPr>
        <w:t xml:space="preserve">Market power can </w:t>
      </w:r>
      <w:r w:rsidR="002457D6">
        <w:rPr>
          <w:rFonts w:ascii="Arial" w:hAnsi="Arial" w:cs="Arial"/>
        </w:rPr>
        <w:t xml:space="preserve">thus </w:t>
      </w:r>
      <w:r w:rsidR="008D59F7">
        <w:rPr>
          <w:rFonts w:ascii="Arial" w:hAnsi="Arial" w:cs="Arial"/>
        </w:rPr>
        <w:t>be indicated</w:t>
      </w:r>
      <w:r w:rsidR="002457D6">
        <w:rPr>
          <w:rFonts w:ascii="Arial" w:hAnsi="Arial" w:cs="Arial"/>
        </w:rPr>
        <w:t>,</w:t>
      </w:r>
      <w:r w:rsidR="008D59F7">
        <w:rPr>
          <w:rFonts w:ascii="Arial" w:hAnsi="Arial" w:cs="Arial"/>
        </w:rPr>
        <w:t xml:space="preserve"> for example</w:t>
      </w:r>
      <w:r w:rsidR="002457D6">
        <w:rPr>
          <w:rFonts w:ascii="Arial" w:hAnsi="Arial" w:cs="Arial"/>
        </w:rPr>
        <w:t>,</w:t>
      </w:r>
      <w:r w:rsidR="008D59F7">
        <w:rPr>
          <w:rFonts w:ascii="Arial" w:hAnsi="Arial" w:cs="Arial"/>
        </w:rPr>
        <w:t xml:space="preserve"> by a firm that had exceptional growth. </w:t>
      </w:r>
      <w:r w:rsidR="009B2684">
        <w:rPr>
          <w:rFonts w:ascii="Arial" w:hAnsi="Arial" w:cs="Arial"/>
        </w:rPr>
        <w:t>The</w:t>
      </w:r>
      <w:r w:rsidR="008D59F7">
        <w:rPr>
          <w:rFonts w:ascii="Arial" w:hAnsi="Arial" w:cs="Arial"/>
        </w:rPr>
        <w:t xml:space="preserve"> debate between the Chicago and non-Chicago</w:t>
      </w:r>
      <w:r w:rsidR="009B2684">
        <w:rPr>
          <w:rFonts w:ascii="Arial" w:hAnsi="Arial" w:cs="Arial"/>
        </w:rPr>
        <w:t xml:space="preserve"> is also relevant for the growth measure but beyond the scope of this paper.</w:t>
      </w:r>
      <w:r w:rsidR="00782CDF">
        <w:rPr>
          <w:rStyle w:val="Funotenzeichen"/>
          <w:rFonts w:ascii="Arial" w:hAnsi="Arial" w:cs="Arial"/>
        </w:rPr>
        <w:footnoteReference w:id="950"/>
      </w:r>
      <w:r w:rsidR="008D59F7">
        <w:rPr>
          <w:rFonts w:ascii="Arial" w:hAnsi="Arial" w:cs="Arial"/>
        </w:rPr>
        <w:t xml:space="preserve">  </w:t>
      </w:r>
    </w:p>
    <w:p w:rsidR="000F0980" w:rsidRDefault="000F0980" w:rsidP="00633711">
      <w:pPr>
        <w:contextualSpacing/>
        <w:jc w:val="both"/>
        <w:rPr>
          <w:rFonts w:ascii="Arial" w:hAnsi="Arial" w:cs="Arial"/>
        </w:rPr>
      </w:pPr>
    </w:p>
    <w:p w:rsidR="000F0980" w:rsidRDefault="000F0980" w:rsidP="00633711">
      <w:pPr>
        <w:contextualSpacing/>
        <w:jc w:val="both"/>
        <w:rPr>
          <w:rFonts w:ascii="Arial" w:hAnsi="Arial" w:cs="Arial"/>
        </w:rPr>
      </w:pPr>
      <w:r>
        <w:rPr>
          <w:rFonts w:ascii="Arial" w:hAnsi="Arial" w:cs="Arial"/>
        </w:rPr>
        <w:t>3. Efficiency:</w:t>
      </w:r>
      <w:r>
        <w:rPr>
          <w:rStyle w:val="Funotenzeichen"/>
          <w:rFonts w:ascii="Arial" w:hAnsi="Arial" w:cs="Arial"/>
        </w:rPr>
        <w:footnoteReference w:id="951"/>
      </w:r>
      <w:r>
        <w:rPr>
          <w:rFonts w:ascii="Arial" w:hAnsi="Arial" w:cs="Arial"/>
        </w:rPr>
        <w:t xml:space="preserve"> As discussed in the previous paragraphs the perfectly competitive market results in firms that are more efficient. Accordingly, efficiency can provide an indication on the degree of market power within a market.</w:t>
      </w:r>
      <w:r w:rsidR="002C2701">
        <w:rPr>
          <w:rStyle w:val="Funotenzeichen"/>
          <w:rFonts w:ascii="Arial" w:hAnsi="Arial" w:cs="Arial"/>
        </w:rPr>
        <w:footnoteReference w:id="952"/>
      </w:r>
      <w:r>
        <w:rPr>
          <w:rFonts w:ascii="Arial" w:hAnsi="Arial" w:cs="Arial"/>
        </w:rPr>
        <w:t xml:space="preserve"> </w:t>
      </w:r>
    </w:p>
    <w:p w:rsidR="008D59F7" w:rsidRDefault="008D59F7" w:rsidP="00633711">
      <w:pPr>
        <w:contextualSpacing/>
        <w:jc w:val="both"/>
        <w:rPr>
          <w:rFonts w:ascii="Arial" w:hAnsi="Arial" w:cs="Arial"/>
        </w:rPr>
      </w:pPr>
    </w:p>
    <w:p w:rsidR="008D59F7" w:rsidRPr="007F12FA" w:rsidRDefault="008D59F7" w:rsidP="00633711">
      <w:pPr>
        <w:contextualSpacing/>
        <w:jc w:val="both"/>
        <w:rPr>
          <w:rFonts w:ascii="Arial" w:hAnsi="Arial" w:cs="Arial"/>
        </w:rPr>
      </w:pPr>
      <w:r>
        <w:rPr>
          <w:rFonts w:ascii="Arial" w:hAnsi="Arial" w:cs="Arial"/>
        </w:rPr>
        <w:t xml:space="preserve">3. Quality and </w:t>
      </w:r>
      <w:r w:rsidR="00216981">
        <w:rPr>
          <w:rFonts w:ascii="Arial" w:hAnsi="Arial" w:cs="Arial"/>
        </w:rPr>
        <w:t>variety of products</w:t>
      </w:r>
      <w:r>
        <w:rPr>
          <w:rFonts w:ascii="Arial" w:hAnsi="Arial" w:cs="Arial"/>
        </w:rPr>
        <w:t>:</w:t>
      </w:r>
      <w:r w:rsidR="009B2684">
        <w:rPr>
          <w:rStyle w:val="Funotenzeichen"/>
          <w:rFonts w:ascii="Arial" w:hAnsi="Arial" w:cs="Arial"/>
        </w:rPr>
        <w:footnoteReference w:id="953"/>
      </w:r>
      <w:r>
        <w:rPr>
          <w:rFonts w:ascii="Arial" w:hAnsi="Arial" w:cs="Arial"/>
        </w:rPr>
        <w:t xml:space="preserve"> </w:t>
      </w:r>
      <w:r w:rsidR="009B2684">
        <w:rPr>
          <w:rFonts w:ascii="Arial" w:hAnsi="Arial" w:cs="Arial"/>
        </w:rPr>
        <w:t>As mentioned in the preceding paragraphs, perfect competition should result in higher quality products and a larger variety of products. Therefore, the quality of products and the choices for consumers can be an indication of market power.</w:t>
      </w:r>
      <w:r w:rsidR="005C592C">
        <w:rPr>
          <w:rStyle w:val="Funotenzeichen"/>
          <w:rFonts w:ascii="Arial" w:hAnsi="Arial" w:cs="Arial"/>
        </w:rPr>
        <w:footnoteReference w:id="954"/>
      </w:r>
    </w:p>
    <w:p w:rsidR="00633711" w:rsidRPr="007F12FA" w:rsidRDefault="00633711" w:rsidP="00B25473">
      <w:pPr>
        <w:rPr>
          <w:rFonts w:ascii="Arial" w:hAnsi="Arial" w:cs="Arial"/>
          <w:u w:val="single"/>
        </w:rPr>
      </w:pPr>
    </w:p>
    <w:p w:rsidR="00B25473" w:rsidRPr="007F12FA" w:rsidRDefault="00CE2C74" w:rsidP="00A3152E">
      <w:pPr>
        <w:contextualSpacing/>
        <w:rPr>
          <w:rFonts w:ascii="Arial" w:hAnsi="Arial" w:cs="Arial"/>
        </w:rPr>
      </w:pPr>
      <w:r>
        <w:rPr>
          <w:rFonts w:ascii="Arial" w:hAnsi="Arial" w:cs="Arial"/>
        </w:rPr>
        <w:t>4. Technological advancement:</w:t>
      </w:r>
      <w:r>
        <w:rPr>
          <w:rStyle w:val="Funotenzeichen"/>
          <w:rFonts w:ascii="Arial" w:hAnsi="Arial" w:cs="Arial"/>
        </w:rPr>
        <w:footnoteReference w:id="955"/>
      </w:r>
      <w:r>
        <w:rPr>
          <w:rFonts w:ascii="Arial" w:hAnsi="Arial" w:cs="Arial"/>
        </w:rPr>
        <w:t xml:space="preserve"> This measure is the result of research and development, which is a conduct measure.</w:t>
      </w:r>
      <w:r>
        <w:rPr>
          <w:rStyle w:val="Funotenzeichen"/>
          <w:rFonts w:ascii="Arial" w:hAnsi="Arial" w:cs="Arial"/>
        </w:rPr>
        <w:footnoteReference w:id="956"/>
      </w:r>
      <w:r>
        <w:rPr>
          <w:rFonts w:ascii="Arial" w:hAnsi="Arial" w:cs="Arial"/>
        </w:rPr>
        <w:t xml:space="preserve"> Accordingly, the technological advancement of firms can indicate the degree of non-price competition between firms and as a result, it could indicate the existence of market power.</w:t>
      </w:r>
      <w:r>
        <w:rPr>
          <w:rStyle w:val="Funotenzeichen"/>
          <w:rFonts w:ascii="Arial" w:hAnsi="Arial" w:cs="Arial"/>
        </w:rPr>
        <w:footnoteReference w:id="957"/>
      </w:r>
    </w:p>
    <w:p w:rsidR="00C7789A" w:rsidRPr="007F12FA" w:rsidRDefault="00C7789A" w:rsidP="00A3152E">
      <w:pPr>
        <w:contextualSpacing/>
        <w:rPr>
          <w:rFonts w:ascii="Arial" w:hAnsi="Arial" w:cs="Arial"/>
        </w:rPr>
      </w:pPr>
    </w:p>
    <w:p w:rsidR="00FA4B58" w:rsidRPr="008141EF" w:rsidRDefault="00981977" w:rsidP="00FA4B58">
      <w:pPr>
        <w:contextualSpacing/>
        <w:jc w:val="both"/>
        <w:rPr>
          <w:rFonts w:ascii="Arial" w:hAnsi="Arial" w:cs="Arial"/>
        </w:rPr>
      </w:pPr>
      <w:r>
        <w:rPr>
          <w:rFonts w:ascii="Arial" w:hAnsi="Arial" w:cs="Arial"/>
        </w:rPr>
        <w:t xml:space="preserve">3.3.4.3 </w:t>
      </w:r>
      <w:r w:rsidR="00FA4B58" w:rsidRPr="00981977">
        <w:rPr>
          <w:rFonts w:ascii="Arial" w:hAnsi="Arial" w:cs="Arial"/>
        </w:rPr>
        <w:t>The meaning of competition revisited</w:t>
      </w:r>
      <w:r w:rsidR="00FA4B58" w:rsidRPr="008141EF">
        <w:rPr>
          <w:rStyle w:val="Funotenzeichen"/>
          <w:rFonts w:ascii="Arial" w:hAnsi="Arial" w:cs="Arial"/>
        </w:rPr>
        <w:footnoteReference w:id="958"/>
      </w:r>
    </w:p>
    <w:p w:rsidR="00981977" w:rsidRDefault="00981977" w:rsidP="00FA4B58">
      <w:pPr>
        <w:contextualSpacing/>
        <w:jc w:val="both"/>
        <w:rPr>
          <w:rFonts w:ascii="Arial" w:hAnsi="Arial" w:cs="Arial"/>
        </w:rPr>
      </w:pPr>
    </w:p>
    <w:p w:rsidR="00FA4B58" w:rsidRDefault="00FA4B58" w:rsidP="00FA4B58">
      <w:pPr>
        <w:contextualSpacing/>
        <w:jc w:val="both"/>
        <w:rPr>
          <w:rFonts w:ascii="Arial" w:hAnsi="Arial" w:cs="Arial"/>
        </w:rPr>
      </w:pPr>
      <w:r>
        <w:rPr>
          <w:rFonts w:ascii="Arial" w:hAnsi="Arial" w:cs="Arial"/>
        </w:rPr>
        <w:t>The meaning of competition is important since the purpose of the Competition Act</w:t>
      </w:r>
      <w:r>
        <w:rPr>
          <w:rStyle w:val="Funotenzeichen"/>
          <w:rFonts w:ascii="Arial" w:hAnsi="Arial" w:cs="Arial"/>
        </w:rPr>
        <w:footnoteReference w:id="959"/>
      </w:r>
      <w:r>
        <w:rPr>
          <w:rFonts w:ascii="Arial" w:hAnsi="Arial" w:cs="Arial"/>
        </w:rPr>
        <w:t xml:space="preserve"> is to promote and maintain competition.</w:t>
      </w:r>
      <w:r>
        <w:rPr>
          <w:rStyle w:val="Funotenzeichen"/>
          <w:rFonts w:ascii="Arial" w:hAnsi="Arial" w:cs="Arial"/>
        </w:rPr>
        <w:footnoteReference w:id="960"/>
      </w:r>
      <w:r>
        <w:rPr>
          <w:rFonts w:ascii="Arial" w:hAnsi="Arial" w:cs="Arial"/>
        </w:rPr>
        <w:t xml:space="preserve"> Accordingly, the Competition Act</w:t>
      </w:r>
      <w:r>
        <w:rPr>
          <w:rStyle w:val="Funotenzeichen"/>
          <w:rFonts w:ascii="Arial" w:hAnsi="Arial" w:cs="Arial"/>
        </w:rPr>
        <w:footnoteReference w:id="961"/>
      </w:r>
      <w:r>
        <w:rPr>
          <w:rFonts w:ascii="Arial" w:hAnsi="Arial" w:cs="Arial"/>
        </w:rPr>
        <w:t xml:space="preserve"> prohibits all conduct that it perceives as being anti-competitive. As a result, for the Competition Act</w:t>
      </w:r>
      <w:r>
        <w:rPr>
          <w:rStyle w:val="Funotenzeichen"/>
          <w:rFonts w:ascii="Arial" w:hAnsi="Arial" w:cs="Arial"/>
        </w:rPr>
        <w:footnoteReference w:id="962"/>
      </w:r>
      <w:r>
        <w:rPr>
          <w:rFonts w:ascii="Arial" w:hAnsi="Arial" w:cs="Arial"/>
        </w:rPr>
        <w:t xml:space="preserve"> to be of any use, the term “competition” needs to be defined. Nevertheless, the Competition Act</w:t>
      </w:r>
      <w:r>
        <w:rPr>
          <w:rStyle w:val="Funotenzeichen"/>
          <w:rFonts w:ascii="Arial" w:hAnsi="Arial" w:cs="Arial"/>
        </w:rPr>
        <w:footnoteReference w:id="963"/>
      </w:r>
      <w:r>
        <w:rPr>
          <w:rFonts w:ascii="Arial" w:hAnsi="Arial" w:cs="Arial"/>
        </w:rPr>
        <w:t xml:space="preserve"> does not provide a definition for the term “competition.”</w:t>
      </w:r>
      <w:r>
        <w:rPr>
          <w:rStyle w:val="Funotenzeichen"/>
          <w:rFonts w:ascii="Arial" w:hAnsi="Arial" w:cs="Arial"/>
        </w:rPr>
        <w:footnoteReference w:id="964"/>
      </w:r>
    </w:p>
    <w:p w:rsidR="00FA4B58" w:rsidRDefault="00FA4B58" w:rsidP="00FA4B58">
      <w:pPr>
        <w:contextualSpacing/>
        <w:jc w:val="both"/>
        <w:rPr>
          <w:rFonts w:ascii="Arial" w:hAnsi="Arial" w:cs="Arial"/>
        </w:rPr>
      </w:pPr>
    </w:p>
    <w:p w:rsidR="00FA4B58" w:rsidRDefault="00FA4B58" w:rsidP="00FA4B58">
      <w:pPr>
        <w:contextualSpacing/>
        <w:jc w:val="both"/>
        <w:rPr>
          <w:rFonts w:ascii="Arial" w:hAnsi="Arial" w:cs="Arial"/>
        </w:rPr>
      </w:pPr>
      <w:r>
        <w:rPr>
          <w:rFonts w:ascii="Arial" w:hAnsi="Arial" w:cs="Arial"/>
        </w:rPr>
        <w:t>For economists the term “competition” refers to the market structure where no firm is in a position to abuse its unilateral or collective market power.</w:t>
      </w:r>
      <w:r>
        <w:rPr>
          <w:rStyle w:val="Funotenzeichen"/>
          <w:rFonts w:ascii="Arial" w:hAnsi="Arial" w:cs="Arial"/>
        </w:rPr>
        <w:footnoteReference w:id="965"/>
      </w:r>
      <w:r>
        <w:rPr>
          <w:rFonts w:ascii="Arial" w:hAnsi="Arial" w:cs="Arial"/>
        </w:rPr>
        <w:t xml:space="preserve"> Accordingly, the term “competition” refers to all competitive constraints that prohibit firms from abusing their unilateral or collective market power i.e. competition refers to the absence of the ability to abuse market power.</w:t>
      </w:r>
      <w:r>
        <w:rPr>
          <w:rStyle w:val="Funotenzeichen"/>
          <w:rFonts w:ascii="Arial" w:hAnsi="Arial" w:cs="Arial"/>
        </w:rPr>
        <w:footnoteReference w:id="966"/>
      </w:r>
      <w:r>
        <w:rPr>
          <w:rFonts w:ascii="Arial" w:hAnsi="Arial" w:cs="Arial"/>
        </w:rPr>
        <w:t xml:space="preserve"> Therefore, the general definition of competition, which defines competition as a process of rivalry between competitors,</w:t>
      </w:r>
      <w:r>
        <w:rPr>
          <w:rStyle w:val="Funotenzeichen"/>
          <w:rFonts w:ascii="Arial" w:hAnsi="Arial" w:cs="Arial"/>
        </w:rPr>
        <w:footnoteReference w:id="967"/>
      </w:r>
      <w:r>
        <w:rPr>
          <w:rFonts w:ascii="Arial" w:hAnsi="Arial" w:cs="Arial"/>
        </w:rPr>
        <w:t xml:space="preserve"> is fundamentally flawed when applied in competition matters since it does not provide for all the competitive constraints that could prohibit firms from abusing their market power and hence decrease competition in their market.</w:t>
      </w:r>
      <w:r>
        <w:rPr>
          <w:rStyle w:val="Funotenzeichen"/>
          <w:rFonts w:ascii="Arial" w:hAnsi="Arial" w:cs="Arial"/>
        </w:rPr>
        <w:footnoteReference w:id="968"/>
      </w:r>
      <w:r>
        <w:rPr>
          <w:rFonts w:ascii="Arial" w:hAnsi="Arial" w:cs="Arial"/>
        </w:rPr>
        <w:t xml:space="preserve"> On the other hand, the general definition also seems unable to provide for collusive behaviour by firms. </w:t>
      </w:r>
    </w:p>
    <w:p w:rsidR="00FA4B58" w:rsidRDefault="00FA4B58" w:rsidP="00FA4B58">
      <w:pPr>
        <w:contextualSpacing/>
        <w:jc w:val="both"/>
        <w:rPr>
          <w:rFonts w:ascii="Arial" w:hAnsi="Arial" w:cs="Arial"/>
        </w:rPr>
      </w:pPr>
    </w:p>
    <w:p w:rsidR="00FA4B58" w:rsidRDefault="00FA4B58" w:rsidP="00FA4B58">
      <w:pPr>
        <w:contextualSpacing/>
        <w:jc w:val="both"/>
        <w:rPr>
          <w:rFonts w:ascii="Arial" w:hAnsi="Arial" w:cs="Arial"/>
        </w:rPr>
      </w:pPr>
      <w:r>
        <w:rPr>
          <w:rFonts w:ascii="Arial" w:hAnsi="Arial" w:cs="Arial"/>
        </w:rPr>
        <w:t>In light of the Competition Act’s</w:t>
      </w:r>
      <w:r>
        <w:rPr>
          <w:rStyle w:val="Funotenzeichen"/>
          <w:rFonts w:ascii="Arial" w:hAnsi="Arial" w:cs="Arial"/>
        </w:rPr>
        <w:footnoteReference w:id="969"/>
      </w:r>
      <w:r>
        <w:rPr>
          <w:rFonts w:ascii="Arial" w:hAnsi="Arial" w:cs="Arial"/>
        </w:rPr>
        <w:t xml:space="preserve"> </w:t>
      </w:r>
      <w:r w:rsidRPr="0002435D">
        <w:rPr>
          <w:rFonts w:ascii="Arial" w:hAnsi="Arial" w:cs="Arial"/>
        </w:rPr>
        <w:t>omission</w:t>
      </w:r>
      <w:r>
        <w:rPr>
          <w:rFonts w:ascii="Arial" w:hAnsi="Arial" w:cs="Arial"/>
        </w:rPr>
        <w:t xml:space="preserve"> to define the term “competition,”</w:t>
      </w:r>
      <w:r>
        <w:rPr>
          <w:rStyle w:val="Funotenzeichen"/>
          <w:rFonts w:ascii="Arial" w:hAnsi="Arial" w:cs="Arial"/>
        </w:rPr>
        <w:footnoteReference w:id="970"/>
      </w:r>
      <w:r>
        <w:rPr>
          <w:rFonts w:ascii="Arial" w:hAnsi="Arial" w:cs="Arial"/>
        </w:rPr>
        <w:t xml:space="preserve"> there is an opportunity to debate the proper meaning of the term “competition.” However, a more detailed discussion on the proper meaning of the term “competition” is beyond the scope of this paper.</w:t>
      </w:r>
    </w:p>
    <w:p w:rsidR="000B4F28" w:rsidRPr="00CE2C74" w:rsidRDefault="000B4F28" w:rsidP="00871250">
      <w:pPr>
        <w:contextualSpacing/>
        <w:jc w:val="both"/>
        <w:rPr>
          <w:rFonts w:ascii="Arial" w:hAnsi="Arial" w:cs="Arial"/>
        </w:rPr>
      </w:pPr>
    </w:p>
    <w:p w:rsidR="000B4F28" w:rsidRPr="00CE2C74" w:rsidRDefault="000B4F28" w:rsidP="00871250">
      <w:pPr>
        <w:contextualSpacing/>
        <w:jc w:val="both"/>
        <w:rPr>
          <w:rFonts w:ascii="Arial" w:hAnsi="Arial" w:cs="Arial"/>
        </w:rPr>
      </w:pPr>
    </w:p>
    <w:p w:rsidR="000B4F28" w:rsidRPr="00CE2C74" w:rsidRDefault="000B4F28" w:rsidP="00871250">
      <w:pPr>
        <w:contextualSpacing/>
        <w:jc w:val="both"/>
        <w:rPr>
          <w:rFonts w:ascii="Arial" w:hAnsi="Arial" w:cs="Arial"/>
        </w:rPr>
      </w:pPr>
    </w:p>
    <w:p w:rsidR="000B4F28" w:rsidRPr="00CE2C74" w:rsidRDefault="000B4F28" w:rsidP="00871250">
      <w:pPr>
        <w:contextualSpacing/>
        <w:jc w:val="both"/>
        <w:rPr>
          <w:rFonts w:ascii="Arial" w:hAnsi="Arial" w:cs="Arial"/>
        </w:rPr>
      </w:pPr>
    </w:p>
    <w:p w:rsidR="000B4F28" w:rsidRPr="00CE2C74" w:rsidRDefault="000B4F28" w:rsidP="00871250">
      <w:pPr>
        <w:contextualSpacing/>
        <w:jc w:val="both"/>
        <w:rPr>
          <w:rFonts w:ascii="Arial" w:hAnsi="Arial" w:cs="Arial"/>
        </w:rPr>
      </w:pPr>
    </w:p>
    <w:p w:rsidR="000B4F28" w:rsidRPr="00CE2C74" w:rsidRDefault="000B4F28" w:rsidP="00871250">
      <w:pPr>
        <w:contextualSpacing/>
        <w:jc w:val="both"/>
        <w:rPr>
          <w:rFonts w:ascii="Arial" w:hAnsi="Arial" w:cs="Arial"/>
        </w:rPr>
      </w:pPr>
    </w:p>
    <w:p w:rsidR="000B4F28" w:rsidRPr="00CE2C74" w:rsidRDefault="000B4F28" w:rsidP="00871250">
      <w:pPr>
        <w:contextualSpacing/>
        <w:jc w:val="both"/>
        <w:rPr>
          <w:rFonts w:ascii="Arial" w:hAnsi="Arial" w:cs="Arial"/>
        </w:rPr>
      </w:pPr>
    </w:p>
    <w:p w:rsidR="000B4F28" w:rsidRPr="00CE2C74" w:rsidRDefault="000B4F28" w:rsidP="00871250">
      <w:pPr>
        <w:contextualSpacing/>
        <w:jc w:val="both"/>
        <w:rPr>
          <w:rFonts w:ascii="Arial" w:hAnsi="Arial" w:cs="Arial"/>
        </w:rPr>
      </w:pPr>
    </w:p>
    <w:p w:rsidR="000B4F28" w:rsidRPr="00CE2C74" w:rsidRDefault="000B4F28" w:rsidP="00871250">
      <w:pPr>
        <w:contextualSpacing/>
        <w:jc w:val="both"/>
        <w:rPr>
          <w:rFonts w:ascii="Arial" w:hAnsi="Arial" w:cs="Arial"/>
        </w:rPr>
      </w:pPr>
    </w:p>
    <w:p w:rsidR="000B4F28" w:rsidRPr="00CE2C74" w:rsidRDefault="000B4F28" w:rsidP="00871250">
      <w:pPr>
        <w:contextualSpacing/>
        <w:jc w:val="both"/>
        <w:rPr>
          <w:rFonts w:ascii="Arial" w:hAnsi="Arial" w:cs="Arial"/>
        </w:rPr>
      </w:pPr>
    </w:p>
    <w:p w:rsidR="000B4F28" w:rsidRPr="00CE2C74" w:rsidRDefault="000B4F28" w:rsidP="00871250">
      <w:pPr>
        <w:contextualSpacing/>
        <w:jc w:val="both"/>
        <w:rPr>
          <w:rFonts w:ascii="Arial" w:hAnsi="Arial" w:cs="Arial"/>
        </w:rPr>
      </w:pPr>
    </w:p>
    <w:p w:rsidR="000B4F28" w:rsidRPr="00CE2C74" w:rsidRDefault="000B4F28" w:rsidP="00871250">
      <w:pPr>
        <w:contextualSpacing/>
        <w:jc w:val="both"/>
        <w:rPr>
          <w:rFonts w:ascii="Arial" w:hAnsi="Arial" w:cs="Arial"/>
        </w:rPr>
      </w:pPr>
    </w:p>
    <w:p w:rsidR="000B4F28" w:rsidRPr="00CE2C74" w:rsidRDefault="000B4F28" w:rsidP="00871250">
      <w:pPr>
        <w:contextualSpacing/>
        <w:jc w:val="both"/>
        <w:rPr>
          <w:rFonts w:ascii="Arial" w:hAnsi="Arial" w:cs="Arial"/>
        </w:rPr>
      </w:pPr>
    </w:p>
    <w:p w:rsidR="00871250" w:rsidRPr="007F12FA" w:rsidRDefault="00F41DB1" w:rsidP="00871250">
      <w:pPr>
        <w:contextualSpacing/>
        <w:jc w:val="both"/>
        <w:rPr>
          <w:rFonts w:ascii="Arial" w:hAnsi="Arial" w:cs="Arial"/>
        </w:rPr>
      </w:pPr>
      <w:r w:rsidRPr="007F12FA">
        <w:rPr>
          <w:rFonts w:ascii="Arial" w:hAnsi="Arial" w:cs="Arial"/>
          <w:b/>
        </w:rPr>
        <w:t xml:space="preserve">Sien fourie bl 335. </w:t>
      </w:r>
      <w:r w:rsidR="005A41D1" w:rsidRPr="007F12FA">
        <w:rPr>
          <w:rFonts w:ascii="Arial" w:hAnsi="Arial" w:cs="Arial"/>
          <w:b/>
        </w:rPr>
        <w:t xml:space="preserve">Deadweight loss ens </w:t>
      </w:r>
      <w:r w:rsidR="001D5988" w:rsidRPr="007F12FA">
        <w:rPr>
          <w:rFonts w:ascii="Arial" w:hAnsi="Arial" w:cs="Arial"/>
          <w:b/>
        </w:rPr>
        <w:t xml:space="preserve">Kyk na Reekie waar hy die </w:t>
      </w:r>
      <w:r w:rsidR="001D5988" w:rsidRPr="007F12FA">
        <w:rPr>
          <w:rFonts w:ascii="Arial" w:hAnsi="Arial" w:cs="Arial"/>
          <w:b/>
          <w:i/>
        </w:rPr>
        <w:t>per se</w:t>
      </w:r>
      <w:r w:rsidR="001D5988" w:rsidRPr="007F12FA">
        <w:rPr>
          <w:rFonts w:ascii="Arial" w:hAnsi="Arial" w:cs="Arial"/>
          <w:b/>
        </w:rPr>
        <w:t xml:space="preserve"> en rule of reason prohibitions uitbring by die perforamance deel!!!</w:t>
      </w:r>
      <w:r w:rsidR="00A842E7" w:rsidRPr="007F12FA">
        <w:rPr>
          <w:rFonts w:ascii="Arial" w:hAnsi="Arial" w:cs="Arial"/>
          <w:b/>
        </w:rPr>
        <w:t xml:space="preserve"> Sien Rutherford ook waar hy </w:t>
      </w:r>
      <w:r w:rsidR="00A842E7" w:rsidRPr="007F12FA">
        <w:rPr>
          <w:rFonts w:ascii="Arial" w:hAnsi="Arial" w:cs="Arial"/>
          <w:b/>
          <w:i/>
        </w:rPr>
        <w:t>per se</w:t>
      </w:r>
      <w:r w:rsidR="00A842E7" w:rsidRPr="007F12FA">
        <w:rPr>
          <w:rFonts w:ascii="Arial" w:hAnsi="Arial" w:cs="Arial"/>
          <w:b/>
        </w:rPr>
        <w:t xml:space="preserve"> en rule of reason prohibitions definieer.</w:t>
      </w:r>
      <w:r w:rsidR="00871250" w:rsidRPr="007F12FA">
        <w:rPr>
          <w:rFonts w:ascii="Arial" w:hAnsi="Arial" w:cs="Arial"/>
        </w:rPr>
        <w:t xml:space="preserve"> </w:t>
      </w:r>
      <w:r w:rsidR="00871250" w:rsidRPr="007F12FA">
        <w:rPr>
          <w:rFonts w:ascii="Arial" w:hAnsi="Arial" w:cs="Arial"/>
          <w:b/>
        </w:rPr>
        <w:t>Die relationship between competition competitiveness and development gee lekker inligting oor hoekom mergers en acquisitions verbied word.</w:t>
      </w:r>
    </w:p>
    <w:p w:rsidR="008D4FEA" w:rsidRPr="007F12FA" w:rsidRDefault="008D4FEA" w:rsidP="00A3152E">
      <w:pPr>
        <w:contextualSpacing/>
        <w:rPr>
          <w:rFonts w:ascii="Arial" w:hAnsi="Arial" w:cs="Arial"/>
          <w:b/>
        </w:rPr>
      </w:pPr>
    </w:p>
    <w:p w:rsidR="008D4FEA" w:rsidRPr="007F12FA" w:rsidRDefault="00C90482" w:rsidP="00BA5018">
      <w:pPr>
        <w:contextualSpacing/>
        <w:rPr>
          <w:rFonts w:ascii="Arial" w:hAnsi="Arial" w:cs="Arial"/>
          <w:color w:val="95B3D7" w:themeColor="accent1" w:themeTint="99"/>
        </w:rPr>
      </w:pPr>
      <w:r w:rsidRPr="007F12FA">
        <w:rPr>
          <w:rFonts w:ascii="Arial" w:hAnsi="Arial" w:cs="Arial"/>
          <w:color w:val="95B3D7" w:themeColor="accent1" w:themeTint="99"/>
        </w:rPr>
        <w:t>Measuring economic efficiency Wetzstein bl 301.</w:t>
      </w:r>
    </w:p>
    <w:p w:rsidR="001F6BDC" w:rsidRPr="007F12FA" w:rsidRDefault="008D4FEA" w:rsidP="00BA5018">
      <w:pPr>
        <w:contextualSpacing/>
        <w:rPr>
          <w:rFonts w:ascii="Arial" w:hAnsi="Arial" w:cs="Arial"/>
          <w:color w:val="95B3D7" w:themeColor="accent1" w:themeTint="99"/>
        </w:rPr>
      </w:pPr>
      <w:r w:rsidRPr="007F12FA">
        <w:rPr>
          <w:rFonts w:ascii="Arial" w:hAnsi="Arial" w:cs="Arial"/>
          <w:color w:val="95B3D7" w:themeColor="accent1" w:themeTint="99"/>
        </w:rPr>
        <w:t>Williamson trade-off and deadweight loss moet by die weighing van efficiencies teen die anti-competitive effects geweeg word.</w:t>
      </w:r>
    </w:p>
    <w:p w:rsidR="000B4F28" w:rsidRDefault="000B4F28" w:rsidP="0007157D">
      <w:pPr>
        <w:rPr>
          <w:rFonts w:ascii="Arial" w:hAnsi="Arial" w:cs="Arial"/>
          <w:b/>
        </w:rPr>
      </w:pPr>
    </w:p>
    <w:p w:rsidR="0007157D" w:rsidRPr="007F12FA" w:rsidRDefault="00134566" w:rsidP="0007157D">
      <w:pPr>
        <w:rPr>
          <w:rFonts w:ascii="Arial" w:hAnsi="Arial" w:cs="Arial"/>
          <w:b/>
        </w:rPr>
      </w:pPr>
      <w:r>
        <w:rPr>
          <w:rFonts w:ascii="Arial" w:hAnsi="Arial" w:cs="Arial"/>
          <w:b/>
        </w:rPr>
        <w:t>2</w:t>
      </w:r>
      <w:r w:rsidR="0007157D" w:rsidRPr="007F12FA">
        <w:rPr>
          <w:rFonts w:ascii="Arial" w:hAnsi="Arial" w:cs="Arial"/>
          <w:b/>
        </w:rPr>
        <w:t>.</w:t>
      </w:r>
      <w:r w:rsidR="00DD642E" w:rsidRPr="007F12FA">
        <w:rPr>
          <w:rFonts w:ascii="Arial" w:hAnsi="Arial" w:cs="Arial"/>
          <w:b/>
        </w:rPr>
        <w:t>6</w:t>
      </w:r>
      <w:r w:rsidR="0007157D" w:rsidRPr="007F12FA">
        <w:rPr>
          <w:rFonts w:ascii="Arial" w:hAnsi="Arial" w:cs="Arial"/>
          <w:b/>
        </w:rPr>
        <w:t xml:space="preserve"> Distinguish between unlawful competition and competition law </w:t>
      </w:r>
    </w:p>
    <w:p w:rsidR="00A3152E" w:rsidRPr="007F12FA" w:rsidRDefault="00A3152E" w:rsidP="0007157D">
      <w:pPr>
        <w:rPr>
          <w:rFonts w:ascii="Arial" w:hAnsi="Arial" w:cs="Arial"/>
        </w:rPr>
      </w:pPr>
    </w:p>
    <w:p w:rsidR="00A3152E" w:rsidRPr="007F12FA" w:rsidRDefault="00A3152E" w:rsidP="0007157D">
      <w:pPr>
        <w:rPr>
          <w:rFonts w:ascii="Arial" w:hAnsi="Arial" w:cs="Arial"/>
        </w:rPr>
      </w:pPr>
      <w:r w:rsidRPr="007F12FA">
        <w:rPr>
          <w:rFonts w:ascii="Arial" w:hAnsi="Arial" w:cs="Arial"/>
        </w:rPr>
        <w:t>What is competition law? Economist idée etc Market system fail because imperfect competition which makes the abuse of market power possible. And the abuse of market power is what competition law regulates. Marekt power can be defined as..</w:t>
      </w:r>
    </w:p>
    <w:p w:rsidR="00A3152E" w:rsidRPr="007F12FA" w:rsidRDefault="00840F4B" w:rsidP="0007157D">
      <w:pPr>
        <w:rPr>
          <w:rFonts w:ascii="Arial" w:hAnsi="Arial" w:cs="Arial"/>
        </w:rPr>
      </w:pPr>
      <w:r w:rsidRPr="007F12FA">
        <w:rPr>
          <w:rFonts w:ascii="Arial" w:hAnsi="Arial" w:cs="Arial"/>
        </w:rPr>
        <w:t>Neethling speak about adam smith’s failing in performance competition but the definition of competition is different and this also indicates confusion between unlawful competition and competition.</w:t>
      </w:r>
    </w:p>
    <w:p w:rsidR="0007157D" w:rsidRPr="007F12FA" w:rsidRDefault="0007157D" w:rsidP="0007157D">
      <w:pPr>
        <w:rPr>
          <w:rFonts w:ascii="Arial" w:hAnsi="Arial" w:cs="Arial"/>
        </w:rPr>
      </w:pPr>
      <w:r w:rsidRPr="007F12FA">
        <w:rPr>
          <w:rFonts w:ascii="Arial" w:hAnsi="Arial" w:cs="Arial"/>
        </w:rPr>
        <w:t>In ons reg mededingings reg bestaan uit privaatregtelik (onregmatige mededinging) en publiekregtelik (competition act).Verskil tussen unlawful competition and Competition Act see neethling begin van boek. Competition definisie verskil asook doel van die wetgewing. Een soek doeltreffendheid en die ander een regverdige mededinging en beskerming van die produsente se regte. Kan nie se beidie vorm deel van mededingingsreg nie want die 2 verskil te veel en het nie dieselfde doel nie. Verder kan daar ook nie gese word dat unlawful competition die vryemark bevoordeel nie want dit neem nie die struktuut van dei mark in ag nie en ook nie of ‘n bepaalde handeling enigsins ‘n invloed op mededinging in die mark het nie. Dit moet sleg die handeling verhoed as dit wel mededinging in die mark (substantially benadeel), dalk bevoordeel die handeling alhoewel dit onregmatig is wel mededinging in die mark. Rigtings het wel invloed op mekaar maar is voldoende verskillend sodat dat beide deelvorm van die selfde deel van die reg nie regverdig kan word nie. Buite besek van die paper en daarom sal dit nie verder bespreek word nie en is ‘n onderwerp vir verdure navorsing wat onstaan uit hierdie paper. Kan ook na verskillende artikels veral by die doel van die Competition Act wat verwys na publieke mededingingsreg as competition law en unlawful competition ignoreer. Kan ook nie se dat unlawful competition privaatregtelike mededingingsreg is nie omdat baie wetgewing wat nie met die deliktereg te doen het nie ook ‘n invloed op mededinging kan he soos bv insider trading. Gevolglik moet men sander naam kry soos soos competition law en net wetgewing wat ‘n invloed het op handelinge van besighede en nie noodwendig mededinging beinvloed nie. Verder is mededinging in ekonomie nie dieselfde as in die reg nie. In ekonomie is mededinging die totale mededinging in ‘n mark en gaan dit oor die aantal mededingingers in die mark waar medediging tussen die partye gedefinieer kan word volgens die regsouens se definisie maar nie volgens die ekonomie ouens nie omdat die ekonomie ouens mededinging as die hoeveelheid firma swat in ‘n bepaalde mark funksioneer beheer. Daar moet onderskei word tussen competition law en wetgewing wat moontlik ‘n invloed op mededinging kan he soos bv. die afbrand van jou mededinger se besigheid vorm deel van die deliktereg en beskerm die mededinger se regte. Dit kan ‘n invloed het op die mededinging in die mark maar daar kan nie van mededingings reg gepraat word nie omdat dit nie mededinging as sulks reguleer nie. Dit neem nie die structure van die mark in ag nie ook nie die aard en vlak van mededinging in die mark nie en of die betrokke handeling ‘n anti-competitive consequence in die mark het nie. unlawful competition het te doen met onwettighede wat mededinginger beperk maar competition law het te doen met restrictive business practises wat nie dieselfde is as onwettighede nie sien UN conference on trade development bl 3.</w:t>
      </w:r>
    </w:p>
    <w:p w:rsidR="0007157D" w:rsidRPr="007F12FA" w:rsidRDefault="0007157D" w:rsidP="0007157D">
      <w:pPr>
        <w:rPr>
          <w:rFonts w:ascii="Arial" w:hAnsi="Arial" w:cs="Arial"/>
        </w:rPr>
      </w:pPr>
    </w:p>
    <w:p w:rsidR="0007157D" w:rsidRPr="007F12FA" w:rsidRDefault="0007157D" w:rsidP="0007157D">
      <w:pPr>
        <w:rPr>
          <w:rFonts w:ascii="Arial" w:hAnsi="Arial" w:cs="Arial"/>
        </w:rPr>
      </w:pPr>
      <w:r w:rsidRPr="007F12FA">
        <w:rPr>
          <w:rFonts w:ascii="Arial" w:hAnsi="Arial" w:cs="Arial"/>
        </w:rPr>
        <w:t>Verskillende terme. Die een praat van unlawful maw maak inbreuk op die ander ou se regte mar die Competition Act praat van anti-competitive wat beteken die ou kan sy market power misbruik en dit beteken nie noodwendig dat die ander ou se regte beperk word nie. “Onregmatige mededinging het ‘n beperkte betekenis en aanwending</w:t>
      </w:r>
      <w:r w:rsidRPr="007F12FA">
        <w:rPr>
          <w:rStyle w:val="Funotenzeichen"/>
          <w:rFonts w:ascii="Arial" w:hAnsi="Arial" w:cs="Arial"/>
        </w:rPr>
        <w:footnoteReference w:id="971"/>
      </w:r>
      <w:r w:rsidRPr="007F12FA">
        <w:rPr>
          <w:rFonts w:ascii="Arial" w:hAnsi="Arial" w:cs="Arial"/>
        </w:rPr>
        <w:t xml:space="preserve">” </w:t>
      </w:r>
    </w:p>
    <w:p w:rsidR="0007157D" w:rsidRPr="007F12FA" w:rsidRDefault="0007157D" w:rsidP="0007157D">
      <w:pPr>
        <w:rPr>
          <w:rFonts w:ascii="Arial" w:hAnsi="Arial" w:cs="Arial"/>
        </w:rPr>
      </w:pPr>
    </w:p>
    <w:p w:rsidR="0007157D" w:rsidRPr="007F12FA" w:rsidRDefault="0007157D" w:rsidP="0007157D">
      <w:pPr>
        <w:rPr>
          <w:rFonts w:ascii="Arial" w:hAnsi="Arial" w:cs="Arial"/>
        </w:rPr>
      </w:pPr>
      <w:r w:rsidRPr="007F12FA">
        <w:rPr>
          <w:rFonts w:ascii="Arial" w:hAnsi="Arial" w:cs="Arial"/>
        </w:rPr>
        <w:t>Competition in unlawful is stryd tussen 2 of meer mededingers maar in ekonomie is dit nie net stryd tussen 2 mededingers nie maar of die ouens hulle market power kan misbruik of gebruik. As hulle nie kan nie dan is daar baie mededinging tussen hulle en as hulle wel kan is data min mededinging tussen hulle.</w:t>
      </w:r>
    </w:p>
    <w:p w:rsidR="0086250C" w:rsidRPr="007F12FA" w:rsidRDefault="0086250C" w:rsidP="00BA5018">
      <w:pPr>
        <w:contextualSpacing/>
        <w:rPr>
          <w:rFonts w:ascii="Arial" w:hAnsi="Arial" w:cs="Arial"/>
        </w:rPr>
      </w:pPr>
    </w:p>
    <w:p w:rsidR="0082096B" w:rsidRPr="007F12FA" w:rsidRDefault="0082096B" w:rsidP="0082096B">
      <w:pPr>
        <w:contextualSpacing/>
        <w:rPr>
          <w:rFonts w:ascii="Arial" w:hAnsi="Arial" w:cs="Arial"/>
          <w:b/>
        </w:rPr>
      </w:pPr>
      <w:r w:rsidRPr="007F12FA">
        <w:rPr>
          <w:rFonts w:ascii="Arial" w:hAnsi="Arial" w:cs="Arial"/>
          <w:b/>
        </w:rPr>
        <w:t>To define competition, we follow Stigler’s (Palgrave 1987) preference for the classical</w:t>
      </w:r>
    </w:p>
    <w:p w:rsidR="0007157D" w:rsidRPr="007F12FA" w:rsidRDefault="0082096B" w:rsidP="0082096B">
      <w:pPr>
        <w:contextualSpacing/>
        <w:rPr>
          <w:rFonts w:ascii="Arial" w:hAnsi="Arial" w:cs="Arial"/>
          <w:b/>
        </w:rPr>
      </w:pPr>
      <w:r w:rsidRPr="007F12FA">
        <w:rPr>
          <w:rFonts w:ascii="Arial" w:hAnsi="Arial" w:cs="Arial"/>
          <w:b/>
        </w:rPr>
        <w:t>Usage of the term: competition in the product market is identified as a rivalry that arises when two or more firms strive for something that not all can obtain. He defines the central elements of competition: the freedom of traders to use their resources where they will, and exchange them at any price they will. (sine importance of competition in developing countries bl 2)</w:t>
      </w:r>
    </w:p>
    <w:p w:rsidR="0007157D" w:rsidRPr="007F12FA" w:rsidRDefault="0007157D" w:rsidP="00BA5018">
      <w:pPr>
        <w:contextualSpacing/>
        <w:rPr>
          <w:rFonts w:ascii="Arial" w:hAnsi="Arial" w:cs="Arial"/>
          <w:b/>
        </w:rPr>
      </w:pPr>
    </w:p>
    <w:p w:rsidR="0007157D" w:rsidRPr="007F12FA" w:rsidRDefault="009B487F" w:rsidP="00BA5018">
      <w:pPr>
        <w:contextualSpacing/>
        <w:rPr>
          <w:rFonts w:ascii="Arial" w:hAnsi="Arial" w:cs="Arial"/>
          <w:b/>
        </w:rPr>
      </w:pPr>
      <w:r w:rsidRPr="007F12FA">
        <w:rPr>
          <w:rFonts w:ascii="Arial" w:hAnsi="Arial" w:cs="Arial"/>
          <w:color w:val="8DB3E2" w:themeColor="text2" w:themeTint="66"/>
        </w:rPr>
        <w:t>Say that competition law</w:t>
      </w:r>
      <w:r w:rsidRPr="007F12FA">
        <w:rPr>
          <w:rStyle w:val="Funotenzeichen"/>
          <w:rFonts w:ascii="Arial" w:hAnsi="Arial" w:cs="Arial"/>
          <w:color w:val="8DB3E2" w:themeColor="text2" w:themeTint="66"/>
        </w:rPr>
        <w:footnoteReference w:id="972"/>
      </w:r>
      <w:r w:rsidRPr="007F12FA">
        <w:rPr>
          <w:rFonts w:ascii="Arial" w:hAnsi="Arial" w:cs="Arial"/>
          <w:color w:val="8DB3E2" w:themeColor="text2" w:themeTint="66"/>
        </w:rPr>
        <w:t xml:space="preserve"> and unlawful competition are not both part of competition law. Unlawful competition is part of law of delict and should be called trade law since it protects firm’s rights to trade and not its right to compete or competition. It also does not enhance the free market.</w:t>
      </w:r>
    </w:p>
    <w:p w:rsidR="009B487F" w:rsidRPr="007F12FA" w:rsidRDefault="009B487F" w:rsidP="00BA5018">
      <w:pPr>
        <w:contextualSpacing/>
        <w:rPr>
          <w:rFonts w:ascii="Arial" w:hAnsi="Arial" w:cs="Arial"/>
          <w:b/>
        </w:rPr>
      </w:pPr>
    </w:p>
    <w:p w:rsidR="009B487F" w:rsidRPr="007F12FA" w:rsidRDefault="009B487F" w:rsidP="00BA5018">
      <w:pPr>
        <w:contextualSpacing/>
        <w:rPr>
          <w:rFonts w:ascii="Arial" w:hAnsi="Arial" w:cs="Arial"/>
          <w:b/>
        </w:rPr>
      </w:pPr>
    </w:p>
    <w:p w:rsidR="009B487F" w:rsidRPr="007F12FA" w:rsidRDefault="009B487F" w:rsidP="00BA5018">
      <w:pPr>
        <w:contextualSpacing/>
        <w:rPr>
          <w:rFonts w:ascii="Arial" w:hAnsi="Arial" w:cs="Arial"/>
          <w:b/>
        </w:rPr>
      </w:pPr>
    </w:p>
    <w:p w:rsidR="009B487F" w:rsidRPr="007F12FA" w:rsidRDefault="009B487F" w:rsidP="00BA5018">
      <w:pPr>
        <w:contextualSpacing/>
        <w:rPr>
          <w:rFonts w:ascii="Arial" w:hAnsi="Arial" w:cs="Arial"/>
          <w:b/>
        </w:rPr>
      </w:pPr>
    </w:p>
    <w:p w:rsidR="009B487F" w:rsidRPr="007F12FA" w:rsidRDefault="009B487F" w:rsidP="00BA5018">
      <w:pPr>
        <w:contextualSpacing/>
        <w:rPr>
          <w:rFonts w:ascii="Arial" w:hAnsi="Arial" w:cs="Arial"/>
          <w:b/>
        </w:rPr>
      </w:pPr>
    </w:p>
    <w:p w:rsidR="009B487F" w:rsidRPr="007F12FA" w:rsidRDefault="009B487F" w:rsidP="00BA5018">
      <w:pPr>
        <w:contextualSpacing/>
        <w:rPr>
          <w:rFonts w:ascii="Arial" w:hAnsi="Arial" w:cs="Arial"/>
          <w:b/>
        </w:rPr>
      </w:pPr>
    </w:p>
    <w:p w:rsidR="009B487F" w:rsidRPr="007F12FA" w:rsidRDefault="009B487F" w:rsidP="00BA5018">
      <w:pPr>
        <w:contextualSpacing/>
        <w:rPr>
          <w:rFonts w:ascii="Arial" w:hAnsi="Arial" w:cs="Arial"/>
          <w:b/>
        </w:rPr>
      </w:pPr>
    </w:p>
    <w:p w:rsidR="009B487F" w:rsidRPr="007F12FA" w:rsidRDefault="009B487F" w:rsidP="00BA5018">
      <w:pPr>
        <w:contextualSpacing/>
        <w:rPr>
          <w:rFonts w:ascii="Arial" w:hAnsi="Arial" w:cs="Arial"/>
          <w:b/>
        </w:rPr>
      </w:pPr>
    </w:p>
    <w:p w:rsidR="009B487F" w:rsidRPr="007F12FA" w:rsidRDefault="009B487F" w:rsidP="00BA5018">
      <w:pPr>
        <w:contextualSpacing/>
        <w:rPr>
          <w:rFonts w:ascii="Arial" w:hAnsi="Arial" w:cs="Arial"/>
          <w:b/>
        </w:rPr>
      </w:pPr>
    </w:p>
    <w:p w:rsidR="009B487F" w:rsidRPr="007F12FA" w:rsidRDefault="009B487F" w:rsidP="00BA5018">
      <w:pPr>
        <w:contextualSpacing/>
        <w:rPr>
          <w:rFonts w:ascii="Arial" w:hAnsi="Arial" w:cs="Arial"/>
          <w:b/>
        </w:rPr>
      </w:pPr>
    </w:p>
    <w:p w:rsidR="0086250C" w:rsidRPr="007F12FA" w:rsidRDefault="0086250C" w:rsidP="00BA5018">
      <w:pPr>
        <w:contextualSpacing/>
        <w:rPr>
          <w:rFonts w:ascii="Arial" w:hAnsi="Arial" w:cs="Arial"/>
          <w:b/>
        </w:rPr>
      </w:pPr>
      <w:r w:rsidRPr="007F12FA">
        <w:rPr>
          <w:rFonts w:ascii="Arial" w:hAnsi="Arial" w:cs="Arial"/>
          <w:b/>
        </w:rPr>
        <w:t>2.</w:t>
      </w:r>
      <w:r w:rsidR="009B487F" w:rsidRPr="007F12FA">
        <w:rPr>
          <w:rFonts w:ascii="Arial" w:hAnsi="Arial" w:cs="Arial"/>
          <w:b/>
        </w:rPr>
        <w:t>7</w:t>
      </w:r>
      <w:r w:rsidRPr="007F12FA">
        <w:rPr>
          <w:rFonts w:ascii="Arial" w:hAnsi="Arial" w:cs="Arial"/>
          <w:b/>
        </w:rPr>
        <w:t xml:space="preserve"> Summary</w:t>
      </w:r>
    </w:p>
    <w:p w:rsidR="001F7FEC" w:rsidRPr="007F12FA" w:rsidRDefault="001F7FEC" w:rsidP="00BA5018">
      <w:pPr>
        <w:contextualSpacing/>
        <w:rPr>
          <w:rFonts w:ascii="Arial" w:hAnsi="Arial" w:cs="Arial"/>
          <w:b/>
        </w:rPr>
      </w:pPr>
    </w:p>
    <w:p w:rsidR="001F7FEC" w:rsidRPr="007F12FA" w:rsidRDefault="001F7FEC" w:rsidP="00BA5018">
      <w:pPr>
        <w:contextualSpacing/>
        <w:rPr>
          <w:rFonts w:ascii="Arial" w:hAnsi="Arial" w:cs="Arial"/>
          <w:b/>
        </w:rPr>
      </w:pPr>
    </w:p>
    <w:p w:rsidR="001F7FEC" w:rsidRPr="007F12FA" w:rsidRDefault="001F7FEC" w:rsidP="00BA5018">
      <w:pPr>
        <w:contextualSpacing/>
        <w:rPr>
          <w:rFonts w:ascii="Arial" w:hAnsi="Arial" w:cs="Arial"/>
          <w:b/>
        </w:rPr>
      </w:pPr>
    </w:p>
    <w:p w:rsidR="009B487F" w:rsidRPr="007F12FA" w:rsidRDefault="009B487F" w:rsidP="001F7FEC">
      <w:pPr>
        <w:contextualSpacing/>
        <w:jc w:val="both"/>
        <w:rPr>
          <w:rFonts w:ascii="Arial" w:hAnsi="Arial" w:cs="Arial"/>
          <w:b/>
        </w:rPr>
      </w:pPr>
    </w:p>
    <w:p w:rsidR="009B487F" w:rsidRPr="007F12FA" w:rsidRDefault="009B487F" w:rsidP="001F7FEC">
      <w:pPr>
        <w:contextualSpacing/>
        <w:jc w:val="both"/>
        <w:rPr>
          <w:rFonts w:ascii="Arial" w:hAnsi="Arial" w:cs="Arial"/>
          <w:b/>
        </w:rPr>
      </w:pPr>
    </w:p>
    <w:p w:rsidR="009B487F" w:rsidRPr="007F12FA" w:rsidRDefault="009B487F" w:rsidP="001F7FEC">
      <w:pPr>
        <w:contextualSpacing/>
        <w:jc w:val="both"/>
        <w:rPr>
          <w:rFonts w:ascii="Arial" w:hAnsi="Arial" w:cs="Arial"/>
          <w:b/>
        </w:rPr>
      </w:pPr>
    </w:p>
    <w:p w:rsidR="009B487F" w:rsidRPr="007F12FA" w:rsidRDefault="009B487F" w:rsidP="001F7FEC">
      <w:pPr>
        <w:contextualSpacing/>
        <w:jc w:val="both"/>
        <w:rPr>
          <w:rFonts w:ascii="Arial" w:hAnsi="Arial" w:cs="Arial"/>
          <w:b/>
        </w:rPr>
      </w:pPr>
    </w:p>
    <w:p w:rsidR="009B487F" w:rsidRPr="007F12FA" w:rsidRDefault="009B487F" w:rsidP="001F7FEC">
      <w:pPr>
        <w:contextualSpacing/>
        <w:jc w:val="both"/>
        <w:rPr>
          <w:rFonts w:ascii="Arial" w:hAnsi="Arial" w:cs="Arial"/>
          <w:b/>
        </w:rPr>
      </w:pPr>
    </w:p>
    <w:p w:rsidR="009B487F" w:rsidRPr="007F12FA" w:rsidRDefault="009B487F" w:rsidP="001F7FEC">
      <w:pPr>
        <w:contextualSpacing/>
        <w:jc w:val="both"/>
        <w:rPr>
          <w:rFonts w:ascii="Arial" w:hAnsi="Arial" w:cs="Arial"/>
          <w:b/>
        </w:rPr>
      </w:pPr>
    </w:p>
    <w:p w:rsidR="00C775C2" w:rsidRPr="007F12FA" w:rsidRDefault="00C775C2" w:rsidP="001F7FEC">
      <w:pPr>
        <w:contextualSpacing/>
        <w:jc w:val="both"/>
        <w:rPr>
          <w:rFonts w:ascii="Arial" w:hAnsi="Arial" w:cs="Arial"/>
          <w:b/>
        </w:rPr>
      </w:pPr>
    </w:p>
    <w:p w:rsidR="00C775C2" w:rsidRDefault="00C775C2" w:rsidP="001F7FEC">
      <w:pPr>
        <w:contextualSpacing/>
        <w:jc w:val="both"/>
        <w:rPr>
          <w:b/>
        </w:rPr>
      </w:pPr>
    </w:p>
    <w:p w:rsidR="001F7FEC" w:rsidRPr="00DE6EE2" w:rsidRDefault="001F7FEC" w:rsidP="00DE6EE2">
      <w:pPr>
        <w:contextualSpacing/>
        <w:jc w:val="both"/>
        <w:rPr>
          <w:rFonts w:ascii="Arial" w:hAnsi="Arial" w:cs="Arial"/>
          <w:b/>
        </w:rPr>
      </w:pPr>
      <w:r w:rsidRPr="00DE6EE2">
        <w:rPr>
          <w:rFonts w:ascii="Arial" w:hAnsi="Arial" w:cs="Arial"/>
          <w:b/>
        </w:rPr>
        <w:t>Bibliography</w:t>
      </w:r>
    </w:p>
    <w:p w:rsidR="001F7FEC" w:rsidRPr="00DE6EE2" w:rsidRDefault="001F7FEC" w:rsidP="00DE6EE2">
      <w:pPr>
        <w:contextualSpacing/>
        <w:jc w:val="both"/>
        <w:rPr>
          <w:rFonts w:ascii="Arial" w:hAnsi="Arial" w:cs="Arial"/>
        </w:rPr>
      </w:pPr>
    </w:p>
    <w:p w:rsidR="001F7FEC" w:rsidRPr="00DE6EE2" w:rsidRDefault="001F7FEC" w:rsidP="00DE6EE2">
      <w:pPr>
        <w:contextualSpacing/>
        <w:jc w:val="both"/>
        <w:rPr>
          <w:rFonts w:ascii="Arial" w:hAnsi="Arial" w:cs="Arial"/>
          <w:b/>
        </w:rPr>
      </w:pPr>
      <w:r w:rsidRPr="00DE6EE2">
        <w:rPr>
          <w:rFonts w:ascii="Arial" w:hAnsi="Arial" w:cs="Arial"/>
          <w:b/>
        </w:rPr>
        <w:t>Textbooks</w:t>
      </w:r>
    </w:p>
    <w:p w:rsidR="000355E0" w:rsidRPr="00DE6EE2" w:rsidRDefault="000355E0" w:rsidP="00DE6EE2">
      <w:pPr>
        <w:ind w:left="720"/>
        <w:contextualSpacing/>
        <w:jc w:val="both"/>
        <w:rPr>
          <w:rFonts w:ascii="Arial" w:hAnsi="Arial" w:cs="Arial"/>
          <w:iCs/>
          <w:lang w:eastAsia="en-GB" w:bidi="en-GB"/>
        </w:rPr>
      </w:pPr>
    </w:p>
    <w:p w:rsidR="004C13C3" w:rsidRDefault="004C13C3" w:rsidP="00DE6EE2">
      <w:pPr>
        <w:ind w:left="720"/>
        <w:contextualSpacing/>
        <w:jc w:val="both"/>
        <w:rPr>
          <w:rFonts w:ascii="Arial" w:hAnsi="Arial" w:cs="Arial"/>
          <w:iCs/>
          <w:lang w:eastAsia="en-GB" w:bidi="en-GB"/>
        </w:rPr>
      </w:pPr>
      <w:r>
        <w:rPr>
          <w:rFonts w:ascii="Arial" w:hAnsi="Arial" w:cs="Arial"/>
          <w:iCs/>
          <w:lang w:eastAsia="en-GB" w:bidi="en-GB"/>
        </w:rPr>
        <w:t>Agnew JH</w:t>
      </w:r>
    </w:p>
    <w:p w:rsidR="004C13C3" w:rsidRDefault="004C13C3" w:rsidP="00DE6EE2">
      <w:pPr>
        <w:ind w:left="720"/>
        <w:contextualSpacing/>
        <w:jc w:val="both"/>
        <w:rPr>
          <w:rFonts w:ascii="Arial" w:hAnsi="Arial" w:cs="Arial"/>
          <w:iCs/>
          <w:lang w:eastAsia="en-GB" w:bidi="en-GB"/>
        </w:rPr>
      </w:pPr>
      <w:r>
        <w:rPr>
          <w:rFonts w:ascii="Arial" w:hAnsi="Arial" w:cs="Arial"/>
          <w:iCs/>
          <w:lang w:eastAsia="en-GB" w:bidi="en-GB"/>
        </w:rPr>
        <w:t>1985. Competition Law. 1</w:t>
      </w:r>
      <w:r w:rsidRPr="004C13C3">
        <w:rPr>
          <w:rFonts w:ascii="Arial" w:hAnsi="Arial" w:cs="Arial"/>
          <w:iCs/>
          <w:vertAlign w:val="superscript"/>
          <w:lang w:eastAsia="en-GB" w:bidi="en-GB"/>
        </w:rPr>
        <w:t>st</w:t>
      </w:r>
      <w:r>
        <w:rPr>
          <w:rFonts w:ascii="Arial" w:hAnsi="Arial" w:cs="Arial"/>
          <w:iCs/>
          <w:lang w:eastAsia="en-GB" w:bidi="en-GB"/>
        </w:rPr>
        <w:t xml:space="preserve"> ed. London: Allen &amp; Unwin.</w:t>
      </w:r>
    </w:p>
    <w:p w:rsidR="004C13C3" w:rsidRDefault="004C13C3" w:rsidP="00DE6EE2">
      <w:pPr>
        <w:ind w:left="720"/>
        <w:contextualSpacing/>
        <w:jc w:val="both"/>
        <w:rPr>
          <w:rFonts w:ascii="Arial" w:hAnsi="Arial" w:cs="Arial"/>
          <w:iCs/>
          <w:lang w:eastAsia="en-GB" w:bidi="en-GB"/>
        </w:rPr>
      </w:pPr>
    </w:p>
    <w:p w:rsidR="00670F9A" w:rsidRPr="00DE6EE2" w:rsidRDefault="00670F9A" w:rsidP="00DE6EE2">
      <w:pPr>
        <w:ind w:left="720"/>
        <w:contextualSpacing/>
        <w:jc w:val="both"/>
        <w:rPr>
          <w:rFonts w:ascii="Arial" w:hAnsi="Arial" w:cs="Arial"/>
          <w:iCs/>
          <w:lang w:eastAsia="en-GB" w:bidi="en-GB"/>
        </w:rPr>
      </w:pPr>
      <w:r w:rsidRPr="00DE6EE2">
        <w:rPr>
          <w:rFonts w:ascii="Arial" w:hAnsi="Arial" w:cs="Arial"/>
          <w:iCs/>
          <w:lang w:eastAsia="en-GB" w:bidi="en-GB"/>
        </w:rPr>
        <w:t>Broder DF</w:t>
      </w:r>
    </w:p>
    <w:p w:rsidR="00670F9A" w:rsidRPr="00DE6EE2" w:rsidRDefault="00670F9A" w:rsidP="00DE6EE2">
      <w:pPr>
        <w:ind w:left="720"/>
        <w:contextualSpacing/>
        <w:jc w:val="both"/>
        <w:rPr>
          <w:rFonts w:ascii="Arial" w:hAnsi="Arial" w:cs="Arial"/>
          <w:iCs/>
          <w:lang w:eastAsia="en-GB" w:bidi="en-GB"/>
        </w:rPr>
      </w:pPr>
      <w:r w:rsidRPr="00DE6EE2">
        <w:rPr>
          <w:rFonts w:ascii="Arial" w:hAnsi="Arial" w:cs="Arial"/>
          <w:iCs/>
          <w:lang w:eastAsia="en-GB" w:bidi="en-GB"/>
        </w:rPr>
        <w:t xml:space="preserve">2005. </w:t>
      </w:r>
      <w:r w:rsidRPr="00DE6EE2">
        <w:rPr>
          <w:rFonts w:ascii="Arial" w:hAnsi="Arial" w:cs="Arial"/>
          <w:i/>
          <w:iCs/>
          <w:lang w:eastAsia="en-GB" w:bidi="en-GB"/>
        </w:rPr>
        <w:t>A Guide to US Antitrust Law</w:t>
      </w:r>
      <w:r w:rsidRPr="00DE6EE2">
        <w:rPr>
          <w:rFonts w:ascii="Arial" w:hAnsi="Arial" w:cs="Arial"/>
          <w:iCs/>
          <w:lang w:eastAsia="en-GB" w:bidi="en-GB"/>
        </w:rPr>
        <w:t>. 1</w:t>
      </w:r>
      <w:r w:rsidRPr="00DE6EE2">
        <w:rPr>
          <w:rFonts w:ascii="Arial" w:hAnsi="Arial" w:cs="Arial"/>
          <w:iCs/>
          <w:vertAlign w:val="superscript"/>
          <w:lang w:eastAsia="en-GB" w:bidi="en-GB"/>
        </w:rPr>
        <w:t>st</w:t>
      </w:r>
      <w:r w:rsidRPr="00DE6EE2">
        <w:rPr>
          <w:rFonts w:ascii="Arial" w:hAnsi="Arial" w:cs="Arial"/>
          <w:iCs/>
          <w:lang w:eastAsia="en-GB" w:bidi="en-GB"/>
        </w:rPr>
        <w:t xml:space="preserve"> ed. London: Sweet &amp; Maxwell.</w:t>
      </w:r>
    </w:p>
    <w:p w:rsidR="00670F9A" w:rsidRPr="00DE6EE2" w:rsidRDefault="00670F9A" w:rsidP="00DE6EE2">
      <w:pPr>
        <w:ind w:left="720"/>
        <w:contextualSpacing/>
        <w:jc w:val="both"/>
        <w:rPr>
          <w:rFonts w:ascii="Arial" w:hAnsi="Arial" w:cs="Arial"/>
          <w:iCs/>
          <w:lang w:eastAsia="en-GB" w:bidi="en-GB"/>
        </w:rPr>
      </w:pPr>
    </w:p>
    <w:p w:rsidR="00A369A5" w:rsidRPr="00DE6EE2" w:rsidRDefault="004C71F1" w:rsidP="00DE6EE2">
      <w:pPr>
        <w:ind w:left="720"/>
        <w:contextualSpacing/>
        <w:jc w:val="both"/>
        <w:rPr>
          <w:rFonts w:ascii="Arial" w:hAnsi="Arial" w:cs="Arial"/>
          <w:iCs/>
          <w:lang w:eastAsia="en-GB" w:bidi="en-GB"/>
        </w:rPr>
      </w:pPr>
      <w:r>
        <w:rPr>
          <w:rFonts w:ascii="Arial" w:hAnsi="Arial" w:cs="Arial"/>
          <w:iCs/>
          <w:lang w:eastAsia="en-GB" w:bidi="en-GB"/>
        </w:rPr>
        <w:t>Fourie FCv</w:t>
      </w:r>
      <w:r w:rsidR="00A369A5" w:rsidRPr="00DE6EE2">
        <w:rPr>
          <w:rFonts w:ascii="Arial" w:hAnsi="Arial" w:cs="Arial"/>
          <w:iCs/>
          <w:lang w:eastAsia="en-GB" w:bidi="en-GB"/>
        </w:rPr>
        <w:t>N</w:t>
      </w:r>
    </w:p>
    <w:p w:rsidR="00A369A5" w:rsidRPr="00DE6EE2" w:rsidRDefault="00A369A5" w:rsidP="00DE6EE2">
      <w:pPr>
        <w:ind w:left="720"/>
        <w:contextualSpacing/>
        <w:jc w:val="both"/>
        <w:rPr>
          <w:rFonts w:ascii="Arial" w:hAnsi="Arial" w:cs="Arial"/>
          <w:iCs/>
          <w:lang w:eastAsia="en-GB" w:bidi="en-GB"/>
        </w:rPr>
      </w:pPr>
      <w:r w:rsidRPr="00DE6EE2">
        <w:rPr>
          <w:rFonts w:ascii="Arial" w:hAnsi="Arial" w:cs="Arial"/>
          <w:iCs/>
          <w:lang w:eastAsia="en-GB" w:bidi="en-GB"/>
        </w:rPr>
        <w:t xml:space="preserve">2006. </w:t>
      </w:r>
      <w:r w:rsidRPr="00DE6EE2">
        <w:rPr>
          <w:rFonts w:ascii="Arial" w:hAnsi="Arial" w:cs="Arial"/>
          <w:i/>
          <w:iCs/>
          <w:lang w:eastAsia="en-GB" w:bidi="en-GB"/>
        </w:rPr>
        <w:t>How to think and reason in macroeconomics</w:t>
      </w:r>
      <w:r w:rsidRPr="00DE6EE2">
        <w:rPr>
          <w:rFonts w:ascii="Arial" w:hAnsi="Arial" w:cs="Arial"/>
          <w:iCs/>
          <w:lang w:eastAsia="en-GB" w:bidi="en-GB"/>
        </w:rPr>
        <w:t>. 2</w:t>
      </w:r>
      <w:r w:rsidRPr="00DE6EE2">
        <w:rPr>
          <w:rFonts w:ascii="Arial" w:hAnsi="Arial" w:cs="Arial"/>
          <w:iCs/>
          <w:vertAlign w:val="superscript"/>
          <w:lang w:eastAsia="en-GB" w:bidi="en-GB"/>
        </w:rPr>
        <w:t>nd</w:t>
      </w:r>
      <w:r w:rsidRPr="00DE6EE2">
        <w:rPr>
          <w:rFonts w:ascii="Arial" w:hAnsi="Arial" w:cs="Arial"/>
          <w:iCs/>
          <w:lang w:eastAsia="en-GB" w:bidi="en-GB"/>
        </w:rPr>
        <w:t xml:space="preserve"> ed. </w:t>
      </w:r>
      <w:r w:rsidR="00536C86" w:rsidRPr="00DE6EE2">
        <w:rPr>
          <w:rFonts w:ascii="Arial" w:hAnsi="Arial" w:cs="Arial"/>
          <w:iCs/>
          <w:lang w:eastAsia="en-GB" w:bidi="en-GB"/>
        </w:rPr>
        <w:t>Lansdowne: Juta.</w:t>
      </w:r>
    </w:p>
    <w:p w:rsidR="00DF3A05" w:rsidRPr="00DE6EE2" w:rsidRDefault="00DF3A05" w:rsidP="00DE6EE2">
      <w:pPr>
        <w:ind w:left="720"/>
        <w:contextualSpacing/>
        <w:jc w:val="both"/>
        <w:rPr>
          <w:rFonts w:ascii="Arial" w:hAnsi="Arial" w:cs="Arial"/>
          <w:iCs/>
          <w:lang w:eastAsia="en-GB" w:bidi="en-GB"/>
        </w:rPr>
      </w:pPr>
    </w:p>
    <w:p w:rsidR="00B31B20" w:rsidRPr="00DE6EE2" w:rsidRDefault="00B31B20" w:rsidP="00DE6EE2">
      <w:pPr>
        <w:ind w:left="720"/>
        <w:contextualSpacing/>
        <w:jc w:val="both"/>
        <w:rPr>
          <w:rFonts w:ascii="Arial" w:hAnsi="Arial" w:cs="Arial"/>
          <w:iCs/>
          <w:lang w:eastAsia="en-GB" w:bidi="en-GB"/>
        </w:rPr>
      </w:pPr>
      <w:r w:rsidRPr="00DE6EE2">
        <w:rPr>
          <w:rFonts w:ascii="Arial" w:hAnsi="Arial" w:cs="Arial"/>
          <w:iCs/>
          <w:lang w:eastAsia="en-GB" w:bidi="en-GB"/>
        </w:rPr>
        <w:t>Kleyn D and Viljoen F</w:t>
      </w:r>
    </w:p>
    <w:p w:rsidR="00B31B20" w:rsidRPr="00DE6EE2" w:rsidRDefault="00B31B20" w:rsidP="00DE6EE2">
      <w:pPr>
        <w:ind w:left="720"/>
        <w:contextualSpacing/>
        <w:jc w:val="both"/>
        <w:rPr>
          <w:rFonts w:ascii="Arial" w:hAnsi="Arial" w:cs="Arial"/>
          <w:iCs/>
          <w:lang w:eastAsia="en-GB" w:bidi="en-GB"/>
        </w:rPr>
      </w:pPr>
      <w:r w:rsidRPr="00DE6EE2">
        <w:rPr>
          <w:rFonts w:ascii="Arial" w:hAnsi="Arial" w:cs="Arial"/>
          <w:iCs/>
          <w:lang w:eastAsia="en-GB" w:bidi="en-GB"/>
        </w:rPr>
        <w:t xml:space="preserve">2002. </w:t>
      </w:r>
      <w:r w:rsidRPr="00DE6EE2">
        <w:rPr>
          <w:rFonts w:ascii="Arial" w:hAnsi="Arial" w:cs="Arial"/>
          <w:i/>
          <w:iCs/>
          <w:lang w:eastAsia="en-GB" w:bidi="en-GB"/>
        </w:rPr>
        <w:t>Beginners Guide for Legal Students</w:t>
      </w:r>
      <w:r w:rsidRPr="00DE6EE2">
        <w:rPr>
          <w:rFonts w:ascii="Arial" w:hAnsi="Arial" w:cs="Arial"/>
          <w:iCs/>
          <w:lang w:eastAsia="en-GB" w:bidi="en-GB"/>
        </w:rPr>
        <w:t>. 3</w:t>
      </w:r>
      <w:r w:rsidRPr="00DE6EE2">
        <w:rPr>
          <w:rFonts w:ascii="Arial" w:hAnsi="Arial" w:cs="Arial"/>
          <w:iCs/>
          <w:vertAlign w:val="superscript"/>
          <w:lang w:eastAsia="en-GB" w:bidi="en-GB"/>
        </w:rPr>
        <w:t>rd</w:t>
      </w:r>
      <w:r w:rsidRPr="00DE6EE2">
        <w:rPr>
          <w:rFonts w:ascii="Arial" w:hAnsi="Arial" w:cs="Arial"/>
          <w:iCs/>
          <w:lang w:eastAsia="en-GB" w:bidi="en-GB"/>
        </w:rPr>
        <w:t xml:space="preserve"> ed. Lansdowne: Juta.</w:t>
      </w:r>
    </w:p>
    <w:p w:rsidR="00B31B20" w:rsidRPr="00DE6EE2" w:rsidRDefault="00B31B20" w:rsidP="00DE6EE2">
      <w:pPr>
        <w:ind w:left="720"/>
        <w:contextualSpacing/>
        <w:jc w:val="both"/>
        <w:rPr>
          <w:rFonts w:ascii="Arial" w:hAnsi="Arial" w:cs="Arial"/>
          <w:iCs/>
          <w:lang w:eastAsia="en-GB" w:bidi="en-GB"/>
        </w:rPr>
      </w:pPr>
    </w:p>
    <w:p w:rsidR="00DF3A05" w:rsidRPr="00DE6EE2" w:rsidRDefault="00DF3A05" w:rsidP="00DE6EE2">
      <w:pPr>
        <w:ind w:left="720"/>
        <w:contextualSpacing/>
        <w:jc w:val="both"/>
        <w:rPr>
          <w:rFonts w:ascii="Arial" w:hAnsi="Arial" w:cs="Arial"/>
          <w:iCs/>
          <w:lang w:eastAsia="en-GB" w:bidi="en-GB"/>
        </w:rPr>
      </w:pPr>
      <w:r w:rsidRPr="00DE6EE2">
        <w:rPr>
          <w:rFonts w:ascii="Arial" w:hAnsi="Arial" w:cs="Arial"/>
          <w:iCs/>
          <w:lang w:eastAsia="en-GB" w:bidi="en-GB"/>
        </w:rPr>
        <w:t xml:space="preserve">Klopper H.B and Van der Spuy P </w:t>
      </w:r>
    </w:p>
    <w:p w:rsidR="00DF3A05" w:rsidRPr="00DE6EE2" w:rsidRDefault="000A4FB6" w:rsidP="00DE6EE2">
      <w:pPr>
        <w:ind w:left="720"/>
        <w:contextualSpacing/>
        <w:jc w:val="both"/>
        <w:rPr>
          <w:rFonts w:ascii="Arial" w:hAnsi="Arial" w:cs="Arial"/>
          <w:iCs/>
          <w:lang w:eastAsia="en-GB" w:bidi="en-GB"/>
        </w:rPr>
      </w:pPr>
      <w:r w:rsidRPr="00DE6EE2">
        <w:rPr>
          <w:rFonts w:ascii="Arial" w:hAnsi="Arial" w:cs="Arial"/>
          <w:iCs/>
          <w:lang w:eastAsia="en-GB" w:bidi="en-GB"/>
        </w:rPr>
        <w:t xml:space="preserve">2002. </w:t>
      </w:r>
      <w:r w:rsidRPr="00DE6EE2">
        <w:rPr>
          <w:rFonts w:ascii="Arial" w:hAnsi="Arial" w:cs="Arial"/>
          <w:i/>
        </w:rPr>
        <w:t>Law of Intellectual Property</w:t>
      </w:r>
      <w:r w:rsidR="00DF3A05" w:rsidRPr="00DE6EE2">
        <w:rPr>
          <w:rFonts w:ascii="Arial" w:hAnsi="Arial" w:cs="Arial"/>
          <w:iCs/>
          <w:lang w:eastAsia="en-GB" w:bidi="en-GB"/>
        </w:rPr>
        <w:t>. Pretoria: University of Pretoria.</w:t>
      </w:r>
    </w:p>
    <w:p w:rsidR="00DF3A05" w:rsidRPr="00DE6EE2" w:rsidRDefault="00DF3A05" w:rsidP="00DE6EE2">
      <w:pPr>
        <w:ind w:left="720"/>
        <w:contextualSpacing/>
        <w:jc w:val="both"/>
        <w:rPr>
          <w:rFonts w:ascii="Arial" w:hAnsi="Arial" w:cs="Arial"/>
          <w:iCs/>
          <w:lang w:eastAsia="en-GB" w:bidi="en-GB"/>
        </w:rPr>
      </w:pPr>
    </w:p>
    <w:p w:rsidR="004C71F1" w:rsidRDefault="004C71F1" w:rsidP="00DE6EE2">
      <w:pPr>
        <w:ind w:left="720"/>
        <w:contextualSpacing/>
        <w:jc w:val="both"/>
        <w:rPr>
          <w:rFonts w:ascii="Arial" w:hAnsi="Arial" w:cs="Arial"/>
          <w:iCs/>
          <w:lang w:eastAsia="en-GB" w:bidi="en-GB"/>
        </w:rPr>
      </w:pPr>
      <w:r>
        <w:rPr>
          <w:rFonts w:ascii="Arial" w:hAnsi="Arial" w:cs="Arial"/>
          <w:iCs/>
          <w:lang w:eastAsia="en-GB" w:bidi="en-GB"/>
        </w:rPr>
        <w:t>Korah V</w:t>
      </w:r>
    </w:p>
    <w:p w:rsidR="004C71F1" w:rsidRDefault="004C71F1" w:rsidP="00DE6EE2">
      <w:pPr>
        <w:ind w:left="720"/>
        <w:contextualSpacing/>
        <w:jc w:val="both"/>
        <w:rPr>
          <w:rFonts w:ascii="Arial" w:hAnsi="Arial" w:cs="Arial"/>
          <w:iCs/>
          <w:lang w:eastAsia="en-GB" w:bidi="en-GB"/>
        </w:rPr>
      </w:pPr>
      <w:r>
        <w:rPr>
          <w:rFonts w:ascii="Arial" w:hAnsi="Arial" w:cs="Arial"/>
          <w:iCs/>
          <w:lang w:eastAsia="en-GB" w:bidi="en-GB"/>
        </w:rPr>
        <w:t xml:space="preserve">2004. </w:t>
      </w:r>
      <w:r w:rsidRPr="004C71F1">
        <w:rPr>
          <w:rFonts w:ascii="Arial" w:hAnsi="Arial" w:cs="Arial"/>
          <w:i/>
          <w:iCs/>
          <w:lang w:eastAsia="en-GB" w:bidi="en-GB"/>
        </w:rPr>
        <w:t>An Introductory Guide to EC Competition Law and Practice</w:t>
      </w:r>
      <w:r>
        <w:rPr>
          <w:rFonts w:ascii="Arial" w:hAnsi="Arial" w:cs="Arial"/>
          <w:iCs/>
          <w:lang w:eastAsia="en-GB" w:bidi="en-GB"/>
        </w:rPr>
        <w:t>. 8</w:t>
      </w:r>
      <w:r w:rsidRPr="004C71F1">
        <w:rPr>
          <w:rFonts w:ascii="Arial" w:hAnsi="Arial" w:cs="Arial"/>
          <w:iCs/>
          <w:vertAlign w:val="superscript"/>
          <w:lang w:eastAsia="en-GB" w:bidi="en-GB"/>
        </w:rPr>
        <w:t>th</w:t>
      </w:r>
      <w:r>
        <w:rPr>
          <w:rFonts w:ascii="Arial" w:hAnsi="Arial" w:cs="Arial"/>
          <w:iCs/>
          <w:lang w:eastAsia="en-GB" w:bidi="en-GB"/>
        </w:rPr>
        <w:t xml:space="preserve"> ed. Oxford: Hart Publishing.</w:t>
      </w:r>
    </w:p>
    <w:p w:rsidR="004C71F1" w:rsidRDefault="004C71F1" w:rsidP="00DE6EE2">
      <w:pPr>
        <w:ind w:left="720"/>
        <w:contextualSpacing/>
        <w:jc w:val="both"/>
        <w:rPr>
          <w:rFonts w:ascii="Arial" w:hAnsi="Arial" w:cs="Arial"/>
          <w:iCs/>
          <w:lang w:eastAsia="en-GB" w:bidi="en-GB"/>
        </w:rPr>
      </w:pPr>
    </w:p>
    <w:p w:rsidR="002D5433" w:rsidRDefault="002D5433" w:rsidP="00DE6EE2">
      <w:pPr>
        <w:ind w:left="720"/>
        <w:contextualSpacing/>
        <w:jc w:val="both"/>
        <w:rPr>
          <w:rFonts w:ascii="Arial" w:hAnsi="Arial" w:cs="Arial"/>
          <w:iCs/>
          <w:lang w:eastAsia="en-GB" w:bidi="en-GB"/>
        </w:rPr>
      </w:pPr>
      <w:r>
        <w:rPr>
          <w:rFonts w:ascii="Arial" w:hAnsi="Arial" w:cs="Arial"/>
          <w:iCs/>
          <w:lang w:eastAsia="en-GB" w:bidi="en-GB"/>
        </w:rPr>
        <w:t>Lipczynski J and Wilson JOS and Goddard J</w:t>
      </w:r>
    </w:p>
    <w:p w:rsidR="002D5433" w:rsidRDefault="002D5433" w:rsidP="00DE6EE2">
      <w:pPr>
        <w:ind w:left="720"/>
        <w:contextualSpacing/>
        <w:jc w:val="both"/>
        <w:rPr>
          <w:rFonts w:ascii="Arial" w:hAnsi="Arial" w:cs="Arial"/>
          <w:iCs/>
          <w:lang w:eastAsia="en-GB" w:bidi="en-GB"/>
        </w:rPr>
      </w:pPr>
      <w:r>
        <w:rPr>
          <w:rFonts w:ascii="Arial" w:hAnsi="Arial" w:cs="Arial"/>
          <w:iCs/>
          <w:lang w:eastAsia="en-GB" w:bidi="en-GB"/>
        </w:rPr>
        <w:t xml:space="preserve">2009. </w:t>
      </w:r>
      <w:r w:rsidRPr="006F742D">
        <w:rPr>
          <w:rFonts w:ascii="Arial" w:hAnsi="Arial" w:cs="Arial"/>
          <w:i/>
          <w:iCs/>
          <w:lang w:eastAsia="en-GB" w:bidi="en-GB"/>
        </w:rPr>
        <w:t>Industrial Organization: Competition, strategy and policy</w:t>
      </w:r>
      <w:r>
        <w:rPr>
          <w:rFonts w:ascii="Arial" w:hAnsi="Arial" w:cs="Arial"/>
          <w:iCs/>
          <w:lang w:eastAsia="en-GB" w:bidi="en-GB"/>
        </w:rPr>
        <w:t>. 3</w:t>
      </w:r>
      <w:r w:rsidRPr="002D5433">
        <w:rPr>
          <w:rFonts w:ascii="Arial" w:hAnsi="Arial" w:cs="Arial"/>
          <w:iCs/>
          <w:vertAlign w:val="superscript"/>
          <w:lang w:eastAsia="en-GB" w:bidi="en-GB"/>
        </w:rPr>
        <w:t>rd</w:t>
      </w:r>
      <w:r>
        <w:rPr>
          <w:rFonts w:ascii="Arial" w:hAnsi="Arial" w:cs="Arial"/>
          <w:iCs/>
          <w:lang w:eastAsia="en-GB" w:bidi="en-GB"/>
        </w:rPr>
        <w:t xml:space="preserve"> ed. </w:t>
      </w:r>
      <w:r w:rsidR="0088107F">
        <w:rPr>
          <w:rFonts w:ascii="Arial" w:hAnsi="Arial" w:cs="Arial"/>
          <w:iCs/>
          <w:lang w:eastAsia="en-GB" w:bidi="en-GB"/>
        </w:rPr>
        <w:t>Essex: Pearson Education.</w:t>
      </w:r>
    </w:p>
    <w:p w:rsidR="002D5433" w:rsidRDefault="002D5433" w:rsidP="00DE6EE2">
      <w:pPr>
        <w:ind w:left="720"/>
        <w:contextualSpacing/>
        <w:jc w:val="both"/>
        <w:rPr>
          <w:rFonts w:ascii="Arial" w:hAnsi="Arial" w:cs="Arial"/>
          <w:iCs/>
          <w:lang w:eastAsia="en-GB" w:bidi="en-GB"/>
        </w:rPr>
      </w:pPr>
    </w:p>
    <w:p w:rsidR="001F7FEC" w:rsidRPr="00DE6EE2" w:rsidRDefault="001F7FEC" w:rsidP="00DE6EE2">
      <w:pPr>
        <w:ind w:left="720"/>
        <w:contextualSpacing/>
        <w:jc w:val="both"/>
        <w:rPr>
          <w:rFonts w:ascii="Arial" w:hAnsi="Arial" w:cs="Arial"/>
          <w:iCs/>
          <w:lang w:eastAsia="en-GB" w:bidi="en-GB"/>
        </w:rPr>
      </w:pPr>
      <w:r w:rsidRPr="00DE6EE2">
        <w:rPr>
          <w:rFonts w:ascii="Arial" w:hAnsi="Arial" w:cs="Arial"/>
          <w:iCs/>
          <w:lang w:eastAsia="en-GB" w:bidi="en-GB"/>
        </w:rPr>
        <w:t>McConnel CR and Brue SL</w:t>
      </w:r>
    </w:p>
    <w:p w:rsidR="001F7FEC" w:rsidRPr="00DE6EE2" w:rsidRDefault="001F7FEC" w:rsidP="00DE6EE2">
      <w:pPr>
        <w:ind w:left="720"/>
        <w:contextualSpacing/>
        <w:jc w:val="both"/>
        <w:rPr>
          <w:rFonts w:ascii="Arial" w:hAnsi="Arial" w:cs="Arial"/>
          <w:iCs/>
          <w:lang w:eastAsia="en-GB" w:bidi="en-GB"/>
        </w:rPr>
      </w:pPr>
      <w:r w:rsidRPr="00DE6EE2">
        <w:rPr>
          <w:rFonts w:ascii="Arial" w:hAnsi="Arial" w:cs="Arial"/>
          <w:iCs/>
          <w:lang w:eastAsia="en-GB" w:bidi="en-GB"/>
        </w:rPr>
        <w:t xml:space="preserve">2008. </w:t>
      </w:r>
      <w:r w:rsidRPr="00DE6EE2">
        <w:rPr>
          <w:rFonts w:ascii="Arial" w:hAnsi="Arial" w:cs="Arial"/>
          <w:i/>
          <w:iCs/>
          <w:lang w:eastAsia="en-GB" w:bidi="en-GB"/>
        </w:rPr>
        <w:t>Economics: Principles, Problems and Policies</w:t>
      </w:r>
      <w:r w:rsidRPr="00DE6EE2">
        <w:rPr>
          <w:rFonts w:ascii="Arial" w:hAnsi="Arial" w:cs="Arial"/>
          <w:iCs/>
          <w:lang w:eastAsia="en-GB" w:bidi="en-GB"/>
        </w:rPr>
        <w:t>. 17</w:t>
      </w:r>
      <w:r w:rsidRPr="00DE6EE2">
        <w:rPr>
          <w:rFonts w:ascii="Arial" w:hAnsi="Arial" w:cs="Arial"/>
          <w:iCs/>
          <w:vertAlign w:val="superscript"/>
          <w:lang w:eastAsia="en-GB" w:bidi="en-GB"/>
        </w:rPr>
        <w:t>th</w:t>
      </w:r>
      <w:r w:rsidRPr="00DE6EE2">
        <w:rPr>
          <w:rFonts w:ascii="Arial" w:hAnsi="Arial" w:cs="Arial"/>
          <w:iCs/>
          <w:lang w:eastAsia="en-GB" w:bidi="en-GB"/>
        </w:rPr>
        <w:t xml:space="preserve"> </w:t>
      </w:r>
      <w:r w:rsidR="00AB6CC2" w:rsidRPr="00DE6EE2">
        <w:rPr>
          <w:rFonts w:ascii="Arial" w:hAnsi="Arial" w:cs="Arial"/>
          <w:iCs/>
          <w:lang w:eastAsia="en-GB" w:bidi="en-GB"/>
        </w:rPr>
        <w:t>ed. New York: McGraw-Hill/Irwine.</w:t>
      </w:r>
    </w:p>
    <w:p w:rsidR="004C71F1" w:rsidRDefault="004C71F1" w:rsidP="00DE6EE2">
      <w:pPr>
        <w:ind w:left="720"/>
        <w:contextualSpacing/>
        <w:jc w:val="both"/>
        <w:rPr>
          <w:rFonts w:ascii="Arial" w:hAnsi="Arial" w:cs="Arial"/>
          <w:iCs/>
          <w:lang w:eastAsia="en-GB" w:bidi="en-GB"/>
        </w:rPr>
      </w:pPr>
    </w:p>
    <w:p w:rsidR="001F7FEC" w:rsidRPr="00DE6EE2" w:rsidRDefault="001F7FEC" w:rsidP="00DE6EE2">
      <w:pPr>
        <w:ind w:left="720"/>
        <w:contextualSpacing/>
        <w:jc w:val="both"/>
        <w:rPr>
          <w:rFonts w:ascii="Arial" w:hAnsi="Arial" w:cs="Arial"/>
          <w:iCs/>
          <w:lang w:eastAsia="en-GB" w:bidi="en-GB"/>
        </w:rPr>
      </w:pPr>
      <w:r w:rsidRPr="00DE6EE2">
        <w:rPr>
          <w:rFonts w:ascii="Arial" w:hAnsi="Arial" w:cs="Arial"/>
          <w:iCs/>
          <w:lang w:eastAsia="en-GB" w:bidi="en-GB"/>
        </w:rPr>
        <w:t>Neuhoff M and Govender M and Versfeld M and Dingley D</w:t>
      </w:r>
    </w:p>
    <w:p w:rsidR="001F7FEC" w:rsidRPr="00DE6EE2" w:rsidRDefault="001F7FEC" w:rsidP="00DE6EE2">
      <w:pPr>
        <w:ind w:left="720"/>
        <w:contextualSpacing/>
        <w:jc w:val="both"/>
        <w:rPr>
          <w:rFonts w:ascii="Arial" w:hAnsi="Arial" w:cs="Arial"/>
          <w:iCs/>
          <w:lang w:eastAsia="en-GB" w:bidi="en-GB"/>
        </w:rPr>
      </w:pPr>
      <w:r w:rsidRPr="00DE6EE2">
        <w:rPr>
          <w:rFonts w:ascii="Arial" w:hAnsi="Arial" w:cs="Arial"/>
          <w:iCs/>
          <w:lang w:eastAsia="en-GB" w:bidi="en-GB"/>
        </w:rPr>
        <w:t xml:space="preserve">2006. </w:t>
      </w:r>
      <w:r w:rsidRPr="00DE6EE2">
        <w:rPr>
          <w:rFonts w:ascii="Arial" w:hAnsi="Arial" w:cs="Arial"/>
          <w:i/>
          <w:iCs/>
          <w:lang w:eastAsia="en-GB" w:bidi="en-GB"/>
        </w:rPr>
        <w:t>A Practical Guide to the South African Competition Act</w:t>
      </w:r>
      <w:r w:rsidRPr="00DE6EE2">
        <w:rPr>
          <w:rFonts w:ascii="Arial" w:hAnsi="Arial" w:cs="Arial"/>
          <w:iCs/>
          <w:lang w:eastAsia="en-GB" w:bidi="en-GB"/>
        </w:rPr>
        <w:t>. 1</w:t>
      </w:r>
      <w:r w:rsidRPr="00DE6EE2">
        <w:rPr>
          <w:rFonts w:ascii="Arial" w:hAnsi="Arial" w:cs="Arial"/>
          <w:iCs/>
          <w:vertAlign w:val="superscript"/>
          <w:lang w:eastAsia="en-GB" w:bidi="en-GB"/>
        </w:rPr>
        <w:t>st</w:t>
      </w:r>
      <w:r w:rsidRPr="00DE6EE2">
        <w:rPr>
          <w:rFonts w:ascii="Arial" w:hAnsi="Arial" w:cs="Arial"/>
          <w:iCs/>
          <w:lang w:eastAsia="en-GB" w:bidi="en-GB"/>
        </w:rPr>
        <w:t xml:space="preserve"> ed. Durban: LexisNexis.</w:t>
      </w:r>
    </w:p>
    <w:p w:rsidR="00DF3A05" w:rsidRPr="00DE6EE2" w:rsidRDefault="00DF3A05" w:rsidP="00DE6EE2">
      <w:pPr>
        <w:ind w:left="720"/>
        <w:contextualSpacing/>
        <w:jc w:val="both"/>
        <w:rPr>
          <w:rFonts w:ascii="Arial" w:hAnsi="Arial" w:cs="Arial"/>
          <w:iCs/>
          <w:lang w:eastAsia="en-GB" w:bidi="en-GB"/>
        </w:rPr>
      </w:pPr>
    </w:p>
    <w:p w:rsidR="00F33586" w:rsidRDefault="00F33586" w:rsidP="00DE6EE2">
      <w:pPr>
        <w:ind w:left="720"/>
        <w:contextualSpacing/>
        <w:jc w:val="both"/>
        <w:rPr>
          <w:rFonts w:ascii="Arial" w:hAnsi="Arial" w:cs="Arial"/>
          <w:iCs/>
          <w:lang w:eastAsia="en-GB" w:bidi="en-GB"/>
        </w:rPr>
      </w:pPr>
      <w:r>
        <w:rPr>
          <w:rFonts w:ascii="Arial" w:hAnsi="Arial" w:cs="Arial"/>
          <w:iCs/>
          <w:lang w:eastAsia="en-GB" w:bidi="en-GB"/>
        </w:rPr>
        <w:t>Reekie WD</w:t>
      </w:r>
    </w:p>
    <w:p w:rsidR="00F33586" w:rsidRDefault="00F33586" w:rsidP="00DE6EE2">
      <w:pPr>
        <w:ind w:left="720"/>
        <w:contextualSpacing/>
        <w:jc w:val="both"/>
        <w:rPr>
          <w:rFonts w:ascii="Arial" w:hAnsi="Arial" w:cs="Arial"/>
          <w:iCs/>
          <w:lang w:eastAsia="en-GB" w:bidi="en-GB"/>
        </w:rPr>
      </w:pPr>
      <w:r>
        <w:rPr>
          <w:rFonts w:ascii="Arial" w:hAnsi="Arial" w:cs="Arial"/>
          <w:iCs/>
          <w:lang w:eastAsia="en-GB" w:bidi="en-GB"/>
        </w:rPr>
        <w:t xml:space="preserve">1989. </w:t>
      </w:r>
      <w:r w:rsidRPr="006F742D">
        <w:rPr>
          <w:rFonts w:ascii="Arial" w:hAnsi="Arial" w:cs="Arial"/>
          <w:i/>
          <w:iCs/>
          <w:lang w:eastAsia="en-GB" w:bidi="en-GB"/>
        </w:rPr>
        <w:t>Industrial Economics: A critical introduction to corpotrate enterprise in Europe and America</w:t>
      </w:r>
      <w:r>
        <w:rPr>
          <w:rFonts w:ascii="Arial" w:hAnsi="Arial" w:cs="Arial"/>
          <w:iCs/>
          <w:lang w:eastAsia="en-GB" w:bidi="en-GB"/>
        </w:rPr>
        <w:t>. 1</w:t>
      </w:r>
      <w:r>
        <w:rPr>
          <w:rFonts w:ascii="Arial" w:hAnsi="Arial" w:cs="Arial"/>
          <w:iCs/>
          <w:vertAlign w:val="superscript"/>
          <w:lang w:eastAsia="en-GB" w:bidi="en-GB"/>
        </w:rPr>
        <w:t>st</w:t>
      </w:r>
      <w:r>
        <w:rPr>
          <w:rFonts w:ascii="Arial" w:hAnsi="Arial" w:cs="Arial"/>
          <w:iCs/>
          <w:lang w:eastAsia="en-GB" w:bidi="en-GB"/>
        </w:rPr>
        <w:t xml:space="preserve"> ed. Aldershot: Edward Elgar.</w:t>
      </w:r>
    </w:p>
    <w:p w:rsidR="00F33586" w:rsidRDefault="00F33586" w:rsidP="00DE6EE2">
      <w:pPr>
        <w:ind w:left="720"/>
        <w:contextualSpacing/>
        <w:jc w:val="both"/>
        <w:rPr>
          <w:rFonts w:ascii="Arial" w:hAnsi="Arial" w:cs="Arial"/>
          <w:iCs/>
          <w:lang w:eastAsia="en-GB" w:bidi="en-GB"/>
        </w:rPr>
      </w:pPr>
    </w:p>
    <w:p w:rsidR="006F742D" w:rsidRDefault="006F742D" w:rsidP="00DE6EE2">
      <w:pPr>
        <w:ind w:left="720"/>
        <w:contextualSpacing/>
        <w:jc w:val="both"/>
        <w:rPr>
          <w:rFonts w:ascii="Arial" w:hAnsi="Arial" w:cs="Arial"/>
          <w:iCs/>
          <w:lang w:eastAsia="en-GB" w:bidi="en-GB"/>
        </w:rPr>
      </w:pPr>
      <w:r>
        <w:rPr>
          <w:rFonts w:ascii="Arial" w:hAnsi="Arial" w:cs="Arial"/>
          <w:iCs/>
          <w:lang w:eastAsia="en-GB" w:bidi="en-GB"/>
        </w:rPr>
        <w:t>Reid G</w:t>
      </w:r>
    </w:p>
    <w:p w:rsidR="006F742D" w:rsidRDefault="006F742D" w:rsidP="00DE6EE2">
      <w:pPr>
        <w:ind w:left="720"/>
        <w:contextualSpacing/>
        <w:jc w:val="both"/>
        <w:rPr>
          <w:rFonts w:ascii="Arial" w:hAnsi="Arial" w:cs="Arial"/>
          <w:iCs/>
          <w:lang w:eastAsia="en-GB" w:bidi="en-GB"/>
        </w:rPr>
      </w:pPr>
      <w:r>
        <w:rPr>
          <w:rFonts w:ascii="Arial" w:hAnsi="Arial" w:cs="Arial"/>
          <w:iCs/>
          <w:lang w:eastAsia="en-GB" w:bidi="en-GB"/>
        </w:rPr>
        <w:t xml:space="preserve">1987. </w:t>
      </w:r>
      <w:r w:rsidRPr="006F742D">
        <w:rPr>
          <w:rFonts w:ascii="Arial" w:hAnsi="Arial" w:cs="Arial"/>
          <w:i/>
          <w:iCs/>
          <w:lang w:eastAsia="en-GB" w:bidi="en-GB"/>
        </w:rPr>
        <w:t>Theories of Industrial Organization</w:t>
      </w:r>
      <w:r>
        <w:rPr>
          <w:rFonts w:ascii="Arial" w:hAnsi="Arial" w:cs="Arial"/>
          <w:iCs/>
          <w:lang w:eastAsia="en-GB" w:bidi="en-GB"/>
        </w:rPr>
        <w:t>. 1</w:t>
      </w:r>
      <w:r w:rsidRPr="006F742D">
        <w:rPr>
          <w:rFonts w:ascii="Arial" w:hAnsi="Arial" w:cs="Arial"/>
          <w:iCs/>
          <w:vertAlign w:val="superscript"/>
          <w:lang w:eastAsia="en-GB" w:bidi="en-GB"/>
        </w:rPr>
        <w:t>st</w:t>
      </w:r>
      <w:r>
        <w:rPr>
          <w:rFonts w:ascii="Arial" w:hAnsi="Arial" w:cs="Arial"/>
          <w:iCs/>
          <w:lang w:eastAsia="en-GB" w:bidi="en-GB"/>
        </w:rPr>
        <w:t xml:space="preserve"> ed. Oxford: Basil Blackwell.</w:t>
      </w:r>
    </w:p>
    <w:p w:rsidR="006F742D" w:rsidRDefault="006F742D" w:rsidP="00DE6EE2">
      <w:pPr>
        <w:ind w:left="720"/>
        <w:contextualSpacing/>
        <w:jc w:val="both"/>
        <w:rPr>
          <w:rFonts w:ascii="Arial" w:hAnsi="Arial" w:cs="Arial"/>
          <w:iCs/>
          <w:lang w:eastAsia="en-GB" w:bidi="en-GB"/>
        </w:rPr>
      </w:pPr>
    </w:p>
    <w:p w:rsidR="00637193" w:rsidRPr="00DE6EE2" w:rsidRDefault="00682B4B" w:rsidP="00DE6EE2">
      <w:pPr>
        <w:ind w:left="720"/>
        <w:contextualSpacing/>
        <w:jc w:val="both"/>
        <w:rPr>
          <w:rFonts w:ascii="Arial" w:hAnsi="Arial" w:cs="Arial"/>
          <w:iCs/>
          <w:lang w:eastAsia="en-GB" w:bidi="en-GB"/>
        </w:rPr>
      </w:pPr>
      <w:r w:rsidRPr="00DE6EE2">
        <w:rPr>
          <w:rFonts w:ascii="Arial" w:hAnsi="Arial" w:cs="Arial"/>
          <w:iCs/>
          <w:lang w:eastAsia="en-GB" w:bidi="en-GB"/>
        </w:rPr>
        <w:t>Reisman G</w:t>
      </w:r>
    </w:p>
    <w:p w:rsidR="00682B4B" w:rsidRPr="00DE6EE2" w:rsidRDefault="00682B4B" w:rsidP="00DE6EE2">
      <w:pPr>
        <w:ind w:left="720"/>
        <w:contextualSpacing/>
        <w:jc w:val="both"/>
        <w:rPr>
          <w:rFonts w:ascii="Arial" w:hAnsi="Arial" w:cs="Arial"/>
          <w:iCs/>
          <w:lang w:eastAsia="en-GB" w:bidi="en-GB"/>
        </w:rPr>
      </w:pPr>
      <w:r w:rsidRPr="00DE6EE2">
        <w:rPr>
          <w:rFonts w:ascii="Arial" w:hAnsi="Arial" w:cs="Arial"/>
          <w:iCs/>
          <w:lang w:eastAsia="en-GB" w:bidi="en-GB"/>
        </w:rPr>
        <w:t xml:space="preserve">1996. </w:t>
      </w:r>
      <w:r w:rsidRPr="00DE6EE2">
        <w:rPr>
          <w:rFonts w:ascii="Arial" w:hAnsi="Arial" w:cs="Arial"/>
          <w:i/>
          <w:iCs/>
          <w:lang w:eastAsia="en-GB" w:bidi="en-GB"/>
        </w:rPr>
        <w:t>Capitalism: A Treatise on Economics</w:t>
      </w:r>
      <w:r w:rsidRPr="00DE6EE2">
        <w:rPr>
          <w:rFonts w:ascii="Arial" w:hAnsi="Arial" w:cs="Arial"/>
          <w:iCs/>
          <w:lang w:eastAsia="en-GB" w:bidi="en-GB"/>
        </w:rPr>
        <w:t xml:space="preserve">. </w:t>
      </w:r>
      <w:r w:rsidR="003B3098" w:rsidRPr="00DE6EE2">
        <w:rPr>
          <w:rFonts w:ascii="Arial" w:hAnsi="Arial" w:cs="Arial"/>
          <w:iCs/>
          <w:lang w:eastAsia="en-GB" w:bidi="en-GB"/>
        </w:rPr>
        <w:t>1</w:t>
      </w:r>
      <w:r w:rsidR="003B3098" w:rsidRPr="00DE6EE2">
        <w:rPr>
          <w:rFonts w:ascii="Arial" w:hAnsi="Arial" w:cs="Arial"/>
          <w:iCs/>
          <w:vertAlign w:val="superscript"/>
          <w:lang w:eastAsia="en-GB" w:bidi="en-GB"/>
        </w:rPr>
        <w:t>st</w:t>
      </w:r>
      <w:r w:rsidR="003B3098" w:rsidRPr="00DE6EE2">
        <w:rPr>
          <w:rFonts w:ascii="Arial" w:hAnsi="Arial" w:cs="Arial"/>
          <w:iCs/>
          <w:lang w:eastAsia="en-GB" w:bidi="en-GB"/>
        </w:rPr>
        <w:t xml:space="preserve"> ed. Illinois: Jameson Books.</w:t>
      </w:r>
    </w:p>
    <w:p w:rsidR="00682B4B" w:rsidRPr="00DE6EE2" w:rsidRDefault="00682B4B" w:rsidP="00DE6EE2">
      <w:pPr>
        <w:ind w:left="720"/>
        <w:contextualSpacing/>
        <w:jc w:val="both"/>
        <w:rPr>
          <w:rFonts w:ascii="Arial" w:hAnsi="Arial" w:cs="Arial"/>
          <w:iCs/>
          <w:lang w:eastAsia="en-GB" w:bidi="en-GB"/>
        </w:rPr>
      </w:pPr>
    </w:p>
    <w:p w:rsidR="006A2019" w:rsidRDefault="006A2019" w:rsidP="00DE6EE2">
      <w:pPr>
        <w:ind w:left="720"/>
        <w:contextualSpacing/>
        <w:jc w:val="both"/>
        <w:rPr>
          <w:rFonts w:ascii="Arial" w:hAnsi="Arial" w:cs="Arial"/>
          <w:iCs/>
          <w:lang w:eastAsia="en-GB" w:bidi="en-GB"/>
        </w:rPr>
      </w:pPr>
      <w:r>
        <w:rPr>
          <w:rFonts w:ascii="Arial" w:hAnsi="Arial" w:cs="Arial"/>
          <w:iCs/>
          <w:lang w:eastAsia="en-GB" w:bidi="en-GB"/>
        </w:rPr>
        <w:t>Spulber DF</w:t>
      </w:r>
    </w:p>
    <w:p w:rsidR="006A2019" w:rsidRDefault="006A2019" w:rsidP="00DE6EE2">
      <w:pPr>
        <w:ind w:left="720"/>
        <w:contextualSpacing/>
        <w:jc w:val="both"/>
        <w:rPr>
          <w:rFonts w:ascii="Arial" w:hAnsi="Arial" w:cs="Arial"/>
          <w:iCs/>
          <w:lang w:eastAsia="en-GB" w:bidi="en-GB"/>
        </w:rPr>
      </w:pPr>
      <w:r>
        <w:rPr>
          <w:rFonts w:ascii="Arial" w:hAnsi="Arial" w:cs="Arial"/>
          <w:iCs/>
          <w:lang w:eastAsia="en-GB" w:bidi="en-GB"/>
        </w:rPr>
        <w:t xml:space="preserve">2003. Entry Barriers and Entry Strategies. </w:t>
      </w:r>
      <w:r w:rsidRPr="009C64F2">
        <w:rPr>
          <w:rFonts w:ascii="Arial" w:hAnsi="Arial" w:cs="Arial"/>
          <w:i/>
          <w:iCs/>
          <w:lang w:eastAsia="en-GB" w:bidi="en-GB"/>
        </w:rPr>
        <w:t>Journal of Strategic Management Education</w:t>
      </w:r>
      <w:r>
        <w:rPr>
          <w:rFonts w:ascii="Arial" w:hAnsi="Arial" w:cs="Arial"/>
          <w:iCs/>
          <w:lang w:eastAsia="en-GB" w:bidi="en-GB"/>
        </w:rPr>
        <w:t xml:space="preserve"> 1(2003):55-80.</w:t>
      </w:r>
    </w:p>
    <w:p w:rsidR="006A2019" w:rsidRDefault="006A2019" w:rsidP="00DE6EE2">
      <w:pPr>
        <w:ind w:left="720"/>
        <w:contextualSpacing/>
        <w:jc w:val="both"/>
        <w:rPr>
          <w:rFonts w:ascii="Arial" w:hAnsi="Arial" w:cs="Arial"/>
          <w:iCs/>
          <w:lang w:eastAsia="en-GB" w:bidi="en-GB"/>
        </w:rPr>
      </w:pPr>
    </w:p>
    <w:p w:rsidR="00BB400E" w:rsidRDefault="00BB400E" w:rsidP="00DE6EE2">
      <w:pPr>
        <w:ind w:left="720"/>
        <w:contextualSpacing/>
        <w:jc w:val="both"/>
        <w:rPr>
          <w:rFonts w:ascii="Arial" w:hAnsi="Arial" w:cs="Arial"/>
          <w:iCs/>
          <w:lang w:eastAsia="en-GB" w:bidi="en-GB"/>
        </w:rPr>
      </w:pPr>
      <w:r>
        <w:rPr>
          <w:rFonts w:ascii="Arial" w:hAnsi="Arial" w:cs="Arial"/>
          <w:iCs/>
          <w:lang w:eastAsia="en-GB" w:bidi="en-GB"/>
        </w:rPr>
        <w:t>Stigler GJ</w:t>
      </w:r>
    </w:p>
    <w:p w:rsidR="00BB400E" w:rsidRDefault="00BB400E" w:rsidP="00DE6EE2">
      <w:pPr>
        <w:ind w:left="720"/>
        <w:contextualSpacing/>
        <w:jc w:val="both"/>
        <w:rPr>
          <w:rFonts w:ascii="Arial" w:hAnsi="Arial" w:cs="Arial"/>
          <w:iCs/>
          <w:lang w:eastAsia="en-GB" w:bidi="en-GB"/>
        </w:rPr>
      </w:pPr>
      <w:r>
        <w:rPr>
          <w:rFonts w:ascii="Arial" w:hAnsi="Arial" w:cs="Arial"/>
          <w:iCs/>
          <w:lang w:eastAsia="en-GB" w:bidi="en-GB"/>
        </w:rPr>
        <w:t xml:space="preserve">1968. </w:t>
      </w:r>
      <w:r w:rsidRPr="00BB400E">
        <w:rPr>
          <w:rFonts w:ascii="Arial" w:hAnsi="Arial" w:cs="Arial"/>
          <w:i/>
          <w:iCs/>
          <w:lang w:eastAsia="en-GB" w:bidi="en-GB"/>
        </w:rPr>
        <w:t>The Organization of Industry</w:t>
      </w:r>
      <w:r>
        <w:rPr>
          <w:rFonts w:ascii="Arial" w:hAnsi="Arial" w:cs="Arial"/>
          <w:iCs/>
          <w:lang w:eastAsia="en-GB" w:bidi="en-GB"/>
        </w:rPr>
        <w:t>. 1</w:t>
      </w:r>
      <w:r w:rsidRPr="00BB400E">
        <w:rPr>
          <w:rFonts w:ascii="Arial" w:hAnsi="Arial" w:cs="Arial"/>
          <w:iCs/>
          <w:vertAlign w:val="superscript"/>
          <w:lang w:eastAsia="en-GB" w:bidi="en-GB"/>
        </w:rPr>
        <w:t>st</w:t>
      </w:r>
      <w:r>
        <w:rPr>
          <w:rFonts w:ascii="Arial" w:hAnsi="Arial" w:cs="Arial"/>
          <w:iCs/>
          <w:lang w:eastAsia="en-GB" w:bidi="en-GB"/>
        </w:rPr>
        <w:t xml:space="preserve"> ed. Holmwood: Irwin.</w:t>
      </w:r>
    </w:p>
    <w:p w:rsidR="00BB400E" w:rsidRDefault="00BB400E" w:rsidP="00DE6EE2">
      <w:pPr>
        <w:ind w:left="720"/>
        <w:contextualSpacing/>
        <w:jc w:val="both"/>
        <w:rPr>
          <w:rFonts w:ascii="Arial" w:hAnsi="Arial" w:cs="Arial"/>
          <w:iCs/>
          <w:lang w:eastAsia="en-GB" w:bidi="en-GB"/>
        </w:rPr>
      </w:pPr>
    </w:p>
    <w:p w:rsidR="00454BAA" w:rsidRPr="00DE6EE2" w:rsidRDefault="00454BAA" w:rsidP="00DE6EE2">
      <w:pPr>
        <w:ind w:left="720"/>
        <w:contextualSpacing/>
        <w:jc w:val="both"/>
        <w:rPr>
          <w:rFonts w:ascii="Arial" w:hAnsi="Arial" w:cs="Arial"/>
          <w:iCs/>
          <w:lang w:eastAsia="en-GB" w:bidi="en-GB"/>
        </w:rPr>
      </w:pPr>
      <w:r w:rsidRPr="00DE6EE2">
        <w:rPr>
          <w:rFonts w:ascii="Arial" w:hAnsi="Arial" w:cs="Arial"/>
          <w:iCs/>
          <w:lang w:eastAsia="en-GB" w:bidi="en-GB"/>
        </w:rPr>
        <w:t xml:space="preserve">Van Heerden </w:t>
      </w:r>
      <w:r w:rsidR="00995CDC" w:rsidRPr="00DE6EE2">
        <w:rPr>
          <w:rFonts w:ascii="Arial" w:hAnsi="Arial" w:cs="Arial"/>
          <w:iCs/>
          <w:lang w:eastAsia="en-GB" w:bidi="en-GB"/>
        </w:rPr>
        <w:t>HJO and Neethling J</w:t>
      </w:r>
    </w:p>
    <w:p w:rsidR="00995CDC" w:rsidRPr="00DE6EE2" w:rsidRDefault="00995CDC" w:rsidP="00DE6EE2">
      <w:pPr>
        <w:ind w:left="720"/>
        <w:contextualSpacing/>
        <w:jc w:val="both"/>
        <w:rPr>
          <w:rFonts w:ascii="Arial" w:hAnsi="Arial" w:cs="Arial"/>
          <w:iCs/>
          <w:lang w:eastAsia="en-GB" w:bidi="en-GB"/>
        </w:rPr>
      </w:pPr>
      <w:r w:rsidRPr="00DE6EE2">
        <w:rPr>
          <w:rFonts w:ascii="Arial" w:hAnsi="Arial" w:cs="Arial"/>
          <w:iCs/>
          <w:lang w:eastAsia="en-GB" w:bidi="en-GB"/>
        </w:rPr>
        <w:t xml:space="preserve">1995. </w:t>
      </w:r>
      <w:r w:rsidRPr="00DE6EE2">
        <w:rPr>
          <w:rFonts w:ascii="Arial" w:hAnsi="Arial" w:cs="Arial"/>
          <w:i/>
          <w:iCs/>
          <w:lang w:eastAsia="en-GB" w:bidi="en-GB"/>
        </w:rPr>
        <w:t>Unlawful Competition</w:t>
      </w:r>
      <w:r w:rsidRPr="00DE6EE2">
        <w:rPr>
          <w:rFonts w:ascii="Arial" w:hAnsi="Arial" w:cs="Arial"/>
          <w:iCs/>
          <w:lang w:eastAsia="en-GB" w:bidi="en-GB"/>
        </w:rPr>
        <w:t>. 1</w:t>
      </w:r>
      <w:r w:rsidRPr="00DE6EE2">
        <w:rPr>
          <w:rFonts w:ascii="Arial" w:hAnsi="Arial" w:cs="Arial"/>
          <w:iCs/>
          <w:vertAlign w:val="superscript"/>
          <w:lang w:eastAsia="en-GB" w:bidi="en-GB"/>
        </w:rPr>
        <w:t>st</w:t>
      </w:r>
      <w:r w:rsidRPr="00DE6EE2">
        <w:rPr>
          <w:rFonts w:ascii="Arial" w:hAnsi="Arial" w:cs="Arial"/>
          <w:iCs/>
          <w:lang w:eastAsia="en-GB" w:bidi="en-GB"/>
        </w:rPr>
        <w:t xml:space="preserve"> ed. Durban: Butterworths.</w:t>
      </w:r>
    </w:p>
    <w:p w:rsidR="00454BAA" w:rsidRPr="00DE6EE2" w:rsidRDefault="00454BAA" w:rsidP="00DE6EE2">
      <w:pPr>
        <w:ind w:left="720"/>
        <w:contextualSpacing/>
        <w:jc w:val="both"/>
        <w:rPr>
          <w:rFonts w:ascii="Arial" w:hAnsi="Arial" w:cs="Arial"/>
          <w:iCs/>
          <w:lang w:eastAsia="en-GB" w:bidi="en-GB"/>
        </w:rPr>
      </w:pPr>
    </w:p>
    <w:p w:rsidR="00637193" w:rsidRPr="00DE6EE2" w:rsidRDefault="00637193" w:rsidP="00DE6EE2">
      <w:pPr>
        <w:ind w:left="720"/>
        <w:contextualSpacing/>
        <w:jc w:val="both"/>
        <w:rPr>
          <w:rFonts w:ascii="Arial" w:hAnsi="Arial" w:cs="Arial"/>
          <w:iCs/>
          <w:lang w:eastAsia="en-GB" w:bidi="en-GB"/>
        </w:rPr>
      </w:pPr>
      <w:r w:rsidRPr="00DE6EE2">
        <w:rPr>
          <w:rFonts w:ascii="Arial" w:hAnsi="Arial" w:cs="Arial"/>
          <w:iCs/>
          <w:lang w:eastAsia="en-GB" w:bidi="en-GB"/>
        </w:rPr>
        <w:t>Wetzstein ME</w:t>
      </w:r>
    </w:p>
    <w:p w:rsidR="00637193" w:rsidRPr="00DE6EE2" w:rsidRDefault="00637193" w:rsidP="00DE6EE2">
      <w:pPr>
        <w:ind w:left="720"/>
        <w:contextualSpacing/>
        <w:rPr>
          <w:rFonts w:ascii="Arial" w:hAnsi="Arial" w:cs="Arial"/>
          <w:iCs/>
          <w:lang w:eastAsia="en-GB" w:bidi="en-GB"/>
        </w:rPr>
      </w:pPr>
      <w:r w:rsidRPr="00DE6EE2">
        <w:rPr>
          <w:rFonts w:ascii="Arial" w:hAnsi="Arial" w:cs="Arial"/>
          <w:iCs/>
          <w:lang w:eastAsia="en-GB" w:bidi="en-GB"/>
        </w:rPr>
        <w:t xml:space="preserve">2005. </w:t>
      </w:r>
      <w:r w:rsidRPr="00DE6EE2">
        <w:rPr>
          <w:rFonts w:ascii="Arial" w:hAnsi="Arial" w:cs="Arial"/>
          <w:i/>
          <w:iCs/>
          <w:lang w:eastAsia="en-GB" w:bidi="en-GB"/>
        </w:rPr>
        <w:t>Microeconomic Theory: Concepts and Connections</w:t>
      </w:r>
      <w:r w:rsidRPr="00DE6EE2">
        <w:rPr>
          <w:rFonts w:ascii="Arial" w:hAnsi="Arial" w:cs="Arial"/>
          <w:iCs/>
          <w:lang w:eastAsia="en-GB" w:bidi="en-GB"/>
        </w:rPr>
        <w:t>. 1</w:t>
      </w:r>
      <w:r w:rsidRPr="00DE6EE2">
        <w:rPr>
          <w:rFonts w:ascii="Arial" w:hAnsi="Arial" w:cs="Arial"/>
          <w:iCs/>
          <w:vertAlign w:val="superscript"/>
          <w:lang w:eastAsia="en-GB" w:bidi="en-GB"/>
        </w:rPr>
        <w:t>st</w:t>
      </w:r>
      <w:r w:rsidRPr="00DE6EE2">
        <w:rPr>
          <w:rFonts w:ascii="Arial" w:hAnsi="Arial" w:cs="Arial"/>
          <w:iCs/>
          <w:lang w:eastAsia="en-GB" w:bidi="en-GB"/>
        </w:rPr>
        <w:t xml:space="preserve"> ed. Ohio: South Western.</w:t>
      </w:r>
    </w:p>
    <w:p w:rsidR="00C775C2" w:rsidRPr="00DE6EE2" w:rsidRDefault="00C775C2" w:rsidP="00DE6EE2">
      <w:pPr>
        <w:ind w:left="720"/>
        <w:contextualSpacing/>
        <w:rPr>
          <w:rFonts w:ascii="Arial" w:hAnsi="Arial" w:cs="Arial"/>
          <w:iCs/>
          <w:lang w:eastAsia="en-GB" w:bidi="en-GB"/>
        </w:rPr>
      </w:pPr>
    </w:p>
    <w:p w:rsidR="00C775C2" w:rsidRPr="00DE6EE2" w:rsidRDefault="00C775C2" w:rsidP="00DE6EE2">
      <w:pPr>
        <w:ind w:left="720"/>
        <w:contextualSpacing/>
        <w:rPr>
          <w:rFonts w:ascii="Arial" w:hAnsi="Arial" w:cs="Arial"/>
          <w:iCs/>
          <w:lang w:eastAsia="en-GB" w:bidi="en-GB"/>
        </w:rPr>
      </w:pPr>
      <w:r w:rsidRPr="00DE6EE2">
        <w:rPr>
          <w:rFonts w:ascii="Arial" w:hAnsi="Arial" w:cs="Arial"/>
          <w:iCs/>
          <w:lang w:eastAsia="en-GB" w:bidi="en-GB"/>
        </w:rPr>
        <w:t>Whish R</w:t>
      </w:r>
    </w:p>
    <w:p w:rsidR="00C775C2" w:rsidRPr="00DE6EE2" w:rsidRDefault="00C775C2" w:rsidP="00DE6EE2">
      <w:pPr>
        <w:ind w:left="720"/>
        <w:contextualSpacing/>
        <w:rPr>
          <w:rFonts w:ascii="Arial" w:hAnsi="Arial" w:cs="Arial"/>
          <w:iCs/>
          <w:lang w:eastAsia="en-GB" w:bidi="en-GB"/>
        </w:rPr>
      </w:pPr>
      <w:r w:rsidRPr="00DE6EE2">
        <w:rPr>
          <w:rFonts w:ascii="Arial" w:hAnsi="Arial" w:cs="Arial"/>
          <w:iCs/>
          <w:lang w:eastAsia="en-GB" w:bidi="en-GB"/>
        </w:rPr>
        <w:t xml:space="preserve">1993. </w:t>
      </w:r>
      <w:r w:rsidRPr="00DE6EE2">
        <w:rPr>
          <w:rFonts w:ascii="Arial" w:hAnsi="Arial" w:cs="Arial"/>
          <w:i/>
          <w:iCs/>
          <w:lang w:eastAsia="en-GB" w:bidi="en-GB"/>
        </w:rPr>
        <w:t>Competition Law</w:t>
      </w:r>
      <w:r w:rsidRPr="00DE6EE2">
        <w:rPr>
          <w:rFonts w:ascii="Arial" w:hAnsi="Arial" w:cs="Arial"/>
          <w:iCs/>
          <w:lang w:eastAsia="en-GB" w:bidi="en-GB"/>
        </w:rPr>
        <w:t>. 3</w:t>
      </w:r>
      <w:r w:rsidRPr="00DE6EE2">
        <w:rPr>
          <w:rFonts w:ascii="Arial" w:hAnsi="Arial" w:cs="Arial"/>
          <w:iCs/>
          <w:vertAlign w:val="superscript"/>
          <w:lang w:eastAsia="en-GB" w:bidi="en-GB"/>
        </w:rPr>
        <w:t>rd</w:t>
      </w:r>
      <w:r w:rsidRPr="00DE6EE2">
        <w:rPr>
          <w:rFonts w:ascii="Arial" w:hAnsi="Arial" w:cs="Arial"/>
          <w:iCs/>
          <w:lang w:eastAsia="en-GB" w:bidi="en-GB"/>
        </w:rPr>
        <w:t xml:space="preserve"> ed. London: Butterworths.</w:t>
      </w:r>
    </w:p>
    <w:p w:rsidR="001F7FEC" w:rsidRPr="00DE6EE2" w:rsidRDefault="001F7FEC" w:rsidP="00DE6EE2">
      <w:pPr>
        <w:ind w:left="720"/>
        <w:contextualSpacing/>
        <w:jc w:val="both"/>
        <w:rPr>
          <w:rFonts w:ascii="Arial" w:hAnsi="Arial" w:cs="Arial"/>
          <w:iCs/>
          <w:lang w:eastAsia="en-GB" w:bidi="en-GB"/>
        </w:rPr>
      </w:pPr>
    </w:p>
    <w:p w:rsidR="001F7FEC" w:rsidRPr="00DE6EE2" w:rsidRDefault="001F7FEC" w:rsidP="00DE6EE2">
      <w:pPr>
        <w:contextualSpacing/>
        <w:jc w:val="both"/>
        <w:rPr>
          <w:rFonts w:ascii="Arial" w:hAnsi="Arial" w:cs="Arial"/>
          <w:b/>
        </w:rPr>
      </w:pPr>
      <w:r w:rsidRPr="00DE6EE2">
        <w:rPr>
          <w:rFonts w:ascii="Arial" w:hAnsi="Arial" w:cs="Arial"/>
          <w:b/>
        </w:rPr>
        <w:t>Journal articles</w:t>
      </w:r>
    </w:p>
    <w:p w:rsidR="005D1F6B" w:rsidRDefault="00B34C09" w:rsidP="00DE6EE2">
      <w:pPr>
        <w:contextualSpacing/>
        <w:jc w:val="both"/>
        <w:rPr>
          <w:rFonts w:ascii="Arial" w:hAnsi="Arial" w:cs="Arial"/>
        </w:rPr>
      </w:pPr>
      <w:r w:rsidRPr="00DE6EE2">
        <w:rPr>
          <w:rFonts w:ascii="Arial" w:hAnsi="Arial" w:cs="Arial"/>
        </w:rPr>
        <w:tab/>
      </w:r>
    </w:p>
    <w:p w:rsidR="005D1F6B" w:rsidRDefault="005D1F6B" w:rsidP="00DE6EE2">
      <w:pPr>
        <w:contextualSpacing/>
        <w:jc w:val="both"/>
        <w:rPr>
          <w:rFonts w:ascii="Arial" w:hAnsi="Arial" w:cs="Arial"/>
        </w:rPr>
      </w:pPr>
      <w:r>
        <w:rPr>
          <w:rFonts w:ascii="Arial" w:hAnsi="Arial" w:cs="Arial"/>
        </w:rPr>
        <w:tab/>
      </w:r>
      <w:r w:rsidRPr="005D1F6B">
        <w:rPr>
          <w:rFonts w:ascii="Arial" w:hAnsi="Arial" w:cs="Arial"/>
        </w:rPr>
        <w:t>Audretsch</w:t>
      </w:r>
      <w:r>
        <w:rPr>
          <w:rFonts w:ascii="Arial" w:hAnsi="Arial" w:cs="Arial"/>
        </w:rPr>
        <w:t xml:space="preserve"> DB and </w:t>
      </w:r>
      <w:r w:rsidRPr="005D1F6B">
        <w:rPr>
          <w:rFonts w:ascii="Arial" w:hAnsi="Arial" w:cs="Arial"/>
        </w:rPr>
        <w:t>Baumol</w:t>
      </w:r>
      <w:r>
        <w:rPr>
          <w:rFonts w:ascii="Arial" w:hAnsi="Arial" w:cs="Arial"/>
        </w:rPr>
        <w:t xml:space="preserve"> WJ and </w:t>
      </w:r>
      <w:r w:rsidRPr="005D1F6B">
        <w:rPr>
          <w:rFonts w:ascii="Arial" w:hAnsi="Arial" w:cs="Arial"/>
        </w:rPr>
        <w:t>Burke</w:t>
      </w:r>
      <w:r>
        <w:rPr>
          <w:rFonts w:ascii="Arial" w:hAnsi="Arial" w:cs="Arial"/>
        </w:rPr>
        <w:t xml:space="preserve"> AE</w:t>
      </w:r>
    </w:p>
    <w:p w:rsidR="005D1F6B" w:rsidRPr="005D1F6B" w:rsidRDefault="005D1F6B" w:rsidP="00DE6EE2">
      <w:pPr>
        <w:contextualSpacing/>
        <w:jc w:val="both"/>
        <w:rPr>
          <w:rFonts w:ascii="Arial" w:hAnsi="Arial" w:cs="Arial"/>
        </w:rPr>
      </w:pPr>
      <w:r>
        <w:rPr>
          <w:rFonts w:ascii="Arial" w:hAnsi="Arial" w:cs="Arial"/>
        </w:rPr>
        <w:tab/>
        <w:t xml:space="preserve">2001. </w:t>
      </w:r>
      <w:r w:rsidRPr="005D1F6B">
        <w:rPr>
          <w:rFonts w:ascii="Arial" w:hAnsi="Arial" w:cs="Arial"/>
          <w:i/>
        </w:rPr>
        <w:t>International Journal of Industrial Organization</w:t>
      </w:r>
      <w:r>
        <w:rPr>
          <w:rFonts w:ascii="Arial" w:hAnsi="Arial" w:cs="Arial"/>
          <w:i/>
        </w:rPr>
        <w:t xml:space="preserve"> </w:t>
      </w:r>
      <w:r>
        <w:rPr>
          <w:rFonts w:ascii="Arial" w:hAnsi="Arial" w:cs="Arial"/>
        </w:rPr>
        <w:t>19(2001): 613-634.</w:t>
      </w:r>
    </w:p>
    <w:p w:rsidR="005D1F6B" w:rsidRDefault="005D1F6B" w:rsidP="00DE6EE2">
      <w:pPr>
        <w:contextualSpacing/>
        <w:jc w:val="both"/>
        <w:rPr>
          <w:rFonts w:ascii="Arial" w:hAnsi="Arial" w:cs="Arial"/>
        </w:rPr>
      </w:pPr>
    </w:p>
    <w:p w:rsidR="00712643" w:rsidRPr="00DE6EE2" w:rsidRDefault="005D1F6B" w:rsidP="00DE6EE2">
      <w:pPr>
        <w:contextualSpacing/>
        <w:jc w:val="both"/>
        <w:rPr>
          <w:rFonts w:ascii="Arial" w:hAnsi="Arial" w:cs="Arial"/>
        </w:rPr>
      </w:pPr>
      <w:r>
        <w:rPr>
          <w:rFonts w:ascii="Arial" w:hAnsi="Arial" w:cs="Arial"/>
        </w:rPr>
        <w:tab/>
      </w:r>
      <w:r w:rsidR="0008294C" w:rsidRPr="00DE6EE2">
        <w:rPr>
          <w:rFonts w:ascii="Arial" w:hAnsi="Arial" w:cs="Arial"/>
        </w:rPr>
        <w:t>Cowen DV</w:t>
      </w:r>
    </w:p>
    <w:p w:rsidR="0008294C" w:rsidRPr="00DE6EE2" w:rsidRDefault="00712643" w:rsidP="00DE6EE2">
      <w:pPr>
        <w:contextualSpacing/>
        <w:jc w:val="both"/>
        <w:rPr>
          <w:rFonts w:ascii="Arial" w:hAnsi="Arial" w:cs="Arial"/>
        </w:rPr>
      </w:pPr>
      <w:r w:rsidRPr="00DE6EE2">
        <w:rPr>
          <w:rFonts w:ascii="Arial" w:hAnsi="Arial" w:cs="Arial"/>
          <w:b/>
        </w:rPr>
        <w:tab/>
      </w:r>
      <w:r w:rsidR="0008294C" w:rsidRPr="00DE6EE2">
        <w:rPr>
          <w:rFonts w:ascii="Arial" w:hAnsi="Arial" w:cs="Arial"/>
        </w:rPr>
        <w:t xml:space="preserve">1950. </w:t>
      </w:r>
      <w:r w:rsidR="00EF6512" w:rsidRPr="00DE6EE2">
        <w:rPr>
          <w:rFonts w:ascii="Arial" w:hAnsi="Arial" w:cs="Arial"/>
        </w:rPr>
        <w:t xml:space="preserve">A Survey of </w:t>
      </w:r>
      <w:r w:rsidR="00434B6D" w:rsidRPr="00DE6EE2">
        <w:rPr>
          <w:rFonts w:ascii="Arial" w:hAnsi="Arial" w:cs="Arial"/>
        </w:rPr>
        <w:t>the</w:t>
      </w:r>
      <w:r w:rsidR="00EF6512" w:rsidRPr="00DE6EE2">
        <w:rPr>
          <w:rFonts w:ascii="Arial" w:hAnsi="Arial" w:cs="Arial"/>
        </w:rPr>
        <w:t xml:space="preserve"> Law Relat</w:t>
      </w:r>
      <w:r w:rsidR="00434B6D" w:rsidRPr="00DE6EE2">
        <w:rPr>
          <w:rFonts w:ascii="Arial" w:hAnsi="Arial" w:cs="Arial"/>
        </w:rPr>
        <w:t>ing t</w:t>
      </w:r>
      <w:r w:rsidR="00EF6512" w:rsidRPr="00DE6EE2">
        <w:rPr>
          <w:rFonts w:ascii="Arial" w:hAnsi="Arial" w:cs="Arial"/>
        </w:rPr>
        <w:t xml:space="preserve">o </w:t>
      </w:r>
      <w:r w:rsidR="00434B6D" w:rsidRPr="00DE6EE2">
        <w:rPr>
          <w:rFonts w:ascii="Arial" w:hAnsi="Arial" w:cs="Arial"/>
        </w:rPr>
        <w:t>the</w:t>
      </w:r>
      <w:r w:rsidR="00EF6512" w:rsidRPr="00DE6EE2">
        <w:rPr>
          <w:rFonts w:ascii="Arial" w:hAnsi="Arial" w:cs="Arial"/>
        </w:rPr>
        <w:t xml:space="preserve"> Control </w:t>
      </w:r>
      <w:r w:rsidR="00434B6D" w:rsidRPr="00DE6EE2">
        <w:rPr>
          <w:rFonts w:ascii="Arial" w:hAnsi="Arial" w:cs="Arial"/>
        </w:rPr>
        <w:t xml:space="preserve">of </w:t>
      </w:r>
      <w:r w:rsidR="00EF6512" w:rsidRPr="00DE6EE2">
        <w:rPr>
          <w:rFonts w:ascii="Arial" w:hAnsi="Arial" w:cs="Arial"/>
        </w:rPr>
        <w:t xml:space="preserve">Monopoly </w:t>
      </w:r>
      <w:r w:rsidR="00434B6D" w:rsidRPr="00DE6EE2">
        <w:rPr>
          <w:rFonts w:ascii="Arial" w:hAnsi="Arial" w:cs="Arial"/>
        </w:rPr>
        <w:t>in</w:t>
      </w:r>
      <w:r w:rsidR="00EF6512" w:rsidRPr="00DE6EE2">
        <w:rPr>
          <w:rFonts w:ascii="Arial" w:hAnsi="Arial" w:cs="Arial"/>
        </w:rPr>
        <w:t xml:space="preserve"> South </w:t>
      </w:r>
      <w:r w:rsidR="00EF6512" w:rsidRPr="00DE6EE2">
        <w:rPr>
          <w:rFonts w:ascii="Arial" w:hAnsi="Arial" w:cs="Arial"/>
        </w:rPr>
        <w:tab/>
        <w:t>Africa</w:t>
      </w:r>
      <w:r w:rsidR="0008294C" w:rsidRPr="00DE6EE2">
        <w:rPr>
          <w:rFonts w:ascii="Arial" w:hAnsi="Arial" w:cs="Arial"/>
        </w:rPr>
        <w:t xml:space="preserve">. </w:t>
      </w:r>
      <w:r w:rsidR="0008294C" w:rsidRPr="00DE6EE2">
        <w:rPr>
          <w:rFonts w:ascii="Arial" w:hAnsi="Arial" w:cs="Arial"/>
          <w:i/>
        </w:rPr>
        <w:t>South African Journal of Economics</w:t>
      </w:r>
      <w:r w:rsidR="0008294C" w:rsidRPr="00DE6EE2">
        <w:rPr>
          <w:rFonts w:ascii="Arial" w:hAnsi="Arial" w:cs="Arial"/>
        </w:rPr>
        <w:t xml:space="preserve"> 18(2):124-147.</w:t>
      </w:r>
    </w:p>
    <w:p w:rsidR="0008294C" w:rsidRPr="00DE6EE2" w:rsidRDefault="0008294C" w:rsidP="00DE6EE2">
      <w:pPr>
        <w:contextualSpacing/>
        <w:jc w:val="both"/>
        <w:rPr>
          <w:rFonts w:ascii="Arial" w:hAnsi="Arial" w:cs="Arial"/>
        </w:rPr>
      </w:pPr>
    </w:p>
    <w:p w:rsidR="008429ED" w:rsidRDefault="00B34C09" w:rsidP="00C94C74">
      <w:pPr>
        <w:contextualSpacing/>
        <w:jc w:val="both"/>
        <w:rPr>
          <w:rFonts w:ascii="Arial" w:hAnsi="Arial" w:cs="Arial"/>
        </w:rPr>
      </w:pPr>
      <w:r w:rsidRPr="00DE6EE2">
        <w:rPr>
          <w:rFonts w:ascii="Arial" w:hAnsi="Arial" w:cs="Arial"/>
        </w:rPr>
        <w:tab/>
      </w:r>
      <w:r w:rsidR="008429ED">
        <w:rPr>
          <w:rFonts w:ascii="Arial" w:hAnsi="Arial" w:cs="Arial"/>
        </w:rPr>
        <w:t xml:space="preserve">Fourie </w:t>
      </w:r>
      <w:r w:rsidR="008429ED" w:rsidRPr="00C94C74">
        <w:rPr>
          <w:rFonts w:ascii="Arial" w:hAnsi="Arial" w:cs="Arial"/>
        </w:rPr>
        <w:t>FC</w:t>
      </w:r>
      <w:r w:rsidR="008429ED">
        <w:rPr>
          <w:rFonts w:ascii="Arial" w:hAnsi="Arial" w:cs="Arial"/>
        </w:rPr>
        <w:t>v</w:t>
      </w:r>
      <w:r w:rsidR="008429ED" w:rsidRPr="00C94C74">
        <w:rPr>
          <w:rFonts w:ascii="Arial" w:hAnsi="Arial" w:cs="Arial"/>
        </w:rPr>
        <w:t>N</w:t>
      </w:r>
    </w:p>
    <w:p w:rsidR="008429ED" w:rsidRPr="008429ED" w:rsidRDefault="008429ED" w:rsidP="00C94C74">
      <w:pPr>
        <w:contextualSpacing/>
        <w:jc w:val="both"/>
        <w:rPr>
          <w:rFonts w:ascii="Arial" w:hAnsi="Arial" w:cs="Arial"/>
        </w:rPr>
      </w:pPr>
      <w:r>
        <w:rPr>
          <w:rFonts w:ascii="Arial" w:hAnsi="Arial" w:cs="Arial"/>
        </w:rPr>
        <w:tab/>
        <w:t xml:space="preserve">1996. Industrial Concentration Levels and Trends in South Africa: Completing </w:t>
      </w:r>
      <w:r>
        <w:rPr>
          <w:rFonts w:ascii="Arial" w:hAnsi="Arial" w:cs="Arial"/>
        </w:rPr>
        <w:tab/>
        <w:t xml:space="preserve">the Picture. </w:t>
      </w:r>
      <w:r w:rsidRPr="00C94C74">
        <w:rPr>
          <w:rFonts w:ascii="Arial" w:hAnsi="Arial" w:cs="Arial"/>
          <w:i/>
        </w:rPr>
        <w:t>The South African Journal of Economics</w:t>
      </w:r>
      <w:r>
        <w:rPr>
          <w:rFonts w:ascii="Arial" w:hAnsi="Arial" w:cs="Arial"/>
          <w:i/>
        </w:rPr>
        <w:t xml:space="preserve"> </w:t>
      </w:r>
      <w:r>
        <w:rPr>
          <w:rFonts w:ascii="Arial" w:hAnsi="Arial" w:cs="Arial"/>
        </w:rPr>
        <w:t>64(1):97-121.</w:t>
      </w:r>
    </w:p>
    <w:p w:rsidR="008429ED" w:rsidRDefault="008429ED" w:rsidP="00C94C74">
      <w:pPr>
        <w:contextualSpacing/>
        <w:jc w:val="both"/>
        <w:rPr>
          <w:rFonts w:ascii="Arial" w:hAnsi="Arial" w:cs="Arial"/>
        </w:rPr>
      </w:pPr>
    </w:p>
    <w:p w:rsidR="00C94C74" w:rsidRDefault="008429ED" w:rsidP="00C94C74">
      <w:pPr>
        <w:contextualSpacing/>
        <w:jc w:val="both"/>
        <w:rPr>
          <w:rFonts w:ascii="Arial" w:hAnsi="Arial" w:cs="Arial"/>
        </w:rPr>
      </w:pPr>
      <w:r>
        <w:rPr>
          <w:rFonts w:ascii="Arial" w:hAnsi="Arial" w:cs="Arial"/>
        </w:rPr>
        <w:tab/>
      </w:r>
      <w:r w:rsidR="00C94C74" w:rsidRPr="00C94C74">
        <w:rPr>
          <w:rFonts w:ascii="Arial" w:hAnsi="Arial" w:cs="Arial"/>
        </w:rPr>
        <w:t>F</w:t>
      </w:r>
      <w:r w:rsidR="004C13C3" w:rsidRPr="00C94C74">
        <w:rPr>
          <w:rFonts w:ascii="Arial" w:hAnsi="Arial" w:cs="Arial"/>
        </w:rPr>
        <w:t>ourie</w:t>
      </w:r>
      <w:r w:rsidR="00C94C74" w:rsidRPr="00C94C74">
        <w:rPr>
          <w:rFonts w:ascii="Arial" w:hAnsi="Arial" w:cs="Arial"/>
        </w:rPr>
        <w:t xml:space="preserve"> FC</w:t>
      </w:r>
      <w:r w:rsidR="003C0556">
        <w:rPr>
          <w:rFonts w:ascii="Arial" w:hAnsi="Arial" w:cs="Arial"/>
        </w:rPr>
        <w:t>v</w:t>
      </w:r>
      <w:r w:rsidR="00C94C74" w:rsidRPr="00C94C74">
        <w:rPr>
          <w:rFonts w:ascii="Arial" w:hAnsi="Arial" w:cs="Arial"/>
        </w:rPr>
        <w:t>N and S</w:t>
      </w:r>
      <w:r w:rsidR="004C13C3" w:rsidRPr="00C94C74">
        <w:rPr>
          <w:rFonts w:ascii="Arial" w:hAnsi="Arial" w:cs="Arial"/>
        </w:rPr>
        <w:t>mit</w:t>
      </w:r>
      <w:r w:rsidR="00C94C74" w:rsidRPr="00C94C74">
        <w:rPr>
          <w:rFonts w:ascii="Arial" w:hAnsi="Arial" w:cs="Arial"/>
        </w:rPr>
        <w:t xml:space="preserve"> MR</w:t>
      </w:r>
    </w:p>
    <w:p w:rsidR="00C94C74" w:rsidRDefault="00C94C74" w:rsidP="00C94C74">
      <w:pPr>
        <w:contextualSpacing/>
        <w:jc w:val="both"/>
        <w:rPr>
          <w:rFonts w:ascii="Arial" w:hAnsi="Arial" w:cs="Arial"/>
        </w:rPr>
      </w:pPr>
      <w:r>
        <w:rPr>
          <w:rFonts w:ascii="Arial" w:hAnsi="Arial" w:cs="Arial"/>
        </w:rPr>
        <w:tab/>
      </w:r>
      <w:r w:rsidRPr="00C94C74">
        <w:rPr>
          <w:rFonts w:ascii="Arial" w:hAnsi="Arial" w:cs="Arial"/>
        </w:rPr>
        <w:t xml:space="preserve">1989. Trends in </w:t>
      </w:r>
      <w:r>
        <w:rPr>
          <w:rFonts w:ascii="Arial" w:hAnsi="Arial" w:cs="Arial"/>
        </w:rPr>
        <w:t>Economic Concentration in South</w:t>
      </w:r>
      <w:r w:rsidRPr="00C94C74">
        <w:rPr>
          <w:rFonts w:ascii="Arial" w:hAnsi="Arial" w:cs="Arial"/>
        </w:rPr>
        <w:t xml:space="preserve"> Africa. </w:t>
      </w:r>
      <w:r w:rsidRPr="00C94C74">
        <w:rPr>
          <w:rFonts w:ascii="Arial" w:hAnsi="Arial" w:cs="Arial"/>
          <w:i/>
        </w:rPr>
        <w:t xml:space="preserve">The South African </w:t>
      </w:r>
      <w:r>
        <w:rPr>
          <w:rFonts w:ascii="Arial" w:hAnsi="Arial" w:cs="Arial"/>
          <w:i/>
        </w:rPr>
        <w:tab/>
      </w:r>
      <w:r w:rsidRPr="00C94C74">
        <w:rPr>
          <w:rFonts w:ascii="Arial" w:hAnsi="Arial" w:cs="Arial"/>
          <w:i/>
        </w:rPr>
        <w:t>Journal of Economics</w:t>
      </w:r>
      <w:r w:rsidRPr="00C94C74">
        <w:rPr>
          <w:rFonts w:ascii="Arial" w:hAnsi="Arial" w:cs="Arial"/>
        </w:rPr>
        <w:t xml:space="preserve"> 57(3): 241-256.</w:t>
      </w:r>
    </w:p>
    <w:p w:rsidR="00C94C74" w:rsidRDefault="00C94C74" w:rsidP="00DE6EE2">
      <w:pPr>
        <w:contextualSpacing/>
        <w:jc w:val="both"/>
        <w:rPr>
          <w:rFonts w:ascii="Arial" w:hAnsi="Arial" w:cs="Arial"/>
        </w:rPr>
      </w:pPr>
    </w:p>
    <w:p w:rsidR="006E54BC" w:rsidRDefault="00C94C74" w:rsidP="00DE6EE2">
      <w:pPr>
        <w:contextualSpacing/>
        <w:jc w:val="both"/>
        <w:rPr>
          <w:rFonts w:ascii="Arial" w:hAnsi="Arial" w:cs="Arial"/>
        </w:rPr>
      </w:pPr>
      <w:r>
        <w:rPr>
          <w:rFonts w:ascii="Arial" w:hAnsi="Arial" w:cs="Arial"/>
        </w:rPr>
        <w:tab/>
      </w:r>
      <w:r w:rsidR="006E54BC">
        <w:rPr>
          <w:rFonts w:ascii="Arial" w:hAnsi="Arial" w:cs="Arial"/>
        </w:rPr>
        <w:t xml:space="preserve">Fourie </w:t>
      </w:r>
      <w:r w:rsidR="006E54BC" w:rsidRPr="00E71C4A">
        <w:rPr>
          <w:rFonts w:ascii="Arial" w:hAnsi="Arial" w:cs="Arial"/>
        </w:rPr>
        <w:t>FC</w:t>
      </w:r>
      <w:r w:rsidR="006E54BC">
        <w:rPr>
          <w:rFonts w:ascii="Arial" w:hAnsi="Arial" w:cs="Arial"/>
        </w:rPr>
        <w:t>v</w:t>
      </w:r>
      <w:r w:rsidR="006E54BC" w:rsidRPr="00E71C4A">
        <w:rPr>
          <w:rFonts w:ascii="Arial" w:hAnsi="Arial" w:cs="Arial"/>
        </w:rPr>
        <w:t>N</w:t>
      </w:r>
      <w:r w:rsidR="006E54BC">
        <w:rPr>
          <w:rFonts w:ascii="Arial" w:hAnsi="Arial" w:cs="Arial"/>
        </w:rPr>
        <w:t xml:space="preserve"> and Smith A</w:t>
      </w:r>
    </w:p>
    <w:p w:rsidR="006E54BC" w:rsidRPr="006E54BC" w:rsidRDefault="006E54BC" w:rsidP="00DE6EE2">
      <w:pPr>
        <w:contextualSpacing/>
        <w:jc w:val="both"/>
        <w:rPr>
          <w:rFonts w:ascii="Arial" w:hAnsi="Arial" w:cs="Arial"/>
        </w:rPr>
      </w:pPr>
      <w:r>
        <w:rPr>
          <w:rFonts w:ascii="Arial" w:hAnsi="Arial" w:cs="Arial"/>
        </w:rPr>
        <w:tab/>
        <w:t xml:space="preserve">1998. </w:t>
      </w:r>
      <w:r w:rsidRPr="006E54BC">
        <w:rPr>
          <w:rFonts w:ascii="Arial" w:hAnsi="Arial" w:cs="Arial"/>
        </w:rPr>
        <w:t xml:space="preserve">The Concentration - Profits Stalemate I: Causality and Interpretation </w:t>
      </w:r>
      <w:r>
        <w:rPr>
          <w:rFonts w:ascii="Arial" w:hAnsi="Arial" w:cs="Arial"/>
        </w:rPr>
        <w:tab/>
      </w:r>
      <w:r w:rsidRPr="006E54BC">
        <w:rPr>
          <w:rFonts w:ascii="Arial" w:hAnsi="Arial" w:cs="Arial"/>
        </w:rPr>
        <w:t>Problems</w:t>
      </w:r>
      <w:r>
        <w:rPr>
          <w:rFonts w:ascii="Arial" w:hAnsi="Arial" w:cs="Arial"/>
        </w:rPr>
        <w:t xml:space="preserve">. </w:t>
      </w:r>
      <w:r w:rsidRPr="00E71C4A">
        <w:rPr>
          <w:rFonts w:ascii="Arial" w:hAnsi="Arial" w:cs="Arial"/>
          <w:i/>
        </w:rPr>
        <w:t>South African Journal of Economics</w:t>
      </w:r>
      <w:r>
        <w:rPr>
          <w:rFonts w:ascii="Arial" w:hAnsi="Arial" w:cs="Arial"/>
        </w:rPr>
        <w:t xml:space="preserve"> 66(4):559-585.</w:t>
      </w:r>
    </w:p>
    <w:p w:rsidR="006E54BC" w:rsidRDefault="006E54BC" w:rsidP="00DE6EE2">
      <w:pPr>
        <w:contextualSpacing/>
        <w:jc w:val="both"/>
        <w:rPr>
          <w:rFonts w:ascii="Arial" w:hAnsi="Arial" w:cs="Arial"/>
        </w:rPr>
      </w:pPr>
    </w:p>
    <w:p w:rsidR="00E71C4A" w:rsidRDefault="006E54BC" w:rsidP="00DE6EE2">
      <w:pPr>
        <w:contextualSpacing/>
        <w:jc w:val="both"/>
        <w:rPr>
          <w:rFonts w:ascii="Arial" w:hAnsi="Arial" w:cs="Arial"/>
        </w:rPr>
      </w:pPr>
      <w:r>
        <w:rPr>
          <w:rFonts w:ascii="Arial" w:hAnsi="Arial" w:cs="Arial"/>
        </w:rPr>
        <w:tab/>
      </w:r>
      <w:r w:rsidR="00E71C4A">
        <w:rPr>
          <w:rFonts w:ascii="Arial" w:hAnsi="Arial" w:cs="Arial"/>
        </w:rPr>
        <w:t xml:space="preserve">Fourie </w:t>
      </w:r>
      <w:r w:rsidR="00E71C4A" w:rsidRPr="00E71C4A">
        <w:rPr>
          <w:rFonts w:ascii="Arial" w:hAnsi="Arial" w:cs="Arial"/>
        </w:rPr>
        <w:t>FC</w:t>
      </w:r>
      <w:r w:rsidR="003C0556">
        <w:rPr>
          <w:rFonts w:ascii="Arial" w:hAnsi="Arial" w:cs="Arial"/>
        </w:rPr>
        <w:t>v</w:t>
      </w:r>
      <w:r w:rsidR="00E71C4A" w:rsidRPr="00E71C4A">
        <w:rPr>
          <w:rFonts w:ascii="Arial" w:hAnsi="Arial" w:cs="Arial"/>
        </w:rPr>
        <w:t>N</w:t>
      </w:r>
      <w:r w:rsidR="00E71C4A">
        <w:rPr>
          <w:rFonts w:ascii="Arial" w:hAnsi="Arial" w:cs="Arial"/>
        </w:rPr>
        <w:t xml:space="preserve"> and Smith A</w:t>
      </w:r>
    </w:p>
    <w:p w:rsidR="00E71C4A" w:rsidRDefault="00E71C4A" w:rsidP="00DE6EE2">
      <w:pPr>
        <w:contextualSpacing/>
        <w:jc w:val="both"/>
        <w:rPr>
          <w:rFonts w:ascii="Arial" w:hAnsi="Arial" w:cs="Arial"/>
        </w:rPr>
      </w:pPr>
      <w:r>
        <w:rPr>
          <w:rFonts w:ascii="Arial" w:hAnsi="Arial" w:cs="Arial"/>
        </w:rPr>
        <w:tab/>
        <w:t xml:space="preserve">1999. </w:t>
      </w:r>
      <w:r w:rsidRPr="00E71C4A">
        <w:rPr>
          <w:rFonts w:ascii="Arial" w:hAnsi="Arial" w:cs="Arial"/>
        </w:rPr>
        <w:t xml:space="preserve">The Concentration-Profits Stale Mate II: Ideological Rifts and </w:t>
      </w:r>
      <w:r>
        <w:rPr>
          <w:rFonts w:ascii="Arial" w:hAnsi="Arial" w:cs="Arial"/>
        </w:rPr>
        <w:tab/>
      </w:r>
      <w:r w:rsidRPr="00E71C4A">
        <w:rPr>
          <w:rFonts w:ascii="Arial" w:hAnsi="Arial" w:cs="Arial"/>
        </w:rPr>
        <w:t>Methodological Stress</w:t>
      </w:r>
      <w:r>
        <w:rPr>
          <w:rFonts w:ascii="Arial" w:hAnsi="Arial" w:cs="Arial"/>
        </w:rPr>
        <w:t xml:space="preserve">. </w:t>
      </w:r>
      <w:r w:rsidRPr="00E71C4A">
        <w:rPr>
          <w:rFonts w:ascii="Arial" w:hAnsi="Arial" w:cs="Arial"/>
          <w:i/>
        </w:rPr>
        <w:t>South African Journal of Economics</w:t>
      </w:r>
      <w:r>
        <w:rPr>
          <w:rFonts w:ascii="Arial" w:hAnsi="Arial" w:cs="Arial"/>
        </w:rPr>
        <w:t xml:space="preserve"> 67(1):66-96.</w:t>
      </w:r>
    </w:p>
    <w:p w:rsidR="00E71C4A" w:rsidRDefault="00E71C4A" w:rsidP="00DE6EE2">
      <w:pPr>
        <w:contextualSpacing/>
        <w:jc w:val="both"/>
        <w:rPr>
          <w:rFonts w:ascii="Arial" w:hAnsi="Arial" w:cs="Arial"/>
        </w:rPr>
      </w:pPr>
    </w:p>
    <w:p w:rsidR="00EE733F" w:rsidRPr="00DE6EE2" w:rsidRDefault="00E71C4A" w:rsidP="00DE6EE2">
      <w:pPr>
        <w:contextualSpacing/>
        <w:jc w:val="both"/>
        <w:rPr>
          <w:rFonts w:ascii="Arial" w:hAnsi="Arial" w:cs="Arial"/>
        </w:rPr>
      </w:pPr>
      <w:r>
        <w:rPr>
          <w:rFonts w:ascii="Arial" w:hAnsi="Arial" w:cs="Arial"/>
        </w:rPr>
        <w:tab/>
      </w:r>
      <w:r w:rsidR="00EE733F" w:rsidRPr="00DE6EE2">
        <w:rPr>
          <w:rFonts w:ascii="Arial" w:hAnsi="Arial" w:cs="Arial"/>
        </w:rPr>
        <w:t>Hartzenberg T</w:t>
      </w:r>
    </w:p>
    <w:p w:rsidR="00EE733F" w:rsidRPr="00DE6EE2" w:rsidRDefault="00EE733F" w:rsidP="00DE6EE2">
      <w:pPr>
        <w:contextualSpacing/>
        <w:jc w:val="both"/>
        <w:rPr>
          <w:rFonts w:ascii="Arial" w:hAnsi="Arial" w:cs="Arial"/>
        </w:rPr>
      </w:pPr>
      <w:r w:rsidRPr="00DE6EE2">
        <w:rPr>
          <w:rFonts w:ascii="Arial" w:hAnsi="Arial" w:cs="Arial"/>
        </w:rPr>
        <w:tab/>
        <w:t xml:space="preserve">2006. Competition Policy and Practice in South Africa: Promoting Competition </w:t>
      </w:r>
      <w:r w:rsidR="00DE6EE2">
        <w:rPr>
          <w:rFonts w:ascii="Arial" w:hAnsi="Arial" w:cs="Arial"/>
        </w:rPr>
        <w:tab/>
      </w:r>
      <w:r w:rsidRPr="00DE6EE2">
        <w:rPr>
          <w:rFonts w:ascii="Arial" w:hAnsi="Arial" w:cs="Arial"/>
        </w:rPr>
        <w:t xml:space="preserve">for Development. </w:t>
      </w:r>
      <w:r w:rsidRPr="00DE6EE2">
        <w:rPr>
          <w:rFonts w:ascii="Arial" w:hAnsi="Arial" w:cs="Arial"/>
          <w:i/>
        </w:rPr>
        <w:t>Northwestern Journal of International Law &amp; Business</w:t>
      </w:r>
      <w:r w:rsidRPr="00DE6EE2">
        <w:rPr>
          <w:rFonts w:ascii="Arial" w:hAnsi="Arial" w:cs="Arial"/>
        </w:rPr>
        <w:t xml:space="preserve"> </w:t>
      </w:r>
      <w:r w:rsidR="00DE6EE2">
        <w:rPr>
          <w:rFonts w:ascii="Arial" w:hAnsi="Arial" w:cs="Arial"/>
        </w:rPr>
        <w:tab/>
      </w:r>
      <w:r w:rsidRPr="00DE6EE2">
        <w:rPr>
          <w:rFonts w:ascii="Arial" w:hAnsi="Arial" w:cs="Arial"/>
        </w:rPr>
        <w:t>26(3):667-685.</w:t>
      </w:r>
    </w:p>
    <w:p w:rsidR="00EE733F" w:rsidRPr="00DE6EE2" w:rsidRDefault="00EE733F" w:rsidP="00DE6EE2">
      <w:pPr>
        <w:contextualSpacing/>
        <w:jc w:val="both"/>
        <w:rPr>
          <w:rFonts w:ascii="Arial" w:hAnsi="Arial" w:cs="Arial"/>
        </w:rPr>
      </w:pPr>
    </w:p>
    <w:p w:rsidR="00F4219E" w:rsidRPr="00DE6EE2" w:rsidRDefault="00EE733F" w:rsidP="00DE6EE2">
      <w:pPr>
        <w:contextualSpacing/>
        <w:jc w:val="both"/>
        <w:rPr>
          <w:rFonts w:ascii="Arial" w:hAnsi="Arial" w:cs="Arial"/>
        </w:rPr>
      </w:pPr>
      <w:r w:rsidRPr="00DE6EE2">
        <w:rPr>
          <w:rFonts w:ascii="Arial" w:hAnsi="Arial" w:cs="Arial"/>
        </w:rPr>
        <w:tab/>
      </w:r>
      <w:r w:rsidR="00F4219E" w:rsidRPr="00DE6EE2">
        <w:rPr>
          <w:rFonts w:ascii="Arial" w:hAnsi="Arial" w:cs="Arial"/>
        </w:rPr>
        <w:t xml:space="preserve">Karim </w:t>
      </w:r>
      <w:r w:rsidR="00D06D39" w:rsidRPr="00DE6EE2">
        <w:rPr>
          <w:rFonts w:ascii="Arial" w:hAnsi="Arial" w:cs="Arial"/>
        </w:rPr>
        <w:t>WJ</w:t>
      </w:r>
    </w:p>
    <w:p w:rsidR="00F4219E" w:rsidRPr="00DE6EE2" w:rsidRDefault="00F4219E" w:rsidP="00DE6EE2">
      <w:pPr>
        <w:contextualSpacing/>
        <w:jc w:val="both"/>
        <w:rPr>
          <w:rFonts w:ascii="Arial" w:hAnsi="Arial" w:cs="Arial"/>
        </w:rPr>
      </w:pPr>
      <w:r w:rsidRPr="00DE6EE2">
        <w:rPr>
          <w:rFonts w:ascii="Arial" w:hAnsi="Arial" w:cs="Arial"/>
        </w:rPr>
        <w:tab/>
        <w:t xml:space="preserve">2010. The Economic Crisis, Capitalism and Islam: The Making of a New </w:t>
      </w:r>
      <w:r w:rsidR="00DE6EE2">
        <w:rPr>
          <w:rFonts w:ascii="Arial" w:hAnsi="Arial" w:cs="Arial"/>
        </w:rPr>
        <w:tab/>
      </w:r>
      <w:r w:rsidRPr="00DE6EE2">
        <w:rPr>
          <w:rFonts w:ascii="Arial" w:hAnsi="Arial" w:cs="Arial"/>
        </w:rPr>
        <w:t xml:space="preserve">Economic Order? </w:t>
      </w:r>
      <w:r w:rsidRPr="00DE6EE2">
        <w:rPr>
          <w:rFonts w:ascii="Arial" w:hAnsi="Arial" w:cs="Arial"/>
          <w:i/>
        </w:rPr>
        <w:t>Globalization</w:t>
      </w:r>
      <w:r w:rsidRPr="00DE6EE2">
        <w:rPr>
          <w:rFonts w:ascii="Arial" w:hAnsi="Arial" w:cs="Arial"/>
        </w:rPr>
        <w:t xml:space="preserve"> 7(1&amp;2):105-125.</w:t>
      </w:r>
    </w:p>
    <w:p w:rsidR="00DD3ED5" w:rsidRPr="00DE6EE2" w:rsidRDefault="00DD3ED5" w:rsidP="00DE6EE2">
      <w:pPr>
        <w:contextualSpacing/>
        <w:jc w:val="both"/>
        <w:rPr>
          <w:rFonts w:ascii="Arial" w:hAnsi="Arial" w:cs="Arial"/>
        </w:rPr>
      </w:pPr>
    </w:p>
    <w:p w:rsidR="00F4219E" w:rsidRPr="00DE6EE2" w:rsidRDefault="00DD3ED5" w:rsidP="00DE6EE2">
      <w:pPr>
        <w:contextualSpacing/>
        <w:jc w:val="both"/>
        <w:rPr>
          <w:rFonts w:ascii="Arial" w:hAnsi="Arial" w:cs="Arial"/>
        </w:rPr>
      </w:pPr>
      <w:r w:rsidRPr="00DE6EE2">
        <w:rPr>
          <w:rFonts w:ascii="Arial" w:hAnsi="Arial" w:cs="Arial"/>
        </w:rPr>
        <w:tab/>
        <w:t>Klein S</w:t>
      </w:r>
    </w:p>
    <w:p w:rsidR="00DD3ED5" w:rsidRPr="00DE6EE2" w:rsidRDefault="00DD3ED5" w:rsidP="00DE6EE2">
      <w:pPr>
        <w:contextualSpacing/>
        <w:jc w:val="both"/>
        <w:rPr>
          <w:rFonts w:ascii="Arial" w:hAnsi="Arial" w:cs="Arial"/>
        </w:rPr>
      </w:pPr>
      <w:r w:rsidRPr="00DE6EE2">
        <w:rPr>
          <w:rFonts w:ascii="Arial" w:hAnsi="Arial" w:cs="Arial"/>
        </w:rPr>
        <w:tab/>
        <w:t xml:space="preserve">1998. Competition Policy and Global Competitiveness in South Africa. </w:t>
      </w:r>
      <w:r w:rsidR="00DE6EE2">
        <w:rPr>
          <w:rFonts w:ascii="Arial" w:hAnsi="Arial" w:cs="Arial"/>
        </w:rPr>
        <w:tab/>
      </w:r>
      <w:r w:rsidRPr="00DE6EE2">
        <w:rPr>
          <w:rFonts w:ascii="Arial" w:hAnsi="Arial" w:cs="Arial"/>
          <w:i/>
        </w:rPr>
        <w:t xml:space="preserve">Thunderbird </w:t>
      </w:r>
      <w:r w:rsidRPr="00DE6EE2">
        <w:rPr>
          <w:rFonts w:ascii="Arial" w:hAnsi="Arial" w:cs="Arial"/>
          <w:i/>
        </w:rPr>
        <w:tab/>
        <w:t xml:space="preserve">International Business Review </w:t>
      </w:r>
      <w:r w:rsidRPr="00DE6EE2">
        <w:rPr>
          <w:rFonts w:ascii="Arial" w:hAnsi="Arial" w:cs="Arial"/>
        </w:rPr>
        <w:t>40(5):505-523.</w:t>
      </w:r>
    </w:p>
    <w:p w:rsidR="005949F6" w:rsidRPr="00DE6EE2" w:rsidRDefault="005949F6" w:rsidP="00DE6EE2">
      <w:pPr>
        <w:contextualSpacing/>
        <w:jc w:val="both"/>
        <w:rPr>
          <w:rFonts w:ascii="Arial" w:hAnsi="Arial" w:cs="Arial"/>
        </w:rPr>
      </w:pPr>
      <w:r w:rsidRPr="00DE6EE2">
        <w:rPr>
          <w:rFonts w:ascii="Arial" w:hAnsi="Arial" w:cs="Arial"/>
        </w:rPr>
        <w:tab/>
      </w:r>
    </w:p>
    <w:p w:rsidR="00204778" w:rsidRDefault="005949F6" w:rsidP="00DE6EE2">
      <w:pPr>
        <w:contextualSpacing/>
        <w:jc w:val="both"/>
        <w:rPr>
          <w:rFonts w:ascii="Arial" w:hAnsi="Arial" w:cs="Arial"/>
        </w:rPr>
      </w:pPr>
      <w:r w:rsidRPr="00DE6EE2">
        <w:rPr>
          <w:rFonts w:ascii="Arial" w:hAnsi="Arial" w:cs="Arial"/>
        </w:rPr>
        <w:tab/>
      </w:r>
      <w:r w:rsidR="00204778">
        <w:rPr>
          <w:rFonts w:ascii="Arial" w:hAnsi="Arial" w:cs="Arial"/>
        </w:rPr>
        <w:t>Leach DF</w:t>
      </w:r>
    </w:p>
    <w:p w:rsidR="00204778" w:rsidRDefault="00C6203C" w:rsidP="00DE6EE2">
      <w:pPr>
        <w:contextualSpacing/>
        <w:jc w:val="both"/>
        <w:rPr>
          <w:rFonts w:ascii="Arial" w:hAnsi="Arial" w:cs="Arial"/>
        </w:rPr>
      </w:pPr>
      <w:r>
        <w:rPr>
          <w:rFonts w:ascii="Arial" w:hAnsi="Arial" w:cs="Arial"/>
        </w:rPr>
        <w:tab/>
      </w:r>
      <w:r w:rsidR="00204778">
        <w:rPr>
          <w:rFonts w:ascii="Arial" w:hAnsi="Arial" w:cs="Arial"/>
        </w:rPr>
        <w:t xml:space="preserve">1992. Concentration and Profits in South Africa: Monopoly or Efficiency? </w:t>
      </w:r>
      <w:r>
        <w:rPr>
          <w:rFonts w:ascii="Arial" w:hAnsi="Arial" w:cs="Arial"/>
        </w:rPr>
        <w:tab/>
      </w:r>
      <w:r w:rsidR="00204778" w:rsidRPr="008F0882">
        <w:rPr>
          <w:rFonts w:ascii="Arial" w:hAnsi="Arial" w:cs="Arial"/>
          <w:i/>
        </w:rPr>
        <w:t>South African Journal of Economics</w:t>
      </w:r>
      <w:r w:rsidR="00204778">
        <w:rPr>
          <w:rFonts w:ascii="Arial" w:hAnsi="Arial" w:cs="Arial"/>
        </w:rPr>
        <w:t xml:space="preserve"> 60(2):</w:t>
      </w:r>
      <w:r>
        <w:rPr>
          <w:rFonts w:ascii="Arial" w:hAnsi="Arial" w:cs="Arial"/>
        </w:rPr>
        <w:t>143-157.</w:t>
      </w:r>
    </w:p>
    <w:p w:rsidR="00204778" w:rsidRDefault="00204778" w:rsidP="00DE6EE2">
      <w:pPr>
        <w:contextualSpacing/>
        <w:jc w:val="both"/>
        <w:rPr>
          <w:rFonts w:ascii="Arial" w:hAnsi="Arial" w:cs="Arial"/>
        </w:rPr>
      </w:pPr>
    </w:p>
    <w:p w:rsidR="00B47E72" w:rsidRDefault="00204778" w:rsidP="00DE6EE2">
      <w:pPr>
        <w:contextualSpacing/>
        <w:jc w:val="both"/>
        <w:rPr>
          <w:rFonts w:ascii="Arial" w:hAnsi="Arial" w:cs="Arial"/>
        </w:rPr>
      </w:pPr>
      <w:r>
        <w:rPr>
          <w:rFonts w:ascii="Arial" w:hAnsi="Arial" w:cs="Arial"/>
        </w:rPr>
        <w:tab/>
      </w:r>
      <w:r w:rsidR="00B47E72">
        <w:rPr>
          <w:rFonts w:ascii="Arial" w:hAnsi="Arial" w:cs="Arial"/>
        </w:rPr>
        <w:t>Leach DF</w:t>
      </w:r>
    </w:p>
    <w:p w:rsidR="00B47E72" w:rsidRDefault="00B47E72" w:rsidP="00B47E72">
      <w:pPr>
        <w:contextualSpacing/>
        <w:jc w:val="both"/>
        <w:rPr>
          <w:rFonts w:ascii="Arial" w:hAnsi="Arial" w:cs="Arial"/>
        </w:rPr>
      </w:pPr>
      <w:r>
        <w:rPr>
          <w:rFonts w:ascii="Arial" w:hAnsi="Arial" w:cs="Arial"/>
        </w:rPr>
        <w:tab/>
        <w:t>1997. Concentration-</w:t>
      </w:r>
      <w:r w:rsidRPr="00B47E72">
        <w:rPr>
          <w:rFonts w:ascii="Arial" w:hAnsi="Arial" w:cs="Arial"/>
        </w:rPr>
        <w:t>Profits</w:t>
      </w:r>
      <w:r>
        <w:rPr>
          <w:rFonts w:ascii="Arial" w:hAnsi="Arial" w:cs="Arial"/>
        </w:rPr>
        <w:t xml:space="preserve"> </w:t>
      </w:r>
      <w:r w:rsidRPr="00B47E72">
        <w:rPr>
          <w:rFonts w:ascii="Arial" w:hAnsi="Arial" w:cs="Arial"/>
        </w:rPr>
        <w:t>Mon</w:t>
      </w:r>
      <w:r w:rsidR="00023ABB">
        <w:rPr>
          <w:rFonts w:ascii="Arial" w:hAnsi="Arial" w:cs="Arial"/>
        </w:rPr>
        <w:t>o</w:t>
      </w:r>
      <w:r w:rsidRPr="00B47E72">
        <w:rPr>
          <w:rFonts w:ascii="Arial" w:hAnsi="Arial" w:cs="Arial"/>
        </w:rPr>
        <w:t>po</w:t>
      </w:r>
      <w:r>
        <w:rPr>
          <w:rFonts w:ascii="Arial" w:hAnsi="Arial" w:cs="Arial"/>
        </w:rPr>
        <w:t>ly vs</w:t>
      </w:r>
      <w:r w:rsidRPr="00B47E72">
        <w:rPr>
          <w:rFonts w:ascii="Arial" w:hAnsi="Arial" w:cs="Arial"/>
        </w:rPr>
        <w:t>.</w:t>
      </w:r>
      <w:r>
        <w:rPr>
          <w:rFonts w:ascii="Arial" w:hAnsi="Arial" w:cs="Arial"/>
        </w:rPr>
        <w:t xml:space="preserve"> </w:t>
      </w:r>
      <w:r w:rsidRPr="00B47E72">
        <w:rPr>
          <w:rFonts w:ascii="Arial" w:hAnsi="Arial" w:cs="Arial"/>
        </w:rPr>
        <w:t>Ef</w:t>
      </w:r>
      <w:r>
        <w:rPr>
          <w:rFonts w:ascii="Arial" w:hAnsi="Arial" w:cs="Arial"/>
        </w:rPr>
        <w:t xml:space="preserve">ficiency Debate: </w:t>
      </w:r>
      <w:r w:rsidRPr="00B47E72">
        <w:rPr>
          <w:rFonts w:ascii="Arial" w:hAnsi="Arial" w:cs="Arial"/>
        </w:rPr>
        <w:t xml:space="preserve">South African </w:t>
      </w:r>
      <w:r>
        <w:rPr>
          <w:rFonts w:ascii="Arial" w:hAnsi="Arial" w:cs="Arial"/>
        </w:rPr>
        <w:tab/>
      </w:r>
      <w:r w:rsidRPr="00B47E72">
        <w:rPr>
          <w:rFonts w:ascii="Arial" w:hAnsi="Arial" w:cs="Arial"/>
        </w:rPr>
        <w:t>Evidence</w:t>
      </w:r>
      <w:r>
        <w:rPr>
          <w:rFonts w:ascii="Arial" w:hAnsi="Arial" w:cs="Arial"/>
        </w:rPr>
        <w:t xml:space="preserve">. </w:t>
      </w:r>
      <w:r w:rsidRPr="00CD43A4">
        <w:rPr>
          <w:rFonts w:ascii="Arial" w:hAnsi="Arial" w:cs="Arial"/>
          <w:i/>
        </w:rPr>
        <w:t>Contemporary Economic Policy</w:t>
      </w:r>
      <w:r>
        <w:rPr>
          <w:rFonts w:ascii="Arial" w:hAnsi="Arial" w:cs="Arial"/>
        </w:rPr>
        <w:t xml:space="preserve"> 15(1997):12-23.</w:t>
      </w:r>
    </w:p>
    <w:p w:rsidR="00B47E72" w:rsidRDefault="00B47E72" w:rsidP="00DE6EE2">
      <w:pPr>
        <w:contextualSpacing/>
        <w:jc w:val="both"/>
        <w:rPr>
          <w:rFonts w:ascii="Arial" w:hAnsi="Arial" w:cs="Arial"/>
        </w:rPr>
      </w:pPr>
    </w:p>
    <w:p w:rsidR="005949F6" w:rsidRPr="00DE6EE2" w:rsidRDefault="00B47E72" w:rsidP="00DE6EE2">
      <w:pPr>
        <w:contextualSpacing/>
        <w:jc w:val="both"/>
        <w:rPr>
          <w:rFonts w:ascii="Arial" w:hAnsi="Arial" w:cs="Arial"/>
        </w:rPr>
      </w:pPr>
      <w:r>
        <w:rPr>
          <w:rFonts w:ascii="Arial" w:hAnsi="Arial" w:cs="Arial"/>
        </w:rPr>
        <w:tab/>
      </w:r>
      <w:r w:rsidR="005949F6" w:rsidRPr="00DE6EE2">
        <w:rPr>
          <w:rFonts w:ascii="Arial" w:hAnsi="Arial" w:cs="Arial"/>
        </w:rPr>
        <w:t>Land J and Owens J and Cejnar L</w:t>
      </w:r>
    </w:p>
    <w:p w:rsidR="005949F6" w:rsidRPr="00DE6EE2" w:rsidRDefault="005949F6" w:rsidP="00DE6EE2">
      <w:pPr>
        <w:contextualSpacing/>
        <w:jc w:val="both"/>
        <w:rPr>
          <w:rFonts w:ascii="Arial" w:hAnsi="Arial" w:cs="Arial"/>
        </w:rPr>
      </w:pPr>
      <w:r w:rsidRPr="00DE6EE2">
        <w:rPr>
          <w:rFonts w:ascii="Arial" w:hAnsi="Arial" w:cs="Arial"/>
        </w:rPr>
        <w:tab/>
        <w:t xml:space="preserve">The meaning of “Competition.” </w:t>
      </w:r>
      <w:r w:rsidRPr="00DE6EE2">
        <w:rPr>
          <w:rFonts w:ascii="Arial" w:hAnsi="Arial" w:cs="Arial"/>
          <w:i/>
        </w:rPr>
        <w:t xml:space="preserve">New Zealand Universities Law Review </w:t>
      </w:r>
      <w:r w:rsidR="00DE6EE2">
        <w:rPr>
          <w:rFonts w:ascii="Arial" w:hAnsi="Arial" w:cs="Arial"/>
          <w:i/>
        </w:rPr>
        <w:tab/>
      </w:r>
      <w:r w:rsidRPr="00DE6EE2">
        <w:rPr>
          <w:rFonts w:ascii="Arial" w:hAnsi="Arial" w:cs="Arial"/>
        </w:rPr>
        <w:t>24(June 2010):98-112.</w:t>
      </w:r>
    </w:p>
    <w:p w:rsidR="00835D2A" w:rsidRDefault="00835D2A" w:rsidP="00DE6EE2">
      <w:pPr>
        <w:contextualSpacing/>
        <w:jc w:val="both"/>
        <w:rPr>
          <w:rFonts w:ascii="Arial" w:hAnsi="Arial" w:cs="Arial"/>
        </w:rPr>
      </w:pPr>
    </w:p>
    <w:p w:rsidR="00BB00CC" w:rsidRDefault="00BB00CC" w:rsidP="00DE6EE2">
      <w:pPr>
        <w:contextualSpacing/>
        <w:jc w:val="both"/>
        <w:rPr>
          <w:rFonts w:ascii="Arial" w:hAnsi="Arial" w:cs="Arial"/>
        </w:rPr>
      </w:pPr>
      <w:r>
        <w:rPr>
          <w:rFonts w:ascii="Arial" w:hAnsi="Arial" w:cs="Arial"/>
        </w:rPr>
        <w:tab/>
      </w:r>
      <w:r w:rsidRPr="00BB00CC">
        <w:rPr>
          <w:rFonts w:ascii="Arial" w:hAnsi="Arial" w:cs="Arial"/>
        </w:rPr>
        <w:t>Lavergne</w:t>
      </w:r>
      <w:r>
        <w:rPr>
          <w:rFonts w:ascii="Arial" w:hAnsi="Arial" w:cs="Arial"/>
        </w:rPr>
        <w:t xml:space="preserve"> P and</w:t>
      </w:r>
      <w:r w:rsidRPr="00BB00CC">
        <w:rPr>
          <w:rFonts w:ascii="Arial" w:hAnsi="Arial" w:cs="Arial"/>
        </w:rPr>
        <w:t xml:space="preserve"> Réquillart</w:t>
      </w:r>
      <w:r>
        <w:rPr>
          <w:rFonts w:ascii="Arial" w:hAnsi="Arial" w:cs="Arial"/>
        </w:rPr>
        <w:t xml:space="preserve"> V and</w:t>
      </w:r>
      <w:r w:rsidRPr="00BB00CC">
        <w:rPr>
          <w:rFonts w:ascii="Arial" w:hAnsi="Arial" w:cs="Arial"/>
        </w:rPr>
        <w:t xml:space="preserve"> Simioni</w:t>
      </w:r>
      <w:r>
        <w:rPr>
          <w:rFonts w:ascii="Arial" w:hAnsi="Arial" w:cs="Arial"/>
        </w:rPr>
        <w:t xml:space="preserve"> M</w:t>
      </w:r>
    </w:p>
    <w:p w:rsidR="00BB00CC" w:rsidRDefault="00BB00CC" w:rsidP="00DE6EE2">
      <w:pPr>
        <w:contextualSpacing/>
        <w:jc w:val="both"/>
        <w:rPr>
          <w:rFonts w:ascii="Arial" w:hAnsi="Arial" w:cs="Arial"/>
        </w:rPr>
      </w:pPr>
      <w:r>
        <w:rPr>
          <w:rFonts w:ascii="Arial" w:hAnsi="Arial" w:cs="Arial"/>
        </w:rPr>
        <w:tab/>
        <w:t xml:space="preserve">2001. </w:t>
      </w:r>
      <w:r w:rsidRPr="00BB00CC">
        <w:rPr>
          <w:rFonts w:ascii="Arial" w:hAnsi="Arial" w:cs="Arial"/>
        </w:rPr>
        <w:t xml:space="preserve">Welfare Losses Due to Market Power: Hicksian versus Marshallian </w:t>
      </w:r>
      <w:r>
        <w:rPr>
          <w:rFonts w:ascii="Arial" w:hAnsi="Arial" w:cs="Arial"/>
        </w:rPr>
        <w:tab/>
      </w:r>
      <w:r w:rsidRPr="00BB00CC">
        <w:rPr>
          <w:rFonts w:ascii="Arial" w:hAnsi="Arial" w:cs="Arial"/>
        </w:rPr>
        <w:t>Measurement</w:t>
      </w:r>
      <w:r>
        <w:rPr>
          <w:rFonts w:ascii="Arial" w:hAnsi="Arial" w:cs="Arial"/>
        </w:rPr>
        <w:t xml:space="preserve">. </w:t>
      </w:r>
      <w:r w:rsidRPr="00BB00CC">
        <w:rPr>
          <w:rFonts w:ascii="Arial" w:hAnsi="Arial" w:cs="Arial"/>
          <w:i/>
        </w:rPr>
        <w:t>American Journal of Agricultural Economics</w:t>
      </w:r>
      <w:r>
        <w:rPr>
          <w:rFonts w:ascii="Arial" w:hAnsi="Arial" w:cs="Arial"/>
        </w:rPr>
        <w:t xml:space="preserve"> 83(1):157-165.</w:t>
      </w:r>
    </w:p>
    <w:p w:rsidR="00BB00CC" w:rsidRDefault="00BB00CC" w:rsidP="00DE6EE2">
      <w:pPr>
        <w:contextualSpacing/>
        <w:jc w:val="both"/>
        <w:rPr>
          <w:rFonts w:ascii="Arial" w:hAnsi="Arial" w:cs="Arial"/>
        </w:rPr>
      </w:pPr>
    </w:p>
    <w:p w:rsidR="006E706C" w:rsidRDefault="006E706C" w:rsidP="00DE6EE2">
      <w:pPr>
        <w:contextualSpacing/>
        <w:jc w:val="both"/>
        <w:rPr>
          <w:rFonts w:ascii="Arial" w:hAnsi="Arial" w:cs="Arial"/>
        </w:rPr>
      </w:pPr>
      <w:r>
        <w:rPr>
          <w:rFonts w:ascii="Arial" w:hAnsi="Arial" w:cs="Arial"/>
        </w:rPr>
        <w:tab/>
        <w:t>Lerner AP</w:t>
      </w:r>
    </w:p>
    <w:p w:rsidR="006E706C" w:rsidRDefault="006E706C" w:rsidP="00DE6EE2">
      <w:pPr>
        <w:contextualSpacing/>
        <w:jc w:val="both"/>
        <w:rPr>
          <w:rFonts w:ascii="Arial" w:hAnsi="Arial" w:cs="Arial"/>
        </w:rPr>
      </w:pPr>
      <w:r>
        <w:rPr>
          <w:rFonts w:ascii="Arial" w:hAnsi="Arial" w:cs="Arial"/>
        </w:rPr>
        <w:tab/>
        <w:t xml:space="preserve">1934. </w:t>
      </w:r>
      <w:r w:rsidRPr="006E706C">
        <w:rPr>
          <w:rFonts w:ascii="Arial" w:hAnsi="Arial" w:cs="Arial"/>
        </w:rPr>
        <w:t>The Concept of Monopoly and the Measurement of Monopoly Power</w:t>
      </w:r>
      <w:r>
        <w:rPr>
          <w:rFonts w:ascii="Arial" w:hAnsi="Arial" w:cs="Arial"/>
        </w:rPr>
        <w:t xml:space="preserve">. </w:t>
      </w:r>
      <w:r>
        <w:rPr>
          <w:rFonts w:ascii="Arial" w:hAnsi="Arial" w:cs="Arial"/>
        </w:rPr>
        <w:tab/>
      </w:r>
      <w:r w:rsidRPr="006E706C">
        <w:rPr>
          <w:rFonts w:ascii="Arial" w:hAnsi="Arial" w:cs="Arial"/>
          <w:i/>
        </w:rPr>
        <w:t>The Review of Economic Studies</w:t>
      </w:r>
      <w:r>
        <w:rPr>
          <w:rFonts w:ascii="Arial" w:hAnsi="Arial" w:cs="Arial"/>
        </w:rPr>
        <w:t xml:space="preserve"> 1(3):157-175.</w:t>
      </w:r>
    </w:p>
    <w:p w:rsidR="006E706C" w:rsidRDefault="006E706C" w:rsidP="00DE6EE2">
      <w:pPr>
        <w:contextualSpacing/>
        <w:jc w:val="both"/>
        <w:rPr>
          <w:rFonts w:ascii="Arial" w:hAnsi="Arial" w:cs="Arial"/>
        </w:rPr>
      </w:pPr>
    </w:p>
    <w:p w:rsidR="00FB38F4" w:rsidRDefault="007C4187" w:rsidP="00DE6EE2">
      <w:pPr>
        <w:contextualSpacing/>
        <w:jc w:val="both"/>
        <w:rPr>
          <w:rFonts w:ascii="Arial" w:hAnsi="Arial" w:cs="Arial"/>
        </w:rPr>
      </w:pPr>
      <w:r>
        <w:rPr>
          <w:rFonts w:ascii="Arial" w:hAnsi="Arial" w:cs="Arial"/>
        </w:rPr>
        <w:tab/>
      </w:r>
      <w:r w:rsidR="00FB38F4">
        <w:rPr>
          <w:rFonts w:ascii="Arial" w:hAnsi="Arial" w:cs="Arial"/>
        </w:rPr>
        <w:t>Liebenberg AP and K</w:t>
      </w:r>
      <w:r w:rsidR="00FB38F4" w:rsidRPr="00FB38F4">
        <w:rPr>
          <w:rFonts w:ascii="Arial" w:hAnsi="Arial" w:cs="Arial"/>
        </w:rPr>
        <w:t>amerschen</w:t>
      </w:r>
      <w:r w:rsidR="00FB38F4">
        <w:rPr>
          <w:rFonts w:ascii="Arial" w:hAnsi="Arial" w:cs="Arial"/>
        </w:rPr>
        <w:t xml:space="preserve"> DR</w:t>
      </w:r>
    </w:p>
    <w:p w:rsidR="00FB38F4" w:rsidRDefault="00FB38F4" w:rsidP="00FB38F4">
      <w:pPr>
        <w:contextualSpacing/>
        <w:jc w:val="both"/>
        <w:rPr>
          <w:rFonts w:ascii="Arial" w:hAnsi="Arial" w:cs="Arial"/>
        </w:rPr>
      </w:pPr>
      <w:r>
        <w:rPr>
          <w:rFonts w:ascii="Arial" w:hAnsi="Arial" w:cs="Arial"/>
        </w:rPr>
        <w:tab/>
        <w:t xml:space="preserve">2008. </w:t>
      </w:r>
      <w:r w:rsidRPr="00FB38F4">
        <w:rPr>
          <w:rFonts w:ascii="Arial" w:hAnsi="Arial" w:cs="Arial"/>
        </w:rPr>
        <w:t xml:space="preserve">Structure, Conduct And Performance Analysis Of The South African </w:t>
      </w:r>
      <w:r>
        <w:rPr>
          <w:rFonts w:ascii="Arial" w:hAnsi="Arial" w:cs="Arial"/>
        </w:rPr>
        <w:tab/>
      </w:r>
      <w:r w:rsidRPr="00FB38F4">
        <w:rPr>
          <w:rFonts w:ascii="Arial" w:hAnsi="Arial" w:cs="Arial"/>
        </w:rPr>
        <w:t>Auto Insurance Market: 1980-2000</w:t>
      </w:r>
      <w:r>
        <w:rPr>
          <w:rFonts w:ascii="Arial" w:hAnsi="Arial" w:cs="Arial"/>
        </w:rPr>
        <w:t xml:space="preserve">. </w:t>
      </w:r>
      <w:r w:rsidRPr="00FB38F4">
        <w:rPr>
          <w:rFonts w:ascii="Arial" w:hAnsi="Arial" w:cs="Arial"/>
        </w:rPr>
        <w:t>South African Journal of Economics</w:t>
      </w:r>
      <w:r>
        <w:rPr>
          <w:rFonts w:ascii="Arial" w:hAnsi="Arial" w:cs="Arial"/>
        </w:rPr>
        <w:t xml:space="preserve"> </w:t>
      </w:r>
      <w:r>
        <w:rPr>
          <w:rFonts w:ascii="Arial" w:hAnsi="Arial" w:cs="Arial"/>
        </w:rPr>
        <w:tab/>
        <w:t>76(2):228-238.</w:t>
      </w:r>
    </w:p>
    <w:p w:rsidR="00FB38F4" w:rsidRDefault="00FB38F4" w:rsidP="00DE6EE2">
      <w:pPr>
        <w:contextualSpacing/>
        <w:jc w:val="both"/>
        <w:rPr>
          <w:rFonts w:ascii="Arial" w:hAnsi="Arial" w:cs="Arial"/>
        </w:rPr>
      </w:pPr>
    </w:p>
    <w:p w:rsidR="007C4187" w:rsidRDefault="00FB38F4" w:rsidP="00DE6EE2">
      <w:pPr>
        <w:contextualSpacing/>
        <w:jc w:val="both"/>
        <w:rPr>
          <w:rFonts w:ascii="Arial" w:hAnsi="Arial" w:cs="Arial"/>
        </w:rPr>
      </w:pPr>
      <w:r>
        <w:rPr>
          <w:rFonts w:ascii="Arial" w:hAnsi="Arial" w:cs="Arial"/>
        </w:rPr>
        <w:tab/>
      </w:r>
      <w:r w:rsidR="007C4187">
        <w:rPr>
          <w:rFonts w:ascii="Arial" w:hAnsi="Arial" w:cs="Arial"/>
        </w:rPr>
        <w:t>Ló</w:t>
      </w:r>
      <w:r w:rsidR="007C4187" w:rsidRPr="007C4187">
        <w:rPr>
          <w:rFonts w:ascii="Arial" w:hAnsi="Arial" w:cs="Arial"/>
        </w:rPr>
        <w:t>pez</w:t>
      </w:r>
      <w:r w:rsidR="007C4187">
        <w:rPr>
          <w:rFonts w:ascii="Arial" w:hAnsi="Arial" w:cs="Arial"/>
        </w:rPr>
        <w:t xml:space="preserve"> EJ</w:t>
      </w:r>
    </w:p>
    <w:p w:rsidR="007C4187" w:rsidRDefault="007C4187" w:rsidP="00DE6EE2">
      <w:pPr>
        <w:contextualSpacing/>
        <w:jc w:val="both"/>
        <w:rPr>
          <w:rFonts w:ascii="Arial" w:hAnsi="Arial" w:cs="Arial"/>
        </w:rPr>
      </w:pPr>
      <w:r>
        <w:rPr>
          <w:rFonts w:ascii="Arial" w:hAnsi="Arial" w:cs="Arial"/>
        </w:rPr>
        <w:tab/>
        <w:t xml:space="preserve">2001. </w:t>
      </w:r>
      <w:r w:rsidRPr="007C4187">
        <w:rPr>
          <w:rFonts w:ascii="Arial" w:hAnsi="Arial" w:cs="Arial"/>
          <w:i/>
        </w:rPr>
        <w:t>New Anti-Merger Theories: Critique</w:t>
      </w:r>
      <w:r>
        <w:rPr>
          <w:rFonts w:ascii="Arial" w:hAnsi="Arial" w:cs="Arial"/>
        </w:rPr>
        <w:t>. Cato Journal 20(3):359-378.</w:t>
      </w:r>
    </w:p>
    <w:p w:rsidR="007C4187" w:rsidRPr="00DE6EE2" w:rsidRDefault="007C4187" w:rsidP="00DE6EE2">
      <w:pPr>
        <w:contextualSpacing/>
        <w:jc w:val="both"/>
        <w:rPr>
          <w:rFonts w:ascii="Arial" w:hAnsi="Arial" w:cs="Arial"/>
        </w:rPr>
      </w:pPr>
    </w:p>
    <w:p w:rsidR="00B94B5D" w:rsidRDefault="00835D2A" w:rsidP="00DE6EE2">
      <w:pPr>
        <w:contextualSpacing/>
        <w:jc w:val="both"/>
        <w:rPr>
          <w:rFonts w:ascii="Arial" w:hAnsi="Arial" w:cs="Arial"/>
        </w:rPr>
      </w:pPr>
      <w:r w:rsidRPr="00DE6EE2">
        <w:rPr>
          <w:rFonts w:ascii="Arial" w:hAnsi="Arial" w:cs="Arial"/>
        </w:rPr>
        <w:tab/>
      </w:r>
      <w:r w:rsidR="00B94B5D">
        <w:rPr>
          <w:rFonts w:ascii="Arial" w:hAnsi="Arial" w:cs="Arial"/>
        </w:rPr>
        <w:t>Massey P</w:t>
      </w:r>
    </w:p>
    <w:p w:rsidR="00B94B5D" w:rsidRDefault="00B94B5D" w:rsidP="00B94B5D">
      <w:pPr>
        <w:contextualSpacing/>
        <w:jc w:val="both"/>
        <w:rPr>
          <w:rFonts w:ascii="Arial" w:hAnsi="Arial" w:cs="Arial"/>
        </w:rPr>
      </w:pPr>
      <w:r>
        <w:rPr>
          <w:rFonts w:ascii="Arial" w:hAnsi="Arial" w:cs="Arial"/>
        </w:rPr>
        <w:tab/>
        <w:t xml:space="preserve">2000. </w:t>
      </w:r>
      <w:r w:rsidRPr="00B94B5D">
        <w:rPr>
          <w:rFonts w:ascii="Arial" w:hAnsi="Arial" w:cs="Arial"/>
        </w:rPr>
        <w:t>Market</w:t>
      </w:r>
      <w:r>
        <w:rPr>
          <w:rFonts w:ascii="Arial" w:hAnsi="Arial" w:cs="Arial"/>
        </w:rPr>
        <w:t xml:space="preserve"> Definition and Market Power in </w:t>
      </w:r>
      <w:r w:rsidRPr="00B94B5D">
        <w:rPr>
          <w:rFonts w:ascii="Arial" w:hAnsi="Arial" w:cs="Arial"/>
        </w:rPr>
        <w:t xml:space="preserve">Competition Analysis: Some </w:t>
      </w:r>
      <w:r>
        <w:rPr>
          <w:rFonts w:ascii="Arial" w:hAnsi="Arial" w:cs="Arial"/>
        </w:rPr>
        <w:tab/>
      </w:r>
      <w:r w:rsidRPr="00B94B5D">
        <w:rPr>
          <w:rFonts w:ascii="Arial" w:hAnsi="Arial" w:cs="Arial"/>
        </w:rPr>
        <w:t>Practical Issues</w:t>
      </w:r>
      <w:r>
        <w:rPr>
          <w:rFonts w:ascii="Arial" w:hAnsi="Arial" w:cs="Arial"/>
        </w:rPr>
        <w:t xml:space="preserve">. </w:t>
      </w:r>
      <w:r w:rsidRPr="00B94B5D">
        <w:rPr>
          <w:rFonts w:ascii="Arial" w:hAnsi="Arial" w:cs="Arial"/>
          <w:i/>
        </w:rPr>
        <w:t>The Economic and Social Review</w:t>
      </w:r>
      <w:r>
        <w:rPr>
          <w:rFonts w:ascii="Arial" w:hAnsi="Arial" w:cs="Arial"/>
        </w:rPr>
        <w:t xml:space="preserve"> 31(4):309-328.</w:t>
      </w:r>
    </w:p>
    <w:p w:rsidR="00B94B5D" w:rsidRDefault="00B94B5D" w:rsidP="00DE6EE2">
      <w:pPr>
        <w:contextualSpacing/>
        <w:jc w:val="both"/>
        <w:rPr>
          <w:rFonts w:ascii="Arial" w:hAnsi="Arial" w:cs="Arial"/>
        </w:rPr>
      </w:pPr>
    </w:p>
    <w:p w:rsidR="00835D2A" w:rsidRPr="00DE6EE2" w:rsidRDefault="00B94B5D" w:rsidP="00DE6EE2">
      <w:pPr>
        <w:contextualSpacing/>
        <w:jc w:val="both"/>
        <w:rPr>
          <w:rFonts w:ascii="Arial" w:hAnsi="Arial" w:cs="Arial"/>
        </w:rPr>
      </w:pPr>
      <w:r>
        <w:rPr>
          <w:rFonts w:ascii="Arial" w:hAnsi="Arial" w:cs="Arial"/>
        </w:rPr>
        <w:tab/>
      </w:r>
      <w:r w:rsidR="00835D2A" w:rsidRPr="00DE6EE2">
        <w:rPr>
          <w:rFonts w:ascii="Arial" w:hAnsi="Arial" w:cs="Arial"/>
        </w:rPr>
        <w:t>McNulty PJ</w:t>
      </w:r>
    </w:p>
    <w:p w:rsidR="00835D2A" w:rsidRPr="00DE6EE2" w:rsidRDefault="00835D2A" w:rsidP="00DE6EE2">
      <w:pPr>
        <w:contextualSpacing/>
        <w:jc w:val="both"/>
        <w:rPr>
          <w:rFonts w:ascii="Arial" w:hAnsi="Arial" w:cs="Arial"/>
        </w:rPr>
      </w:pPr>
      <w:r w:rsidRPr="00DE6EE2">
        <w:rPr>
          <w:rFonts w:ascii="Arial" w:hAnsi="Arial" w:cs="Arial"/>
        </w:rPr>
        <w:tab/>
        <w:t xml:space="preserve">1968. Economic Theory and the Meaning of Competition. </w:t>
      </w:r>
      <w:r w:rsidRPr="00DE6EE2">
        <w:rPr>
          <w:rFonts w:ascii="Arial" w:hAnsi="Arial" w:cs="Arial"/>
          <w:i/>
        </w:rPr>
        <w:t xml:space="preserve">The Quarterly </w:t>
      </w:r>
      <w:r w:rsidR="00DE6EE2">
        <w:rPr>
          <w:rFonts w:ascii="Arial" w:hAnsi="Arial" w:cs="Arial"/>
          <w:i/>
        </w:rPr>
        <w:tab/>
      </w:r>
      <w:r w:rsidRPr="00DE6EE2">
        <w:rPr>
          <w:rFonts w:ascii="Arial" w:hAnsi="Arial" w:cs="Arial"/>
          <w:i/>
        </w:rPr>
        <w:t xml:space="preserve">Journal of Economics </w:t>
      </w:r>
      <w:r w:rsidRPr="00DE6EE2">
        <w:rPr>
          <w:rFonts w:ascii="Arial" w:hAnsi="Arial" w:cs="Arial"/>
        </w:rPr>
        <w:t>82(4):639-656.</w:t>
      </w:r>
    </w:p>
    <w:p w:rsidR="00835D2A" w:rsidRPr="00DE6EE2" w:rsidRDefault="00F4219E" w:rsidP="00DE6EE2">
      <w:pPr>
        <w:contextualSpacing/>
        <w:jc w:val="both"/>
        <w:rPr>
          <w:rFonts w:ascii="Arial" w:hAnsi="Arial" w:cs="Arial"/>
        </w:rPr>
      </w:pPr>
      <w:r w:rsidRPr="00DE6EE2">
        <w:rPr>
          <w:rFonts w:ascii="Arial" w:hAnsi="Arial" w:cs="Arial"/>
        </w:rPr>
        <w:tab/>
      </w:r>
    </w:p>
    <w:p w:rsidR="009D6985" w:rsidRPr="00DE6EE2" w:rsidRDefault="005949F6" w:rsidP="00DE6EE2">
      <w:pPr>
        <w:contextualSpacing/>
        <w:jc w:val="both"/>
        <w:rPr>
          <w:rFonts w:ascii="Arial" w:hAnsi="Arial" w:cs="Arial"/>
        </w:rPr>
      </w:pPr>
      <w:r w:rsidRPr="00DE6EE2">
        <w:rPr>
          <w:rFonts w:ascii="Arial" w:hAnsi="Arial" w:cs="Arial"/>
        </w:rPr>
        <w:tab/>
      </w:r>
      <w:r w:rsidR="009D6985" w:rsidRPr="00DE6EE2">
        <w:rPr>
          <w:rFonts w:ascii="Arial" w:hAnsi="Arial" w:cs="Arial"/>
        </w:rPr>
        <w:t>Mousseau M</w:t>
      </w:r>
    </w:p>
    <w:p w:rsidR="009D6985" w:rsidRPr="00DE6EE2" w:rsidRDefault="009D6985" w:rsidP="00DE6EE2">
      <w:pPr>
        <w:contextualSpacing/>
        <w:jc w:val="both"/>
        <w:rPr>
          <w:rFonts w:ascii="Arial" w:hAnsi="Arial" w:cs="Arial"/>
        </w:rPr>
      </w:pPr>
      <w:r w:rsidRPr="00DE6EE2">
        <w:rPr>
          <w:rFonts w:ascii="Arial" w:hAnsi="Arial" w:cs="Arial"/>
        </w:rPr>
        <w:tab/>
        <w:t xml:space="preserve">2010. Coming to Terms with the Capitalist Peace. </w:t>
      </w:r>
    </w:p>
    <w:p w:rsidR="009D6985" w:rsidRPr="00DE6EE2" w:rsidRDefault="009D6985" w:rsidP="00DE6EE2">
      <w:pPr>
        <w:contextualSpacing/>
        <w:jc w:val="both"/>
        <w:rPr>
          <w:rFonts w:ascii="Arial" w:hAnsi="Arial" w:cs="Arial"/>
        </w:rPr>
      </w:pPr>
      <w:r w:rsidRPr="00DE6EE2">
        <w:rPr>
          <w:rFonts w:ascii="Arial" w:hAnsi="Arial" w:cs="Arial"/>
        </w:rPr>
        <w:tab/>
      </w:r>
      <w:r w:rsidRPr="00DE6EE2">
        <w:rPr>
          <w:rFonts w:ascii="Arial" w:hAnsi="Arial" w:cs="Arial"/>
          <w:i/>
        </w:rPr>
        <w:t>International Interactions</w:t>
      </w:r>
      <w:r w:rsidRPr="00DE6EE2">
        <w:rPr>
          <w:rFonts w:ascii="Arial" w:hAnsi="Arial" w:cs="Arial"/>
        </w:rPr>
        <w:t xml:space="preserve"> 36:185–</w:t>
      </w:r>
      <w:r w:rsidRPr="00DE6EE2">
        <w:rPr>
          <w:rFonts w:ascii="Arial" w:hAnsi="Arial" w:cs="Arial"/>
        </w:rPr>
        <w:tab/>
        <w:t>213.</w:t>
      </w:r>
    </w:p>
    <w:p w:rsidR="009775F5" w:rsidRPr="00DE6EE2" w:rsidRDefault="009775F5" w:rsidP="00DE6EE2">
      <w:pPr>
        <w:contextualSpacing/>
        <w:jc w:val="both"/>
        <w:rPr>
          <w:rFonts w:ascii="Arial" w:hAnsi="Arial" w:cs="Arial"/>
        </w:rPr>
      </w:pPr>
    </w:p>
    <w:p w:rsidR="00B34C09" w:rsidRPr="00DE6EE2" w:rsidRDefault="009775F5" w:rsidP="00DE6EE2">
      <w:pPr>
        <w:contextualSpacing/>
        <w:jc w:val="both"/>
        <w:rPr>
          <w:rFonts w:ascii="Arial" w:hAnsi="Arial" w:cs="Arial"/>
        </w:rPr>
      </w:pPr>
      <w:r w:rsidRPr="00DE6EE2">
        <w:rPr>
          <w:rFonts w:ascii="Arial" w:hAnsi="Arial" w:cs="Arial"/>
        </w:rPr>
        <w:tab/>
      </w:r>
      <w:r w:rsidR="001252AC" w:rsidRPr="00DE6EE2">
        <w:rPr>
          <w:rFonts w:ascii="Arial" w:hAnsi="Arial" w:cs="Arial"/>
        </w:rPr>
        <w:t>Oppenheimer F</w:t>
      </w:r>
    </w:p>
    <w:p w:rsidR="001252AC" w:rsidRPr="00DE6EE2" w:rsidRDefault="001252AC" w:rsidP="00DE6EE2">
      <w:pPr>
        <w:contextualSpacing/>
        <w:jc w:val="both"/>
        <w:rPr>
          <w:rFonts w:ascii="Arial" w:hAnsi="Arial" w:cs="Arial"/>
        </w:rPr>
      </w:pPr>
      <w:r w:rsidRPr="00DE6EE2">
        <w:rPr>
          <w:rFonts w:ascii="Arial" w:hAnsi="Arial" w:cs="Arial"/>
        </w:rPr>
        <w:tab/>
        <w:t xml:space="preserve">1942. Capitalism and the Free Economy. </w:t>
      </w:r>
      <w:r w:rsidRPr="00DE6EE2">
        <w:rPr>
          <w:rFonts w:ascii="Arial" w:hAnsi="Arial" w:cs="Arial"/>
          <w:i/>
        </w:rPr>
        <w:t xml:space="preserve">American Journal of Economics and </w:t>
      </w:r>
      <w:r w:rsidRPr="00DE6EE2">
        <w:rPr>
          <w:rFonts w:ascii="Arial" w:hAnsi="Arial" w:cs="Arial"/>
          <w:i/>
        </w:rPr>
        <w:tab/>
        <w:t>Sociology</w:t>
      </w:r>
      <w:r w:rsidRPr="00DE6EE2">
        <w:rPr>
          <w:rFonts w:ascii="Arial" w:hAnsi="Arial" w:cs="Arial"/>
        </w:rPr>
        <w:t xml:space="preserve"> 1(3):307-310.</w:t>
      </w:r>
    </w:p>
    <w:p w:rsidR="001252AC" w:rsidRPr="00DE6EE2" w:rsidRDefault="001252AC" w:rsidP="00DE6EE2">
      <w:pPr>
        <w:contextualSpacing/>
        <w:jc w:val="both"/>
        <w:rPr>
          <w:rFonts w:ascii="Arial" w:hAnsi="Arial" w:cs="Arial"/>
          <w:b/>
        </w:rPr>
      </w:pPr>
    </w:p>
    <w:p w:rsidR="009F2AA3" w:rsidRDefault="000C49C0" w:rsidP="00DE6EE2">
      <w:pPr>
        <w:contextualSpacing/>
        <w:jc w:val="both"/>
        <w:rPr>
          <w:rFonts w:ascii="Arial" w:hAnsi="Arial" w:cs="Arial"/>
        </w:rPr>
      </w:pPr>
      <w:r w:rsidRPr="00DE6EE2">
        <w:rPr>
          <w:rFonts w:ascii="Arial" w:hAnsi="Arial" w:cs="Arial"/>
        </w:rPr>
        <w:tab/>
      </w:r>
      <w:r w:rsidR="009F2AA3" w:rsidRPr="009F2AA3">
        <w:rPr>
          <w:rFonts w:ascii="Arial" w:hAnsi="Arial" w:cs="Arial"/>
        </w:rPr>
        <w:t>Pleatsikas</w:t>
      </w:r>
      <w:r w:rsidR="009F2AA3">
        <w:rPr>
          <w:rFonts w:ascii="Arial" w:hAnsi="Arial" w:cs="Arial"/>
        </w:rPr>
        <w:t xml:space="preserve"> C and Teece D</w:t>
      </w:r>
    </w:p>
    <w:p w:rsidR="009F2AA3" w:rsidRDefault="009F2AA3" w:rsidP="009F2AA3">
      <w:pPr>
        <w:contextualSpacing/>
        <w:jc w:val="both"/>
        <w:rPr>
          <w:rFonts w:ascii="Arial" w:hAnsi="Arial" w:cs="Arial"/>
        </w:rPr>
      </w:pPr>
      <w:r>
        <w:rPr>
          <w:rFonts w:ascii="Arial" w:hAnsi="Arial" w:cs="Arial"/>
        </w:rPr>
        <w:tab/>
        <w:t xml:space="preserve">2001. </w:t>
      </w:r>
      <w:r w:rsidRPr="009F2AA3">
        <w:rPr>
          <w:rFonts w:ascii="Arial" w:hAnsi="Arial" w:cs="Arial"/>
        </w:rPr>
        <w:t>The analysis of marke</w:t>
      </w:r>
      <w:r>
        <w:rPr>
          <w:rFonts w:ascii="Arial" w:hAnsi="Arial" w:cs="Arial"/>
        </w:rPr>
        <w:t xml:space="preserve">t definition and market power in </w:t>
      </w:r>
      <w:r w:rsidRPr="009F2AA3">
        <w:rPr>
          <w:rFonts w:ascii="Arial" w:hAnsi="Arial" w:cs="Arial"/>
        </w:rPr>
        <w:t xml:space="preserve">the context of </w:t>
      </w:r>
      <w:r>
        <w:rPr>
          <w:rFonts w:ascii="Arial" w:hAnsi="Arial" w:cs="Arial"/>
        </w:rPr>
        <w:tab/>
      </w:r>
      <w:r w:rsidRPr="009F2AA3">
        <w:rPr>
          <w:rFonts w:ascii="Arial" w:hAnsi="Arial" w:cs="Arial"/>
        </w:rPr>
        <w:t>rapid innovation</w:t>
      </w:r>
      <w:r>
        <w:rPr>
          <w:rFonts w:ascii="Arial" w:hAnsi="Arial" w:cs="Arial"/>
        </w:rPr>
        <w:t xml:space="preserve">. </w:t>
      </w:r>
      <w:r w:rsidRPr="009F2AA3">
        <w:rPr>
          <w:rFonts w:ascii="Arial" w:hAnsi="Arial" w:cs="Arial"/>
          <w:i/>
        </w:rPr>
        <w:t>International</w:t>
      </w:r>
      <w:r>
        <w:rPr>
          <w:rFonts w:ascii="Arial" w:hAnsi="Arial" w:cs="Arial"/>
          <w:i/>
        </w:rPr>
        <w:t xml:space="preserve"> </w:t>
      </w:r>
      <w:r w:rsidRPr="009F2AA3">
        <w:rPr>
          <w:rFonts w:ascii="Arial" w:hAnsi="Arial" w:cs="Arial"/>
          <w:i/>
        </w:rPr>
        <w:t>Journal of Industrial Organization</w:t>
      </w:r>
      <w:r>
        <w:rPr>
          <w:rFonts w:ascii="Arial" w:hAnsi="Arial" w:cs="Arial"/>
        </w:rPr>
        <w:t xml:space="preserve"> </w:t>
      </w:r>
      <w:r>
        <w:rPr>
          <w:rFonts w:ascii="Arial" w:hAnsi="Arial" w:cs="Arial"/>
        </w:rPr>
        <w:tab/>
        <w:t>19(2001):665-693.</w:t>
      </w:r>
    </w:p>
    <w:p w:rsidR="009F2AA3" w:rsidRDefault="009F2AA3" w:rsidP="00DE6EE2">
      <w:pPr>
        <w:contextualSpacing/>
        <w:jc w:val="both"/>
        <w:rPr>
          <w:rFonts w:ascii="Arial" w:hAnsi="Arial" w:cs="Arial"/>
        </w:rPr>
      </w:pPr>
    </w:p>
    <w:p w:rsidR="00B16382" w:rsidRDefault="009F2AA3" w:rsidP="00DE6EE2">
      <w:pPr>
        <w:contextualSpacing/>
        <w:jc w:val="both"/>
        <w:rPr>
          <w:rFonts w:ascii="Arial" w:hAnsi="Arial" w:cs="Arial"/>
        </w:rPr>
      </w:pPr>
      <w:r>
        <w:rPr>
          <w:rFonts w:ascii="Arial" w:hAnsi="Arial" w:cs="Arial"/>
        </w:rPr>
        <w:tab/>
      </w:r>
      <w:r w:rsidR="00B16382">
        <w:rPr>
          <w:rFonts w:ascii="Arial" w:hAnsi="Arial" w:cs="Arial"/>
        </w:rPr>
        <w:t>Reekie WD</w:t>
      </w:r>
    </w:p>
    <w:p w:rsidR="00B16382" w:rsidRDefault="00B16382" w:rsidP="00DE6EE2">
      <w:pPr>
        <w:contextualSpacing/>
        <w:jc w:val="both"/>
        <w:rPr>
          <w:rFonts w:ascii="Arial" w:hAnsi="Arial" w:cs="Arial"/>
        </w:rPr>
      </w:pPr>
      <w:r>
        <w:rPr>
          <w:rFonts w:ascii="Arial" w:hAnsi="Arial" w:cs="Arial"/>
        </w:rPr>
        <w:tab/>
        <w:t xml:space="preserve">1984. The Structure-Conduct-Performance Paradigm in a South African </w:t>
      </w:r>
      <w:r>
        <w:rPr>
          <w:rFonts w:ascii="Arial" w:hAnsi="Arial" w:cs="Arial"/>
        </w:rPr>
        <w:tab/>
        <w:t xml:space="preserve">Setting. </w:t>
      </w:r>
      <w:r w:rsidRPr="00B16382">
        <w:rPr>
          <w:rFonts w:ascii="Arial" w:hAnsi="Arial" w:cs="Arial"/>
          <w:i/>
        </w:rPr>
        <w:t>South African Journal of Economics</w:t>
      </w:r>
      <w:r>
        <w:rPr>
          <w:rFonts w:ascii="Arial" w:hAnsi="Arial" w:cs="Arial"/>
        </w:rPr>
        <w:t xml:space="preserve"> 52(2):</w:t>
      </w:r>
      <w:r w:rsidR="00C24B17">
        <w:rPr>
          <w:rFonts w:ascii="Arial" w:hAnsi="Arial" w:cs="Arial"/>
        </w:rPr>
        <w:t>146-155.</w:t>
      </w:r>
    </w:p>
    <w:p w:rsidR="00B16382" w:rsidRDefault="00B16382" w:rsidP="00DE6EE2">
      <w:pPr>
        <w:contextualSpacing/>
        <w:jc w:val="both"/>
        <w:rPr>
          <w:rFonts w:ascii="Arial" w:hAnsi="Arial" w:cs="Arial"/>
        </w:rPr>
      </w:pPr>
    </w:p>
    <w:p w:rsidR="000278C4" w:rsidRPr="00DE6EE2" w:rsidRDefault="00B16382" w:rsidP="00DE6EE2">
      <w:pPr>
        <w:contextualSpacing/>
        <w:jc w:val="both"/>
        <w:rPr>
          <w:rFonts w:ascii="Arial" w:hAnsi="Arial" w:cs="Arial"/>
        </w:rPr>
      </w:pPr>
      <w:r>
        <w:rPr>
          <w:rFonts w:ascii="Arial" w:hAnsi="Arial" w:cs="Arial"/>
        </w:rPr>
        <w:tab/>
      </w:r>
      <w:r w:rsidR="000278C4" w:rsidRPr="00DE6EE2">
        <w:rPr>
          <w:rFonts w:ascii="Arial" w:hAnsi="Arial" w:cs="Arial"/>
        </w:rPr>
        <w:t>Reekie WD</w:t>
      </w:r>
    </w:p>
    <w:p w:rsidR="000278C4" w:rsidRPr="00DE6EE2" w:rsidRDefault="00E10380" w:rsidP="00DE6EE2">
      <w:pPr>
        <w:contextualSpacing/>
        <w:jc w:val="both"/>
        <w:rPr>
          <w:rFonts w:ascii="Arial" w:hAnsi="Arial" w:cs="Arial"/>
        </w:rPr>
      </w:pPr>
      <w:r w:rsidRPr="00DE6EE2">
        <w:rPr>
          <w:rFonts w:ascii="Arial" w:hAnsi="Arial" w:cs="Arial"/>
        </w:rPr>
        <w:tab/>
      </w:r>
      <w:r w:rsidR="000278C4" w:rsidRPr="00DE6EE2">
        <w:rPr>
          <w:rFonts w:ascii="Arial" w:hAnsi="Arial" w:cs="Arial"/>
        </w:rPr>
        <w:t xml:space="preserve">1999. The Competition Act, 1998: An Economic Perspective. </w:t>
      </w:r>
      <w:r w:rsidR="000278C4" w:rsidRPr="00DE6EE2">
        <w:rPr>
          <w:rFonts w:ascii="Arial" w:hAnsi="Arial" w:cs="Arial"/>
          <w:i/>
        </w:rPr>
        <w:t xml:space="preserve">South African </w:t>
      </w:r>
      <w:r w:rsidR="00DE6EE2">
        <w:rPr>
          <w:rFonts w:ascii="Arial" w:hAnsi="Arial" w:cs="Arial"/>
          <w:i/>
        </w:rPr>
        <w:tab/>
      </w:r>
      <w:r w:rsidR="000278C4" w:rsidRPr="00DE6EE2">
        <w:rPr>
          <w:rFonts w:ascii="Arial" w:hAnsi="Arial" w:cs="Arial"/>
          <w:i/>
        </w:rPr>
        <w:t xml:space="preserve">Journal of Economics </w:t>
      </w:r>
      <w:r w:rsidR="000278C4" w:rsidRPr="00DE6EE2">
        <w:rPr>
          <w:rFonts w:ascii="Arial" w:hAnsi="Arial" w:cs="Arial"/>
        </w:rPr>
        <w:t>67(2):258-289.</w:t>
      </w:r>
    </w:p>
    <w:p w:rsidR="000278C4" w:rsidRPr="00DE6EE2" w:rsidRDefault="000278C4" w:rsidP="00DE6EE2">
      <w:pPr>
        <w:contextualSpacing/>
        <w:jc w:val="both"/>
        <w:rPr>
          <w:rFonts w:ascii="Arial" w:hAnsi="Arial" w:cs="Arial"/>
        </w:rPr>
      </w:pPr>
    </w:p>
    <w:p w:rsidR="00061E7F" w:rsidRDefault="002D7F99" w:rsidP="00DE6EE2">
      <w:pPr>
        <w:contextualSpacing/>
        <w:jc w:val="both"/>
        <w:rPr>
          <w:rFonts w:ascii="Arial" w:hAnsi="Arial" w:cs="Arial"/>
        </w:rPr>
      </w:pPr>
      <w:r w:rsidRPr="00DE6EE2">
        <w:rPr>
          <w:rFonts w:ascii="Arial" w:hAnsi="Arial" w:cs="Arial"/>
        </w:rPr>
        <w:tab/>
      </w:r>
      <w:r w:rsidR="00061E7F">
        <w:rPr>
          <w:rFonts w:ascii="Arial" w:hAnsi="Arial" w:cs="Arial"/>
        </w:rPr>
        <w:t>Rojas C</w:t>
      </w:r>
    </w:p>
    <w:p w:rsidR="00061E7F" w:rsidRDefault="00061E7F" w:rsidP="00061E7F">
      <w:pPr>
        <w:contextualSpacing/>
        <w:jc w:val="both"/>
        <w:rPr>
          <w:rFonts w:ascii="Arial" w:hAnsi="Arial" w:cs="Arial"/>
        </w:rPr>
      </w:pPr>
      <w:r>
        <w:rPr>
          <w:rFonts w:ascii="Arial" w:hAnsi="Arial" w:cs="Arial"/>
        </w:rPr>
        <w:tab/>
        <w:t xml:space="preserve">2011. </w:t>
      </w:r>
      <w:r w:rsidRPr="00061E7F">
        <w:rPr>
          <w:rFonts w:ascii="Arial" w:hAnsi="Arial" w:cs="Arial"/>
        </w:rPr>
        <w:t>Marke</w:t>
      </w:r>
      <w:r>
        <w:rPr>
          <w:rFonts w:ascii="Arial" w:hAnsi="Arial" w:cs="Arial"/>
        </w:rPr>
        <w:t xml:space="preserve">t Power and the Lerner Index: A </w:t>
      </w:r>
      <w:r w:rsidRPr="00061E7F">
        <w:rPr>
          <w:rFonts w:ascii="Arial" w:hAnsi="Arial" w:cs="Arial"/>
        </w:rPr>
        <w:t>Classroom Experiment</w:t>
      </w:r>
      <w:r>
        <w:rPr>
          <w:rFonts w:ascii="Arial" w:hAnsi="Arial" w:cs="Arial"/>
        </w:rPr>
        <w:t xml:space="preserve">. </w:t>
      </w:r>
      <w:r w:rsidRPr="00061E7F">
        <w:rPr>
          <w:rFonts w:ascii="Arial" w:hAnsi="Arial" w:cs="Arial"/>
          <w:i/>
        </w:rPr>
        <w:t xml:space="preserve">Journal </w:t>
      </w:r>
      <w:r>
        <w:rPr>
          <w:rFonts w:ascii="Arial" w:hAnsi="Arial" w:cs="Arial"/>
          <w:i/>
        </w:rPr>
        <w:tab/>
      </w:r>
      <w:r w:rsidRPr="00061E7F">
        <w:rPr>
          <w:rFonts w:ascii="Arial" w:hAnsi="Arial" w:cs="Arial"/>
          <w:i/>
        </w:rPr>
        <w:t>of Industrial Organization Education</w:t>
      </w:r>
      <w:r>
        <w:rPr>
          <w:rFonts w:ascii="Arial" w:hAnsi="Arial" w:cs="Arial"/>
        </w:rPr>
        <w:t xml:space="preserve"> 5(1):Article2.</w:t>
      </w:r>
    </w:p>
    <w:p w:rsidR="00061E7F" w:rsidRDefault="00061E7F" w:rsidP="00DE6EE2">
      <w:pPr>
        <w:contextualSpacing/>
        <w:jc w:val="both"/>
        <w:rPr>
          <w:rFonts w:ascii="Arial" w:hAnsi="Arial" w:cs="Arial"/>
        </w:rPr>
      </w:pPr>
    </w:p>
    <w:p w:rsidR="000C49C0" w:rsidRPr="00DE6EE2" w:rsidRDefault="00061E7F" w:rsidP="00DE6EE2">
      <w:pPr>
        <w:contextualSpacing/>
        <w:jc w:val="both"/>
        <w:rPr>
          <w:rFonts w:ascii="Arial" w:hAnsi="Arial" w:cs="Arial"/>
        </w:rPr>
      </w:pPr>
      <w:r>
        <w:rPr>
          <w:rFonts w:ascii="Arial" w:hAnsi="Arial" w:cs="Arial"/>
        </w:rPr>
        <w:tab/>
      </w:r>
      <w:r w:rsidR="000C49C0" w:rsidRPr="00DE6EE2">
        <w:rPr>
          <w:rFonts w:ascii="Arial" w:hAnsi="Arial" w:cs="Arial"/>
        </w:rPr>
        <w:t>Romar EJ</w:t>
      </w:r>
    </w:p>
    <w:p w:rsidR="000C49C0" w:rsidRPr="00DE6EE2" w:rsidRDefault="000C49C0" w:rsidP="00DE6EE2">
      <w:pPr>
        <w:contextualSpacing/>
        <w:jc w:val="both"/>
        <w:rPr>
          <w:rFonts w:ascii="Arial" w:hAnsi="Arial" w:cs="Arial"/>
        </w:rPr>
      </w:pPr>
      <w:r w:rsidRPr="00DE6EE2">
        <w:rPr>
          <w:rFonts w:ascii="Arial" w:hAnsi="Arial" w:cs="Arial"/>
        </w:rPr>
        <w:tab/>
        <w:t xml:space="preserve">2008. Noble Markets: The Noble/Slave Ethic in Hayek’s Free Market </w:t>
      </w:r>
      <w:r w:rsidR="00DE6EE2">
        <w:rPr>
          <w:rFonts w:ascii="Arial" w:hAnsi="Arial" w:cs="Arial"/>
        </w:rPr>
        <w:tab/>
      </w:r>
      <w:r w:rsidRPr="00DE6EE2">
        <w:rPr>
          <w:rFonts w:ascii="Arial" w:hAnsi="Arial" w:cs="Arial"/>
        </w:rPr>
        <w:t xml:space="preserve">Capitalism. </w:t>
      </w:r>
      <w:r w:rsidRPr="00DE6EE2">
        <w:rPr>
          <w:rFonts w:ascii="Arial" w:hAnsi="Arial" w:cs="Arial"/>
          <w:i/>
        </w:rPr>
        <w:t>Journal of Business Ethics</w:t>
      </w:r>
      <w:r w:rsidRPr="00DE6EE2">
        <w:rPr>
          <w:rFonts w:ascii="Arial" w:hAnsi="Arial" w:cs="Arial"/>
        </w:rPr>
        <w:t xml:space="preserve"> 2009(85):57–66.</w:t>
      </w:r>
    </w:p>
    <w:p w:rsidR="000C49C0" w:rsidRPr="00DE6EE2" w:rsidRDefault="000C49C0" w:rsidP="00DE6EE2">
      <w:pPr>
        <w:contextualSpacing/>
        <w:jc w:val="both"/>
        <w:rPr>
          <w:rFonts w:ascii="Arial" w:hAnsi="Arial" w:cs="Arial"/>
          <w:b/>
        </w:rPr>
      </w:pPr>
    </w:p>
    <w:p w:rsidR="005B7F2D" w:rsidRPr="00DE6EE2" w:rsidRDefault="005B7F2D" w:rsidP="00DE6EE2">
      <w:pPr>
        <w:contextualSpacing/>
        <w:jc w:val="both"/>
        <w:rPr>
          <w:rFonts w:ascii="Arial" w:hAnsi="Arial" w:cs="Arial"/>
        </w:rPr>
      </w:pPr>
      <w:r w:rsidRPr="00DE6EE2">
        <w:rPr>
          <w:rFonts w:ascii="Arial" w:hAnsi="Arial" w:cs="Arial"/>
        </w:rPr>
        <w:tab/>
        <w:t>Rutherford BR</w:t>
      </w:r>
    </w:p>
    <w:p w:rsidR="005B7F2D" w:rsidRPr="00DE6EE2" w:rsidRDefault="005B7F2D" w:rsidP="00DE6EE2">
      <w:pPr>
        <w:contextualSpacing/>
        <w:jc w:val="both"/>
        <w:rPr>
          <w:rFonts w:ascii="Arial" w:hAnsi="Arial" w:cs="Arial"/>
        </w:rPr>
      </w:pPr>
      <w:r w:rsidRPr="00DE6EE2">
        <w:rPr>
          <w:rFonts w:ascii="Arial" w:hAnsi="Arial" w:cs="Arial"/>
        </w:rPr>
        <w:tab/>
        <w:t xml:space="preserve">1999. An Overview of the New Competition Act. </w:t>
      </w:r>
      <w:r w:rsidRPr="00DE6EE2">
        <w:rPr>
          <w:rFonts w:ascii="Arial" w:hAnsi="Arial" w:cs="Arial"/>
          <w:i/>
        </w:rPr>
        <w:t xml:space="preserve">South African Mercantile Law </w:t>
      </w:r>
      <w:r w:rsidRPr="00DE6EE2">
        <w:rPr>
          <w:rFonts w:ascii="Arial" w:hAnsi="Arial" w:cs="Arial"/>
          <w:i/>
        </w:rPr>
        <w:tab/>
        <w:t>Journal</w:t>
      </w:r>
      <w:r w:rsidRPr="00DE6EE2">
        <w:rPr>
          <w:rFonts w:ascii="Arial" w:hAnsi="Arial" w:cs="Arial"/>
        </w:rPr>
        <w:t xml:space="preserve"> 1999(11):300-310.</w:t>
      </w:r>
    </w:p>
    <w:p w:rsidR="005B7F2D" w:rsidRPr="00DE6EE2" w:rsidRDefault="005B7F2D" w:rsidP="00DE6EE2">
      <w:pPr>
        <w:contextualSpacing/>
        <w:jc w:val="both"/>
        <w:rPr>
          <w:rFonts w:ascii="Arial" w:hAnsi="Arial" w:cs="Arial"/>
        </w:rPr>
      </w:pPr>
    </w:p>
    <w:p w:rsidR="0094384C" w:rsidRDefault="00D328C8" w:rsidP="00DE6EE2">
      <w:pPr>
        <w:contextualSpacing/>
        <w:jc w:val="both"/>
        <w:rPr>
          <w:rFonts w:ascii="Arial" w:hAnsi="Arial" w:cs="Arial"/>
        </w:rPr>
      </w:pPr>
      <w:r w:rsidRPr="00DE6EE2">
        <w:rPr>
          <w:rFonts w:ascii="Arial" w:hAnsi="Arial" w:cs="Arial"/>
        </w:rPr>
        <w:tab/>
      </w:r>
      <w:r w:rsidR="0094384C">
        <w:rPr>
          <w:rFonts w:ascii="Arial" w:hAnsi="Arial" w:cs="Arial"/>
        </w:rPr>
        <w:t>Stigler GJ</w:t>
      </w:r>
    </w:p>
    <w:p w:rsidR="0094384C" w:rsidRPr="0094384C" w:rsidRDefault="0094384C" w:rsidP="00DE6EE2">
      <w:pPr>
        <w:contextualSpacing/>
        <w:jc w:val="both"/>
        <w:rPr>
          <w:rFonts w:ascii="Arial" w:hAnsi="Arial" w:cs="Arial"/>
        </w:rPr>
      </w:pPr>
      <w:r>
        <w:rPr>
          <w:rFonts w:ascii="Arial" w:hAnsi="Arial" w:cs="Arial"/>
        </w:rPr>
        <w:tab/>
        <w:t xml:space="preserve">1982. </w:t>
      </w:r>
      <w:r w:rsidRPr="0094384C">
        <w:rPr>
          <w:rFonts w:ascii="Arial" w:hAnsi="Arial" w:cs="Arial"/>
        </w:rPr>
        <w:t>The Economists and the Problem of Monopoly</w:t>
      </w:r>
      <w:r>
        <w:rPr>
          <w:rFonts w:ascii="Arial" w:hAnsi="Arial" w:cs="Arial"/>
        </w:rPr>
        <w:t xml:space="preserve">. </w:t>
      </w:r>
      <w:r w:rsidRPr="0094384C">
        <w:rPr>
          <w:rFonts w:ascii="Arial" w:hAnsi="Arial" w:cs="Arial"/>
          <w:i/>
        </w:rPr>
        <w:t xml:space="preserve">The American </w:t>
      </w:r>
      <w:r>
        <w:rPr>
          <w:rFonts w:ascii="Arial" w:hAnsi="Arial" w:cs="Arial"/>
          <w:i/>
        </w:rPr>
        <w:tab/>
      </w:r>
      <w:r w:rsidRPr="0094384C">
        <w:rPr>
          <w:rFonts w:ascii="Arial" w:hAnsi="Arial" w:cs="Arial"/>
          <w:i/>
        </w:rPr>
        <w:t>Economic Review</w:t>
      </w:r>
      <w:r>
        <w:rPr>
          <w:rFonts w:ascii="Arial" w:hAnsi="Arial" w:cs="Arial"/>
          <w:i/>
        </w:rPr>
        <w:t xml:space="preserve"> </w:t>
      </w:r>
      <w:r>
        <w:rPr>
          <w:rFonts w:ascii="Arial" w:hAnsi="Arial" w:cs="Arial"/>
        </w:rPr>
        <w:t>72(2):1-11.</w:t>
      </w:r>
    </w:p>
    <w:p w:rsidR="0094384C" w:rsidRDefault="0094384C" w:rsidP="00DE6EE2">
      <w:pPr>
        <w:contextualSpacing/>
        <w:jc w:val="both"/>
        <w:rPr>
          <w:rFonts w:ascii="Arial" w:hAnsi="Arial" w:cs="Arial"/>
        </w:rPr>
      </w:pPr>
    </w:p>
    <w:p w:rsidR="00AD656C" w:rsidRDefault="0094384C" w:rsidP="00DE6EE2">
      <w:pPr>
        <w:contextualSpacing/>
        <w:jc w:val="both"/>
        <w:rPr>
          <w:rFonts w:ascii="Arial" w:hAnsi="Arial" w:cs="Arial"/>
        </w:rPr>
      </w:pPr>
      <w:r>
        <w:rPr>
          <w:rFonts w:ascii="Arial" w:hAnsi="Arial" w:cs="Arial"/>
        </w:rPr>
        <w:tab/>
      </w:r>
      <w:r w:rsidR="00AD656C">
        <w:rPr>
          <w:rFonts w:ascii="Arial" w:hAnsi="Arial" w:cs="Arial"/>
        </w:rPr>
        <w:t>Tardif TJ and Weisman DL</w:t>
      </w:r>
    </w:p>
    <w:p w:rsidR="00AD656C" w:rsidRDefault="00AD656C" w:rsidP="00DE6EE2">
      <w:pPr>
        <w:contextualSpacing/>
        <w:jc w:val="both"/>
        <w:rPr>
          <w:rFonts w:ascii="Arial" w:hAnsi="Arial" w:cs="Arial"/>
        </w:rPr>
      </w:pPr>
      <w:r>
        <w:rPr>
          <w:rFonts w:ascii="Arial" w:hAnsi="Arial" w:cs="Arial"/>
        </w:rPr>
        <w:tab/>
        <w:t xml:space="preserve">2009. </w:t>
      </w:r>
      <w:r w:rsidRPr="00AD656C">
        <w:rPr>
          <w:rFonts w:ascii="Arial" w:hAnsi="Arial" w:cs="Arial"/>
          <w:i/>
        </w:rPr>
        <w:t>THE DOMINANT FIRM REVISITED</w:t>
      </w:r>
      <w:r>
        <w:rPr>
          <w:rFonts w:ascii="Arial" w:hAnsi="Arial" w:cs="Arial"/>
        </w:rPr>
        <w:t xml:space="preserve">. </w:t>
      </w:r>
      <w:r w:rsidRPr="00AD656C">
        <w:rPr>
          <w:rFonts w:ascii="Arial" w:hAnsi="Arial" w:cs="Arial"/>
          <w:i/>
        </w:rPr>
        <w:t xml:space="preserve">Journal of Competition Law &amp; </w:t>
      </w:r>
      <w:r w:rsidRPr="00AD656C">
        <w:rPr>
          <w:rFonts w:ascii="Arial" w:hAnsi="Arial" w:cs="Arial"/>
          <w:i/>
        </w:rPr>
        <w:tab/>
        <w:t>Economics</w:t>
      </w:r>
      <w:r>
        <w:rPr>
          <w:rFonts w:ascii="Arial" w:hAnsi="Arial" w:cs="Arial"/>
        </w:rPr>
        <w:t xml:space="preserve"> 5(3):517-536.</w:t>
      </w:r>
    </w:p>
    <w:p w:rsidR="00AD656C" w:rsidRDefault="00AD656C" w:rsidP="00DE6EE2">
      <w:pPr>
        <w:contextualSpacing/>
        <w:jc w:val="both"/>
        <w:rPr>
          <w:rFonts w:ascii="Arial" w:hAnsi="Arial" w:cs="Arial"/>
        </w:rPr>
      </w:pPr>
    </w:p>
    <w:p w:rsidR="00975CAC" w:rsidRDefault="00AD656C" w:rsidP="00DE6EE2">
      <w:pPr>
        <w:contextualSpacing/>
        <w:jc w:val="both"/>
        <w:rPr>
          <w:rFonts w:ascii="Arial" w:hAnsi="Arial" w:cs="Arial"/>
        </w:rPr>
      </w:pPr>
      <w:r>
        <w:rPr>
          <w:rFonts w:ascii="Arial" w:hAnsi="Arial" w:cs="Arial"/>
        </w:rPr>
        <w:tab/>
      </w:r>
      <w:r w:rsidR="00975CAC">
        <w:rPr>
          <w:rFonts w:ascii="Arial" w:hAnsi="Arial" w:cs="Arial"/>
        </w:rPr>
        <w:t>Theron N</w:t>
      </w:r>
    </w:p>
    <w:p w:rsidR="00975CAC" w:rsidRDefault="00975CAC" w:rsidP="00876123">
      <w:pPr>
        <w:contextualSpacing/>
        <w:jc w:val="both"/>
        <w:rPr>
          <w:rFonts w:ascii="Arial" w:hAnsi="Arial" w:cs="Arial"/>
        </w:rPr>
      </w:pPr>
      <w:r>
        <w:rPr>
          <w:rFonts w:ascii="Arial" w:hAnsi="Arial" w:cs="Arial"/>
        </w:rPr>
        <w:tab/>
        <w:t xml:space="preserve">2001. </w:t>
      </w:r>
      <w:r w:rsidR="00876123" w:rsidRPr="00876123">
        <w:rPr>
          <w:rFonts w:ascii="Arial" w:hAnsi="Arial" w:cs="Arial"/>
        </w:rPr>
        <w:t>The Economics Of Competition Policy: Merger Analysis In South Africa</w:t>
      </w:r>
      <w:r w:rsidR="00876123">
        <w:rPr>
          <w:rFonts w:ascii="Arial" w:hAnsi="Arial" w:cs="Arial"/>
        </w:rPr>
        <w:t xml:space="preserve">. </w:t>
      </w:r>
      <w:r w:rsidR="00876123">
        <w:rPr>
          <w:rFonts w:ascii="Arial" w:hAnsi="Arial" w:cs="Arial"/>
        </w:rPr>
        <w:tab/>
      </w:r>
      <w:r w:rsidRPr="00FF5668">
        <w:rPr>
          <w:rFonts w:ascii="Arial" w:hAnsi="Arial" w:cs="Arial"/>
          <w:i/>
        </w:rPr>
        <w:t>The South African Journal of Economics</w:t>
      </w:r>
      <w:r>
        <w:rPr>
          <w:rFonts w:ascii="Arial" w:hAnsi="Arial" w:cs="Arial"/>
        </w:rPr>
        <w:t xml:space="preserve"> 69(4):614-658.</w:t>
      </w:r>
    </w:p>
    <w:p w:rsidR="00975CAC" w:rsidRDefault="00975CAC" w:rsidP="00DE6EE2">
      <w:pPr>
        <w:contextualSpacing/>
        <w:jc w:val="both"/>
        <w:rPr>
          <w:rFonts w:ascii="Arial" w:hAnsi="Arial" w:cs="Arial"/>
        </w:rPr>
      </w:pPr>
    </w:p>
    <w:p w:rsidR="00A5502B" w:rsidRPr="00DE6EE2" w:rsidRDefault="00975CAC" w:rsidP="00DE6EE2">
      <w:pPr>
        <w:contextualSpacing/>
        <w:jc w:val="both"/>
        <w:rPr>
          <w:rFonts w:ascii="Arial" w:hAnsi="Arial" w:cs="Arial"/>
        </w:rPr>
      </w:pPr>
      <w:r>
        <w:rPr>
          <w:rFonts w:ascii="Arial" w:hAnsi="Arial" w:cs="Arial"/>
        </w:rPr>
        <w:tab/>
      </w:r>
      <w:r w:rsidR="00A5502B" w:rsidRPr="00DE6EE2">
        <w:rPr>
          <w:rFonts w:ascii="Arial" w:hAnsi="Arial" w:cs="Arial"/>
        </w:rPr>
        <w:t>Truu ML</w:t>
      </w:r>
    </w:p>
    <w:p w:rsidR="00A5502B" w:rsidRPr="00DE6EE2" w:rsidRDefault="00A5502B" w:rsidP="00DE6EE2">
      <w:pPr>
        <w:contextualSpacing/>
        <w:jc w:val="both"/>
        <w:rPr>
          <w:rFonts w:ascii="Arial" w:hAnsi="Arial" w:cs="Arial"/>
        </w:rPr>
      </w:pPr>
      <w:r w:rsidRPr="00DE6EE2">
        <w:rPr>
          <w:rFonts w:ascii="Arial" w:hAnsi="Arial" w:cs="Arial"/>
        </w:rPr>
        <w:tab/>
        <w:t xml:space="preserve">1996. Wanted: An Economic System for South Africa. </w:t>
      </w:r>
      <w:r w:rsidRPr="00DE6EE2">
        <w:rPr>
          <w:rFonts w:ascii="Arial" w:hAnsi="Arial" w:cs="Arial"/>
          <w:i/>
        </w:rPr>
        <w:t xml:space="preserve">South African Journal </w:t>
      </w:r>
      <w:r w:rsidR="00DE6EE2">
        <w:rPr>
          <w:rFonts w:ascii="Arial" w:hAnsi="Arial" w:cs="Arial"/>
          <w:i/>
        </w:rPr>
        <w:tab/>
      </w:r>
      <w:r w:rsidRPr="00DE6EE2">
        <w:rPr>
          <w:rFonts w:ascii="Arial" w:hAnsi="Arial" w:cs="Arial"/>
          <w:i/>
        </w:rPr>
        <w:t>of Economic and Management Sciences</w:t>
      </w:r>
      <w:r w:rsidRPr="00DE6EE2">
        <w:rPr>
          <w:rFonts w:ascii="Arial" w:hAnsi="Arial" w:cs="Arial"/>
        </w:rPr>
        <w:t xml:space="preserve"> 47(21):30-60.</w:t>
      </w:r>
    </w:p>
    <w:p w:rsidR="00A5502B" w:rsidRPr="00DE6EE2" w:rsidRDefault="00A5502B" w:rsidP="00DE6EE2">
      <w:pPr>
        <w:contextualSpacing/>
        <w:jc w:val="both"/>
        <w:rPr>
          <w:rFonts w:ascii="Arial" w:hAnsi="Arial" w:cs="Arial"/>
        </w:rPr>
      </w:pPr>
    </w:p>
    <w:p w:rsidR="00865859" w:rsidRDefault="00A5502B" w:rsidP="00DE6EE2">
      <w:pPr>
        <w:contextualSpacing/>
        <w:jc w:val="both"/>
        <w:rPr>
          <w:rFonts w:ascii="Arial" w:hAnsi="Arial" w:cs="Arial"/>
        </w:rPr>
      </w:pPr>
      <w:r w:rsidRPr="00DE6EE2">
        <w:rPr>
          <w:rFonts w:ascii="Arial" w:hAnsi="Arial" w:cs="Arial"/>
        </w:rPr>
        <w:tab/>
      </w:r>
      <w:r w:rsidR="00865859" w:rsidRPr="00865859">
        <w:rPr>
          <w:rFonts w:ascii="Arial" w:hAnsi="Arial" w:cs="Arial"/>
        </w:rPr>
        <w:t>Vallejo</w:t>
      </w:r>
      <w:r w:rsidR="00865859">
        <w:rPr>
          <w:rFonts w:ascii="Arial" w:hAnsi="Arial" w:cs="Arial"/>
        </w:rPr>
        <w:t xml:space="preserve"> H</w:t>
      </w:r>
    </w:p>
    <w:p w:rsidR="00865859" w:rsidRDefault="00865859" w:rsidP="00DE6EE2">
      <w:pPr>
        <w:contextualSpacing/>
        <w:jc w:val="both"/>
        <w:rPr>
          <w:rFonts w:ascii="Arial" w:hAnsi="Arial" w:cs="Arial"/>
        </w:rPr>
      </w:pPr>
      <w:r>
        <w:rPr>
          <w:rFonts w:ascii="Arial" w:hAnsi="Arial" w:cs="Arial"/>
        </w:rPr>
        <w:tab/>
        <w:t xml:space="preserve">2006. </w:t>
      </w:r>
      <w:r w:rsidRPr="00865859">
        <w:rPr>
          <w:rFonts w:ascii="Arial" w:hAnsi="Arial" w:cs="Arial"/>
          <w:i/>
        </w:rPr>
        <w:t>A generalized index of market power</w:t>
      </w:r>
      <w:r w:rsidR="00CD0BA7">
        <w:rPr>
          <w:rFonts w:ascii="Arial" w:hAnsi="Arial" w:cs="Arial"/>
        </w:rPr>
        <w:t>. Revista de Economí</w:t>
      </w:r>
      <w:r>
        <w:rPr>
          <w:rFonts w:ascii="Arial" w:hAnsi="Arial" w:cs="Arial"/>
        </w:rPr>
        <w:t xml:space="preserve">a Del Rosario </w:t>
      </w:r>
      <w:r>
        <w:rPr>
          <w:rFonts w:ascii="Arial" w:hAnsi="Arial" w:cs="Arial"/>
        </w:rPr>
        <w:tab/>
        <w:t>10(2):95-108.</w:t>
      </w:r>
    </w:p>
    <w:p w:rsidR="00204778" w:rsidRDefault="00865859" w:rsidP="00DE6EE2">
      <w:pPr>
        <w:contextualSpacing/>
        <w:jc w:val="both"/>
        <w:rPr>
          <w:rFonts w:ascii="Arial" w:hAnsi="Arial" w:cs="Arial"/>
        </w:rPr>
      </w:pPr>
      <w:r>
        <w:rPr>
          <w:rFonts w:ascii="Arial" w:hAnsi="Arial" w:cs="Arial"/>
        </w:rPr>
        <w:tab/>
      </w:r>
    </w:p>
    <w:p w:rsidR="00D328C8" w:rsidRPr="00DE6EE2" w:rsidRDefault="00204778" w:rsidP="00DE6EE2">
      <w:pPr>
        <w:contextualSpacing/>
        <w:jc w:val="both"/>
        <w:rPr>
          <w:rFonts w:ascii="Arial" w:hAnsi="Arial" w:cs="Arial"/>
        </w:rPr>
      </w:pPr>
      <w:r>
        <w:rPr>
          <w:rFonts w:ascii="Arial" w:hAnsi="Arial" w:cs="Arial"/>
        </w:rPr>
        <w:tab/>
      </w:r>
      <w:r w:rsidR="00D328C8" w:rsidRPr="00DE6EE2">
        <w:rPr>
          <w:rFonts w:ascii="Arial" w:hAnsi="Arial" w:cs="Arial"/>
        </w:rPr>
        <w:t>Venkatasubramanian V</w:t>
      </w:r>
    </w:p>
    <w:p w:rsidR="00D328C8" w:rsidRPr="00DE6EE2" w:rsidRDefault="00D328C8" w:rsidP="00DE6EE2">
      <w:pPr>
        <w:contextualSpacing/>
        <w:jc w:val="both"/>
        <w:rPr>
          <w:rFonts w:ascii="Arial" w:hAnsi="Arial" w:cs="Arial"/>
        </w:rPr>
      </w:pPr>
      <w:r w:rsidRPr="00DE6EE2">
        <w:rPr>
          <w:rFonts w:ascii="Arial" w:hAnsi="Arial" w:cs="Arial"/>
        </w:rPr>
        <w:tab/>
        <w:t xml:space="preserve">2010. Fairness Is an Emergent Self-Organized Property of the Free Market for </w:t>
      </w:r>
      <w:r w:rsidR="00DE6EE2">
        <w:rPr>
          <w:rFonts w:ascii="Arial" w:hAnsi="Arial" w:cs="Arial"/>
        </w:rPr>
        <w:tab/>
      </w:r>
      <w:r w:rsidRPr="00DE6EE2">
        <w:rPr>
          <w:rFonts w:ascii="Arial" w:hAnsi="Arial" w:cs="Arial"/>
        </w:rPr>
        <w:t xml:space="preserve">Labor. </w:t>
      </w:r>
      <w:r w:rsidRPr="00DE6EE2">
        <w:rPr>
          <w:rFonts w:ascii="Arial" w:hAnsi="Arial" w:cs="Arial"/>
          <w:i/>
        </w:rPr>
        <w:t>Entropy</w:t>
      </w:r>
      <w:r w:rsidRPr="00DE6EE2">
        <w:rPr>
          <w:rFonts w:ascii="Arial" w:hAnsi="Arial" w:cs="Arial"/>
        </w:rPr>
        <w:t xml:space="preserve"> 2010(12):1514-1531.</w:t>
      </w:r>
    </w:p>
    <w:p w:rsidR="004A361B" w:rsidRPr="00DE6EE2" w:rsidRDefault="004A361B" w:rsidP="00DE6EE2">
      <w:pPr>
        <w:contextualSpacing/>
        <w:jc w:val="both"/>
        <w:rPr>
          <w:rFonts w:ascii="Arial" w:hAnsi="Arial" w:cs="Arial"/>
        </w:rPr>
      </w:pPr>
    </w:p>
    <w:p w:rsidR="00BD6D25" w:rsidRDefault="001F683F" w:rsidP="00DE6EE2">
      <w:pPr>
        <w:contextualSpacing/>
        <w:jc w:val="both"/>
        <w:rPr>
          <w:rFonts w:ascii="Arial" w:hAnsi="Arial" w:cs="Arial"/>
        </w:rPr>
      </w:pPr>
      <w:r w:rsidRPr="00DE6EE2">
        <w:rPr>
          <w:rFonts w:ascii="Arial" w:hAnsi="Arial" w:cs="Arial"/>
        </w:rPr>
        <w:tab/>
      </w:r>
      <w:r w:rsidR="00BD6D25">
        <w:rPr>
          <w:rFonts w:ascii="Arial" w:hAnsi="Arial" w:cs="Arial"/>
        </w:rPr>
        <w:t>Weis LW</w:t>
      </w:r>
    </w:p>
    <w:p w:rsidR="00BD6D25" w:rsidRPr="00BD6D25" w:rsidRDefault="00BD6D25" w:rsidP="00DE6EE2">
      <w:pPr>
        <w:contextualSpacing/>
        <w:jc w:val="both"/>
        <w:rPr>
          <w:rFonts w:ascii="Arial" w:hAnsi="Arial" w:cs="Arial"/>
        </w:rPr>
      </w:pPr>
      <w:r>
        <w:rPr>
          <w:rFonts w:ascii="Arial" w:hAnsi="Arial" w:cs="Arial"/>
        </w:rPr>
        <w:tab/>
        <w:t xml:space="preserve">1979. </w:t>
      </w:r>
      <w:r w:rsidRPr="00BD6D25">
        <w:rPr>
          <w:rFonts w:ascii="Arial" w:hAnsi="Arial" w:cs="Arial"/>
        </w:rPr>
        <w:t>The Structure-Conduct-Performance Paradigm and Antitrust</w:t>
      </w:r>
      <w:r>
        <w:rPr>
          <w:rFonts w:ascii="Arial" w:hAnsi="Arial" w:cs="Arial"/>
        </w:rPr>
        <w:t xml:space="preserve">. </w:t>
      </w:r>
      <w:r w:rsidRPr="00BD6D25">
        <w:rPr>
          <w:rFonts w:ascii="Arial" w:hAnsi="Arial" w:cs="Arial"/>
          <w:i/>
        </w:rPr>
        <w:t xml:space="preserve">University </w:t>
      </w:r>
      <w:r>
        <w:rPr>
          <w:rFonts w:ascii="Arial" w:hAnsi="Arial" w:cs="Arial"/>
          <w:i/>
        </w:rPr>
        <w:tab/>
      </w:r>
      <w:r w:rsidRPr="00BD6D25">
        <w:rPr>
          <w:rFonts w:ascii="Arial" w:hAnsi="Arial" w:cs="Arial"/>
          <w:i/>
        </w:rPr>
        <w:t>of Pennsylvania Law Review</w:t>
      </w:r>
      <w:r>
        <w:rPr>
          <w:rFonts w:ascii="Arial" w:hAnsi="Arial" w:cs="Arial"/>
          <w:i/>
        </w:rPr>
        <w:t xml:space="preserve"> </w:t>
      </w:r>
      <w:r>
        <w:rPr>
          <w:rFonts w:ascii="Arial" w:hAnsi="Arial" w:cs="Arial"/>
        </w:rPr>
        <w:t>127(4):1104-1140</w:t>
      </w:r>
    </w:p>
    <w:p w:rsidR="00BD6D25" w:rsidRDefault="00BD6D25" w:rsidP="00DE6EE2">
      <w:pPr>
        <w:contextualSpacing/>
        <w:jc w:val="both"/>
        <w:rPr>
          <w:rFonts w:ascii="Arial" w:hAnsi="Arial" w:cs="Arial"/>
        </w:rPr>
      </w:pPr>
    </w:p>
    <w:p w:rsidR="007840B3" w:rsidRDefault="00BD6D25" w:rsidP="00DE6EE2">
      <w:pPr>
        <w:contextualSpacing/>
        <w:jc w:val="both"/>
        <w:rPr>
          <w:rFonts w:ascii="Arial" w:hAnsi="Arial" w:cs="Arial"/>
        </w:rPr>
      </w:pPr>
      <w:r>
        <w:rPr>
          <w:rFonts w:ascii="Arial" w:hAnsi="Arial" w:cs="Arial"/>
        </w:rPr>
        <w:tab/>
      </w:r>
      <w:r w:rsidR="007840B3">
        <w:rPr>
          <w:rFonts w:ascii="Arial" w:hAnsi="Arial" w:cs="Arial"/>
        </w:rPr>
        <w:t>Werden GJ and Froeb LM</w:t>
      </w:r>
    </w:p>
    <w:p w:rsidR="007840B3" w:rsidRDefault="007840B3" w:rsidP="007840B3">
      <w:pPr>
        <w:contextualSpacing/>
        <w:jc w:val="both"/>
        <w:rPr>
          <w:rFonts w:ascii="Arial" w:hAnsi="Arial" w:cs="Arial"/>
        </w:rPr>
      </w:pPr>
      <w:r>
        <w:rPr>
          <w:rFonts w:ascii="Arial" w:hAnsi="Arial" w:cs="Arial"/>
        </w:rPr>
        <w:tab/>
        <w:t xml:space="preserve">1993. </w:t>
      </w:r>
      <w:r w:rsidRPr="007840B3">
        <w:rPr>
          <w:rFonts w:ascii="Arial" w:hAnsi="Arial" w:cs="Arial"/>
        </w:rPr>
        <w:t>Correlation, Ca</w:t>
      </w:r>
      <w:r>
        <w:rPr>
          <w:rFonts w:ascii="Arial" w:hAnsi="Arial" w:cs="Arial"/>
        </w:rPr>
        <w:t xml:space="preserve">usality, and All that Jazz: </w:t>
      </w:r>
      <w:r w:rsidRPr="007840B3">
        <w:rPr>
          <w:rFonts w:ascii="Arial" w:hAnsi="Arial" w:cs="Arial"/>
        </w:rPr>
        <w:t>The Inherent</w:t>
      </w:r>
      <w:r>
        <w:rPr>
          <w:rFonts w:ascii="Arial" w:hAnsi="Arial" w:cs="Arial"/>
        </w:rPr>
        <w:t xml:space="preserve"> Shortcomings  </w:t>
      </w:r>
      <w:r>
        <w:rPr>
          <w:rFonts w:ascii="Arial" w:hAnsi="Arial" w:cs="Arial"/>
        </w:rPr>
        <w:tab/>
        <w:t>of</w:t>
      </w:r>
      <w:r w:rsidR="00536180">
        <w:rPr>
          <w:rFonts w:ascii="Arial" w:hAnsi="Arial" w:cs="Arial"/>
        </w:rPr>
        <w:t xml:space="preserve"> </w:t>
      </w:r>
      <w:r>
        <w:rPr>
          <w:rFonts w:ascii="Arial" w:hAnsi="Arial" w:cs="Arial"/>
        </w:rPr>
        <w:t xml:space="preserve">Price Tests </w:t>
      </w:r>
      <w:r w:rsidRPr="007840B3">
        <w:rPr>
          <w:rFonts w:ascii="Arial" w:hAnsi="Arial" w:cs="Arial"/>
        </w:rPr>
        <w:t>for Antitrust Market Delineation</w:t>
      </w:r>
      <w:r>
        <w:rPr>
          <w:rFonts w:ascii="Arial" w:hAnsi="Arial" w:cs="Arial"/>
        </w:rPr>
        <w:t xml:space="preserve">. </w:t>
      </w:r>
      <w:r w:rsidRPr="007840B3">
        <w:rPr>
          <w:rFonts w:ascii="Arial" w:hAnsi="Arial" w:cs="Arial"/>
          <w:i/>
        </w:rPr>
        <w:t xml:space="preserve">Review of Industrial </w:t>
      </w:r>
      <w:r w:rsidRPr="007840B3">
        <w:rPr>
          <w:rFonts w:ascii="Arial" w:hAnsi="Arial" w:cs="Arial"/>
          <w:i/>
        </w:rPr>
        <w:tab/>
        <w:t>Organization</w:t>
      </w:r>
      <w:r>
        <w:rPr>
          <w:rFonts w:ascii="Arial" w:hAnsi="Arial" w:cs="Arial"/>
        </w:rPr>
        <w:t xml:space="preserve"> 8(1993):</w:t>
      </w:r>
      <w:r w:rsidRPr="007840B3">
        <w:rPr>
          <w:rFonts w:ascii="Arial" w:hAnsi="Arial" w:cs="Arial"/>
        </w:rPr>
        <w:t>329-353</w:t>
      </w:r>
      <w:r>
        <w:rPr>
          <w:rFonts w:ascii="Arial" w:hAnsi="Arial" w:cs="Arial"/>
        </w:rPr>
        <w:t>.</w:t>
      </w:r>
    </w:p>
    <w:p w:rsidR="007840B3" w:rsidRDefault="007840B3" w:rsidP="00DE6EE2">
      <w:pPr>
        <w:contextualSpacing/>
        <w:jc w:val="both"/>
        <w:rPr>
          <w:rFonts w:ascii="Arial" w:hAnsi="Arial" w:cs="Arial"/>
        </w:rPr>
      </w:pPr>
    </w:p>
    <w:p w:rsidR="00536180" w:rsidRDefault="00536180" w:rsidP="00536180">
      <w:pPr>
        <w:contextualSpacing/>
        <w:jc w:val="both"/>
        <w:rPr>
          <w:rFonts w:ascii="Arial" w:hAnsi="Arial" w:cs="Arial"/>
        </w:rPr>
      </w:pPr>
      <w:r>
        <w:rPr>
          <w:rFonts w:ascii="Arial" w:hAnsi="Arial" w:cs="Arial"/>
        </w:rPr>
        <w:tab/>
      </w:r>
      <w:r w:rsidR="00FC2007">
        <w:rPr>
          <w:rFonts w:ascii="Arial" w:hAnsi="Arial" w:cs="Arial"/>
        </w:rPr>
        <w:t>Werden GJ</w:t>
      </w:r>
      <w:r w:rsidR="00FC2007" w:rsidRPr="00536180">
        <w:rPr>
          <w:rFonts w:ascii="Arial" w:hAnsi="Arial" w:cs="Arial"/>
        </w:rPr>
        <w:t xml:space="preserve"> </w:t>
      </w:r>
    </w:p>
    <w:p w:rsidR="00536180" w:rsidRDefault="00536180" w:rsidP="00536180">
      <w:pPr>
        <w:contextualSpacing/>
        <w:jc w:val="both"/>
        <w:rPr>
          <w:rFonts w:ascii="Arial" w:hAnsi="Arial" w:cs="Arial"/>
        </w:rPr>
      </w:pPr>
      <w:r>
        <w:rPr>
          <w:rFonts w:ascii="Arial" w:hAnsi="Arial" w:cs="Arial"/>
        </w:rPr>
        <w:tab/>
        <w:t xml:space="preserve">1992. </w:t>
      </w:r>
      <w:r w:rsidRPr="00536180">
        <w:rPr>
          <w:rFonts w:ascii="Arial" w:hAnsi="Arial" w:cs="Arial"/>
          <w:i/>
        </w:rPr>
        <w:t>Four Suggestions on Market Delineation</w:t>
      </w:r>
      <w:r>
        <w:rPr>
          <w:rFonts w:ascii="Arial" w:hAnsi="Arial" w:cs="Arial"/>
        </w:rPr>
        <w:t>.</w:t>
      </w:r>
      <w:r w:rsidRPr="00536180">
        <w:rPr>
          <w:rFonts w:ascii="Arial" w:hAnsi="Arial" w:cs="Arial"/>
        </w:rPr>
        <w:t xml:space="preserve"> </w:t>
      </w:r>
      <w:r w:rsidRPr="00536180">
        <w:rPr>
          <w:rFonts w:ascii="Arial" w:hAnsi="Arial" w:cs="Arial"/>
          <w:i/>
        </w:rPr>
        <w:t>Antitrust Bulletin</w:t>
      </w:r>
      <w:r>
        <w:rPr>
          <w:rFonts w:ascii="Arial" w:hAnsi="Arial" w:cs="Arial"/>
        </w:rPr>
        <w:t xml:space="preserve"> </w:t>
      </w:r>
      <w:r w:rsidRPr="00536180">
        <w:rPr>
          <w:rFonts w:ascii="Arial" w:hAnsi="Arial" w:cs="Arial"/>
        </w:rPr>
        <w:t>37</w:t>
      </w:r>
      <w:r>
        <w:rPr>
          <w:rFonts w:ascii="Arial" w:hAnsi="Arial" w:cs="Arial"/>
        </w:rPr>
        <w:t>(</w:t>
      </w:r>
      <w:r w:rsidRPr="00536180">
        <w:rPr>
          <w:rFonts w:ascii="Arial" w:hAnsi="Arial" w:cs="Arial"/>
        </w:rPr>
        <w:t>1</w:t>
      </w:r>
      <w:r>
        <w:rPr>
          <w:rFonts w:ascii="Arial" w:hAnsi="Arial" w:cs="Arial"/>
        </w:rPr>
        <w:t>)</w:t>
      </w:r>
      <w:r w:rsidRPr="00536180">
        <w:rPr>
          <w:rFonts w:ascii="Arial" w:hAnsi="Arial" w:cs="Arial"/>
        </w:rPr>
        <w:t>107-</w:t>
      </w:r>
      <w:r>
        <w:rPr>
          <w:rFonts w:ascii="Arial" w:hAnsi="Arial" w:cs="Arial"/>
        </w:rPr>
        <w:tab/>
      </w:r>
      <w:r w:rsidRPr="00536180">
        <w:rPr>
          <w:rFonts w:ascii="Arial" w:hAnsi="Arial" w:cs="Arial"/>
        </w:rPr>
        <w:t>121.</w:t>
      </w:r>
    </w:p>
    <w:p w:rsidR="00536180" w:rsidRDefault="008811C0" w:rsidP="00DE6EE2">
      <w:pPr>
        <w:contextualSpacing/>
        <w:jc w:val="both"/>
        <w:rPr>
          <w:rFonts w:ascii="Arial" w:hAnsi="Arial" w:cs="Arial"/>
        </w:rPr>
      </w:pPr>
      <w:r>
        <w:rPr>
          <w:rFonts w:ascii="Arial" w:hAnsi="Arial" w:cs="Arial"/>
        </w:rPr>
        <w:tab/>
      </w:r>
    </w:p>
    <w:p w:rsidR="004A361B" w:rsidRPr="00DE6EE2" w:rsidRDefault="00536180" w:rsidP="00DE6EE2">
      <w:pPr>
        <w:contextualSpacing/>
        <w:jc w:val="both"/>
        <w:rPr>
          <w:rFonts w:ascii="Arial" w:hAnsi="Arial" w:cs="Arial"/>
        </w:rPr>
      </w:pPr>
      <w:r>
        <w:rPr>
          <w:rFonts w:ascii="Arial" w:hAnsi="Arial" w:cs="Arial"/>
        </w:rPr>
        <w:tab/>
      </w:r>
      <w:r w:rsidR="004A361B" w:rsidRPr="00DE6EE2">
        <w:rPr>
          <w:rFonts w:ascii="Arial" w:hAnsi="Arial" w:cs="Arial"/>
        </w:rPr>
        <w:t>Witztum A</w:t>
      </w:r>
    </w:p>
    <w:p w:rsidR="004A361B" w:rsidRPr="00DE6EE2" w:rsidRDefault="001F683F" w:rsidP="00DE6EE2">
      <w:pPr>
        <w:contextualSpacing/>
        <w:jc w:val="both"/>
        <w:rPr>
          <w:rFonts w:ascii="Arial" w:hAnsi="Arial" w:cs="Arial"/>
        </w:rPr>
      </w:pPr>
      <w:r w:rsidRPr="00DE6EE2">
        <w:rPr>
          <w:rFonts w:ascii="Arial" w:hAnsi="Arial" w:cs="Arial"/>
        </w:rPr>
        <w:tab/>
      </w:r>
      <w:r w:rsidR="004A361B" w:rsidRPr="00DE6EE2">
        <w:rPr>
          <w:rFonts w:ascii="Arial" w:hAnsi="Arial" w:cs="Arial"/>
        </w:rPr>
        <w:t xml:space="preserve">2010. Interdependence, the Invisible Hand, and Equilibrium in Adam Smith. </w:t>
      </w:r>
      <w:r w:rsidR="00DE6EE2">
        <w:rPr>
          <w:rFonts w:ascii="Arial" w:hAnsi="Arial" w:cs="Arial"/>
        </w:rPr>
        <w:tab/>
      </w:r>
      <w:r w:rsidR="004A361B" w:rsidRPr="00DE6EE2">
        <w:rPr>
          <w:rFonts w:ascii="Arial" w:hAnsi="Arial" w:cs="Arial"/>
          <w:i/>
        </w:rPr>
        <w:t xml:space="preserve">History of Political Economy </w:t>
      </w:r>
      <w:r w:rsidR="004A361B" w:rsidRPr="00DE6EE2">
        <w:rPr>
          <w:rFonts w:ascii="Arial" w:hAnsi="Arial" w:cs="Arial"/>
        </w:rPr>
        <w:t>42(1):155-192.</w:t>
      </w:r>
    </w:p>
    <w:p w:rsidR="00D328C8" w:rsidRPr="00DE6EE2" w:rsidRDefault="00D328C8" w:rsidP="00DE6EE2">
      <w:pPr>
        <w:contextualSpacing/>
        <w:jc w:val="both"/>
        <w:rPr>
          <w:rFonts w:ascii="Arial" w:hAnsi="Arial" w:cs="Arial"/>
          <w:b/>
        </w:rPr>
      </w:pPr>
    </w:p>
    <w:p w:rsidR="00D328C8" w:rsidRPr="00DE6EE2" w:rsidRDefault="000E7FD1" w:rsidP="00DE6EE2">
      <w:pPr>
        <w:contextualSpacing/>
        <w:jc w:val="both"/>
        <w:rPr>
          <w:rFonts w:ascii="Arial" w:hAnsi="Arial" w:cs="Arial"/>
          <w:b/>
        </w:rPr>
      </w:pPr>
      <w:r w:rsidRPr="00DE6EE2">
        <w:rPr>
          <w:rFonts w:ascii="Arial" w:hAnsi="Arial" w:cs="Arial"/>
          <w:b/>
        </w:rPr>
        <w:t>Working Papers</w:t>
      </w:r>
      <w:r w:rsidR="003E45AB" w:rsidRPr="00DE6EE2">
        <w:rPr>
          <w:rStyle w:val="Funotenzeichen"/>
          <w:rFonts w:ascii="Arial" w:hAnsi="Arial" w:cs="Arial"/>
          <w:b/>
        </w:rPr>
        <w:footnoteReference w:id="973"/>
      </w:r>
    </w:p>
    <w:p w:rsidR="00BE255B" w:rsidRPr="00DE6EE2" w:rsidRDefault="000E7FD1" w:rsidP="00DE6EE2">
      <w:pPr>
        <w:contextualSpacing/>
        <w:jc w:val="both"/>
        <w:rPr>
          <w:rFonts w:ascii="Arial" w:hAnsi="Arial" w:cs="Arial"/>
        </w:rPr>
      </w:pPr>
      <w:r w:rsidRPr="00DE6EE2">
        <w:rPr>
          <w:rFonts w:ascii="Arial" w:hAnsi="Arial" w:cs="Arial"/>
        </w:rPr>
        <w:tab/>
      </w:r>
    </w:p>
    <w:p w:rsidR="005107B5" w:rsidRDefault="00BE255B" w:rsidP="00DE6EE2">
      <w:pPr>
        <w:contextualSpacing/>
        <w:jc w:val="both"/>
        <w:rPr>
          <w:rFonts w:ascii="Arial" w:hAnsi="Arial" w:cs="Arial"/>
        </w:rPr>
      </w:pPr>
      <w:r w:rsidRPr="00DE6EE2">
        <w:rPr>
          <w:rFonts w:ascii="Arial" w:hAnsi="Arial" w:cs="Arial"/>
        </w:rPr>
        <w:tab/>
      </w:r>
      <w:r w:rsidR="005107B5">
        <w:rPr>
          <w:rFonts w:ascii="Arial" w:hAnsi="Arial" w:cs="Arial"/>
        </w:rPr>
        <w:t>Boshoff WH</w:t>
      </w:r>
    </w:p>
    <w:p w:rsidR="005107B5" w:rsidRPr="005107B5" w:rsidRDefault="005107B5" w:rsidP="005107B5">
      <w:pPr>
        <w:contextualSpacing/>
        <w:jc w:val="both"/>
        <w:rPr>
          <w:rFonts w:ascii="Arial" w:hAnsi="Arial" w:cs="Arial"/>
          <w:i/>
        </w:rPr>
      </w:pPr>
      <w:r>
        <w:rPr>
          <w:rFonts w:ascii="Arial" w:hAnsi="Arial" w:cs="Arial"/>
        </w:rPr>
        <w:tab/>
        <w:t xml:space="preserve">2006. </w:t>
      </w:r>
      <w:r w:rsidRPr="005107B5">
        <w:rPr>
          <w:rFonts w:ascii="Arial" w:hAnsi="Arial" w:cs="Arial"/>
          <w:i/>
        </w:rPr>
        <w:t xml:space="preserve">Quantitative Competition Analysis:  Stationary Tests In </w:t>
      </w:r>
    </w:p>
    <w:p w:rsidR="005107B5" w:rsidRDefault="005107B5" w:rsidP="005107B5">
      <w:pPr>
        <w:contextualSpacing/>
        <w:jc w:val="both"/>
        <w:rPr>
          <w:rFonts w:ascii="Arial" w:hAnsi="Arial" w:cs="Arial"/>
        </w:rPr>
      </w:pPr>
      <w:r w:rsidRPr="005107B5">
        <w:rPr>
          <w:rFonts w:ascii="Arial" w:hAnsi="Arial" w:cs="Arial"/>
          <w:i/>
        </w:rPr>
        <w:tab/>
        <w:t>Geographic Market Definition</w:t>
      </w:r>
      <w:r>
        <w:rPr>
          <w:rFonts w:ascii="Arial" w:hAnsi="Arial" w:cs="Arial"/>
        </w:rPr>
        <w:t xml:space="preserve">. Department of Economics: University of </w:t>
      </w:r>
      <w:r>
        <w:rPr>
          <w:rFonts w:ascii="Arial" w:hAnsi="Arial" w:cs="Arial"/>
        </w:rPr>
        <w:tab/>
      </w:r>
      <w:r w:rsidRPr="00B42079">
        <w:rPr>
          <w:rFonts w:ascii="Arial" w:hAnsi="Arial" w:cs="Arial"/>
        </w:rPr>
        <w:t>Stellen</w:t>
      </w:r>
      <w:r>
        <w:rPr>
          <w:rFonts w:ascii="Arial" w:hAnsi="Arial" w:cs="Arial"/>
        </w:rPr>
        <w:t>bosch. Working Paper 17(2006).</w:t>
      </w:r>
    </w:p>
    <w:p w:rsidR="005107B5" w:rsidRDefault="005107B5" w:rsidP="00DE6EE2">
      <w:pPr>
        <w:contextualSpacing/>
        <w:jc w:val="both"/>
        <w:rPr>
          <w:rFonts w:ascii="Arial" w:hAnsi="Arial" w:cs="Arial"/>
        </w:rPr>
      </w:pPr>
    </w:p>
    <w:p w:rsidR="00D8066F" w:rsidRDefault="005107B5" w:rsidP="00DE6EE2">
      <w:pPr>
        <w:contextualSpacing/>
        <w:jc w:val="both"/>
        <w:rPr>
          <w:rFonts w:ascii="Arial" w:hAnsi="Arial" w:cs="Arial"/>
        </w:rPr>
      </w:pPr>
      <w:r>
        <w:rPr>
          <w:rFonts w:ascii="Arial" w:hAnsi="Arial" w:cs="Arial"/>
        </w:rPr>
        <w:tab/>
      </w:r>
      <w:r w:rsidR="00D8066F">
        <w:rPr>
          <w:rFonts w:ascii="Arial" w:hAnsi="Arial" w:cs="Arial"/>
        </w:rPr>
        <w:t>Boshoff WH</w:t>
      </w:r>
    </w:p>
    <w:p w:rsidR="00D8066F" w:rsidRDefault="00B42079" w:rsidP="00D8066F">
      <w:pPr>
        <w:contextualSpacing/>
        <w:jc w:val="both"/>
        <w:rPr>
          <w:rFonts w:ascii="Arial" w:hAnsi="Arial" w:cs="Arial"/>
        </w:rPr>
      </w:pPr>
      <w:r>
        <w:rPr>
          <w:rFonts w:ascii="Arial" w:hAnsi="Arial" w:cs="Arial"/>
        </w:rPr>
        <w:tab/>
      </w:r>
      <w:r w:rsidR="00D8066F">
        <w:rPr>
          <w:rFonts w:ascii="Arial" w:hAnsi="Arial" w:cs="Arial"/>
        </w:rPr>
        <w:t xml:space="preserve">2011. </w:t>
      </w:r>
      <w:r w:rsidR="00D8066F" w:rsidRPr="002812E4">
        <w:rPr>
          <w:rFonts w:ascii="Arial" w:hAnsi="Arial" w:cs="Arial"/>
          <w:i/>
        </w:rPr>
        <w:t>Advances in price time series tests for antitrust market definition</w:t>
      </w:r>
      <w:r w:rsidR="00D8066F">
        <w:rPr>
          <w:rFonts w:ascii="Arial" w:hAnsi="Arial" w:cs="Arial"/>
        </w:rPr>
        <w:t xml:space="preserve">. </w:t>
      </w:r>
      <w:r>
        <w:rPr>
          <w:rFonts w:ascii="Arial" w:hAnsi="Arial" w:cs="Arial"/>
        </w:rPr>
        <w:tab/>
      </w:r>
      <w:r w:rsidR="005107B5">
        <w:rPr>
          <w:rFonts w:ascii="Arial" w:hAnsi="Arial" w:cs="Arial"/>
        </w:rPr>
        <w:t xml:space="preserve">Department of Economics: </w:t>
      </w:r>
      <w:r>
        <w:rPr>
          <w:rFonts w:ascii="Arial" w:hAnsi="Arial" w:cs="Arial"/>
        </w:rPr>
        <w:t xml:space="preserve">University of </w:t>
      </w:r>
      <w:r w:rsidRPr="00B42079">
        <w:rPr>
          <w:rFonts w:ascii="Arial" w:hAnsi="Arial" w:cs="Arial"/>
        </w:rPr>
        <w:t>Stellen</w:t>
      </w:r>
      <w:r>
        <w:rPr>
          <w:rFonts w:ascii="Arial" w:hAnsi="Arial" w:cs="Arial"/>
        </w:rPr>
        <w:t xml:space="preserve">bosch Economic Working </w:t>
      </w:r>
      <w:r w:rsidR="005107B5">
        <w:rPr>
          <w:rFonts w:ascii="Arial" w:hAnsi="Arial" w:cs="Arial"/>
        </w:rPr>
        <w:tab/>
      </w:r>
      <w:r>
        <w:rPr>
          <w:rFonts w:ascii="Arial" w:hAnsi="Arial" w:cs="Arial"/>
        </w:rPr>
        <w:t xml:space="preserve">Paper: </w:t>
      </w:r>
      <w:r w:rsidRPr="00B42079">
        <w:rPr>
          <w:rFonts w:ascii="Arial" w:hAnsi="Arial" w:cs="Arial"/>
        </w:rPr>
        <w:t>1</w:t>
      </w:r>
      <w:r>
        <w:rPr>
          <w:rFonts w:ascii="Arial" w:hAnsi="Arial" w:cs="Arial"/>
        </w:rPr>
        <w:t>(20</w:t>
      </w:r>
      <w:r w:rsidRPr="00B42079">
        <w:rPr>
          <w:rFonts w:ascii="Arial" w:hAnsi="Arial" w:cs="Arial"/>
        </w:rPr>
        <w:t>11</w:t>
      </w:r>
      <w:r>
        <w:rPr>
          <w:rFonts w:ascii="Arial" w:hAnsi="Arial" w:cs="Arial"/>
        </w:rPr>
        <w:t>).</w:t>
      </w:r>
    </w:p>
    <w:p w:rsidR="00012D0C" w:rsidRDefault="00FC5792" w:rsidP="00DE6EE2">
      <w:pPr>
        <w:contextualSpacing/>
        <w:jc w:val="both"/>
        <w:rPr>
          <w:rFonts w:ascii="Arial" w:hAnsi="Arial" w:cs="Arial"/>
        </w:rPr>
      </w:pPr>
      <w:r>
        <w:rPr>
          <w:rFonts w:ascii="Arial" w:hAnsi="Arial" w:cs="Arial"/>
        </w:rPr>
        <w:tab/>
      </w:r>
    </w:p>
    <w:p w:rsidR="00D8066F" w:rsidRDefault="00012D0C" w:rsidP="00DE6EE2">
      <w:pPr>
        <w:contextualSpacing/>
        <w:jc w:val="both"/>
        <w:rPr>
          <w:rFonts w:ascii="Arial" w:hAnsi="Arial" w:cs="Arial"/>
        </w:rPr>
      </w:pPr>
      <w:r>
        <w:rPr>
          <w:rFonts w:ascii="Arial" w:hAnsi="Arial" w:cs="Arial"/>
        </w:rPr>
        <w:tab/>
      </w:r>
      <w:r w:rsidR="00FC5792">
        <w:rPr>
          <w:rFonts w:ascii="Arial" w:hAnsi="Arial" w:cs="Arial"/>
        </w:rPr>
        <w:t>Competition Commission Annual Report</w:t>
      </w:r>
    </w:p>
    <w:p w:rsidR="00FC5792" w:rsidRDefault="00FC5792" w:rsidP="00DE6EE2">
      <w:pPr>
        <w:contextualSpacing/>
        <w:jc w:val="both"/>
        <w:rPr>
          <w:rFonts w:ascii="Arial" w:hAnsi="Arial" w:cs="Arial"/>
        </w:rPr>
      </w:pPr>
      <w:r>
        <w:rPr>
          <w:rFonts w:ascii="Arial" w:hAnsi="Arial" w:cs="Arial"/>
        </w:rPr>
        <w:tab/>
        <w:t xml:space="preserve">2001. </w:t>
      </w:r>
      <w:r w:rsidRPr="00012D0C">
        <w:rPr>
          <w:rFonts w:ascii="Arial" w:hAnsi="Arial" w:cs="Arial"/>
          <w:i/>
        </w:rPr>
        <w:t>The Annual Report of the South African Competition Commission</w:t>
      </w:r>
      <w:r>
        <w:rPr>
          <w:rFonts w:ascii="Arial" w:hAnsi="Arial" w:cs="Arial"/>
        </w:rPr>
        <w:t>.</w:t>
      </w:r>
      <w:r w:rsidR="00012D0C">
        <w:rPr>
          <w:rFonts w:ascii="Arial" w:hAnsi="Arial" w:cs="Arial"/>
        </w:rPr>
        <w:t xml:space="preserve"> </w:t>
      </w:r>
      <w:r w:rsidR="00012D0C">
        <w:rPr>
          <w:rFonts w:ascii="Arial" w:hAnsi="Arial" w:cs="Arial"/>
        </w:rPr>
        <w:tab/>
        <w:t>Competition Commission: South Africa.</w:t>
      </w:r>
    </w:p>
    <w:p w:rsidR="00FC5792" w:rsidRDefault="00D8066F" w:rsidP="00DE6EE2">
      <w:pPr>
        <w:contextualSpacing/>
        <w:jc w:val="both"/>
        <w:rPr>
          <w:rFonts w:ascii="Arial" w:hAnsi="Arial" w:cs="Arial"/>
        </w:rPr>
      </w:pPr>
      <w:r>
        <w:rPr>
          <w:rFonts w:ascii="Arial" w:hAnsi="Arial" w:cs="Arial"/>
        </w:rPr>
        <w:tab/>
      </w:r>
    </w:p>
    <w:p w:rsidR="00BE255B" w:rsidRPr="00DE6EE2" w:rsidRDefault="00FC5792" w:rsidP="00DE6EE2">
      <w:pPr>
        <w:contextualSpacing/>
        <w:jc w:val="both"/>
        <w:rPr>
          <w:rFonts w:ascii="Arial" w:hAnsi="Arial" w:cs="Arial"/>
        </w:rPr>
      </w:pPr>
      <w:r>
        <w:rPr>
          <w:rFonts w:ascii="Arial" w:hAnsi="Arial" w:cs="Arial"/>
        </w:rPr>
        <w:tab/>
      </w:r>
      <w:r w:rsidR="00BE255B" w:rsidRPr="00DE6EE2">
        <w:rPr>
          <w:rFonts w:ascii="Arial" w:hAnsi="Arial" w:cs="Arial"/>
        </w:rPr>
        <w:t>Chabane N and Machaka J and Molaba N and Roberts S and Taka M</w:t>
      </w:r>
    </w:p>
    <w:p w:rsidR="00BE255B" w:rsidRPr="00DE6EE2" w:rsidRDefault="00BE255B" w:rsidP="00DE6EE2">
      <w:pPr>
        <w:contextualSpacing/>
        <w:jc w:val="both"/>
        <w:rPr>
          <w:rFonts w:ascii="Arial" w:hAnsi="Arial" w:cs="Arial"/>
        </w:rPr>
      </w:pPr>
      <w:r w:rsidRPr="00DE6EE2">
        <w:rPr>
          <w:rFonts w:ascii="Arial" w:hAnsi="Arial" w:cs="Arial"/>
        </w:rPr>
        <w:tab/>
        <w:t xml:space="preserve">2003. </w:t>
      </w:r>
      <w:r w:rsidRPr="00DE6EE2">
        <w:rPr>
          <w:rFonts w:ascii="Arial" w:hAnsi="Arial" w:cs="Arial"/>
          <w:i/>
        </w:rPr>
        <w:t>10 Year Review: Industrial Structure and Competition Policy</w:t>
      </w:r>
      <w:r w:rsidRPr="00DE6EE2">
        <w:rPr>
          <w:rFonts w:ascii="Arial" w:hAnsi="Arial" w:cs="Arial"/>
        </w:rPr>
        <w:t xml:space="preserve">. School of </w:t>
      </w:r>
      <w:r w:rsidRPr="00DE6EE2">
        <w:rPr>
          <w:rFonts w:ascii="Arial" w:hAnsi="Arial" w:cs="Arial"/>
        </w:rPr>
        <w:tab/>
        <w:t>Economic and Business Sciences: University of the Witwatersrand.</w:t>
      </w:r>
    </w:p>
    <w:p w:rsidR="002A59F4" w:rsidRPr="00DE6EE2" w:rsidRDefault="002A59F4" w:rsidP="00DE6EE2">
      <w:pPr>
        <w:contextualSpacing/>
        <w:jc w:val="both"/>
        <w:rPr>
          <w:rFonts w:ascii="Arial" w:hAnsi="Arial" w:cs="Arial"/>
        </w:rPr>
      </w:pPr>
    </w:p>
    <w:p w:rsidR="00012D0C" w:rsidRDefault="00BE255B" w:rsidP="00012D0C">
      <w:pPr>
        <w:contextualSpacing/>
        <w:jc w:val="both"/>
        <w:rPr>
          <w:rFonts w:ascii="Arial" w:hAnsi="Arial" w:cs="Arial"/>
        </w:rPr>
      </w:pPr>
      <w:r w:rsidRPr="00DE6EE2">
        <w:rPr>
          <w:rFonts w:ascii="Arial" w:hAnsi="Arial" w:cs="Arial"/>
        </w:rPr>
        <w:tab/>
      </w:r>
      <w:r w:rsidR="00012D0C">
        <w:rPr>
          <w:rFonts w:ascii="Arial" w:hAnsi="Arial" w:cs="Arial"/>
        </w:rPr>
        <w:t>Cook P</w:t>
      </w:r>
    </w:p>
    <w:p w:rsidR="00012D0C" w:rsidRDefault="00012D0C" w:rsidP="00012D0C">
      <w:pPr>
        <w:contextualSpacing/>
        <w:jc w:val="both"/>
        <w:rPr>
          <w:rFonts w:ascii="Arial" w:hAnsi="Arial" w:cs="Arial"/>
        </w:rPr>
      </w:pPr>
      <w:r>
        <w:rPr>
          <w:rFonts w:ascii="Arial" w:hAnsi="Arial" w:cs="Arial"/>
        </w:rPr>
        <w:tab/>
        <w:t xml:space="preserve">2001. </w:t>
      </w:r>
      <w:r w:rsidRPr="00234055">
        <w:rPr>
          <w:rFonts w:ascii="Arial" w:hAnsi="Arial" w:cs="Arial"/>
          <w:i/>
        </w:rPr>
        <w:t>Competition and Its Regulation: Key Issues</w:t>
      </w:r>
      <w:r>
        <w:rPr>
          <w:rFonts w:ascii="Arial" w:hAnsi="Arial" w:cs="Arial"/>
        </w:rPr>
        <w:t xml:space="preserve">. </w:t>
      </w:r>
      <w:r w:rsidRPr="00F903FF">
        <w:rPr>
          <w:rFonts w:ascii="Arial" w:hAnsi="Arial" w:cs="Arial"/>
        </w:rPr>
        <w:t xml:space="preserve">Centre on Regulation and </w:t>
      </w:r>
      <w:r>
        <w:rPr>
          <w:rFonts w:ascii="Arial" w:hAnsi="Arial" w:cs="Arial"/>
        </w:rPr>
        <w:tab/>
      </w:r>
      <w:r w:rsidRPr="00F903FF">
        <w:rPr>
          <w:rFonts w:ascii="Arial" w:hAnsi="Arial" w:cs="Arial"/>
        </w:rPr>
        <w:t>Competition</w:t>
      </w:r>
      <w:r>
        <w:rPr>
          <w:rFonts w:ascii="Arial" w:hAnsi="Arial" w:cs="Arial"/>
        </w:rPr>
        <w:t xml:space="preserve">: </w:t>
      </w:r>
      <w:r w:rsidRPr="00F903FF">
        <w:rPr>
          <w:rFonts w:ascii="Arial" w:hAnsi="Arial" w:cs="Arial"/>
        </w:rPr>
        <w:t>University of Manchester</w:t>
      </w:r>
      <w:r>
        <w:rPr>
          <w:rFonts w:ascii="Arial" w:hAnsi="Arial" w:cs="Arial"/>
        </w:rPr>
        <w:t>. Working paper 2(2001).</w:t>
      </w:r>
    </w:p>
    <w:p w:rsidR="00012D0C" w:rsidRDefault="00012D0C" w:rsidP="00DE6EE2">
      <w:pPr>
        <w:contextualSpacing/>
        <w:jc w:val="both"/>
        <w:rPr>
          <w:rFonts w:ascii="Arial" w:hAnsi="Arial" w:cs="Arial"/>
        </w:rPr>
      </w:pPr>
    </w:p>
    <w:p w:rsidR="00597CDD" w:rsidRDefault="00012D0C" w:rsidP="00DE6EE2">
      <w:pPr>
        <w:contextualSpacing/>
        <w:jc w:val="both"/>
        <w:rPr>
          <w:rFonts w:ascii="Arial" w:hAnsi="Arial" w:cs="Arial"/>
        </w:rPr>
      </w:pPr>
      <w:r>
        <w:rPr>
          <w:rFonts w:ascii="Arial" w:hAnsi="Arial" w:cs="Arial"/>
        </w:rPr>
        <w:tab/>
      </w:r>
      <w:r w:rsidR="00597CDD">
        <w:rPr>
          <w:rFonts w:ascii="Arial" w:hAnsi="Arial" w:cs="Arial"/>
        </w:rPr>
        <w:t>Dobbs IM</w:t>
      </w:r>
    </w:p>
    <w:p w:rsidR="00597CDD" w:rsidRDefault="00597CDD" w:rsidP="00597CDD">
      <w:pPr>
        <w:contextualSpacing/>
        <w:jc w:val="both"/>
        <w:rPr>
          <w:rFonts w:ascii="Arial" w:hAnsi="Arial" w:cs="Arial"/>
        </w:rPr>
      </w:pPr>
      <w:r>
        <w:rPr>
          <w:rFonts w:ascii="Arial" w:hAnsi="Arial" w:cs="Arial"/>
        </w:rPr>
        <w:tab/>
        <w:t xml:space="preserve">2002. </w:t>
      </w:r>
      <w:r w:rsidRPr="00597CDD">
        <w:rPr>
          <w:rFonts w:ascii="Arial" w:hAnsi="Arial" w:cs="Arial"/>
          <w:i/>
        </w:rPr>
        <w:t xml:space="preserve">Demand, Cost Elasticities and Pricing Benchmarks in the Hypothetical </w:t>
      </w:r>
      <w:r>
        <w:rPr>
          <w:rFonts w:ascii="Arial" w:hAnsi="Arial" w:cs="Arial"/>
          <w:i/>
        </w:rPr>
        <w:tab/>
      </w:r>
      <w:r w:rsidRPr="00597CDD">
        <w:rPr>
          <w:rFonts w:ascii="Arial" w:hAnsi="Arial" w:cs="Arial"/>
          <w:i/>
        </w:rPr>
        <w:t>Monopoly Test: The Consequences of a Simple SSNIP</w:t>
      </w:r>
      <w:r>
        <w:rPr>
          <w:rFonts w:ascii="Arial" w:hAnsi="Arial" w:cs="Arial"/>
        </w:rPr>
        <w:t xml:space="preserve">. School of Business: </w:t>
      </w:r>
      <w:r>
        <w:rPr>
          <w:rFonts w:ascii="Arial" w:hAnsi="Arial" w:cs="Arial"/>
        </w:rPr>
        <w:tab/>
      </w:r>
      <w:r w:rsidRPr="00597CDD">
        <w:rPr>
          <w:rFonts w:ascii="Arial" w:hAnsi="Arial" w:cs="Arial"/>
        </w:rPr>
        <w:t>University of Newcastle</w:t>
      </w:r>
      <w:r>
        <w:rPr>
          <w:rFonts w:ascii="Arial" w:hAnsi="Arial" w:cs="Arial"/>
        </w:rPr>
        <w:t>.</w:t>
      </w:r>
    </w:p>
    <w:p w:rsidR="00597CDD" w:rsidRDefault="00597CDD" w:rsidP="00DE6EE2">
      <w:pPr>
        <w:contextualSpacing/>
        <w:jc w:val="both"/>
        <w:rPr>
          <w:rFonts w:ascii="Arial" w:hAnsi="Arial" w:cs="Arial"/>
        </w:rPr>
      </w:pPr>
    </w:p>
    <w:p w:rsidR="001E0B92" w:rsidRDefault="00597CDD" w:rsidP="00DE6EE2">
      <w:pPr>
        <w:contextualSpacing/>
        <w:jc w:val="both"/>
        <w:rPr>
          <w:rFonts w:ascii="Arial" w:hAnsi="Arial" w:cs="Arial"/>
        </w:rPr>
      </w:pPr>
      <w:r>
        <w:rPr>
          <w:rFonts w:ascii="Arial" w:hAnsi="Arial" w:cs="Arial"/>
        </w:rPr>
        <w:tab/>
      </w:r>
      <w:r w:rsidR="001E0B92" w:rsidRPr="001E0B92">
        <w:rPr>
          <w:rFonts w:ascii="Arial" w:hAnsi="Arial" w:cs="Arial"/>
        </w:rPr>
        <w:t>Fedderke</w:t>
      </w:r>
      <w:r w:rsidR="001E0B92">
        <w:rPr>
          <w:rFonts w:ascii="Arial" w:hAnsi="Arial" w:cs="Arial"/>
        </w:rPr>
        <w:t xml:space="preserve"> J and </w:t>
      </w:r>
      <w:r w:rsidR="001E0B92" w:rsidRPr="001E0B92">
        <w:rPr>
          <w:rFonts w:ascii="Arial" w:hAnsi="Arial" w:cs="Arial"/>
        </w:rPr>
        <w:t>Simbanegavi</w:t>
      </w:r>
      <w:r w:rsidR="001E0B92">
        <w:rPr>
          <w:rFonts w:ascii="Arial" w:hAnsi="Arial" w:cs="Arial"/>
        </w:rPr>
        <w:t xml:space="preserve"> W</w:t>
      </w:r>
    </w:p>
    <w:p w:rsidR="001E0B92" w:rsidRDefault="001E0B92" w:rsidP="001E0B92">
      <w:pPr>
        <w:contextualSpacing/>
        <w:jc w:val="both"/>
        <w:rPr>
          <w:rFonts w:ascii="Arial" w:hAnsi="Arial" w:cs="Arial"/>
        </w:rPr>
      </w:pPr>
      <w:r>
        <w:rPr>
          <w:rFonts w:ascii="Arial" w:hAnsi="Arial" w:cs="Arial"/>
        </w:rPr>
        <w:tab/>
        <w:t xml:space="preserve">2008. </w:t>
      </w:r>
      <w:r w:rsidRPr="001E0B92">
        <w:rPr>
          <w:rFonts w:ascii="Arial" w:hAnsi="Arial" w:cs="Arial"/>
          <w:i/>
        </w:rPr>
        <w:t xml:space="preserve">South African Manufacturing Industry Structure and its Implications for </w:t>
      </w:r>
      <w:r w:rsidRPr="001E0B92">
        <w:rPr>
          <w:rFonts w:ascii="Arial" w:hAnsi="Arial" w:cs="Arial"/>
          <w:i/>
        </w:rPr>
        <w:tab/>
        <w:t>Competition Policy</w:t>
      </w:r>
      <w:r>
        <w:rPr>
          <w:rFonts w:ascii="Arial" w:hAnsi="Arial" w:cs="Arial"/>
        </w:rPr>
        <w:t xml:space="preserve">. School of Economics: University of Cape Town. Working </w:t>
      </w:r>
      <w:r>
        <w:rPr>
          <w:rFonts w:ascii="Arial" w:hAnsi="Arial" w:cs="Arial"/>
        </w:rPr>
        <w:tab/>
        <w:t>paper 11(2008).</w:t>
      </w:r>
    </w:p>
    <w:p w:rsidR="001E0B92" w:rsidRDefault="001E0B92" w:rsidP="00DE6EE2">
      <w:pPr>
        <w:contextualSpacing/>
        <w:jc w:val="both"/>
        <w:rPr>
          <w:rFonts w:ascii="Arial" w:hAnsi="Arial" w:cs="Arial"/>
        </w:rPr>
      </w:pPr>
    </w:p>
    <w:p w:rsidR="00057C16" w:rsidRDefault="001E0B92" w:rsidP="00DE6EE2">
      <w:pPr>
        <w:contextualSpacing/>
        <w:jc w:val="both"/>
        <w:rPr>
          <w:rFonts w:ascii="Arial" w:hAnsi="Arial" w:cs="Arial"/>
        </w:rPr>
      </w:pPr>
      <w:r>
        <w:rPr>
          <w:rFonts w:ascii="Arial" w:hAnsi="Arial" w:cs="Arial"/>
        </w:rPr>
        <w:tab/>
      </w:r>
      <w:r w:rsidR="00057C16" w:rsidRPr="00057C16">
        <w:rPr>
          <w:rFonts w:ascii="Arial" w:hAnsi="Arial" w:cs="Arial"/>
        </w:rPr>
        <w:t>Filistrucchi</w:t>
      </w:r>
      <w:r w:rsidR="00057C16">
        <w:rPr>
          <w:rFonts w:ascii="Arial" w:hAnsi="Arial" w:cs="Arial"/>
        </w:rPr>
        <w:t xml:space="preserve"> L</w:t>
      </w:r>
    </w:p>
    <w:p w:rsidR="00057C16" w:rsidRDefault="00057C16" w:rsidP="00057C16">
      <w:pPr>
        <w:contextualSpacing/>
        <w:jc w:val="both"/>
        <w:rPr>
          <w:rFonts w:ascii="Arial" w:hAnsi="Arial" w:cs="Arial"/>
        </w:rPr>
      </w:pPr>
      <w:r>
        <w:rPr>
          <w:rFonts w:ascii="Arial" w:hAnsi="Arial" w:cs="Arial"/>
        </w:rPr>
        <w:tab/>
        <w:t xml:space="preserve">2008. </w:t>
      </w:r>
      <w:r w:rsidRPr="00057C16">
        <w:rPr>
          <w:rFonts w:ascii="Arial" w:hAnsi="Arial" w:cs="Arial"/>
          <w:i/>
        </w:rPr>
        <w:t>A SSNIP Test for Two-sided Markets: The Case of Media</w:t>
      </w:r>
      <w:r>
        <w:rPr>
          <w:rFonts w:ascii="Arial" w:hAnsi="Arial" w:cs="Arial"/>
        </w:rPr>
        <w:t xml:space="preserve">. </w:t>
      </w:r>
      <w:r w:rsidRPr="00057C16">
        <w:rPr>
          <w:rFonts w:ascii="Arial" w:hAnsi="Arial" w:cs="Arial"/>
        </w:rPr>
        <w:t xml:space="preserve">Tilburg </w:t>
      </w:r>
      <w:r>
        <w:rPr>
          <w:rFonts w:ascii="Arial" w:hAnsi="Arial" w:cs="Arial"/>
        </w:rPr>
        <w:tab/>
      </w:r>
      <w:r w:rsidRPr="00057C16">
        <w:rPr>
          <w:rFonts w:ascii="Arial" w:hAnsi="Arial" w:cs="Arial"/>
        </w:rPr>
        <w:t>University &amp; University of Siena</w:t>
      </w:r>
      <w:r>
        <w:rPr>
          <w:rFonts w:ascii="Arial" w:hAnsi="Arial" w:cs="Arial"/>
        </w:rPr>
        <w:t xml:space="preserve"> </w:t>
      </w:r>
      <w:r w:rsidRPr="00057C16">
        <w:rPr>
          <w:rFonts w:ascii="Arial" w:hAnsi="Arial" w:cs="Arial"/>
        </w:rPr>
        <w:t>Working Paper</w:t>
      </w:r>
      <w:r>
        <w:rPr>
          <w:rFonts w:ascii="Arial" w:hAnsi="Arial" w:cs="Arial"/>
        </w:rPr>
        <w:t>:</w:t>
      </w:r>
      <w:r w:rsidRPr="00057C16">
        <w:rPr>
          <w:rFonts w:ascii="Arial" w:hAnsi="Arial" w:cs="Arial"/>
        </w:rPr>
        <w:t xml:space="preserve"> 08-34</w:t>
      </w:r>
      <w:r>
        <w:rPr>
          <w:rFonts w:ascii="Arial" w:hAnsi="Arial" w:cs="Arial"/>
        </w:rPr>
        <w:t>.</w:t>
      </w:r>
    </w:p>
    <w:p w:rsidR="00057C16" w:rsidRDefault="00057C16" w:rsidP="00DE6EE2">
      <w:pPr>
        <w:contextualSpacing/>
        <w:jc w:val="both"/>
        <w:rPr>
          <w:rFonts w:ascii="Arial" w:hAnsi="Arial" w:cs="Arial"/>
        </w:rPr>
      </w:pPr>
    </w:p>
    <w:p w:rsidR="00B7544C" w:rsidRDefault="00B7544C" w:rsidP="00DE6EE2">
      <w:pPr>
        <w:contextualSpacing/>
        <w:jc w:val="both"/>
        <w:rPr>
          <w:rFonts w:ascii="Arial" w:hAnsi="Arial" w:cs="Arial"/>
        </w:rPr>
      </w:pPr>
      <w:r>
        <w:rPr>
          <w:rFonts w:ascii="Arial" w:hAnsi="Arial" w:cs="Arial"/>
        </w:rPr>
        <w:tab/>
        <w:t>Littlechild S</w:t>
      </w:r>
    </w:p>
    <w:p w:rsidR="00B7544C" w:rsidRDefault="00B7544C" w:rsidP="00DE6EE2">
      <w:pPr>
        <w:contextualSpacing/>
        <w:jc w:val="both"/>
        <w:rPr>
          <w:rFonts w:ascii="Arial" w:hAnsi="Arial" w:cs="Arial"/>
        </w:rPr>
      </w:pPr>
      <w:r>
        <w:rPr>
          <w:rFonts w:ascii="Arial" w:hAnsi="Arial" w:cs="Arial"/>
        </w:rPr>
        <w:tab/>
        <w:t xml:space="preserve">2006. </w:t>
      </w:r>
      <w:r w:rsidRPr="00B7544C">
        <w:rPr>
          <w:rFonts w:ascii="Arial" w:hAnsi="Arial" w:cs="Arial"/>
          <w:i/>
        </w:rPr>
        <w:t>Beyond Regulation</w:t>
      </w:r>
      <w:r>
        <w:rPr>
          <w:rFonts w:ascii="Arial" w:hAnsi="Arial" w:cs="Arial"/>
        </w:rPr>
        <w:t xml:space="preserve">. </w:t>
      </w:r>
      <w:r w:rsidRPr="00B7544C">
        <w:rPr>
          <w:rStyle w:val="Hervorhebung"/>
          <w:rFonts w:ascii="Arial" w:hAnsi="Arial" w:cs="Arial"/>
          <w:i w:val="0"/>
        </w:rPr>
        <w:t>Cambridge Working Papers in Economics</w:t>
      </w:r>
      <w:r>
        <w:rPr>
          <w:rStyle w:val="Hervorhebung"/>
          <w:rFonts w:ascii="Arial" w:hAnsi="Arial" w:cs="Arial"/>
          <w:i w:val="0"/>
        </w:rPr>
        <w:t>: 06/16</w:t>
      </w:r>
      <w:r w:rsidR="00A054CC">
        <w:rPr>
          <w:rStyle w:val="Hervorhebung"/>
          <w:rFonts w:ascii="Arial" w:hAnsi="Arial" w:cs="Arial"/>
          <w:i w:val="0"/>
        </w:rPr>
        <w:t>.</w:t>
      </w:r>
    </w:p>
    <w:p w:rsidR="00B7544C" w:rsidRDefault="00B7544C" w:rsidP="00DE6EE2">
      <w:pPr>
        <w:contextualSpacing/>
        <w:jc w:val="both"/>
        <w:rPr>
          <w:rFonts w:ascii="Arial" w:hAnsi="Arial" w:cs="Arial"/>
        </w:rPr>
      </w:pPr>
    </w:p>
    <w:p w:rsidR="000E7FD1" w:rsidRPr="00DE6EE2" w:rsidRDefault="002812E4" w:rsidP="00DE6EE2">
      <w:pPr>
        <w:contextualSpacing/>
        <w:jc w:val="both"/>
        <w:rPr>
          <w:rFonts w:ascii="Arial" w:hAnsi="Arial" w:cs="Arial"/>
        </w:rPr>
      </w:pPr>
      <w:r>
        <w:rPr>
          <w:rFonts w:ascii="Arial" w:hAnsi="Arial" w:cs="Arial"/>
        </w:rPr>
        <w:tab/>
      </w:r>
      <w:r w:rsidR="000E7FD1" w:rsidRPr="00DE6EE2">
        <w:rPr>
          <w:rFonts w:ascii="Arial" w:hAnsi="Arial" w:cs="Arial"/>
        </w:rPr>
        <w:t>Martin S</w:t>
      </w:r>
    </w:p>
    <w:p w:rsidR="002A59F4" w:rsidRPr="00DE6EE2" w:rsidRDefault="000E7FD1" w:rsidP="00DE6EE2">
      <w:pPr>
        <w:contextualSpacing/>
        <w:jc w:val="both"/>
        <w:rPr>
          <w:rFonts w:ascii="Arial" w:hAnsi="Arial" w:cs="Arial"/>
        </w:rPr>
      </w:pPr>
      <w:r w:rsidRPr="00DE6EE2">
        <w:rPr>
          <w:rFonts w:ascii="Arial" w:hAnsi="Arial" w:cs="Arial"/>
        </w:rPr>
        <w:tab/>
        <w:t xml:space="preserve">2005. </w:t>
      </w:r>
      <w:r w:rsidRPr="00DE6EE2">
        <w:rPr>
          <w:rFonts w:ascii="Arial" w:hAnsi="Arial" w:cs="Arial"/>
          <w:i/>
        </w:rPr>
        <w:t xml:space="preserve">U.S. Antitrust and EU Competition Policy: Where has the Former Been, </w:t>
      </w:r>
      <w:r w:rsidR="00DE6EE2">
        <w:rPr>
          <w:rFonts w:ascii="Arial" w:hAnsi="Arial" w:cs="Arial"/>
          <w:i/>
        </w:rPr>
        <w:tab/>
      </w:r>
      <w:r w:rsidRPr="00DE6EE2">
        <w:rPr>
          <w:rFonts w:ascii="Arial" w:hAnsi="Arial" w:cs="Arial"/>
          <w:i/>
        </w:rPr>
        <w:t>Where is the Latter Going?</w:t>
      </w:r>
      <w:r w:rsidRPr="00DE6EE2">
        <w:rPr>
          <w:rFonts w:ascii="Arial" w:hAnsi="Arial" w:cs="Arial"/>
        </w:rPr>
        <w:t xml:space="preserve"> Department of Economics: Purdue University.</w:t>
      </w:r>
    </w:p>
    <w:p w:rsidR="00D06DEA" w:rsidRDefault="002A59F4" w:rsidP="00D06DEA">
      <w:pPr>
        <w:contextualSpacing/>
        <w:jc w:val="both"/>
        <w:rPr>
          <w:rFonts w:ascii="Arial" w:hAnsi="Arial" w:cs="Arial"/>
        </w:rPr>
      </w:pPr>
      <w:r w:rsidRPr="00DE6EE2">
        <w:rPr>
          <w:rFonts w:ascii="Arial" w:hAnsi="Arial" w:cs="Arial"/>
        </w:rPr>
        <w:tab/>
      </w:r>
    </w:p>
    <w:p w:rsidR="00D06DEA" w:rsidRDefault="00D06DEA" w:rsidP="00D06DEA">
      <w:pPr>
        <w:contextualSpacing/>
        <w:jc w:val="both"/>
        <w:rPr>
          <w:rFonts w:ascii="Arial" w:hAnsi="Arial" w:cs="Arial"/>
        </w:rPr>
      </w:pPr>
      <w:r>
        <w:rPr>
          <w:rFonts w:ascii="Arial" w:hAnsi="Arial" w:cs="Arial"/>
        </w:rPr>
        <w:tab/>
      </w:r>
      <w:r w:rsidRPr="003552C1">
        <w:rPr>
          <w:rFonts w:ascii="Arial" w:hAnsi="Arial" w:cs="Arial"/>
        </w:rPr>
        <w:t>Moresi</w:t>
      </w:r>
      <w:r>
        <w:rPr>
          <w:rFonts w:ascii="Arial" w:hAnsi="Arial" w:cs="Arial"/>
        </w:rPr>
        <w:t xml:space="preserve"> SX and</w:t>
      </w:r>
      <w:r w:rsidRPr="003552C1">
        <w:rPr>
          <w:rFonts w:ascii="Arial" w:hAnsi="Arial" w:cs="Arial"/>
        </w:rPr>
        <w:t xml:space="preserve"> Salop</w:t>
      </w:r>
      <w:r>
        <w:rPr>
          <w:rFonts w:ascii="Arial" w:hAnsi="Arial" w:cs="Arial"/>
        </w:rPr>
        <w:t xml:space="preserve"> SC</w:t>
      </w:r>
      <w:r w:rsidRPr="003552C1">
        <w:rPr>
          <w:rFonts w:ascii="Arial" w:hAnsi="Arial" w:cs="Arial"/>
        </w:rPr>
        <w:t xml:space="preserve"> and Woodbury</w:t>
      </w:r>
      <w:r>
        <w:rPr>
          <w:rFonts w:ascii="Arial" w:hAnsi="Arial" w:cs="Arial"/>
        </w:rPr>
        <w:t xml:space="preserve"> JR</w:t>
      </w:r>
    </w:p>
    <w:p w:rsidR="00D06DEA" w:rsidRDefault="00D06DEA" w:rsidP="00D06DEA">
      <w:pPr>
        <w:contextualSpacing/>
        <w:jc w:val="both"/>
        <w:rPr>
          <w:rFonts w:ascii="Arial" w:hAnsi="Arial" w:cs="Arial"/>
        </w:rPr>
      </w:pPr>
      <w:r>
        <w:rPr>
          <w:rFonts w:ascii="Arial" w:hAnsi="Arial" w:cs="Arial"/>
        </w:rPr>
        <w:tab/>
        <w:t xml:space="preserve">2008. </w:t>
      </w:r>
      <w:r w:rsidRPr="003552C1">
        <w:rPr>
          <w:rFonts w:ascii="Arial" w:hAnsi="Arial" w:cs="Arial"/>
        </w:rPr>
        <w:t>Implementing the Hypo</w:t>
      </w:r>
      <w:r>
        <w:rPr>
          <w:rFonts w:ascii="Arial" w:hAnsi="Arial" w:cs="Arial"/>
        </w:rPr>
        <w:t xml:space="preserve">thetical Monopolist SSNIP Test </w:t>
      </w:r>
      <w:r w:rsidRPr="003552C1">
        <w:rPr>
          <w:rFonts w:ascii="Arial" w:hAnsi="Arial" w:cs="Arial"/>
        </w:rPr>
        <w:t>With Multi-</w:t>
      </w:r>
      <w:r>
        <w:rPr>
          <w:rFonts w:ascii="Arial" w:hAnsi="Arial" w:cs="Arial"/>
        </w:rPr>
        <w:tab/>
      </w:r>
      <w:r w:rsidRPr="003552C1">
        <w:rPr>
          <w:rFonts w:ascii="Arial" w:hAnsi="Arial" w:cs="Arial"/>
        </w:rPr>
        <w:t>Product Firms</w:t>
      </w:r>
      <w:r>
        <w:rPr>
          <w:rFonts w:ascii="Arial" w:hAnsi="Arial" w:cs="Arial"/>
        </w:rPr>
        <w:t>.</w:t>
      </w:r>
      <w:r w:rsidR="00657F28">
        <w:rPr>
          <w:rFonts w:ascii="Arial" w:hAnsi="Arial" w:cs="Arial"/>
        </w:rPr>
        <w:t xml:space="preserve"> </w:t>
      </w:r>
      <w:r>
        <w:rPr>
          <w:rFonts w:ascii="Arial" w:hAnsi="Arial" w:cs="Arial"/>
        </w:rPr>
        <w:t>T</w:t>
      </w:r>
      <w:r w:rsidRPr="003552C1">
        <w:rPr>
          <w:rFonts w:ascii="Arial" w:hAnsi="Arial" w:cs="Arial"/>
        </w:rPr>
        <w:t>he</w:t>
      </w:r>
      <w:r>
        <w:rPr>
          <w:rFonts w:ascii="Arial" w:hAnsi="Arial" w:cs="Arial"/>
        </w:rPr>
        <w:t xml:space="preserve"> A</w:t>
      </w:r>
      <w:r w:rsidRPr="003552C1">
        <w:rPr>
          <w:rFonts w:ascii="Arial" w:hAnsi="Arial" w:cs="Arial"/>
        </w:rPr>
        <w:t>ntitrust</w:t>
      </w:r>
      <w:r>
        <w:rPr>
          <w:rFonts w:ascii="Arial" w:hAnsi="Arial" w:cs="Arial"/>
        </w:rPr>
        <w:t>S</w:t>
      </w:r>
      <w:r w:rsidRPr="003552C1">
        <w:rPr>
          <w:rFonts w:ascii="Arial" w:hAnsi="Arial" w:cs="Arial"/>
        </w:rPr>
        <w:t>ource</w:t>
      </w:r>
      <w:r>
        <w:rPr>
          <w:rFonts w:ascii="Arial" w:hAnsi="Arial" w:cs="Arial"/>
        </w:rPr>
        <w:t>.</w:t>
      </w:r>
    </w:p>
    <w:p w:rsidR="0029319E" w:rsidRPr="00DE6EE2" w:rsidRDefault="0029319E" w:rsidP="00DE6EE2">
      <w:pPr>
        <w:contextualSpacing/>
        <w:jc w:val="both"/>
        <w:rPr>
          <w:rFonts w:ascii="Arial" w:hAnsi="Arial" w:cs="Arial"/>
        </w:rPr>
      </w:pPr>
    </w:p>
    <w:p w:rsidR="00657F28" w:rsidRDefault="00996D6C" w:rsidP="00DE6EE2">
      <w:pPr>
        <w:contextualSpacing/>
        <w:jc w:val="both"/>
        <w:rPr>
          <w:rFonts w:ascii="Arial" w:hAnsi="Arial" w:cs="Arial"/>
        </w:rPr>
      </w:pPr>
      <w:r w:rsidRPr="00DE6EE2">
        <w:rPr>
          <w:rFonts w:ascii="Arial" w:hAnsi="Arial" w:cs="Arial"/>
        </w:rPr>
        <w:tab/>
      </w:r>
      <w:r w:rsidR="00657F28">
        <w:rPr>
          <w:rFonts w:ascii="Arial" w:hAnsi="Arial" w:cs="Arial"/>
        </w:rPr>
        <w:t>Office of Fair Trading</w:t>
      </w:r>
    </w:p>
    <w:p w:rsidR="00657F28" w:rsidRDefault="00657F28" w:rsidP="00DE6EE2">
      <w:pPr>
        <w:contextualSpacing/>
        <w:jc w:val="both"/>
        <w:rPr>
          <w:rFonts w:ascii="Arial" w:hAnsi="Arial" w:cs="Arial"/>
        </w:rPr>
      </w:pPr>
      <w:r>
        <w:rPr>
          <w:rFonts w:ascii="Arial" w:hAnsi="Arial" w:cs="Arial"/>
        </w:rPr>
        <w:tab/>
        <w:t xml:space="preserve">2004. </w:t>
      </w:r>
      <w:r w:rsidRPr="00657F28">
        <w:rPr>
          <w:rFonts w:ascii="Arial" w:hAnsi="Arial" w:cs="Arial"/>
          <w:i/>
        </w:rPr>
        <w:t>Assessment of market power: Understanding Competition Law</w:t>
      </w:r>
      <w:r>
        <w:rPr>
          <w:rFonts w:ascii="Arial" w:hAnsi="Arial" w:cs="Arial"/>
        </w:rPr>
        <w:t xml:space="preserve">. The </w:t>
      </w:r>
      <w:r>
        <w:rPr>
          <w:rFonts w:ascii="Arial" w:hAnsi="Arial" w:cs="Arial"/>
        </w:rPr>
        <w:tab/>
        <w:t xml:space="preserve">Office of Fair Trading. </w:t>
      </w:r>
    </w:p>
    <w:p w:rsidR="00657F28" w:rsidRDefault="00657F28" w:rsidP="00DE6EE2">
      <w:pPr>
        <w:contextualSpacing/>
        <w:jc w:val="both"/>
        <w:rPr>
          <w:rFonts w:ascii="Arial" w:hAnsi="Arial" w:cs="Arial"/>
        </w:rPr>
      </w:pPr>
    </w:p>
    <w:p w:rsidR="00B51DA0" w:rsidRPr="00DE6EE2" w:rsidRDefault="00657F28" w:rsidP="00DE6EE2">
      <w:pPr>
        <w:contextualSpacing/>
        <w:jc w:val="both"/>
        <w:rPr>
          <w:rFonts w:ascii="Arial" w:hAnsi="Arial" w:cs="Arial"/>
        </w:rPr>
      </w:pPr>
      <w:r>
        <w:rPr>
          <w:rFonts w:ascii="Arial" w:hAnsi="Arial" w:cs="Arial"/>
        </w:rPr>
        <w:tab/>
      </w:r>
      <w:r w:rsidR="00B51DA0" w:rsidRPr="00DE6EE2">
        <w:rPr>
          <w:rFonts w:ascii="Arial" w:hAnsi="Arial" w:cs="Arial"/>
        </w:rPr>
        <w:t>Kellman M and Roxo T and Shachmurove Y</w:t>
      </w:r>
    </w:p>
    <w:p w:rsidR="00B51DA0" w:rsidRPr="00DE6EE2" w:rsidRDefault="00996D6C" w:rsidP="00DE6EE2">
      <w:pPr>
        <w:contextualSpacing/>
        <w:jc w:val="both"/>
        <w:rPr>
          <w:rFonts w:ascii="Arial" w:hAnsi="Arial" w:cs="Arial"/>
        </w:rPr>
      </w:pPr>
      <w:r w:rsidRPr="00DE6EE2">
        <w:rPr>
          <w:rFonts w:ascii="Arial" w:hAnsi="Arial" w:cs="Arial"/>
        </w:rPr>
        <w:tab/>
      </w:r>
      <w:r w:rsidR="00B51DA0" w:rsidRPr="00DE6EE2">
        <w:rPr>
          <w:rFonts w:ascii="Arial" w:hAnsi="Arial" w:cs="Arial"/>
        </w:rPr>
        <w:t xml:space="preserve">2003. </w:t>
      </w:r>
      <w:r w:rsidR="00B51DA0" w:rsidRPr="00DE6EE2">
        <w:rPr>
          <w:rFonts w:ascii="Arial" w:hAnsi="Arial" w:cs="Arial"/>
          <w:i/>
        </w:rPr>
        <w:t>South Africa’s International Competitiveness: A Product Level Analysis</w:t>
      </w:r>
      <w:r w:rsidR="00B51DA0" w:rsidRPr="00DE6EE2">
        <w:rPr>
          <w:rFonts w:ascii="Arial" w:hAnsi="Arial" w:cs="Arial"/>
        </w:rPr>
        <w:t xml:space="preserve">. </w:t>
      </w:r>
      <w:r w:rsidR="00DE6EE2">
        <w:rPr>
          <w:rFonts w:ascii="Arial" w:hAnsi="Arial" w:cs="Arial"/>
        </w:rPr>
        <w:tab/>
      </w:r>
      <w:r w:rsidR="00B51DA0" w:rsidRPr="00DE6EE2">
        <w:rPr>
          <w:rFonts w:ascii="Arial" w:hAnsi="Arial" w:cs="Arial"/>
        </w:rPr>
        <w:t xml:space="preserve">Penn Institute for Economic Research Working Paper </w:t>
      </w:r>
      <w:r w:rsidRPr="00DE6EE2">
        <w:rPr>
          <w:rFonts w:ascii="Arial" w:hAnsi="Arial" w:cs="Arial"/>
        </w:rPr>
        <w:t>20(2003).</w:t>
      </w:r>
    </w:p>
    <w:p w:rsidR="00B51DA0" w:rsidRPr="00DE6EE2" w:rsidRDefault="00B51DA0" w:rsidP="00DE6EE2">
      <w:pPr>
        <w:contextualSpacing/>
        <w:jc w:val="both"/>
        <w:rPr>
          <w:rFonts w:ascii="Arial" w:hAnsi="Arial" w:cs="Arial"/>
        </w:rPr>
      </w:pPr>
    </w:p>
    <w:p w:rsidR="00527174" w:rsidRDefault="00DE6EE2" w:rsidP="00DE6EE2">
      <w:pPr>
        <w:contextualSpacing/>
        <w:jc w:val="both"/>
        <w:rPr>
          <w:rFonts w:ascii="Arial" w:hAnsi="Arial" w:cs="Arial"/>
        </w:rPr>
      </w:pPr>
      <w:r>
        <w:rPr>
          <w:rFonts w:ascii="Arial" w:hAnsi="Arial" w:cs="Arial"/>
        </w:rPr>
        <w:tab/>
      </w:r>
      <w:r w:rsidR="00527174">
        <w:rPr>
          <w:rFonts w:ascii="Arial" w:hAnsi="Arial" w:cs="Arial"/>
        </w:rPr>
        <w:t>Ridyard and</w:t>
      </w:r>
      <w:r w:rsidR="00527174" w:rsidRPr="00527174">
        <w:rPr>
          <w:rFonts w:ascii="Arial" w:hAnsi="Arial" w:cs="Arial"/>
        </w:rPr>
        <w:t xml:space="preserve"> Bishop </w:t>
      </w:r>
      <w:r w:rsidR="00527174">
        <w:rPr>
          <w:rFonts w:ascii="Arial" w:hAnsi="Arial" w:cs="Arial"/>
        </w:rPr>
        <w:t>and</w:t>
      </w:r>
      <w:r w:rsidR="00527174" w:rsidRPr="00527174">
        <w:rPr>
          <w:rFonts w:ascii="Arial" w:hAnsi="Arial" w:cs="Arial"/>
        </w:rPr>
        <w:t xml:space="preserve"> Baker</w:t>
      </w:r>
    </w:p>
    <w:p w:rsidR="00527174" w:rsidRDefault="00527174" w:rsidP="00527174">
      <w:pPr>
        <w:contextualSpacing/>
        <w:jc w:val="both"/>
        <w:rPr>
          <w:rFonts w:ascii="Arial" w:hAnsi="Arial" w:cs="Arial"/>
        </w:rPr>
      </w:pPr>
      <w:r>
        <w:rPr>
          <w:rFonts w:ascii="Arial" w:hAnsi="Arial" w:cs="Arial"/>
        </w:rPr>
        <w:tab/>
        <w:t xml:space="preserve">2003. </w:t>
      </w:r>
      <w:r w:rsidRPr="00527174">
        <w:rPr>
          <w:rFonts w:ascii="Arial" w:hAnsi="Arial" w:cs="Arial"/>
          <w:i/>
        </w:rPr>
        <w:t xml:space="preserve">Goldilocks and the three bears - the story of market definition and the </w:t>
      </w:r>
      <w:r w:rsidRPr="00527174">
        <w:rPr>
          <w:rFonts w:ascii="Arial" w:hAnsi="Arial" w:cs="Arial"/>
          <w:i/>
        </w:rPr>
        <w:tab/>
        <w:t>cruise mergers</w:t>
      </w:r>
      <w:r>
        <w:rPr>
          <w:rFonts w:ascii="Arial" w:hAnsi="Arial" w:cs="Arial"/>
        </w:rPr>
        <w:t>. RBB Economics: RBB Publications.</w:t>
      </w:r>
    </w:p>
    <w:p w:rsidR="00527174" w:rsidRDefault="00527174" w:rsidP="00DE6EE2">
      <w:pPr>
        <w:contextualSpacing/>
        <w:jc w:val="both"/>
        <w:rPr>
          <w:rFonts w:ascii="Arial" w:hAnsi="Arial" w:cs="Arial"/>
        </w:rPr>
      </w:pPr>
    </w:p>
    <w:p w:rsidR="004D2258" w:rsidRPr="00DE6EE2" w:rsidRDefault="00527174" w:rsidP="00DE6EE2">
      <w:pPr>
        <w:contextualSpacing/>
        <w:jc w:val="both"/>
        <w:rPr>
          <w:rFonts w:ascii="Arial" w:hAnsi="Arial" w:cs="Arial"/>
        </w:rPr>
      </w:pPr>
      <w:r>
        <w:rPr>
          <w:rFonts w:ascii="Arial" w:hAnsi="Arial" w:cs="Arial"/>
        </w:rPr>
        <w:tab/>
      </w:r>
      <w:r w:rsidR="004D2258" w:rsidRPr="00DE6EE2">
        <w:rPr>
          <w:rFonts w:ascii="Arial" w:hAnsi="Arial" w:cs="Arial"/>
        </w:rPr>
        <w:t>Roberts S</w:t>
      </w:r>
    </w:p>
    <w:p w:rsidR="004D2258" w:rsidRPr="00DE6EE2" w:rsidRDefault="004D2258" w:rsidP="00DE6EE2">
      <w:pPr>
        <w:contextualSpacing/>
        <w:jc w:val="both"/>
        <w:rPr>
          <w:rFonts w:ascii="Arial" w:hAnsi="Arial" w:cs="Arial"/>
        </w:rPr>
      </w:pPr>
      <w:r w:rsidRPr="00DE6EE2">
        <w:rPr>
          <w:rFonts w:ascii="Arial" w:hAnsi="Arial" w:cs="Arial"/>
        </w:rPr>
        <w:tab/>
        <w:t xml:space="preserve">2004. </w:t>
      </w:r>
      <w:r w:rsidRPr="00DE6EE2">
        <w:rPr>
          <w:rFonts w:ascii="Arial" w:hAnsi="Arial" w:cs="Arial"/>
          <w:i/>
        </w:rPr>
        <w:t xml:space="preserve">The Role for Competition Policy in Economic Development: The South </w:t>
      </w:r>
      <w:r w:rsidR="00DE6EE2">
        <w:rPr>
          <w:rFonts w:ascii="Arial" w:hAnsi="Arial" w:cs="Arial"/>
          <w:i/>
        </w:rPr>
        <w:tab/>
      </w:r>
      <w:r w:rsidRPr="00DE6EE2">
        <w:rPr>
          <w:rFonts w:ascii="Arial" w:hAnsi="Arial" w:cs="Arial"/>
          <w:i/>
        </w:rPr>
        <w:t>African Experience</w:t>
      </w:r>
      <w:r w:rsidRPr="00DE6EE2">
        <w:rPr>
          <w:rFonts w:ascii="Arial" w:hAnsi="Arial" w:cs="Arial"/>
        </w:rPr>
        <w:t xml:space="preserve">. Trade and Industrial Policy Strategies Working </w:t>
      </w:r>
      <w:r w:rsidR="00DE6EE2">
        <w:rPr>
          <w:rFonts w:ascii="Arial" w:hAnsi="Arial" w:cs="Arial"/>
        </w:rPr>
        <w:tab/>
      </w:r>
      <w:r w:rsidRPr="00DE6EE2">
        <w:rPr>
          <w:rFonts w:ascii="Arial" w:hAnsi="Arial" w:cs="Arial"/>
        </w:rPr>
        <w:t xml:space="preserve">Paper </w:t>
      </w:r>
      <w:r w:rsidR="00DE6EE2">
        <w:rPr>
          <w:rFonts w:ascii="Arial" w:hAnsi="Arial" w:cs="Arial"/>
        </w:rPr>
        <w:tab/>
      </w:r>
      <w:r w:rsidRPr="00DE6EE2">
        <w:rPr>
          <w:rFonts w:ascii="Arial" w:hAnsi="Arial" w:cs="Arial"/>
        </w:rPr>
        <w:t>8(2004).</w:t>
      </w:r>
    </w:p>
    <w:p w:rsidR="001516B8" w:rsidRDefault="001516B8" w:rsidP="00DE6EE2">
      <w:pPr>
        <w:contextualSpacing/>
        <w:jc w:val="both"/>
        <w:rPr>
          <w:rFonts w:ascii="Arial" w:hAnsi="Arial" w:cs="Arial"/>
        </w:rPr>
      </w:pPr>
    </w:p>
    <w:p w:rsidR="00D06DEA" w:rsidRDefault="003552C1" w:rsidP="00DE6EE2">
      <w:pPr>
        <w:contextualSpacing/>
        <w:jc w:val="both"/>
        <w:rPr>
          <w:rFonts w:ascii="Arial" w:hAnsi="Arial" w:cs="Arial"/>
        </w:rPr>
      </w:pPr>
      <w:r>
        <w:rPr>
          <w:rFonts w:ascii="Arial" w:hAnsi="Arial" w:cs="Arial"/>
        </w:rPr>
        <w:tab/>
      </w:r>
      <w:r w:rsidR="00D06DEA">
        <w:rPr>
          <w:rFonts w:ascii="Arial" w:hAnsi="Arial" w:cs="Arial"/>
        </w:rPr>
        <w:t>Stenborg M</w:t>
      </w:r>
    </w:p>
    <w:p w:rsidR="00D06DEA" w:rsidRDefault="00D06DEA" w:rsidP="00D06DEA">
      <w:pPr>
        <w:contextualSpacing/>
        <w:jc w:val="both"/>
        <w:rPr>
          <w:rFonts w:ascii="Arial" w:hAnsi="Arial" w:cs="Arial"/>
        </w:rPr>
      </w:pPr>
      <w:r>
        <w:rPr>
          <w:rFonts w:ascii="Arial" w:hAnsi="Arial" w:cs="Arial"/>
        </w:rPr>
        <w:tab/>
        <w:t xml:space="preserve">2004. </w:t>
      </w:r>
      <w:r w:rsidRPr="000878AE">
        <w:rPr>
          <w:rFonts w:ascii="Arial" w:hAnsi="Arial" w:cs="Arial"/>
          <w:i/>
        </w:rPr>
        <w:t>Biases in the Market Definition Procedure</w:t>
      </w:r>
      <w:r>
        <w:rPr>
          <w:rFonts w:ascii="Arial" w:hAnsi="Arial" w:cs="Arial"/>
        </w:rPr>
        <w:t xml:space="preserve">. </w:t>
      </w:r>
      <w:r w:rsidRPr="00D06DEA">
        <w:rPr>
          <w:rFonts w:ascii="Arial" w:hAnsi="Arial" w:cs="Arial"/>
        </w:rPr>
        <w:t xml:space="preserve">The Research Institute of the </w:t>
      </w:r>
      <w:r>
        <w:rPr>
          <w:rFonts w:ascii="Arial" w:hAnsi="Arial" w:cs="Arial"/>
        </w:rPr>
        <w:tab/>
      </w:r>
      <w:r w:rsidRPr="00D06DEA">
        <w:rPr>
          <w:rFonts w:ascii="Arial" w:hAnsi="Arial" w:cs="Arial"/>
        </w:rPr>
        <w:t>Finn</w:t>
      </w:r>
      <w:r>
        <w:rPr>
          <w:rFonts w:ascii="Arial" w:hAnsi="Arial" w:cs="Arial"/>
        </w:rPr>
        <w:t xml:space="preserve">ish </w:t>
      </w:r>
      <w:r w:rsidRPr="00D06DEA">
        <w:rPr>
          <w:rFonts w:ascii="Arial" w:hAnsi="Arial" w:cs="Arial"/>
        </w:rPr>
        <w:t>Economy</w:t>
      </w:r>
      <w:r>
        <w:rPr>
          <w:rFonts w:ascii="Arial" w:hAnsi="Arial" w:cs="Arial"/>
        </w:rPr>
        <w:t xml:space="preserve"> and Berkeley Roundtable on </w:t>
      </w:r>
      <w:r w:rsidRPr="00D06DEA">
        <w:rPr>
          <w:rFonts w:ascii="Arial" w:hAnsi="Arial" w:cs="Arial"/>
        </w:rPr>
        <w:t>the International Economy</w:t>
      </w:r>
    </w:p>
    <w:p w:rsidR="00D06DEA" w:rsidRDefault="00D06DEA" w:rsidP="00DE6EE2">
      <w:pPr>
        <w:contextualSpacing/>
        <w:jc w:val="both"/>
        <w:rPr>
          <w:rFonts w:ascii="Arial" w:hAnsi="Arial" w:cs="Arial"/>
        </w:rPr>
      </w:pPr>
    </w:p>
    <w:p w:rsidR="001516B8" w:rsidRPr="00DE6EE2" w:rsidRDefault="00D06DEA" w:rsidP="00DE6EE2">
      <w:pPr>
        <w:contextualSpacing/>
        <w:jc w:val="both"/>
        <w:rPr>
          <w:rFonts w:ascii="Arial" w:hAnsi="Arial" w:cs="Arial"/>
        </w:rPr>
      </w:pPr>
      <w:r>
        <w:rPr>
          <w:rFonts w:ascii="Arial" w:hAnsi="Arial" w:cs="Arial"/>
        </w:rPr>
        <w:tab/>
      </w:r>
      <w:r w:rsidR="001516B8" w:rsidRPr="00DE6EE2">
        <w:rPr>
          <w:rFonts w:ascii="Arial" w:hAnsi="Arial" w:cs="Arial"/>
        </w:rPr>
        <w:t>T</w:t>
      </w:r>
      <w:r w:rsidR="00F445C7" w:rsidRPr="00DE6EE2">
        <w:rPr>
          <w:rFonts w:ascii="Arial" w:hAnsi="Arial" w:cs="Arial"/>
        </w:rPr>
        <w:t>ö</w:t>
      </w:r>
      <w:r w:rsidR="001516B8" w:rsidRPr="00DE6EE2">
        <w:rPr>
          <w:rFonts w:ascii="Arial" w:hAnsi="Arial" w:cs="Arial"/>
        </w:rPr>
        <w:t>r</w:t>
      </w:r>
      <w:r w:rsidR="00F445C7" w:rsidRPr="00DE6EE2">
        <w:rPr>
          <w:rFonts w:ascii="Arial" w:hAnsi="Arial" w:cs="Arial"/>
        </w:rPr>
        <w:t>ö</w:t>
      </w:r>
      <w:r w:rsidR="001516B8" w:rsidRPr="00DE6EE2">
        <w:rPr>
          <w:rFonts w:ascii="Arial" w:hAnsi="Arial" w:cs="Arial"/>
        </w:rPr>
        <w:t>k A</w:t>
      </w:r>
    </w:p>
    <w:p w:rsidR="001516B8" w:rsidRPr="00DE6EE2" w:rsidRDefault="001516B8" w:rsidP="00DE6EE2">
      <w:pPr>
        <w:contextualSpacing/>
        <w:jc w:val="both"/>
        <w:rPr>
          <w:rFonts w:ascii="Arial" w:hAnsi="Arial" w:cs="Arial"/>
        </w:rPr>
      </w:pPr>
      <w:r w:rsidRPr="00DE6EE2">
        <w:rPr>
          <w:rFonts w:ascii="Arial" w:hAnsi="Arial" w:cs="Arial"/>
        </w:rPr>
        <w:tab/>
        <w:t xml:space="preserve">2005. </w:t>
      </w:r>
      <w:r w:rsidRPr="00DE6EE2">
        <w:rPr>
          <w:rFonts w:ascii="Arial" w:hAnsi="Arial" w:cs="Arial"/>
          <w:i/>
        </w:rPr>
        <w:t xml:space="preserve">Competition policy reform in South Africa Towards the mainstream CP </w:t>
      </w:r>
      <w:r w:rsidR="00DE6EE2">
        <w:rPr>
          <w:rFonts w:ascii="Arial" w:hAnsi="Arial" w:cs="Arial"/>
          <w:i/>
        </w:rPr>
        <w:tab/>
      </w:r>
      <w:r w:rsidRPr="00DE6EE2">
        <w:rPr>
          <w:rFonts w:ascii="Arial" w:hAnsi="Arial" w:cs="Arial"/>
          <w:i/>
        </w:rPr>
        <w:t>model for ‘transition’ economies in the Third World?</w:t>
      </w:r>
      <w:r w:rsidRPr="00DE6EE2">
        <w:rPr>
          <w:rFonts w:ascii="Arial" w:hAnsi="Arial" w:cs="Arial"/>
        </w:rPr>
        <w:t xml:space="preserve"> Research Group on </w:t>
      </w:r>
      <w:r w:rsidR="00DE6EE2">
        <w:rPr>
          <w:rFonts w:ascii="Arial" w:hAnsi="Arial" w:cs="Arial"/>
        </w:rPr>
        <w:tab/>
      </w:r>
      <w:r w:rsidRPr="00DE6EE2">
        <w:rPr>
          <w:rFonts w:ascii="Arial" w:hAnsi="Arial" w:cs="Arial"/>
        </w:rPr>
        <w:t xml:space="preserve">Micro-integration and Regional Development Studies: University of Veszprém </w:t>
      </w:r>
      <w:r w:rsidR="00DE6EE2">
        <w:rPr>
          <w:rFonts w:ascii="Arial" w:hAnsi="Arial" w:cs="Arial"/>
        </w:rPr>
        <w:tab/>
      </w:r>
      <w:r w:rsidRPr="00DE6EE2">
        <w:rPr>
          <w:rFonts w:ascii="Arial" w:hAnsi="Arial" w:cs="Arial"/>
        </w:rPr>
        <w:t xml:space="preserve">and Hungarian Academy </w:t>
      </w:r>
      <w:r w:rsidRPr="00DE6EE2">
        <w:rPr>
          <w:rFonts w:ascii="Arial" w:hAnsi="Arial" w:cs="Arial"/>
        </w:rPr>
        <w:tab/>
        <w:t>of Sciences.</w:t>
      </w:r>
    </w:p>
    <w:p w:rsidR="00787611" w:rsidRPr="00DE6EE2" w:rsidRDefault="00787611" w:rsidP="00DE6EE2">
      <w:pPr>
        <w:contextualSpacing/>
        <w:jc w:val="both"/>
        <w:rPr>
          <w:rFonts w:ascii="Arial" w:hAnsi="Arial" w:cs="Arial"/>
        </w:rPr>
      </w:pPr>
    </w:p>
    <w:p w:rsidR="00787611" w:rsidRPr="00DE6EE2" w:rsidRDefault="00787611" w:rsidP="00DE6EE2">
      <w:pPr>
        <w:contextualSpacing/>
        <w:jc w:val="both"/>
        <w:rPr>
          <w:rFonts w:ascii="Arial" w:hAnsi="Arial" w:cs="Arial"/>
        </w:rPr>
      </w:pPr>
      <w:r w:rsidRPr="00DE6EE2">
        <w:rPr>
          <w:rFonts w:ascii="Arial" w:hAnsi="Arial" w:cs="Arial"/>
        </w:rPr>
        <w:tab/>
        <w:t xml:space="preserve">Walker M </w:t>
      </w:r>
    </w:p>
    <w:p w:rsidR="00DE6EE2" w:rsidRDefault="00787611" w:rsidP="00DE6EE2">
      <w:pPr>
        <w:contextualSpacing/>
        <w:jc w:val="both"/>
        <w:rPr>
          <w:rFonts w:ascii="Arial" w:hAnsi="Arial" w:cs="Arial"/>
        </w:rPr>
      </w:pPr>
      <w:r w:rsidRPr="00DE6EE2">
        <w:rPr>
          <w:rFonts w:ascii="Arial" w:hAnsi="Arial" w:cs="Arial"/>
        </w:rPr>
        <w:tab/>
        <w:t xml:space="preserve">2006. </w:t>
      </w:r>
      <w:r w:rsidRPr="00DE6EE2">
        <w:rPr>
          <w:rFonts w:ascii="Arial" w:hAnsi="Arial" w:cs="Arial"/>
          <w:i/>
        </w:rPr>
        <w:t xml:space="preserve">Competition Law, Anti-Competitive Behaviour, and Merger Analysis: </w:t>
      </w:r>
      <w:r w:rsidRPr="00DE6EE2">
        <w:rPr>
          <w:rFonts w:ascii="Arial" w:hAnsi="Arial" w:cs="Arial"/>
          <w:i/>
        </w:rPr>
        <w:tab/>
        <w:t>Economic Foundations.</w:t>
      </w:r>
      <w:r w:rsidRPr="00DE6EE2">
        <w:rPr>
          <w:rFonts w:ascii="Arial" w:hAnsi="Arial" w:cs="Arial"/>
        </w:rPr>
        <w:t xml:space="preserve"> </w:t>
      </w:r>
    </w:p>
    <w:p w:rsidR="00787611" w:rsidRPr="00DE6EE2" w:rsidRDefault="00DE6EE2" w:rsidP="00DE6EE2">
      <w:pPr>
        <w:contextualSpacing/>
        <w:jc w:val="both"/>
        <w:rPr>
          <w:rFonts w:ascii="Arial" w:hAnsi="Arial" w:cs="Arial"/>
        </w:rPr>
      </w:pPr>
      <w:r>
        <w:rPr>
          <w:rFonts w:ascii="Arial" w:hAnsi="Arial" w:cs="Arial"/>
        </w:rPr>
        <w:tab/>
      </w:r>
      <w:r w:rsidR="00787611" w:rsidRPr="00DE6EE2">
        <w:rPr>
          <w:rFonts w:ascii="Arial" w:hAnsi="Arial" w:cs="Arial"/>
        </w:rPr>
        <w:t>Office of the General Counsel: Asian Development Bank.</w:t>
      </w:r>
    </w:p>
    <w:p w:rsidR="00241522" w:rsidRPr="00DE6EE2" w:rsidRDefault="00241522" w:rsidP="00DE6EE2">
      <w:pPr>
        <w:contextualSpacing/>
        <w:jc w:val="both"/>
        <w:rPr>
          <w:rFonts w:ascii="Arial" w:hAnsi="Arial" w:cs="Arial"/>
        </w:rPr>
      </w:pPr>
    </w:p>
    <w:p w:rsidR="00B53BB0" w:rsidRPr="00DE6EE2" w:rsidRDefault="00B53BB0" w:rsidP="00DE6EE2">
      <w:pPr>
        <w:contextualSpacing/>
        <w:rPr>
          <w:rFonts w:ascii="Arial" w:hAnsi="Arial" w:cs="Arial"/>
        </w:rPr>
      </w:pPr>
      <w:r w:rsidRPr="00DE6EE2">
        <w:rPr>
          <w:rFonts w:ascii="Arial" w:hAnsi="Arial" w:cs="Arial"/>
          <w:b/>
        </w:rPr>
        <w:t>Conference Papers</w:t>
      </w:r>
    </w:p>
    <w:p w:rsidR="002A59F4" w:rsidRPr="00DE6EE2" w:rsidRDefault="002A59F4" w:rsidP="00DE6EE2">
      <w:pPr>
        <w:contextualSpacing/>
        <w:rPr>
          <w:rFonts w:ascii="Arial" w:hAnsi="Arial" w:cs="Arial"/>
        </w:rPr>
      </w:pPr>
      <w:r w:rsidRPr="00DE6EE2">
        <w:rPr>
          <w:rFonts w:ascii="Arial" w:hAnsi="Arial" w:cs="Arial"/>
        </w:rPr>
        <w:tab/>
      </w:r>
    </w:p>
    <w:p w:rsidR="006F5DCC" w:rsidRDefault="002A59F4" w:rsidP="006F5DCC">
      <w:pPr>
        <w:contextualSpacing/>
        <w:rPr>
          <w:rFonts w:ascii="Arial" w:hAnsi="Arial" w:cs="Arial"/>
        </w:rPr>
      </w:pPr>
      <w:r w:rsidRPr="00DE6EE2">
        <w:rPr>
          <w:rFonts w:ascii="Arial" w:hAnsi="Arial" w:cs="Arial"/>
        </w:rPr>
        <w:tab/>
      </w:r>
      <w:r w:rsidR="006F5DCC" w:rsidRPr="006F5DCC">
        <w:rPr>
          <w:rFonts w:ascii="Arial" w:hAnsi="Arial" w:cs="Arial"/>
        </w:rPr>
        <w:t>Du Plessis S</w:t>
      </w:r>
      <w:r w:rsidR="00822CC8">
        <w:rPr>
          <w:rFonts w:ascii="Arial" w:hAnsi="Arial" w:cs="Arial"/>
        </w:rPr>
        <w:t>A</w:t>
      </w:r>
      <w:r w:rsidR="006F5DCC" w:rsidRPr="006F5DCC">
        <w:rPr>
          <w:rFonts w:ascii="Arial" w:hAnsi="Arial" w:cs="Arial"/>
        </w:rPr>
        <w:t xml:space="preserve"> and Gilbert E</w:t>
      </w:r>
      <w:r w:rsidR="00822CC8">
        <w:rPr>
          <w:rFonts w:ascii="Arial" w:hAnsi="Arial" w:cs="Arial"/>
        </w:rPr>
        <w:t>S</w:t>
      </w:r>
      <w:r w:rsidR="006F5DCC" w:rsidRPr="006F5DCC">
        <w:rPr>
          <w:rFonts w:ascii="Arial" w:hAnsi="Arial" w:cs="Arial"/>
        </w:rPr>
        <w:t xml:space="preserve"> </w:t>
      </w:r>
    </w:p>
    <w:p w:rsidR="006F5DCC" w:rsidRDefault="006F5DCC" w:rsidP="006F5DCC">
      <w:pPr>
        <w:contextualSpacing/>
        <w:rPr>
          <w:rFonts w:ascii="Arial" w:hAnsi="Arial" w:cs="Arial"/>
        </w:rPr>
      </w:pPr>
      <w:r>
        <w:rPr>
          <w:rFonts w:ascii="Arial" w:hAnsi="Arial" w:cs="Arial"/>
        </w:rPr>
        <w:tab/>
      </w:r>
      <w:r w:rsidRPr="006F5DCC">
        <w:rPr>
          <w:rFonts w:ascii="Arial" w:hAnsi="Arial" w:cs="Arial"/>
        </w:rPr>
        <w:t xml:space="preserve">2008. </w:t>
      </w:r>
      <w:r w:rsidRPr="006F5DCC">
        <w:rPr>
          <w:rFonts w:ascii="Arial" w:hAnsi="Arial" w:cs="Arial"/>
          <w:i/>
        </w:rPr>
        <w:t xml:space="preserve">The Structure–Conduct–Performance (SCP) paradigm and its </w:t>
      </w:r>
      <w:r w:rsidRPr="006F5DCC">
        <w:rPr>
          <w:rFonts w:ascii="Arial" w:hAnsi="Arial" w:cs="Arial"/>
          <w:i/>
        </w:rPr>
        <w:tab/>
        <w:t xml:space="preserve">application in South Africa: a review of the empirical evidence and the </w:t>
      </w:r>
      <w:r w:rsidRPr="006F5DCC">
        <w:rPr>
          <w:rFonts w:ascii="Arial" w:hAnsi="Arial" w:cs="Arial"/>
          <w:i/>
        </w:rPr>
        <w:tab/>
        <w:t>implications for competition policy</w:t>
      </w:r>
      <w:r w:rsidRPr="006F5DCC">
        <w:rPr>
          <w:rFonts w:ascii="Arial" w:hAnsi="Arial" w:cs="Arial"/>
        </w:rPr>
        <w:t xml:space="preserve">. </w:t>
      </w:r>
      <w:r>
        <w:rPr>
          <w:rFonts w:ascii="Arial" w:hAnsi="Arial" w:cs="Arial"/>
        </w:rPr>
        <w:t>A</w:t>
      </w:r>
      <w:r w:rsidRPr="006F5DCC">
        <w:rPr>
          <w:rFonts w:ascii="Arial" w:hAnsi="Arial" w:cs="Arial"/>
        </w:rPr>
        <w:t xml:space="preserve">nnual Competition Conference on </w:t>
      </w:r>
      <w:r>
        <w:rPr>
          <w:rFonts w:ascii="Arial" w:hAnsi="Arial" w:cs="Arial"/>
        </w:rPr>
        <w:tab/>
      </w:r>
      <w:r w:rsidRPr="006F5DCC">
        <w:rPr>
          <w:rFonts w:ascii="Arial" w:hAnsi="Arial" w:cs="Arial"/>
        </w:rPr>
        <w:t>Competition Law, Econom</w:t>
      </w:r>
      <w:r>
        <w:rPr>
          <w:rFonts w:ascii="Arial" w:hAnsi="Arial" w:cs="Arial"/>
        </w:rPr>
        <w:t>ics and Policy in South Africa. Johannesburg: 2008.</w:t>
      </w:r>
    </w:p>
    <w:p w:rsidR="002A59F4" w:rsidRPr="00DE6EE2" w:rsidRDefault="006F5DCC" w:rsidP="00DE6EE2">
      <w:pPr>
        <w:contextualSpacing/>
        <w:rPr>
          <w:rFonts w:ascii="Arial" w:hAnsi="Arial" w:cs="Arial"/>
        </w:rPr>
      </w:pPr>
      <w:r>
        <w:rPr>
          <w:rFonts w:ascii="Arial" w:hAnsi="Arial" w:cs="Arial"/>
        </w:rPr>
        <w:tab/>
      </w:r>
      <w:r w:rsidR="002A59F4" w:rsidRPr="00DE6EE2">
        <w:rPr>
          <w:rFonts w:ascii="Arial" w:hAnsi="Arial" w:cs="Arial"/>
        </w:rPr>
        <w:t>Holland M</w:t>
      </w:r>
    </w:p>
    <w:p w:rsidR="002A59F4" w:rsidRPr="00DE6EE2" w:rsidRDefault="002A59F4" w:rsidP="00DE6EE2">
      <w:pPr>
        <w:contextualSpacing/>
        <w:rPr>
          <w:rFonts w:ascii="Arial" w:hAnsi="Arial" w:cs="Arial"/>
        </w:rPr>
      </w:pPr>
      <w:r w:rsidRPr="00DE6EE2">
        <w:rPr>
          <w:rFonts w:ascii="Arial" w:hAnsi="Arial" w:cs="Arial"/>
        </w:rPr>
        <w:tab/>
        <w:t xml:space="preserve">2007. </w:t>
      </w:r>
      <w:r w:rsidRPr="00DE6EE2">
        <w:rPr>
          <w:rFonts w:ascii="Arial" w:hAnsi="Arial" w:cs="Arial"/>
          <w:i/>
        </w:rPr>
        <w:t xml:space="preserve">Two-Sided Markets: A Challenge to Competition Policy? </w:t>
      </w:r>
      <w:r w:rsidRPr="00DE6EE2">
        <w:rPr>
          <w:rFonts w:ascii="Arial" w:hAnsi="Arial" w:cs="Arial"/>
        </w:rPr>
        <w:t xml:space="preserve">Annual </w:t>
      </w:r>
      <w:r w:rsidRPr="00DE6EE2">
        <w:rPr>
          <w:rFonts w:ascii="Arial" w:hAnsi="Arial" w:cs="Arial"/>
        </w:rPr>
        <w:tab/>
        <w:t>Competition</w:t>
      </w:r>
      <w:r w:rsidR="009B5677" w:rsidRPr="00DE6EE2">
        <w:rPr>
          <w:rFonts w:ascii="Arial" w:hAnsi="Arial" w:cs="Arial"/>
        </w:rPr>
        <w:t xml:space="preserve"> </w:t>
      </w:r>
      <w:r w:rsidRPr="00DE6EE2">
        <w:rPr>
          <w:rFonts w:ascii="Arial" w:hAnsi="Arial" w:cs="Arial"/>
        </w:rPr>
        <w:t xml:space="preserve">Conference on Competition Law, Economics and Policy in South </w:t>
      </w:r>
      <w:r w:rsidRPr="00DE6EE2">
        <w:rPr>
          <w:rFonts w:ascii="Arial" w:hAnsi="Arial" w:cs="Arial"/>
        </w:rPr>
        <w:tab/>
        <w:t>Africa. Johannesburg</w:t>
      </w:r>
      <w:r w:rsidR="009B5677" w:rsidRPr="00DE6EE2">
        <w:rPr>
          <w:rFonts w:ascii="Arial" w:hAnsi="Arial" w:cs="Arial"/>
        </w:rPr>
        <w:t>: 2007.</w:t>
      </w:r>
    </w:p>
    <w:p w:rsidR="00E22B84" w:rsidRPr="00DE6EE2" w:rsidRDefault="001B11DE" w:rsidP="00DE6EE2">
      <w:pPr>
        <w:contextualSpacing/>
        <w:rPr>
          <w:rFonts w:ascii="Arial" w:hAnsi="Arial" w:cs="Arial"/>
          <w:b/>
        </w:rPr>
      </w:pPr>
      <w:r w:rsidRPr="00DE6EE2">
        <w:rPr>
          <w:rFonts w:ascii="Arial" w:hAnsi="Arial" w:cs="Arial"/>
          <w:b/>
        </w:rPr>
        <w:tab/>
      </w:r>
    </w:p>
    <w:p w:rsidR="00B53BB0" w:rsidRPr="00DE6EE2" w:rsidRDefault="00E22B84" w:rsidP="00DE6EE2">
      <w:pPr>
        <w:contextualSpacing/>
        <w:rPr>
          <w:rFonts w:ascii="Arial" w:hAnsi="Arial" w:cs="Arial"/>
        </w:rPr>
      </w:pPr>
      <w:r w:rsidRPr="00DE6EE2">
        <w:rPr>
          <w:rFonts w:ascii="Arial" w:hAnsi="Arial" w:cs="Arial"/>
        </w:rPr>
        <w:tab/>
      </w:r>
      <w:r w:rsidR="001B11DE" w:rsidRPr="00DE6EE2">
        <w:rPr>
          <w:rFonts w:ascii="Arial" w:hAnsi="Arial" w:cs="Arial"/>
        </w:rPr>
        <w:t>Jafta RCC</w:t>
      </w:r>
    </w:p>
    <w:p w:rsidR="001B11DE" w:rsidRPr="00DE6EE2" w:rsidRDefault="001B11DE" w:rsidP="00DE6EE2">
      <w:pPr>
        <w:contextualSpacing/>
        <w:rPr>
          <w:rFonts w:ascii="Arial" w:hAnsi="Arial" w:cs="Arial"/>
        </w:rPr>
      </w:pPr>
      <w:r w:rsidRPr="00DE6EE2">
        <w:rPr>
          <w:rFonts w:ascii="Arial" w:hAnsi="Arial" w:cs="Arial"/>
        </w:rPr>
        <w:tab/>
        <w:t xml:space="preserve">1998. </w:t>
      </w:r>
      <w:r w:rsidRPr="00DE6EE2">
        <w:rPr>
          <w:rFonts w:ascii="Arial" w:hAnsi="Arial" w:cs="Arial"/>
          <w:i/>
        </w:rPr>
        <w:t xml:space="preserve">Is South African Competition Policy keeping up with world </w:t>
      </w:r>
      <w:r w:rsidR="00DE6EE2">
        <w:rPr>
          <w:rFonts w:ascii="Arial" w:hAnsi="Arial" w:cs="Arial"/>
          <w:i/>
        </w:rPr>
        <w:tab/>
      </w:r>
      <w:r w:rsidRPr="00DE6EE2">
        <w:rPr>
          <w:rFonts w:ascii="Arial" w:hAnsi="Arial" w:cs="Arial"/>
          <w:i/>
        </w:rPr>
        <w:t>developments?</w:t>
      </w:r>
      <w:r w:rsidRPr="00DE6EE2">
        <w:rPr>
          <w:rFonts w:ascii="Arial" w:hAnsi="Arial" w:cs="Arial"/>
        </w:rPr>
        <w:t xml:space="preserve"> The Annual Legislation &amp; Policy Review Conference. </w:t>
      </w:r>
      <w:r w:rsidR="00DE6EE2">
        <w:rPr>
          <w:rFonts w:ascii="Arial" w:hAnsi="Arial" w:cs="Arial"/>
        </w:rPr>
        <w:tab/>
      </w:r>
      <w:r w:rsidRPr="00DE6EE2">
        <w:rPr>
          <w:rFonts w:ascii="Arial" w:hAnsi="Arial" w:cs="Arial"/>
        </w:rPr>
        <w:t>Randburg: 1998.</w:t>
      </w:r>
    </w:p>
    <w:p w:rsidR="001B11DE" w:rsidRPr="00DE6EE2" w:rsidRDefault="001B11DE" w:rsidP="00DE6EE2">
      <w:pPr>
        <w:contextualSpacing/>
        <w:rPr>
          <w:rFonts w:ascii="Arial" w:hAnsi="Arial" w:cs="Arial"/>
          <w:b/>
        </w:rPr>
      </w:pPr>
    </w:p>
    <w:p w:rsidR="000A33B0" w:rsidRDefault="00731467" w:rsidP="00DE6EE2">
      <w:pPr>
        <w:contextualSpacing/>
        <w:rPr>
          <w:rFonts w:ascii="Arial" w:hAnsi="Arial" w:cs="Arial"/>
        </w:rPr>
      </w:pPr>
      <w:r w:rsidRPr="00DE6EE2">
        <w:rPr>
          <w:rFonts w:ascii="Arial" w:hAnsi="Arial" w:cs="Arial"/>
        </w:rPr>
        <w:tab/>
      </w:r>
      <w:r w:rsidR="000A33B0">
        <w:rPr>
          <w:rFonts w:ascii="Arial" w:hAnsi="Arial" w:cs="Arial"/>
        </w:rPr>
        <w:t>Kahn AE</w:t>
      </w:r>
    </w:p>
    <w:p w:rsidR="000A33B0" w:rsidRDefault="000A33B0" w:rsidP="00DE6EE2">
      <w:pPr>
        <w:contextualSpacing/>
        <w:rPr>
          <w:rFonts w:ascii="Arial" w:hAnsi="Arial" w:cs="Arial"/>
        </w:rPr>
      </w:pPr>
      <w:r>
        <w:rPr>
          <w:rFonts w:ascii="Arial" w:hAnsi="Arial" w:cs="Arial"/>
        </w:rPr>
        <w:tab/>
        <w:t xml:space="preserve">1981. The Relevance of Industrial Organization. Middlebury College </w:t>
      </w:r>
      <w:r>
        <w:rPr>
          <w:rFonts w:ascii="Arial" w:hAnsi="Arial" w:cs="Arial"/>
        </w:rPr>
        <w:tab/>
        <w:t>Conference on Economic Issues. Vermont: 1981.</w:t>
      </w:r>
    </w:p>
    <w:p w:rsidR="000A33B0" w:rsidRDefault="000A33B0" w:rsidP="00DE6EE2">
      <w:pPr>
        <w:contextualSpacing/>
        <w:rPr>
          <w:rFonts w:ascii="Arial" w:hAnsi="Arial" w:cs="Arial"/>
        </w:rPr>
      </w:pPr>
    </w:p>
    <w:p w:rsidR="00731467" w:rsidRPr="00DE6EE2" w:rsidRDefault="000A33B0" w:rsidP="00DE6EE2">
      <w:pPr>
        <w:contextualSpacing/>
        <w:rPr>
          <w:rFonts w:ascii="Arial" w:hAnsi="Arial" w:cs="Arial"/>
        </w:rPr>
      </w:pPr>
      <w:r>
        <w:rPr>
          <w:rFonts w:ascii="Arial" w:hAnsi="Arial" w:cs="Arial"/>
        </w:rPr>
        <w:tab/>
      </w:r>
      <w:r w:rsidR="00731467" w:rsidRPr="00DE6EE2">
        <w:rPr>
          <w:rFonts w:ascii="Arial" w:hAnsi="Arial" w:cs="Arial"/>
        </w:rPr>
        <w:t>Lewis D</w:t>
      </w:r>
    </w:p>
    <w:p w:rsidR="00731467" w:rsidRPr="00DE6EE2" w:rsidRDefault="00731467" w:rsidP="00DE6EE2">
      <w:pPr>
        <w:contextualSpacing/>
        <w:rPr>
          <w:rFonts w:ascii="Arial" w:hAnsi="Arial" w:cs="Arial"/>
        </w:rPr>
      </w:pPr>
      <w:r w:rsidRPr="00DE6EE2">
        <w:rPr>
          <w:rFonts w:ascii="Arial" w:hAnsi="Arial" w:cs="Arial"/>
        </w:rPr>
        <w:tab/>
        <w:t xml:space="preserve">1998. Recent Developments in Competition Policy in South Africa. </w:t>
      </w:r>
      <w:r w:rsidR="00DE6EE2">
        <w:rPr>
          <w:rFonts w:ascii="Arial" w:hAnsi="Arial" w:cs="Arial"/>
        </w:rPr>
        <w:tab/>
      </w:r>
      <w:r w:rsidRPr="00DE6EE2">
        <w:rPr>
          <w:rFonts w:ascii="Arial" w:hAnsi="Arial" w:cs="Arial"/>
        </w:rPr>
        <w:t xml:space="preserve">Conference on the Economics of Competition Policy in South Africa. </w:t>
      </w:r>
      <w:r w:rsidR="00DE6EE2">
        <w:rPr>
          <w:rFonts w:ascii="Arial" w:hAnsi="Arial" w:cs="Arial"/>
        </w:rPr>
        <w:tab/>
      </w:r>
      <w:r w:rsidRPr="00DE6EE2">
        <w:rPr>
          <w:rFonts w:ascii="Arial" w:hAnsi="Arial" w:cs="Arial"/>
        </w:rPr>
        <w:t>Johannesburg: 1998.</w:t>
      </w:r>
    </w:p>
    <w:p w:rsidR="00731467" w:rsidRDefault="00731467" w:rsidP="00DE6EE2">
      <w:pPr>
        <w:contextualSpacing/>
        <w:rPr>
          <w:rFonts w:ascii="Arial" w:hAnsi="Arial" w:cs="Arial"/>
        </w:rPr>
      </w:pPr>
    </w:p>
    <w:p w:rsidR="00077251" w:rsidRDefault="00077251" w:rsidP="00DE6EE2">
      <w:pPr>
        <w:contextualSpacing/>
        <w:rPr>
          <w:rFonts w:ascii="Arial" w:hAnsi="Arial" w:cs="Arial"/>
        </w:rPr>
      </w:pPr>
      <w:r>
        <w:rPr>
          <w:rFonts w:ascii="Arial" w:hAnsi="Arial" w:cs="Arial"/>
        </w:rPr>
        <w:tab/>
        <w:t>Neven D</w:t>
      </w:r>
    </w:p>
    <w:p w:rsidR="00077251" w:rsidRDefault="00077251" w:rsidP="00DE6EE2">
      <w:pPr>
        <w:contextualSpacing/>
        <w:rPr>
          <w:rFonts w:ascii="Arial" w:hAnsi="Arial" w:cs="Arial"/>
        </w:rPr>
      </w:pPr>
      <w:r>
        <w:rPr>
          <w:rFonts w:ascii="Arial" w:hAnsi="Arial" w:cs="Arial"/>
        </w:rPr>
        <w:tab/>
        <w:t xml:space="preserve">1998. </w:t>
      </w:r>
      <w:r w:rsidRPr="00077251">
        <w:rPr>
          <w:rFonts w:ascii="Arial" w:hAnsi="Arial" w:cs="Arial"/>
        </w:rPr>
        <w:t>HORIZONTAL MERGER ANALYSIS</w:t>
      </w:r>
      <w:r>
        <w:rPr>
          <w:rFonts w:ascii="Arial" w:hAnsi="Arial" w:cs="Arial"/>
        </w:rPr>
        <w:t xml:space="preserve">. </w:t>
      </w:r>
      <w:r w:rsidRPr="00DE6EE2">
        <w:rPr>
          <w:rFonts w:ascii="Arial" w:hAnsi="Arial" w:cs="Arial"/>
        </w:rPr>
        <w:t xml:space="preserve">Conference on the Economics of </w:t>
      </w:r>
      <w:r>
        <w:rPr>
          <w:rFonts w:ascii="Arial" w:hAnsi="Arial" w:cs="Arial"/>
        </w:rPr>
        <w:tab/>
      </w:r>
      <w:r w:rsidRPr="00DE6EE2">
        <w:rPr>
          <w:rFonts w:ascii="Arial" w:hAnsi="Arial" w:cs="Arial"/>
        </w:rPr>
        <w:t>Competition Policy in South Africa</w:t>
      </w:r>
      <w:r>
        <w:rPr>
          <w:rFonts w:ascii="Arial" w:hAnsi="Arial" w:cs="Arial"/>
        </w:rPr>
        <w:t xml:space="preserve">. </w:t>
      </w:r>
      <w:r w:rsidRPr="00DE6EE2">
        <w:rPr>
          <w:rFonts w:ascii="Arial" w:hAnsi="Arial" w:cs="Arial"/>
        </w:rPr>
        <w:t>Johannesburg: 1998.</w:t>
      </w:r>
    </w:p>
    <w:p w:rsidR="00077251" w:rsidRPr="00DE6EE2" w:rsidRDefault="00077251" w:rsidP="00DE6EE2">
      <w:pPr>
        <w:contextualSpacing/>
        <w:rPr>
          <w:rFonts w:ascii="Arial" w:hAnsi="Arial" w:cs="Arial"/>
        </w:rPr>
      </w:pPr>
    </w:p>
    <w:p w:rsidR="00994376" w:rsidRPr="00DE6EE2" w:rsidRDefault="002A59F4" w:rsidP="00DE6EE2">
      <w:pPr>
        <w:contextualSpacing/>
        <w:rPr>
          <w:rFonts w:ascii="Arial" w:hAnsi="Arial" w:cs="Arial"/>
        </w:rPr>
      </w:pPr>
      <w:r w:rsidRPr="00DE6EE2">
        <w:rPr>
          <w:rFonts w:ascii="Arial" w:hAnsi="Arial" w:cs="Arial"/>
        </w:rPr>
        <w:tab/>
      </w:r>
      <w:r w:rsidR="00994376" w:rsidRPr="00DE6EE2">
        <w:rPr>
          <w:rFonts w:ascii="Arial" w:hAnsi="Arial" w:cs="Arial"/>
        </w:rPr>
        <w:t>Smith C</w:t>
      </w:r>
    </w:p>
    <w:p w:rsidR="00994376" w:rsidRPr="00DE6EE2" w:rsidRDefault="00994376" w:rsidP="00DE6EE2">
      <w:pPr>
        <w:contextualSpacing/>
        <w:rPr>
          <w:rFonts w:ascii="Arial" w:hAnsi="Arial" w:cs="Arial"/>
        </w:rPr>
      </w:pPr>
      <w:r w:rsidRPr="00DE6EE2">
        <w:rPr>
          <w:rFonts w:ascii="Arial" w:hAnsi="Arial" w:cs="Arial"/>
        </w:rPr>
        <w:tab/>
        <w:t xml:space="preserve">2005. </w:t>
      </w:r>
      <w:r w:rsidRPr="00DE6EE2">
        <w:rPr>
          <w:rFonts w:ascii="Arial" w:hAnsi="Arial" w:cs="Arial"/>
          <w:i/>
        </w:rPr>
        <w:t>The Rationale for Competition Policy</w:t>
      </w:r>
      <w:r w:rsidRPr="00DE6EE2">
        <w:rPr>
          <w:rFonts w:ascii="Arial" w:hAnsi="Arial" w:cs="Arial"/>
        </w:rPr>
        <w:t xml:space="preserve">: </w:t>
      </w:r>
      <w:r w:rsidRPr="00DE6EE2">
        <w:rPr>
          <w:rFonts w:ascii="Arial" w:hAnsi="Arial" w:cs="Arial"/>
          <w:i/>
        </w:rPr>
        <w:t>A South African Perspective</w:t>
      </w:r>
      <w:r w:rsidRPr="00DE6EE2">
        <w:rPr>
          <w:rFonts w:ascii="Arial" w:hAnsi="Arial" w:cs="Arial"/>
        </w:rPr>
        <w:t xml:space="preserve">.  </w:t>
      </w:r>
      <w:r w:rsidR="009B5677" w:rsidRPr="00DE6EE2">
        <w:rPr>
          <w:rFonts w:ascii="Arial" w:hAnsi="Arial" w:cs="Arial"/>
        </w:rPr>
        <w:t xml:space="preserve">The </w:t>
      </w:r>
      <w:r w:rsidR="009B5677" w:rsidRPr="00DE6EE2">
        <w:rPr>
          <w:rFonts w:ascii="Arial" w:hAnsi="Arial" w:cs="Arial"/>
        </w:rPr>
        <w:tab/>
        <w:t>B</w:t>
      </w:r>
      <w:r w:rsidRPr="00DE6EE2">
        <w:rPr>
          <w:rFonts w:ascii="Arial" w:hAnsi="Arial" w:cs="Arial"/>
        </w:rPr>
        <w:t>iennial E</w:t>
      </w:r>
      <w:r w:rsidR="009B5677" w:rsidRPr="00DE6EE2">
        <w:rPr>
          <w:rFonts w:ascii="Arial" w:hAnsi="Arial" w:cs="Arial"/>
        </w:rPr>
        <w:t xml:space="preserve">conomic </w:t>
      </w:r>
      <w:r w:rsidRPr="00DE6EE2">
        <w:rPr>
          <w:rFonts w:ascii="Arial" w:hAnsi="Arial" w:cs="Arial"/>
        </w:rPr>
        <w:t>S</w:t>
      </w:r>
      <w:r w:rsidR="009B5677" w:rsidRPr="00DE6EE2">
        <w:rPr>
          <w:rFonts w:ascii="Arial" w:hAnsi="Arial" w:cs="Arial"/>
        </w:rPr>
        <w:t xml:space="preserve">ociety of </w:t>
      </w:r>
      <w:r w:rsidRPr="00DE6EE2">
        <w:rPr>
          <w:rFonts w:ascii="Arial" w:hAnsi="Arial" w:cs="Arial"/>
        </w:rPr>
        <w:t>S</w:t>
      </w:r>
      <w:r w:rsidR="009B5677" w:rsidRPr="00DE6EE2">
        <w:rPr>
          <w:rFonts w:ascii="Arial" w:hAnsi="Arial" w:cs="Arial"/>
        </w:rPr>
        <w:t>outh Africa</w:t>
      </w:r>
      <w:r w:rsidRPr="00DE6EE2">
        <w:rPr>
          <w:rFonts w:ascii="Arial" w:hAnsi="Arial" w:cs="Arial"/>
        </w:rPr>
        <w:t xml:space="preserve"> Conference. </w:t>
      </w:r>
      <w:r w:rsidR="009B5677" w:rsidRPr="00DE6EE2">
        <w:rPr>
          <w:rFonts w:ascii="Arial" w:hAnsi="Arial" w:cs="Arial"/>
        </w:rPr>
        <w:t>Durban: 2005.</w:t>
      </w:r>
    </w:p>
    <w:p w:rsidR="00994376" w:rsidRPr="00DE6EE2" w:rsidRDefault="00994376" w:rsidP="00DE6EE2">
      <w:pPr>
        <w:contextualSpacing/>
        <w:rPr>
          <w:rFonts w:ascii="Arial" w:hAnsi="Arial" w:cs="Arial"/>
        </w:rPr>
      </w:pPr>
    </w:p>
    <w:p w:rsidR="002A59F4" w:rsidRPr="00DE6EE2" w:rsidRDefault="00994376" w:rsidP="00DE6EE2">
      <w:pPr>
        <w:contextualSpacing/>
        <w:rPr>
          <w:rFonts w:ascii="Arial" w:hAnsi="Arial" w:cs="Arial"/>
        </w:rPr>
      </w:pPr>
      <w:r w:rsidRPr="00DE6EE2">
        <w:rPr>
          <w:rFonts w:ascii="Arial" w:hAnsi="Arial" w:cs="Arial"/>
        </w:rPr>
        <w:tab/>
      </w:r>
      <w:r w:rsidR="002A59F4" w:rsidRPr="00DE6EE2">
        <w:rPr>
          <w:rFonts w:ascii="Arial" w:hAnsi="Arial" w:cs="Arial"/>
        </w:rPr>
        <w:t>United Nations Conference on Trade and Development</w:t>
      </w:r>
    </w:p>
    <w:p w:rsidR="002A59F4" w:rsidRPr="00DE6EE2" w:rsidRDefault="002A59F4" w:rsidP="00DE6EE2">
      <w:pPr>
        <w:contextualSpacing/>
        <w:rPr>
          <w:rFonts w:ascii="Arial" w:hAnsi="Arial" w:cs="Arial"/>
        </w:rPr>
      </w:pPr>
      <w:r w:rsidRPr="00DE6EE2">
        <w:rPr>
          <w:rFonts w:ascii="Arial" w:hAnsi="Arial" w:cs="Arial"/>
        </w:rPr>
        <w:tab/>
        <w:t xml:space="preserve">1998. </w:t>
      </w:r>
      <w:r w:rsidRPr="00DE6EE2">
        <w:rPr>
          <w:rFonts w:ascii="Arial" w:hAnsi="Arial" w:cs="Arial"/>
          <w:i/>
        </w:rPr>
        <w:t xml:space="preserve">Issues related to competition law of particular relevance to </w:t>
      </w:r>
      <w:r w:rsidR="00DE6EE2">
        <w:rPr>
          <w:rFonts w:ascii="Arial" w:hAnsi="Arial" w:cs="Arial"/>
          <w:i/>
        </w:rPr>
        <w:tab/>
      </w:r>
      <w:r w:rsidRPr="00DE6EE2">
        <w:rPr>
          <w:rFonts w:ascii="Arial" w:hAnsi="Arial" w:cs="Arial"/>
          <w:i/>
        </w:rPr>
        <w:t>development</w:t>
      </w:r>
      <w:r w:rsidR="00DD13BF" w:rsidRPr="00DE6EE2">
        <w:rPr>
          <w:rFonts w:ascii="Arial" w:hAnsi="Arial" w:cs="Arial"/>
        </w:rPr>
        <w:t>. Geneva: 1998.</w:t>
      </w:r>
    </w:p>
    <w:p w:rsidR="002A59F4" w:rsidRPr="00DE6EE2" w:rsidRDefault="002A59F4" w:rsidP="00DE6EE2">
      <w:pPr>
        <w:contextualSpacing/>
        <w:rPr>
          <w:rFonts w:ascii="Arial" w:hAnsi="Arial" w:cs="Arial"/>
        </w:rPr>
      </w:pPr>
    </w:p>
    <w:p w:rsidR="003E45AB" w:rsidRPr="00DE6EE2" w:rsidRDefault="00D01491" w:rsidP="00DE6EE2">
      <w:pPr>
        <w:contextualSpacing/>
        <w:rPr>
          <w:rFonts w:ascii="Arial" w:hAnsi="Arial" w:cs="Arial"/>
        </w:rPr>
      </w:pPr>
      <w:r w:rsidRPr="00DE6EE2">
        <w:rPr>
          <w:rFonts w:ascii="Arial" w:hAnsi="Arial" w:cs="Arial"/>
        </w:rPr>
        <w:tab/>
      </w:r>
      <w:r w:rsidR="003E45AB" w:rsidRPr="00DE6EE2">
        <w:rPr>
          <w:rFonts w:ascii="Arial" w:hAnsi="Arial" w:cs="Arial"/>
        </w:rPr>
        <w:t>United Nations Conference on Trade and Development</w:t>
      </w:r>
    </w:p>
    <w:p w:rsidR="003E45AB" w:rsidRPr="00DE6EE2" w:rsidRDefault="00D01491" w:rsidP="00DE6EE2">
      <w:pPr>
        <w:contextualSpacing/>
        <w:rPr>
          <w:rFonts w:ascii="Arial" w:hAnsi="Arial" w:cs="Arial"/>
        </w:rPr>
      </w:pPr>
      <w:r w:rsidRPr="00DE6EE2">
        <w:rPr>
          <w:rFonts w:ascii="Arial" w:hAnsi="Arial" w:cs="Arial"/>
        </w:rPr>
        <w:tab/>
      </w:r>
      <w:r w:rsidR="003E45AB" w:rsidRPr="00DE6EE2">
        <w:rPr>
          <w:rFonts w:ascii="Arial" w:hAnsi="Arial" w:cs="Arial"/>
        </w:rPr>
        <w:t xml:space="preserve">2002. </w:t>
      </w:r>
      <w:r w:rsidR="003E45AB" w:rsidRPr="00DE6EE2">
        <w:rPr>
          <w:rFonts w:ascii="Arial" w:hAnsi="Arial" w:cs="Arial"/>
          <w:i/>
        </w:rPr>
        <w:t xml:space="preserve">The Relationship between Competition, Competitiveness and </w:t>
      </w:r>
      <w:r w:rsidR="00DE6EE2">
        <w:rPr>
          <w:rFonts w:ascii="Arial" w:hAnsi="Arial" w:cs="Arial"/>
          <w:i/>
        </w:rPr>
        <w:tab/>
      </w:r>
      <w:r w:rsidR="003E45AB" w:rsidRPr="00DE6EE2">
        <w:rPr>
          <w:rFonts w:ascii="Arial" w:hAnsi="Arial" w:cs="Arial"/>
          <w:i/>
        </w:rPr>
        <w:t>Development</w:t>
      </w:r>
      <w:r w:rsidRPr="00DE6EE2">
        <w:rPr>
          <w:rFonts w:ascii="Arial" w:hAnsi="Arial" w:cs="Arial"/>
        </w:rPr>
        <w:t>.</w:t>
      </w:r>
      <w:r w:rsidR="00DE6EE2">
        <w:rPr>
          <w:rFonts w:ascii="Arial" w:hAnsi="Arial" w:cs="Arial"/>
        </w:rPr>
        <w:t xml:space="preserve"> </w:t>
      </w:r>
      <w:r w:rsidRPr="00DE6EE2">
        <w:rPr>
          <w:rFonts w:ascii="Arial" w:hAnsi="Arial" w:cs="Arial"/>
        </w:rPr>
        <w:t>Geneva</w:t>
      </w:r>
      <w:r w:rsidR="00DD13BF" w:rsidRPr="00DE6EE2">
        <w:rPr>
          <w:rFonts w:ascii="Arial" w:hAnsi="Arial" w:cs="Arial"/>
        </w:rPr>
        <w:t>: 2002.</w:t>
      </w:r>
    </w:p>
    <w:p w:rsidR="003E45AB" w:rsidRPr="00DE6EE2" w:rsidRDefault="003E45AB" w:rsidP="00DE6EE2">
      <w:pPr>
        <w:contextualSpacing/>
        <w:rPr>
          <w:rFonts w:ascii="Arial" w:hAnsi="Arial" w:cs="Arial"/>
        </w:rPr>
      </w:pPr>
    </w:p>
    <w:p w:rsidR="00B53BB0" w:rsidRPr="00DE6EE2" w:rsidRDefault="002A59F4" w:rsidP="00DE6EE2">
      <w:pPr>
        <w:contextualSpacing/>
        <w:jc w:val="both"/>
        <w:rPr>
          <w:rFonts w:ascii="Arial" w:hAnsi="Arial" w:cs="Arial"/>
          <w:b/>
        </w:rPr>
      </w:pPr>
      <w:r w:rsidRPr="00DE6EE2">
        <w:rPr>
          <w:rFonts w:ascii="Arial" w:hAnsi="Arial" w:cs="Arial"/>
          <w:b/>
        </w:rPr>
        <w:t>Peer reviews</w:t>
      </w:r>
    </w:p>
    <w:p w:rsidR="002A59F4" w:rsidRPr="00DE6EE2" w:rsidRDefault="002A59F4" w:rsidP="00DE6EE2">
      <w:pPr>
        <w:contextualSpacing/>
        <w:jc w:val="both"/>
        <w:rPr>
          <w:rFonts w:ascii="Arial" w:hAnsi="Arial" w:cs="Arial"/>
        </w:rPr>
      </w:pPr>
      <w:r w:rsidRPr="00DE6EE2">
        <w:rPr>
          <w:rFonts w:ascii="Arial" w:hAnsi="Arial" w:cs="Arial"/>
        </w:rPr>
        <w:tab/>
      </w:r>
    </w:p>
    <w:p w:rsidR="008C7044" w:rsidRPr="00DE6EE2" w:rsidRDefault="002A59F4" w:rsidP="00DE6EE2">
      <w:pPr>
        <w:contextualSpacing/>
        <w:jc w:val="both"/>
        <w:rPr>
          <w:rFonts w:ascii="Arial" w:hAnsi="Arial" w:cs="Arial"/>
        </w:rPr>
      </w:pPr>
      <w:r w:rsidRPr="00DE6EE2">
        <w:rPr>
          <w:rFonts w:ascii="Arial" w:hAnsi="Arial" w:cs="Arial"/>
        </w:rPr>
        <w:tab/>
      </w:r>
      <w:r w:rsidR="008C7044" w:rsidRPr="00DE6EE2">
        <w:rPr>
          <w:rFonts w:ascii="Arial" w:hAnsi="Arial" w:cs="Arial"/>
        </w:rPr>
        <w:t>Competition Commission</w:t>
      </w:r>
    </w:p>
    <w:p w:rsidR="008C7044" w:rsidRPr="00DE6EE2" w:rsidRDefault="008C7044" w:rsidP="00DE6EE2">
      <w:pPr>
        <w:contextualSpacing/>
        <w:jc w:val="both"/>
        <w:rPr>
          <w:rFonts w:ascii="Arial" w:hAnsi="Arial" w:cs="Arial"/>
        </w:rPr>
      </w:pPr>
      <w:r w:rsidRPr="00DE6EE2">
        <w:rPr>
          <w:rFonts w:ascii="Arial" w:hAnsi="Arial" w:cs="Arial"/>
        </w:rPr>
        <w:tab/>
        <w:t xml:space="preserve">2002. </w:t>
      </w:r>
      <w:r w:rsidRPr="00DE6EE2">
        <w:rPr>
          <w:rFonts w:ascii="Arial" w:hAnsi="Arial" w:cs="Arial"/>
          <w:i/>
        </w:rPr>
        <w:t>Market Investigation References: Competition Commission Guidelines</w:t>
      </w:r>
      <w:r w:rsidRPr="00DE6EE2">
        <w:rPr>
          <w:rFonts w:ascii="Arial" w:hAnsi="Arial" w:cs="Arial"/>
        </w:rPr>
        <w:t xml:space="preserve">. </w:t>
      </w:r>
      <w:r w:rsidRPr="00DE6EE2">
        <w:rPr>
          <w:rFonts w:ascii="Arial" w:hAnsi="Arial" w:cs="Arial"/>
        </w:rPr>
        <w:tab/>
        <w:t>Competition Commission: London.</w:t>
      </w:r>
    </w:p>
    <w:p w:rsidR="00455C5A" w:rsidRDefault="00704923" w:rsidP="00DE6EE2">
      <w:pPr>
        <w:contextualSpacing/>
        <w:jc w:val="both"/>
        <w:rPr>
          <w:rFonts w:ascii="Arial" w:hAnsi="Arial" w:cs="Arial"/>
        </w:rPr>
      </w:pPr>
      <w:r>
        <w:rPr>
          <w:rFonts w:ascii="Arial" w:hAnsi="Arial" w:cs="Arial"/>
        </w:rPr>
        <w:tab/>
      </w:r>
      <w:r w:rsidR="00455C5A">
        <w:rPr>
          <w:rFonts w:ascii="Arial" w:hAnsi="Arial" w:cs="Arial"/>
        </w:rPr>
        <w:t>Organisation for Economic Co</w:t>
      </w:r>
      <w:r w:rsidR="00972573">
        <w:rPr>
          <w:rFonts w:ascii="Arial" w:hAnsi="Arial" w:cs="Arial"/>
        </w:rPr>
        <w:t>-o</w:t>
      </w:r>
      <w:r w:rsidR="00455C5A">
        <w:rPr>
          <w:rFonts w:ascii="Arial" w:hAnsi="Arial" w:cs="Arial"/>
        </w:rPr>
        <w:t>peration and Development</w:t>
      </w:r>
    </w:p>
    <w:p w:rsidR="00455C5A" w:rsidRPr="00DE6EE2" w:rsidRDefault="00704923" w:rsidP="00455C5A">
      <w:pPr>
        <w:contextualSpacing/>
        <w:jc w:val="both"/>
        <w:rPr>
          <w:rFonts w:ascii="Arial" w:hAnsi="Arial" w:cs="Arial"/>
        </w:rPr>
      </w:pPr>
      <w:r>
        <w:rPr>
          <w:rFonts w:ascii="Arial" w:hAnsi="Arial" w:cs="Arial"/>
        </w:rPr>
        <w:tab/>
      </w:r>
      <w:r w:rsidR="00455C5A">
        <w:rPr>
          <w:rFonts w:ascii="Arial" w:hAnsi="Arial" w:cs="Arial"/>
        </w:rPr>
        <w:t xml:space="preserve">2003. </w:t>
      </w:r>
      <w:r w:rsidR="00455C5A" w:rsidRPr="00704923">
        <w:rPr>
          <w:rFonts w:ascii="Arial" w:hAnsi="Arial" w:cs="Arial"/>
          <w:i/>
        </w:rPr>
        <w:t>Competition Law and Policy in South Africa</w:t>
      </w:r>
      <w:r>
        <w:rPr>
          <w:rFonts w:ascii="Arial" w:hAnsi="Arial" w:cs="Arial"/>
        </w:rPr>
        <w:t>. OECD: Paris.</w:t>
      </w:r>
    </w:p>
    <w:p w:rsidR="00704923" w:rsidRDefault="00704923" w:rsidP="00DE6EE2">
      <w:pPr>
        <w:contextualSpacing/>
        <w:jc w:val="both"/>
        <w:rPr>
          <w:rFonts w:ascii="Arial" w:hAnsi="Arial" w:cs="Arial"/>
          <w:b/>
        </w:rPr>
      </w:pPr>
    </w:p>
    <w:p w:rsidR="00704923" w:rsidRPr="00DE6EE2" w:rsidRDefault="00704923" w:rsidP="00704923">
      <w:pPr>
        <w:contextualSpacing/>
        <w:jc w:val="both"/>
        <w:rPr>
          <w:rFonts w:ascii="Arial" w:hAnsi="Arial" w:cs="Arial"/>
        </w:rPr>
      </w:pPr>
      <w:r>
        <w:rPr>
          <w:rFonts w:ascii="Arial" w:hAnsi="Arial" w:cs="Arial"/>
        </w:rPr>
        <w:tab/>
      </w:r>
      <w:r w:rsidRPr="00DE6EE2">
        <w:rPr>
          <w:rFonts w:ascii="Arial" w:hAnsi="Arial" w:cs="Arial"/>
        </w:rPr>
        <w:t>United Nations Conference on Trade and Development</w:t>
      </w:r>
    </w:p>
    <w:p w:rsidR="00704923" w:rsidRPr="00DE6EE2" w:rsidRDefault="00704923" w:rsidP="00704923">
      <w:pPr>
        <w:contextualSpacing/>
        <w:jc w:val="both"/>
        <w:rPr>
          <w:rFonts w:ascii="Arial" w:hAnsi="Arial" w:cs="Arial"/>
        </w:rPr>
      </w:pPr>
      <w:r w:rsidRPr="00DE6EE2">
        <w:rPr>
          <w:rFonts w:ascii="Arial" w:hAnsi="Arial" w:cs="Arial"/>
        </w:rPr>
        <w:tab/>
        <w:t xml:space="preserve">1998. </w:t>
      </w:r>
      <w:r w:rsidRPr="00DE6EE2">
        <w:rPr>
          <w:rFonts w:ascii="Arial" w:hAnsi="Arial" w:cs="Arial"/>
          <w:i/>
        </w:rPr>
        <w:t xml:space="preserve">Issues related to competition law of particular relevance to </w:t>
      </w:r>
      <w:r>
        <w:rPr>
          <w:rFonts w:ascii="Arial" w:hAnsi="Arial" w:cs="Arial"/>
          <w:i/>
        </w:rPr>
        <w:tab/>
      </w:r>
      <w:r w:rsidRPr="00DE6EE2">
        <w:rPr>
          <w:rFonts w:ascii="Arial" w:hAnsi="Arial" w:cs="Arial"/>
          <w:i/>
        </w:rPr>
        <w:t>development</w:t>
      </w:r>
      <w:r w:rsidRPr="00DE6EE2">
        <w:rPr>
          <w:rFonts w:ascii="Arial" w:hAnsi="Arial" w:cs="Arial"/>
        </w:rPr>
        <w:t>. United Nations: Geneva.</w:t>
      </w:r>
    </w:p>
    <w:p w:rsidR="00704923" w:rsidRDefault="00704923" w:rsidP="00DE6EE2">
      <w:pPr>
        <w:contextualSpacing/>
        <w:jc w:val="both"/>
        <w:rPr>
          <w:rFonts w:ascii="Arial" w:hAnsi="Arial" w:cs="Arial"/>
          <w:b/>
        </w:rPr>
      </w:pPr>
    </w:p>
    <w:p w:rsidR="00241522" w:rsidRPr="00DE6EE2" w:rsidRDefault="00241522" w:rsidP="00DE6EE2">
      <w:pPr>
        <w:contextualSpacing/>
        <w:jc w:val="both"/>
        <w:rPr>
          <w:rFonts w:ascii="Arial" w:hAnsi="Arial" w:cs="Arial"/>
          <w:b/>
        </w:rPr>
      </w:pPr>
      <w:r w:rsidRPr="00DE6EE2">
        <w:rPr>
          <w:rFonts w:ascii="Arial" w:hAnsi="Arial" w:cs="Arial"/>
          <w:b/>
        </w:rPr>
        <w:t>Monographs</w:t>
      </w:r>
    </w:p>
    <w:p w:rsidR="00241522" w:rsidRPr="00DE6EE2" w:rsidRDefault="00241522" w:rsidP="00DE6EE2">
      <w:pPr>
        <w:contextualSpacing/>
        <w:jc w:val="both"/>
        <w:rPr>
          <w:rFonts w:ascii="Arial" w:hAnsi="Arial" w:cs="Arial"/>
          <w:b/>
        </w:rPr>
      </w:pPr>
    </w:p>
    <w:p w:rsidR="000355E0" w:rsidRPr="00DE6EE2" w:rsidRDefault="000355E0" w:rsidP="00DE6EE2">
      <w:pPr>
        <w:ind w:left="720"/>
        <w:contextualSpacing/>
        <w:jc w:val="both"/>
        <w:rPr>
          <w:rFonts w:ascii="Arial" w:hAnsi="Arial" w:cs="Arial"/>
          <w:iCs/>
          <w:lang w:eastAsia="en-GB" w:bidi="en-GB"/>
        </w:rPr>
      </w:pPr>
      <w:r w:rsidRPr="00DE6EE2">
        <w:rPr>
          <w:rFonts w:ascii="Arial" w:hAnsi="Arial" w:cs="Arial"/>
          <w:iCs/>
          <w:lang w:eastAsia="en-GB" w:bidi="en-GB"/>
        </w:rPr>
        <w:t>Cseres KJ</w:t>
      </w:r>
    </w:p>
    <w:p w:rsidR="000355E0" w:rsidRPr="00DE6EE2" w:rsidRDefault="000355E0" w:rsidP="00DE6EE2">
      <w:pPr>
        <w:ind w:left="720"/>
        <w:contextualSpacing/>
        <w:jc w:val="both"/>
        <w:rPr>
          <w:rFonts w:ascii="Arial" w:hAnsi="Arial" w:cs="Arial"/>
          <w:iCs/>
          <w:lang w:eastAsia="en-GB" w:bidi="en-GB"/>
        </w:rPr>
      </w:pPr>
      <w:r w:rsidRPr="00DE6EE2">
        <w:rPr>
          <w:rFonts w:ascii="Arial" w:hAnsi="Arial" w:cs="Arial"/>
          <w:iCs/>
          <w:lang w:eastAsia="en-GB" w:bidi="en-GB"/>
        </w:rPr>
        <w:t xml:space="preserve">2005. </w:t>
      </w:r>
      <w:r w:rsidRPr="00DE6EE2">
        <w:rPr>
          <w:rFonts w:ascii="Arial" w:hAnsi="Arial" w:cs="Arial"/>
          <w:i/>
          <w:iCs/>
          <w:lang w:eastAsia="en-GB" w:bidi="en-GB"/>
        </w:rPr>
        <w:t>Competition Law and Consumer Protection</w:t>
      </w:r>
      <w:r w:rsidRPr="00DE6EE2">
        <w:rPr>
          <w:rFonts w:ascii="Arial" w:hAnsi="Arial" w:cs="Arial"/>
          <w:iCs/>
          <w:lang w:eastAsia="en-GB" w:bidi="en-GB"/>
        </w:rPr>
        <w:t>. 1</w:t>
      </w:r>
      <w:r w:rsidRPr="00DE6EE2">
        <w:rPr>
          <w:rFonts w:ascii="Arial" w:hAnsi="Arial" w:cs="Arial"/>
          <w:iCs/>
          <w:vertAlign w:val="superscript"/>
          <w:lang w:eastAsia="en-GB" w:bidi="en-GB"/>
        </w:rPr>
        <w:t>st</w:t>
      </w:r>
      <w:r w:rsidRPr="00DE6EE2">
        <w:rPr>
          <w:rFonts w:ascii="Arial" w:hAnsi="Arial" w:cs="Arial"/>
          <w:iCs/>
          <w:lang w:eastAsia="en-GB" w:bidi="en-GB"/>
        </w:rPr>
        <w:t xml:space="preserve"> ed. The Hague: Kluwer Law International.</w:t>
      </w:r>
    </w:p>
    <w:p w:rsidR="000355E0" w:rsidRPr="00DE6EE2" w:rsidRDefault="000355E0" w:rsidP="00DE6EE2">
      <w:pPr>
        <w:contextualSpacing/>
        <w:jc w:val="both"/>
        <w:rPr>
          <w:rFonts w:ascii="Arial" w:hAnsi="Arial" w:cs="Arial"/>
        </w:rPr>
      </w:pPr>
    </w:p>
    <w:p w:rsidR="001F7FEC" w:rsidRPr="00DE6EE2" w:rsidRDefault="000355E0" w:rsidP="00DE6EE2">
      <w:pPr>
        <w:contextualSpacing/>
        <w:jc w:val="both"/>
        <w:rPr>
          <w:rFonts w:ascii="Arial" w:hAnsi="Arial" w:cs="Arial"/>
        </w:rPr>
      </w:pPr>
      <w:r w:rsidRPr="00DE6EE2">
        <w:rPr>
          <w:rFonts w:ascii="Arial" w:hAnsi="Arial" w:cs="Arial"/>
        </w:rPr>
        <w:tab/>
      </w:r>
      <w:r w:rsidR="00241522" w:rsidRPr="00DE6EE2">
        <w:rPr>
          <w:rFonts w:ascii="Arial" w:hAnsi="Arial" w:cs="Arial"/>
        </w:rPr>
        <w:t>Reekie WD</w:t>
      </w:r>
    </w:p>
    <w:p w:rsidR="00241522" w:rsidRPr="00DE6EE2" w:rsidRDefault="000355E0" w:rsidP="00DE6EE2">
      <w:pPr>
        <w:contextualSpacing/>
        <w:jc w:val="both"/>
        <w:rPr>
          <w:rFonts w:ascii="Arial" w:hAnsi="Arial" w:cs="Arial"/>
        </w:rPr>
      </w:pPr>
      <w:r w:rsidRPr="00DE6EE2">
        <w:rPr>
          <w:rFonts w:ascii="Arial" w:hAnsi="Arial" w:cs="Arial"/>
        </w:rPr>
        <w:tab/>
      </w:r>
      <w:r w:rsidR="00241522" w:rsidRPr="00DE6EE2">
        <w:rPr>
          <w:rFonts w:ascii="Arial" w:hAnsi="Arial" w:cs="Arial"/>
        </w:rPr>
        <w:t xml:space="preserve">2000. </w:t>
      </w:r>
      <w:r w:rsidR="00241522" w:rsidRPr="00DE6EE2">
        <w:rPr>
          <w:rFonts w:ascii="Arial" w:hAnsi="Arial" w:cs="Arial"/>
          <w:i/>
        </w:rPr>
        <w:t>Monopoly and competition policy</w:t>
      </w:r>
      <w:r w:rsidR="00241522" w:rsidRPr="00DE6EE2">
        <w:rPr>
          <w:rFonts w:ascii="Arial" w:hAnsi="Arial" w:cs="Arial"/>
        </w:rPr>
        <w:t>. 2</w:t>
      </w:r>
      <w:r w:rsidR="00241522" w:rsidRPr="00DE6EE2">
        <w:rPr>
          <w:rFonts w:ascii="Arial" w:hAnsi="Arial" w:cs="Arial"/>
          <w:vertAlign w:val="superscript"/>
        </w:rPr>
        <w:t>nd</w:t>
      </w:r>
      <w:r w:rsidR="00241522" w:rsidRPr="00DE6EE2">
        <w:rPr>
          <w:rFonts w:ascii="Arial" w:hAnsi="Arial" w:cs="Arial"/>
        </w:rPr>
        <w:t xml:space="preserve"> ed. Sandton: The Free Market </w:t>
      </w:r>
      <w:r w:rsidRPr="00DE6EE2">
        <w:rPr>
          <w:rFonts w:ascii="Arial" w:hAnsi="Arial" w:cs="Arial"/>
        </w:rPr>
        <w:tab/>
      </w:r>
      <w:r w:rsidR="00241522" w:rsidRPr="00DE6EE2">
        <w:rPr>
          <w:rFonts w:ascii="Arial" w:hAnsi="Arial" w:cs="Arial"/>
        </w:rPr>
        <w:t>Foundation.</w:t>
      </w:r>
    </w:p>
    <w:p w:rsidR="00241522" w:rsidRPr="00DE6EE2" w:rsidRDefault="00241522" w:rsidP="00DE6EE2">
      <w:pPr>
        <w:contextualSpacing/>
        <w:rPr>
          <w:rFonts w:ascii="Arial" w:hAnsi="Arial" w:cs="Arial"/>
        </w:rPr>
      </w:pPr>
    </w:p>
    <w:p w:rsidR="00DE6EE2" w:rsidRDefault="00DE6EE2" w:rsidP="00DE6EE2">
      <w:pPr>
        <w:contextualSpacing/>
        <w:rPr>
          <w:rFonts w:ascii="Arial" w:hAnsi="Arial" w:cs="Arial"/>
          <w:b/>
        </w:rPr>
      </w:pPr>
    </w:p>
    <w:p w:rsidR="00DE6EE2" w:rsidRDefault="00DE6EE2" w:rsidP="00DE6EE2">
      <w:pPr>
        <w:contextualSpacing/>
        <w:rPr>
          <w:rFonts w:ascii="Arial" w:hAnsi="Arial" w:cs="Arial"/>
          <w:b/>
        </w:rPr>
      </w:pPr>
    </w:p>
    <w:p w:rsidR="001F7FEC" w:rsidRPr="00DE6EE2" w:rsidRDefault="001F7FEC" w:rsidP="00DE6EE2">
      <w:pPr>
        <w:contextualSpacing/>
        <w:rPr>
          <w:rFonts w:ascii="Arial" w:hAnsi="Arial" w:cs="Arial"/>
          <w:b/>
        </w:rPr>
      </w:pPr>
      <w:r w:rsidRPr="00DE6EE2">
        <w:rPr>
          <w:rFonts w:ascii="Arial" w:hAnsi="Arial" w:cs="Arial"/>
          <w:b/>
        </w:rPr>
        <w:t>Internet sources</w:t>
      </w:r>
    </w:p>
    <w:p w:rsidR="00F37924" w:rsidRPr="00DE6EE2" w:rsidRDefault="00BE1451" w:rsidP="00DE6EE2">
      <w:pPr>
        <w:contextualSpacing/>
        <w:rPr>
          <w:rFonts w:ascii="Arial" w:hAnsi="Arial" w:cs="Arial"/>
        </w:rPr>
      </w:pPr>
      <w:r w:rsidRPr="00DE6EE2">
        <w:rPr>
          <w:rFonts w:ascii="Arial" w:hAnsi="Arial" w:cs="Arial"/>
        </w:rPr>
        <w:tab/>
      </w:r>
    </w:p>
    <w:p w:rsidR="00F37924" w:rsidRPr="00DE6EE2" w:rsidRDefault="00F37924" w:rsidP="00DE6EE2">
      <w:pPr>
        <w:contextualSpacing/>
        <w:rPr>
          <w:rFonts w:ascii="Arial" w:hAnsi="Arial" w:cs="Arial"/>
        </w:rPr>
      </w:pPr>
      <w:r w:rsidRPr="00DE6EE2">
        <w:rPr>
          <w:rFonts w:ascii="Arial" w:hAnsi="Arial" w:cs="Arial"/>
        </w:rPr>
        <w:tab/>
        <w:t>Competition Commission</w:t>
      </w:r>
    </w:p>
    <w:p w:rsidR="00F37924" w:rsidRPr="00DE6EE2" w:rsidRDefault="00F37924" w:rsidP="00DE6EE2">
      <w:pPr>
        <w:contextualSpacing/>
        <w:rPr>
          <w:rFonts w:ascii="Arial" w:hAnsi="Arial" w:cs="Arial"/>
        </w:rPr>
      </w:pPr>
      <w:r w:rsidRPr="00DE6EE2">
        <w:rPr>
          <w:rFonts w:ascii="Arial" w:hAnsi="Arial" w:cs="Arial"/>
        </w:rPr>
        <w:tab/>
        <w:t xml:space="preserve">2011. </w:t>
      </w:r>
      <w:r w:rsidRPr="00DE6EE2">
        <w:rPr>
          <w:rFonts w:ascii="Arial" w:hAnsi="Arial" w:cs="Arial"/>
          <w:i/>
        </w:rPr>
        <w:t>The Evolution of Competition Policy in South Africa</w:t>
      </w:r>
      <w:r w:rsidRPr="00DE6EE2">
        <w:rPr>
          <w:rFonts w:ascii="Arial" w:hAnsi="Arial" w:cs="Arial"/>
        </w:rPr>
        <w:t xml:space="preserve">. </w:t>
      </w:r>
      <w:r w:rsidRPr="00DE6EE2">
        <w:rPr>
          <w:rFonts w:ascii="Arial" w:hAnsi="Arial" w:cs="Arial"/>
        </w:rPr>
        <w:tab/>
        <w:t>http://www.compcom.co.za/about-us/ (accessed 11 March 2011)</w:t>
      </w:r>
    </w:p>
    <w:p w:rsidR="00F37924" w:rsidRPr="00DE6EE2" w:rsidRDefault="00F37924" w:rsidP="00DE6EE2">
      <w:pPr>
        <w:contextualSpacing/>
        <w:rPr>
          <w:rFonts w:ascii="Arial" w:hAnsi="Arial" w:cs="Arial"/>
        </w:rPr>
      </w:pPr>
    </w:p>
    <w:p w:rsidR="00BE1451" w:rsidRPr="00DE6EE2" w:rsidRDefault="00F37924" w:rsidP="00DE6EE2">
      <w:pPr>
        <w:contextualSpacing/>
        <w:rPr>
          <w:rFonts w:ascii="Arial" w:hAnsi="Arial" w:cs="Arial"/>
        </w:rPr>
      </w:pPr>
      <w:r w:rsidRPr="00DE6EE2">
        <w:rPr>
          <w:rFonts w:ascii="Arial" w:hAnsi="Arial" w:cs="Arial"/>
        </w:rPr>
        <w:tab/>
      </w:r>
      <w:r w:rsidR="00BE1451" w:rsidRPr="00DE6EE2">
        <w:rPr>
          <w:rFonts w:ascii="Arial" w:hAnsi="Arial" w:cs="Arial"/>
        </w:rPr>
        <w:t>Economy</w:t>
      </w:r>
      <w:r w:rsidR="00335A7B" w:rsidRPr="00DE6EE2">
        <w:rPr>
          <w:rFonts w:ascii="Arial" w:hAnsi="Arial" w:cs="Arial"/>
        </w:rPr>
        <w:t xml:space="preserve"> </w:t>
      </w:r>
      <w:r w:rsidR="00BE1451" w:rsidRPr="00DE6EE2">
        <w:rPr>
          <w:rFonts w:ascii="Arial" w:hAnsi="Arial" w:cs="Arial"/>
        </w:rPr>
        <w:t>Watch</w:t>
      </w:r>
    </w:p>
    <w:p w:rsidR="00BE1451" w:rsidRPr="00DE6EE2" w:rsidRDefault="00BE1451" w:rsidP="00DE6EE2">
      <w:pPr>
        <w:contextualSpacing/>
        <w:rPr>
          <w:rFonts w:ascii="Arial" w:hAnsi="Arial" w:cs="Arial"/>
        </w:rPr>
      </w:pPr>
      <w:r w:rsidRPr="00DE6EE2">
        <w:rPr>
          <w:rFonts w:ascii="Arial" w:hAnsi="Arial" w:cs="Arial"/>
        </w:rPr>
        <w:tab/>
        <w:t xml:space="preserve">2011. </w:t>
      </w:r>
      <w:r w:rsidRPr="00DE6EE2">
        <w:rPr>
          <w:rFonts w:ascii="Arial" w:hAnsi="Arial" w:cs="Arial"/>
          <w:i/>
        </w:rPr>
        <w:t>Types of Economic Systems</w:t>
      </w:r>
      <w:r w:rsidRPr="00DE6EE2">
        <w:rPr>
          <w:rFonts w:ascii="Arial" w:hAnsi="Arial" w:cs="Arial"/>
        </w:rPr>
        <w:t xml:space="preserve">. </w:t>
      </w:r>
      <w:r w:rsidRPr="00DE6EE2">
        <w:rPr>
          <w:rFonts w:ascii="Arial" w:hAnsi="Arial" w:cs="Arial"/>
        </w:rPr>
        <w:tab/>
        <w:t>http://www.economywatch.com/world_economy/world-economic-</w:t>
      </w:r>
      <w:r w:rsidR="00DE6EE2">
        <w:rPr>
          <w:rFonts w:ascii="Arial" w:hAnsi="Arial" w:cs="Arial"/>
        </w:rPr>
        <w:tab/>
      </w:r>
      <w:r w:rsidRPr="00DE6EE2">
        <w:rPr>
          <w:rFonts w:ascii="Arial" w:hAnsi="Arial" w:cs="Arial"/>
        </w:rPr>
        <w:t>indicators/type-of-</w:t>
      </w:r>
      <w:r w:rsidRPr="00DE6EE2">
        <w:rPr>
          <w:rFonts w:ascii="Arial" w:hAnsi="Arial" w:cs="Arial"/>
        </w:rPr>
        <w:tab/>
        <w:t>economic-system.html (accessed 18 April 2011)</w:t>
      </w:r>
    </w:p>
    <w:p w:rsidR="00C40CA1" w:rsidRPr="00DE6EE2" w:rsidRDefault="00C40CA1" w:rsidP="00DE6EE2">
      <w:pPr>
        <w:contextualSpacing/>
        <w:rPr>
          <w:rFonts w:ascii="Arial" w:hAnsi="Arial" w:cs="Arial"/>
        </w:rPr>
      </w:pPr>
    </w:p>
    <w:p w:rsidR="003E048E" w:rsidRPr="00DE6EE2" w:rsidRDefault="003E048E" w:rsidP="00DE6EE2">
      <w:pPr>
        <w:contextualSpacing/>
        <w:rPr>
          <w:rFonts w:ascii="Arial" w:hAnsi="Arial" w:cs="Arial"/>
          <w:lang w:val="af-ZA"/>
        </w:rPr>
      </w:pPr>
      <w:r w:rsidRPr="00DE6EE2">
        <w:rPr>
          <w:rFonts w:ascii="Arial" w:hAnsi="Arial" w:cs="Arial"/>
          <w:lang w:val="af-ZA"/>
        </w:rPr>
        <w:tab/>
      </w:r>
      <w:r w:rsidR="00C40CA1" w:rsidRPr="00DE6EE2">
        <w:rPr>
          <w:rFonts w:ascii="Arial" w:hAnsi="Arial" w:cs="Arial"/>
          <w:lang w:val="af-ZA"/>
        </w:rPr>
        <w:t>Mount Holyoke College</w:t>
      </w:r>
    </w:p>
    <w:p w:rsidR="00DE6EE2" w:rsidRDefault="003E048E" w:rsidP="00DE6EE2">
      <w:pPr>
        <w:contextualSpacing/>
        <w:rPr>
          <w:rFonts w:ascii="Arial" w:hAnsi="Arial" w:cs="Arial"/>
        </w:rPr>
      </w:pPr>
      <w:r w:rsidRPr="00DE6EE2">
        <w:rPr>
          <w:rFonts w:ascii="Arial" w:hAnsi="Arial" w:cs="Arial"/>
          <w:lang w:val="af-ZA"/>
        </w:rPr>
        <w:tab/>
      </w:r>
      <w:r w:rsidR="00C40CA1" w:rsidRPr="00DE6EE2">
        <w:rPr>
          <w:rFonts w:ascii="Arial" w:hAnsi="Arial" w:cs="Arial"/>
          <w:lang w:val="af-ZA"/>
        </w:rPr>
        <w:t xml:space="preserve">2011. </w:t>
      </w:r>
      <w:r w:rsidR="00C40CA1" w:rsidRPr="00DE6EE2">
        <w:rPr>
          <w:rFonts w:ascii="Arial" w:hAnsi="Arial" w:cs="Arial"/>
          <w:i/>
        </w:rPr>
        <w:t xml:space="preserve">Excerpts from Milton Friedman, </w:t>
      </w:r>
      <w:r w:rsidR="00C40CA1" w:rsidRPr="00DE6EE2">
        <w:rPr>
          <w:rFonts w:ascii="Arial" w:hAnsi="Arial" w:cs="Arial"/>
          <w:i/>
          <w:iCs/>
        </w:rPr>
        <w:t>Capitalism and Freedom</w:t>
      </w:r>
      <w:r w:rsidRPr="00DE6EE2">
        <w:rPr>
          <w:rFonts w:ascii="Arial" w:hAnsi="Arial" w:cs="Arial"/>
          <w:iCs/>
        </w:rPr>
        <w:t xml:space="preserve">. </w:t>
      </w:r>
      <w:r w:rsidRPr="00DE6EE2">
        <w:rPr>
          <w:rFonts w:ascii="Arial" w:hAnsi="Arial" w:cs="Arial"/>
          <w:iCs/>
        </w:rPr>
        <w:tab/>
      </w:r>
      <w:r w:rsidR="00C40CA1" w:rsidRPr="00DE6EE2">
        <w:rPr>
          <w:rFonts w:ascii="Arial" w:hAnsi="Arial" w:cs="Arial"/>
        </w:rPr>
        <w:t>http://www.mtholyoke.edu/acad/intrel/ipe/friedman.htm</w:t>
      </w:r>
      <w:r w:rsidRPr="00DE6EE2">
        <w:rPr>
          <w:rFonts w:ascii="Arial" w:hAnsi="Arial" w:cs="Arial"/>
        </w:rPr>
        <w:t xml:space="preserve"> </w:t>
      </w:r>
    </w:p>
    <w:p w:rsidR="00C40CA1" w:rsidRPr="00DE6EE2" w:rsidRDefault="00DE6EE2" w:rsidP="00DE6EE2">
      <w:pPr>
        <w:contextualSpacing/>
        <w:rPr>
          <w:rFonts w:ascii="Arial" w:hAnsi="Arial" w:cs="Arial"/>
        </w:rPr>
      </w:pPr>
      <w:r>
        <w:rPr>
          <w:rFonts w:ascii="Arial" w:hAnsi="Arial" w:cs="Arial"/>
        </w:rPr>
        <w:tab/>
      </w:r>
      <w:r w:rsidR="003E048E" w:rsidRPr="00DE6EE2">
        <w:rPr>
          <w:rFonts w:ascii="Arial" w:hAnsi="Arial" w:cs="Arial"/>
        </w:rPr>
        <w:t>(accessed 18 March 2011)</w:t>
      </w:r>
    </w:p>
    <w:p w:rsidR="00F1745F" w:rsidRPr="00DE6EE2" w:rsidRDefault="00F1745F" w:rsidP="00DE6EE2">
      <w:pPr>
        <w:contextualSpacing/>
        <w:rPr>
          <w:rFonts w:ascii="Arial" w:hAnsi="Arial" w:cs="Arial"/>
        </w:rPr>
      </w:pPr>
    </w:p>
    <w:p w:rsidR="00F1745F" w:rsidRPr="00DE6EE2" w:rsidRDefault="00CA65B6" w:rsidP="00DE6EE2">
      <w:pPr>
        <w:contextualSpacing/>
        <w:rPr>
          <w:rFonts w:ascii="Arial" w:hAnsi="Arial" w:cs="Arial"/>
        </w:rPr>
      </w:pPr>
      <w:r w:rsidRPr="00DE6EE2">
        <w:rPr>
          <w:rFonts w:ascii="Arial" w:hAnsi="Arial" w:cs="Arial"/>
        </w:rPr>
        <w:tab/>
      </w:r>
      <w:r w:rsidR="00F1745F" w:rsidRPr="00DE6EE2">
        <w:rPr>
          <w:rFonts w:ascii="Arial" w:hAnsi="Arial" w:cs="Arial"/>
        </w:rPr>
        <w:t>McTeer</w:t>
      </w:r>
    </w:p>
    <w:p w:rsidR="00DE6EE2" w:rsidRDefault="00CA65B6" w:rsidP="00DE6EE2">
      <w:pPr>
        <w:contextualSpacing/>
        <w:rPr>
          <w:rFonts w:ascii="Arial" w:hAnsi="Arial" w:cs="Arial"/>
        </w:rPr>
      </w:pPr>
      <w:r w:rsidRPr="00DE6EE2">
        <w:rPr>
          <w:rFonts w:ascii="Arial" w:hAnsi="Arial" w:cs="Arial"/>
        </w:rPr>
        <w:tab/>
      </w:r>
      <w:r w:rsidR="00F1745F" w:rsidRPr="00DE6EE2">
        <w:rPr>
          <w:rFonts w:ascii="Arial" w:hAnsi="Arial" w:cs="Arial"/>
        </w:rPr>
        <w:t xml:space="preserve">2002. </w:t>
      </w:r>
      <w:r w:rsidR="00F1745F" w:rsidRPr="00DE6EE2">
        <w:rPr>
          <w:rFonts w:ascii="Arial" w:hAnsi="Arial" w:cs="Arial"/>
          <w:i/>
        </w:rPr>
        <w:t>Free Enterprise: The Economics of Cooperation</w:t>
      </w:r>
      <w:r w:rsidR="00F1745F" w:rsidRPr="00DE6EE2">
        <w:rPr>
          <w:rFonts w:ascii="Arial" w:hAnsi="Arial" w:cs="Arial"/>
        </w:rPr>
        <w:t xml:space="preserve">. </w:t>
      </w:r>
      <w:r w:rsidRPr="00DE6EE2">
        <w:rPr>
          <w:rFonts w:ascii="Arial" w:hAnsi="Arial" w:cs="Arial"/>
        </w:rPr>
        <w:tab/>
      </w:r>
      <w:r w:rsidR="00F1745F" w:rsidRPr="00DE6EE2">
        <w:rPr>
          <w:rFonts w:ascii="Arial" w:hAnsi="Arial" w:cs="Arial"/>
        </w:rPr>
        <w:t xml:space="preserve">http://www.dallasfed.org/educate/free/index.html#intro </w:t>
      </w:r>
    </w:p>
    <w:p w:rsidR="00F1745F" w:rsidRDefault="00DE6EE2" w:rsidP="00DE6EE2">
      <w:pPr>
        <w:contextualSpacing/>
        <w:rPr>
          <w:rFonts w:ascii="Arial" w:hAnsi="Arial" w:cs="Arial"/>
        </w:rPr>
      </w:pPr>
      <w:r>
        <w:rPr>
          <w:rFonts w:ascii="Arial" w:hAnsi="Arial" w:cs="Arial"/>
        </w:rPr>
        <w:tab/>
      </w:r>
      <w:r w:rsidR="00F1745F" w:rsidRPr="00DE6EE2">
        <w:rPr>
          <w:rFonts w:ascii="Arial" w:hAnsi="Arial" w:cs="Arial"/>
        </w:rPr>
        <w:t>(accessed 17 March 2011)</w:t>
      </w:r>
    </w:p>
    <w:p w:rsidR="00B129DB" w:rsidRDefault="00B129DB" w:rsidP="00DE6EE2">
      <w:pPr>
        <w:contextualSpacing/>
        <w:rPr>
          <w:rFonts w:ascii="Arial" w:hAnsi="Arial" w:cs="Arial"/>
        </w:rPr>
      </w:pPr>
    </w:p>
    <w:p w:rsidR="00B129DB" w:rsidRDefault="00B129DB" w:rsidP="00DE6EE2">
      <w:pPr>
        <w:contextualSpacing/>
        <w:rPr>
          <w:rFonts w:ascii="Arial" w:hAnsi="Arial" w:cs="Arial"/>
        </w:rPr>
      </w:pPr>
      <w:r>
        <w:rPr>
          <w:rFonts w:ascii="Arial" w:hAnsi="Arial" w:cs="Arial"/>
        </w:rPr>
        <w:tab/>
        <w:t xml:space="preserve">Organisation for Economic </w:t>
      </w:r>
      <w:r w:rsidR="00972573">
        <w:rPr>
          <w:rFonts w:ascii="Arial" w:hAnsi="Arial" w:cs="Arial"/>
        </w:rPr>
        <w:t>Co-o</w:t>
      </w:r>
      <w:r w:rsidR="00455C5A">
        <w:rPr>
          <w:rFonts w:ascii="Arial" w:hAnsi="Arial" w:cs="Arial"/>
        </w:rPr>
        <w:t xml:space="preserve">peration and </w:t>
      </w:r>
      <w:r>
        <w:rPr>
          <w:rFonts w:ascii="Arial" w:hAnsi="Arial" w:cs="Arial"/>
        </w:rPr>
        <w:t>Development</w:t>
      </w:r>
    </w:p>
    <w:p w:rsidR="00B129DB" w:rsidRDefault="00B129DB" w:rsidP="00B129DB">
      <w:pPr>
        <w:contextualSpacing/>
        <w:rPr>
          <w:rFonts w:ascii="Arial" w:hAnsi="Arial" w:cs="Arial"/>
        </w:rPr>
      </w:pPr>
      <w:r>
        <w:rPr>
          <w:rFonts w:ascii="Arial" w:hAnsi="Arial" w:cs="Arial"/>
        </w:rPr>
        <w:tab/>
      </w:r>
      <w:r w:rsidR="00204778">
        <w:rPr>
          <w:rFonts w:ascii="Arial" w:hAnsi="Arial" w:cs="Arial"/>
        </w:rPr>
        <w:t xml:space="preserve">OECD. </w:t>
      </w:r>
      <w:r w:rsidRPr="00B129DB">
        <w:rPr>
          <w:rFonts w:ascii="Arial" w:hAnsi="Arial" w:cs="Arial"/>
          <w:i/>
        </w:rPr>
        <w:t>Glossary of Industrial Organisation Economics and Competition Law</w:t>
      </w:r>
      <w:r>
        <w:rPr>
          <w:rFonts w:ascii="Arial" w:hAnsi="Arial" w:cs="Arial"/>
        </w:rPr>
        <w:t>.</w:t>
      </w:r>
      <w:r w:rsidRPr="00D50A04">
        <w:rPr>
          <w:rFonts w:ascii="Arial" w:hAnsi="Arial" w:cs="Arial"/>
        </w:rPr>
        <w:t xml:space="preserve"> </w:t>
      </w:r>
      <w:r>
        <w:rPr>
          <w:rFonts w:ascii="Arial" w:hAnsi="Arial" w:cs="Arial"/>
        </w:rPr>
        <w:tab/>
      </w:r>
      <w:r w:rsidRPr="00D50A04">
        <w:rPr>
          <w:rStyle w:val="HTMLZitat"/>
          <w:rFonts w:ascii="Arial" w:hAnsi="Arial" w:cs="Arial"/>
          <w:i w:val="0"/>
        </w:rPr>
        <w:t>www.oecd.org/dataoecd/8/61/2376087.pdf (accessed on 31 Mei 2011)</w:t>
      </w:r>
    </w:p>
    <w:p w:rsidR="00411932" w:rsidRDefault="00411932" w:rsidP="00DE6EE2">
      <w:pPr>
        <w:contextualSpacing/>
        <w:rPr>
          <w:rFonts w:ascii="Arial" w:hAnsi="Arial" w:cs="Arial"/>
        </w:rPr>
      </w:pPr>
    </w:p>
    <w:p w:rsidR="00411932" w:rsidRDefault="00411932" w:rsidP="00411932">
      <w:pPr>
        <w:contextualSpacing/>
        <w:rPr>
          <w:rFonts w:ascii="Arial" w:hAnsi="Arial" w:cs="Arial"/>
        </w:rPr>
      </w:pPr>
      <w:r>
        <w:rPr>
          <w:rFonts w:ascii="Arial" w:hAnsi="Arial" w:cs="Arial"/>
        </w:rPr>
        <w:tab/>
        <w:t xml:space="preserve">US Federal Trade Commission </w:t>
      </w:r>
    </w:p>
    <w:p w:rsidR="00411932" w:rsidRDefault="00411932" w:rsidP="00411932">
      <w:pPr>
        <w:contextualSpacing/>
        <w:rPr>
          <w:rFonts w:ascii="Arial" w:hAnsi="Arial" w:cs="Arial"/>
        </w:rPr>
      </w:pPr>
      <w:r>
        <w:rPr>
          <w:rFonts w:ascii="Arial" w:hAnsi="Arial" w:cs="Arial"/>
        </w:rPr>
        <w:tab/>
      </w:r>
      <w:r w:rsidRPr="00411932">
        <w:rPr>
          <w:rFonts w:ascii="Arial" w:hAnsi="Arial" w:cs="Arial"/>
        </w:rPr>
        <w:t>1992. Horizontal Merger Guidelines</w:t>
      </w:r>
      <w:r>
        <w:rPr>
          <w:rFonts w:ascii="Arial" w:hAnsi="Arial" w:cs="Arial"/>
        </w:rPr>
        <w:t xml:space="preserve">. </w:t>
      </w:r>
      <w:r w:rsidR="00EF0A5F">
        <w:rPr>
          <w:rFonts w:ascii="Arial" w:hAnsi="Arial" w:cs="Arial"/>
        </w:rPr>
        <w:tab/>
      </w:r>
      <w:r w:rsidRPr="00411932">
        <w:rPr>
          <w:rFonts w:ascii="Arial" w:hAnsi="Arial" w:cs="Arial"/>
        </w:rPr>
        <w:t>http://www.ftc.gov/bc/docs/horizmer.shtm</w:t>
      </w:r>
      <w:r>
        <w:rPr>
          <w:rFonts w:ascii="Arial" w:hAnsi="Arial" w:cs="Arial"/>
        </w:rPr>
        <w:t xml:space="preserve"> (accessed 19 Mei 2011)</w:t>
      </w:r>
    </w:p>
    <w:p w:rsidR="00EF0A5F" w:rsidRDefault="00EF0A5F" w:rsidP="00411932">
      <w:pPr>
        <w:contextualSpacing/>
        <w:rPr>
          <w:rFonts w:ascii="Arial" w:hAnsi="Arial" w:cs="Arial"/>
        </w:rPr>
      </w:pPr>
    </w:p>
    <w:p w:rsidR="00EF0A5F" w:rsidRDefault="00EF0A5F" w:rsidP="00411932">
      <w:pPr>
        <w:contextualSpacing/>
        <w:rPr>
          <w:rFonts w:ascii="Arial" w:hAnsi="Arial" w:cs="Arial"/>
        </w:rPr>
      </w:pPr>
      <w:r>
        <w:rPr>
          <w:rFonts w:ascii="Arial" w:hAnsi="Arial" w:cs="Arial"/>
        </w:rPr>
        <w:tab/>
        <w:t>US Federal Trade Commission</w:t>
      </w:r>
    </w:p>
    <w:p w:rsidR="00EF0A5F" w:rsidRDefault="00EF0A5F" w:rsidP="00411932">
      <w:pPr>
        <w:contextualSpacing/>
        <w:rPr>
          <w:rFonts w:ascii="Arial" w:hAnsi="Arial" w:cs="Arial"/>
        </w:rPr>
      </w:pPr>
      <w:r>
        <w:rPr>
          <w:rFonts w:ascii="Arial" w:hAnsi="Arial" w:cs="Arial"/>
        </w:rPr>
        <w:tab/>
        <w:t>2007. How D</w:t>
      </w:r>
      <w:r w:rsidRPr="00EF0A5F">
        <w:rPr>
          <w:rFonts w:ascii="Arial" w:hAnsi="Arial" w:cs="Arial"/>
        </w:rPr>
        <w:t>o Courts and Agencies Evaluate Market Power?</w:t>
      </w:r>
      <w:r>
        <w:rPr>
          <w:rFonts w:ascii="Arial" w:hAnsi="Arial" w:cs="Arial"/>
        </w:rPr>
        <w:t xml:space="preserve"> </w:t>
      </w:r>
    </w:p>
    <w:p w:rsidR="00EF0A5F" w:rsidRDefault="00EF0A5F" w:rsidP="00411932">
      <w:pPr>
        <w:contextualSpacing/>
        <w:rPr>
          <w:rFonts w:ascii="Arial" w:hAnsi="Arial" w:cs="Arial"/>
        </w:rPr>
      </w:pPr>
      <w:r>
        <w:rPr>
          <w:rFonts w:ascii="Arial" w:hAnsi="Arial" w:cs="Arial"/>
        </w:rPr>
        <w:tab/>
      </w:r>
      <w:r w:rsidRPr="00EF0A5F">
        <w:rPr>
          <w:rFonts w:ascii="Arial" w:hAnsi="Arial" w:cs="Arial"/>
        </w:rPr>
        <w:t>http://www.ftc.gov/opp/jointvent/classic3.shtm</w:t>
      </w:r>
      <w:r>
        <w:rPr>
          <w:rFonts w:ascii="Arial" w:hAnsi="Arial" w:cs="Arial"/>
        </w:rPr>
        <w:t xml:space="preserve"> (accessed 13 Mei 2011)</w:t>
      </w:r>
    </w:p>
    <w:p w:rsidR="00411932" w:rsidRDefault="00411932" w:rsidP="00411932">
      <w:pPr>
        <w:contextualSpacing/>
        <w:rPr>
          <w:rFonts w:ascii="Arial" w:hAnsi="Arial" w:cs="Arial"/>
        </w:rPr>
      </w:pPr>
    </w:p>
    <w:p w:rsidR="00411932" w:rsidRDefault="00411932" w:rsidP="00411932">
      <w:pPr>
        <w:contextualSpacing/>
        <w:rPr>
          <w:rFonts w:ascii="Arial" w:hAnsi="Arial" w:cs="Arial"/>
        </w:rPr>
      </w:pPr>
      <w:r>
        <w:rPr>
          <w:rFonts w:ascii="Arial" w:hAnsi="Arial" w:cs="Arial"/>
        </w:rPr>
        <w:tab/>
        <w:t xml:space="preserve">US Department of Justice </w:t>
      </w:r>
    </w:p>
    <w:p w:rsidR="00411932" w:rsidRDefault="00411932" w:rsidP="00411932">
      <w:pPr>
        <w:contextualSpacing/>
        <w:rPr>
          <w:rFonts w:ascii="Arial" w:hAnsi="Arial" w:cs="Arial"/>
        </w:rPr>
      </w:pPr>
      <w:r>
        <w:rPr>
          <w:rFonts w:ascii="Arial" w:hAnsi="Arial" w:cs="Arial"/>
        </w:rPr>
        <w:tab/>
      </w:r>
      <w:r w:rsidRPr="00411932">
        <w:rPr>
          <w:rFonts w:ascii="Arial" w:hAnsi="Arial" w:cs="Arial"/>
        </w:rPr>
        <w:t>1992. Horizontal Merger Guidelines</w:t>
      </w:r>
      <w:r>
        <w:rPr>
          <w:rFonts w:ascii="Arial" w:hAnsi="Arial" w:cs="Arial"/>
        </w:rPr>
        <w:t xml:space="preserve">. </w:t>
      </w:r>
      <w:r>
        <w:rPr>
          <w:rFonts w:ascii="Arial" w:hAnsi="Arial" w:cs="Arial"/>
        </w:rPr>
        <w:tab/>
      </w:r>
      <w:r w:rsidRPr="00411932">
        <w:rPr>
          <w:rFonts w:ascii="Arial" w:hAnsi="Arial" w:cs="Arial"/>
        </w:rPr>
        <w:t>http://www.justice.gov/atr/public/guidelines/horiz_book/11.html</w:t>
      </w:r>
      <w:r>
        <w:rPr>
          <w:rFonts w:ascii="Arial" w:hAnsi="Arial" w:cs="Arial"/>
        </w:rPr>
        <w:t xml:space="preserve"> </w:t>
      </w:r>
    </w:p>
    <w:p w:rsidR="00411932" w:rsidRPr="00411932" w:rsidRDefault="00411932" w:rsidP="00411932">
      <w:pPr>
        <w:contextualSpacing/>
        <w:rPr>
          <w:rFonts w:ascii="Arial" w:hAnsi="Arial" w:cs="Arial"/>
        </w:rPr>
      </w:pPr>
      <w:r>
        <w:rPr>
          <w:rFonts w:ascii="Arial" w:hAnsi="Arial" w:cs="Arial"/>
        </w:rPr>
        <w:tab/>
        <w:t>(accessed 19 Mei 2011)</w:t>
      </w:r>
    </w:p>
    <w:p w:rsidR="00411932" w:rsidRDefault="00411932" w:rsidP="00DE6EE2">
      <w:pPr>
        <w:contextualSpacing/>
        <w:rPr>
          <w:rFonts w:ascii="Arial" w:hAnsi="Arial" w:cs="Arial"/>
        </w:rPr>
      </w:pPr>
    </w:p>
    <w:p w:rsidR="000E7FD1" w:rsidRPr="00DE6EE2" w:rsidRDefault="000E7FD1" w:rsidP="00DE6EE2">
      <w:pPr>
        <w:contextualSpacing/>
        <w:jc w:val="both"/>
        <w:rPr>
          <w:rFonts w:ascii="Arial" w:hAnsi="Arial" w:cs="Arial"/>
          <w:b/>
        </w:rPr>
      </w:pPr>
      <w:r w:rsidRPr="00DE6EE2">
        <w:rPr>
          <w:rFonts w:ascii="Arial" w:hAnsi="Arial" w:cs="Arial"/>
          <w:b/>
        </w:rPr>
        <w:t>Legislation</w:t>
      </w:r>
    </w:p>
    <w:p w:rsidR="000E7FD1" w:rsidRPr="00DE6EE2" w:rsidRDefault="000E7FD1" w:rsidP="00DE6EE2">
      <w:pPr>
        <w:contextualSpacing/>
        <w:jc w:val="both"/>
        <w:rPr>
          <w:rFonts w:ascii="Arial" w:hAnsi="Arial" w:cs="Arial"/>
          <w:b/>
        </w:rPr>
      </w:pPr>
    </w:p>
    <w:p w:rsidR="000E7FD1" w:rsidRPr="00DE6EE2" w:rsidRDefault="000E7FD1" w:rsidP="00DE6EE2">
      <w:pPr>
        <w:ind w:firstLine="720"/>
        <w:contextualSpacing/>
        <w:jc w:val="both"/>
        <w:rPr>
          <w:rFonts w:ascii="Arial" w:hAnsi="Arial" w:cs="Arial"/>
        </w:rPr>
      </w:pPr>
      <w:r w:rsidRPr="00DE6EE2">
        <w:rPr>
          <w:rFonts w:ascii="Arial" w:hAnsi="Arial" w:cs="Arial"/>
        </w:rPr>
        <w:t>Competition Act 89 of 1998.</w:t>
      </w:r>
    </w:p>
    <w:p w:rsidR="00335A7B" w:rsidRPr="00DE6EE2" w:rsidRDefault="009323AC" w:rsidP="00DE6EE2">
      <w:pPr>
        <w:contextualSpacing/>
        <w:jc w:val="both"/>
        <w:rPr>
          <w:rFonts w:ascii="Arial" w:hAnsi="Arial" w:cs="Arial"/>
        </w:rPr>
      </w:pPr>
      <w:r w:rsidRPr="00DE6EE2">
        <w:rPr>
          <w:rFonts w:ascii="Arial" w:hAnsi="Arial" w:cs="Arial"/>
        </w:rPr>
        <w:tab/>
      </w:r>
    </w:p>
    <w:p w:rsidR="00AD5164" w:rsidRPr="00DE6EE2" w:rsidRDefault="00AD5164" w:rsidP="00DE6EE2">
      <w:pPr>
        <w:contextualSpacing/>
        <w:jc w:val="both"/>
        <w:rPr>
          <w:rFonts w:ascii="Arial" w:hAnsi="Arial" w:cs="Arial"/>
        </w:rPr>
      </w:pPr>
      <w:r w:rsidRPr="00DE6EE2">
        <w:rPr>
          <w:rFonts w:ascii="Arial" w:hAnsi="Arial" w:cs="Arial"/>
        </w:rPr>
        <w:tab/>
        <w:t>Maintenance and Promotion of Competition Act 96/1979.</w:t>
      </w:r>
    </w:p>
    <w:p w:rsidR="00AD5164" w:rsidRPr="00DE6EE2" w:rsidRDefault="00335A7B" w:rsidP="00DE6EE2">
      <w:pPr>
        <w:contextualSpacing/>
        <w:jc w:val="both"/>
        <w:rPr>
          <w:rFonts w:ascii="Arial" w:hAnsi="Arial" w:cs="Arial"/>
        </w:rPr>
      </w:pPr>
      <w:r w:rsidRPr="00DE6EE2">
        <w:rPr>
          <w:rFonts w:ascii="Arial" w:hAnsi="Arial" w:cs="Arial"/>
        </w:rPr>
        <w:tab/>
      </w:r>
    </w:p>
    <w:p w:rsidR="00AD5164" w:rsidRPr="00DE6EE2" w:rsidRDefault="00AD5164" w:rsidP="00DE6EE2">
      <w:pPr>
        <w:contextualSpacing/>
        <w:jc w:val="both"/>
        <w:rPr>
          <w:rFonts w:ascii="Arial" w:hAnsi="Arial" w:cs="Arial"/>
        </w:rPr>
      </w:pPr>
      <w:r w:rsidRPr="00DE6EE2">
        <w:rPr>
          <w:rFonts w:ascii="Arial" w:hAnsi="Arial" w:cs="Arial"/>
        </w:rPr>
        <w:tab/>
        <w:t>Regulation of Monopolistic Conditions Act 25/1955.</w:t>
      </w:r>
    </w:p>
    <w:p w:rsidR="00AD5164" w:rsidRPr="00DE6EE2" w:rsidRDefault="00AD5164" w:rsidP="00DE6EE2">
      <w:pPr>
        <w:contextualSpacing/>
        <w:jc w:val="both"/>
        <w:rPr>
          <w:rFonts w:ascii="Arial" w:hAnsi="Arial" w:cs="Arial"/>
        </w:rPr>
      </w:pPr>
    </w:p>
    <w:p w:rsidR="000E7FD1" w:rsidRPr="00DE6EE2" w:rsidRDefault="00AD5164" w:rsidP="00DE6EE2">
      <w:pPr>
        <w:contextualSpacing/>
        <w:jc w:val="both"/>
        <w:rPr>
          <w:rFonts w:ascii="Arial" w:hAnsi="Arial" w:cs="Arial"/>
        </w:rPr>
      </w:pPr>
      <w:r w:rsidRPr="00DE6EE2">
        <w:rPr>
          <w:rFonts w:ascii="Arial" w:hAnsi="Arial" w:cs="Arial"/>
        </w:rPr>
        <w:tab/>
      </w:r>
      <w:r w:rsidR="009323AC" w:rsidRPr="00DE6EE2">
        <w:rPr>
          <w:rFonts w:ascii="Arial" w:hAnsi="Arial" w:cs="Arial"/>
        </w:rPr>
        <w:t>Undue restraint of trade Act 59 of 1949.</w:t>
      </w:r>
    </w:p>
    <w:p w:rsidR="00AD5164" w:rsidRPr="00DE6EE2" w:rsidRDefault="00AD5164" w:rsidP="00DE6EE2">
      <w:pPr>
        <w:contextualSpacing/>
        <w:jc w:val="both"/>
        <w:rPr>
          <w:rFonts w:ascii="Arial" w:hAnsi="Arial" w:cs="Arial"/>
        </w:rPr>
      </w:pPr>
    </w:p>
    <w:p w:rsidR="000E7FD1" w:rsidRPr="00DE6EE2" w:rsidRDefault="000E7FD1" w:rsidP="00DE6EE2">
      <w:pPr>
        <w:contextualSpacing/>
        <w:jc w:val="both"/>
        <w:rPr>
          <w:rFonts w:ascii="Arial" w:hAnsi="Arial" w:cs="Arial"/>
          <w:b/>
        </w:rPr>
      </w:pPr>
      <w:r w:rsidRPr="00DE6EE2">
        <w:rPr>
          <w:rFonts w:ascii="Arial" w:hAnsi="Arial" w:cs="Arial"/>
          <w:b/>
        </w:rPr>
        <w:t>Case law</w:t>
      </w:r>
    </w:p>
    <w:p w:rsidR="00574CD2" w:rsidRPr="00DE6EE2" w:rsidRDefault="00133B5D" w:rsidP="00DE6EE2">
      <w:pPr>
        <w:contextualSpacing/>
        <w:jc w:val="both"/>
        <w:rPr>
          <w:rFonts w:ascii="Arial" w:hAnsi="Arial" w:cs="Arial"/>
          <w:lang w:val="af-ZA"/>
        </w:rPr>
      </w:pPr>
      <w:r w:rsidRPr="00DE6EE2">
        <w:rPr>
          <w:rFonts w:ascii="Arial" w:hAnsi="Arial" w:cs="Arial"/>
          <w:lang w:val="af-ZA"/>
        </w:rPr>
        <w:tab/>
      </w:r>
    </w:p>
    <w:p w:rsidR="00F44C23" w:rsidRPr="00F44C23" w:rsidRDefault="00574CD2" w:rsidP="00DE6EE2">
      <w:pPr>
        <w:contextualSpacing/>
        <w:jc w:val="both"/>
        <w:rPr>
          <w:rFonts w:ascii="Arial" w:hAnsi="Arial" w:cs="Arial"/>
          <w:lang w:val="af-ZA"/>
        </w:rPr>
      </w:pPr>
      <w:r w:rsidRPr="00DE6EE2">
        <w:rPr>
          <w:rFonts w:ascii="Arial" w:hAnsi="Arial" w:cs="Arial"/>
          <w:lang w:val="af-ZA"/>
        </w:rPr>
        <w:tab/>
      </w:r>
      <w:r w:rsidR="00F44C23" w:rsidRPr="00F44C23">
        <w:rPr>
          <w:rFonts w:ascii="Arial" w:hAnsi="Arial" w:cs="Arial"/>
        </w:rPr>
        <w:t>JD Group Limited and Ellerine Holdings Limited Case 78/LM/Jul00.</w:t>
      </w:r>
    </w:p>
    <w:p w:rsidR="00F44C23" w:rsidRDefault="00F44C23" w:rsidP="00DE6EE2">
      <w:pPr>
        <w:contextualSpacing/>
        <w:jc w:val="both"/>
        <w:rPr>
          <w:rFonts w:ascii="Arial" w:hAnsi="Arial" w:cs="Arial"/>
          <w:lang w:val="af-ZA"/>
        </w:rPr>
      </w:pPr>
    </w:p>
    <w:p w:rsidR="000E7FD1" w:rsidRPr="00DE6EE2" w:rsidRDefault="00F44C23" w:rsidP="00DE6EE2">
      <w:pPr>
        <w:contextualSpacing/>
        <w:jc w:val="both"/>
        <w:rPr>
          <w:rFonts w:ascii="Arial" w:hAnsi="Arial" w:cs="Arial"/>
          <w:b/>
        </w:rPr>
      </w:pPr>
      <w:r>
        <w:rPr>
          <w:rFonts w:ascii="Arial" w:hAnsi="Arial" w:cs="Arial"/>
          <w:lang w:val="af-ZA"/>
        </w:rPr>
        <w:tab/>
      </w:r>
      <w:r w:rsidR="00133B5D" w:rsidRPr="00DE6EE2">
        <w:rPr>
          <w:rFonts w:ascii="Arial" w:hAnsi="Arial" w:cs="Arial"/>
          <w:lang w:val="af-ZA"/>
        </w:rPr>
        <w:t>Lorimar v Sterling Clothing Manufacturers 1981 3 SA 1129 (T) 1141.</w:t>
      </w:r>
    </w:p>
    <w:p w:rsidR="0000757E" w:rsidRDefault="008C3E22" w:rsidP="00DE6EE2">
      <w:pPr>
        <w:contextualSpacing/>
        <w:rPr>
          <w:rFonts w:ascii="Arial" w:hAnsi="Arial" w:cs="Arial"/>
          <w:lang w:val="af-ZA"/>
        </w:rPr>
      </w:pPr>
      <w:r w:rsidRPr="00DE6EE2">
        <w:rPr>
          <w:rFonts w:ascii="Arial" w:hAnsi="Arial" w:cs="Arial"/>
          <w:lang w:val="af-ZA"/>
        </w:rPr>
        <w:tab/>
      </w:r>
    </w:p>
    <w:p w:rsidR="00574CD2" w:rsidRPr="00DE6EE2" w:rsidRDefault="0000757E" w:rsidP="00DE6EE2">
      <w:pPr>
        <w:contextualSpacing/>
        <w:rPr>
          <w:rFonts w:ascii="Arial" w:hAnsi="Arial" w:cs="Arial"/>
          <w:lang w:val="af-ZA"/>
        </w:rPr>
      </w:pPr>
      <w:r>
        <w:rPr>
          <w:rFonts w:ascii="Arial" w:hAnsi="Arial" w:cs="Arial"/>
          <w:lang w:val="af-ZA"/>
        </w:rPr>
        <w:tab/>
      </w:r>
      <w:r>
        <w:rPr>
          <w:rFonts w:ascii="Arial" w:hAnsi="Arial" w:cs="Arial"/>
        </w:rPr>
        <w:t xml:space="preserve">National Association of Pharmaceutical Wholesalers and Others v Glaxo </w:t>
      </w:r>
      <w:r>
        <w:rPr>
          <w:rFonts w:ascii="Arial" w:hAnsi="Arial" w:cs="Arial"/>
        </w:rPr>
        <w:tab/>
        <w:t>Welcome (Pty) Ltd and Others case 45/CR/Jul01.</w:t>
      </w:r>
    </w:p>
    <w:p w:rsidR="0000757E" w:rsidRDefault="00574CD2" w:rsidP="00DE6EE2">
      <w:pPr>
        <w:contextualSpacing/>
        <w:rPr>
          <w:rFonts w:ascii="Arial" w:hAnsi="Arial" w:cs="Arial"/>
          <w:lang w:val="af-ZA"/>
        </w:rPr>
      </w:pPr>
      <w:r w:rsidRPr="00DE6EE2">
        <w:rPr>
          <w:rFonts w:ascii="Arial" w:hAnsi="Arial" w:cs="Arial"/>
          <w:lang w:val="af-ZA"/>
        </w:rPr>
        <w:tab/>
      </w:r>
    </w:p>
    <w:p w:rsidR="00204778" w:rsidRDefault="0000757E" w:rsidP="00204778">
      <w:pPr>
        <w:contextualSpacing/>
        <w:jc w:val="both"/>
        <w:rPr>
          <w:rFonts w:ascii="Arial" w:hAnsi="Arial" w:cs="Arial"/>
        </w:rPr>
      </w:pPr>
      <w:r>
        <w:rPr>
          <w:rFonts w:ascii="Arial" w:hAnsi="Arial" w:cs="Arial"/>
          <w:lang w:val="af-ZA"/>
        </w:rPr>
        <w:tab/>
      </w:r>
      <w:r w:rsidR="00204778" w:rsidRPr="009B6467">
        <w:rPr>
          <w:rFonts w:ascii="Arial" w:hAnsi="Arial" w:cs="Arial"/>
        </w:rPr>
        <w:t xml:space="preserve">Santam Limited and Guardian National Insurance Company Limited case </w:t>
      </w:r>
      <w:r w:rsidR="00204778" w:rsidRPr="009B6467">
        <w:rPr>
          <w:rFonts w:ascii="Arial" w:hAnsi="Arial" w:cs="Arial"/>
        </w:rPr>
        <w:tab/>
        <w:t>14/LM/Feb00</w:t>
      </w:r>
    </w:p>
    <w:p w:rsidR="00204778" w:rsidRDefault="00204778" w:rsidP="00DE6EE2">
      <w:pPr>
        <w:contextualSpacing/>
        <w:rPr>
          <w:rFonts w:ascii="Arial" w:hAnsi="Arial" w:cs="Arial"/>
          <w:lang w:val="af-ZA"/>
        </w:rPr>
      </w:pPr>
    </w:p>
    <w:p w:rsidR="00AD5164" w:rsidRPr="00DE6EE2" w:rsidRDefault="00204778" w:rsidP="00DE6EE2">
      <w:pPr>
        <w:contextualSpacing/>
        <w:rPr>
          <w:rFonts w:ascii="Arial" w:hAnsi="Arial" w:cs="Arial"/>
          <w:lang w:val="af-ZA"/>
        </w:rPr>
      </w:pPr>
      <w:r>
        <w:rPr>
          <w:rFonts w:ascii="Arial" w:hAnsi="Arial" w:cs="Arial"/>
          <w:lang w:val="af-ZA"/>
        </w:rPr>
        <w:tab/>
      </w:r>
      <w:r w:rsidR="00AD5164" w:rsidRPr="00DE6EE2">
        <w:rPr>
          <w:rFonts w:ascii="Arial" w:hAnsi="Arial" w:cs="Arial"/>
          <w:lang w:val="af-ZA"/>
        </w:rPr>
        <w:t>Shell South Africa (Pty) Ltd v Tepco Petroleum (Pty) Ltd case 66/LM/Oct01.</w:t>
      </w:r>
    </w:p>
    <w:p w:rsidR="00AD5164" w:rsidRPr="00DE6EE2" w:rsidRDefault="00AD5164" w:rsidP="00DE6EE2">
      <w:pPr>
        <w:contextualSpacing/>
        <w:rPr>
          <w:rFonts w:ascii="Arial" w:hAnsi="Arial" w:cs="Arial"/>
          <w:lang w:val="af-ZA"/>
        </w:rPr>
      </w:pPr>
    </w:p>
    <w:p w:rsidR="00204778" w:rsidRPr="00204778" w:rsidRDefault="00AD5164" w:rsidP="00DE6EE2">
      <w:pPr>
        <w:contextualSpacing/>
        <w:rPr>
          <w:rFonts w:ascii="Arial" w:hAnsi="Arial" w:cs="Arial"/>
          <w:lang w:val="af-ZA"/>
        </w:rPr>
      </w:pPr>
      <w:r w:rsidRPr="00DE6EE2">
        <w:rPr>
          <w:rFonts w:ascii="Arial" w:hAnsi="Arial" w:cs="Arial"/>
          <w:lang w:val="af-ZA"/>
        </w:rPr>
        <w:tab/>
      </w:r>
      <w:r w:rsidR="00204778" w:rsidRPr="00204778">
        <w:rPr>
          <w:rFonts w:ascii="Arial" w:hAnsi="Arial" w:cs="Arial"/>
        </w:rPr>
        <w:t>Tongaat-Hulett Group Limited and Transvaal Suiker Bpk Case 83/LM/Jul00</w:t>
      </w:r>
    </w:p>
    <w:p w:rsidR="00204778" w:rsidRDefault="00204778" w:rsidP="00DE6EE2">
      <w:pPr>
        <w:contextualSpacing/>
        <w:rPr>
          <w:rFonts w:ascii="Arial" w:hAnsi="Arial" w:cs="Arial"/>
          <w:lang w:val="af-ZA"/>
        </w:rPr>
      </w:pPr>
      <w:r>
        <w:rPr>
          <w:rFonts w:ascii="Arial" w:hAnsi="Arial" w:cs="Arial"/>
          <w:lang w:val="af-ZA"/>
        </w:rPr>
        <w:tab/>
      </w:r>
    </w:p>
    <w:p w:rsidR="000E7FD1" w:rsidRPr="00DE6EE2" w:rsidRDefault="00204778" w:rsidP="00DE6EE2">
      <w:pPr>
        <w:contextualSpacing/>
        <w:rPr>
          <w:rFonts w:ascii="Arial" w:hAnsi="Arial" w:cs="Arial"/>
          <w:lang w:val="af-ZA"/>
        </w:rPr>
      </w:pPr>
      <w:r>
        <w:rPr>
          <w:rFonts w:ascii="Arial" w:hAnsi="Arial" w:cs="Arial"/>
          <w:lang w:val="af-ZA"/>
        </w:rPr>
        <w:tab/>
      </w:r>
      <w:r w:rsidR="008C3E22" w:rsidRPr="00DE6EE2">
        <w:rPr>
          <w:rFonts w:ascii="Arial" w:hAnsi="Arial" w:cs="Arial"/>
          <w:lang w:val="af-ZA"/>
        </w:rPr>
        <w:t>Tothill v Gordon 1930 WLD 99 112</w:t>
      </w:r>
      <w:r w:rsidR="004465BF" w:rsidRPr="00DE6EE2">
        <w:rPr>
          <w:rFonts w:ascii="Arial" w:hAnsi="Arial" w:cs="Arial"/>
          <w:lang w:val="af-ZA"/>
        </w:rPr>
        <w:t>.</w:t>
      </w:r>
    </w:p>
    <w:p w:rsidR="00574CD2" w:rsidRPr="00DE6EE2" w:rsidRDefault="00574CD2" w:rsidP="00DE6EE2">
      <w:pPr>
        <w:contextualSpacing/>
        <w:rPr>
          <w:rFonts w:ascii="Arial" w:hAnsi="Arial" w:cs="Arial"/>
          <w:lang w:val="af-ZA"/>
        </w:rPr>
      </w:pPr>
      <w:r w:rsidRPr="00DE6EE2">
        <w:rPr>
          <w:rFonts w:ascii="Arial" w:hAnsi="Arial" w:cs="Arial"/>
          <w:lang w:val="af-ZA"/>
        </w:rPr>
        <w:tab/>
      </w:r>
    </w:p>
    <w:p w:rsidR="00F44C23" w:rsidRDefault="00574CD2" w:rsidP="009B6467">
      <w:pPr>
        <w:contextualSpacing/>
        <w:jc w:val="both"/>
        <w:rPr>
          <w:rFonts w:ascii="Arial" w:hAnsi="Arial" w:cs="Arial"/>
        </w:rPr>
      </w:pPr>
      <w:r w:rsidRPr="00DE6EE2">
        <w:rPr>
          <w:rFonts w:ascii="Arial" w:hAnsi="Arial" w:cs="Arial"/>
          <w:lang w:val="af-ZA"/>
        </w:rPr>
        <w:tab/>
      </w:r>
    </w:p>
    <w:p w:rsidR="00F44C23" w:rsidRDefault="00F44C23" w:rsidP="009B6467">
      <w:pPr>
        <w:contextualSpacing/>
        <w:jc w:val="both"/>
        <w:rPr>
          <w:rFonts w:ascii="Arial" w:hAnsi="Arial" w:cs="Arial"/>
        </w:rPr>
      </w:pPr>
    </w:p>
    <w:p w:rsidR="00F44C23" w:rsidRDefault="00F44C23" w:rsidP="009B6467">
      <w:pPr>
        <w:contextualSpacing/>
        <w:jc w:val="both"/>
        <w:rPr>
          <w:rFonts w:ascii="Arial" w:hAnsi="Arial" w:cs="Arial"/>
        </w:rPr>
      </w:pPr>
    </w:p>
    <w:p w:rsidR="00F44C23" w:rsidRPr="003742F2" w:rsidRDefault="00F44C23" w:rsidP="00F44C23">
      <w:pPr>
        <w:pStyle w:val="Funotentext"/>
        <w:spacing w:line="240" w:lineRule="auto"/>
        <w:contextualSpacing/>
        <w:jc w:val="both"/>
        <w:rPr>
          <w:rFonts w:ascii="Arial" w:hAnsi="Arial" w:cs="Arial"/>
        </w:rPr>
      </w:pPr>
    </w:p>
    <w:p w:rsidR="00F44C23" w:rsidRPr="003742F2" w:rsidRDefault="00F44C23" w:rsidP="00F44C23">
      <w:pPr>
        <w:pStyle w:val="Funotentext"/>
        <w:spacing w:line="240" w:lineRule="auto"/>
        <w:contextualSpacing/>
        <w:jc w:val="both"/>
        <w:rPr>
          <w:rFonts w:ascii="Arial" w:hAnsi="Arial" w:cs="Arial"/>
        </w:rPr>
      </w:pPr>
      <w:r w:rsidRPr="003742F2">
        <w:rPr>
          <w:rFonts w:ascii="Arial" w:hAnsi="Arial" w:cs="Arial"/>
        </w:rPr>
        <w:t>.</w:t>
      </w:r>
    </w:p>
    <w:sectPr w:rsidR="00F44C23" w:rsidRPr="003742F2" w:rsidSect="00D12B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AA8" w:rsidRDefault="00C16AA8" w:rsidP="00BA5018">
      <w:pPr>
        <w:spacing w:line="240" w:lineRule="auto"/>
      </w:pPr>
      <w:r>
        <w:separator/>
      </w:r>
    </w:p>
  </w:endnote>
  <w:endnote w:type="continuationSeparator" w:id="0">
    <w:p w:rsidR="00C16AA8" w:rsidRDefault="00C16AA8" w:rsidP="00BA50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AA8" w:rsidRDefault="00C16AA8" w:rsidP="00BA5018">
      <w:pPr>
        <w:spacing w:line="240" w:lineRule="auto"/>
      </w:pPr>
      <w:r>
        <w:separator/>
      </w:r>
    </w:p>
  </w:footnote>
  <w:footnote w:type="continuationSeparator" w:id="0">
    <w:p w:rsidR="00C16AA8" w:rsidRDefault="00C16AA8" w:rsidP="00BA5018">
      <w:pPr>
        <w:spacing w:line="240" w:lineRule="auto"/>
      </w:pPr>
      <w:r>
        <w:continuationSeparator/>
      </w:r>
    </w:p>
  </w:footnote>
  <w:footnote w:id="1">
    <w:p w:rsidR="005E7922" w:rsidRPr="005F043F" w:rsidRDefault="005E7922" w:rsidP="0064284C">
      <w:pPr>
        <w:pStyle w:val="Funotentext"/>
        <w:spacing w:line="240" w:lineRule="auto"/>
        <w:contextualSpacing/>
        <w:rPr>
          <w:lang w:val="af-ZA"/>
        </w:rPr>
      </w:pPr>
      <w:r>
        <w:rPr>
          <w:rStyle w:val="Funotenzeichen"/>
        </w:rPr>
        <w:footnoteRef/>
      </w:r>
      <w:r>
        <w:t xml:space="preserve"> </w:t>
      </w:r>
      <w:r>
        <w:rPr>
          <w:lang w:val="af-ZA"/>
        </w:rPr>
        <w:t xml:space="preserve"> Cseres 2005: 12.</w:t>
      </w:r>
    </w:p>
  </w:footnote>
  <w:footnote w:id="2">
    <w:p w:rsidR="005E7922" w:rsidRPr="00084C31" w:rsidRDefault="005E7922" w:rsidP="0064284C">
      <w:pPr>
        <w:pStyle w:val="Funotentext"/>
        <w:spacing w:line="240" w:lineRule="auto"/>
        <w:contextualSpacing/>
        <w:rPr>
          <w:lang w:val="af-ZA"/>
        </w:rPr>
      </w:pPr>
      <w:r>
        <w:rPr>
          <w:rStyle w:val="Funotenzeichen"/>
        </w:rPr>
        <w:footnoteRef/>
      </w:r>
      <w:r>
        <w:t xml:space="preserve"> </w:t>
      </w:r>
      <w:r>
        <w:rPr>
          <w:lang w:val="af-ZA"/>
        </w:rPr>
        <w:t xml:space="preserve"> Rowley 1989: 125 as cited in Cseres 2005: 12.</w:t>
      </w:r>
    </w:p>
  </w:footnote>
  <w:footnote w:id="3">
    <w:p w:rsidR="005E7922" w:rsidRPr="005F043F" w:rsidRDefault="005E7922" w:rsidP="0064284C">
      <w:pPr>
        <w:pStyle w:val="Funotentext"/>
        <w:spacing w:line="240" w:lineRule="auto"/>
        <w:contextualSpacing/>
        <w:rPr>
          <w:lang w:val="af-ZA"/>
        </w:rPr>
      </w:pPr>
      <w:r>
        <w:rPr>
          <w:rStyle w:val="Funotenzeichen"/>
        </w:rPr>
        <w:footnoteRef/>
      </w:r>
      <w:r>
        <w:t xml:space="preserve"> </w:t>
      </w:r>
      <w:r>
        <w:rPr>
          <w:lang w:val="af-ZA"/>
        </w:rPr>
        <w:t xml:space="preserve"> Cseres 2005: 11.</w:t>
      </w:r>
    </w:p>
  </w:footnote>
  <w:footnote w:id="4">
    <w:p w:rsidR="005E7922" w:rsidRPr="00091CA6" w:rsidRDefault="005E7922" w:rsidP="0064284C">
      <w:pPr>
        <w:pStyle w:val="Funotentext"/>
        <w:spacing w:line="240" w:lineRule="auto"/>
        <w:contextualSpacing/>
        <w:rPr>
          <w:lang w:val="af-ZA"/>
        </w:rPr>
      </w:pPr>
      <w:r>
        <w:rPr>
          <w:rStyle w:val="Funotenzeichen"/>
        </w:rPr>
        <w:footnoteRef/>
      </w:r>
      <w:r>
        <w:t xml:space="preserve"> </w:t>
      </w:r>
      <w:r>
        <w:rPr>
          <w:lang w:val="af-ZA"/>
        </w:rPr>
        <w:t xml:space="preserve"> Cseres 2005: 11-12.</w:t>
      </w:r>
    </w:p>
  </w:footnote>
  <w:footnote w:id="5">
    <w:p w:rsidR="005E7922" w:rsidRPr="00091CA6" w:rsidRDefault="005E7922" w:rsidP="0064284C">
      <w:pPr>
        <w:pStyle w:val="Funotentext"/>
        <w:spacing w:line="240" w:lineRule="auto"/>
        <w:contextualSpacing/>
        <w:rPr>
          <w:lang w:val="af-ZA"/>
        </w:rPr>
      </w:pPr>
      <w:r>
        <w:rPr>
          <w:rStyle w:val="Funotenzeichen"/>
        </w:rPr>
        <w:footnoteRef/>
      </w:r>
      <w:r>
        <w:t xml:space="preserve"> </w:t>
      </w:r>
      <w:r>
        <w:rPr>
          <w:lang w:val="af-ZA"/>
        </w:rPr>
        <w:t xml:space="preserve"> Cseres 2005: 11-12.</w:t>
      </w:r>
    </w:p>
  </w:footnote>
  <w:footnote w:id="6">
    <w:p w:rsidR="005E7922" w:rsidRPr="00091CA6" w:rsidRDefault="005E7922" w:rsidP="0064284C">
      <w:pPr>
        <w:pStyle w:val="Funotentext"/>
        <w:spacing w:line="240" w:lineRule="auto"/>
        <w:contextualSpacing/>
        <w:rPr>
          <w:lang w:val="af-ZA"/>
        </w:rPr>
      </w:pPr>
      <w:r>
        <w:rPr>
          <w:rStyle w:val="Funotenzeichen"/>
        </w:rPr>
        <w:footnoteRef/>
      </w:r>
      <w:r>
        <w:t xml:space="preserve"> </w:t>
      </w:r>
      <w:r>
        <w:rPr>
          <w:lang w:val="af-ZA"/>
        </w:rPr>
        <w:t xml:space="preserve"> Cseres 2005: 11-12.</w:t>
      </w:r>
    </w:p>
  </w:footnote>
  <w:footnote w:id="7">
    <w:p w:rsidR="005E7922" w:rsidRPr="00502B8E" w:rsidRDefault="005E7922" w:rsidP="0064284C">
      <w:pPr>
        <w:pStyle w:val="Funotentext"/>
        <w:spacing w:line="240" w:lineRule="auto"/>
        <w:contextualSpacing/>
        <w:rPr>
          <w:lang w:val="af-ZA"/>
        </w:rPr>
      </w:pPr>
      <w:r>
        <w:rPr>
          <w:rStyle w:val="Funotenzeichen"/>
        </w:rPr>
        <w:footnoteRef/>
      </w:r>
      <w:r>
        <w:t xml:space="preserve"> </w:t>
      </w:r>
      <w:r>
        <w:rPr>
          <w:lang w:val="af-ZA"/>
        </w:rPr>
        <w:t xml:space="preserve"> Cseres 2005: 11.</w:t>
      </w:r>
    </w:p>
  </w:footnote>
  <w:footnote w:id="8">
    <w:p w:rsidR="005E7922" w:rsidRPr="0064284C" w:rsidRDefault="005E7922" w:rsidP="0064284C">
      <w:pPr>
        <w:pStyle w:val="Funotentext"/>
        <w:spacing w:line="240" w:lineRule="auto"/>
        <w:contextualSpacing/>
        <w:rPr>
          <w:lang w:val="af-ZA"/>
        </w:rPr>
      </w:pPr>
      <w:r>
        <w:rPr>
          <w:rStyle w:val="Funotenzeichen"/>
        </w:rPr>
        <w:footnoteRef/>
      </w:r>
      <w:r>
        <w:t xml:space="preserve"> </w:t>
      </w:r>
      <w:r>
        <w:rPr>
          <w:lang w:val="af-ZA"/>
        </w:rPr>
        <w:t xml:space="preserve"> Neuhoff </w:t>
      </w:r>
      <w:r w:rsidRPr="00256A93">
        <w:rPr>
          <w:i/>
          <w:lang w:val="af-ZA"/>
        </w:rPr>
        <w:t>et al</w:t>
      </w:r>
      <w:r w:rsidRPr="00256A93">
        <w:rPr>
          <w:lang w:val="af-ZA"/>
        </w:rPr>
        <w:t xml:space="preserve"> </w:t>
      </w:r>
      <w:r>
        <w:rPr>
          <w:lang w:val="af-ZA"/>
        </w:rPr>
        <w:t xml:space="preserve"> 2006: 26.</w:t>
      </w:r>
    </w:p>
  </w:footnote>
  <w:footnote w:id="9">
    <w:p w:rsidR="005E7922" w:rsidRPr="00256A93" w:rsidRDefault="005E7922" w:rsidP="0064284C">
      <w:pPr>
        <w:pStyle w:val="Funotentext"/>
        <w:spacing w:line="240" w:lineRule="auto"/>
        <w:contextualSpacing/>
        <w:rPr>
          <w:lang w:val="af-ZA"/>
        </w:rPr>
      </w:pPr>
      <w:r>
        <w:rPr>
          <w:rStyle w:val="Funotenzeichen"/>
        </w:rPr>
        <w:footnoteRef/>
      </w:r>
      <w:r>
        <w:t xml:space="preserve"> </w:t>
      </w:r>
      <w:r>
        <w:rPr>
          <w:lang w:val="af-ZA"/>
        </w:rPr>
        <w:t xml:space="preserve"> Neuhoff </w:t>
      </w:r>
      <w:r w:rsidRPr="00256A93">
        <w:rPr>
          <w:i/>
          <w:lang w:val="af-ZA"/>
        </w:rPr>
        <w:t>et al</w:t>
      </w:r>
      <w:r w:rsidRPr="00256A93">
        <w:rPr>
          <w:lang w:val="af-ZA"/>
        </w:rPr>
        <w:t xml:space="preserve"> </w:t>
      </w:r>
      <w:r>
        <w:rPr>
          <w:lang w:val="af-ZA"/>
        </w:rPr>
        <w:t xml:space="preserve"> 2006: 26.</w:t>
      </w:r>
    </w:p>
  </w:footnote>
  <w:footnote w:id="10">
    <w:p w:rsidR="005E7922" w:rsidRPr="00C429F2" w:rsidRDefault="005E7922" w:rsidP="0064284C">
      <w:pPr>
        <w:pStyle w:val="Funotentext"/>
        <w:spacing w:line="240" w:lineRule="auto"/>
        <w:contextualSpacing/>
        <w:rPr>
          <w:lang w:val="af-ZA"/>
        </w:rPr>
      </w:pPr>
      <w:r>
        <w:rPr>
          <w:rStyle w:val="Funotenzeichen"/>
        </w:rPr>
        <w:footnoteRef/>
      </w:r>
      <w:r>
        <w:t xml:space="preserve"> </w:t>
      </w:r>
      <w:r>
        <w:rPr>
          <w:lang w:val="af-ZA"/>
        </w:rPr>
        <w:t xml:space="preserve"> Wish 1993: 1.</w:t>
      </w:r>
    </w:p>
  </w:footnote>
  <w:footnote w:id="11">
    <w:p w:rsidR="005E7922" w:rsidRPr="009F45DC" w:rsidRDefault="005E7922" w:rsidP="00C429F2">
      <w:pPr>
        <w:pStyle w:val="Funotentext"/>
        <w:spacing w:line="240" w:lineRule="auto"/>
        <w:contextualSpacing/>
      </w:pPr>
      <w:r w:rsidRPr="009F45DC">
        <w:rPr>
          <w:rStyle w:val="Funotenzeichen"/>
        </w:rPr>
        <w:footnoteRef/>
      </w:r>
      <w:r w:rsidRPr="009F45DC">
        <w:t xml:space="preserve">  In economics there are 4 types of economic resources. They are as follow: “Land, which include all natural resources used in the production of goods and services; Labour, which include the physical and mental talents of individuals used in producing goods and services; Capital, which is defined as all manufacturing aids used in the production of goods and services and lastly entrepreneurial ability.” For more information see McConnel &amp; Brue 2008: 4.</w:t>
      </w:r>
    </w:p>
  </w:footnote>
  <w:footnote w:id="12">
    <w:p w:rsidR="005E7922" w:rsidRPr="009F45DC" w:rsidRDefault="005E7922" w:rsidP="00C429F2">
      <w:pPr>
        <w:pStyle w:val="Funotentext"/>
        <w:spacing w:line="240" w:lineRule="auto"/>
        <w:contextualSpacing/>
      </w:pPr>
      <w:r w:rsidRPr="009F45DC">
        <w:rPr>
          <w:rStyle w:val="Funotenzeichen"/>
        </w:rPr>
        <w:footnoteRef/>
      </w:r>
      <w:r w:rsidRPr="009F45DC">
        <w:t xml:space="preserve">  McConnell &amp; Brue 2008: 4; Wetzstein 2005: 2-3.</w:t>
      </w:r>
    </w:p>
  </w:footnote>
  <w:footnote w:id="13">
    <w:p w:rsidR="005E7922" w:rsidRPr="009F45DC" w:rsidRDefault="005E7922" w:rsidP="00C429F2">
      <w:pPr>
        <w:pStyle w:val="Funotentext"/>
        <w:spacing w:line="240" w:lineRule="auto"/>
        <w:contextualSpacing/>
      </w:pPr>
      <w:r w:rsidRPr="009F45DC">
        <w:rPr>
          <w:rStyle w:val="Funotenzeichen"/>
        </w:rPr>
        <w:footnoteRef/>
      </w:r>
      <w:r w:rsidRPr="009F45DC">
        <w:t xml:space="preserve">  McConnell &amp; Brue 2008: 4; Wetzstein 2005: 2-3.</w:t>
      </w:r>
    </w:p>
  </w:footnote>
  <w:footnote w:id="14">
    <w:p w:rsidR="005E7922" w:rsidRPr="009F45DC" w:rsidRDefault="005E7922" w:rsidP="00C429F2">
      <w:pPr>
        <w:pStyle w:val="Funotentext"/>
        <w:spacing w:line="240" w:lineRule="auto"/>
        <w:contextualSpacing/>
      </w:pPr>
      <w:r w:rsidRPr="009F45DC">
        <w:rPr>
          <w:rStyle w:val="Funotenzeichen"/>
        </w:rPr>
        <w:footnoteRef/>
      </w:r>
      <w:r w:rsidRPr="009F45DC">
        <w:t xml:space="preserve">  McConnell &amp; Brue 2008: 4; Wetzstein 2005: 2-3.</w:t>
      </w:r>
    </w:p>
  </w:footnote>
  <w:footnote w:id="15">
    <w:p w:rsidR="005E7922" w:rsidRPr="009F45DC" w:rsidRDefault="005E7922" w:rsidP="00C429F2">
      <w:pPr>
        <w:pStyle w:val="Funotentext"/>
        <w:spacing w:line="240" w:lineRule="auto"/>
        <w:contextualSpacing/>
      </w:pPr>
      <w:r w:rsidRPr="009F45DC">
        <w:rPr>
          <w:rStyle w:val="Funotenzeichen"/>
        </w:rPr>
        <w:footnoteRef/>
      </w:r>
      <w:r w:rsidRPr="009F45DC">
        <w:t xml:space="preserve">  McConnell &amp; Brue 2008: 10. </w:t>
      </w:r>
    </w:p>
  </w:footnote>
  <w:footnote w:id="16">
    <w:p w:rsidR="005E7922" w:rsidRPr="009F45DC" w:rsidRDefault="005E7922" w:rsidP="00C429F2">
      <w:pPr>
        <w:pStyle w:val="Funotentext"/>
        <w:spacing w:line="240" w:lineRule="auto"/>
        <w:contextualSpacing/>
      </w:pPr>
      <w:r w:rsidRPr="009F45DC">
        <w:rPr>
          <w:rStyle w:val="Funotenzeichen"/>
        </w:rPr>
        <w:footnoteRef/>
      </w:r>
      <w:r w:rsidRPr="009F45DC">
        <w:t xml:space="preserve">  McConnell &amp; Brue 2008: 4; Wetzstein 2005: 2-3.</w:t>
      </w:r>
    </w:p>
  </w:footnote>
  <w:footnote w:id="17">
    <w:p w:rsidR="005E7922" w:rsidRPr="009F45DC" w:rsidRDefault="005E7922" w:rsidP="00C429F2">
      <w:pPr>
        <w:pStyle w:val="Funotentext"/>
        <w:spacing w:line="240" w:lineRule="auto"/>
        <w:contextualSpacing/>
      </w:pPr>
      <w:r w:rsidRPr="009F45DC">
        <w:rPr>
          <w:rStyle w:val="Funotenzeichen"/>
        </w:rPr>
        <w:footnoteRef/>
      </w:r>
      <w:r w:rsidRPr="009F45DC">
        <w:t xml:space="preserve">  Wetzstein 2005: 3.</w:t>
      </w:r>
    </w:p>
  </w:footnote>
  <w:footnote w:id="18">
    <w:p w:rsidR="005E7922" w:rsidRPr="009F45DC" w:rsidRDefault="005E7922" w:rsidP="00C429F2">
      <w:pPr>
        <w:pStyle w:val="Funotentext"/>
        <w:spacing w:line="240" w:lineRule="auto"/>
        <w:contextualSpacing/>
      </w:pPr>
      <w:r w:rsidRPr="009F45DC">
        <w:rPr>
          <w:rStyle w:val="Funotenzeichen"/>
        </w:rPr>
        <w:footnoteRef/>
      </w:r>
      <w:r w:rsidRPr="009F45DC">
        <w:t xml:space="preserve">  Wetzstein 2005: 3.</w:t>
      </w:r>
    </w:p>
  </w:footnote>
  <w:footnote w:id="19">
    <w:p w:rsidR="005E7922" w:rsidRPr="009F45DC" w:rsidRDefault="005E7922" w:rsidP="00C429F2">
      <w:pPr>
        <w:pStyle w:val="Funotentext"/>
        <w:spacing w:line="240" w:lineRule="auto"/>
        <w:contextualSpacing/>
      </w:pPr>
      <w:r w:rsidRPr="009F45DC">
        <w:rPr>
          <w:rStyle w:val="Funotenzeichen"/>
        </w:rPr>
        <w:footnoteRef/>
      </w:r>
      <w:r w:rsidRPr="009F45DC">
        <w:t xml:space="preserve">  Wetzstein 2005: 3.</w:t>
      </w:r>
    </w:p>
  </w:footnote>
  <w:footnote w:id="20">
    <w:p w:rsidR="005E7922" w:rsidRPr="00E2489B" w:rsidRDefault="005E7922" w:rsidP="003D53A0">
      <w:pPr>
        <w:pStyle w:val="Funotentext"/>
        <w:spacing w:line="240" w:lineRule="auto"/>
        <w:contextualSpacing/>
      </w:pPr>
      <w:r w:rsidRPr="00E2489B">
        <w:rPr>
          <w:rStyle w:val="Funotenzeichen"/>
        </w:rPr>
        <w:footnoteRef/>
      </w:r>
      <w:r w:rsidRPr="00E2489B">
        <w:t xml:space="preserve">  McConnell &amp; Brue 2008: 29.</w:t>
      </w:r>
    </w:p>
  </w:footnote>
  <w:footnote w:id="21">
    <w:p w:rsidR="005E7922" w:rsidRPr="00E2489B" w:rsidRDefault="005E7922" w:rsidP="003D53A0">
      <w:pPr>
        <w:pStyle w:val="Funotentext"/>
        <w:spacing w:line="240" w:lineRule="auto"/>
        <w:contextualSpacing/>
      </w:pPr>
      <w:r w:rsidRPr="00E2489B">
        <w:rPr>
          <w:rStyle w:val="Funotenzeichen"/>
        </w:rPr>
        <w:footnoteRef/>
      </w:r>
      <w:r w:rsidRPr="00E2489B">
        <w:t xml:space="preserve">  McConnell &amp; Brue 2008: 29.</w:t>
      </w:r>
    </w:p>
  </w:footnote>
  <w:footnote w:id="22">
    <w:p w:rsidR="005E7922" w:rsidRPr="00E2489B" w:rsidRDefault="005E7922" w:rsidP="003D53A0">
      <w:pPr>
        <w:pStyle w:val="Funotentext"/>
        <w:spacing w:line="240" w:lineRule="auto"/>
        <w:contextualSpacing/>
      </w:pPr>
      <w:r w:rsidRPr="00E2489B">
        <w:rPr>
          <w:rStyle w:val="Funotenzeichen"/>
        </w:rPr>
        <w:footnoteRef/>
      </w:r>
      <w:r w:rsidRPr="00E2489B">
        <w:t xml:space="preserve">  Economy</w:t>
      </w:r>
      <w:r>
        <w:t xml:space="preserve"> </w:t>
      </w:r>
      <w:r w:rsidRPr="00E2489B">
        <w:t>Watch on http://www.economywatch.com/world_economy/world-economic-indicators/type-of-economic-system.html (accessed 18 April 2011)</w:t>
      </w:r>
    </w:p>
  </w:footnote>
  <w:footnote w:id="23">
    <w:p w:rsidR="005E7922" w:rsidRPr="00E2489B" w:rsidRDefault="005E7922" w:rsidP="003D53A0">
      <w:pPr>
        <w:pStyle w:val="Funotentext"/>
        <w:spacing w:line="240" w:lineRule="auto"/>
        <w:contextualSpacing/>
      </w:pPr>
      <w:r w:rsidRPr="00E2489B">
        <w:rPr>
          <w:rStyle w:val="Funotenzeichen"/>
        </w:rPr>
        <w:footnoteRef/>
      </w:r>
      <w:r w:rsidRPr="00E2489B">
        <w:t xml:space="preserve">  Since all four types of economic resources are used in the production of goods and services, they can also be called the factors of production. For more information see McConnell &amp; Brue 2008: 11.</w:t>
      </w:r>
    </w:p>
  </w:footnote>
  <w:footnote w:id="24">
    <w:p w:rsidR="005E7922" w:rsidRPr="00E2489B" w:rsidRDefault="005E7922" w:rsidP="003D53A0">
      <w:pPr>
        <w:pStyle w:val="Funotentext"/>
        <w:spacing w:line="240" w:lineRule="auto"/>
        <w:contextualSpacing/>
      </w:pPr>
      <w:r w:rsidRPr="00E2489B">
        <w:rPr>
          <w:rStyle w:val="Funotenzeichen"/>
        </w:rPr>
        <w:footnoteRef/>
      </w:r>
      <w:r w:rsidRPr="00E2489B">
        <w:t xml:space="preserve">  McConnell &amp; Brue 2008: 29; Economy</w:t>
      </w:r>
      <w:r>
        <w:t xml:space="preserve"> </w:t>
      </w:r>
      <w:r w:rsidRPr="00E2489B">
        <w:t xml:space="preserve">Watch on http://www.economywatch.com/world_economy/world-economic-indicators/type-of-economic-system.html (accessed 18 April 2011) </w:t>
      </w:r>
    </w:p>
  </w:footnote>
  <w:footnote w:id="25">
    <w:p w:rsidR="005E7922" w:rsidRPr="00E2489B" w:rsidRDefault="005E7922" w:rsidP="003D53A0">
      <w:pPr>
        <w:pStyle w:val="Funotentext"/>
        <w:spacing w:line="240" w:lineRule="auto"/>
        <w:contextualSpacing/>
      </w:pPr>
      <w:r w:rsidRPr="00E2489B">
        <w:rPr>
          <w:rStyle w:val="Funotenzeichen"/>
        </w:rPr>
        <w:footnoteRef/>
      </w:r>
      <w:r w:rsidRPr="00E2489B">
        <w:t xml:space="preserve">  McConnell &amp; Brue 2008: 29; Economy</w:t>
      </w:r>
      <w:r>
        <w:t xml:space="preserve"> </w:t>
      </w:r>
      <w:r w:rsidRPr="00E2489B">
        <w:t>Watch on http://www.economywatch.com/world_economy/world-economic-indicators/type-of-economic-system.html (accessed 18 April 2011)</w:t>
      </w:r>
    </w:p>
  </w:footnote>
  <w:footnote w:id="26">
    <w:p w:rsidR="005E7922" w:rsidRPr="00E2489B" w:rsidRDefault="005E7922" w:rsidP="003D53A0">
      <w:pPr>
        <w:pStyle w:val="Funotentext"/>
        <w:spacing w:line="240" w:lineRule="auto"/>
        <w:contextualSpacing/>
      </w:pPr>
      <w:r w:rsidRPr="00E2489B">
        <w:rPr>
          <w:rStyle w:val="Funotenzeichen"/>
        </w:rPr>
        <w:footnoteRef/>
      </w:r>
      <w:r w:rsidRPr="00E2489B">
        <w:t xml:space="preserve">  Property resources consist of capital and land resources with the land resources including all natural resources. For more information see McConnell &amp; Brue 2008: 29.</w:t>
      </w:r>
    </w:p>
  </w:footnote>
  <w:footnote w:id="27">
    <w:p w:rsidR="005E7922" w:rsidRPr="00E2489B" w:rsidRDefault="005E7922" w:rsidP="004A6650">
      <w:pPr>
        <w:pStyle w:val="Funotentext"/>
        <w:spacing w:line="240" w:lineRule="auto"/>
        <w:contextualSpacing/>
      </w:pPr>
      <w:r w:rsidRPr="00E2489B">
        <w:rPr>
          <w:rStyle w:val="Funotenzeichen"/>
        </w:rPr>
        <w:footnoteRef/>
      </w:r>
      <w:r w:rsidRPr="00E2489B">
        <w:t xml:space="preserve">  Wetzstein 2005: 367; McConnell &amp; Brue 2008: 29; Economy Watch on http://www.economywatch.com/world_economy/world-economic-indicators/type-of-economic-system.html (accessed 18 April 2011)</w:t>
      </w:r>
    </w:p>
  </w:footnote>
  <w:footnote w:id="28">
    <w:p w:rsidR="005E7922" w:rsidRPr="00E2489B" w:rsidRDefault="005E7922" w:rsidP="004A6650">
      <w:pPr>
        <w:pStyle w:val="Funotentext"/>
        <w:spacing w:line="240" w:lineRule="auto"/>
        <w:contextualSpacing/>
      </w:pPr>
      <w:r w:rsidRPr="00E2489B">
        <w:rPr>
          <w:rStyle w:val="Funotenzeichen"/>
        </w:rPr>
        <w:footnoteRef/>
      </w:r>
      <w:r w:rsidRPr="00E2489B">
        <w:t xml:space="preserve">  A market can be defined as a mechanism that brings buyers and sellers together. Therefore the market forces are the supply and demand within a given market. For more information see McConnell &amp; Brue 2008: 31.</w:t>
      </w:r>
    </w:p>
  </w:footnote>
  <w:footnote w:id="29">
    <w:p w:rsidR="005E7922" w:rsidRPr="00E2489B" w:rsidRDefault="005E7922" w:rsidP="004A6650">
      <w:pPr>
        <w:pStyle w:val="Funotentext"/>
        <w:spacing w:line="240" w:lineRule="auto"/>
        <w:contextualSpacing/>
      </w:pPr>
      <w:r w:rsidRPr="00E2489B">
        <w:rPr>
          <w:rStyle w:val="Funotenzeichen"/>
        </w:rPr>
        <w:footnoteRef/>
      </w:r>
      <w:r w:rsidRPr="00E2489B">
        <w:t xml:space="preserve">  Economy Watch on http://www.economywatch.com/world_economy/world-economic-indicators/type-of-economic-system.html (accessed 18 April 2011); Wetzstein 2005: 367; McConnell &amp; Brue 2008: 29.</w:t>
      </w:r>
    </w:p>
  </w:footnote>
  <w:footnote w:id="30">
    <w:p w:rsidR="005E7922" w:rsidRPr="00E849CA" w:rsidRDefault="005E7922" w:rsidP="00E849CA">
      <w:pPr>
        <w:pStyle w:val="Funotentext"/>
        <w:spacing w:line="240" w:lineRule="auto"/>
        <w:contextualSpacing/>
      </w:pPr>
      <w:r w:rsidRPr="00E849CA">
        <w:rPr>
          <w:rStyle w:val="Funotenzeichen"/>
        </w:rPr>
        <w:footnoteRef/>
      </w:r>
      <w:r w:rsidRPr="00E849CA">
        <w:t xml:space="preserve">  Wetzstein 2005: 367; McConnell &amp; Brue 2008: 29.</w:t>
      </w:r>
    </w:p>
  </w:footnote>
  <w:footnote w:id="31">
    <w:p w:rsidR="005E7922" w:rsidRPr="00E849CA" w:rsidRDefault="005E7922" w:rsidP="00E849CA">
      <w:pPr>
        <w:pStyle w:val="Funotentext"/>
        <w:spacing w:line="240" w:lineRule="auto"/>
        <w:contextualSpacing/>
      </w:pPr>
      <w:r w:rsidRPr="00E849CA">
        <w:rPr>
          <w:rStyle w:val="Funotenzeichen"/>
        </w:rPr>
        <w:footnoteRef/>
      </w:r>
      <w:r w:rsidRPr="00E849CA">
        <w:t xml:space="preserve">  Wetzstein 2005: 367; McConnell &amp; Brue 2008: 29.</w:t>
      </w:r>
    </w:p>
  </w:footnote>
  <w:footnote w:id="32">
    <w:p w:rsidR="005E7922" w:rsidRPr="00E849CA" w:rsidRDefault="005E7922" w:rsidP="00E849CA">
      <w:pPr>
        <w:pStyle w:val="Funotentext"/>
        <w:spacing w:line="240" w:lineRule="auto"/>
        <w:contextualSpacing/>
      </w:pPr>
      <w:r w:rsidRPr="00E849CA">
        <w:rPr>
          <w:rStyle w:val="Funotenzeichen"/>
        </w:rPr>
        <w:footnoteRef/>
      </w:r>
      <w:r w:rsidRPr="00E849CA">
        <w:t xml:space="preserve">  The efficient allocation of resources means that the scarce economic resources are allocated so as to maximise the social welfare of the citizens within a given economy. For more information see Wetzstein 2005: 367.</w:t>
      </w:r>
    </w:p>
  </w:footnote>
  <w:footnote w:id="33">
    <w:p w:rsidR="005E7922" w:rsidRPr="00E849CA" w:rsidRDefault="005E7922" w:rsidP="00E849CA">
      <w:pPr>
        <w:pStyle w:val="Funotentext"/>
        <w:spacing w:line="240" w:lineRule="auto"/>
        <w:contextualSpacing/>
      </w:pPr>
      <w:r w:rsidRPr="00E849CA">
        <w:rPr>
          <w:rStyle w:val="Funotenzeichen"/>
        </w:rPr>
        <w:footnoteRef/>
      </w:r>
      <w:r w:rsidRPr="00E849CA">
        <w:t xml:space="preserve">  Wetzstein 2005: 366. </w:t>
      </w:r>
    </w:p>
  </w:footnote>
  <w:footnote w:id="34">
    <w:p w:rsidR="005E7922" w:rsidRPr="00E849CA" w:rsidRDefault="005E7922" w:rsidP="00E849CA">
      <w:pPr>
        <w:pStyle w:val="Funotentext"/>
        <w:spacing w:line="240" w:lineRule="auto"/>
        <w:contextualSpacing/>
      </w:pPr>
      <w:r w:rsidRPr="00E849CA">
        <w:rPr>
          <w:rStyle w:val="Funotenzeichen"/>
        </w:rPr>
        <w:footnoteRef/>
      </w:r>
      <w:r w:rsidRPr="00E849CA">
        <w:t xml:space="preserve">  Wetzstein 2005: 367; McConnell &amp; Brue 2008: 29; Economy Watch on http://www.economywatch.com/world_economy/world-economic-indicators/type-of-economic-system.html (accessed 18 April 2011)</w:t>
      </w:r>
    </w:p>
  </w:footnote>
  <w:footnote w:id="35">
    <w:p w:rsidR="005E7922" w:rsidRPr="00E849CA" w:rsidRDefault="005E7922" w:rsidP="00E849CA">
      <w:pPr>
        <w:pStyle w:val="Funotentext"/>
        <w:spacing w:line="240" w:lineRule="auto"/>
        <w:contextualSpacing/>
      </w:pPr>
      <w:r w:rsidRPr="00E849CA">
        <w:rPr>
          <w:rStyle w:val="Funotenzeichen"/>
        </w:rPr>
        <w:footnoteRef/>
      </w:r>
      <w:r w:rsidRPr="00E849CA">
        <w:t xml:space="preserve">  McConnell &amp; Brue 2008: 29.</w:t>
      </w:r>
    </w:p>
  </w:footnote>
  <w:footnote w:id="36">
    <w:p w:rsidR="005E7922" w:rsidRPr="00E849CA" w:rsidRDefault="005E7922" w:rsidP="00E849CA">
      <w:pPr>
        <w:pStyle w:val="Funotentext"/>
        <w:spacing w:line="240" w:lineRule="auto"/>
        <w:contextualSpacing/>
      </w:pPr>
      <w:r w:rsidRPr="00E849CA">
        <w:rPr>
          <w:rStyle w:val="Funotenzeichen"/>
        </w:rPr>
        <w:footnoteRef/>
      </w:r>
      <w:r w:rsidRPr="00E849CA">
        <w:t xml:space="preserve">  McConnell &amp; Brue 2008: 29. See fn 28 for a definition of the term “market.” </w:t>
      </w:r>
    </w:p>
  </w:footnote>
  <w:footnote w:id="37">
    <w:p w:rsidR="005E7922" w:rsidRPr="00E849CA" w:rsidRDefault="005E7922" w:rsidP="00E849CA">
      <w:pPr>
        <w:pStyle w:val="Funotentext"/>
        <w:spacing w:line="240" w:lineRule="auto"/>
        <w:contextualSpacing/>
      </w:pPr>
      <w:r w:rsidRPr="00E849CA">
        <w:rPr>
          <w:rStyle w:val="Funotenzeichen"/>
        </w:rPr>
        <w:footnoteRef/>
      </w:r>
      <w:r w:rsidRPr="00E849CA">
        <w:t xml:space="preserve">  McConnell &amp; Brue 2008: 29.</w:t>
      </w:r>
    </w:p>
  </w:footnote>
  <w:footnote w:id="38">
    <w:p w:rsidR="005E7922" w:rsidRPr="00E849CA" w:rsidRDefault="005E7922" w:rsidP="00E849CA">
      <w:pPr>
        <w:pStyle w:val="Funotentext"/>
        <w:spacing w:line="240" w:lineRule="auto"/>
        <w:contextualSpacing/>
      </w:pPr>
      <w:r w:rsidRPr="00E849CA">
        <w:rPr>
          <w:rStyle w:val="Funotenzeichen"/>
        </w:rPr>
        <w:footnoteRef/>
      </w:r>
      <w:r w:rsidRPr="00E849CA">
        <w:t xml:space="preserve">  Oppenheimer: 1942: 307.</w:t>
      </w:r>
    </w:p>
  </w:footnote>
  <w:footnote w:id="39">
    <w:p w:rsidR="005E7922" w:rsidRPr="00E849CA" w:rsidRDefault="005E7922" w:rsidP="00E849CA">
      <w:pPr>
        <w:pStyle w:val="Funotentext"/>
        <w:spacing w:line="240" w:lineRule="auto"/>
        <w:contextualSpacing/>
      </w:pPr>
      <w:r w:rsidRPr="00E849CA">
        <w:rPr>
          <w:rStyle w:val="Funotenzeichen"/>
        </w:rPr>
        <w:footnoteRef/>
      </w:r>
      <w:r w:rsidRPr="00E849CA">
        <w:t xml:space="preserve">  This term means “let it be” i.e. the state should not interfere within the economy.</w:t>
      </w:r>
    </w:p>
  </w:footnote>
  <w:footnote w:id="40">
    <w:p w:rsidR="005E7922" w:rsidRPr="00E849CA" w:rsidRDefault="005E7922" w:rsidP="00E849CA">
      <w:pPr>
        <w:pStyle w:val="Funotentext"/>
        <w:spacing w:line="240" w:lineRule="auto"/>
        <w:contextualSpacing/>
      </w:pPr>
      <w:r w:rsidRPr="00E849CA">
        <w:rPr>
          <w:rStyle w:val="Funotenzeichen"/>
        </w:rPr>
        <w:footnoteRef/>
      </w:r>
      <w:r w:rsidRPr="00E849CA">
        <w:t xml:space="preserve">  Romar: 2008: 57; Wetzstein 2005: 19; McConnell &amp; Brue 2008: 29; Venkatasubramanian: 2010: 1515.</w:t>
      </w:r>
    </w:p>
  </w:footnote>
  <w:footnote w:id="41">
    <w:p w:rsidR="005E7922" w:rsidRPr="00E849CA" w:rsidRDefault="005E7922" w:rsidP="00E849CA">
      <w:pPr>
        <w:pStyle w:val="Funotentext"/>
        <w:spacing w:line="240" w:lineRule="auto"/>
        <w:contextualSpacing/>
      </w:pPr>
      <w:r w:rsidRPr="00E849CA">
        <w:rPr>
          <w:rStyle w:val="Funotenzeichen"/>
        </w:rPr>
        <w:footnoteRef/>
      </w:r>
      <w:r w:rsidRPr="00E849CA">
        <w:t xml:space="preserve">  In other words demand and supply. See fn 28.</w:t>
      </w:r>
    </w:p>
  </w:footnote>
  <w:footnote w:id="42">
    <w:p w:rsidR="005E7922" w:rsidRPr="0055303D" w:rsidRDefault="005E7922" w:rsidP="00223AF9">
      <w:pPr>
        <w:pStyle w:val="Funotentext"/>
        <w:spacing w:line="240" w:lineRule="auto"/>
        <w:contextualSpacing/>
      </w:pPr>
      <w:r w:rsidRPr="0055303D">
        <w:rPr>
          <w:rStyle w:val="Funotenzeichen"/>
        </w:rPr>
        <w:footnoteRef/>
      </w:r>
      <w:r w:rsidRPr="0055303D">
        <w:t xml:space="preserve">  Fourie 2006: 335; Wetzstein 2005: 19; McConnell &amp; Brue 2008: 29; Economy</w:t>
      </w:r>
      <w:r>
        <w:t xml:space="preserve"> </w:t>
      </w:r>
      <w:r w:rsidRPr="0055303D">
        <w:t>Watch on http://www.economywatch.com/world_economy/world-economic-indicators/type-of-economic-system.html (accessed 18 April 2011)</w:t>
      </w:r>
    </w:p>
  </w:footnote>
  <w:footnote w:id="43">
    <w:p w:rsidR="005E7922" w:rsidRPr="0055303D" w:rsidRDefault="005E7922" w:rsidP="00223AF9">
      <w:pPr>
        <w:pStyle w:val="Funotentext"/>
        <w:spacing w:line="240" w:lineRule="auto"/>
        <w:contextualSpacing/>
      </w:pPr>
      <w:r w:rsidRPr="0055303D">
        <w:rPr>
          <w:rStyle w:val="Funotenzeichen"/>
        </w:rPr>
        <w:footnoteRef/>
      </w:r>
      <w:r w:rsidRPr="0055303D">
        <w:t xml:space="preserve">  McConnell &amp; Brue 2008: 29.</w:t>
      </w:r>
    </w:p>
  </w:footnote>
  <w:footnote w:id="44">
    <w:p w:rsidR="005E7922" w:rsidRPr="0055303D" w:rsidRDefault="005E7922" w:rsidP="00223AF9">
      <w:pPr>
        <w:pStyle w:val="Funotentext"/>
        <w:spacing w:line="240" w:lineRule="auto"/>
        <w:contextualSpacing/>
      </w:pPr>
      <w:r w:rsidRPr="0055303D">
        <w:rPr>
          <w:rStyle w:val="Funotenzeichen"/>
        </w:rPr>
        <w:footnoteRef/>
      </w:r>
      <w:r w:rsidRPr="0055303D">
        <w:t xml:space="preserve">  Mousseau: 2010: 186.</w:t>
      </w:r>
    </w:p>
  </w:footnote>
  <w:footnote w:id="45">
    <w:p w:rsidR="005E7922" w:rsidRPr="0055303D" w:rsidRDefault="005E7922" w:rsidP="00223AF9">
      <w:pPr>
        <w:pStyle w:val="Funotentext"/>
        <w:spacing w:line="240" w:lineRule="auto"/>
        <w:contextualSpacing/>
      </w:pPr>
      <w:r w:rsidRPr="0055303D">
        <w:rPr>
          <w:rStyle w:val="Funotenzeichen"/>
        </w:rPr>
        <w:footnoteRef/>
      </w:r>
      <w:r w:rsidRPr="0055303D">
        <w:t xml:space="preserve">  Oppenheimer: 1942: 307.</w:t>
      </w:r>
    </w:p>
  </w:footnote>
  <w:footnote w:id="46">
    <w:p w:rsidR="005E7922" w:rsidRPr="0055303D" w:rsidRDefault="005E7922" w:rsidP="0087432E">
      <w:pPr>
        <w:pStyle w:val="Funotentext"/>
        <w:spacing w:line="240" w:lineRule="auto"/>
        <w:contextualSpacing/>
      </w:pPr>
      <w:r w:rsidRPr="0055303D">
        <w:rPr>
          <w:rStyle w:val="Funotenzeichen"/>
        </w:rPr>
        <w:footnoteRef/>
      </w:r>
      <w:r w:rsidRPr="0055303D">
        <w:t xml:space="preserve">  Reisman 1996: 19; Mousseau: 2010: 186.</w:t>
      </w:r>
    </w:p>
  </w:footnote>
  <w:footnote w:id="47">
    <w:p w:rsidR="005E7922" w:rsidRPr="0055303D" w:rsidRDefault="005E7922" w:rsidP="00031E1B">
      <w:pPr>
        <w:pStyle w:val="Funotentext"/>
        <w:spacing w:line="240" w:lineRule="auto"/>
        <w:contextualSpacing/>
      </w:pPr>
      <w:r w:rsidRPr="0055303D">
        <w:rPr>
          <w:rStyle w:val="Funotenzeichen"/>
        </w:rPr>
        <w:footnoteRef/>
      </w:r>
      <w:r w:rsidRPr="0055303D">
        <w:t xml:space="preserve">  Mount Holyoke College on http://www.mtholyoke.edu/acad/intrel/ipe/friedman.htm (accessed on 18 March 2011)</w:t>
      </w:r>
    </w:p>
  </w:footnote>
  <w:footnote w:id="48">
    <w:p w:rsidR="005E7922" w:rsidRPr="0055303D" w:rsidRDefault="005E7922" w:rsidP="00CD69C8">
      <w:pPr>
        <w:pStyle w:val="Funotentext"/>
        <w:spacing w:line="240" w:lineRule="auto"/>
        <w:contextualSpacing/>
      </w:pPr>
      <w:r w:rsidRPr="0055303D">
        <w:rPr>
          <w:rStyle w:val="Funotenzeichen"/>
        </w:rPr>
        <w:footnoteRef/>
      </w:r>
      <w:r w:rsidRPr="0055303D">
        <w:t xml:space="preserve">  Economy Watch on http://www.economywatch.com/world_economy/world-economic-indicators/type-of-economic-system.html</w:t>
      </w:r>
    </w:p>
  </w:footnote>
  <w:footnote w:id="49">
    <w:p w:rsidR="005E7922" w:rsidRPr="00EE7A54" w:rsidRDefault="005E7922" w:rsidP="00CD69C8">
      <w:pPr>
        <w:pStyle w:val="Funotentext"/>
        <w:spacing w:line="240" w:lineRule="auto"/>
        <w:contextualSpacing/>
      </w:pPr>
      <w:r w:rsidRPr="00EE7A54">
        <w:rPr>
          <w:rStyle w:val="Funotenzeichen"/>
        </w:rPr>
        <w:footnoteRef/>
      </w:r>
      <w:r w:rsidRPr="00EE7A54">
        <w:t xml:space="preserve">  Economy Watch on http://www.economywatch.com/world_economy/world-economic-indicators/type-of-economic-system.html</w:t>
      </w:r>
    </w:p>
  </w:footnote>
  <w:footnote w:id="50">
    <w:p w:rsidR="005E7922" w:rsidRPr="00EE7A54" w:rsidRDefault="005E7922" w:rsidP="00CD69C8">
      <w:pPr>
        <w:pStyle w:val="Funotentext"/>
        <w:spacing w:line="240" w:lineRule="auto"/>
        <w:contextualSpacing/>
      </w:pPr>
      <w:r w:rsidRPr="00EE7A54">
        <w:rPr>
          <w:rStyle w:val="Funotenzeichen"/>
        </w:rPr>
        <w:footnoteRef/>
      </w:r>
      <w:r w:rsidRPr="00EE7A54">
        <w:t xml:space="preserve">  Economy Watch on http://www.economywatch.com/world_economy/world-economic-indicators/type-of-economic-system.html</w:t>
      </w:r>
    </w:p>
  </w:footnote>
  <w:footnote w:id="51">
    <w:p w:rsidR="005E7922" w:rsidRPr="00EE7A54" w:rsidRDefault="005E7922" w:rsidP="00CD69C8">
      <w:pPr>
        <w:pStyle w:val="Funotentext"/>
        <w:spacing w:line="240" w:lineRule="auto"/>
        <w:contextualSpacing/>
      </w:pPr>
      <w:r w:rsidRPr="00EE7A54">
        <w:rPr>
          <w:rStyle w:val="Funotenzeichen"/>
        </w:rPr>
        <w:footnoteRef/>
      </w:r>
      <w:r w:rsidRPr="00EE7A54">
        <w:t xml:space="preserve">  McConnell &amp; Brue 2008: 29.</w:t>
      </w:r>
    </w:p>
  </w:footnote>
  <w:footnote w:id="52">
    <w:p w:rsidR="005E7922" w:rsidRPr="00EE7A54" w:rsidRDefault="005E7922" w:rsidP="00CD69C8">
      <w:pPr>
        <w:pStyle w:val="Funotentext"/>
        <w:spacing w:line="240" w:lineRule="auto"/>
        <w:contextualSpacing/>
      </w:pPr>
      <w:r w:rsidRPr="00EE7A54">
        <w:rPr>
          <w:rStyle w:val="Funotenzeichen"/>
        </w:rPr>
        <w:footnoteRef/>
      </w:r>
      <w:r w:rsidRPr="00EE7A54">
        <w:t xml:space="preserve">  McConnell &amp; Brue 2008: 29.</w:t>
      </w:r>
    </w:p>
  </w:footnote>
  <w:footnote w:id="53">
    <w:p w:rsidR="005E7922" w:rsidRPr="00EE7A54" w:rsidRDefault="005E7922" w:rsidP="00CD69C8">
      <w:pPr>
        <w:pStyle w:val="Funotentext"/>
        <w:spacing w:line="240" w:lineRule="auto"/>
        <w:contextualSpacing/>
      </w:pPr>
      <w:r w:rsidRPr="00EE7A54">
        <w:rPr>
          <w:rStyle w:val="Funotenzeichen"/>
        </w:rPr>
        <w:footnoteRef/>
      </w:r>
      <w:r w:rsidRPr="00EE7A54">
        <w:t xml:space="preserve">  McConnell &amp; Brue 2008: 29.</w:t>
      </w:r>
    </w:p>
  </w:footnote>
  <w:footnote w:id="54">
    <w:p w:rsidR="005E7922" w:rsidRPr="00EE7A54" w:rsidRDefault="005E7922" w:rsidP="00031E1B">
      <w:pPr>
        <w:pStyle w:val="Funotentext"/>
        <w:spacing w:line="240" w:lineRule="auto"/>
        <w:contextualSpacing/>
      </w:pPr>
      <w:r w:rsidRPr="00EE7A54">
        <w:rPr>
          <w:rStyle w:val="Funotenzeichen"/>
        </w:rPr>
        <w:footnoteRef/>
      </w:r>
      <w:r w:rsidRPr="00EE7A54">
        <w:t xml:space="preserve">  McConnell &amp; Brue 2008: 29-33.</w:t>
      </w:r>
    </w:p>
  </w:footnote>
  <w:footnote w:id="55">
    <w:p w:rsidR="005E7922" w:rsidRPr="00EE7A54" w:rsidRDefault="005E7922" w:rsidP="00031E1B">
      <w:pPr>
        <w:pStyle w:val="Funotentext"/>
        <w:spacing w:line="240" w:lineRule="auto"/>
        <w:contextualSpacing/>
      </w:pPr>
      <w:r w:rsidRPr="00EE7A54">
        <w:rPr>
          <w:rStyle w:val="Funotenzeichen"/>
        </w:rPr>
        <w:footnoteRef/>
      </w:r>
      <w:r w:rsidRPr="00EE7A54">
        <w:t xml:space="preserve">  McConnell &amp; Brue 2008: 29.</w:t>
      </w:r>
    </w:p>
  </w:footnote>
  <w:footnote w:id="56">
    <w:p w:rsidR="005E7922" w:rsidRPr="00EE7A54" w:rsidRDefault="005E7922" w:rsidP="00031E1B">
      <w:pPr>
        <w:pStyle w:val="Funotentext"/>
        <w:spacing w:line="240" w:lineRule="auto"/>
        <w:contextualSpacing/>
      </w:pPr>
      <w:r w:rsidRPr="00EE7A54">
        <w:rPr>
          <w:rStyle w:val="Funotenzeichen"/>
        </w:rPr>
        <w:footnoteRef/>
      </w:r>
      <w:r w:rsidRPr="00EE7A54">
        <w:t xml:space="preserve">  McConnell &amp; Brue 2008: 29.</w:t>
      </w:r>
    </w:p>
  </w:footnote>
  <w:footnote w:id="57">
    <w:p w:rsidR="005E7922" w:rsidRPr="00F869A3" w:rsidRDefault="005E7922" w:rsidP="00031E1B">
      <w:pPr>
        <w:pStyle w:val="Funotentext"/>
        <w:spacing w:line="240" w:lineRule="auto"/>
        <w:contextualSpacing/>
      </w:pPr>
      <w:r w:rsidRPr="00F869A3">
        <w:rPr>
          <w:rStyle w:val="Funotenzeichen"/>
        </w:rPr>
        <w:footnoteRef/>
      </w:r>
      <w:r w:rsidRPr="00F869A3">
        <w:t xml:space="preserve">  McConnell &amp; Brue 2008: 29.</w:t>
      </w:r>
    </w:p>
  </w:footnote>
  <w:footnote w:id="58">
    <w:p w:rsidR="005E7922" w:rsidRPr="00F869A3" w:rsidRDefault="005E7922" w:rsidP="00031E1B">
      <w:pPr>
        <w:pStyle w:val="Funotentext"/>
        <w:spacing w:line="240" w:lineRule="auto"/>
        <w:contextualSpacing/>
      </w:pPr>
      <w:r w:rsidRPr="00F869A3">
        <w:rPr>
          <w:rStyle w:val="Funotenzeichen"/>
        </w:rPr>
        <w:footnoteRef/>
      </w:r>
      <w:r w:rsidRPr="00F869A3">
        <w:t xml:space="preserve">  McConnell &amp; Brue 2008: 30.</w:t>
      </w:r>
    </w:p>
  </w:footnote>
  <w:footnote w:id="59">
    <w:p w:rsidR="005E7922" w:rsidRPr="00F869A3" w:rsidRDefault="005E7922" w:rsidP="00031E1B">
      <w:pPr>
        <w:pStyle w:val="Funotentext"/>
        <w:spacing w:line="240" w:lineRule="auto"/>
        <w:contextualSpacing/>
      </w:pPr>
      <w:r w:rsidRPr="00F869A3">
        <w:rPr>
          <w:rStyle w:val="Funotenzeichen"/>
        </w:rPr>
        <w:footnoteRef/>
      </w:r>
      <w:r w:rsidRPr="00F869A3">
        <w:t xml:space="preserve">  McConnell &amp; Brue 2008: 30.</w:t>
      </w:r>
    </w:p>
  </w:footnote>
  <w:footnote w:id="60">
    <w:p w:rsidR="005E7922" w:rsidRPr="00F869A3" w:rsidRDefault="005E7922" w:rsidP="00031E1B">
      <w:pPr>
        <w:pStyle w:val="Funotentext"/>
        <w:spacing w:line="240" w:lineRule="auto"/>
        <w:contextualSpacing/>
      </w:pPr>
      <w:r w:rsidRPr="00F869A3">
        <w:rPr>
          <w:rStyle w:val="Funotenzeichen"/>
        </w:rPr>
        <w:footnoteRef/>
      </w:r>
      <w:r w:rsidRPr="00F869A3">
        <w:t xml:space="preserve">  McConnell &amp; Brue 2008: 30.</w:t>
      </w:r>
    </w:p>
  </w:footnote>
  <w:footnote w:id="61">
    <w:p w:rsidR="005E7922" w:rsidRPr="00F869A3" w:rsidRDefault="005E7922" w:rsidP="00AA2DE8">
      <w:pPr>
        <w:pStyle w:val="Funotentext"/>
        <w:spacing w:line="240" w:lineRule="auto"/>
        <w:contextualSpacing/>
      </w:pPr>
      <w:r w:rsidRPr="00F869A3">
        <w:rPr>
          <w:rStyle w:val="Funotenzeichen"/>
        </w:rPr>
        <w:footnoteRef/>
      </w:r>
      <w:r w:rsidRPr="00F869A3">
        <w:t xml:space="preserve">  McConnell &amp; Brue 2008: 30.</w:t>
      </w:r>
    </w:p>
  </w:footnote>
  <w:footnote w:id="62">
    <w:p w:rsidR="005E7922" w:rsidRPr="00F869A3" w:rsidRDefault="005E7922" w:rsidP="004B48C3">
      <w:pPr>
        <w:pStyle w:val="Funotentext"/>
        <w:spacing w:line="240" w:lineRule="auto"/>
        <w:contextualSpacing/>
      </w:pPr>
      <w:r w:rsidRPr="00F869A3">
        <w:rPr>
          <w:rStyle w:val="Funotenzeichen"/>
        </w:rPr>
        <w:footnoteRef/>
      </w:r>
      <w:r w:rsidRPr="00F869A3">
        <w:t xml:space="preserve">  Romar 2008: 57.</w:t>
      </w:r>
    </w:p>
  </w:footnote>
  <w:footnote w:id="63">
    <w:p w:rsidR="005E7922" w:rsidRPr="00F869A3" w:rsidRDefault="005E7922" w:rsidP="00610625">
      <w:pPr>
        <w:pStyle w:val="Funotentext"/>
        <w:spacing w:line="240" w:lineRule="auto"/>
        <w:contextualSpacing/>
      </w:pPr>
      <w:r w:rsidRPr="00F869A3">
        <w:rPr>
          <w:rStyle w:val="Funotenzeichen"/>
        </w:rPr>
        <w:footnoteRef/>
      </w:r>
      <w:r w:rsidRPr="00F869A3">
        <w:t xml:space="preserve">  Fourie 2006: 335.</w:t>
      </w:r>
    </w:p>
  </w:footnote>
  <w:footnote w:id="64">
    <w:p w:rsidR="005E7922" w:rsidRPr="00F869A3" w:rsidRDefault="005E7922" w:rsidP="00610625">
      <w:pPr>
        <w:pStyle w:val="Funotentext"/>
        <w:spacing w:line="240" w:lineRule="auto"/>
        <w:contextualSpacing/>
      </w:pPr>
      <w:r w:rsidRPr="00F869A3">
        <w:rPr>
          <w:rStyle w:val="Funotenzeichen"/>
        </w:rPr>
        <w:footnoteRef/>
      </w:r>
      <w:r w:rsidRPr="00F869A3">
        <w:t xml:space="preserve">  Fourie 2006: 335.</w:t>
      </w:r>
    </w:p>
  </w:footnote>
  <w:footnote w:id="65">
    <w:p w:rsidR="005E7922" w:rsidRPr="008D37EC" w:rsidRDefault="005E7922" w:rsidP="00610625">
      <w:pPr>
        <w:pStyle w:val="Funotentext"/>
        <w:spacing w:line="240" w:lineRule="auto"/>
        <w:contextualSpacing/>
      </w:pPr>
      <w:r w:rsidRPr="008D37EC">
        <w:rPr>
          <w:rStyle w:val="Funotenzeichen"/>
        </w:rPr>
        <w:footnoteRef/>
      </w:r>
      <w:r w:rsidRPr="008D37EC">
        <w:t xml:space="preserve">  McConnell &amp; Brue 2008: 30.</w:t>
      </w:r>
    </w:p>
  </w:footnote>
  <w:footnote w:id="66">
    <w:p w:rsidR="005E7922" w:rsidRPr="008D37EC" w:rsidRDefault="005E7922" w:rsidP="00610625">
      <w:pPr>
        <w:pStyle w:val="Funotentext"/>
        <w:spacing w:line="240" w:lineRule="auto"/>
        <w:contextualSpacing/>
      </w:pPr>
      <w:r w:rsidRPr="008D37EC">
        <w:rPr>
          <w:rStyle w:val="Funotenzeichen"/>
        </w:rPr>
        <w:footnoteRef/>
      </w:r>
      <w:r w:rsidRPr="008D37EC">
        <w:t xml:space="preserve">  Fourie 2006: 335; McConnell &amp; Brue 2008: 31.</w:t>
      </w:r>
    </w:p>
  </w:footnote>
  <w:footnote w:id="67">
    <w:p w:rsidR="005E7922" w:rsidRPr="008D37EC" w:rsidRDefault="005E7922" w:rsidP="00610625">
      <w:pPr>
        <w:pStyle w:val="Funotentext"/>
        <w:spacing w:line="240" w:lineRule="auto"/>
        <w:contextualSpacing/>
      </w:pPr>
      <w:r w:rsidRPr="008D37EC">
        <w:rPr>
          <w:rStyle w:val="Funotenzeichen"/>
        </w:rPr>
        <w:footnoteRef/>
      </w:r>
      <w:r w:rsidRPr="008D37EC">
        <w:t xml:space="preserve">  The most efficient allocation of resources is also called the market equilibrium i.e. where market demand and market supply are equal to each other. For more information see Wetzstein 2005: 258. </w:t>
      </w:r>
    </w:p>
  </w:footnote>
  <w:footnote w:id="68">
    <w:p w:rsidR="005E7922" w:rsidRPr="008D37EC" w:rsidRDefault="005E7922" w:rsidP="00610625">
      <w:pPr>
        <w:pStyle w:val="Funotentext"/>
        <w:spacing w:line="240" w:lineRule="auto"/>
        <w:contextualSpacing/>
      </w:pPr>
      <w:r w:rsidRPr="008D37EC">
        <w:rPr>
          <w:rStyle w:val="Funotenzeichen"/>
        </w:rPr>
        <w:footnoteRef/>
      </w:r>
      <w:r w:rsidRPr="008D37EC">
        <w:t xml:space="preserve">  McConnell &amp; Brue 2008: 31.</w:t>
      </w:r>
    </w:p>
  </w:footnote>
  <w:footnote w:id="69">
    <w:p w:rsidR="005E7922" w:rsidRPr="008D37EC" w:rsidRDefault="005E7922" w:rsidP="00610625">
      <w:pPr>
        <w:pStyle w:val="Funotentext"/>
        <w:spacing w:line="240" w:lineRule="auto"/>
        <w:contextualSpacing/>
      </w:pPr>
      <w:r w:rsidRPr="008D37EC">
        <w:rPr>
          <w:rStyle w:val="Funotenzeichen"/>
        </w:rPr>
        <w:footnoteRef/>
      </w:r>
      <w:r w:rsidRPr="008D37EC">
        <w:t xml:space="preserve">  Market forces refer to the supply and demand in the relevant market. For more information see Wetzstein 2005: 264; Fourie 2006: 335; McConnell &amp; Brue 2008: 31.</w:t>
      </w:r>
    </w:p>
  </w:footnote>
  <w:footnote w:id="70">
    <w:p w:rsidR="005E7922" w:rsidRPr="008D37EC" w:rsidRDefault="005E7922" w:rsidP="00610625">
      <w:pPr>
        <w:pStyle w:val="Funotentext"/>
        <w:spacing w:line="240" w:lineRule="auto"/>
        <w:contextualSpacing/>
      </w:pPr>
      <w:r w:rsidRPr="008D37EC">
        <w:rPr>
          <w:rStyle w:val="Funotenzeichen"/>
        </w:rPr>
        <w:footnoteRef/>
      </w:r>
      <w:r w:rsidRPr="008D37EC">
        <w:t xml:space="preserve">  Fourie 2006: 335, McConnell &amp; Brue 2008: 29; Wetzstein 2005: 19; Romar 2008: 63.</w:t>
      </w:r>
    </w:p>
  </w:footnote>
  <w:footnote w:id="71">
    <w:p w:rsidR="005E7922" w:rsidRPr="008D37EC" w:rsidRDefault="005E7922" w:rsidP="00610625">
      <w:pPr>
        <w:pStyle w:val="Funotentext"/>
        <w:spacing w:line="240" w:lineRule="auto"/>
        <w:contextualSpacing/>
      </w:pPr>
      <w:r w:rsidRPr="008D37EC">
        <w:rPr>
          <w:rStyle w:val="Funotenzeichen"/>
        </w:rPr>
        <w:footnoteRef/>
      </w:r>
      <w:r w:rsidRPr="008D37EC">
        <w:t xml:space="preserve">  Fourie 2006: 335. </w:t>
      </w:r>
    </w:p>
  </w:footnote>
  <w:footnote w:id="72">
    <w:p w:rsidR="005E7922" w:rsidRPr="008D37EC" w:rsidRDefault="005E7922" w:rsidP="00C714C8">
      <w:pPr>
        <w:pStyle w:val="Funotentext"/>
        <w:spacing w:line="240" w:lineRule="auto"/>
        <w:contextualSpacing/>
      </w:pPr>
      <w:r w:rsidRPr="008D37EC">
        <w:rPr>
          <w:rStyle w:val="Funotenzeichen"/>
        </w:rPr>
        <w:footnoteRef/>
      </w:r>
      <w:r w:rsidRPr="008D37EC">
        <w:t xml:space="preserve">  Wetzstein 2005: 258-259; McTeer 2002: Chapter 2; McConnell &amp; Brue 2008: 29.</w:t>
      </w:r>
    </w:p>
  </w:footnote>
  <w:footnote w:id="73">
    <w:p w:rsidR="005E7922" w:rsidRPr="008D37EC" w:rsidRDefault="005E7922" w:rsidP="00C714C8">
      <w:pPr>
        <w:pStyle w:val="Funotentext"/>
        <w:spacing w:line="240" w:lineRule="auto"/>
        <w:contextualSpacing/>
      </w:pPr>
      <w:r w:rsidRPr="008D37EC">
        <w:rPr>
          <w:rStyle w:val="Funotenzeichen"/>
        </w:rPr>
        <w:footnoteRef/>
      </w:r>
      <w:r w:rsidRPr="008D37EC">
        <w:t xml:space="preserve">  McConnell &amp; Brue 2008: 31.</w:t>
      </w:r>
    </w:p>
  </w:footnote>
  <w:footnote w:id="74">
    <w:p w:rsidR="005E7922" w:rsidRPr="007E1FBA" w:rsidRDefault="005E7922" w:rsidP="00C714C8">
      <w:pPr>
        <w:pStyle w:val="Funotentext"/>
        <w:spacing w:line="240" w:lineRule="auto"/>
        <w:contextualSpacing/>
      </w:pPr>
      <w:r w:rsidRPr="007E1FBA">
        <w:rPr>
          <w:rStyle w:val="Funotenzeichen"/>
        </w:rPr>
        <w:footnoteRef/>
      </w:r>
      <w:r w:rsidRPr="007E1FBA">
        <w:t xml:space="preserve">  McConnell &amp; Brue 2008: 31.</w:t>
      </w:r>
    </w:p>
  </w:footnote>
  <w:footnote w:id="75">
    <w:p w:rsidR="005E7922" w:rsidRPr="007E1FBA" w:rsidRDefault="005E7922" w:rsidP="00C714C8">
      <w:pPr>
        <w:pStyle w:val="Funotentext"/>
        <w:spacing w:line="240" w:lineRule="auto"/>
        <w:contextualSpacing/>
      </w:pPr>
      <w:r w:rsidRPr="007E1FBA">
        <w:rPr>
          <w:rStyle w:val="Funotenzeichen"/>
        </w:rPr>
        <w:footnoteRef/>
      </w:r>
      <w:r w:rsidRPr="007E1FBA">
        <w:t xml:space="preserve">  McConnell &amp; Brue 2008: 31; Neuhoff </w:t>
      </w:r>
      <w:r w:rsidRPr="007E1FBA">
        <w:rPr>
          <w:i/>
        </w:rPr>
        <w:t>et al</w:t>
      </w:r>
      <w:r w:rsidRPr="007E1FBA">
        <w:t xml:space="preserve"> 2006: 11.</w:t>
      </w:r>
    </w:p>
  </w:footnote>
  <w:footnote w:id="76">
    <w:p w:rsidR="005E7922" w:rsidRPr="007E1FBA" w:rsidRDefault="005E7922" w:rsidP="00C714C8">
      <w:pPr>
        <w:pStyle w:val="Funotentext"/>
        <w:spacing w:line="240" w:lineRule="auto"/>
        <w:contextualSpacing/>
      </w:pPr>
      <w:r w:rsidRPr="007E1FBA">
        <w:rPr>
          <w:rStyle w:val="Funotenzeichen"/>
        </w:rPr>
        <w:footnoteRef/>
      </w:r>
      <w:r w:rsidRPr="007E1FBA">
        <w:t xml:space="preserve">  McTeer 2002: Chapter 2; McConnell &amp; Brue 2008: 31.</w:t>
      </w:r>
    </w:p>
  </w:footnote>
  <w:footnote w:id="77">
    <w:p w:rsidR="005E7922" w:rsidRPr="007E1FBA" w:rsidRDefault="005E7922" w:rsidP="00C714C8">
      <w:pPr>
        <w:pStyle w:val="Funotentext"/>
        <w:spacing w:line="240" w:lineRule="auto"/>
        <w:contextualSpacing/>
      </w:pPr>
      <w:r w:rsidRPr="007E1FBA">
        <w:rPr>
          <w:rStyle w:val="Funotenzeichen"/>
        </w:rPr>
        <w:footnoteRef/>
      </w:r>
      <w:r w:rsidRPr="007E1FBA">
        <w:t xml:space="preserve">  Wetzstein 2005: 368; McConnell &amp; Brue 2008: 31.</w:t>
      </w:r>
    </w:p>
  </w:footnote>
  <w:footnote w:id="78">
    <w:p w:rsidR="005E7922" w:rsidRPr="007E1FBA" w:rsidRDefault="005E7922" w:rsidP="00C714C8">
      <w:pPr>
        <w:pStyle w:val="Funotentext"/>
        <w:spacing w:line="240" w:lineRule="auto"/>
        <w:contextualSpacing/>
      </w:pPr>
      <w:r w:rsidRPr="007E1FBA">
        <w:rPr>
          <w:rStyle w:val="Funotenzeichen"/>
        </w:rPr>
        <w:footnoteRef/>
      </w:r>
      <w:r w:rsidRPr="007E1FBA">
        <w:t xml:space="preserve">  McTeer 2002: Chapter 2; McConnell &amp; Brue 2008: 31.</w:t>
      </w:r>
    </w:p>
  </w:footnote>
  <w:footnote w:id="79">
    <w:p w:rsidR="005E7922" w:rsidRPr="007E1FBA" w:rsidRDefault="005E7922" w:rsidP="00C714C8">
      <w:pPr>
        <w:pStyle w:val="Funotentext"/>
        <w:spacing w:line="240" w:lineRule="auto"/>
        <w:contextualSpacing/>
      </w:pPr>
      <w:r w:rsidRPr="007E1FBA">
        <w:rPr>
          <w:rStyle w:val="Funotenzeichen"/>
        </w:rPr>
        <w:footnoteRef/>
      </w:r>
      <w:r w:rsidRPr="007E1FBA">
        <w:t xml:space="preserve">  Wetzstein 2005: 368; McTeer 2002: Chapter 2; McConnell &amp; Brue 2008: 31.</w:t>
      </w:r>
    </w:p>
  </w:footnote>
  <w:footnote w:id="80">
    <w:p w:rsidR="005E7922" w:rsidRPr="007E1FBA" w:rsidRDefault="005E7922" w:rsidP="00C714C8">
      <w:pPr>
        <w:pStyle w:val="Funotentext"/>
        <w:spacing w:line="240" w:lineRule="auto"/>
        <w:contextualSpacing/>
      </w:pPr>
      <w:r w:rsidRPr="007E1FBA">
        <w:rPr>
          <w:rStyle w:val="Funotenzeichen"/>
        </w:rPr>
        <w:footnoteRef/>
      </w:r>
      <w:r w:rsidRPr="007E1FBA">
        <w:t xml:space="preserve">  Wetzstein 2005: 368; McTeer 2002: Chapter 2; McConnell &amp; Brue 2008: 31.</w:t>
      </w:r>
    </w:p>
  </w:footnote>
  <w:footnote w:id="81">
    <w:p w:rsidR="005E7922" w:rsidRPr="007E1FBA" w:rsidRDefault="005E7922" w:rsidP="00C714C8">
      <w:pPr>
        <w:pStyle w:val="Funotentext"/>
        <w:spacing w:line="240" w:lineRule="auto"/>
        <w:contextualSpacing/>
      </w:pPr>
      <w:r w:rsidRPr="007E1FBA">
        <w:rPr>
          <w:rStyle w:val="Funotenzeichen"/>
        </w:rPr>
        <w:footnoteRef/>
      </w:r>
      <w:r w:rsidRPr="007E1FBA">
        <w:t xml:space="preserve">  This is known as “consumer sovereignty.” For more information see Wetzstein 2005: 19.</w:t>
      </w:r>
    </w:p>
  </w:footnote>
  <w:footnote w:id="82">
    <w:p w:rsidR="005E7922" w:rsidRPr="00771868" w:rsidRDefault="005E7922" w:rsidP="00C714C8">
      <w:pPr>
        <w:pStyle w:val="Funotentext"/>
        <w:spacing w:line="240" w:lineRule="auto"/>
        <w:contextualSpacing/>
        <w:rPr>
          <w:lang w:val="af-ZA"/>
        </w:rPr>
      </w:pPr>
      <w:r w:rsidRPr="007E1FBA">
        <w:rPr>
          <w:rStyle w:val="Funotenzeichen"/>
        </w:rPr>
        <w:footnoteRef/>
      </w:r>
      <w:r w:rsidRPr="007E1FBA">
        <w:t xml:space="preserve">  Wetzstein 2005: 19.</w:t>
      </w:r>
      <w:r>
        <w:rPr>
          <w:lang w:val="af-ZA"/>
        </w:rPr>
        <w:t xml:space="preserve"> </w:t>
      </w:r>
    </w:p>
  </w:footnote>
  <w:footnote w:id="83">
    <w:p w:rsidR="005E7922" w:rsidRPr="007E1FBA" w:rsidRDefault="005E7922" w:rsidP="00C714C8">
      <w:pPr>
        <w:pStyle w:val="Funotentext"/>
        <w:spacing w:line="240" w:lineRule="auto"/>
        <w:contextualSpacing/>
      </w:pPr>
      <w:r w:rsidRPr="007E1FBA">
        <w:rPr>
          <w:rStyle w:val="Funotenzeichen"/>
        </w:rPr>
        <w:footnoteRef/>
      </w:r>
      <w:r w:rsidRPr="007E1FBA">
        <w:t xml:space="preserve">  Wetzstein 2005: 19.</w:t>
      </w:r>
    </w:p>
  </w:footnote>
  <w:footnote w:id="84">
    <w:p w:rsidR="005E7922" w:rsidRPr="007E1FBA" w:rsidRDefault="005E7922" w:rsidP="004326EA">
      <w:pPr>
        <w:pStyle w:val="Funotentext"/>
        <w:spacing w:line="240" w:lineRule="auto"/>
        <w:contextualSpacing/>
      </w:pPr>
      <w:r w:rsidRPr="007E1FBA">
        <w:rPr>
          <w:rStyle w:val="Funotenzeichen"/>
        </w:rPr>
        <w:footnoteRef/>
      </w:r>
      <w:r w:rsidRPr="007E1FBA">
        <w:t xml:space="preserve">  McConnell &amp; Brue 2008: 31.</w:t>
      </w:r>
    </w:p>
  </w:footnote>
  <w:footnote w:id="85">
    <w:p w:rsidR="005E7922" w:rsidRPr="007E1FBA" w:rsidRDefault="005E7922" w:rsidP="004326EA">
      <w:pPr>
        <w:pStyle w:val="Funotentext"/>
        <w:spacing w:line="240" w:lineRule="auto"/>
        <w:contextualSpacing/>
      </w:pPr>
      <w:r w:rsidRPr="007E1FBA">
        <w:rPr>
          <w:rStyle w:val="Funotenzeichen"/>
        </w:rPr>
        <w:footnoteRef/>
      </w:r>
      <w:r w:rsidRPr="007E1FBA">
        <w:t xml:space="preserve">  McConnell &amp; Brue 2008: 31.</w:t>
      </w:r>
    </w:p>
  </w:footnote>
  <w:footnote w:id="86">
    <w:p w:rsidR="005E7922" w:rsidRPr="007E1FBA" w:rsidRDefault="005E7922" w:rsidP="004326EA">
      <w:pPr>
        <w:pStyle w:val="Funotentext"/>
        <w:spacing w:line="240" w:lineRule="auto"/>
        <w:contextualSpacing/>
      </w:pPr>
      <w:r w:rsidRPr="007E1FBA">
        <w:rPr>
          <w:rStyle w:val="Funotenzeichen"/>
        </w:rPr>
        <w:footnoteRef/>
      </w:r>
      <w:r w:rsidRPr="007E1FBA">
        <w:t xml:space="preserve">  McConnell &amp; Brue 2008: 31.</w:t>
      </w:r>
    </w:p>
  </w:footnote>
  <w:footnote w:id="87">
    <w:p w:rsidR="005E7922" w:rsidRPr="007E1FBA" w:rsidRDefault="005E7922" w:rsidP="004326EA">
      <w:pPr>
        <w:pStyle w:val="Funotentext"/>
        <w:spacing w:line="240" w:lineRule="auto"/>
        <w:contextualSpacing/>
      </w:pPr>
      <w:r w:rsidRPr="007E1FBA">
        <w:rPr>
          <w:rStyle w:val="Funotenzeichen"/>
        </w:rPr>
        <w:footnoteRef/>
      </w:r>
      <w:r w:rsidRPr="007E1FBA">
        <w:t xml:space="preserve">  McConnell &amp; Brue 2008: 31.</w:t>
      </w:r>
    </w:p>
  </w:footnote>
  <w:footnote w:id="88">
    <w:p w:rsidR="005E7922" w:rsidRPr="007E1FBA" w:rsidRDefault="005E7922" w:rsidP="004326EA">
      <w:pPr>
        <w:pStyle w:val="Funotentext"/>
        <w:spacing w:line="240" w:lineRule="auto"/>
        <w:contextualSpacing/>
      </w:pPr>
      <w:r w:rsidRPr="007E1FBA">
        <w:rPr>
          <w:rStyle w:val="Funotenzeichen"/>
        </w:rPr>
        <w:footnoteRef/>
      </w:r>
      <w:r w:rsidRPr="007E1FBA">
        <w:t xml:space="preserve">  McConnell &amp; Brue 2008: 31.</w:t>
      </w:r>
    </w:p>
  </w:footnote>
  <w:footnote w:id="89">
    <w:p w:rsidR="005E7922" w:rsidRPr="007E1FBA" w:rsidRDefault="005E7922" w:rsidP="004326EA">
      <w:pPr>
        <w:pStyle w:val="Funotentext"/>
        <w:spacing w:line="240" w:lineRule="auto"/>
        <w:contextualSpacing/>
      </w:pPr>
      <w:r w:rsidRPr="007E1FBA">
        <w:rPr>
          <w:rStyle w:val="Funotenzeichen"/>
        </w:rPr>
        <w:footnoteRef/>
      </w:r>
      <w:r w:rsidRPr="007E1FBA">
        <w:t xml:space="preserve">  Neuhoff </w:t>
      </w:r>
      <w:r w:rsidRPr="007E1FBA">
        <w:rPr>
          <w:i/>
        </w:rPr>
        <w:t>et al</w:t>
      </w:r>
      <w:r w:rsidRPr="007E1FBA">
        <w:t xml:space="preserve"> 2006: 11; McConnell &amp; Brue 2008: 31.</w:t>
      </w:r>
    </w:p>
  </w:footnote>
  <w:footnote w:id="90">
    <w:p w:rsidR="005E7922" w:rsidRPr="007E1FBA" w:rsidRDefault="005E7922" w:rsidP="00AF7468">
      <w:pPr>
        <w:pStyle w:val="Funotentext"/>
        <w:spacing w:line="240" w:lineRule="auto"/>
        <w:contextualSpacing/>
      </w:pPr>
      <w:r w:rsidRPr="007E1FBA">
        <w:rPr>
          <w:rStyle w:val="Funotenzeichen"/>
        </w:rPr>
        <w:footnoteRef/>
      </w:r>
      <w:r w:rsidRPr="007E1FBA">
        <w:t xml:space="preserve">  Wetzstein 2005: 368; McTeer 2002: Chapter 2; McConnell &amp; Brue 2008: 31.</w:t>
      </w:r>
    </w:p>
  </w:footnote>
  <w:footnote w:id="91">
    <w:p w:rsidR="005E7922" w:rsidRPr="007E1FBA" w:rsidRDefault="005E7922" w:rsidP="00AF7468">
      <w:pPr>
        <w:pStyle w:val="Funotentext"/>
        <w:spacing w:line="240" w:lineRule="auto"/>
        <w:contextualSpacing/>
      </w:pPr>
      <w:r w:rsidRPr="007E1FBA">
        <w:rPr>
          <w:rStyle w:val="Funotenzeichen"/>
        </w:rPr>
        <w:footnoteRef/>
      </w:r>
      <w:r w:rsidRPr="007E1FBA">
        <w:t xml:space="preserve">  Wetzstein 2005: 368; McTeer 2002: Chapter 2; McConnell &amp; Brue 2008: 31.</w:t>
      </w:r>
    </w:p>
  </w:footnote>
  <w:footnote w:id="92">
    <w:p w:rsidR="005E7922" w:rsidRPr="007E1FBA" w:rsidRDefault="005E7922" w:rsidP="00AF7468">
      <w:pPr>
        <w:pStyle w:val="Funotentext"/>
        <w:spacing w:line="240" w:lineRule="auto"/>
        <w:contextualSpacing/>
      </w:pPr>
      <w:r w:rsidRPr="007E1FBA">
        <w:rPr>
          <w:rStyle w:val="Funotenzeichen"/>
        </w:rPr>
        <w:footnoteRef/>
      </w:r>
      <w:r w:rsidRPr="007E1FBA">
        <w:t xml:space="preserve">  Wetzstein 2005: 368; McTeer 2002: Chapter 2; McConnell &amp; Brue 2008: 31.</w:t>
      </w:r>
    </w:p>
  </w:footnote>
  <w:footnote w:id="93">
    <w:p w:rsidR="005E7922" w:rsidRPr="007E1FBA" w:rsidRDefault="005E7922" w:rsidP="00AF7468">
      <w:pPr>
        <w:pStyle w:val="Funotentext"/>
        <w:spacing w:line="240" w:lineRule="auto"/>
        <w:contextualSpacing/>
      </w:pPr>
      <w:r w:rsidRPr="007E1FBA">
        <w:rPr>
          <w:rStyle w:val="Funotenzeichen"/>
        </w:rPr>
        <w:footnoteRef/>
      </w:r>
      <w:r w:rsidRPr="007E1FBA">
        <w:t xml:space="preserve"> </w:t>
      </w:r>
      <w:r>
        <w:t xml:space="preserve"> </w:t>
      </w:r>
      <w:r w:rsidRPr="007E1FBA">
        <w:t xml:space="preserve">Martin 2005: 15; Chabane </w:t>
      </w:r>
      <w:r w:rsidRPr="007E1FBA">
        <w:rPr>
          <w:i/>
        </w:rPr>
        <w:t>et al</w:t>
      </w:r>
      <w:r w:rsidRPr="007E1FBA">
        <w:t xml:space="preserve">  2003: 2; Witztum 2010: 157; Roberts 2004: 2; Reekie 2000: 11; Neuhoff </w:t>
      </w:r>
      <w:r w:rsidRPr="007E1FBA">
        <w:rPr>
          <w:i/>
        </w:rPr>
        <w:t>et al</w:t>
      </w:r>
      <w:r w:rsidRPr="007E1FBA">
        <w:t xml:space="preserve"> 2006: 36; Fourie 2006: 335; McConnell &amp; Brue 2008: 400; Wetzstein 2005: 258-259.</w:t>
      </w:r>
    </w:p>
  </w:footnote>
  <w:footnote w:id="94">
    <w:p w:rsidR="005E7922" w:rsidRPr="007E1FBA" w:rsidRDefault="005E7922" w:rsidP="00AF7468">
      <w:pPr>
        <w:pStyle w:val="Funotentext"/>
        <w:spacing w:line="240" w:lineRule="auto"/>
        <w:contextualSpacing/>
      </w:pPr>
      <w:r w:rsidRPr="007E1FBA">
        <w:rPr>
          <w:rStyle w:val="Funotenzeichen"/>
        </w:rPr>
        <w:footnoteRef/>
      </w:r>
      <w:r w:rsidRPr="007E1FBA">
        <w:t xml:space="preserve"> </w:t>
      </w:r>
      <w:r>
        <w:t xml:space="preserve"> </w:t>
      </w:r>
      <w:r w:rsidRPr="007E1FBA">
        <w:t xml:space="preserve">Neuhoff </w:t>
      </w:r>
      <w:r w:rsidRPr="007E1FBA">
        <w:rPr>
          <w:i/>
        </w:rPr>
        <w:t>et al</w:t>
      </w:r>
      <w:r w:rsidRPr="007E1FBA">
        <w:t xml:space="preserve">  2006: 36; Wetzstein 2005: 258; McConnel &amp; Brue 2008: 400; </w:t>
      </w:r>
    </w:p>
  </w:footnote>
  <w:footnote w:id="95">
    <w:p w:rsidR="005E7922" w:rsidRPr="007E1FBA" w:rsidRDefault="005E7922" w:rsidP="00AF7468">
      <w:pPr>
        <w:pStyle w:val="Funotentext"/>
        <w:spacing w:line="240" w:lineRule="auto"/>
        <w:contextualSpacing/>
      </w:pPr>
      <w:r w:rsidRPr="007E1FBA">
        <w:rPr>
          <w:rStyle w:val="Funotenzeichen"/>
        </w:rPr>
        <w:footnoteRef/>
      </w:r>
      <w:r w:rsidRPr="007E1FBA">
        <w:t xml:space="preserve"> </w:t>
      </w:r>
      <w:r>
        <w:t xml:space="preserve"> </w:t>
      </w:r>
      <w:r w:rsidRPr="007E1FBA">
        <w:t>Wetzstein 2005: 258</w:t>
      </w:r>
    </w:p>
  </w:footnote>
  <w:footnote w:id="96">
    <w:p w:rsidR="005E7922" w:rsidRPr="007E1FBA" w:rsidRDefault="005E7922" w:rsidP="001E020A">
      <w:pPr>
        <w:pStyle w:val="Funotentext"/>
        <w:spacing w:line="240" w:lineRule="auto"/>
        <w:contextualSpacing/>
      </w:pPr>
      <w:r w:rsidRPr="007E1FBA">
        <w:rPr>
          <w:rStyle w:val="Funotenzeichen"/>
        </w:rPr>
        <w:footnoteRef/>
      </w:r>
      <w:r w:rsidRPr="007E1FBA">
        <w:t xml:space="preserve"> </w:t>
      </w:r>
      <w:r>
        <w:t xml:space="preserve"> </w:t>
      </w:r>
      <w:r w:rsidRPr="007E1FBA">
        <w:t>Wetzstein 2005: 258; McConnel &amp; Brue 2008: 411.</w:t>
      </w:r>
    </w:p>
  </w:footnote>
  <w:footnote w:id="97">
    <w:p w:rsidR="005E7922" w:rsidRPr="002F5FC4" w:rsidRDefault="005E7922" w:rsidP="001E020A">
      <w:pPr>
        <w:pStyle w:val="Funotentext"/>
        <w:spacing w:line="240" w:lineRule="auto"/>
        <w:contextualSpacing/>
        <w:rPr>
          <w:lang w:val="af-ZA"/>
        </w:rPr>
      </w:pPr>
      <w:r>
        <w:rPr>
          <w:rStyle w:val="Funotenzeichen"/>
        </w:rPr>
        <w:footnoteRef/>
      </w:r>
      <w:r>
        <w:t xml:space="preserve"> </w:t>
      </w:r>
      <w:r>
        <w:rPr>
          <w:lang w:val="af-ZA"/>
        </w:rPr>
        <w:t xml:space="preserve"> </w:t>
      </w:r>
      <w:r w:rsidRPr="007E1FBA">
        <w:t>McConnel &amp; Brue 2008: 4</w:t>
      </w:r>
      <w:r>
        <w:t>00-401.</w:t>
      </w:r>
    </w:p>
  </w:footnote>
  <w:footnote w:id="98">
    <w:p w:rsidR="005E7922" w:rsidRPr="00382586" w:rsidRDefault="005E7922" w:rsidP="001E020A">
      <w:pPr>
        <w:pStyle w:val="Funotentext"/>
        <w:spacing w:line="240" w:lineRule="auto"/>
        <w:contextualSpacing/>
        <w:rPr>
          <w:lang w:val="af-ZA"/>
        </w:rPr>
      </w:pPr>
      <w:r>
        <w:rPr>
          <w:rStyle w:val="Funotenzeichen"/>
        </w:rPr>
        <w:footnoteRef/>
      </w:r>
      <w:r>
        <w:t xml:space="preserve"> </w:t>
      </w:r>
      <w:r>
        <w:rPr>
          <w:lang w:val="af-ZA"/>
        </w:rPr>
        <w:t xml:space="preserve"> </w:t>
      </w:r>
      <w:r w:rsidRPr="007E1FBA">
        <w:t>McConnel &amp; Brue 2008: 4</w:t>
      </w:r>
      <w:r>
        <w:t>00-401.</w:t>
      </w:r>
    </w:p>
  </w:footnote>
  <w:footnote w:id="99">
    <w:p w:rsidR="005E7922" w:rsidRPr="007E1FBA" w:rsidRDefault="005E7922" w:rsidP="001E020A">
      <w:pPr>
        <w:pStyle w:val="Funotentext"/>
        <w:spacing w:line="240" w:lineRule="auto"/>
        <w:contextualSpacing/>
      </w:pPr>
      <w:r w:rsidRPr="007E1FBA">
        <w:rPr>
          <w:rStyle w:val="Funotenzeichen"/>
        </w:rPr>
        <w:footnoteRef/>
      </w:r>
      <w:r w:rsidRPr="007E1FBA">
        <w:t xml:space="preserve"> </w:t>
      </w:r>
      <w:r>
        <w:t xml:space="preserve"> </w:t>
      </w:r>
      <w:r w:rsidRPr="007E1FBA">
        <w:t xml:space="preserve">Martin 2005: 15; Chabane </w:t>
      </w:r>
      <w:r w:rsidRPr="007E1FBA">
        <w:rPr>
          <w:i/>
        </w:rPr>
        <w:t>et al</w:t>
      </w:r>
      <w:r w:rsidRPr="007E1FBA">
        <w:t xml:space="preserve">  2003: 2; Witztum 2010: 157; Roberts 2008: 2; Reekie 2000: 11; Neuhoff </w:t>
      </w:r>
      <w:r w:rsidRPr="007E1FBA">
        <w:rPr>
          <w:i/>
        </w:rPr>
        <w:t>et al</w:t>
      </w:r>
      <w:r w:rsidRPr="007E1FBA">
        <w:t xml:space="preserve">  2006: 36; Fourie 2006: 335; McConnell &amp; Brue 2008: 400; Wetzstein 2005: 258-259.</w:t>
      </w:r>
    </w:p>
  </w:footnote>
  <w:footnote w:id="100">
    <w:p w:rsidR="005E7922" w:rsidRPr="007E1FBA" w:rsidRDefault="005E7922" w:rsidP="001E020A">
      <w:pPr>
        <w:pStyle w:val="Funotentext"/>
        <w:spacing w:line="240" w:lineRule="auto"/>
        <w:contextualSpacing/>
      </w:pPr>
      <w:r w:rsidRPr="007E1FBA">
        <w:rPr>
          <w:rStyle w:val="Funotenzeichen"/>
        </w:rPr>
        <w:footnoteRef/>
      </w:r>
      <w:r w:rsidRPr="007E1FBA">
        <w:t xml:space="preserve"> </w:t>
      </w:r>
      <w:r>
        <w:t xml:space="preserve"> </w:t>
      </w:r>
      <w:r w:rsidRPr="007E1FBA">
        <w:t xml:space="preserve">Neuhoff </w:t>
      </w:r>
      <w:r w:rsidRPr="007E1FBA">
        <w:rPr>
          <w:i/>
        </w:rPr>
        <w:t>et al</w:t>
      </w:r>
      <w:r w:rsidRPr="007E1FBA">
        <w:t xml:space="preserve"> 35-36; McConnel &amp; Brue 400; Wetzstein 259.</w:t>
      </w:r>
    </w:p>
  </w:footnote>
  <w:footnote w:id="101">
    <w:p w:rsidR="005E7922" w:rsidRPr="007E1FBA" w:rsidRDefault="005E7922" w:rsidP="001E020A">
      <w:pPr>
        <w:pStyle w:val="Funotentext"/>
        <w:spacing w:line="240" w:lineRule="auto"/>
        <w:contextualSpacing/>
      </w:pPr>
      <w:r w:rsidRPr="007E1FBA">
        <w:rPr>
          <w:rStyle w:val="Funotenzeichen"/>
        </w:rPr>
        <w:footnoteRef/>
      </w:r>
      <w:r w:rsidRPr="007E1FBA">
        <w:t xml:space="preserve"> </w:t>
      </w:r>
      <w:r>
        <w:t xml:space="preserve"> </w:t>
      </w:r>
      <w:r w:rsidRPr="007E1FBA">
        <w:t xml:space="preserve">Martin 2005: 15; Chabane </w:t>
      </w:r>
      <w:r w:rsidRPr="007E1FBA">
        <w:rPr>
          <w:i/>
        </w:rPr>
        <w:t>et al</w:t>
      </w:r>
      <w:r w:rsidRPr="007E1FBA">
        <w:t xml:space="preserve">  2003: 2; Witztum 2010: 157; Roberts 2008: 2; Reekie 2000: 11; Neuhoff </w:t>
      </w:r>
      <w:r w:rsidRPr="007E1FBA">
        <w:rPr>
          <w:i/>
        </w:rPr>
        <w:t>et al</w:t>
      </w:r>
      <w:r w:rsidRPr="007E1FBA">
        <w:t xml:space="preserve"> 2006: 36; Fourie 2006: 335; McConnell &amp; Brue 2008: 400; Wetzstein 2005: 258-259.</w:t>
      </w:r>
    </w:p>
  </w:footnote>
  <w:footnote w:id="102">
    <w:p w:rsidR="005E7922" w:rsidRPr="007E1FBA" w:rsidRDefault="005E7922" w:rsidP="001E020A">
      <w:pPr>
        <w:pStyle w:val="Funotentext"/>
        <w:spacing w:line="240" w:lineRule="auto"/>
        <w:contextualSpacing/>
      </w:pPr>
      <w:r w:rsidRPr="007E1FBA">
        <w:rPr>
          <w:rStyle w:val="Funotenzeichen"/>
        </w:rPr>
        <w:footnoteRef/>
      </w:r>
      <w:r w:rsidRPr="007E1FBA">
        <w:t xml:space="preserve"> </w:t>
      </w:r>
      <w:r>
        <w:t xml:space="preserve"> </w:t>
      </w:r>
      <w:r w:rsidRPr="007E1FBA">
        <w:t xml:space="preserve">Holland: 2007: 1; Chabane </w:t>
      </w:r>
      <w:r w:rsidRPr="007E1FBA">
        <w:rPr>
          <w:i/>
        </w:rPr>
        <w:t>et al</w:t>
      </w:r>
      <w:r w:rsidRPr="007E1FBA">
        <w:t xml:space="preserve">  2003: 1; Roberts 2004: 1; Neuhoff </w:t>
      </w:r>
      <w:r w:rsidRPr="007E1FBA">
        <w:rPr>
          <w:i/>
        </w:rPr>
        <w:t>et al</w:t>
      </w:r>
      <w:r w:rsidRPr="007E1FBA">
        <w:t xml:space="preserve">  2006: 26; McConnell &amp; Brue 2008: 31. </w:t>
      </w:r>
    </w:p>
  </w:footnote>
  <w:footnote w:id="103">
    <w:p w:rsidR="005E7922" w:rsidRPr="007E1FBA" w:rsidRDefault="005E7922" w:rsidP="001E020A">
      <w:pPr>
        <w:pStyle w:val="Funotentext"/>
        <w:spacing w:line="240" w:lineRule="auto"/>
        <w:contextualSpacing/>
      </w:pPr>
      <w:r w:rsidRPr="007E1FBA">
        <w:rPr>
          <w:rStyle w:val="Funotenzeichen"/>
        </w:rPr>
        <w:footnoteRef/>
      </w:r>
      <w:r w:rsidRPr="007E1FBA">
        <w:t xml:space="preserve"> </w:t>
      </w:r>
      <w:r>
        <w:t xml:space="preserve"> </w:t>
      </w:r>
      <w:r w:rsidRPr="007E1FBA">
        <w:t>The Competition Act 89/1998</w:t>
      </w:r>
      <w:r>
        <w:t>: section 1.</w:t>
      </w:r>
    </w:p>
  </w:footnote>
  <w:footnote w:id="104">
    <w:p w:rsidR="005E7922" w:rsidRPr="007E1FBA" w:rsidRDefault="005E7922" w:rsidP="001E020A">
      <w:pPr>
        <w:pStyle w:val="Funotentext"/>
        <w:spacing w:line="240" w:lineRule="auto"/>
        <w:contextualSpacing/>
      </w:pPr>
      <w:r w:rsidRPr="007E1FBA">
        <w:rPr>
          <w:rStyle w:val="Funotenzeichen"/>
        </w:rPr>
        <w:footnoteRef/>
      </w:r>
      <w:r w:rsidRPr="007E1FBA">
        <w:t xml:space="preserve"> </w:t>
      </w:r>
      <w:r>
        <w:t xml:space="preserve"> </w:t>
      </w:r>
      <w:r w:rsidRPr="007E1FBA">
        <w:t xml:space="preserve">Neuhoff </w:t>
      </w:r>
      <w:r w:rsidRPr="007E1FBA">
        <w:rPr>
          <w:i/>
        </w:rPr>
        <w:t>et al</w:t>
      </w:r>
      <w:r w:rsidRPr="007E1FBA">
        <w:t xml:space="preserve"> 2006: 27.</w:t>
      </w:r>
    </w:p>
  </w:footnote>
  <w:footnote w:id="105">
    <w:p w:rsidR="005E7922" w:rsidRPr="007E1FBA" w:rsidRDefault="005E7922" w:rsidP="00EC0EAD">
      <w:pPr>
        <w:pStyle w:val="Funotentext"/>
        <w:spacing w:line="240" w:lineRule="auto"/>
        <w:contextualSpacing/>
      </w:pPr>
      <w:r w:rsidRPr="007E1FBA">
        <w:rPr>
          <w:rStyle w:val="Funotenzeichen"/>
        </w:rPr>
        <w:footnoteRef/>
      </w:r>
      <w:r w:rsidRPr="007E1FBA">
        <w:t xml:space="preserve"> </w:t>
      </w:r>
      <w:r>
        <w:t xml:space="preserve"> </w:t>
      </w:r>
      <w:r w:rsidRPr="007E1FBA">
        <w:t xml:space="preserve">Martin 2005: 15; Chabane </w:t>
      </w:r>
      <w:r w:rsidRPr="007E1FBA">
        <w:rPr>
          <w:i/>
        </w:rPr>
        <w:t>et al</w:t>
      </w:r>
      <w:r w:rsidRPr="007E1FBA">
        <w:t xml:space="preserve">  2003: 2; Witztum 2010: 157; Roberts 2004: 2; Reekie 2000: 11; Neuhoff </w:t>
      </w:r>
      <w:r w:rsidRPr="007E1FBA">
        <w:rPr>
          <w:i/>
        </w:rPr>
        <w:t>et al</w:t>
      </w:r>
      <w:r w:rsidRPr="007E1FBA">
        <w:t xml:space="preserve">  2006: 36; Fourie 2006: 335; McConnell &amp; Brue 2008: 400; Wetzstein 2005: 258-259.</w:t>
      </w:r>
    </w:p>
  </w:footnote>
  <w:footnote w:id="106">
    <w:p w:rsidR="005E7922" w:rsidRPr="00BD0EAD" w:rsidRDefault="005E7922" w:rsidP="00EC0EAD">
      <w:pPr>
        <w:pStyle w:val="Funotentext"/>
        <w:spacing w:line="240" w:lineRule="auto"/>
        <w:contextualSpacing/>
        <w:rPr>
          <w:lang w:val="af-ZA"/>
        </w:rPr>
      </w:pPr>
      <w:r w:rsidRPr="007E1FBA">
        <w:rPr>
          <w:rStyle w:val="Funotenzeichen"/>
        </w:rPr>
        <w:footnoteRef/>
      </w:r>
      <w:r w:rsidRPr="007E1FBA">
        <w:t xml:space="preserve"> </w:t>
      </w:r>
      <w:r>
        <w:t xml:space="preserve"> </w:t>
      </w:r>
      <w:r w:rsidRPr="007E1FBA">
        <w:t>See page 8 and 9 of this chapter.</w:t>
      </w:r>
    </w:p>
  </w:footnote>
  <w:footnote w:id="107">
    <w:p w:rsidR="005E7922" w:rsidRPr="007E1FBA" w:rsidRDefault="005E7922" w:rsidP="00EC0EAD">
      <w:pPr>
        <w:pStyle w:val="Funotentext"/>
        <w:spacing w:line="240" w:lineRule="auto"/>
        <w:contextualSpacing/>
      </w:pPr>
      <w:r w:rsidRPr="007E1FBA">
        <w:rPr>
          <w:rStyle w:val="Funotenzeichen"/>
        </w:rPr>
        <w:footnoteRef/>
      </w:r>
      <w:r w:rsidRPr="007E1FBA">
        <w:t xml:space="preserve"> </w:t>
      </w:r>
      <w:r>
        <w:t xml:space="preserve"> </w:t>
      </w:r>
      <w:r w:rsidRPr="007E1FBA">
        <w:t>Lorimar v Sterling Clothing Manufacturers 1981 3 SA 1129 (T) 1141. Also see Neethling &amp; Van Heerden 1995: 2-3 and Klopper &amp; Van Der Spuy 2008: 65.</w:t>
      </w:r>
    </w:p>
  </w:footnote>
  <w:footnote w:id="108">
    <w:p w:rsidR="005E7922" w:rsidRPr="00D8366F" w:rsidRDefault="005E7922" w:rsidP="00EC0EAD">
      <w:pPr>
        <w:pStyle w:val="Funotentext"/>
        <w:spacing w:line="240" w:lineRule="auto"/>
        <w:contextualSpacing/>
        <w:rPr>
          <w:lang w:val="af-ZA"/>
        </w:rPr>
      </w:pPr>
      <w:r>
        <w:rPr>
          <w:rStyle w:val="Funotenzeichen"/>
        </w:rPr>
        <w:footnoteRef/>
      </w:r>
      <w:r>
        <w:t xml:space="preserve"> </w:t>
      </w:r>
      <w:r>
        <w:rPr>
          <w:lang w:val="af-ZA"/>
        </w:rPr>
        <w:t xml:space="preserve"> </w:t>
      </w:r>
      <w:r w:rsidRPr="007E1FBA">
        <w:t xml:space="preserve">Neuhoff </w:t>
      </w:r>
      <w:r w:rsidRPr="007E1FBA">
        <w:rPr>
          <w:i/>
        </w:rPr>
        <w:t>et al</w:t>
      </w:r>
      <w:r w:rsidRPr="007E1FBA">
        <w:t xml:space="preserve">  2006: 26; Land </w:t>
      </w:r>
      <w:r w:rsidRPr="007E1FBA">
        <w:rPr>
          <w:i/>
        </w:rPr>
        <w:t>et al</w:t>
      </w:r>
      <w:r w:rsidRPr="007E1FBA">
        <w:t xml:space="preserve">  2010: 98; McNulty 1968: 639-640</w:t>
      </w:r>
      <w:r>
        <w:t>.</w:t>
      </w:r>
    </w:p>
  </w:footnote>
  <w:footnote w:id="109">
    <w:p w:rsidR="005E7922" w:rsidRPr="006E4E7D" w:rsidRDefault="005E7922" w:rsidP="00EC0EAD">
      <w:pPr>
        <w:pStyle w:val="Funotentext"/>
        <w:spacing w:line="240" w:lineRule="auto"/>
        <w:contextualSpacing/>
        <w:rPr>
          <w:lang w:val="af-ZA"/>
        </w:rPr>
      </w:pPr>
      <w:r>
        <w:rPr>
          <w:rStyle w:val="Funotenzeichen"/>
        </w:rPr>
        <w:footnoteRef/>
      </w:r>
      <w:r>
        <w:t xml:space="preserve"> </w:t>
      </w:r>
      <w:r>
        <w:rPr>
          <w:lang w:val="af-ZA"/>
        </w:rPr>
        <w:t xml:space="preserve"> </w:t>
      </w:r>
      <w:r w:rsidRPr="007E1FBA">
        <w:t xml:space="preserve">Neuhoff </w:t>
      </w:r>
      <w:r w:rsidRPr="007E1FBA">
        <w:rPr>
          <w:i/>
        </w:rPr>
        <w:t>et al</w:t>
      </w:r>
      <w:r w:rsidRPr="007E1FBA">
        <w:t xml:space="preserve"> 2006: 26</w:t>
      </w:r>
      <w:r>
        <w:t xml:space="preserve"> read with page 35.</w:t>
      </w:r>
    </w:p>
  </w:footnote>
  <w:footnote w:id="110">
    <w:p w:rsidR="005E7922" w:rsidRPr="00EC0EAD" w:rsidRDefault="005E7922" w:rsidP="00EC0EAD">
      <w:pPr>
        <w:pStyle w:val="Funotentext"/>
        <w:spacing w:line="240" w:lineRule="auto"/>
        <w:contextualSpacing/>
        <w:rPr>
          <w:lang w:val="af-ZA"/>
        </w:rPr>
      </w:pPr>
      <w:r>
        <w:rPr>
          <w:rStyle w:val="Funotenzeichen"/>
        </w:rPr>
        <w:footnoteRef/>
      </w:r>
      <w:r>
        <w:t xml:space="preserve"> </w:t>
      </w:r>
      <w:r>
        <w:rPr>
          <w:lang w:val="af-ZA"/>
        </w:rPr>
        <w:t xml:space="preserve"> </w:t>
      </w:r>
      <w:r w:rsidRPr="007E1FBA">
        <w:t xml:space="preserve">Neuhoff </w:t>
      </w:r>
      <w:r w:rsidRPr="007E1FBA">
        <w:rPr>
          <w:i/>
        </w:rPr>
        <w:t>et al</w:t>
      </w:r>
      <w:r w:rsidRPr="007E1FBA">
        <w:t xml:space="preserve"> 2006: 26</w:t>
      </w:r>
      <w:r>
        <w:t>.</w:t>
      </w:r>
    </w:p>
  </w:footnote>
  <w:footnote w:id="111">
    <w:p w:rsidR="005E7922" w:rsidRPr="00EC0EAD" w:rsidRDefault="005E7922" w:rsidP="003C75CB">
      <w:pPr>
        <w:pStyle w:val="Funotentext"/>
        <w:spacing w:line="240" w:lineRule="auto"/>
        <w:contextualSpacing/>
        <w:rPr>
          <w:lang w:val="af-ZA"/>
        </w:rPr>
      </w:pPr>
      <w:r>
        <w:rPr>
          <w:rStyle w:val="Funotenzeichen"/>
        </w:rPr>
        <w:footnoteRef/>
      </w:r>
      <w:r>
        <w:t xml:space="preserve"> </w:t>
      </w:r>
      <w:r>
        <w:rPr>
          <w:lang w:val="af-ZA"/>
        </w:rPr>
        <w:t xml:space="preserve"> </w:t>
      </w:r>
      <w:r w:rsidRPr="007E1FBA">
        <w:t xml:space="preserve">Neuhoff </w:t>
      </w:r>
      <w:r w:rsidRPr="007E1FBA">
        <w:rPr>
          <w:i/>
        </w:rPr>
        <w:t>et al</w:t>
      </w:r>
      <w:r w:rsidRPr="007E1FBA">
        <w:t xml:space="preserve"> 2006: 26</w:t>
      </w:r>
      <w:r>
        <w:t>.</w:t>
      </w:r>
    </w:p>
  </w:footnote>
  <w:footnote w:id="112">
    <w:p w:rsidR="005E7922" w:rsidRPr="007E1FBA" w:rsidRDefault="005E7922" w:rsidP="003C75CB">
      <w:pPr>
        <w:pStyle w:val="Funotentext"/>
        <w:spacing w:line="240" w:lineRule="auto"/>
        <w:contextualSpacing/>
      </w:pPr>
      <w:r w:rsidRPr="007E1FBA">
        <w:rPr>
          <w:rStyle w:val="Funotenzeichen"/>
        </w:rPr>
        <w:footnoteRef/>
      </w:r>
      <w:r w:rsidRPr="007E1FBA">
        <w:t xml:space="preserve"> </w:t>
      </w:r>
      <w:r>
        <w:t xml:space="preserve"> </w:t>
      </w:r>
      <w:r w:rsidRPr="007E1FBA">
        <w:t xml:space="preserve">Land </w:t>
      </w:r>
      <w:r w:rsidRPr="007E1FBA">
        <w:rPr>
          <w:i/>
        </w:rPr>
        <w:t>et al</w:t>
      </w:r>
      <w:r w:rsidRPr="007E1FBA">
        <w:t xml:space="preserve"> 2010: 98.</w:t>
      </w:r>
    </w:p>
  </w:footnote>
  <w:footnote w:id="113">
    <w:p w:rsidR="005E7922" w:rsidRPr="007E1FBA" w:rsidRDefault="005E7922" w:rsidP="003C75CB">
      <w:pPr>
        <w:pStyle w:val="Funotentext"/>
        <w:spacing w:line="240" w:lineRule="auto"/>
        <w:contextualSpacing/>
      </w:pPr>
      <w:r w:rsidRPr="007E1FBA">
        <w:rPr>
          <w:rStyle w:val="Funotenzeichen"/>
        </w:rPr>
        <w:footnoteRef/>
      </w:r>
      <w:r w:rsidRPr="007E1FBA">
        <w:t xml:space="preserve"> </w:t>
      </w:r>
      <w:r>
        <w:t xml:space="preserve"> </w:t>
      </w:r>
      <w:r w:rsidRPr="007E1FBA">
        <w:t>McNulty 1968: 639-640. In this context monopoly can be described as a situation where an individual firm or a collection of firms are in a position to control prices and accordingly they are also in a position to coordinate and direct economic activity.</w:t>
      </w:r>
    </w:p>
  </w:footnote>
  <w:footnote w:id="114">
    <w:p w:rsidR="005E7922" w:rsidRPr="003C75CB" w:rsidRDefault="005E7922" w:rsidP="003C75CB">
      <w:pPr>
        <w:pStyle w:val="Funotentext"/>
        <w:spacing w:line="240" w:lineRule="auto"/>
        <w:contextualSpacing/>
        <w:rPr>
          <w:lang w:val="af-ZA"/>
        </w:rPr>
      </w:pPr>
      <w:r>
        <w:rPr>
          <w:rStyle w:val="Funotenzeichen"/>
        </w:rPr>
        <w:footnoteRef/>
      </w:r>
      <w:r>
        <w:t xml:space="preserve">  See page 1 of this chapter.</w:t>
      </w:r>
    </w:p>
  </w:footnote>
  <w:footnote w:id="115">
    <w:p w:rsidR="005E7922" w:rsidRPr="007E1FBA" w:rsidRDefault="005E7922" w:rsidP="003C75CB">
      <w:pPr>
        <w:pStyle w:val="Funotentext"/>
        <w:spacing w:line="240" w:lineRule="auto"/>
        <w:contextualSpacing/>
      </w:pPr>
      <w:r w:rsidRPr="007E1FBA">
        <w:rPr>
          <w:rStyle w:val="Funotenzeichen"/>
        </w:rPr>
        <w:footnoteRef/>
      </w:r>
      <w:r w:rsidRPr="007E1FBA">
        <w:t xml:space="preserve"> </w:t>
      </w:r>
      <w:r>
        <w:t xml:space="preserve"> </w:t>
      </w:r>
      <w:r w:rsidRPr="007E1FBA">
        <w:t>89/1998.</w:t>
      </w:r>
    </w:p>
  </w:footnote>
  <w:footnote w:id="116">
    <w:p w:rsidR="005E7922" w:rsidRPr="007E1FBA" w:rsidRDefault="005E7922" w:rsidP="003C75CB">
      <w:pPr>
        <w:pStyle w:val="Funotentext"/>
        <w:spacing w:line="240" w:lineRule="auto"/>
        <w:contextualSpacing/>
      </w:pPr>
      <w:r w:rsidRPr="007E1FBA">
        <w:rPr>
          <w:rStyle w:val="Funotenzeichen"/>
        </w:rPr>
        <w:footnoteRef/>
      </w:r>
      <w:r w:rsidRPr="007E1FBA">
        <w:t xml:space="preserve"> </w:t>
      </w:r>
      <w:r>
        <w:t xml:space="preserve"> </w:t>
      </w:r>
      <w:r w:rsidRPr="007E1FBA">
        <w:t xml:space="preserve">The Competition Act 89/1998: section 1; Neuhoff </w:t>
      </w:r>
      <w:r w:rsidRPr="007E1FBA">
        <w:rPr>
          <w:i/>
        </w:rPr>
        <w:t>et al</w:t>
      </w:r>
      <w:r w:rsidRPr="007E1FBA">
        <w:t xml:space="preserve"> 2006: 25-26.</w:t>
      </w:r>
    </w:p>
  </w:footnote>
  <w:footnote w:id="117">
    <w:p w:rsidR="005E7922" w:rsidRPr="007E1FBA" w:rsidRDefault="005E7922" w:rsidP="003C75CB">
      <w:pPr>
        <w:pStyle w:val="Funotentext"/>
        <w:spacing w:line="240" w:lineRule="auto"/>
        <w:contextualSpacing/>
      </w:pPr>
      <w:r w:rsidRPr="007E1FBA">
        <w:rPr>
          <w:rStyle w:val="Funotenzeichen"/>
        </w:rPr>
        <w:footnoteRef/>
      </w:r>
      <w:r w:rsidRPr="007E1FBA">
        <w:t xml:space="preserve"> </w:t>
      </w:r>
      <w:r>
        <w:t xml:space="preserve"> </w:t>
      </w:r>
      <w:r w:rsidRPr="007E1FBA">
        <w:t>89/1998.</w:t>
      </w:r>
    </w:p>
  </w:footnote>
  <w:footnote w:id="118">
    <w:p w:rsidR="005E7922" w:rsidRPr="007E1FBA" w:rsidRDefault="005E7922" w:rsidP="003C75CB">
      <w:pPr>
        <w:pStyle w:val="Funotentext"/>
        <w:spacing w:line="240" w:lineRule="auto"/>
        <w:contextualSpacing/>
      </w:pPr>
      <w:r w:rsidRPr="007E1FBA">
        <w:rPr>
          <w:rStyle w:val="Funotenzeichen"/>
        </w:rPr>
        <w:footnoteRef/>
      </w:r>
      <w:r w:rsidRPr="007E1FBA">
        <w:t xml:space="preserve"> </w:t>
      </w:r>
      <w:r>
        <w:t xml:space="preserve"> </w:t>
      </w:r>
      <w:r w:rsidRPr="007E1FBA">
        <w:t>The Competition Act 89/1998: section 2.</w:t>
      </w:r>
    </w:p>
  </w:footnote>
  <w:footnote w:id="119">
    <w:p w:rsidR="005E7922" w:rsidRPr="007E1FBA" w:rsidRDefault="005E7922" w:rsidP="003C75CB">
      <w:pPr>
        <w:pStyle w:val="Funotentext"/>
        <w:spacing w:line="240" w:lineRule="auto"/>
        <w:contextualSpacing/>
      </w:pPr>
      <w:r w:rsidRPr="007E1FBA">
        <w:rPr>
          <w:rStyle w:val="Funotenzeichen"/>
        </w:rPr>
        <w:footnoteRef/>
      </w:r>
      <w:r w:rsidRPr="007E1FBA">
        <w:t xml:space="preserve"> </w:t>
      </w:r>
      <w:r>
        <w:t xml:space="preserve"> </w:t>
      </w:r>
      <w:r w:rsidRPr="007E1FBA">
        <w:t>89/1998.</w:t>
      </w:r>
    </w:p>
  </w:footnote>
  <w:footnote w:id="120">
    <w:p w:rsidR="005E7922" w:rsidRPr="007E1FBA" w:rsidRDefault="005E7922" w:rsidP="003C75CB">
      <w:pPr>
        <w:pStyle w:val="Funotentext"/>
        <w:spacing w:line="240" w:lineRule="auto"/>
        <w:contextualSpacing/>
      </w:pPr>
      <w:r w:rsidRPr="007E1FBA">
        <w:rPr>
          <w:rStyle w:val="Funotenzeichen"/>
        </w:rPr>
        <w:footnoteRef/>
      </w:r>
      <w:r w:rsidRPr="007E1FBA">
        <w:t xml:space="preserve"> </w:t>
      </w:r>
      <w:r>
        <w:t xml:space="preserve"> </w:t>
      </w:r>
      <w:r w:rsidRPr="007E1FBA">
        <w:t xml:space="preserve">Neuhoff </w:t>
      </w:r>
      <w:r w:rsidRPr="007E1FBA">
        <w:rPr>
          <w:i/>
        </w:rPr>
        <w:t>et al</w:t>
      </w:r>
      <w:r w:rsidRPr="007E1FBA">
        <w:t xml:space="preserve"> 2006: 26.</w:t>
      </w:r>
    </w:p>
  </w:footnote>
  <w:footnote w:id="121">
    <w:p w:rsidR="005E7922" w:rsidRPr="007E1FBA" w:rsidRDefault="005E7922" w:rsidP="003C75CB">
      <w:pPr>
        <w:pStyle w:val="Funotentext"/>
        <w:spacing w:line="240" w:lineRule="auto"/>
        <w:contextualSpacing/>
      </w:pPr>
      <w:r w:rsidRPr="007E1FBA">
        <w:rPr>
          <w:rStyle w:val="Funotenzeichen"/>
        </w:rPr>
        <w:footnoteRef/>
      </w:r>
      <w:r w:rsidRPr="007E1FBA">
        <w:t xml:space="preserve"> </w:t>
      </w:r>
      <w:r>
        <w:t xml:space="preserve"> </w:t>
      </w:r>
      <w:r w:rsidRPr="007E1FBA">
        <w:t xml:space="preserve">Land </w:t>
      </w:r>
      <w:r w:rsidRPr="007E1FBA">
        <w:rPr>
          <w:i/>
        </w:rPr>
        <w:t>et al</w:t>
      </w:r>
      <w:r w:rsidRPr="007E1FBA">
        <w:t xml:space="preserve"> 2010: 98.</w:t>
      </w:r>
    </w:p>
  </w:footnote>
  <w:footnote w:id="122">
    <w:p w:rsidR="005E7922" w:rsidRPr="00D80D7F" w:rsidRDefault="005E7922" w:rsidP="003C75CB">
      <w:pPr>
        <w:pStyle w:val="Funotentext"/>
        <w:spacing w:line="240" w:lineRule="auto"/>
        <w:contextualSpacing/>
      </w:pPr>
      <w:r w:rsidRPr="00D80D7F">
        <w:rPr>
          <w:rStyle w:val="Funotenzeichen"/>
        </w:rPr>
        <w:footnoteRef/>
      </w:r>
      <w:r>
        <w:t xml:space="preserve"> </w:t>
      </w:r>
      <w:r w:rsidRPr="00D80D7F">
        <w:t xml:space="preserve"> McNulty 1968: 639-640.</w:t>
      </w:r>
    </w:p>
  </w:footnote>
  <w:footnote w:id="123">
    <w:p w:rsidR="005E7922" w:rsidRPr="006508B4" w:rsidRDefault="005E7922" w:rsidP="00EF568E">
      <w:pPr>
        <w:pStyle w:val="Funotentext"/>
        <w:spacing w:line="240" w:lineRule="auto"/>
        <w:contextualSpacing/>
      </w:pPr>
      <w:r w:rsidRPr="006508B4">
        <w:rPr>
          <w:rStyle w:val="Funotenzeichen"/>
        </w:rPr>
        <w:footnoteRef/>
      </w:r>
      <w:r w:rsidRPr="006508B4">
        <w:t xml:space="preserve">  Neuhoff </w:t>
      </w:r>
      <w:r w:rsidRPr="006508B4">
        <w:rPr>
          <w:i/>
        </w:rPr>
        <w:t>et al</w:t>
      </w:r>
      <w:r w:rsidRPr="006508B4">
        <w:t xml:space="preserve">  2006: 11; Wetzstein 2005: 367; Van Heerden &amp; Neethling 1995: 12-13; Klopper &amp; Van Der Spuy 2002: 67; McConnel &amp; Brue 2008: 33.</w:t>
      </w:r>
    </w:p>
  </w:footnote>
  <w:footnote w:id="124">
    <w:p w:rsidR="005E7922" w:rsidRPr="006508B4" w:rsidRDefault="005E7922" w:rsidP="00EF568E">
      <w:pPr>
        <w:pStyle w:val="Funotentext"/>
        <w:spacing w:line="240" w:lineRule="auto"/>
        <w:contextualSpacing/>
      </w:pPr>
      <w:r w:rsidRPr="006508B4">
        <w:rPr>
          <w:rStyle w:val="Funotenzeichen"/>
        </w:rPr>
        <w:footnoteRef/>
      </w:r>
      <w:r w:rsidRPr="006508B4">
        <w:t xml:space="preserve">  Wetzstein 2005: 367; Neuhoff </w:t>
      </w:r>
      <w:r w:rsidRPr="006508B4">
        <w:rPr>
          <w:i/>
        </w:rPr>
        <w:t>et al</w:t>
      </w:r>
      <w:r w:rsidRPr="006508B4">
        <w:t xml:space="preserve"> 2006: 11. </w:t>
      </w:r>
    </w:p>
  </w:footnote>
  <w:footnote w:id="125">
    <w:p w:rsidR="005E7922" w:rsidRPr="006508B4" w:rsidRDefault="005E7922" w:rsidP="00EF568E">
      <w:pPr>
        <w:pStyle w:val="Funotentext"/>
        <w:spacing w:line="240" w:lineRule="auto"/>
        <w:contextualSpacing/>
      </w:pPr>
      <w:r w:rsidRPr="006508B4">
        <w:rPr>
          <w:rStyle w:val="Funotenzeichen"/>
        </w:rPr>
        <w:footnoteRef/>
      </w:r>
      <w:r w:rsidRPr="006508B4">
        <w:t xml:space="preserve">  United Nations Conference on Trade and Development 2002: 4.</w:t>
      </w:r>
    </w:p>
  </w:footnote>
  <w:footnote w:id="126">
    <w:p w:rsidR="005E7922" w:rsidRPr="006508B4" w:rsidRDefault="005E7922" w:rsidP="00EF568E">
      <w:pPr>
        <w:pStyle w:val="Funotentext"/>
        <w:spacing w:line="240" w:lineRule="auto"/>
        <w:contextualSpacing/>
      </w:pPr>
      <w:r w:rsidRPr="006508B4">
        <w:rPr>
          <w:rStyle w:val="Funotenzeichen"/>
        </w:rPr>
        <w:footnoteRef/>
      </w:r>
      <w:r w:rsidRPr="006508B4">
        <w:t xml:space="preserve">  United Nations Conference on Trade and Development 2002: 4.</w:t>
      </w:r>
    </w:p>
  </w:footnote>
  <w:footnote w:id="127">
    <w:p w:rsidR="005E7922" w:rsidRPr="006508B4" w:rsidRDefault="005E7922" w:rsidP="00EF568E">
      <w:pPr>
        <w:pStyle w:val="Funotentext"/>
        <w:spacing w:line="240" w:lineRule="auto"/>
        <w:contextualSpacing/>
      </w:pPr>
      <w:r w:rsidRPr="006508B4">
        <w:rPr>
          <w:rStyle w:val="Funotenzeichen"/>
        </w:rPr>
        <w:footnoteRef/>
      </w:r>
      <w:r w:rsidRPr="006508B4">
        <w:t xml:space="preserve">  United Nations Conference on Trade and Development 2002: 4.</w:t>
      </w:r>
    </w:p>
  </w:footnote>
  <w:footnote w:id="128">
    <w:p w:rsidR="005E7922" w:rsidRPr="006508B4" w:rsidRDefault="005E7922" w:rsidP="00EF568E">
      <w:pPr>
        <w:pStyle w:val="Funotentext"/>
        <w:spacing w:line="240" w:lineRule="auto"/>
        <w:contextualSpacing/>
      </w:pPr>
      <w:r w:rsidRPr="006508B4">
        <w:rPr>
          <w:rStyle w:val="Funotenzeichen"/>
        </w:rPr>
        <w:footnoteRef/>
      </w:r>
      <w:r w:rsidRPr="006508B4">
        <w:t xml:space="preserve">  Neuhoff </w:t>
      </w:r>
      <w:r w:rsidRPr="006508B4">
        <w:rPr>
          <w:i/>
        </w:rPr>
        <w:t>et al</w:t>
      </w:r>
      <w:r w:rsidRPr="006508B4">
        <w:t xml:space="preserve">  2006: 11; Broder 2005: 28; Cseres 2005: 1 &amp; 17; Wetzstein 2005: 367; Van Heerden &amp; Neethling 1995: 12-13; Klopper &amp; Van Der Spuy 2002: 67; McConnel &amp; Brue 2008: 33.</w:t>
      </w:r>
    </w:p>
  </w:footnote>
  <w:footnote w:id="129">
    <w:p w:rsidR="005E7922" w:rsidRPr="006508B4" w:rsidRDefault="005E7922" w:rsidP="00EF568E">
      <w:pPr>
        <w:pStyle w:val="Funotentext"/>
        <w:spacing w:line="240" w:lineRule="auto"/>
        <w:contextualSpacing/>
      </w:pPr>
      <w:r w:rsidRPr="006508B4">
        <w:rPr>
          <w:rStyle w:val="Funotenzeichen"/>
        </w:rPr>
        <w:footnoteRef/>
      </w:r>
      <w:r w:rsidRPr="006508B4">
        <w:t xml:space="preserve">  Neuhoff </w:t>
      </w:r>
      <w:r w:rsidRPr="006508B4">
        <w:rPr>
          <w:i/>
        </w:rPr>
        <w:t>et al</w:t>
      </w:r>
      <w:r w:rsidRPr="006508B4">
        <w:t xml:space="preserve">  2006: 11; Broder 2005: 28; Cseres 2005: 1 &amp; 17; Wetzstein 2005: 367; Van Heerden &amp; Neethling 1995: 12-13; Klopper &amp; Van Der Spuy 2002: 67; McConnel &amp; Brue 2008: 33.</w:t>
      </w:r>
    </w:p>
  </w:footnote>
  <w:footnote w:id="130">
    <w:p w:rsidR="005E7922" w:rsidRPr="006508B4" w:rsidRDefault="005E7922" w:rsidP="00EF568E">
      <w:pPr>
        <w:pStyle w:val="Funotentext"/>
        <w:spacing w:line="240" w:lineRule="auto"/>
        <w:contextualSpacing/>
      </w:pPr>
      <w:r w:rsidRPr="006508B4">
        <w:rPr>
          <w:rStyle w:val="Funotenzeichen"/>
        </w:rPr>
        <w:footnoteRef/>
      </w:r>
      <w:r w:rsidRPr="006508B4">
        <w:t xml:space="preserve">  McConnel &amp; Brue 2008: 29.</w:t>
      </w:r>
    </w:p>
  </w:footnote>
  <w:footnote w:id="131">
    <w:p w:rsidR="005E7922" w:rsidRPr="00577D90" w:rsidRDefault="005E7922" w:rsidP="00EF568E">
      <w:pPr>
        <w:pStyle w:val="Funotentext"/>
        <w:spacing w:line="240" w:lineRule="auto"/>
        <w:contextualSpacing/>
        <w:rPr>
          <w:lang w:val="af-ZA"/>
        </w:rPr>
      </w:pPr>
      <w:r>
        <w:rPr>
          <w:rStyle w:val="Funotenzeichen"/>
        </w:rPr>
        <w:footnoteRef/>
      </w:r>
      <w:r>
        <w:t xml:space="preserve">  </w:t>
      </w:r>
      <w:r>
        <w:rPr>
          <w:lang w:val="af-ZA"/>
        </w:rPr>
        <w:t>See fn 15.</w:t>
      </w:r>
    </w:p>
  </w:footnote>
  <w:footnote w:id="132">
    <w:p w:rsidR="005E7922" w:rsidRPr="00C8569F" w:rsidRDefault="005E7922" w:rsidP="00B33006">
      <w:pPr>
        <w:pStyle w:val="Funotentext"/>
        <w:spacing w:line="240" w:lineRule="auto"/>
        <w:contextualSpacing/>
      </w:pPr>
      <w:r w:rsidRPr="00C8569F">
        <w:rPr>
          <w:rStyle w:val="Funotenzeichen"/>
        </w:rPr>
        <w:footnoteRef/>
      </w:r>
      <w:r w:rsidRPr="00C8569F">
        <w:t xml:space="preserve"> </w:t>
      </w:r>
      <w:r>
        <w:t xml:space="preserve"> </w:t>
      </w:r>
      <w:r w:rsidRPr="00C8569F">
        <w:t xml:space="preserve">Neuhoff </w:t>
      </w:r>
      <w:r w:rsidRPr="00C8569F">
        <w:rPr>
          <w:i/>
        </w:rPr>
        <w:t>et al</w:t>
      </w:r>
      <w:r w:rsidRPr="00C8569F">
        <w:t xml:space="preserve"> 2006: 11; Broder 2005: 28.</w:t>
      </w:r>
    </w:p>
  </w:footnote>
  <w:footnote w:id="133">
    <w:p w:rsidR="005E7922" w:rsidRPr="00C8569F" w:rsidRDefault="005E7922" w:rsidP="00031E1B">
      <w:pPr>
        <w:pStyle w:val="Funotentext"/>
        <w:spacing w:line="240" w:lineRule="auto"/>
        <w:contextualSpacing/>
      </w:pPr>
      <w:r w:rsidRPr="00C8569F">
        <w:rPr>
          <w:rStyle w:val="Funotenzeichen"/>
        </w:rPr>
        <w:footnoteRef/>
      </w:r>
      <w:r w:rsidRPr="00C8569F">
        <w:t xml:space="preserve"> </w:t>
      </w:r>
      <w:r>
        <w:t xml:space="preserve"> </w:t>
      </w:r>
      <w:r w:rsidRPr="00C8569F">
        <w:t xml:space="preserve">Neuhoff </w:t>
      </w:r>
      <w:r w:rsidRPr="00C8569F">
        <w:rPr>
          <w:i/>
        </w:rPr>
        <w:t>et al</w:t>
      </w:r>
      <w:r w:rsidRPr="00C8569F">
        <w:t xml:space="preserve"> 2006: 11.</w:t>
      </w:r>
    </w:p>
  </w:footnote>
  <w:footnote w:id="134">
    <w:p w:rsidR="005E7922" w:rsidRPr="00C8569F" w:rsidRDefault="005E7922" w:rsidP="00031E1B">
      <w:pPr>
        <w:pStyle w:val="Funotentext"/>
        <w:spacing w:line="240" w:lineRule="auto"/>
        <w:contextualSpacing/>
      </w:pPr>
      <w:r w:rsidRPr="00C8569F">
        <w:rPr>
          <w:rStyle w:val="Funotenzeichen"/>
        </w:rPr>
        <w:footnoteRef/>
      </w:r>
      <w:r w:rsidRPr="00C8569F">
        <w:t xml:space="preserve"> </w:t>
      </w:r>
      <w:r>
        <w:t xml:space="preserve"> </w:t>
      </w:r>
      <w:r w:rsidRPr="00C8569F">
        <w:t xml:space="preserve">Neuhoff </w:t>
      </w:r>
      <w:r w:rsidRPr="00C8569F">
        <w:rPr>
          <w:i/>
        </w:rPr>
        <w:t>et al</w:t>
      </w:r>
      <w:r w:rsidRPr="00C8569F">
        <w:t xml:space="preserve"> 2006: 11.</w:t>
      </w:r>
    </w:p>
  </w:footnote>
  <w:footnote w:id="135">
    <w:p w:rsidR="005E7922" w:rsidRPr="00C8569F" w:rsidRDefault="005E7922" w:rsidP="00031E1B">
      <w:pPr>
        <w:pStyle w:val="Funotentext"/>
        <w:spacing w:line="240" w:lineRule="auto"/>
        <w:contextualSpacing/>
      </w:pPr>
      <w:r w:rsidRPr="00C8569F">
        <w:rPr>
          <w:rStyle w:val="Funotenzeichen"/>
        </w:rPr>
        <w:footnoteRef/>
      </w:r>
      <w:r w:rsidRPr="00C8569F">
        <w:t xml:space="preserve"> </w:t>
      </w:r>
      <w:r>
        <w:t xml:space="preserve"> </w:t>
      </w:r>
      <w:r w:rsidRPr="00C8569F">
        <w:t xml:space="preserve">Trade policies determine how trade between national firms and foreign firms are to be conducted. For more information see Neuhoff </w:t>
      </w:r>
      <w:r w:rsidRPr="00C8569F">
        <w:rPr>
          <w:i/>
        </w:rPr>
        <w:t>et al</w:t>
      </w:r>
      <w:r w:rsidRPr="00C8569F">
        <w:t xml:space="preserve"> 2006: 11.</w:t>
      </w:r>
    </w:p>
  </w:footnote>
  <w:footnote w:id="136">
    <w:p w:rsidR="005E7922" w:rsidRPr="00C8569F" w:rsidRDefault="005E7922" w:rsidP="00031E1B">
      <w:pPr>
        <w:pStyle w:val="Funotentext"/>
        <w:spacing w:line="240" w:lineRule="auto"/>
        <w:contextualSpacing/>
      </w:pPr>
      <w:r w:rsidRPr="00C8569F">
        <w:rPr>
          <w:rStyle w:val="Funotenzeichen"/>
        </w:rPr>
        <w:footnoteRef/>
      </w:r>
      <w:r w:rsidRPr="00C8569F">
        <w:t xml:space="preserve"> </w:t>
      </w:r>
      <w:r>
        <w:t xml:space="preserve"> </w:t>
      </w:r>
      <w:r w:rsidRPr="00C8569F">
        <w:t>Deregulation can be de</w:t>
      </w:r>
      <w:r>
        <w:t>scribed</w:t>
      </w:r>
      <w:r w:rsidRPr="00C8569F">
        <w:t xml:space="preserve"> as the removal of unnecessary restrictions</w:t>
      </w:r>
      <w:r>
        <w:t xml:space="preserve"> on firms. </w:t>
      </w:r>
      <w:r w:rsidRPr="00C8569F">
        <w:t xml:space="preserve">For more information see Neuhoff </w:t>
      </w:r>
      <w:r w:rsidRPr="00C8569F">
        <w:rPr>
          <w:i/>
        </w:rPr>
        <w:t>et al</w:t>
      </w:r>
      <w:r w:rsidRPr="00C8569F">
        <w:t xml:space="preserve"> 2006: 11.</w:t>
      </w:r>
    </w:p>
  </w:footnote>
  <w:footnote w:id="137">
    <w:p w:rsidR="005E7922" w:rsidRPr="00C8569F" w:rsidRDefault="005E7922" w:rsidP="00574AF6">
      <w:pPr>
        <w:pStyle w:val="Funotentext"/>
        <w:spacing w:line="240" w:lineRule="auto"/>
        <w:contextualSpacing/>
      </w:pPr>
      <w:r w:rsidRPr="00C8569F">
        <w:rPr>
          <w:rStyle w:val="Funotenzeichen"/>
        </w:rPr>
        <w:footnoteRef/>
      </w:r>
      <w:r w:rsidRPr="00C8569F">
        <w:t xml:space="preserve"> </w:t>
      </w:r>
      <w:r>
        <w:t xml:space="preserve"> Privatisation can be described as the “transfer in ownership of an asset from the public sector to the private sector.” See </w:t>
      </w:r>
      <w:r w:rsidRPr="00C8569F">
        <w:t xml:space="preserve">Neuhoff </w:t>
      </w:r>
      <w:r w:rsidRPr="00C8569F">
        <w:rPr>
          <w:i/>
        </w:rPr>
        <w:t>et al</w:t>
      </w:r>
      <w:r w:rsidRPr="00C8569F">
        <w:t xml:space="preserve"> 2006: 11.</w:t>
      </w:r>
    </w:p>
  </w:footnote>
  <w:footnote w:id="138">
    <w:p w:rsidR="005E7922" w:rsidRPr="001158F2" w:rsidRDefault="005E7922" w:rsidP="00574AF6">
      <w:pPr>
        <w:pStyle w:val="Funotentext"/>
        <w:spacing w:line="240" w:lineRule="auto"/>
        <w:contextualSpacing/>
        <w:rPr>
          <w:lang w:val="af-ZA"/>
        </w:rPr>
      </w:pPr>
      <w:r>
        <w:rPr>
          <w:rStyle w:val="Funotenzeichen"/>
        </w:rPr>
        <w:footnoteRef/>
      </w:r>
      <w:r>
        <w:t xml:space="preserve">  </w:t>
      </w:r>
      <w:r w:rsidRPr="00C8569F">
        <w:t xml:space="preserve">Neuhoff </w:t>
      </w:r>
      <w:r w:rsidRPr="00C8569F">
        <w:rPr>
          <w:i/>
        </w:rPr>
        <w:t>et al</w:t>
      </w:r>
      <w:r w:rsidRPr="00C8569F">
        <w:t xml:space="preserve"> 2006: 1</w:t>
      </w:r>
      <w:r>
        <w:t>2</w:t>
      </w:r>
      <w:r w:rsidRPr="00C8569F">
        <w:t>.</w:t>
      </w:r>
      <w:r>
        <w:t xml:space="preserve"> The difference between the “maintaining and promoting of competition” and “unlawful competition” will be discussed in section 2.6.</w:t>
      </w:r>
    </w:p>
  </w:footnote>
  <w:footnote w:id="139">
    <w:p w:rsidR="005E7922" w:rsidRPr="00E361CA" w:rsidRDefault="005E7922" w:rsidP="00574AF6">
      <w:pPr>
        <w:pStyle w:val="Funotentext"/>
        <w:spacing w:line="240" w:lineRule="auto"/>
        <w:contextualSpacing/>
        <w:rPr>
          <w:lang w:val="af-ZA"/>
        </w:rPr>
      </w:pPr>
      <w:r>
        <w:rPr>
          <w:rStyle w:val="Funotenzeichen"/>
        </w:rPr>
        <w:footnoteRef/>
      </w:r>
      <w:r>
        <w:t xml:space="preserve">  </w:t>
      </w:r>
      <w:r>
        <w:rPr>
          <w:lang w:val="af-ZA"/>
        </w:rPr>
        <w:t xml:space="preserve">Land </w:t>
      </w:r>
      <w:r w:rsidRPr="00F82C42">
        <w:rPr>
          <w:i/>
          <w:lang w:val="af-ZA"/>
        </w:rPr>
        <w:t>et al</w:t>
      </w:r>
      <w:r w:rsidRPr="00F82C42">
        <w:rPr>
          <w:lang w:val="af-ZA"/>
        </w:rPr>
        <w:t xml:space="preserve"> </w:t>
      </w:r>
      <w:r>
        <w:rPr>
          <w:lang w:val="af-ZA"/>
        </w:rPr>
        <w:t xml:space="preserve"> 2010: 98.</w:t>
      </w:r>
    </w:p>
  </w:footnote>
  <w:footnote w:id="140">
    <w:p w:rsidR="005E7922" w:rsidRPr="00F82C42" w:rsidRDefault="005E7922" w:rsidP="00574AF6">
      <w:pPr>
        <w:pStyle w:val="Funotentext"/>
        <w:spacing w:line="240" w:lineRule="auto"/>
        <w:contextualSpacing/>
        <w:rPr>
          <w:lang w:val="af-ZA"/>
        </w:rPr>
      </w:pPr>
      <w:r>
        <w:rPr>
          <w:rStyle w:val="Funotenzeichen"/>
        </w:rPr>
        <w:footnoteRef/>
      </w:r>
      <w:r>
        <w:t xml:space="preserve">  McNulty 1968: 639-640.</w:t>
      </w:r>
    </w:p>
  </w:footnote>
  <w:footnote w:id="141">
    <w:p w:rsidR="005E7922" w:rsidRPr="009331C7" w:rsidRDefault="005E7922" w:rsidP="00574AF6">
      <w:pPr>
        <w:pStyle w:val="Funotentext"/>
        <w:spacing w:line="240" w:lineRule="auto"/>
        <w:contextualSpacing/>
        <w:rPr>
          <w:lang w:val="af-ZA"/>
        </w:rPr>
      </w:pPr>
      <w:r>
        <w:rPr>
          <w:rStyle w:val="Funotenzeichen"/>
        </w:rPr>
        <w:footnoteRef/>
      </w:r>
      <w:r>
        <w:t xml:space="preserve">  </w:t>
      </w:r>
      <w:r w:rsidRPr="00C8569F">
        <w:t xml:space="preserve">Neuhoff </w:t>
      </w:r>
      <w:r w:rsidRPr="00C8569F">
        <w:rPr>
          <w:i/>
        </w:rPr>
        <w:t>et al</w:t>
      </w:r>
      <w:r w:rsidRPr="00C8569F">
        <w:t xml:space="preserve"> 2006</w:t>
      </w:r>
      <w:r>
        <w:t>: 27; Roberts 2004: 1-17.</w:t>
      </w:r>
    </w:p>
  </w:footnote>
  <w:footnote w:id="142">
    <w:p w:rsidR="005E7922" w:rsidRPr="00E040D3" w:rsidRDefault="005E7922" w:rsidP="00574AF6">
      <w:pPr>
        <w:pStyle w:val="Funotentext"/>
        <w:spacing w:line="240" w:lineRule="auto"/>
        <w:contextualSpacing/>
      </w:pPr>
      <w:r w:rsidRPr="00E040D3">
        <w:rPr>
          <w:rStyle w:val="Funotenzeichen"/>
        </w:rPr>
        <w:footnoteRef/>
      </w:r>
      <w:r w:rsidRPr="00E040D3">
        <w:t xml:space="preserve"> </w:t>
      </w:r>
      <w:r>
        <w:t xml:space="preserve"> </w:t>
      </w:r>
      <w:r w:rsidRPr="00E040D3">
        <w:t>McConnell &amp; Brue 2008: 31.</w:t>
      </w:r>
    </w:p>
  </w:footnote>
  <w:footnote w:id="143">
    <w:p w:rsidR="005E7922" w:rsidRPr="00DD1E8B" w:rsidRDefault="005E7922" w:rsidP="00DD1E8B">
      <w:pPr>
        <w:pStyle w:val="Funotentext"/>
        <w:spacing w:line="240" w:lineRule="auto"/>
        <w:contextualSpacing/>
      </w:pPr>
      <w:r w:rsidRPr="00DD1E8B">
        <w:rPr>
          <w:rStyle w:val="Funotenzeichen"/>
        </w:rPr>
        <w:footnoteRef/>
      </w:r>
      <w:r w:rsidRPr="00DD1E8B">
        <w:t xml:space="preserve">  McConnell &amp; Brue 2008: 31.</w:t>
      </w:r>
    </w:p>
  </w:footnote>
  <w:footnote w:id="144">
    <w:p w:rsidR="005E7922" w:rsidRPr="00DD1E8B" w:rsidRDefault="005E7922" w:rsidP="00DD1E8B">
      <w:pPr>
        <w:pStyle w:val="Funotentext"/>
        <w:spacing w:line="240" w:lineRule="auto"/>
        <w:contextualSpacing/>
      </w:pPr>
      <w:r w:rsidRPr="00DD1E8B">
        <w:rPr>
          <w:rStyle w:val="Funotenzeichen"/>
        </w:rPr>
        <w:footnoteRef/>
      </w:r>
      <w:r w:rsidRPr="00DD1E8B">
        <w:t xml:space="preserve">  Truu 1996: 2.</w:t>
      </w:r>
    </w:p>
  </w:footnote>
  <w:footnote w:id="145">
    <w:p w:rsidR="005E7922" w:rsidRPr="00DD1E8B" w:rsidRDefault="005E7922" w:rsidP="00DD1E8B">
      <w:pPr>
        <w:pStyle w:val="Funotentext"/>
        <w:spacing w:line="240" w:lineRule="auto"/>
        <w:contextualSpacing/>
      </w:pPr>
      <w:r w:rsidRPr="00DD1E8B">
        <w:rPr>
          <w:rStyle w:val="Funotenzeichen"/>
        </w:rPr>
        <w:footnoteRef/>
      </w:r>
      <w:r w:rsidRPr="00DD1E8B">
        <w:t xml:space="preserve">  Truu 1996: 2.</w:t>
      </w:r>
    </w:p>
  </w:footnote>
  <w:footnote w:id="146">
    <w:p w:rsidR="005E7922" w:rsidRPr="00DD1E8B" w:rsidRDefault="005E7922" w:rsidP="00DD1E8B">
      <w:pPr>
        <w:pStyle w:val="Funotentext"/>
        <w:spacing w:line="240" w:lineRule="auto"/>
        <w:contextualSpacing/>
      </w:pPr>
      <w:r w:rsidRPr="00DD1E8B">
        <w:rPr>
          <w:rStyle w:val="Funotenzeichen"/>
        </w:rPr>
        <w:footnoteRef/>
      </w:r>
      <w:r w:rsidRPr="00DD1E8B">
        <w:t xml:space="preserve">  Truu 1996: 2.</w:t>
      </w:r>
    </w:p>
  </w:footnote>
  <w:footnote w:id="147">
    <w:p w:rsidR="005E7922" w:rsidRPr="00DD1E8B" w:rsidRDefault="005E7922" w:rsidP="00DD1E8B">
      <w:pPr>
        <w:pStyle w:val="Funotentext"/>
        <w:spacing w:line="240" w:lineRule="auto"/>
        <w:contextualSpacing/>
      </w:pPr>
      <w:r w:rsidRPr="00DD1E8B">
        <w:rPr>
          <w:rStyle w:val="Funotenzeichen"/>
        </w:rPr>
        <w:footnoteRef/>
      </w:r>
      <w:r w:rsidRPr="00DD1E8B">
        <w:t xml:space="preserve">  Truu 1996: 2.</w:t>
      </w:r>
    </w:p>
  </w:footnote>
  <w:footnote w:id="148">
    <w:p w:rsidR="005E7922" w:rsidRPr="00DD1E8B" w:rsidRDefault="005E7922" w:rsidP="00DD1E8B">
      <w:pPr>
        <w:pStyle w:val="Funotentext"/>
        <w:spacing w:line="240" w:lineRule="auto"/>
        <w:contextualSpacing/>
      </w:pPr>
      <w:r w:rsidRPr="00DD1E8B">
        <w:rPr>
          <w:rStyle w:val="Funotenzeichen"/>
        </w:rPr>
        <w:footnoteRef/>
      </w:r>
      <w:r w:rsidRPr="00DD1E8B">
        <w:t xml:space="preserve">  Truu 1996: 2.</w:t>
      </w:r>
    </w:p>
  </w:footnote>
  <w:footnote w:id="149">
    <w:p w:rsidR="005E7922" w:rsidRPr="00DD1E8B" w:rsidRDefault="005E7922" w:rsidP="00DD1E8B">
      <w:pPr>
        <w:pStyle w:val="Funotentext"/>
        <w:spacing w:line="240" w:lineRule="auto"/>
        <w:contextualSpacing/>
      </w:pPr>
      <w:r w:rsidRPr="00DD1E8B">
        <w:rPr>
          <w:rStyle w:val="Funotenzeichen"/>
        </w:rPr>
        <w:footnoteRef/>
      </w:r>
      <w:r w:rsidRPr="00DD1E8B">
        <w:t xml:space="preserve">  Klopper &amp; Van Der Spuy 2002: 65; Van Heerden &amp; Neethling 1995: 1; Truu 1996: 2; Neuhoff et al 2006: 11; Chabane </w:t>
      </w:r>
      <w:r w:rsidRPr="00DD1E8B">
        <w:rPr>
          <w:i/>
        </w:rPr>
        <w:t>et al</w:t>
      </w:r>
      <w:r w:rsidRPr="00DD1E8B">
        <w:t xml:space="preserve">  2003: 6.</w:t>
      </w:r>
    </w:p>
  </w:footnote>
  <w:footnote w:id="150">
    <w:p w:rsidR="005E7922" w:rsidRPr="00DD1E8B" w:rsidRDefault="005E7922" w:rsidP="00DD1E8B">
      <w:pPr>
        <w:pStyle w:val="Funotentext"/>
        <w:spacing w:line="240" w:lineRule="auto"/>
        <w:contextualSpacing/>
      </w:pPr>
      <w:r w:rsidRPr="00DD1E8B">
        <w:rPr>
          <w:rStyle w:val="Funotenzeichen"/>
        </w:rPr>
        <w:footnoteRef/>
      </w:r>
      <w:r w:rsidRPr="00DD1E8B">
        <w:t xml:space="preserve">  Competition Act 89/1998: section 2.</w:t>
      </w:r>
    </w:p>
  </w:footnote>
  <w:footnote w:id="151">
    <w:p w:rsidR="005E7922" w:rsidRPr="00DD1E8B" w:rsidRDefault="005E7922" w:rsidP="00DD1E8B">
      <w:pPr>
        <w:pStyle w:val="Funotentext"/>
        <w:spacing w:line="240" w:lineRule="auto"/>
        <w:contextualSpacing/>
      </w:pPr>
      <w:r w:rsidRPr="00DD1E8B">
        <w:rPr>
          <w:rStyle w:val="Funotenzeichen"/>
        </w:rPr>
        <w:footnoteRef/>
      </w:r>
      <w:r w:rsidRPr="00DD1E8B">
        <w:t xml:space="preserve">  89/1998.</w:t>
      </w:r>
    </w:p>
  </w:footnote>
  <w:footnote w:id="152">
    <w:p w:rsidR="005E7922" w:rsidRPr="00DD1E8B" w:rsidRDefault="005E7922" w:rsidP="00DD1E8B">
      <w:pPr>
        <w:pStyle w:val="Funotentext"/>
        <w:spacing w:line="240" w:lineRule="auto"/>
        <w:contextualSpacing/>
      </w:pPr>
      <w:r w:rsidRPr="00DD1E8B">
        <w:rPr>
          <w:rStyle w:val="Funotenzeichen"/>
        </w:rPr>
        <w:footnoteRef/>
      </w:r>
      <w:r w:rsidRPr="00DD1E8B">
        <w:t xml:space="preserve">  Neuhoff </w:t>
      </w:r>
      <w:r w:rsidRPr="00DD1E8B">
        <w:rPr>
          <w:i/>
        </w:rPr>
        <w:t>et al</w:t>
      </w:r>
      <w:r w:rsidRPr="00DD1E8B">
        <w:t xml:space="preserve"> 2006: 27.</w:t>
      </w:r>
    </w:p>
  </w:footnote>
  <w:footnote w:id="153">
    <w:p w:rsidR="005E7922" w:rsidRPr="00DD1E8B" w:rsidRDefault="005E7922" w:rsidP="00DD1E8B">
      <w:pPr>
        <w:pStyle w:val="Funotentext"/>
        <w:spacing w:line="240" w:lineRule="auto"/>
        <w:contextualSpacing/>
      </w:pPr>
      <w:r w:rsidRPr="00DD1E8B">
        <w:rPr>
          <w:rStyle w:val="Funotenzeichen"/>
        </w:rPr>
        <w:footnoteRef/>
      </w:r>
      <w:r w:rsidRPr="00DD1E8B">
        <w:t xml:space="preserve">  Neuhoff </w:t>
      </w:r>
      <w:r w:rsidRPr="00DD1E8B">
        <w:rPr>
          <w:i/>
        </w:rPr>
        <w:t>et al</w:t>
      </w:r>
      <w:r w:rsidRPr="00DD1E8B">
        <w:t xml:space="preserve"> 2006: 27.</w:t>
      </w:r>
    </w:p>
  </w:footnote>
  <w:footnote w:id="154">
    <w:p w:rsidR="005E7922" w:rsidRPr="00E040D3" w:rsidRDefault="005E7922" w:rsidP="00422A07">
      <w:pPr>
        <w:pStyle w:val="Funotentext"/>
        <w:spacing w:line="240" w:lineRule="auto"/>
        <w:contextualSpacing/>
      </w:pPr>
      <w:r w:rsidRPr="00E040D3">
        <w:rPr>
          <w:rStyle w:val="Funotenzeichen"/>
        </w:rPr>
        <w:footnoteRef/>
      </w:r>
      <w:r w:rsidRPr="00E040D3">
        <w:t xml:space="preserve">  89/1998.</w:t>
      </w:r>
    </w:p>
  </w:footnote>
  <w:footnote w:id="155">
    <w:p w:rsidR="005E7922" w:rsidRPr="00E040D3" w:rsidRDefault="005E7922" w:rsidP="00422A07">
      <w:pPr>
        <w:pStyle w:val="Funotentext"/>
        <w:spacing w:line="240" w:lineRule="auto"/>
        <w:contextualSpacing/>
      </w:pPr>
      <w:r w:rsidRPr="00E040D3">
        <w:rPr>
          <w:rStyle w:val="Funotenzeichen"/>
        </w:rPr>
        <w:footnoteRef/>
      </w:r>
      <w:r>
        <w:t xml:space="preserve"> </w:t>
      </w:r>
      <w:r w:rsidRPr="00E040D3">
        <w:t xml:space="preserve"> Cowen 1950: 124-125.</w:t>
      </w:r>
    </w:p>
  </w:footnote>
  <w:footnote w:id="156">
    <w:p w:rsidR="005E7922" w:rsidRPr="00E040D3" w:rsidRDefault="005E7922" w:rsidP="00422A07">
      <w:pPr>
        <w:pStyle w:val="Funotentext"/>
        <w:spacing w:line="240" w:lineRule="auto"/>
        <w:contextualSpacing/>
      </w:pPr>
      <w:r w:rsidRPr="00E040D3">
        <w:rPr>
          <w:rStyle w:val="Funotenzeichen"/>
        </w:rPr>
        <w:footnoteRef/>
      </w:r>
      <w:r w:rsidRPr="00E040D3">
        <w:t xml:space="preserve"> </w:t>
      </w:r>
      <w:r>
        <w:t xml:space="preserve"> </w:t>
      </w:r>
      <w:r w:rsidRPr="00E040D3">
        <w:t>Cowen 1950: 125-126.</w:t>
      </w:r>
    </w:p>
  </w:footnote>
  <w:footnote w:id="157">
    <w:p w:rsidR="005E7922" w:rsidRPr="00E040D3" w:rsidRDefault="005E7922" w:rsidP="00422A07">
      <w:pPr>
        <w:pStyle w:val="Funotentext"/>
        <w:spacing w:line="240" w:lineRule="auto"/>
        <w:contextualSpacing/>
      </w:pPr>
      <w:r w:rsidRPr="00E040D3">
        <w:rPr>
          <w:rStyle w:val="Funotenzeichen"/>
        </w:rPr>
        <w:footnoteRef/>
      </w:r>
      <w:r w:rsidRPr="00E040D3">
        <w:t xml:space="preserve"> </w:t>
      </w:r>
      <w:r>
        <w:t xml:space="preserve"> </w:t>
      </w:r>
      <w:r w:rsidRPr="00E040D3">
        <w:t>Cowen 1950: 126.</w:t>
      </w:r>
    </w:p>
  </w:footnote>
  <w:footnote w:id="158">
    <w:p w:rsidR="005E7922" w:rsidRPr="00E040D3" w:rsidRDefault="005E7922" w:rsidP="00422A07">
      <w:pPr>
        <w:pStyle w:val="Funotentext"/>
        <w:spacing w:line="240" w:lineRule="auto"/>
        <w:contextualSpacing/>
      </w:pPr>
      <w:r w:rsidRPr="00E040D3">
        <w:rPr>
          <w:rStyle w:val="Funotenzeichen"/>
        </w:rPr>
        <w:footnoteRef/>
      </w:r>
      <w:r w:rsidRPr="00E040D3">
        <w:t xml:space="preserve"> </w:t>
      </w:r>
      <w:r>
        <w:t xml:space="preserve"> </w:t>
      </w:r>
      <w:r w:rsidRPr="00E040D3">
        <w:t>Cowen 1950: 126.</w:t>
      </w:r>
    </w:p>
  </w:footnote>
  <w:footnote w:id="159">
    <w:p w:rsidR="005E7922" w:rsidRPr="00E040D3" w:rsidRDefault="005E7922" w:rsidP="00E0793F">
      <w:pPr>
        <w:pStyle w:val="Funotentext"/>
        <w:spacing w:line="240" w:lineRule="auto"/>
        <w:contextualSpacing/>
      </w:pPr>
      <w:r w:rsidRPr="00E040D3">
        <w:rPr>
          <w:rStyle w:val="Funotenzeichen"/>
        </w:rPr>
        <w:footnoteRef/>
      </w:r>
      <w:r w:rsidRPr="00E040D3">
        <w:t xml:space="preserve"> </w:t>
      </w:r>
      <w:r>
        <w:t xml:space="preserve"> </w:t>
      </w:r>
      <w:r w:rsidRPr="00E040D3">
        <w:t>Cowen 1950: 126.</w:t>
      </w:r>
    </w:p>
  </w:footnote>
  <w:footnote w:id="160">
    <w:p w:rsidR="005E7922" w:rsidRPr="00E040D3" w:rsidRDefault="005E7922" w:rsidP="00E0793F">
      <w:pPr>
        <w:pStyle w:val="Funotentext"/>
        <w:spacing w:line="240" w:lineRule="auto"/>
        <w:contextualSpacing/>
      </w:pPr>
      <w:r w:rsidRPr="00E040D3">
        <w:rPr>
          <w:rStyle w:val="Funotenzeichen"/>
        </w:rPr>
        <w:footnoteRef/>
      </w:r>
      <w:r w:rsidRPr="00E040D3">
        <w:t xml:space="preserve"> </w:t>
      </w:r>
      <w:r>
        <w:t xml:space="preserve"> </w:t>
      </w:r>
      <w:r w:rsidRPr="00E040D3">
        <w:t>Cowen 1950: 126.</w:t>
      </w:r>
    </w:p>
  </w:footnote>
  <w:footnote w:id="161">
    <w:p w:rsidR="005E7922" w:rsidRPr="00E040D3" w:rsidRDefault="005E7922" w:rsidP="00E0793F">
      <w:pPr>
        <w:pStyle w:val="Funotentext"/>
        <w:spacing w:line="240" w:lineRule="auto"/>
        <w:contextualSpacing/>
      </w:pPr>
      <w:r w:rsidRPr="00E040D3">
        <w:rPr>
          <w:rStyle w:val="Funotenzeichen"/>
        </w:rPr>
        <w:footnoteRef/>
      </w:r>
      <w:r w:rsidRPr="00E040D3">
        <w:t xml:space="preserve"> </w:t>
      </w:r>
      <w:r>
        <w:t xml:space="preserve"> </w:t>
      </w:r>
      <w:r w:rsidRPr="00E040D3">
        <w:t>Cowen 1950: 126.</w:t>
      </w:r>
    </w:p>
  </w:footnote>
  <w:footnote w:id="162">
    <w:p w:rsidR="005E7922" w:rsidRPr="00E040D3" w:rsidRDefault="005E7922" w:rsidP="00E0793F">
      <w:pPr>
        <w:pStyle w:val="Funotentext"/>
        <w:spacing w:line="240" w:lineRule="auto"/>
        <w:contextualSpacing/>
      </w:pPr>
      <w:r w:rsidRPr="00E040D3">
        <w:rPr>
          <w:rStyle w:val="Funotenzeichen"/>
        </w:rPr>
        <w:footnoteRef/>
      </w:r>
      <w:r w:rsidRPr="00E040D3">
        <w:t xml:space="preserve"> </w:t>
      </w:r>
      <w:r>
        <w:t xml:space="preserve"> </w:t>
      </w:r>
      <w:r w:rsidRPr="00E040D3">
        <w:t>Cowen 1950: 126.</w:t>
      </w:r>
    </w:p>
  </w:footnote>
  <w:footnote w:id="163">
    <w:p w:rsidR="005E7922" w:rsidRPr="00E040D3" w:rsidRDefault="005E7922" w:rsidP="00E0793F">
      <w:pPr>
        <w:pStyle w:val="Funotentext"/>
        <w:spacing w:line="240" w:lineRule="auto"/>
        <w:contextualSpacing/>
      </w:pPr>
      <w:r w:rsidRPr="00E040D3">
        <w:rPr>
          <w:rStyle w:val="Funotenzeichen"/>
        </w:rPr>
        <w:footnoteRef/>
      </w:r>
      <w:r w:rsidRPr="00E040D3">
        <w:t xml:space="preserve"> </w:t>
      </w:r>
      <w:r>
        <w:t xml:space="preserve"> </w:t>
      </w:r>
      <w:r w:rsidRPr="00E040D3">
        <w:t>Cowen 1950: 126.</w:t>
      </w:r>
    </w:p>
  </w:footnote>
  <w:footnote w:id="164">
    <w:p w:rsidR="005E7922" w:rsidRPr="00E040D3" w:rsidRDefault="005E7922" w:rsidP="00E0793F">
      <w:pPr>
        <w:pStyle w:val="Funotentext"/>
        <w:spacing w:line="240" w:lineRule="auto"/>
        <w:contextualSpacing/>
      </w:pPr>
      <w:r w:rsidRPr="00E040D3">
        <w:rPr>
          <w:rStyle w:val="Funotenzeichen"/>
        </w:rPr>
        <w:footnoteRef/>
      </w:r>
      <w:r w:rsidRPr="00E040D3">
        <w:t xml:space="preserve"> </w:t>
      </w:r>
      <w:r>
        <w:t xml:space="preserve"> </w:t>
      </w:r>
      <w:r w:rsidRPr="00E040D3">
        <w:t>Cowen 1950: 127.</w:t>
      </w:r>
    </w:p>
  </w:footnote>
  <w:footnote w:id="165">
    <w:p w:rsidR="005E7922" w:rsidRPr="00E040D3" w:rsidRDefault="005E7922" w:rsidP="00780E16">
      <w:pPr>
        <w:pStyle w:val="Funotentext"/>
        <w:spacing w:line="240" w:lineRule="auto"/>
        <w:contextualSpacing/>
      </w:pPr>
      <w:r w:rsidRPr="00E040D3">
        <w:rPr>
          <w:rStyle w:val="Funotenzeichen"/>
        </w:rPr>
        <w:footnoteRef/>
      </w:r>
      <w:r w:rsidRPr="00E040D3">
        <w:t xml:space="preserve"> </w:t>
      </w:r>
      <w:r>
        <w:t xml:space="preserve"> </w:t>
      </w:r>
      <w:r w:rsidRPr="00E040D3">
        <w:t>Cowen 1950: 127; See also Van Heerden &amp; Neethling 1995: 6 which mentions the existence of state monopolies.</w:t>
      </w:r>
    </w:p>
  </w:footnote>
  <w:footnote w:id="166">
    <w:p w:rsidR="005E7922" w:rsidRPr="00E040D3" w:rsidRDefault="005E7922" w:rsidP="00780E16">
      <w:pPr>
        <w:pStyle w:val="Funotentext"/>
        <w:spacing w:line="240" w:lineRule="auto"/>
        <w:contextualSpacing/>
      </w:pPr>
      <w:r w:rsidRPr="00E040D3">
        <w:rPr>
          <w:rStyle w:val="Funotenzeichen"/>
        </w:rPr>
        <w:footnoteRef/>
      </w:r>
      <w:r w:rsidRPr="00E040D3">
        <w:t xml:space="preserve"> </w:t>
      </w:r>
      <w:r>
        <w:t xml:space="preserve"> </w:t>
      </w:r>
      <w:r w:rsidRPr="00E040D3">
        <w:t>Cowen 1950: 127.</w:t>
      </w:r>
    </w:p>
  </w:footnote>
  <w:footnote w:id="167">
    <w:p w:rsidR="005E7922" w:rsidRPr="00E040D3" w:rsidRDefault="005E7922" w:rsidP="00780E16">
      <w:pPr>
        <w:pStyle w:val="Funotentext"/>
        <w:spacing w:line="240" w:lineRule="auto"/>
        <w:contextualSpacing/>
      </w:pPr>
      <w:r w:rsidRPr="00E040D3">
        <w:rPr>
          <w:rStyle w:val="Funotenzeichen"/>
        </w:rPr>
        <w:footnoteRef/>
      </w:r>
      <w:r w:rsidRPr="00E040D3">
        <w:t xml:space="preserve"> </w:t>
      </w:r>
      <w:r>
        <w:t xml:space="preserve"> </w:t>
      </w:r>
      <w:r w:rsidRPr="00E040D3">
        <w:t>Cowen 1950: 127.</w:t>
      </w:r>
    </w:p>
  </w:footnote>
  <w:footnote w:id="168">
    <w:p w:rsidR="005E7922" w:rsidRPr="00E040D3" w:rsidRDefault="005E7922" w:rsidP="00780E16">
      <w:pPr>
        <w:pStyle w:val="Funotentext"/>
        <w:spacing w:line="240" w:lineRule="auto"/>
        <w:contextualSpacing/>
      </w:pPr>
      <w:r w:rsidRPr="00E040D3">
        <w:rPr>
          <w:rStyle w:val="Funotenzeichen"/>
        </w:rPr>
        <w:footnoteRef/>
      </w:r>
      <w:r w:rsidRPr="00E040D3">
        <w:t xml:space="preserve"> </w:t>
      </w:r>
      <w:r>
        <w:t xml:space="preserve"> </w:t>
      </w:r>
      <w:r w:rsidRPr="00E040D3">
        <w:t>De Roover 1951: 493; Cowen 1950: 127.</w:t>
      </w:r>
    </w:p>
  </w:footnote>
  <w:footnote w:id="169">
    <w:p w:rsidR="005E7922" w:rsidRPr="00E040D3" w:rsidRDefault="005E7922" w:rsidP="00780E16">
      <w:pPr>
        <w:pStyle w:val="Funotentext"/>
        <w:spacing w:line="240" w:lineRule="auto"/>
        <w:contextualSpacing/>
      </w:pPr>
      <w:r w:rsidRPr="00E040D3">
        <w:rPr>
          <w:rStyle w:val="Funotenzeichen"/>
        </w:rPr>
        <w:footnoteRef/>
      </w:r>
      <w:r w:rsidRPr="00E040D3">
        <w:t xml:space="preserve"> </w:t>
      </w:r>
      <w:r>
        <w:t xml:space="preserve"> </w:t>
      </w:r>
      <w:r w:rsidRPr="00E040D3">
        <w:t>De Roover 1951: 493; Cowen 1950: 127.</w:t>
      </w:r>
    </w:p>
  </w:footnote>
  <w:footnote w:id="170">
    <w:p w:rsidR="005E7922" w:rsidRPr="00966DD5" w:rsidRDefault="005E7922" w:rsidP="00780E16">
      <w:pPr>
        <w:pStyle w:val="Funotentext"/>
        <w:spacing w:line="240" w:lineRule="auto"/>
        <w:contextualSpacing/>
        <w:rPr>
          <w:lang w:val="af-ZA"/>
        </w:rPr>
      </w:pPr>
      <w:r>
        <w:rPr>
          <w:rStyle w:val="Funotenzeichen"/>
        </w:rPr>
        <w:footnoteRef/>
      </w:r>
      <w:r>
        <w:t xml:space="preserve"> </w:t>
      </w:r>
      <w:r>
        <w:rPr>
          <w:lang w:val="af-ZA"/>
        </w:rPr>
        <w:t xml:space="preserve"> </w:t>
      </w:r>
      <w:r w:rsidRPr="00E040D3">
        <w:t>Cowen 1950: 127.</w:t>
      </w:r>
    </w:p>
  </w:footnote>
  <w:footnote w:id="171">
    <w:p w:rsidR="005E7922" w:rsidRPr="00E040D3" w:rsidRDefault="005E7922" w:rsidP="00780E16">
      <w:pPr>
        <w:pStyle w:val="Funotentext"/>
        <w:spacing w:line="240" w:lineRule="auto"/>
        <w:contextualSpacing/>
      </w:pPr>
      <w:r w:rsidRPr="00E040D3">
        <w:rPr>
          <w:rStyle w:val="Funotenzeichen"/>
        </w:rPr>
        <w:footnoteRef/>
      </w:r>
      <w:r w:rsidRPr="00E040D3">
        <w:t xml:space="preserve"> </w:t>
      </w:r>
      <w:r>
        <w:t xml:space="preserve"> </w:t>
      </w:r>
      <w:r w:rsidRPr="00E040D3">
        <w:t>Van Heerden &amp; Neethling 1995: 6; Cowen 1950: 127.</w:t>
      </w:r>
    </w:p>
  </w:footnote>
  <w:footnote w:id="172">
    <w:p w:rsidR="005E7922" w:rsidRPr="00780E16" w:rsidRDefault="005E7922" w:rsidP="00780E16">
      <w:pPr>
        <w:pStyle w:val="Funotentext"/>
        <w:spacing w:line="240" w:lineRule="auto"/>
        <w:contextualSpacing/>
        <w:rPr>
          <w:lang w:val="af-ZA"/>
        </w:rPr>
      </w:pPr>
      <w:r>
        <w:rPr>
          <w:rStyle w:val="Funotenzeichen"/>
        </w:rPr>
        <w:footnoteRef/>
      </w:r>
      <w:r>
        <w:t xml:space="preserve"> </w:t>
      </w:r>
      <w:r>
        <w:rPr>
          <w:lang w:val="af-ZA"/>
        </w:rPr>
        <w:t xml:space="preserve"> </w:t>
      </w:r>
      <w:r w:rsidRPr="00E040D3">
        <w:t>Cowen 1950: 127.</w:t>
      </w:r>
    </w:p>
  </w:footnote>
  <w:footnote w:id="173">
    <w:p w:rsidR="005E7922" w:rsidRPr="00E040D3" w:rsidRDefault="005E7922" w:rsidP="00780E16">
      <w:pPr>
        <w:pStyle w:val="Funotentext"/>
        <w:spacing w:line="240" w:lineRule="auto"/>
        <w:contextualSpacing/>
      </w:pPr>
      <w:r w:rsidRPr="00E040D3">
        <w:rPr>
          <w:rStyle w:val="Funotenzeichen"/>
        </w:rPr>
        <w:footnoteRef/>
      </w:r>
      <w:r w:rsidRPr="00E040D3">
        <w:t xml:space="preserve"> </w:t>
      </w:r>
      <w:r>
        <w:t xml:space="preserve"> </w:t>
      </w:r>
      <w:r w:rsidRPr="00E040D3">
        <w:t>Cowen 1950: 126.</w:t>
      </w:r>
    </w:p>
  </w:footnote>
  <w:footnote w:id="174">
    <w:p w:rsidR="005E7922" w:rsidRPr="00E040D3" w:rsidRDefault="005E7922" w:rsidP="00780E16">
      <w:pPr>
        <w:pStyle w:val="Funotentext"/>
        <w:spacing w:line="240" w:lineRule="auto"/>
        <w:contextualSpacing/>
      </w:pPr>
      <w:r w:rsidRPr="00E040D3">
        <w:rPr>
          <w:rStyle w:val="Funotenzeichen"/>
        </w:rPr>
        <w:footnoteRef/>
      </w:r>
      <w:r w:rsidRPr="00E040D3">
        <w:t xml:space="preserve"> </w:t>
      </w:r>
      <w:r>
        <w:t xml:space="preserve"> </w:t>
      </w:r>
      <w:r w:rsidRPr="00E040D3">
        <w:t>Cowen 1950: 127-128. Minimum resale price maintenance will be discussed in chapter 3.</w:t>
      </w:r>
    </w:p>
  </w:footnote>
  <w:footnote w:id="175">
    <w:p w:rsidR="005E7922" w:rsidRPr="00E040D3" w:rsidRDefault="005E7922" w:rsidP="00780E16">
      <w:pPr>
        <w:pStyle w:val="Funotentext"/>
        <w:spacing w:line="240" w:lineRule="auto"/>
        <w:contextualSpacing/>
      </w:pPr>
      <w:r w:rsidRPr="00E040D3">
        <w:rPr>
          <w:rStyle w:val="Funotenzeichen"/>
        </w:rPr>
        <w:footnoteRef/>
      </w:r>
      <w:r w:rsidRPr="00E040D3">
        <w:t xml:space="preserve"> </w:t>
      </w:r>
      <w:r>
        <w:t xml:space="preserve"> </w:t>
      </w:r>
      <w:r w:rsidRPr="00E040D3">
        <w:t>Cowen 1950: 128.</w:t>
      </w:r>
    </w:p>
  </w:footnote>
  <w:footnote w:id="176">
    <w:p w:rsidR="005E7922" w:rsidRPr="00E040D3" w:rsidRDefault="005E7922" w:rsidP="00780E16">
      <w:pPr>
        <w:pStyle w:val="Funotentext"/>
        <w:spacing w:line="240" w:lineRule="auto"/>
        <w:contextualSpacing/>
      </w:pPr>
      <w:r w:rsidRPr="00E040D3">
        <w:rPr>
          <w:rStyle w:val="Funotenzeichen"/>
        </w:rPr>
        <w:footnoteRef/>
      </w:r>
      <w:r w:rsidRPr="00E040D3">
        <w:t xml:space="preserve"> </w:t>
      </w:r>
      <w:r>
        <w:t xml:space="preserve"> </w:t>
      </w:r>
      <w:r w:rsidRPr="00E040D3">
        <w:t>Van Heerden &amp; Neethling 1995: 6; Cowen 1950: 128.</w:t>
      </w:r>
    </w:p>
  </w:footnote>
  <w:footnote w:id="177">
    <w:p w:rsidR="005E7922" w:rsidRPr="00E040D3" w:rsidRDefault="005E7922" w:rsidP="006005EF">
      <w:pPr>
        <w:pStyle w:val="Funotentext"/>
        <w:spacing w:line="240" w:lineRule="auto"/>
        <w:contextualSpacing/>
      </w:pPr>
      <w:r w:rsidRPr="00E040D3">
        <w:rPr>
          <w:rStyle w:val="Funotenzeichen"/>
        </w:rPr>
        <w:footnoteRef/>
      </w:r>
      <w:r w:rsidRPr="00E040D3">
        <w:t xml:space="preserve"> </w:t>
      </w:r>
      <w:r>
        <w:t xml:space="preserve"> </w:t>
      </w:r>
      <w:r w:rsidRPr="00E040D3">
        <w:t>Van Heerden &amp; Neethling 1995: 5-6; Klopper &amp; Van Der Spuy 2002: 66; Cowen 1950: 128.</w:t>
      </w:r>
    </w:p>
  </w:footnote>
  <w:footnote w:id="178">
    <w:p w:rsidR="005E7922" w:rsidRPr="00E040D3" w:rsidRDefault="005E7922" w:rsidP="006005EF">
      <w:pPr>
        <w:pStyle w:val="Funotentext"/>
        <w:spacing w:line="240" w:lineRule="auto"/>
        <w:contextualSpacing/>
      </w:pPr>
      <w:r w:rsidRPr="00E040D3">
        <w:rPr>
          <w:rStyle w:val="Funotenzeichen"/>
        </w:rPr>
        <w:footnoteRef/>
      </w:r>
      <w:r w:rsidRPr="00E040D3">
        <w:t xml:space="preserve"> </w:t>
      </w:r>
      <w:r>
        <w:t xml:space="preserve"> </w:t>
      </w:r>
      <w:r w:rsidRPr="00E040D3">
        <w:t>Cowen 1950: 128.</w:t>
      </w:r>
    </w:p>
  </w:footnote>
  <w:footnote w:id="179">
    <w:p w:rsidR="005E7922" w:rsidRPr="00E040D3" w:rsidRDefault="005E7922" w:rsidP="006005EF">
      <w:pPr>
        <w:pStyle w:val="Funotentext"/>
        <w:spacing w:line="240" w:lineRule="auto"/>
        <w:contextualSpacing/>
      </w:pPr>
      <w:r w:rsidRPr="00E040D3">
        <w:rPr>
          <w:rStyle w:val="Funotenzeichen"/>
        </w:rPr>
        <w:footnoteRef/>
      </w:r>
      <w:r w:rsidRPr="00E040D3">
        <w:t xml:space="preserve"> </w:t>
      </w:r>
      <w:r>
        <w:t xml:space="preserve"> </w:t>
      </w:r>
      <w:r w:rsidRPr="00E040D3">
        <w:t>Also called Roman-Dutch Law.</w:t>
      </w:r>
    </w:p>
  </w:footnote>
  <w:footnote w:id="180">
    <w:p w:rsidR="005E7922" w:rsidRPr="00E040D3" w:rsidRDefault="005E7922" w:rsidP="006005EF">
      <w:pPr>
        <w:pStyle w:val="Funotentext"/>
        <w:spacing w:line="240" w:lineRule="auto"/>
        <w:contextualSpacing/>
      </w:pPr>
      <w:r w:rsidRPr="00E040D3">
        <w:rPr>
          <w:rStyle w:val="Funotenzeichen"/>
        </w:rPr>
        <w:footnoteRef/>
      </w:r>
      <w:r w:rsidRPr="00E040D3">
        <w:t xml:space="preserve"> </w:t>
      </w:r>
      <w:r>
        <w:t xml:space="preserve"> </w:t>
      </w:r>
      <w:r w:rsidRPr="00E040D3">
        <w:t>Kleyn &amp; Viljoen 2002: 35; Cowen 1950: 128.</w:t>
      </w:r>
    </w:p>
  </w:footnote>
  <w:footnote w:id="181">
    <w:p w:rsidR="005E7922" w:rsidRPr="00E040D3" w:rsidRDefault="005E7922" w:rsidP="009E2F94">
      <w:pPr>
        <w:pStyle w:val="Funotentext"/>
        <w:spacing w:line="240" w:lineRule="auto"/>
        <w:contextualSpacing/>
      </w:pPr>
      <w:r w:rsidRPr="00E040D3">
        <w:rPr>
          <w:rStyle w:val="Funotenzeichen"/>
        </w:rPr>
        <w:footnoteRef/>
      </w:r>
      <w:r w:rsidRPr="00E040D3">
        <w:t xml:space="preserve"> </w:t>
      </w:r>
      <w:r>
        <w:t xml:space="preserve"> </w:t>
      </w:r>
      <w:r w:rsidRPr="00E040D3">
        <w:t>Cowen 1950: 128-129; Van Heerden &amp; Neethling 1995: 22-23; Klopper &amp; Van Der Spuy 2002: 70.</w:t>
      </w:r>
    </w:p>
  </w:footnote>
  <w:footnote w:id="182">
    <w:p w:rsidR="005E7922" w:rsidRPr="00E040D3" w:rsidRDefault="005E7922" w:rsidP="009E2F94">
      <w:pPr>
        <w:pStyle w:val="Funotentext"/>
        <w:spacing w:line="240" w:lineRule="auto"/>
        <w:contextualSpacing/>
      </w:pPr>
      <w:r w:rsidRPr="00E040D3">
        <w:rPr>
          <w:rStyle w:val="Funotenzeichen"/>
        </w:rPr>
        <w:footnoteRef/>
      </w:r>
      <w:r w:rsidRPr="00E040D3">
        <w:t xml:space="preserve"> </w:t>
      </w:r>
      <w:r>
        <w:t xml:space="preserve"> </w:t>
      </w:r>
      <w:r w:rsidRPr="00E040D3">
        <w:t>Van Heerden &amp; Neethling 1995: 22-23; Klopper &amp; Van Der Spuy 2002: 70.</w:t>
      </w:r>
    </w:p>
  </w:footnote>
  <w:footnote w:id="183">
    <w:p w:rsidR="005E7922" w:rsidRPr="00E040D3" w:rsidRDefault="005E7922" w:rsidP="009E2F94">
      <w:pPr>
        <w:pStyle w:val="Funotentext"/>
        <w:spacing w:line="240" w:lineRule="auto"/>
        <w:contextualSpacing/>
      </w:pPr>
      <w:r w:rsidRPr="00E040D3">
        <w:rPr>
          <w:rStyle w:val="Funotenzeichen"/>
        </w:rPr>
        <w:footnoteRef/>
      </w:r>
      <w:r w:rsidRPr="00E040D3">
        <w:t xml:space="preserve"> </w:t>
      </w:r>
      <w:r>
        <w:t xml:space="preserve"> </w:t>
      </w:r>
      <w:r w:rsidRPr="00E040D3">
        <w:t>Cowen 1950: 129; Van Heerden &amp; Neethling 1995: 22-23; Klopper &amp; Van Der Spuy 2002: 70.</w:t>
      </w:r>
    </w:p>
  </w:footnote>
  <w:footnote w:id="184">
    <w:p w:rsidR="005E7922" w:rsidRPr="00E040D3" w:rsidRDefault="005E7922" w:rsidP="009E2F94">
      <w:pPr>
        <w:pStyle w:val="Funotentext"/>
        <w:spacing w:line="240" w:lineRule="auto"/>
        <w:contextualSpacing/>
      </w:pPr>
      <w:r w:rsidRPr="00E040D3">
        <w:rPr>
          <w:rStyle w:val="Funotenzeichen"/>
        </w:rPr>
        <w:footnoteRef/>
      </w:r>
      <w:r w:rsidRPr="00E040D3">
        <w:t xml:space="preserve"> </w:t>
      </w:r>
      <w:r>
        <w:t xml:space="preserve"> </w:t>
      </w:r>
      <w:r w:rsidRPr="00E040D3">
        <w:t>This paragraph was taken as is from Cowen 1950: 129. The original text can be found on page 315 of Volume 1 of the Groot Placaat Boek.</w:t>
      </w:r>
    </w:p>
  </w:footnote>
  <w:footnote w:id="185">
    <w:p w:rsidR="005E7922" w:rsidRPr="00E040D3" w:rsidRDefault="005E7922" w:rsidP="009E2F94">
      <w:pPr>
        <w:pStyle w:val="Funotentext"/>
        <w:spacing w:line="240" w:lineRule="auto"/>
        <w:contextualSpacing/>
      </w:pPr>
      <w:r w:rsidRPr="00E040D3">
        <w:rPr>
          <w:rStyle w:val="Funotenzeichen"/>
        </w:rPr>
        <w:footnoteRef/>
      </w:r>
      <w:r w:rsidRPr="00E040D3">
        <w:t xml:space="preserve"> </w:t>
      </w:r>
      <w:r>
        <w:t xml:space="preserve"> </w:t>
      </w:r>
      <w:r w:rsidRPr="00E040D3">
        <w:t>Cowen 1950: 131; Van Heerden &amp; Neethling 1995: 23.</w:t>
      </w:r>
    </w:p>
  </w:footnote>
  <w:footnote w:id="186">
    <w:p w:rsidR="005E7922" w:rsidRPr="00E040D3" w:rsidRDefault="005E7922" w:rsidP="009E2F94">
      <w:pPr>
        <w:pStyle w:val="Funotentext"/>
        <w:spacing w:line="240" w:lineRule="auto"/>
        <w:contextualSpacing/>
      </w:pPr>
      <w:r w:rsidRPr="00E040D3">
        <w:rPr>
          <w:rStyle w:val="Funotenzeichen"/>
        </w:rPr>
        <w:footnoteRef/>
      </w:r>
      <w:r w:rsidRPr="00E040D3">
        <w:t xml:space="preserve"> </w:t>
      </w:r>
      <w:r>
        <w:t xml:space="preserve"> </w:t>
      </w:r>
      <w:r w:rsidRPr="00E040D3">
        <w:t>Cowen 1950: 131; Van Heerden &amp; Neethling 1995: 23.</w:t>
      </w:r>
    </w:p>
  </w:footnote>
  <w:footnote w:id="187">
    <w:p w:rsidR="005E7922" w:rsidRPr="00E040D3" w:rsidRDefault="005E7922" w:rsidP="009E2F94">
      <w:pPr>
        <w:pStyle w:val="Funotentext"/>
        <w:spacing w:line="240" w:lineRule="auto"/>
        <w:contextualSpacing/>
      </w:pPr>
      <w:r w:rsidRPr="00E040D3">
        <w:rPr>
          <w:rStyle w:val="Funotenzeichen"/>
        </w:rPr>
        <w:footnoteRef/>
      </w:r>
      <w:r w:rsidRPr="00E040D3">
        <w:t xml:space="preserve"> </w:t>
      </w:r>
      <w:r>
        <w:t xml:space="preserve"> </w:t>
      </w:r>
      <w:r w:rsidRPr="00E040D3">
        <w:t>Cowen 1950: 131; Van Heerden &amp; Neethling 1995: 23.</w:t>
      </w:r>
    </w:p>
  </w:footnote>
  <w:footnote w:id="188">
    <w:p w:rsidR="005E7922" w:rsidRPr="00E040D3" w:rsidRDefault="005E7922" w:rsidP="009E2F94">
      <w:pPr>
        <w:pStyle w:val="Funotentext"/>
        <w:spacing w:line="240" w:lineRule="auto"/>
        <w:contextualSpacing/>
      </w:pPr>
      <w:r w:rsidRPr="00E040D3">
        <w:rPr>
          <w:rStyle w:val="Funotenzeichen"/>
        </w:rPr>
        <w:footnoteRef/>
      </w:r>
      <w:r w:rsidRPr="00E040D3">
        <w:t xml:space="preserve"> </w:t>
      </w:r>
      <w:r>
        <w:t xml:space="preserve"> </w:t>
      </w:r>
      <w:r w:rsidRPr="00E040D3">
        <w:t>Cowen 1950: 132; Van Heerden &amp; Neethling 1995: 23; Klopper &amp; Van Der Spuy 2002: 70.</w:t>
      </w:r>
    </w:p>
  </w:footnote>
  <w:footnote w:id="189">
    <w:p w:rsidR="005E7922" w:rsidRPr="00E040D3" w:rsidRDefault="005E7922" w:rsidP="00813FAB">
      <w:pPr>
        <w:pStyle w:val="Funotentext"/>
        <w:spacing w:line="240" w:lineRule="auto"/>
        <w:contextualSpacing/>
      </w:pPr>
      <w:r w:rsidRPr="00E040D3">
        <w:rPr>
          <w:rStyle w:val="Funotenzeichen"/>
        </w:rPr>
        <w:footnoteRef/>
      </w:r>
      <w:r w:rsidRPr="00E040D3">
        <w:t xml:space="preserve"> </w:t>
      </w:r>
      <w:r>
        <w:t xml:space="preserve"> </w:t>
      </w:r>
      <w:r w:rsidRPr="00E040D3">
        <w:t>Cowen 1950: 132; Van Heerden &amp; Neethling 1995: 23; Klopper &amp; Van Der Spuy 2002: 70.</w:t>
      </w:r>
    </w:p>
  </w:footnote>
  <w:footnote w:id="190">
    <w:p w:rsidR="005E7922" w:rsidRPr="00E040D3" w:rsidRDefault="005E7922" w:rsidP="00813FAB">
      <w:pPr>
        <w:pStyle w:val="Funotentext"/>
        <w:spacing w:line="240" w:lineRule="auto"/>
        <w:contextualSpacing/>
      </w:pPr>
      <w:r w:rsidRPr="00E040D3">
        <w:rPr>
          <w:rStyle w:val="Funotenzeichen"/>
        </w:rPr>
        <w:footnoteRef/>
      </w:r>
      <w:r w:rsidRPr="00E040D3">
        <w:t xml:space="preserve"> </w:t>
      </w:r>
      <w:r>
        <w:t xml:space="preserve"> </w:t>
      </w:r>
      <w:r w:rsidRPr="00E040D3">
        <w:t>Cowen 1950: 132; Van Heerden &amp; Neethling 1995: 23; Klopper &amp; Van Der Spuy 2002: 70.</w:t>
      </w:r>
    </w:p>
  </w:footnote>
  <w:footnote w:id="191">
    <w:p w:rsidR="005E7922" w:rsidRPr="00E040D3" w:rsidRDefault="005E7922" w:rsidP="00813FAB">
      <w:pPr>
        <w:pStyle w:val="Funotentext"/>
        <w:spacing w:line="240" w:lineRule="auto"/>
        <w:contextualSpacing/>
      </w:pPr>
      <w:r w:rsidRPr="00E040D3">
        <w:rPr>
          <w:rStyle w:val="Funotenzeichen"/>
        </w:rPr>
        <w:footnoteRef/>
      </w:r>
      <w:r w:rsidRPr="00E040D3">
        <w:t xml:space="preserve"> </w:t>
      </w:r>
      <w:r>
        <w:t xml:space="preserve"> </w:t>
      </w:r>
      <w:r w:rsidRPr="00E040D3">
        <w:t>Cowen 1950: 132.</w:t>
      </w:r>
    </w:p>
  </w:footnote>
  <w:footnote w:id="192">
    <w:p w:rsidR="005E7922" w:rsidRPr="00E040D3" w:rsidRDefault="005E7922" w:rsidP="00813FAB">
      <w:pPr>
        <w:pStyle w:val="Funotentext"/>
        <w:spacing w:line="240" w:lineRule="auto"/>
        <w:contextualSpacing/>
      </w:pPr>
      <w:r w:rsidRPr="00E040D3">
        <w:rPr>
          <w:rStyle w:val="Funotenzeichen"/>
        </w:rPr>
        <w:footnoteRef/>
      </w:r>
      <w:r w:rsidRPr="00E040D3">
        <w:t xml:space="preserve"> </w:t>
      </w:r>
      <w:r>
        <w:t xml:space="preserve"> </w:t>
      </w:r>
      <w:r w:rsidRPr="00E040D3">
        <w:t xml:space="preserve">For the purposes of this paper the term “agreement” is synonymous with the term “contract.” </w:t>
      </w:r>
    </w:p>
  </w:footnote>
  <w:footnote w:id="193">
    <w:p w:rsidR="005E7922" w:rsidRPr="00E040D3" w:rsidRDefault="005E7922" w:rsidP="00813FAB">
      <w:pPr>
        <w:pStyle w:val="Funotentext"/>
        <w:spacing w:line="240" w:lineRule="auto"/>
        <w:contextualSpacing/>
      </w:pPr>
      <w:r w:rsidRPr="00E040D3">
        <w:rPr>
          <w:rStyle w:val="Funotenzeichen"/>
        </w:rPr>
        <w:footnoteRef/>
      </w:r>
      <w:r w:rsidRPr="00E040D3">
        <w:t xml:space="preserve"> </w:t>
      </w:r>
      <w:r>
        <w:t xml:space="preserve"> </w:t>
      </w:r>
      <w:r w:rsidRPr="00E040D3">
        <w:t>Cowen 1950: 132.</w:t>
      </w:r>
    </w:p>
  </w:footnote>
  <w:footnote w:id="194">
    <w:p w:rsidR="005E7922" w:rsidRPr="00E040D3" w:rsidRDefault="005E7922" w:rsidP="00813FAB">
      <w:pPr>
        <w:pStyle w:val="Funotentext"/>
        <w:spacing w:line="240" w:lineRule="auto"/>
        <w:contextualSpacing/>
      </w:pPr>
      <w:r w:rsidRPr="00E040D3">
        <w:rPr>
          <w:rStyle w:val="Funotenzeichen"/>
        </w:rPr>
        <w:footnoteRef/>
      </w:r>
      <w:r w:rsidRPr="00E040D3">
        <w:t xml:space="preserve"> </w:t>
      </w:r>
      <w:r>
        <w:t xml:space="preserve"> </w:t>
      </w:r>
      <w:r w:rsidRPr="00E040D3">
        <w:t>Cowen 1950: 132</w:t>
      </w:r>
      <w:r>
        <w:t>.</w:t>
      </w:r>
    </w:p>
  </w:footnote>
  <w:footnote w:id="195">
    <w:p w:rsidR="005E7922" w:rsidRPr="00E040D3" w:rsidRDefault="005E7922" w:rsidP="00813FAB">
      <w:pPr>
        <w:pStyle w:val="Funotentext"/>
        <w:spacing w:line="240" w:lineRule="auto"/>
        <w:contextualSpacing/>
      </w:pPr>
      <w:r w:rsidRPr="00E040D3">
        <w:rPr>
          <w:rStyle w:val="Funotenzeichen"/>
        </w:rPr>
        <w:footnoteRef/>
      </w:r>
      <w:r w:rsidRPr="00E040D3">
        <w:t xml:space="preserve"> </w:t>
      </w:r>
      <w:r>
        <w:t xml:space="preserve"> </w:t>
      </w:r>
      <w:r w:rsidRPr="00E040D3">
        <w:t>Cowen 1950: 132-133.</w:t>
      </w:r>
    </w:p>
  </w:footnote>
  <w:footnote w:id="196">
    <w:p w:rsidR="005E7922" w:rsidRPr="00E040D3" w:rsidRDefault="005E7922" w:rsidP="00813FAB">
      <w:pPr>
        <w:pStyle w:val="Funotentext"/>
        <w:spacing w:line="240" w:lineRule="auto"/>
        <w:contextualSpacing/>
      </w:pPr>
      <w:r w:rsidRPr="00E040D3">
        <w:rPr>
          <w:rStyle w:val="Funotenzeichen"/>
        </w:rPr>
        <w:footnoteRef/>
      </w:r>
      <w:r w:rsidRPr="00E040D3">
        <w:t xml:space="preserve"> </w:t>
      </w:r>
      <w:r>
        <w:t xml:space="preserve"> </w:t>
      </w:r>
      <w:r w:rsidRPr="00E040D3">
        <w:t xml:space="preserve">Neuhoff </w:t>
      </w:r>
      <w:r w:rsidRPr="00E040D3">
        <w:rPr>
          <w:i/>
        </w:rPr>
        <w:t>et al</w:t>
      </w:r>
      <w:r w:rsidRPr="00E040D3">
        <w:t xml:space="preserve"> 2006: 88; Cowen 1950: 132.</w:t>
      </w:r>
    </w:p>
  </w:footnote>
  <w:footnote w:id="197">
    <w:p w:rsidR="005E7922" w:rsidRPr="00E040D3" w:rsidRDefault="005E7922" w:rsidP="00813FAB">
      <w:pPr>
        <w:pStyle w:val="Funotentext"/>
        <w:spacing w:line="240" w:lineRule="auto"/>
        <w:contextualSpacing/>
      </w:pPr>
      <w:r w:rsidRPr="00E040D3">
        <w:rPr>
          <w:rStyle w:val="Funotenzeichen"/>
        </w:rPr>
        <w:footnoteRef/>
      </w:r>
      <w:r w:rsidRPr="00E040D3">
        <w:t xml:space="preserve"> </w:t>
      </w:r>
      <w:r>
        <w:t xml:space="preserve"> </w:t>
      </w:r>
      <w:r w:rsidRPr="00E040D3">
        <w:t>Cowen 1950: 133.</w:t>
      </w:r>
    </w:p>
  </w:footnote>
  <w:footnote w:id="198">
    <w:p w:rsidR="005E7922" w:rsidRPr="00E040D3" w:rsidRDefault="005E7922" w:rsidP="00813FAB">
      <w:pPr>
        <w:pStyle w:val="Funotentext"/>
        <w:spacing w:line="240" w:lineRule="auto"/>
        <w:contextualSpacing/>
      </w:pPr>
      <w:r w:rsidRPr="00E040D3">
        <w:rPr>
          <w:rStyle w:val="Funotenzeichen"/>
        </w:rPr>
        <w:footnoteRef/>
      </w:r>
      <w:r w:rsidRPr="00E040D3">
        <w:t xml:space="preserve"> </w:t>
      </w:r>
      <w:r>
        <w:t xml:space="preserve"> </w:t>
      </w:r>
      <w:r w:rsidRPr="00E040D3">
        <w:t>Cowen 1950: 135.</w:t>
      </w:r>
    </w:p>
  </w:footnote>
  <w:footnote w:id="199">
    <w:p w:rsidR="005E7922" w:rsidRPr="00E040D3" w:rsidRDefault="005E7922" w:rsidP="00031E1B">
      <w:pPr>
        <w:pStyle w:val="Funotentext"/>
        <w:spacing w:line="240" w:lineRule="auto"/>
        <w:contextualSpacing/>
      </w:pPr>
      <w:r w:rsidRPr="00E040D3">
        <w:rPr>
          <w:rStyle w:val="Funotenzeichen"/>
        </w:rPr>
        <w:footnoteRef/>
      </w:r>
      <w:r>
        <w:t xml:space="preserve"> </w:t>
      </w:r>
      <w:r w:rsidRPr="00E040D3">
        <w:t xml:space="preserve"> Cowen 1950: 135.</w:t>
      </w:r>
    </w:p>
  </w:footnote>
  <w:footnote w:id="200">
    <w:p w:rsidR="005E7922" w:rsidRPr="00E040D3" w:rsidRDefault="005E7922" w:rsidP="00031E1B">
      <w:pPr>
        <w:pStyle w:val="Funotentext"/>
        <w:spacing w:line="240" w:lineRule="auto"/>
        <w:contextualSpacing/>
      </w:pPr>
      <w:r w:rsidRPr="00E040D3">
        <w:rPr>
          <w:rStyle w:val="Funotenzeichen"/>
        </w:rPr>
        <w:footnoteRef/>
      </w:r>
      <w:r w:rsidRPr="00E040D3">
        <w:t xml:space="preserve"> </w:t>
      </w:r>
      <w:r>
        <w:t xml:space="preserve"> </w:t>
      </w:r>
      <w:r w:rsidRPr="00E040D3">
        <w:t>Cowen 1950: 135.</w:t>
      </w:r>
    </w:p>
  </w:footnote>
  <w:footnote w:id="201">
    <w:p w:rsidR="005E7922" w:rsidRPr="00E040D3" w:rsidRDefault="005E7922" w:rsidP="00031E1B">
      <w:pPr>
        <w:pStyle w:val="Funotentext"/>
        <w:spacing w:line="240" w:lineRule="auto"/>
        <w:contextualSpacing/>
      </w:pPr>
      <w:r w:rsidRPr="00E040D3">
        <w:rPr>
          <w:rStyle w:val="Funotenzeichen"/>
        </w:rPr>
        <w:footnoteRef/>
      </w:r>
      <w:r w:rsidRPr="00E040D3">
        <w:t xml:space="preserve"> </w:t>
      </w:r>
      <w:r>
        <w:t xml:space="preserve"> </w:t>
      </w:r>
      <w:r w:rsidRPr="00E040D3">
        <w:t>Cowen 1950: 135.</w:t>
      </w:r>
    </w:p>
  </w:footnote>
  <w:footnote w:id="202">
    <w:p w:rsidR="005E7922" w:rsidRPr="00E040D3" w:rsidRDefault="005E7922" w:rsidP="00031E1B">
      <w:pPr>
        <w:pStyle w:val="Funotentext"/>
        <w:spacing w:line="240" w:lineRule="auto"/>
        <w:contextualSpacing/>
      </w:pPr>
      <w:r w:rsidRPr="00E040D3">
        <w:rPr>
          <w:rStyle w:val="Funotenzeichen"/>
        </w:rPr>
        <w:footnoteRef/>
      </w:r>
      <w:r w:rsidRPr="00E040D3">
        <w:t xml:space="preserve"> </w:t>
      </w:r>
      <w:r>
        <w:t xml:space="preserve"> </w:t>
      </w:r>
      <w:r w:rsidRPr="00E040D3">
        <w:t>Cowen 1950: 135.</w:t>
      </w:r>
    </w:p>
  </w:footnote>
  <w:footnote w:id="203">
    <w:p w:rsidR="005E7922" w:rsidRPr="00E040D3" w:rsidRDefault="005E7922" w:rsidP="00031E1B">
      <w:pPr>
        <w:pStyle w:val="Funotentext"/>
        <w:spacing w:line="240" w:lineRule="auto"/>
        <w:contextualSpacing/>
      </w:pPr>
      <w:r w:rsidRPr="00E040D3">
        <w:rPr>
          <w:rStyle w:val="Funotenzeichen"/>
        </w:rPr>
        <w:footnoteRef/>
      </w:r>
      <w:r w:rsidRPr="00E040D3">
        <w:t xml:space="preserve"> </w:t>
      </w:r>
      <w:r>
        <w:t xml:space="preserve"> </w:t>
      </w:r>
      <w:r w:rsidRPr="00E040D3">
        <w:t>Cowen 1950: 135.</w:t>
      </w:r>
    </w:p>
  </w:footnote>
  <w:footnote w:id="204">
    <w:p w:rsidR="005E7922" w:rsidRPr="00E040D3" w:rsidRDefault="005E7922" w:rsidP="00031E1B">
      <w:pPr>
        <w:pStyle w:val="Funotentext"/>
        <w:spacing w:line="240" w:lineRule="auto"/>
        <w:contextualSpacing/>
      </w:pPr>
      <w:r w:rsidRPr="00E040D3">
        <w:rPr>
          <w:rStyle w:val="Funotenzeichen"/>
        </w:rPr>
        <w:footnoteRef/>
      </w:r>
      <w:r w:rsidRPr="00E040D3">
        <w:t xml:space="preserve"> </w:t>
      </w:r>
      <w:r>
        <w:t xml:space="preserve"> </w:t>
      </w:r>
      <w:r w:rsidRPr="00E040D3">
        <w:t>Cowen 1950: 136.</w:t>
      </w:r>
    </w:p>
  </w:footnote>
  <w:footnote w:id="205">
    <w:p w:rsidR="005E7922" w:rsidRPr="00E040D3" w:rsidRDefault="005E7922" w:rsidP="00031E1B">
      <w:pPr>
        <w:pStyle w:val="Funotentext"/>
        <w:spacing w:line="240" w:lineRule="auto"/>
        <w:contextualSpacing/>
      </w:pPr>
      <w:r w:rsidRPr="00E040D3">
        <w:rPr>
          <w:rStyle w:val="Funotenzeichen"/>
        </w:rPr>
        <w:footnoteRef/>
      </w:r>
      <w:r w:rsidRPr="00E040D3">
        <w:t xml:space="preserve"> </w:t>
      </w:r>
      <w:r>
        <w:t xml:space="preserve"> </w:t>
      </w:r>
      <w:r w:rsidRPr="00E040D3">
        <w:t>Cowen 1950: 136.</w:t>
      </w:r>
    </w:p>
  </w:footnote>
  <w:footnote w:id="206">
    <w:p w:rsidR="005E7922" w:rsidRPr="00E040D3" w:rsidRDefault="005E7922" w:rsidP="00031E1B">
      <w:pPr>
        <w:pStyle w:val="Funotentext"/>
        <w:spacing w:line="240" w:lineRule="auto"/>
        <w:contextualSpacing/>
      </w:pPr>
      <w:r w:rsidRPr="00E040D3">
        <w:rPr>
          <w:rStyle w:val="Funotenzeichen"/>
        </w:rPr>
        <w:footnoteRef/>
      </w:r>
      <w:r w:rsidRPr="00E040D3">
        <w:t xml:space="preserve"> </w:t>
      </w:r>
      <w:r>
        <w:t xml:space="preserve"> </w:t>
      </w:r>
      <w:r w:rsidRPr="00E040D3">
        <w:t>Cowen 1950: 137.</w:t>
      </w:r>
    </w:p>
  </w:footnote>
  <w:footnote w:id="207">
    <w:p w:rsidR="005E7922" w:rsidRPr="00E040D3" w:rsidRDefault="005E7922" w:rsidP="00031E1B">
      <w:pPr>
        <w:pStyle w:val="Funotentext"/>
        <w:spacing w:line="240" w:lineRule="auto"/>
        <w:contextualSpacing/>
      </w:pPr>
      <w:r w:rsidRPr="00E040D3">
        <w:rPr>
          <w:rStyle w:val="Funotenzeichen"/>
        </w:rPr>
        <w:footnoteRef/>
      </w:r>
      <w:r w:rsidRPr="00E040D3">
        <w:t xml:space="preserve"> </w:t>
      </w:r>
      <w:r>
        <w:t xml:space="preserve"> </w:t>
      </w:r>
      <w:r w:rsidRPr="00E040D3">
        <w:t>Cowen 1950: 136.</w:t>
      </w:r>
    </w:p>
  </w:footnote>
  <w:footnote w:id="208">
    <w:p w:rsidR="005E7922" w:rsidRPr="00E040D3" w:rsidRDefault="005E7922" w:rsidP="00031E1B">
      <w:pPr>
        <w:pStyle w:val="Funotentext"/>
        <w:spacing w:line="240" w:lineRule="auto"/>
        <w:contextualSpacing/>
      </w:pPr>
      <w:r w:rsidRPr="00E040D3">
        <w:rPr>
          <w:rStyle w:val="Funotenzeichen"/>
        </w:rPr>
        <w:footnoteRef/>
      </w:r>
      <w:r w:rsidRPr="00E040D3">
        <w:t xml:space="preserve"> </w:t>
      </w:r>
      <w:r>
        <w:t xml:space="preserve"> </w:t>
      </w:r>
      <w:r w:rsidRPr="00E040D3">
        <w:t>1930 WLD 99 112.</w:t>
      </w:r>
    </w:p>
  </w:footnote>
  <w:footnote w:id="209">
    <w:p w:rsidR="005E7922" w:rsidRPr="00E040D3" w:rsidRDefault="005E7922" w:rsidP="00762195">
      <w:pPr>
        <w:pStyle w:val="Funotentext"/>
        <w:spacing w:line="240" w:lineRule="auto"/>
        <w:contextualSpacing/>
      </w:pPr>
      <w:r w:rsidRPr="00E040D3">
        <w:rPr>
          <w:rStyle w:val="Funotenzeichen"/>
        </w:rPr>
        <w:footnoteRef/>
      </w:r>
      <w:r w:rsidRPr="00E040D3">
        <w:t xml:space="preserve"> </w:t>
      </w:r>
      <w:r>
        <w:t xml:space="preserve"> </w:t>
      </w:r>
      <w:r w:rsidRPr="00E040D3">
        <w:t>Van Heerden &amp; Neethling 1995: 23; Cowen 1950: 142.</w:t>
      </w:r>
    </w:p>
  </w:footnote>
  <w:footnote w:id="210">
    <w:p w:rsidR="005E7922" w:rsidRPr="00E040D3" w:rsidRDefault="005E7922" w:rsidP="00762195">
      <w:pPr>
        <w:pStyle w:val="Funotentext"/>
        <w:spacing w:line="240" w:lineRule="auto"/>
        <w:contextualSpacing/>
      </w:pPr>
      <w:r w:rsidRPr="00E040D3">
        <w:rPr>
          <w:rStyle w:val="Funotenzeichen"/>
        </w:rPr>
        <w:footnoteRef/>
      </w:r>
      <w:r w:rsidRPr="00E040D3">
        <w:t xml:space="preserve"> </w:t>
      </w:r>
      <w:r>
        <w:t xml:space="preserve"> </w:t>
      </w:r>
      <w:r w:rsidRPr="00E040D3">
        <w:t>Van Heerden &amp; Neethling 1995: 23; Cowen 1950: 142.</w:t>
      </w:r>
    </w:p>
  </w:footnote>
  <w:footnote w:id="211">
    <w:p w:rsidR="005E7922" w:rsidRPr="00E040D3" w:rsidRDefault="005E7922" w:rsidP="00762195">
      <w:pPr>
        <w:pStyle w:val="Funotentext"/>
        <w:spacing w:line="240" w:lineRule="auto"/>
        <w:contextualSpacing/>
      </w:pPr>
      <w:r w:rsidRPr="00E040D3">
        <w:rPr>
          <w:rStyle w:val="Funotenzeichen"/>
        </w:rPr>
        <w:footnoteRef/>
      </w:r>
      <w:r w:rsidRPr="00E040D3">
        <w:t xml:space="preserve"> </w:t>
      </w:r>
      <w:r>
        <w:t xml:space="preserve"> </w:t>
      </w:r>
      <w:r w:rsidRPr="00E040D3">
        <w:t>Cowen 1950: 132; Organisation for Economic Co-</w:t>
      </w:r>
      <w:r>
        <w:t>o</w:t>
      </w:r>
      <w:r w:rsidRPr="00E040D3">
        <w:t>peration and Development 2003: 12.</w:t>
      </w:r>
    </w:p>
  </w:footnote>
  <w:footnote w:id="212">
    <w:p w:rsidR="005E7922" w:rsidRPr="00E040D3" w:rsidRDefault="005E7922" w:rsidP="00762195">
      <w:pPr>
        <w:pStyle w:val="Funotentext"/>
        <w:spacing w:line="240" w:lineRule="auto"/>
        <w:contextualSpacing/>
      </w:pPr>
      <w:r w:rsidRPr="00E040D3">
        <w:rPr>
          <w:rStyle w:val="Funotenzeichen"/>
        </w:rPr>
        <w:footnoteRef/>
      </w:r>
      <w:r w:rsidRPr="00E040D3">
        <w:t xml:space="preserve"> </w:t>
      </w:r>
      <w:r>
        <w:t xml:space="preserve"> </w:t>
      </w:r>
      <w:r w:rsidRPr="00E040D3">
        <w:t>1930 WLD 99 112.</w:t>
      </w:r>
    </w:p>
  </w:footnote>
  <w:footnote w:id="213">
    <w:p w:rsidR="005E7922" w:rsidRPr="00865764" w:rsidRDefault="005E7922" w:rsidP="00762195">
      <w:pPr>
        <w:pStyle w:val="Funotentext"/>
        <w:spacing w:line="240" w:lineRule="auto"/>
        <w:contextualSpacing/>
      </w:pPr>
      <w:r w:rsidRPr="00E040D3">
        <w:rPr>
          <w:rStyle w:val="Funotenzeichen"/>
        </w:rPr>
        <w:footnoteRef/>
      </w:r>
      <w:r w:rsidRPr="00E040D3">
        <w:t xml:space="preserve"> </w:t>
      </w:r>
      <w:r>
        <w:t xml:space="preserve"> </w:t>
      </w:r>
      <w:r w:rsidRPr="00E040D3">
        <w:t>Van Heerden &amp; Neethling 1995: 23; Cowen 1950: 142; Klopper &amp; Van Der Spuy 2002: 71.</w:t>
      </w:r>
    </w:p>
  </w:footnote>
  <w:footnote w:id="214">
    <w:p w:rsidR="005E7922" w:rsidRPr="00865764" w:rsidRDefault="005E7922" w:rsidP="00762195">
      <w:pPr>
        <w:pStyle w:val="Funotentext"/>
        <w:spacing w:line="240" w:lineRule="auto"/>
        <w:contextualSpacing/>
      </w:pPr>
      <w:r w:rsidRPr="00865764">
        <w:rPr>
          <w:rStyle w:val="Funotenzeichen"/>
        </w:rPr>
        <w:footnoteRef/>
      </w:r>
      <w:r w:rsidRPr="00865764">
        <w:t xml:space="preserve"> </w:t>
      </w:r>
      <w:r>
        <w:t xml:space="preserve"> </w:t>
      </w:r>
      <w:r w:rsidRPr="00865764">
        <w:t>Van Heerden &amp; Neethling 1995: 23; Cowen 1950: 144; Klopper &amp; Van Der Spuy 2002: 71.</w:t>
      </w:r>
    </w:p>
  </w:footnote>
  <w:footnote w:id="215">
    <w:p w:rsidR="005E7922" w:rsidRPr="00865764" w:rsidRDefault="005E7922" w:rsidP="00762195">
      <w:pPr>
        <w:pStyle w:val="Funotentext"/>
        <w:spacing w:line="240" w:lineRule="auto"/>
        <w:contextualSpacing/>
      </w:pPr>
      <w:r w:rsidRPr="00865764">
        <w:rPr>
          <w:rStyle w:val="Funotenzeichen"/>
        </w:rPr>
        <w:footnoteRef/>
      </w:r>
      <w:r w:rsidRPr="00865764">
        <w:t xml:space="preserve"> </w:t>
      </w:r>
      <w:r>
        <w:t xml:space="preserve"> </w:t>
      </w:r>
      <w:r w:rsidRPr="00865764">
        <w:t>Cowen 1950: 132.</w:t>
      </w:r>
    </w:p>
  </w:footnote>
  <w:footnote w:id="216">
    <w:p w:rsidR="005E7922" w:rsidRPr="00762195" w:rsidRDefault="005E7922" w:rsidP="00762195">
      <w:pPr>
        <w:pStyle w:val="Funotentext"/>
        <w:spacing w:line="240" w:lineRule="auto"/>
        <w:contextualSpacing/>
        <w:rPr>
          <w:lang w:val="af-ZA"/>
        </w:rPr>
      </w:pPr>
      <w:r>
        <w:rPr>
          <w:rStyle w:val="Funotenzeichen"/>
        </w:rPr>
        <w:footnoteRef/>
      </w:r>
      <w:r>
        <w:t xml:space="preserve">  </w:t>
      </w:r>
      <w:r w:rsidRPr="00865764">
        <w:t>United Nations Conference on</w:t>
      </w:r>
      <w:r>
        <w:t xml:space="preserve"> Trade and Development 1998: 23; </w:t>
      </w:r>
      <w:r w:rsidRPr="00865764">
        <w:t>Cowen 1950</w:t>
      </w:r>
      <w:r>
        <w:t>: 132.</w:t>
      </w:r>
    </w:p>
  </w:footnote>
  <w:footnote w:id="217">
    <w:p w:rsidR="005E7922" w:rsidRPr="00B21529" w:rsidRDefault="005E7922" w:rsidP="00762195">
      <w:pPr>
        <w:pStyle w:val="Funotentext"/>
        <w:spacing w:line="240" w:lineRule="auto"/>
        <w:contextualSpacing/>
        <w:rPr>
          <w:lang w:val="af-ZA"/>
        </w:rPr>
      </w:pPr>
      <w:r>
        <w:rPr>
          <w:rStyle w:val="Funotenzeichen"/>
        </w:rPr>
        <w:footnoteRef/>
      </w:r>
      <w:r>
        <w:t xml:space="preserve">  </w:t>
      </w:r>
      <w:r w:rsidRPr="00865764">
        <w:t>United Nations Conference on</w:t>
      </w:r>
      <w:r>
        <w:t xml:space="preserve"> Trade and Development 1998: 23; </w:t>
      </w:r>
      <w:r w:rsidRPr="00865764">
        <w:t>Cowen 1950</w:t>
      </w:r>
      <w:r>
        <w:t>: 146-147;</w:t>
      </w:r>
      <w:r w:rsidRPr="009F4BC1">
        <w:t xml:space="preserve"> Organisation </w:t>
      </w:r>
      <w:r>
        <w:t>f</w:t>
      </w:r>
      <w:r w:rsidRPr="009F4BC1">
        <w:t>or Economic Co-</w:t>
      </w:r>
      <w:r>
        <w:t>o</w:t>
      </w:r>
      <w:r w:rsidRPr="009F4BC1">
        <w:t>peration and Development</w:t>
      </w:r>
      <w:r>
        <w:t xml:space="preserve"> (hereafter OECD) 2003: 12.</w:t>
      </w:r>
    </w:p>
  </w:footnote>
  <w:footnote w:id="218">
    <w:p w:rsidR="005E7922" w:rsidRPr="00CA48C0" w:rsidRDefault="005E7922" w:rsidP="00762195">
      <w:pPr>
        <w:pStyle w:val="Funotentext"/>
        <w:spacing w:line="240" w:lineRule="auto"/>
        <w:contextualSpacing/>
        <w:rPr>
          <w:lang w:val="af-ZA"/>
        </w:rPr>
      </w:pPr>
      <w:r>
        <w:rPr>
          <w:rStyle w:val="Funotenzeichen"/>
        </w:rPr>
        <w:footnoteRef/>
      </w:r>
      <w:r>
        <w:t xml:space="preserve">  </w:t>
      </w:r>
      <w:r w:rsidRPr="00865764">
        <w:t>Cowen 1950</w:t>
      </w:r>
      <w:r>
        <w:t>: 146-147.</w:t>
      </w:r>
    </w:p>
  </w:footnote>
  <w:footnote w:id="219">
    <w:p w:rsidR="005E7922" w:rsidRPr="00CA48C0" w:rsidRDefault="005E7922" w:rsidP="00F65E77">
      <w:pPr>
        <w:pStyle w:val="Funotentext"/>
        <w:spacing w:line="240" w:lineRule="auto"/>
        <w:contextualSpacing/>
        <w:rPr>
          <w:lang w:val="af-ZA"/>
        </w:rPr>
      </w:pPr>
      <w:r>
        <w:rPr>
          <w:rStyle w:val="Funotenzeichen"/>
        </w:rPr>
        <w:footnoteRef/>
      </w:r>
      <w:r>
        <w:t xml:space="preserve">  </w:t>
      </w:r>
      <w:r w:rsidRPr="00865764">
        <w:t>Cowen 1950</w:t>
      </w:r>
      <w:r>
        <w:t>: 147.</w:t>
      </w:r>
    </w:p>
  </w:footnote>
  <w:footnote w:id="220">
    <w:p w:rsidR="005E7922" w:rsidRPr="00865764" w:rsidRDefault="005E7922" w:rsidP="00F65E77">
      <w:pPr>
        <w:pStyle w:val="Funotentext"/>
        <w:spacing w:line="240" w:lineRule="auto"/>
        <w:contextualSpacing/>
      </w:pPr>
      <w:r w:rsidRPr="00865764">
        <w:rPr>
          <w:rStyle w:val="Funotenzeichen"/>
        </w:rPr>
        <w:footnoteRef/>
      </w:r>
      <w:r w:rsidRPr="00865764">
        <w:t xml:space="preserve"> </w:t>
      </w:r>
      <w:r>
        <w:t xml:space="preserve"> </w:t>
      </w:r>
      <w:r w:rsidRPr="00865764">
        <w:t>Cowen 1950: 124-125; United Nations Conference on</w:t>
      </w:r>
      <w:r>
        <w:t xml:space="preserve"> Trade and Development 1998: 23; </w:t>
      </w:r>
      <w:r w:rsidRPr="009F4BC1">
        <w:t xml:space="preserve">Organisation </w:t>
      </w:r>
      <w:r>
        <w:t>f</w:t>
      </w:r>
      <w:r w:rsidRPr="009F4BC1">
        <w:t>or Economic Co-Operation and Development</w:t>
      </w:r>
      <w:r>
        <w:t xml:space="preserve"> 2003: 12.</w:t>
      </w:r>
    </w:p>
  </w:footnote>
  <w:footnote w:id="221">
    <w:p w:rsidR="005E7922" w:rsidRPr="00E0121D" w:rsidRDefault="005E7922" w:rsidP="00F65E77">
      <w:pPr>
        <w:pStyle w:val="Funotentext"/>
        <w:spacing w:line="240" w:lineRule="auto"/>
        <w:contextualSpacing/>
      </w:pPr>
      <w:r w:rsidRPr="00E0121D">
        <w:rPr>
          <w:rStyle w:val="Funotenzeichen"/>
        </w:rPr>
        <w:footnoteRef/>
      </w:r>
      <w:r w:rsidRPr="00E0121D">
        <w:t xml:space="preserve"> </w:t>
      </w:r>
      <w:r>
        <w:t xml:space="preserve"> </w:t>
      </w:r>
      <w:r w:rsidRPr="00E0121D">
        <w:t>59/1949.</w:t>
      </w:r>
    </w:p>
  </w:footnote>
  <w:footnote w:id="222">
    <w:p w:rsidR="005E7922" w:rsidRPr="00E0121D" w:rsidRDefault="005E7922" w:rsidP="00F65E77">
      <w:pPr>
        <w:pStyle w:val="Funotentext"/>
        <w:spacing w:line="240" w:lineRule="auto"/>
        <w:contextualSpacing/>
      </w:pPr>
      <w:r w:rsidRPr="00E0121D">
        <w:rPr>
          <w:rStyle w:val="Funotenzeichen"/>
        </w:rPr>
        <w:footnoteRef/>
      </w:r>
      <w:r w:rsidRPr="00E0121D">
        <w:t xml:space="preserve"> </w:t>
      </w:r>
      <w:r>
        <w:t xml:space="preserve"> </w:t>
      </w:r>
      <w:r w:rsidRPr="00E0121D">
        <w:t>59/1949.</w:t>
      </w:r>
    </w:p>
  </w:footnote>
  <w:footnote w:id="223">
    <w:p w:rsidR="005E7922" w:rsidRPr="00E0121D" w:rsidRDefault="005E7922" w:rsidP="00F65E77">
      <w:pPr>
        <w:pStyle w:val="Funotentext"/>
        <w:spacing w:line="240" w:lineRule="auto"/>
        <w:contextualSpacing/>
      </w:pPr>
      <w:r w:rsidRPr="00E0121D">
        <w:rPr>
          <w:rStyle w:val="Funotenzeichen"/>
        </w:rPr>
        <w:footnoteRef/>
      </w:r>
      <w:r w:rsidRPr="00E0121D">
        <w:t xml:space="preserve"> </w:t>
      </w:r>
      <w:r>
        <w:t xml:space="preserve"> </w:t>
      </w:r>
      <w:r w:rsidRPr="00E0121D">
        <w:t>Undue restraint of trade Act 59/1949.</w:t>
      </w:r>
    </w:p>
  </w:footnote>
  <w:footnote w:id="224">
    <w:p w:rsidR="005E7922" w:rsidRPr="00E0121D" w:rsidRDefault="005E7922" w:rsidP="00F65E77">
      <w:pPr>
        <w:pStyle w:val="Funotentext"/>
        <w:spacing w:line="240" w:lineRule="auto"/>
        <w:contextualSpacing/>
      </w:pPr>
      <w:r w:rsidRPr="00E0121D">
        <w:rPr>
          <w:rStyle w:val="Funotenzeichen"/>
        </w:rPr>
        <w:footnoteRef/>
      </w:r>
      <w:r w:rsidRPr="00E0121D">
        <w:t xml:space="preserve"> </w:t>
      </w:r>
      <w:r>
        <w:t xml:space="preserve"> </w:t>
      </w:r>
      <w:r w:rsidRPr="00E0121D">
        <w:t>United Nations Conference on Trade and Development 1998: 23; Cowen 1950: 124.</w:t>
      </w:r>
    </w:p>
  </w:footnote>
  <w:footnote w:id="225">
    <w:p w:rsidR="005E7922" w:rsidRPr="00E0121D" w:rsidRDefault="005E7922" w:rsidP="00F65E77">
      <w:pPr>
        <w:pStyle w:val="Funotentext"/>
        <w:spacing w:line="240" w:lineRule="auto"/>
        <w:contextualSpacing/>
      </w:pPr>
      <w:r w:rsidRPr="00E0121D">
        <w:rPr>
          <w:rStyle w:val="Funotenzeichen"/>
        </w:rPr>
        <w:footnoteRef/>
      </w:r>
      <w:r w:rsidRPr="00E0121D">
        <w:t xml:space="preserve"> </w:t>
      </w:r>
      <w:r>
        <w:t xml:space="preserve"> </w:t>
      </w:r>
      <w:r w:rsidRPr="00E0121D">
        <w:t>Undue restraint of trade Act 59/1949.</w:t>
      </w:r>
    </w:p>
  </w:footnote>
  <w:footnote w:id="226">
    <w:p w:rsidR="005E7922" w:rsidRPr="00E0121D" w:rsidRDefault="005E7922" w:rsidP="00F65E77">
      <w:pPr>
        <w:pStyle w:val="Funotentext"/>
        <w:spacing w:line="240" w:lineRule="auto"/>
        <w:contextualSpacing/>
      </w:pPr>
      <w:r w:rsidRPr="00E0121D">
        <w:rPr>
          <w:rStyle w:val="Funotenzeichen"/>
        </w:rPr>
        <w:footnoteRef/>
      </w:r>
      <w:r w:rsidRPr="00E0121D">
        <w:t xml:space="preserve"> </w:t>
      </w:r>
      <w:r>
        <w:t xml:space="preserve"> </w:t>
      </w:r>
      <w:r w:rsidRPr="00E0121D">
        <w:t>United Nations Conference on Trade and Development 1998: 23; Cowen 1950: 124.</w:t>
      </w:r>
    </w:p>
  </w:footnote>
  <w:footnote w:id="227">
    <w:p w:rsidR="005E7922" w:rsidRPr="00E0121D" w:rsidRDefault="005E7922" w:rsidP="00F65E77">
      <w:pPr>
        <w:pStyle w:val="Funotentext"/>
        <w:spacing w:line="240" w:lineRule="auto"/>
        <w:contextualSpacing/>
      </w:pPr>
      <w:r w:rsidRPr="00E0121D">
        <w:rPr>
          <w:rStyle w:val="Funotenzeichen"/>
        </w:rPr>
        <w:footnoteRef/>
      </w:r>
      <w:r w:rsidRPr="00E0121D">
        <w:t xml:space="preserve"> </w:t>
      </w:r>
      <w:r>
        <w:t xml:space="preserve"> </w:t>
      </w:r>
      <w:r w:rsidRPr="00E0121D">
        <w:t>Undue restraint of trade Act 59/1949.</w:t>
      </w:r>
    </w:p>
  </w:footnote>
  <w:footnote w:id="228">
    <w:p w:rsidR="005E7922" w:rsidRPr="00E0121D" w:rsidRDefault="005E7922" w:rsidP="00F65E77">
      <w:pPr>
        <w:pStyle w:val="Funotentext"/>
        <w:spacing w:line="240" w:lineRule="auto"/>
        <w:contextualSpacing/>
      </w:pPr>
      <w:r w:rsidRPr="00E0121D">
        <w:rPr>
          <w:rStyle w:val="Funotenzeichen"/>
        </w:rPr>
        <w:footnoteRef/>
      </w:r>
      <w:r w:rsidRPr="00E0121D">
        <w:t xml:space="preserve"> </w:t>
      </w:r>
      <w:r>
        <w:t xml:space="preserve"> </w:t>
      </w:r>
      <w:r w:rsidRPr="00E0121D">
        <w:t>Undue restraint of trade Act 59/1949.</w:t>
      </w:r>
    </w:p>
  </w:footnote>
  <w:footnote w:id="229">
    <w:p w:rsidR="005E7922" w:rsidRPr="00E0121D" w:rsidRDefault="005E7922" w:rsidP="00F65E77">
      <w:pPr>
        <w:pStyle w:val="Funotentext"/>
        <w:spacing w:line="240" w:lineRule="auto"/>
        <w:contextualSpacing/>
      </w:pPr>
      <w:r w:rsidRPr="00E0121D">
        <w:rPr>
          <w:rStyle w:val="Funotenzeichen"/>
        </w:rPr>
        <w:footnoteRef/>
      </w:r>
      <w:r w:rsidRPr="00E0121D">
        <w:t xml:space="preserve"> </w:t>
      </w:r>
      <w:r>
        <w:t xml:space="preserve"> </w:t>
      </w:r>
      <w:r w:rsidRPr="00E0121D">
        <w:t>Cowen 1950: 124.</w:t>
      </w:r>
    </w:p>
  </w:footnote>
  <w:footnote w:id="230">
    <w:p w:rsidR="005E7922" w:rsidRPr="00E0121D" w:rsidRDefault="005E7922" w:rsidP="008B3E15">
      <w:pPr>
        <w:pStyle w:val="Funotentext"/>
        <w:spacing w:line="240" w:lineRule="auto"/>
        <w:contextualSpacing/>
      </w:pPr>
      <w:r w:rsidRPr="00E0121D">
        <w:rPr>
          <w:rStyle w:val="Funotenzeichen"/>
        </w:rPr>
        <w:footnoteRef/>
      </w:r>
      <w:r w:rsidRPr="00E0121D">
        <w:t xml:space="preserve"> </w:t>
      </w:r>
      <w:r>
        <w:t xml:space="preserve"> </w:t>
      </w:r>
      <w:r w:rsidRPr="00E0121D">
        <w:t>Undue restraint of trade Act 59/1949.</w:t>
      </w:r>
    </w:p>
  </w:footnote>
  <w:footnote w:id="231">
    <w:p w:rsidR="005E7922" w:rsidRPr="00E0121D" w:rsidRDefault="005E7922" w:rsidP="008B3E15">
      <w:pPr>
        <w:pStyle w:val="Funotentext"/>
        <w:spacing w:line="240" w:lineRule="auto"/>
        <w:contextualSpacing/>
      </w:pPr>
      <w:r w:rsidRPr="00E0121D">
        <w:rPr>
          <w:rStyle w:val="Funotenzeichen"/>
        </w:rPr>
        <w:footnoteRef/>
      </w:r>
      <w:r w:rsidRPr="00E0121D">
        <w:t xml:space="preserve"> </w:t>
      </w:r>
      <w:r>
        <w:t xml:space="preserve"> </w:t>
      </w:r>
      <w:r w:rsidRPr="00E0121D">
        <w:t>Cowen 1950: 124.</w:t>
      </w:r>
    </w:p>
  </w:footnote>
  <w:footnote w:id="232">
    <w:p w:rsidR="005E7922" w:rsidRPr="00E0121D" w:rsidRDefault="005E7922" w:rsidP="008B3E15">
      <w:pPr>
        <w:pStyle w:val="Funotentext"/>
        <w:spacing w:line="240" w:lineRule="auto"/>
        <w:contextualSpacing/>
      </w:pPr>
      <w:r w:rsidRPr="00E0121D">
        <w:rPr>
          <w:rStyle w:val="Funotenzeichen"/>
        </w:rPr>
        <w:footnoteRef/>
      </w:r>
      <w:r w:rsidRPr="00E0121D">
        <w:t xml:space="preserve"> </w:t>
      </w:r>
      <w:r>
        <w:t xml:space="preserve"> </w:t>
      </w:r>
      <w:r w:rsidRPr="00E0121D">
        <w:t>Undue restraint of trade Act 59/1949.</w:t>
      </w:r>
    </w:p>
  </w:footnote>
  <w:footnote w:id="233">
    <w:p w:rsidR="005E7922" w:rsidRPr="00E0121D" w:rsidRDefault="005E7922" w:rsidP="008B3E15">
      <w:pPr>
        <w:pStyle w:val="Funotentext"/>
        <w:spacing w:line="240" w:lineRule="auto"/>
        <w:contextualSpacing/>
      </w:pPr>
      <w:r w:rsidRPr="00E0121D">
        <w:rPr>
          <w:rStyle w:val="Funotenzeichen"/>
        </w:rPr>
        <w:footnoteRef/>
      </w:r>
      <w:r w:rsidRPr="00E0121D">
        <w:t xml:space="preserve"> </w:t>
      </w:r>
      <w:r>
        <w:t xml:space="preserve"> </w:t>
      </w:r>
      <w:r w:rsidRPr="00E0121D">
        <w:t>25/1955. United Nations Conference on Trade and Development 1998: 23.</w:t>
      </w:r>
    </w:p>
  </w:footnote>
  <w:footnote w:id="234">
    <w:p w:rsidR="005E7922" w:rsidRPr="00E0121D" w:rsidRDefault="005E7922" w:rsidP="008B3E15">
      <w:pPr>
        <w:pStyle w:val="Funotentext"/>
        <w:spacing w:line="240" w:lineRule="auto"/>
        <w:contextualSpacing/>
      </w:pPr>
      <w:r w:rsidRPr="00E0121D">
        <w:rPr>
          <w:rStyle w:val="Funotenzeichen"/>
        </w:rPr>
        <w:footnoteRef/>
      </w:r>
      <w:r w:rsidRPr="00E0121D">
        <w:t xml:space="preserve"> </w:t>
      </w:r>
      <w:r>
        <w:t xml:space="preserve"> </w:t>
      </w:r>
      <w:r w:rsidRPr="00E0121D">
        <w:t>25/1955.</w:t>
      </w:r>
    </w:p>
  </w:footnote>
  <w:footnote w:id="235">
    <w:p w:rsidR="005E7922" w:rsidRPr="00E0121D" w:rsidRDefault="005E7922" w:rsidP="008B3E15">
      <w:pPr>
        <w:pStyle w:val="Funotentext"/>
        <w:spacing w:line="240" w:lineRule="auto"/>
        <w:contextualSpacing/>
      </w:pPr>
      <w:r w:rsidRPr="00E0121D">
        <w:rPr>
          <w:rStyle w:val="Funotenzeichen"/>
        </w:rPr>
        <w:footnoteRef/>
      </w:r>
      <w:r w:rsidRPr="00E0121D">
        <w:t xml:space="preserve"> </w:t>
      </w:r>
      <w:r>
        <w:t xml:space="preserve"> </w:t>
      </w:r>
      <w:r w:rsidRPr="00E0121D">
        <w:t>25/1955.</w:t>
      </w:r>
    </w:p>
  </w:footnote>
  <w:footnote w:id="236">
    <w:p w:rsidR="005E7922" w:rsidRPr="00E0121D" w:rsidRDefault="005E7922" w:rsidP="008B3E15">
      <w:pPr>
        <w:pStyle w:val="Funotentext"/>
        <w:spacing w:line="240" w:lineRule="auto"/>
        <w:contextualSpacing/>
      </w:pPr>
      <w:r w:rsidRPr="00E0121D">
        <w:rPr>
          <w:rStyle w:val="Funotenzeichen"/>
        </w:rPr>
        <w:footnoteRef/>
      </w:r>
      <w:r w:rsidRPr="00E0121D">
        <w:t xml:space="preserve"> </w:t>
      </w:r>
      <w:r>
        <w:t xml:space="preserve"> </w:t>
      </w:r>
      <w:r w:rsidRPr="00E0121D">
        <w:t>OECD 2003: 12; Smith 2005: 2; United Nations Conference on Trade and Development 1998: 23; Jafta 1998: 2; The Competition Commission on http://www.compcom.co.za/about-us/ (accessed 11 March 2011)</w:t>
      </w:r>
    </w:p>
  </w:footnote>
  <w:footnote w:id="237">
    <w:p w:rsidR="005E7922" w:rsidRPr="00E0121D" w:rsidRDefault="005E7922" w:rsidP="008B3E15">
      <w:pPr>
        <w:pStyle w:val="Funotentext"/>
        <w:spacing w:line="240" w:lineRule="auto"/>
        <w:contextualSpacing/>
      </w:pPr>
      <w:r w:rsidRPr="00E0121D">
        <w:rPr>
          <w:rStyle w:val="Funotenzeichen"/>
        </w:rPr>
        <w:footnoteRef/>
      </w:r>
      <w:r w:rsidRPr="00E0121D">
        <w:t xml:space="preserve"> </w:t>
      </w:r>
      <w:r>
        <w:t xml:space="preserve"> </w:t>
      </w:r>
      <w:r w:rsidRPr="00E0121D">
        <w:t>Regulation of Monopolistic Conditions Act 25/1955.</w:t>
      </w:r>
    </w:p>
  </w:footnote>
  <w:footnote w:id="238">
    <w:p w:rsidR="005E7922" w:rsidRPr="00B13CBB" w:rsidRDefault="005E7922" w:rsidP="008B3E15">
      <w:pPr>
        <w:pStyle w:val="Funotentext"/>
        <w:spacing w:line="240" w:lineRule="auto"/>
        <w:contextualSpacing/>
      </w:pPr>
      <w:r w:rsidRPr="00E0121D">
        <w:rPr>
          <w:rStyle w:val="Funotenzeichen"/>
        </w:rPr>
        <w:footnoteRef/>
      </w:r>
      <w:r w:rsidRPr="00E0121D">
        <w:t xml:space="preserve"> </w:t>
      </w:r>
      <w:r>
        <w:t xml:space="preserve"> </w:t>
      </w:r>
      <w:r w:rsidRPr="00E0121D">
        <w:t>Jafta 1998: 2; OECD 2003: 12; Van Heerden &amp; Neethling 1995: 31.</w:t>
      </w:r>
      <w:r w:rsidRPr="00B13CBB">
        <w:t xml:space="preserve"> </w:t>
      </w:r>
    </w:p>
  </w:footnote>
  <w:footnote w:id="239">
    <w:p w:rsidR="005E7922" w:rsidRPr="00FE1AFD" w:rsidRDefault="005E7922" w:rsidP="008B3E15">
      <w:pPr>
        <w:pStyle w:val="Funotentext"/>
        <w:spacing w:line="240" w:lineRule="auto"/>
        <w:contextualSpacing/>
      </w:pPr>
      <w:r w:rsidRPr="00FE1AFD">
        <w:rPr>
          <w:rStyle w:val="Funotenzeichen"/>
        </w:rPr>
        <w:footnoteRef/>
      </w:r>
      <w:r w:rsidRPr="00FE1AFD">
        <w:t xml:space="preserve"> </w:t>
      </w:r>
      <w:r>
        <w:t xml:space="preserve"> </w:t>
      </w:r>
      <w:r w:rsidRPr="00FE1AFD">
        <w:t>Regulation of Monopolistic Conditions Act 25/1955.</w:t>
      </w:r>
    </w:p>
  </w:footnote>
  <w:footnote w:id="240">
    <w:p w:rsidR="005E7922" w:rsidRPr="00FE1AFD" w:rsidRDefault="005E7922" w:rsidP="008B3E15">
      <w:pPr>
        <w:pStyle w:val="Funotentext"/>
        <w:spacing w:line="240" w:lineRule="auto"/>
        <w:contextualSpacing/>
      </w:pPr>
      <w:r w:rsidRPr="00FE1AFD">
        <w:rPr>
          <w:rStyle w:val="Funotenzeichen"/>
        </w:rPr>
        <w:footnoteRef/>
      </w:r>
      <w:r w:rsidRPr="00FE1AFD">
        <w:t xml:space="preserve"> </w:t>
      </w:r>
      <w:r>
        <w:t xml:space="preserve"> </w:t>
      </w:r>
      <w:r w:rsidRPr="00FE1AFD">
        <w:t>Report on the Regulation of Monopolistic conditions (Report 327 of 1951).</w:t>
      </w:r>
    </w:p>
  </w:footnote>
  <w:footnote w:id="241">
    <w:p w:rsidR="005E7922" w:rsidRPr="00FE1AFD" w:rsidRDefault="005E7922" w:rsidP="008B3E15">
      <w:pPr>
        <w:pStyle w:val="Funotentext"/>
        <w:spacing w:line="240" w:lineRule="auto"/>
        <w:contextualSpacing/>
      </w:pPr>
      <w:r w:rsidRPr="00FE1AFD">
        <w:rPr>
          <w:rStyle w:val="Funotenzeichen"/>
        </w:rPr>
        <w:footnoteRef/>
      </w:r>
      <w:r w:rsidRPr="00FE1AFD">
        <w:t xml:space="preserve"> </w:t>
      </w:r>
      <w:r>
        <w:t xml:space="preserve"> </w:t>
      </w:r>
      <w:r w:rsidRPr="00FE1AFD">
        <w:t>Regulation of Monopolistic Conditions Act 25/1955. Van Heerden &amp; Neethling 1995: 18; United Nations Conference on Trade and Development 1998: 23.</w:t>
      </w:r>
    </w:p>
  </w:footnote>
  <w:footnote w:id="242">
    <w:p w:rsidR="005E7922" w:rsidRPr="00FE1AFD" w:rsidRDefault="005E7922" w:rsidP="008B3E15">
      <w:pPr>
        <w:pStyle w:val="Funotentext"/>
        <w:spacing w:line="240" w:lineRule="auto"/>
        <w:contextualSpacing/>
      </w:pPr>
      <w:r w:rsidRPr="00FE1AFD">
        <w:rPr>
          <w:rStyle w:val="Funotenzeichen"/>
        </w:rPr>
        <w:footnoteRef/>
      </w:r>
      <w:r w:rsidRPr="00FE1AFD">
        <w:t xml:space="preserve"> </w:t>
      </w:r>
      <w:r>
        <w:t xml:space="preserve"> </w:t>
      </w:r>
      <w:r w:rsidRPr="00FE1AFD">
        <w:t>Van Heerden &amp; Neethling 1995: 20; United Nations Conference on Trade and Development 1998: 23.</w:t>
      </w:r>
    </w:p>
  </w:footnote>
  <w:footnote w:id="243">
    <w:p w:rsidR="005E7922" w:rsidRPr="00FE1AFD" w:rsidRDefault="005E7922" w:rsidP="008B3E15">
      <w:pPr>
        <w:pStyle w:val="Funotentext"/>
        <w:spacing w:line="240" w:lineRule="auto"/>
        <w:contextualSpacing/>
      </w:pPr>
      <w:r w:rsidRPr="00FE1AFD">
        <w:rPr>
          <w:rStyle w:val="Funotenzeichen"/>
        </w:rPr>
        <w:footnoteRef/>
      </w:r>
      <w:r w:rsidRPr="00FE1AFD">
        <w:t xml:space="preserve"> </w:t>
      </w:r>
      <w:r>
        <w:t xml:space="preserve"> </w:t>
      </w:r>
      <w:r w:rsidRPr="00FE1AFD">
        <w:t>United Nations Conference on Trade and Development 1998: 23.</w:t>
      </w:r>
    </w:p>
  </w:footnote>
  <w:footnote w:id="244">
    <w:p w:rsidR="005E7922" w:rsidRPr="00FE1AFD" w:rsidRDefault="005E7922" w:rsidP="008B3E15">
      <w:pPr>
        <w:pStyle w:val="Funotentext"/>
        <w:spacing w:line="240" w:lineRule="auto"/>
        <w:contextualSpacing/>
      </w:pPr>
      <w:r w:rsidRPr="00FE1AFD">
        <w:rPr>
          <w:rStyle w:val="Funotenzeichen"/>
        </w:rPr>
        <w:footnoteRef/>
      </w:r>
      <w:r w:rsidRPr="00FE1AFD">
        <w:t xml:space="preserve"> </w:t>
      </w:r>
      <w:r>
        <w:t xml:space="preserve"> </w:t>
      </w:r>
      <w:r w:rsidRPr="00FE1AFD">
        <w:t xml:space="preserve">For the meaning of a </w:t>
      </w:r>
      <w:r w:rsidRPr="00FE1AFD">
        <w:rPr>
          <w:i/>
        </w:rPr>
        <w:t>per se</w:t>
      </w:r>
      <w:r w:rsidRPr="00FE1AFD">
        <w:t xml:space="preserve"> prohibition refer to section 2.4.</w:t>
      </w:r>
    </w:p>
  </w:footnote>
  <w:footnote w:id="245">
    <w:p w:rsidR="005E7922" w:rsidRPr="00FE1AFD" w:rsidRDefault="005E7922" w:rsidP="008B3E15">
      <w:pPr>
        <w:pStyle w:val="Funotentext"/>
        <w:spacing w:line="240" w:lineRule="auto"/>
        <w:contextualSpacing/>
      </w:pPr>
      <w:r w:rsidRPr="00FE1AFD">
        <w:rPr>
          <w:rStyle w:val="Funotenzeichen"/>
        </w:rPr>
        <w:footnoteRef/>
      </w:r>
      <w:r w:rsidRPr="00FE1AFD">
        <w:t xml:space="preserve"> </w:t>
      </w:r>
      <w:r>
        <w:t xml:space="preserve"> </w:t>
      </w:r>
      <w:r w:rsidRPr="00FE1AFD">
        <w:t>United Nations Conference on Trade and Development 1998: 23.</w:t>
      </w:r>
    </w:p>
  </w:footnote>
  <w:footnote w:id="246">
    <w:p w:rsidR="005E7922" w:rsidRPr="00FE1AFD" w:rsidRDefault="005E7922" w:rsidP="008B3E15">
      <w:pPr>
        <w:pStyle w:val="Funotentext"/>
        <w:spacing w:line="240" w:lineRule="auto"/>
        <w:contextualSpacing/>
      </w:pPr>
      <w:r w:rsidRPr="00FE1AFD">
        <w:rPr>
          <w:rStyle w:val="Funotenzeichen"/>
        </w:rPr>
        <w:footnoteRef/>
      </w:r>
      <w:r w:rsidRPr="00FE1AFD">
        <w:t xml:space="preserve"> </w:t>
      </w:r>
      <w:r>
        <w:t xml:space="preserve"> </w:t>
      </w:r>
      <w:r w:rsidRPr="00FE1AFD">
        <w:t>Van Heerden &amp; Neethling 1995: 20; United Nations Conference on Trade and Development 1998: 23.</w:t>
      </w:r>
    </w:p>
  </w:footnote>
  <w:footnote w:id="247">
    <w:p w:rsidR="005E7922" w:rsidRPr="00FE1AFD" w:rsidRDefault="005E7922" w:rsidP="008B3E15">
      <w:pPr>
        <w:pStyle w:val="Funotentext"/>
        <w:spacing w:line="240" w:lineRule="auto"/>
        <w:contextualSpacing/>
      </w:pPr>
      <w:r w:rsidRPr="00FE1AFD">
        <w:rPr>
          <w:rStyle w:val="Funotenzeichen"/>
        </w:rPr>
        <w:footnoteRef/>
      </w:r>
      <w:r w:rsidRPr="00FE1AFD">
        <w:t xml:space="preserve"> </w:t>
      </w:r>
      <w:r>
        <w:t xml:space="preserve"> </w:t>
      </w:r>
      <w:r w:rsidRPr="00FE1AFD">
        <w:t>Van Heerden &amp; Neethling 1995: 20; United Nations Conference on Trade and Development 1998: 23. Refer to fn 196.</w:t>
      </w:r>
    </w:p>
  </w:footnote>
  <w:footnote w:id="248">
    <w:p w:rsidR="005E7922" w:rsidRPr="00FE1AFD" w:rsidRDefault="005E7922" w:rsidP="00624FDB">
      <w:pPr>
        <w:pStyle w:val="Funotentext"/>
        <w:spacing w:line="240" w:lineRule="auto"/>
        <w:contextualSpacing/>
      </w:pPr>
      <w:r w:rsidRPr="00FE1AFD">
        <w:rPr>
          <w:rStyle w:val="Funotenzeichen"/>
        </w:rPr>
        <w:footnoteRef/>
      </w:r>
      <w:r w:rsidRPr="00FE1AFD">
        <w:t xml:space="preserve"> </w:t>
      </w:r>
      <w:r>
        <w:t xml:space="preserve"> </w:t>
      </w:r>
      <w:r w:rsidRPr="00FE1AFD">
        <w:t>Van Heerden &amp; Neethling 1995: 20; United Nations Conference on Trade and Development 1998: 23.</w:t>
      </w:r>
    </w:p>
  </w:footnote>
  <w:footnote w:id="249">
    <w:p w:rsidR="005E7922" w:rsidRPr="00FE1AFD" w:rsidRDefault="005E7922" w:rsidP="00624FDB">
      <w:pPr>
        <w:pStyle w:val="Funotentext"/>
        <w:spacing w:line="240" w:lineRule="auto"/>
        <w:contextualSpacing/>
      </w:pPr>
      <w:r w:rsidRPr="00FE1AFD">
        <w:rPr>
          <w:rStyle w:val="Funotenzeichen"/>
        </w:rPr>
        <w:footnoteRef/>
      </w:r>
      <w:r w:rsidRPr="00FE1AFD">
        <w:t xml:space="preserve"> </w:t>
      </w:r>
      <w:r>
        <w:t xml:space="preserve"> </w:t>
      </w:r>
      <w:r w:rsidRPr="00FE1AFD">
        <w:t>Van Heerden &amp; Neethling 1995: 20.</w:t>
      </w:r>
    </w:p>
  </w:footnote>
  <w:footnote w:id="250">
    <w:p w:rsidR="005E7922" w:rsidRPr="00FE1AFD" w:rsidRDefault="005E7922" w:rsidP="00624FDB">
      <w:pPr>
        <w:pStyle w:val="Funotentext"/>
        <w:spacing w:line="240" w:lineRule="auto"/>
        <w:contextualSpacing/>
      </w:pPr>
      <w:r w:rsidRPr="00FE1AFD">
        <w:rPr>
          <w:rStyle w:val="Funotenzeichen"/>
        </w:rPr>
        <w:footnoteRef/>
      </w:r>
      <w:r w:rsidRPr="00FE1AFD">
        <w:t xml:space="preserve"> </w:t>
      </w:r>
      <w:r>
        <w:t xml:space="preserve"> </w:t>
      </w:r>
      <w:r w:rsidRPr="00FE1AFD">
        <w:t>Van Heerden &amp; Neethling 1995: 21; United Nations Conference on Trade and Development 1998: 23.</w:t>
      </w:r>
    </w:p>
  </w:footnote>
  <w:footnote w:id="251">
    <w:p w:rsidR="005E7922" w:rsidRPr="00FE1AFD" w:rsidRDefault="005E7922" w:rsidP="00624FDB">
      <w:pPr>
        <w:pStyle w:val="Funotentext"/>
        <w:spacing w:line="240" w:lineRule="auto"/>
        <w:contextualSpacing/>
      </w:pPr>
      <w:r w:rsidRPr="00FE1AFD">
        <w:rPr>
          <w:rStyle w:val="Funotenzeichen"/>
        </w:rPr>
        <w:footnoteRef/>
      </w:r>
      <w:r w:rsidRPr="00FE1AFD">
        <w:t xml:space="preserve"> </w:t>
      </w:r>
      <w:r>
        <w:t xml:space="preserve"> </w:t>
      </w:r>
      <w:r w:rsidRPr="00FE1AFD">
        <w:t>Van Heerden &amp; Neethling 1995: 21; United Nations Conference on Trade and Development 1998: 23.</w:t>
      </w:r>
    </w:p>
  </w:footnote>
  <w:footnote w:id="252">
    <w:p w:rsidR="005E7922" w:rsidRPr="00FE1AFD" w:rsidRDefault="005E7922" w:rsidP="00624FDB">
      <w:pPr>
        <w:pStyle w:val="Funotentext"/>
        <w:spacing w:line="240" w:lineRule="auto"/>
        <w:contextualSpacing/>
      </w:pPr>
      <w:r w:rsidRPr="00FE1AFD">
        <w:rPr>
          <w:rStyle w:val="Funotenzeichen"/>
        </w:rPr>
        <w:footnoteRef/>
      </w:r>
      <w:r w:rsidRPr="00FE1AFD">
        <w:t xml:space="preserve"> </w:t>
      </w:r>
      <w:r>
        <w:t xml:space="preserve"> </w:t>
      </w:r>
      <w:r w:rsidRPr="00FE1AFD">
        <w:t>Regulation of Monopolistic Conditions Act 25/1955.</w:t>
      </w:r>
    </w:p>
  </w:footnote>
  <w:footnote w:id="253">
    <w:p w:rsidR="005E7922" w:rsidRPr="00FE1AFD" w:rsidRDefault="005E7922" w:rsidP="00624FDB">
      <w:pPr>
        <w:pStyle w:val="Funotentext"/>
        <w:spacing w:line="240" w:lineRule="auto"/>
        <w:contextualSpacing/>
      </w:pPr>
      <w:r w:rsidRPr="00FE1AFD">
        <w:rPr>
          <w:rStyle w:val="Funotenzeichen"/>
        </w:rPr>
        <w:footnoteRef/>
      </w:r>
      <w:r w:rsidRPr="00FE1AFD">
        <w:t xml:space="preserve"> </w:t>
      </w:r>
      <w:r>
        <w:t xml:space="preserve"> </w:t>
      </w:r>
      <w:r w:rsidRPr="00FE1AFD">
        <w:t>OECD 2003: 12; United Nations Conference on Trade and Development 1998: 24.</w:t>
      </w:r>
    </w:p>
  </w:footnote>
  <w:footnote w:id="254">
    <w:p w:rsidR="005E7922" w:rsidRPr="0030797E" w:rsidRDefault="005E7922" w:rsidP="00624FDB">
      <w:pPr>
        <w:pStyle w:val="Funotentext"/>
        <w:spacing w:line="240" w:lineRule="auto"/>
        <w:contextualSpacing/>
        <w:rPr>
          <w:lang w:val="af-ZA"/>
        </w:rPr>
      </w:pPr>
      <w:r w:rsidRPr="00FE1AFD">
        <w:rPr>
          <w:rStyle w:val="Funotenzeichen"/>
        </w:rPr>
        <w:footnoteRef/>
      </w:r>
      <w:r w:rsidRPr="00FE1AFD">
        <w:t xml:space="preserve"> </w:t>
      </w:r>
      <w:r>
        <w:t xml:space="preserve"> </w:t>
      </w:r>
      <w:r w:rsidRPr="00FE1AFD">
        <w:t>OECD 2003: 12; United Nations Conference on Trade and Development 1998: 24.</w:t>
      </w:r>
    </w:p>
  </w:footnote>
  <w:footnote w:id="255">
    <w:p w:rsidR="005E7922" w:rsidRPr="00282298" w:rsidRDefault="005E7922" w:rsidP="009032C8">
      <w:pPr>
        <w:pStyle w:val="Funotentext"/>
        <w:spacing w:line="240" w:lineRule="auto"/>
        <w:contextualSpacing/>
      </w:pPr>
      <w:r w:rsidRPr="00282298">
        <w:rPr>
          <w:rStyle w:val="Funotenzeichen"/>
        </w:rPr>
        <w:footnoteRef/>
      </w:r>
      <w:r w:rsidRPr="00282298">
        <w:t xml:space="preserve"> </w:t>
      </w:r>
      <w:r>
        <w:t xml:space="preserve"> </w:t>
      </w:r>
      <w:r w:rsidRPr="00282298">
        <w:t>OECD 2003: 12; United Nations Conference on Trade and Development 1998: 24.</w:t>
      </w:r>
    </w:p>
  </w:footnote>
  <w:footnote w:id="256">
    <w:p w:rsidR="005E7922" w:rsidRPr="00282298" w:rsidRDefault="005E7922" w:rsidP="009032C8">
      <w:pPr>
        <w:pStyle w:val="Funotentext"/>
        <w:spacing w:line="240" w:lineRule="auto"/>
        <w:contextualSpacing/>
      </w:pPr>
      <w:r w:rsidRPr="00282298">
        <w:rPr>
          <w:rStyle w:val="Funotenzeichen"/>
        </w:rPr>
        <w:footnoteRef/>
      </w:r>
      <w:r w:rsidRPr="00282298">
        <w:t xml:space="preserve"> </w:t>
      </w:r>
      <w:r>
        <w:t xml:space="preserve"> </w:t>
      </w:r>
      <w:r w:rsidRPr="00282298">
        <w:t>Regulation of Monopolistic Conditions Act 25/1955.</w:t>
      </w:r>
    </w:p>
  </w:footnote>
  <w:footnote w:id="257">
    <w:p w:rsidR="005E7922" w:rsidRPr="00282298" w:rsidRDefault="005E7922" w:rsidP="009032C8">
      <w:pPr>
        <w:pStyle w:val="Funotentext"/>
        <w:spacing w:line="240" w:lineRule="auto"/>
        <w:contextualSpacing/>
      </w:pPr>
      <w:r w:rsidRPr="00282298">
        <w:rPr>
          <w:rStyle w:val="Funotenzeichen"/>
        </w:rPr>
        <w:footnoteRef/>
      </w:r>
      <w:r w:rsidRPr="00282298">
        <w:t xml:space="preserve"> </w:t>
      </w:r>
      <w:r>
        <w:t xml:space="preserve"> </w:t>
      </w:r>
      <w:r w:rsidRPr="00282298">
        <w:t>Regulation of Monopolistic Conditions Act 25/1955. OECD 2003: 12</w:t>
      </w:r>
    </w:p>
  </w:footnote>
  <w:footnote w:id="258">
    <w:p w:rsidR="005E7922" w:rsidRPr="002372FA" w:rsidRDefault="005E7922" w:rsidP="009032C8">
      <w:pPr>
        <w:pStyle w:val="Funotentext"/>
        <w:spacing w:line="240" w:lineRule="auto"/>
        <w:contextualSpacing/>
        <w:rPr>
          <w:lang w:val="af-ZA"/>
        </w:rPr>
      </w:pPr>
      <w:r>
        <w:rPr>
          <w:rStyle w:val="Funotenzeichen"/>
        </w:rPr>
        <w:footnoteRef/>
      </w:r>
      <w:r>
        <w:t xml:space="preserve"> </w:t>
      </w:r>
      <w:r>
        <w:rPr>
          <w:lang w:val="af-ZA"/>
        </w:rPr>
        <w:t xml:space="preserve"> </w:t>
      </w:r>
      <w:r w:rsidRPr="00282298">
        <w:t>Regulation of Monopolistic Conditions Act 25/1955. OECD 2003: 12</w:t>
      </w:r>
    </w:p>
  </w:footnote>
  <w:footnote w:id="259">
    <w:p w:rsidR="005E7922" w:rsidRPr="00282298" w:rsidRDefault="005E7922" w:rsidP="009032C8">
      <w:pPr>
        <w:pStyle w:val="Funotentext"/>
        <w:spacing w:line="240" w:lineRule="auto"/>
        <w:contextualSpacing/>
      </w:pPr>
      <w:r w:rsidRPr="00282298">
        <w:rPr>
          <w:rStyle w:val="Funotenzeichen"/>
        </w:rPr>
        <w:footnoteRef/>
      </w:r>
      <w:r>
        <w:t xml:space="preserve"> </w:t>
      </w:r>
      <w:r w:rsidRPr="00282298">
        <w:t xml:space="preserve"> OECD 2003: 12.</w:t>
      </w:r>
    </w:p>
  </w:footnote>
  <w:footnote w:id="260">
    <w:p w:rsidR="005E7922" w:rsidRPr="00282298" w:rsidRDefault="005E7922" w:rsidP="009032C8">
      <w:pPr>
        <w:pStyle w:val="Funotentext"/>
        <w:spacing w:line="240" w:lineRule="auto"/>
        <w:contextualSpacing/>
      </w:pPr>
      <w:r w:rsidRPr="00282298">
        <w:rPr>
          <w:rStyle w:val="Funotenzeichen"/>
        </w:rPr>
        <w:footnoteRef/>
      </w:r>
      <w:r w:rsidRPr="00282298">
        <w:t xml:space="preserve"> </w:t>
      </w:r>
      <w:r>
        <w:t xml:space="preserve"> </w:t>
      </w:r>
      <w:r w:rsidRPr="00282298">
        <w:t>United Nations Conference on Trade and Development 1998: 24.</w:t>
      </w:r>
    </w:p>
  </w:footnote>
  <w:footnote w:id="261">
    <w:p w:rsidR="005E7922" w:rsidRPr="00282298" w:rsidRDefault="005E7922" w:rsidP="009032C8">
      <w:pPr>
        <w:pStyle w:val="Funotentext"/>
        <w:spacing w:line="240" w:lineRule="auto"/>
        <w:contextualSpacing/>
      </w:pPr>
      <w:r w:rsidRPr="00282298">
        <w:rPr>
          <w:rStyle w:val="Funotenzeichen"/>
        </w:rPr>
        <w:footnoteRef/>
      </w:r>
      <w:r w:rsidRPr="00282298">
        <w:t xml:space="preserve"> </w:t>
      </w:r>
      <w:r>
        <w:t xml:space="preserve"> </w:t>
      </w:r>
      <w:r w:rsidRPr="00282298">
        <w:t>United Nations Conference on Trade and Development 1998: 24.</w:t>
      </w:r>
    </w:p>
  </w:footnote>
  <w:footnote w:id="262">
    <w:p w:rsidR="005E7922" w:rsidRPr="00282298" w:rsidRDefault="005E7922" w:rsidP="009032C8">
      <w:pPr>
        <w:pStyle w:val="Funotentext"/>
        <w:spacing w:line="240" w:lineRule="auto"/>
        <w:contextualSpacing/>
      </w:pPr>
      <w:r w:rsidRPr="00282298">
        <w:rPr>
          <w:rStyle w:val="Funotenzeichen"/>
        </w:rPr>
        <w:footnoteRef/>
      </w:r>
      <w:r w:rsidRPr="00282298">
        <w:t xml:space="preserve"> </w:t>
      </w:r>
      <w:r>
        <w:t xml:space="preserve"> </w:t>
      </w:r>
      <w:r w:rsidRPr="00282298">
        <w:t>25/1955. OECD 2003: 13; Van Heerden &amp; Neethling 1995: 21; Smith 2005: 2; United Nations Conference on Trade and Development 1998: 24; the Competition Commission on http://www.compcom.co.za/about-us/ (accessed on 11 March 2011)</w:t>
      </w:r>
    </w:p>
  </w:footnote>
  <w:footnote w:id="263">
    <w:p w:rsidR="005E7922" w:rsidRPr="00282298" w:rsidRDefault="005E7922" w:rsidP="009032C8">
      <w:pPr>
        <w:pStyle w:val="Funotentext"/>
        <w:spacing w:line="240" w:lineRule="auto"/>
        <w:contextualSpacing/>
      </w:pPr>
      <w:r w:rsidRPr="00282298">
        <w:rPr>
          <w:rStyle w:val="Funotenzeichen"/>
        </w:rPr>
        <w:footnoteRef/>
      </w:r>
      <w:r w:rsidRPr="00282298">
        <w:t xml:space="preserve"> </w:t>
      </w:r>
      <w:r>
        <w:t xml:space="preserve"> </w:t>
      </w:r>
      <w:r w:rsidRPr="00282298">
        <w:t>Smith 2005: 2; Van Heerden &amp; Neethling 1995: 21.</w:t>
      </w:r>
    </w:p>
  </w:footnote>
  <w:footnote w:id="264">
    <w:p w:rsidR="005E7922" w:rsidRPr="00282298" w:rsidRDefault="005E7922" w:rsidP="009032C8">
      <w:pPr>
        <w:pStyle w:val="Funotentext"/>
        <w:spacing w:line="240" w:lineRule="auto"/>
        <w:contextualSpacing/>
      </w:pPr>
      <w:r w:rsidRPr="00282298">
        <w:rPr>
          <w:rStyle w:val="Funotenzeichen"/>
        </w:rPr>
        <w:footnoteRef/>
      </w:r>
      <w:r w:rsidRPr="00282298">
        <w:t xml:space="preserve"> </w:t>
      </w:r>
      <w:r>
        <w:t xml:space="preserve"> </w:t>
      </w:r>
      <w:r w:rsidRPr="00282298">
        <w:t>25/1955.</w:t>
      </w:r>
    </w:p>
  </w:footnote>
  <w:footnote w:id="265">
    <w:p w:rsidR="005E7922" w:rsidRPr="00282298" w:rsidRDefault="005E7922" w:rsidP="009032C8">
      <w:pPr>
        <w:pStyle w:val="Funotentext"/>
        <w:spacing w:line="240" w:lineRule="auto"/>
        <w:contextualSpacing/>
      </w:pPr>
      <w:r w:rsidRPr="00282298">
        <w:rPr>
          <w:rStyle w:val="Funotenzeichen"/>
        </w:rPr>
        <w:footnoteRef/>
      </w:r>
      <w:r w:rsidRPr="00282298">
        <w:t xml:space="preserve"> </w:t>
      </w:r>
      <w:r>
        <w:t xml:space="preserve"> </w:t>
      </w:r>
      <w:r w:rsidRPr="00282298">
        <w:t>The Competition Commission on http://www.compcom.co.za/about-us/ (accessed on 11 March 2011) The term “oligopolies” will be explained in section 2.5.</w:t>
      </w:r>
    </w:p>
  </w:footnote>
  <w:footnote w:id="266">
    <w:p w:rsidR="005E7922" w:rsidRPr="00282298" w:rsidRDefault="005E7922" w:rsidP="009032C8">
      <w:pPr>
        <w:pStyle w:val="Funotentext"/>
        <w:spacing w:line="240" w:lineRule="auto"/>
        <w:contextualSpacing/>
      </w:pPr>
      <w:r w:rsidRPr="00282298">
        <w:rPr>
          <w:rStyle w:val="Funotenzeichen"/>
        </w:rPr>
        <w:footnoteRef/>
      </w:r>
      <w:r w:rsidRPr="00282298">
        <w:t xml:space="preserve"> </w:t>
      </w:r>
      <w:r>
        <w:t xml:space="preserve"> </w:t>
      </w:r>
      <w:r w:rsidRPr="00282298">
        <w:t>25/1955.</w:t>
      </w:r>
    </w:p>
  </w:footnote>
  <w:footnote w:id="267">
    <w:p w:rsidR="005E7922" w:rsidRPr="00282298" w:rsidRDefault="005E7922" w:rsidP="009032C8">
      <w:pPr>
        <w:pStyle w:val="Funotentext"/>
        <w:spacing w:line="240" w:lineRule="auto"/>
        <w:contextualSpacing/>
      </w:pPr>
      <w:r w:rsidRPr="00282298">
        <w:rPr>
          <w:rStyle w:val="Funotenzeichen"/>
        </w:rPr>
        <w:footnoteRef/>
      </w:r>
      <w:r w:rsidRPr="00282298">
        <w:t xml:space="preserve"> </w:t>
      </w:r>
      <w:r>
        <w:t xml:space="preserve"> </w:t>
      </w:r>
      <w:r w:rsidRPr="00282298">
        <w:t>OECD 2003: 13; Van Heerden &amp; Neethling 1995: 21-22.</w:t>
      </w:r>
    </w:p>
  </w:footnote>
  <w:footnote w:id="268">
    <w:p w:rsidR="005E7922" w:rsidRPr="00CB4F0B" w:rsidRDefault="005E7922" w:rsidP="009032C8">
      <w:pPr>
        <w:pStyle w:val="Funotentext"/>
        <w:spacing w:line="240" w:lineRule="auto"/>
        <w:contextualSpacing/>
        <w:rPr>
          <w:lang w:val="af-ZA"/>
        </w:rPr>
      </w:pPr>
      <w:r>
        <w:rPr>
          <w:rStyle w:val="Funotenzeichen"/>
        </w:rPr>
        <w:footnoteRef/>
      </w:r>
      <w:r>
        <w:t xml:space="preserve"> </w:t>
      </w:r>
      <w:r>
        <w:rPr>
          <w:lang w:val="af-ZA"/>
        </w:rPr>
        <w:t xml:space="preserve"> </w:t>
      </w:r>
      <w:r w:rsidRPr="00282298">
        <w:t>Regulation of Monopolistic Conditions Act 25/1955.</w:t>
      </w:r>
    </w:p>
  </w:footnote>
  <w:footnote w:id="269">
    <w:p w:rsidR="005E7922" w:rsidRPr="00282298" w:rsidRDefault="005E7922" w:rsidP="009032C8">
      <w:pPr>
        <w:pStyle w:val="Funotentext"/>
        <w:spacing w:line="240" w:lineRule="auto"/>
        <w:contextualSpacing/>
      </w:pPr>
      <w:r w:rsidRPr="00282298">
        <w:rPr>
          <w:rStyle w:val="Funotenzeichen"/>
        </w:rPr>
        <w:footnoteRef/>
      </w:r>
      <w:r w:rsidRPr="00282298">
        <w:t xml:space="preserve"> </w:t>
      </w:r>
      <w:r>
        <w:t xml:space="preserve"> </w:t>
      </w:r>
      <w:r w:rsidRPr="00282298">
        <w:t>25/1955. OECD 2003: 13; Van Heerden &amp; Neethling 1995: 21-22.</w:t>
      </w:r>
    </w:p>
  </w:footnote>
  <w:footnote w:id="270">
    <w:p w:rsidR="005E7922" w:rsidRPr="00282298" w:rsidRDefault="005E7922" w:rsidP="007B129B">
      <w:pPr>
        <w:pStyle w:val="Funotentext"/>
        <w:spacing w:line="240" w:lineRule="auto"/>
        <w:contextualSpacing/>
      </w:pPr>
      <w:r w:rsidRPr="00282298">
        <w:rPr>
          <w:rStyle w:val="Funotenzeichen"/>
        </w:rPr>
        <w:footnoteRef/>
      </w:r>
      <w:r w:rsidRPr="00282298">
        <w:t xml:space="preserve"> </w:t>
      </w:r>
      <w:r>
        <w:t xml:space="preserve"> </w:t>
      </w:r>
      <w:r w:rsidRPr="00282298">
        <w:t>25/1955.</w:t>
      </w:r>
    </w:p>
  </w:footnote>
  <w:footnote w:id="271">
    <w:p w:rsidR="005E7922" w:rsidRPr="009032C8" w:rsidRDefault="005E7922" w:rsidP="007B129B">
      <w:pPr>
        <w:pStyle w:val="Funotentext"/>
        <w:spacing w:line="240" w:lineRule="auto"/>
        <w:contextualSpacing/>
        <w:rPr>
          <w:lang w:val="af-ZA"/>
        </w:rPr>
      </w:pPr>
      <w:r>
        <w:rPr>
          <w:rStyle w:val="Funotenzeichen"/>
        </w:rPr>
        <w:footnoteRef/>
      </w:r>
      <w:r>
        <w:t xml:space="preserve"> </w:t>
      </w:r>
      <w:r>
        <w:rPr>
          <w:lang w:val="af-ZA"/>
        </w:rPr>
        <w:t xml:space="preserve"> </w:t>
      </w:r>
      <w:r w:rsidRPr="00282298">
        <w:t>Regulation of Monopolistic Conditions Act 25/1955.</w:t>
      </w:r>
    </w:p>
  </w:footnote>
  <w:footnote w:id="272">
    <w:p w:rsidR="005E7922" w:rsidRPr="009032C8" w:rsidRDefault="005E7922" w:rsidP="007B129B">
      <w:pPr>
        <w:pStyle w:val="Funotentext"/>
        <w:spacing w:line="240" w:lineRule="auto"/>
        <w:contextualSpacing/>
        <w:rPr>
          <w:lang w:val="af-ZA"/>
        </w:rPr>
      </w:pPr>
      <w:r>
        <w:rPr>
          <w:rStyle w:val="Funotenzeichen"/>
        </w:rPr>
        <w:footnoteRef/>
      </w:r>
      <w:r>
        <w:t xml:space="preserve"> </w:t>
      </w:r>
      <w:r>
        <w:rPr>
          <w:lang w:val="af-ZA"/>
        </w:rPr>
        <w:t xml:space="preserve"> </w:t>
      </w:r>
      <w:r w:rsidRPr="00282298">
        <w:t>Regulation of Monopolistic Conditions Act 25/1955.</w:t>
      </w:r>
    </w:p>
  </w:footnote>
  <w:footnote w:id="273">
    <w:p w:rsidR="005E7922" w:rsidRPr="00823EE2" w:rsidRDefault="005E7922" w:rsidP="007B129B">
      <w:pPr>
        <w:pStyle w:val="Funotentext"/>
        <w:spacing w:line="240" w:lineRule="auto"/>
        <w:contextualSpacing/>
      </w:pPr>
      <w:r w:rsidRPr="00823EE2">
        <w:rPr>
          <w:rStyle w:val="Funotenzeichen"/>
        </w:rPr>
        <w:footnoteRef/>
      </w:r>
      <w:r w:rsidRPr="00823EE2">
        <w:t xml:space="preserve"> </w:t>
      </w:r>
      <w:r>
        <w:t xml:space="preserve"> </w:t>
      </w:r>
      <w:r w:rsidRPr="00823EE2">
        <w:t>Van Heerden &amp; Neethling 1995: 22.</w:t>
      </w:r>
    </w:p>
  </w:footnote>
  <w:footnote w:id="274">
    <w:p w:rsidR="005E7922" w:rsidRPr="00823EE2" w:rsidRDefault="005E7922" w:rsidP="007B129B">
      <w:pPr>
        <w:pStyle w:val="Funotentext"/>
        <w:spacing w:line="240" w:lineRule="auto"/>
        <w:contextualSpacing/>
      </w:pPr>
      <w:r w:rsidRPr="00823EE2">
        <w:rPr>
          <w:rStyle w:val="Funotenzeichen"/>
        </w:rPr>
        <w:footnoteRef/>
      </w:r>
      <w:r w:rsidRPr="00823EE2">
        <w:t xml:space="preserve"> </w:t>
      </w:r>
      <w:r>
        <w:t xml:space="preserve"> </w:t>
      </w:r>
      <w:r w:rsidRPr="00823EE2">
        <w:t>25/1955.</w:t>
      </w:r>
    </w:p>
  </w:footnote>
  <w:footnote w:id="275">
    <w:p w:rsidR="005E7922" w:rsidRPr="00823EE2" w:rsidRDefault="005E7922" w:rsidP="007B129B">
      <w:pPr>
        <w:pStyle w:val="Funotentext"/>
        <w:spacing w:line="240" w:lineRule="auto"/>
        <w:contextualSpacing/>
      </w:pPr>
      <w:r w:rsidRPr="00823EE2">
        <w:rPr>
          <w:rStyle w:val="Funotenzeichen"/>
        </w:rPr>
        <w:footnoteRef/>
      </w:r>
      <w:r w:rsidRPr="00823EE2">
        <w:t xml:space="preserve"> </w:t>
      </w:r>
      <w:r>
        <w:t xml:space="preserve"> </w:t>
      </w:r>
      <w:r w:rsidRPr="00823EE2">
        <w:t>96/1979.</w:t>
      </w:r>
    </w:p>
  </w:footnote>
  <w:footnote w:id="276">
    <w:p w:rsidR="005E7922" w:rsidRPr="00823EE2" w:rsidRDefault="005E7922" w:rsidP="007B129B">
      <w:pPr>
        <w:pStyle w:val="Funotentext"/>
        <w:spacing w:line="240" w:lineRule="auto"/>
        <w:contextualSpacing/>
      </w:pPr>
      <w:r w:rsidRPr="00823EE2">
        <w:rPr>
          <w:rStyle w:val="Funotenzeichen"/>
        </w:rPr>
        <w:footnoteRef/>
      </w:r>
      <w:r w:rsidRPr="00823EE2">
        <w:t xml:space="preserve"> </w:t>
      </w:r>
      <w:r>
        <w:t xml:space="preserve"> </w:t>
      </w:r>
      <w:r w:rsidRPr="00823EE2">
        <w:t>United Nations Conference on Trade and Development 1998: 24; OECD 2003: 13; Smith 2005: 2; Van Heerden &amp; Neethling 1995: 18; the Competition Commission on http://www.compcom.co.za/about-us/ (accessed on 11 March 2011)</w:t>
      </w:r>
    </w:p>
  </w:footnote>
  <w:footnote w:id="277">
    <w:p w:rsidR="005E7922" w:rsidRPr="00823EE2" w:rsidRDefault="005E7922" w:rsidP="007B129B">
      <w:pPr>
        <w:pStyle w:val="Funotentext"/>
        <w:spacing w:line="240" w:lineRule="auto"/>
        <w:contextualSpacing/>
      </w:pPr>
      <w:r w:rsidRPr="00823EE2">
        <w:rPr>
          <w:rStyle w:val="Funotenzeichen"/>
        </w:rPr>
        <w:footnoteRef/>
      </w:r>
      <w:r w:rsidRPr="00823EE2">
        <w:t xml:space="preserve"> </w:t>
      </w:r>
      <w:r>
        <w:t xml:space="preserve"> </w:t>
      </w:r>
      <w:r w:rsidRPr="00823EE2">
        <w:t>96/1979.</w:t>
      </w:r>
    </w:p>
  </w:footnote>
  <w:footnote w:id="278">
    <w:p w:rsidR="005E7922" w:rsidRPr="00EA6097" w:rsidRDefault="005E7922" w:rsidP="007B129B">
      <w:pPr>
        <w:pStyle w:val="Funotentext"/>
        <w:spacing w:line="240" w:lineRule="auto"/>
        <w:contextualSpacing/>
        <w:rPr>
          <w:lang w:val="af-ZA"/>
        </w:rPr>
      </w:pPr>
      <w:r>
        <w:rPr>
          <w:rStyle w:val="Funotenzeichen"/>
        </w:rPr>
        <w:footnoteRef/>
      </w:r>
      <w:r>
        <w:t xml:space="preserve"> </w:t>
      </w:r>
      <w:r>
        <w:rPr>
          <w:lang w:val="af-ZA"/>
        </w:rPr>
        <w:t xml:space="preserve"> </w:t>
      </w:r>
      <w:r w:rsidRPr="00823EE2">
        <w:t>Maintenance and Promotion of Competition Act 96/1979.</w:t>
      </w:r>
    </w:p>
  </w:footnote>
  <w:footnote w:id="279">
    <w:p w:rsidR="005E7922" w:rsidRPr="00823EE2" w:rsidRDefault="005E7922" w:rsidP="007B129B">
      <w:pPr>
        <w:pStyle w:val="Funotentext"/>
        <w:spacing w:line="240" w:lineRule="auto"/>
        <w:contextualSpacing/>
      </w:pPr>
      <w:r w:rsidRPr="00823EE2">
        <w:rPr>
          <w:rStyle w:val="Funotenzeichen"/>
        </w:rPr>
        <w:footnoteRef/>
      </w:r>
      <w:r w:rsidRPr="00823EE2">
        <w:t xml:space="preserve"> </w:t>
      </w:r>
      <w:r>
        <w:t xml:space="preserve"> </w:t>
      </w:r>
      <w:r w:rsidRPr="00823EE2">
        <w:t>OECD 2003: 13.</w:t>
      </w:r>
    </w:p>
  </w:footnote>
  <w:footnote w:id="280">
    <w:p w:rsidR="005E7922" w:rsidRPr="00EA6097" w:rsidRDefault="005E7922" w:rsidP="007B129B">
      <w:pPr>
        <w:pStyle w:val="Funotentext"/>
        <w:spacing w:line="240" w:lineRule="auto"/>
        <w:contextualSpacing/>
        <w:rPr>
          <w:lang w:val="af-ZA"/>
        </w:rPr>
      </w:pPr>
      <w:r>
        <w:rPr>
          <w:rStyle w:val="Funotenzeichen"/>
        </w:rPr>
        <w:footnoteRef/>
      </w:r>
      <w:r>
        <w:t xml:space="preserve"> </w:t>
      </w:r>
      <w:r>
        <w:rPr>
          <w:lang w:val="af-ZA"/>
        </w:rPr>
        <w:t xml:space="preserve"> </w:t>
      </w:r>
      <w:r w:rsidRPr="00823EE2">
        <w:t>OECD 2003: 13.</w:t>
      </w:r>
    </w:p>
  </w:footnote>
  <w:footnote w:id="281">
    <w:p w:rsidR="005E7922" w:rsidRPr="00823EE2" w:rsidRDefault="005E7922" w:rsidP="007B129B">
      <w:pPr>
        <w:pStyle w:val="Funotentext"/>
        <w:spacing w:line="240" w:lineRule="auto"/>
        <w:contextualSpacing/>
      </w:pPr>
      <w:r w:rsidRPr="00823EE2">
        <w:rPr>
          <w:rStyle w:val="Funotenzeichen"/>
        </w:rPr>
        <w:footnoteRef/>
      </w:r>
      <w:r w:rsidRPr="00823EE2">
        <w:t xml:space="preserve"> </w:t>
      </w:r>
      <w:r>
        <w:t xml:space="preserve"> </w:t>
      </w:r>
      <w:r w:rsidRPr="00823EE2">
        <w:t>OECD 2003: 13.</w:t>
      </w:r>
    </w:p>
  </w:footnote>
  <w:footnote w:id="282">
    <w:p w:rsidR="005E7922" w:rsidRPr="00823EE2" w:rsidRDefault="005E7922" w:rsidP="00A02FC3">
      <w:pPr>
        <w:pStyle w:val="Funotentext"/>
        <w:spacing w:line="240" w:lineRule="auto"/>
        <w:contextualSpacing/>
      </w:pPr>
      <w:r w:rsidRPr="00823EE2">
        <w:rPr>
          <w:rStyle w:val="Funotenzeichen"/>
        </w:rPr>
        <w:footnoteRef/>
      </w:r>
      <w:r w:rsidRPr="00823EE2">
        <w:t xml:space="preserve"> </w:t>
      </w:r>
      <w:r>
        <w:t xml:space="preserve"> </w:t>
      </w:r>
      <w:r w:rsidRPr="00823EE2">
        <w:t>OECD 2003: 13.</w:t>
      </w:r>
    </w:p>
  </w:footnote>
  <w:footnote w:id="283">
    <w:p w:rsidR="005E7922" w:rsidRPr="00823EE2" w:rsidRDefault="005E7922" w:rsidP="00A02FC3">
      <w:pPr>
        <w:pStyle w:val="Funotentext"/>
        <w:spacing w:line="240" w:lineRule="auto"/>
        <w:contextualSpacing/>
      </w:pPr>
      <w:r w:rsidRPr="00823EE2">
        <w:rPr>
          <w:rStyle w:val="Funotenzeichen"/>
        </w:rPr>
        <w:footnoteRef/>
      </w:r>
      <w:r w:rsidRPr="00823EE2">
        <w:t xml:space="preserve"> </w:t>
      </w:r>
      <w:r>
        <w:t xml:space="preserve"> </w:t>
      </w:r>
      <w:r w:rsidRPr="00823EE2">
        <w:t>OECD 2003: 13.</w:t>
      </w:r>
    </w:p>
  </w:footnote>
  <w:footnote w:id="284">
    <w:p w:rsidR="005E7922" w:rsidRPr="00823EE2" w:rsidRDefault="005E7922" w:rsidP="00A02FC3">
      <w:pPr>
        <w:pStyle w:val="Funotentext"/>
        <w:spacing w:line="240" w:lineRule="auto"/>
        <w:contextualSpacing/>
      </w:pPr>
      <w:r w:rsidRPr="00823EE2">
        <w:rPr>
          <w:rStyle w:val="Funotenzeichen"/>
        </w:rPr>
        <w:footnoteRef/>
      </w:r>
      <w:r w:rsidRPr="00823EE2">
        <w:t xml:space="preserve"> </w:t>
      </w:r>
      <w:r>
        <w:t xml:space="preserve"> </w:t>
      </w:r>
      <w:r w:rsidRPr="00823EE2">
        <w:t>Van Heerden &amp; Neethling 1995: 21.</w:t>
      </w:r>
    </w:p>
  </w:footnote>
  <w:footnote w:id="285">
    <w:p w:rsidR="005E7922" w:rsidRPr="00012B8F" w:rsidRDefault="005E7922" w:rsidP="00A02FC3">
      <w:pPr>
        <w:pStyle w:val="Funotentext"/>
        <w:spacing w:line="240" w:lineRule="auto"/>
        <w:contextualSpacing/>
      </w:pPr>
      <w:r w:rsidRPr="00012B8F">
        <w:rPr>
          <w:rStyle w:val="Funotenzeichen"/>
        </w:rPr>
        <w:footnoteRef/>
      </w:r>
      <w:r w:rsidRPr="00012B8F">
        <w:t xml:space="preserve"> </w:t>
      </w:r>
      <w:r>
        <w:t xml:space="preserve"> </w:t>
      </w:r>
      <w:r w:rsidRPr="00012B8F">
        <w:t xml:space="preserve">The meaning of the term </w:t>
      </w:r>
      <w:r>
        <w:t>“</w:t>
      </w:r>
      <w:r w:rsidRPr="00012B8F">
        <w:t>concentration</w:t>
      </w:r>
      <w:r>
        <w:t>”</w:t>
      </w:r>
      <w:r w:rsidRPr="00012B8F">
        <w:t xml:space="preserve"> will be discussed in section 2.5.</w:t>
      </w:r>
    </w:p>
  </w:footnote>
  <w:footnote w:id="286">
    <w:p w:rsidR="005E7922" w:rsidRPr="00012B8F" w:rsidRDefault="005E7922" w:rsidP="00A02FC3">
      <w:pPr>
        <w:pStyle w:val="Funotentext"/>
        <w:spacing w:line="240" w:lineRule="auto"/>
        <w:contextualSpacing/>
      </w:pPr>
      <w:r w:rsidRPr="00012B8F">
        <w:rPr>
          <w:rStyle w:val="Funotenzeichen"/>
        </w:rPr>
        <w:footnoteRef/>
      </w:r>
      <w:r w:rsidRPr="00012B8F">
        <w:t xml:space="preserve"> </w:t>
      </w:r>
      <w:r>
        <w:t xml:space="preserve"> </w:t>
      </w:r>
      <w:r w:rsidRPr="00012B8F">
        <w:t>Van Heerden &amp; Neethling 1995: 21.</w:t>
      </w:r>
    </w:p>
  </w:footnote>
  <w:footnote w:id="287">
    <w:p w:rsidR="005E7922" w:rsidRPr="00012B8F" w:rsidRDefault="005E7922" w:rsidP="00A02FC3">
      <w:pPr>
        <w:pStyle w:val="Funotentext"/>
        <w:spacing w:line="240" w:lineRule="auto"/>
        <w:contextualSpacing/>
      </w:pPr>
      <w:r w:rsidRPr="00012B8F">
        <w:rPr>
          <w:rStyle w:val="Funotenzeichen"/>
        </w:rPr>
        <w:footnoteRef/>
      </w:r>
      <w:r w:rsidRPr="00012B8F">
        <w:t xml:space="preserve"> </w:t>
      </w:r>
      <w:r>
        <w:t xml:space="preserve"> </w:t>
      </w:r>
      <w:r w:rsidRPr="00012B8F">
        <w:t>Van Heerden &amp; Neethling 1995: 21.</w:t>
      </w:r>
    </w:p>
  </w:footnote>
  <w:footnote w:id="288">
    <w:p w:rsidR="005E7922" w:rsidRPr="00012B8F" w:rsidRDefault="005E7922" w:rsidP="00A02FC3">
      <w:pPr>
        <w:pStyle w:val="Funotentext"/>
        <w:spacing w:line="240" w:lineRule="auto"/>
        <w:contextualSpacing/>
      </w:pPr>
      <w:r w:rsidRPr="00012B8F">
        <w:rPr>
          <w:rStyle w:val="Funotenzeichen"/>
        </w:rPr>
        <w:footnoteRef/>
      </w:r>
      <w:r w:rsidRPr="00012B8F">
        <w:t xml:space="preserve"> </w:t>
      </w:r>
      <w:r>
        <w:t xml:space="preserve"> </w:t>
      </w:r>
      <w:r w:rsidRPr="00012B8F">
        <w:t>25/1955.</w:t>
      </w:r>
    </w:p>
  </w:footnote>
  <w:footnote w:id="289">
    <w:p w:rsidR="005E7922" w:rsidRPr="00012B8F" w:rsidRDefault="005E7922" w:rsidP="00A02FC3">
      <w:pPr>
        <w:pStyle w:val="Funotentext"/>
        <w:spacing w:line="240" w:lineRule="auto"/>
        <w:contextualSpacing/>
      </w:pPr>
      <w:r w:rsidRPr="00012B8F">
        <w:rPr>
          <w:rStyle w:val="Funotenzeichen"/>
        </w:rPr>
        <w:footnoteRef/>
      </w:r>
      <w:r w:rsidRPr="00012B8F">
        <w:t xml:space="preserve"> </w:t>
      </w:r>
      <w:r>
        <w:t xml:space="preserve"> </w:t>
      </w:r>
      <w:r w:rsidRPr="00012B8F">
        <w:t>Van Heerden &amp; Neethling 1995: 21.</w:t>
      </w:r>
    </w:p>
  </w:footnote>
  <w:footnote w:id="290">
    <w:p w:rsidR="005E7922" w:rsidRPr="00012B8F" w:rsidRDefault="005E7922" w:rsidP="00A02FC3">
      <w:pPr>
        <w:pStyle w:val="Funotentext"/>
        <w:spacing w:line="240" w:lineRule="auto"/>
        <w:contextualSpacing/>
      </w:pPr>
      <w:r w:rsidRPr="00012B8F">
        <w:rPr>
          <w:rStyle w:val="Funotenzeichen"/>
        </w:rPr>
        <w:footnoteRef/>
      </w:r>
      <w:r w:rsidRPr="00012B8F">
        <w:t xml:space="preserve"> </w:t>
      </w:r>
      <w:r>
        <w:t xml:space="preserve"> </w:t>
      </w:r>
      <w:r w:rsidRPr="00012B8F">
        <w:t>96/1979.</w:t>
      </w:r>
    </w:p>
  </w:footnote>
  <w:footnote w:id="291">
    <w:p w:rsidR="005E7922" w:rsidRPr="00012B8F" w:rsidRDefault="005E7922" w:rsidP="00BC1300">
      <w:pPr>
        <w:pStyle w:val="Funotentext"/>
        <w:spacing w:line="240" w:lineRule="auto"/>
        <w:contextualSpacing/>
      </w:pPr>
      <w:r w:rsidRPr="00012B8F">
        <w:rPr>
          <w:rStyle w:val="Funotenzeichen"/>
        </w:rPr>
        <w:footnoteRef/>
      </w:r>
      <w:r w:rsidRPr="00012B8F">
        <w:t xml:space="preserve"> </w:t>
      </w:r>
      <w:r>
        <w:t xml:space="preserve"> </w:t>
      </w:r>
      <w:r w:rsidRPr="00012B8F">
        <w:t>Van Heerden &amp; Neethling 1995:18;  OECD 2003: 13; the Competition Commission on http://www.compcom.co.za/about-us/ (accessed on 11 March 2011)</w:t>
      </w:r>
    </w:p>
  </w:footnote>
  <w:footnote w:id="292">
    <w:p w:rsidR="005E7922" w:rsidRPr="00012B8F" w:rsidRDefault="005E7922" w:rsidP="00BC1300">
      <w:pPr>
        <w:pStyle w:val="Funotentext"/>
        <w:spacing w:line="240" w:lineRule="auto"/>
        <w:contextualSpacing/>
      </w:pPr>
      <w:r w:rsidRPr="00012B8F">
        <w:rPr>
          <w:rStyle w:val="Funotenzeichen"/>
        </w:rPr>
        <w:footnoteRef/>
      </w:r>
      <w:r w:rsidRPr="00012B8F">
        <w:t xml:space="preserve"> </w:t>
      </w:r>
      <w:r>
        <w:t xml:space="preserve"> </w:t>
      </w:r>
      <w:r w:rsidRPr="00012B8F">
        <w:t>96/1979.</w:t>
      </w:r>
    </w:p>
  </w:footnote>
  <w:footnote w:id="293">
    <w:p w:rsidR="005E7922" w:rsidRPr="00012B8F" w:rsidRDefault="005E7922" w:rsidP="00BC1300">
      <w:pPr>
        <w:pStyle w:val="Funotentext"/>
        <w:spacing w:line="240" w:lineRule="auto"/>
        <w:contextualSpacing/>
      </w:pPr>
      <w:r w:rsidRPr="00012B8F">
        <w:rPr>
          <w:rStyle w:val="Funotenzeichen"/>
        </w:rPr>
        <w:footnoteRef/>
      </w:r>
      <w:r w:rsidRPr="00012B8F">
        <w:t xml:space="preserve"> </w:t>
      </w:r>
      <w:r>
        <w:t xml:space="preserve"> </w:t>
      </w:r>
      <w:r w:rsidRPr="00012B8F">
        <w:t>Maintenance and Promotion of Competition Act 96/1979.</w:t>
      </w:r>
    </w:p>
  </w:footnote>
  <w:footnote w:id="294">
    <w:p w:rsidR="005E7922" w:rsidRPr="00012B8F" w:rsidRDefault="005E7922" w:rsidP="00D17507">
      <w:pPr>
        <w:pStyle w:val="Funotentext"/>
        <w:spacing w:line="240" w:lineRule="auto"/>
        <w:contextualSpacing/>
      </w:pPr>
      <w:r w:rsidRPr="00012B8F">
        <w:rPr>
          <w:rStyle w:val="Funotenzeichen"/>
        </w:rPr>
        <w:footnoteRef/>
      </w:r>
      <w:r w:rsidRPr="00012B8F">
        <w:t xml:space="preserve"> </w:t>
      </w:r>
      <w:r>
        <w:t xml:space="preserve"> </w:t>
      </w:r>
      <w:r w:rsidRPr="00012B8F">
        <w:t>96/1979.</w:t>
      </w:r>
    </w:p>
  </w:footnote>
  <w:footnote w:id="295">
    <w:p w:rsidR="005E7922" w:rsidRPr="00012B8F" w:rsidRDefault="005E7922" w:rsidP="00BC1300">
      <w:pPr>
        <w:pStyle w:val="Funotentext"/>
        <w:spacing w:line="240" w:lineRule="auto"/>
        <w:contextualSpacing/>
      </w:pPr>
      <w:r w:rsidRPr="00012B8F">
        <w:rPr>
          <w:rStyle w:val="Funotenzeichen"/>
        </w:rPr>
        <w:footnoteRef/>
      </w:r>
      <w:r w:rsidRPr="00012B8F">
        <w:t xml:space="preserve"> </w:t>
      </w:r>
      <w:r>
        <w:t xml:space="preserve"> </w:t>
      </w:r>
      <w:r w:rsidRPr="00012B8F">
        <w:t>Jafta 1998: 2-3.</w:t>
      </w:r>
    </w:p>
  </w:footnote>
  <w:footnote w:id="296">
    <w:p w:rsidR="005E7922" w:rsidRPr="00012B8F" w:rsidRDefault="005E7922" w:rsidP="00BC1300">
      <w:pPr>
        <w:pStyle w:val="Funotentext"/>
        <w:spacing w:line="240" w:lineRule="auto"/>
        <w:contextualSpacing/>
      </w:pPr>
      <w:r w:rsidRPr="00012B8F">
        <w:rPr>
          <w:rStyle w:val="Funotenzeichen"/>
        </w:rPr>
        <w:footnoteRef/>
      </w:r>
      <w:r w:rsidRPr="00012B8F">
        <w:t xml:space="preserve"> </w:t>
      </w:r>
      <w:r>
        <w:t xml:space="preserve"> </w:t>
      </w:r>
      <w:r w:rsidRPr="00012B8F">
        <w:t>96/1979.</w:t>
      </w:r>
    </w:p>
  </w:footnote>
  <w:footnote w:id="297">
    <w:p w:rsidR="005E7922" w:rsidRPr="00012B8F" w:rsidRDefault="005E7922" w:rsidP="00BC1300">
      <w:pPr>
        <w:pStyle w:val="Funotentext"/>
        <w:spacing w:line="240" w:lineRule="auto"/>
        <w:contextualSpacing/>
      </w:pPr>
      <w:r w:rsidRPr="00012B8F">
        <w:rPr>
          <w:rStyle w:val="Funotenzeichen"/>
        </w:rPr>
        <w:footnoteRef/>
      </w:r>
      <w:r w:rsidRPr="00012B8F">
        <w:t xml:space="preserve"> </w:t>
      </w:r>
      <w:r>
        <w:t xml:space="preserve"> </w:t>
      </w:r>
      <w:r w:rsidRPr="00012B8F">
        <w:t>Roberts 2004: 7.</w:t>
      </w:r>
    </w:p>
  </w:footnote>
  <w:footnote w:id="298">
    <w:p w:rsidR="005E7922" w:rsidRPr="00582BF6" w:rsidRDefault="005E7922" w:rsidP="00BC1300">
      <w:pPr>
        <w:pStyle w:val="Funotentext"/>
        <w:spacing w:line="240" w:lineRule="auto"/>
        <w:contextualSpacing/>
      </w:pPr>
      <w:r w:rsidRPr="00582BF6">
        <w:rPr>
          <w:rStyle w:val="Funotenzeichen"/>
        </w:rPr>
        <w:footnoteRef/>
      </w:r>
      <w:r w:rsidRPr="00582BF6">
        <w:t xml:space="preserve"> </w:t>
      </w:r>
      <w:r>
        <w:t xml:space="preserve"> </w:t>
      </w:r>
      <w:r w:rsidRPr="00582BF6">
        <w:t>Roberts 2004: 8.</w:t>
      </w:r>
    </w:p>
  </w:footnote>
  <w:footnote w:id="299">
    <w:p w:rsidR="005E7922" w:rsidRPr="00582BF6" w:rsidRDefault="005E7922" w:rsidP="00BC1300">
      <w:pPr>
        <w:pStyle w:val="Funotentext"/>
        <w:spacing w:line="240" w:lineRule="auto"/>
        <w:contextualSpacing/>
      </w:pPr>
      <w:r w:rsidRPr="00582BF6">
        <w:rPr>
          <w:rStyle w:val="Funotenzeichen"/>
        </w:rPr>
        <w:footnoteRef/>
      </w:r>
      <w:r w:rsidRPr="00582BF6">
        <w:t xml:space="preserve"> </w:t>
      </w:r>
      <w:r>
        <w:t xml:space="preserve"> </w:t>
      </w:r>
      <w:r w:rsidRPr="00582BF6">
        <w:t>Maintenance and Promotion of Competition Act 96/1979: section 1.</w:t>
      </w:r>
    </w:p>
  </w:footnote>
  <w:footnote w:id="300">
    <w:p w:rsidR="005E7922" w:rsidRPr="00582BF6" w:rsidRDefault="005E7922" w:rsidP="00BC1300">
      <w:pPr>
        <w:pStyle w:val="Funotentext"/>
        <w:spacing w:line="240" w:lineRule="auto"/>
        <w:contextualSpacing/>
      </w:pPr>
      <w:r w:rsidRPr="00582BF6">
        <w:rPr>
          <w:rStyle w:val="Funotenzeichen"/>
        </w:rPr>
        <w:footnoteRef/>
      </w:r>
      <w:r w:rsidRPr="00582BF6">
        <w:t xml:space="preserve"> </w:t>
      </w:r>
      <w:r>
        <w:t xml:space="preserve"> </w:t>
      </w:r>
      <w:r w:rsidRPr="00582BF6">
        <w:t>Horizontal practises will be explained in section 2.4.</w:t>
      </w:r>
    </w:p>
  </w:footnote>
  <w:footnote w:id="301">
    <w:p w:rsidR="005E7922" w:rsidRPr="00582BF6" w:rsidRDefault="005E7922" w:rsidP="00BC1300">
      <w:pPr>
        <w:pStyle w:val="Funotentext"/>
        <w:spacing w:line="240" w:lineRule="auto"/>
        <w:contextualSpacing/>
      </w:pPr>
      <w:r w:rsidRPr="00582BF6">
        <w:rPr>
          <w:rStyle w:val="Funotenzeichen"/>
        </w:rPr>
        <w:footnoteRef/>
      </w:r>
      <w:r w:rsidRPr="00582BF6">
        <w:t xml:space="preserve"> </w:t>
      </w:r>
      <w:r>
        <w:t xml:space="preserve"> </w:t>
      </w:r>
      <w:r w:rsidRPr="00582BF6">
        <w:t>Roberts 2004: 7-8.</w:t>
      </w:r>
    </w:p>
  </w:footnote>
  <w:footnote w:id="302">
    <w:p w:rsidR="005E7922" w:rsidRPr="00582BF6" w:rsidRDefault="005E7922" w:rsidP="00BC1300">
      <w:pPr>
        <w:pStyle w:val="Funotentext"/>
        <w:spacing w:line="240" w:lineRule="auto"/>
        <w:contextualSpacing/>
      </w:pPr>
      <w:r w:rsidRPr="00582BF6">
        <w:rPr>
          <w:rStyle w:val="Funotenzeichen"/>
        </w:rPr>
        <w:footnoteRef/>
      </w:r>
      <w:r w:rsidRPr="00582BF6">
        <w:t xml:space="preserve"> </w:t>
      </w:r>
      <w:r>
        <w:t xml:space="preserve"> </w:t>
      </w:r>
      <w:r w:rsidRPr="00582BF6">
        <w:t>96/1979.</w:t>
      </w:r>
    </w:p>
  </w:footnote>
  <w:footnote w:id="303">
    <w:p w:rsidR="005E7922" w:rsidRPr="00582BF6" w:rsidRDefault="005E7922" w:rsidP="00BC1300">
      <w:pPr>
        <w:pStyle w:val="Funotentext"/>
        <w:spacing w:line="240" w:lineRule="auto"/>
        <w:contextualSpacing/>
      </w:pPr>
      <w:r w:rsidRPr="00582BF6">
        <w:rPr>
          <w:rStyle w:val="Funotenzeichen"/>
        </w:rPr>
        <w:footnoteRef/>
      </w:r>
      <w:r w:rsidRPr="00582BF6">
        <w:t xml:space="preserve"> </w:t>
      </w:r>
      <w:r>
        <w:t xml:space="preserve"> </w:t>
      </w:r>
      <w:r w:rsidRPr="00582BF6">
        <w:t>Roberts 2004: 8. The importance of this sentence will become clear in section 2.5.</w:t>
      </w:r>
    </w:p>
  </w:footnote>
  <w:footnote w:id="304">
    <w:p w:rsidR="005E7922" w:rsidRPr="00582BF6" w:rsidRDefault="005E7922" w:rsidP="00BC1300">
      <w:pPr>
        <w:pStyle w:val="Funotentext"/>
        <w:spacing w:line="240" w:lineRule="auto"/>
        <w:contextualSpacing/>
      </w:pPr>
      <w:r w:rsidRPr="00582BF6">
        <w:rPr>
          <w:rStyle w:val="Funotenzeichen"/>
        </w:rPr>
        <w:footnoteRef/>
      </w:r>
      <w:r w:rsidRPr="00582BF6">
        <w:t xml:space="preserve"> </w:t>
      </w:r>
      <w:r>
        <w:t xml:space="preserve"> </w:t>
      </w:r>
      <w:r w:rsidRPr="00582BF6">
        <w:t>Klein 1998: 509.</w:t>
      </w:r>
    </w:p>
  </w:footnote>
  <w:footnote w:id="305">
    <w:p w:rsidR="005E7922" w:rsidRPr="00582BF6" w:rsidRDefault="005E7922" w:rsidP="00E21D12">
      <w:pPr>
        <w:pStyle w:val="Funotentext"/>
        <w:spacing w:line="240" w:lineRule="auto"/>
        <w:contextualSpacing/>
      </w:pPr>
      <w:r w:rsidRPr="00582BF6">
        <w:rPr>
          <w:rStyle w:val="Funotenzeichen"/>
        </w:rPr>
        <w:footnoteRef/>
      </w:r>
      <w:r w:rsidRPr="00582BF6">
        <w:t xml:space="preserve"> </w:t>
      </w:r>
      <w:r>
        <w:t xml:space="preserve"> </w:t>
      </w:r>
      <w:r w:rsidRPr="00582BF6">
        <w:t>Jafta 1998: 2</w:t>
      </w:r>
    </w:p>
  </w:footnote>
  <w:footnote w:id="306">
    <w:p w:rsidR="005E7922" w:rsidRPr="00093251" w:rsidRDefault="005E7922">
      <w:pPr>
        <w:pStyle w:val="Funotentext"/>
        <w:rPr>
          <w:lang w:val="af-ZA"/>
        </w:rPr>
      </w:pPr>
      <w:r>
        <w:rPr>
          <w:rStyle w:val="Funotenzeichen"/>
        </w:rPr>
        <w:footnoteRef/>
      </w:r>
      <w:r>
        <w:t xml:space="preserve"> </w:t>
      </w:r>
      <w:r>
        <w:rPr>
          <w:lang w:val="af-ZA"/>
        </w:rPr>
        <w:t xml:space="preserve"> 96/1979.</w:t>
      </w:r>
    </w:p>
  </w:footnote>
  <w:footnote w:id="307">
    <w:p w:rsidR="005E7922" w:rsidRPr="00582BF6" w:rsidRDefault="005E7922" w:rsidP="00E21D12">
      <w:pPr>
        <w:pStyle w:val="Funotentext"/>
        <w:spacing w:line="240" w:lineRule="auto"/>
        <w:contextualSpacing/>
      </w:pPr>
      <w:r w:rsidRPr="00582BF6">
        <w:rPr>
          <w:rStyle w:val="Funotenzeichen"/>
        </w:rPr>
        <w:footnoteRef/>
      </w:r>
      <w:r w:rsidRPr="00582BF6">
        <w:t xml:space="preserve"> </w:t>
      </w:r>
      <w:r>
        <w:t xml:space="preserve"> </w:t>
      </w:r>
      <w:r w:rsidRPr="00582BF6">
        <w:t>Jafta 1998: 2.</w:t>
      </w:r>
    </w:p>
  </w:footnote>
  <w:footnote w:id="308">
    <w:p w:rsidR="005E7922" w:rsidRPr="00582BF6" w:rsidRDefault="005E7922" w:rsidP="00E21D12">
      <w:pPr>
        <w:pStyle w:val="Funotentext"/>
        <w:spacing w:line="240" w:lineRule="auto"/>
        <w:contextualSpacing/>
      </w:pPr>
      <w:r w:rsidRPr="00582BF6">
        <w:rPr>
          <w:rStyle w:val="Funotenzeichen"/>
        </w:rPr>
        <w:footnoteRef/>
      </w:r>
      <w:r w:rsidRPr="00582BF6">
        <w:t xml:space="preserve"> </w:t>
      </w:r>
      <w:r>
        <w:t xml:space="preserve"> </w:t>
      </w:r>
      <w:r w:rsidRPr="00582BF6">
        <w:t>Maintenance and Promotion of Competition Act 96/1979.</w:t>
      </w:r>
    </w:p>
  </w:footnote>
  <w:footnote w:id="309">
    <w:p w:rsidR="005E7922" w:rsidRPr="00582BF6" w:rsidRDefault="005E7922" w:rsidP="00E21D12">
      <w:pPr>
        <w:pStyle w:val="Funotentext"/>
        <w:spacing w:line="240" w:lineRule="auto"/>
        <w:contextualSpacing/>
      </w:pPr>
      <w:r w:rsidRPr="00582BF6">
        <w:rPr>
          <w:rStyle w:val="Funotenzeichen"/>
        </w:rPr>
        <w:footnoteRef/>
      </w:r>
      <w:r w:rsidRPr="00582BF6">
        <w:t xml:space="preserve"> </w:t>
      </w:r>
      <w:r>
        <w:t xml:space="preserve"> </w:t>
      </w:r>
      <w:r w:rsidRPr="00582BF6">
        <w:t>Maintenance and Promotion of Competition Act 96/1979: section 3.</w:t>
      </w:r>
    </w:p>
  </w:footnote>
  <w:footnote w:id="310">
    <w:p w:rsidR="005E7922" w:rsidRPr="00582BF6" w:rsidRDefault="005E7922" w:rsidP="00E21D12">
      <w:pPr>
        <w:pStyle w:val="Funotentext"/>
        <w:spacing w:line="240" w:lineRule="auto"/>
        <w:contextualSpacing/>
      </w:pPr>
      <w:r w:rsidRPr="00582BF6">
        <w:rPr>
          <w:rStyle w:val="Funotenzeichen"/>
        </w:rPr>
        <w:footnoteRef/>
      </w:r>
      <w:r w:rsidRPr="00582BF6">
        <w:t xml:space="preserve"> </w:t>
      </w:r>
      <w:r>
        <w:t xml:space="preserve"> </w:t>
      </w:r>
      <w:r w:rsidRPr="00582BF6">
        <w:t>OECD 2003: 13; United Nations Conference on Trade and Development 1998: 24; the Competition Commission on http://www.compcom.co.za/about-us/ (accessed on 11 March 2011)</w:t>
      </w:r>
    </w:p>
  </w:footnote>
  <w:footnote w:id="311">
    <w:p w:rsidR="005E7922" w:rsidRPr="00582BF6" w:rsidRDefault="005E7922" w:rsidP="00E21D12">
      <w:pPr>
        <w:pStyle w:val="Funotentext"/>
        <w:spacing w:line="240" w:lineRule="auto"/>
        <w:contextualSpacing/>
      </w:pPr>
      <w:r w:rsidRPr="00582BF6">
        <w:rPr>
          <w:rStyle w:val="Funotenzeichen"/>
        </w:rPr>
        <w:footnoteRef/>
      </w:r>
      <w:r w:rsidRPr="00582BF6">
        <w:t xml:space="preserve"> </w:t>
      </w:r>
      <w:r>
        <w:t xml:space="preserve"> </w:t>
      </w:r>
      <w:r w:rsidRPr="00582BF6">
        <w:t>Maintenance and Promotion of Competition Act 96/1979: section 6.</w:t>
      </w:r>
    </w:p>
  </w:footnote>
  <w:footnote w:id="312">
    <w:p w:rsidR="005E7922" w:rsidRPr="00582BF6" w:rsidRDefault="005E7922" w:rsidP="00E21D12">
      <w:pPr>
        <w:pStyle w:val="Funotentext"/>
        <w:spacing w:line="240" w:lineRule="auto"/>
        <w:contextualSpacing/>
      </w:pPr>
      <w:r w:rsidRPr="00582BF6">
        <w:rPr>
          <w:rStyle w:val="Funotenzeichen"/>
        </w:rPr>
        <w:footnoteRef/>
      </w:r>
      <w:r w:rsidRPr="00582BF6">
        <w:t xml:space="preserve"> </w:t>
      </w:r>
      <w:r>
        <w:t xml:space="preserve"> </w:t>
      </w:r>
      <w:r w:rsidRPr="00582BF6">
        <w:t>Roberts 2004: 7-8.</w:t>
      </w:r>
    </w:p>
  </w:footnote>
  <w:footnote w:id="313">
    <w:p w:rsidR="005E7922" w:rsidRPr="00582BF6" w:rsidRDefault="005E7922" w:rsidP="00E21D12">
      <w:pPr>
        <w:pStyle w:val="Funotentext"/>
        <w:spacing w:line="240" w:lineRule="auto"/>
        <w:contextualSpacing/>
      </w:pPr>
      <w:r w:rsidRPr="00582BF6">
        <w:rPr>
          <w:rStyle w:val="Funotenzeichen"/>
        </w:rPr>
        <w:footnoteRef/>
      </w:r>
      <w:r w:rsidRPr="00582BF6">
        <w:t xml:space="preserve"> </w:t>
      </w:r>
      <w:r>
        <w:t xml:space="preserve"> </w:t>
      </w:r>
      <w:r w:rsidRPr="00582BF6">
        <w:t>Maintenance and Promotion of Competition Act 96/1979.</w:t>
      </w:r>
    </w:p>
  </w:footnote>
  <w:footnote w:id="314">
    <w:p w:rsidR="005E7922" w:rsidRPr="00656668" w:rsidRDefault="005E7922" w:rsidP="00E21D12">
      <w:pPr>
        <w:pStyle w:val="Funotentext"/>
        <w:spacing w:line="240" w:lineRule="auto"/>
        <w:contextualSpacing/>
      </w:pPr>
      <w:r w:rsidRPr="00656668">
        <w:rPr>
          <w:rStyle w:val="Funotenzeichen"/>
        </w:rPr>
        <w:footnoteRef/>
      </w:r>
      <w:r w:rsidRPr="00656668">
        <w:t xml:space="preserve"> </w:t>
      </w:r>
      <w:r>
        <w:t xml:space="preserve"> </w:t>
      </w:r>
      <w:r w:rsidRPr="00656668">
        <w:t>Roberts 2004: 7-8.</w:t>
      </w:r>
    </w:p>
  </w:footnote>
  <w:footnote w:id="315">
    <w:p w:rsidR="005E7922" w:rsidRPr="00656668" w:rsidRDefault="005E7922" w:rsidP="00E21D12">
      <w:pPr>
        <w:pStyle w:val="Funotentext"/>
        <w:spacing w:line="240" w:lineRule="auto"/>
        <w:contextualSpacing/>
      </w:pPr>
      <w:r w:rsidRPr="00656668">
        <w:rPr>
          <w:rStyle w:val="Funotenzeichen"/>
        </w:rPr>
        <w:footnoteRef/>
      </w:r>
      <w:r w:rsidRPr="00656668">
        <w:t xml:space="preserve"> </w:t>
      </w:r>
      <w:r>
        <w:t xml:space="preserve"> </w:t>
      </w:r>
      <w:r w:rsidRPr="00656668">
        <w:t>Roberts 2004: 7-8.</w:t>
      </w:r>
    </w:p>
  </w:footnote>
  <w:footnote w:id="316">
    <w:p w:rsidR="005E7922" w:rsidRPr="00656668" w:rsidRDefault="005E7922" w:rsidP="00E21D12">
      <w:pPr>
        <w:pStyle w:val="Funotentext"/>
        <w:spacing w:line="240" w:lineRule="auto"/>
        <w:contextualSpacing/>
      </w:pPr>
      <w:r w:rsidRPr="00656668">
        <w:rPr>
          <w:rStyle w:val="Funotenzeichen"/>
        </w:rPr>
        <w:footnoteRef/>
      </w:r>
      <w:r w:rsidRPr="00656668">
        <w:t xml:space="preserve"> </w:t>
      </w:r>
      <w:r>
        <w:t xml:space="preserve"> </w:t>
      </w:r>
      <w:r w:rsidRPr="00656668">
        <w:t xml:space="preserve">Hartzenberg 2006: 671; Chabane </w:t>
      </w:r>
      <w:r w:rsidRPr="00656668">
        <w:rPr>
          <w:i/>
        </w:rPr>
        <w:t>et al</w:t>
      </w:r>
      <w:r w:rsidRPr="00656668">
        <w:t xml:space="preserve">  2003: 28; Roberts 2003: 7; Smith 2005: 11.</w:t>
      </w:r>
    </w:p>
  </w:footnote>
  <w:footnote w:id="317">
    <w:p w:rsidR="005E7922" w:rsidRPr="00656668" w:rsidRDefault="005E7922" w:rsidP="00E21D12">
      <w:pPr>
        <w:pStyle w:val="Funotentext"/>
        <w:spacing w:line="240" w:lineRule="auto"/>
        <w:contextualSpacing/>
      </w:pPr>
      <w:r w:rsidRPr="00656668">
        <w:rPr>
          <w:rStyle w:val="Funotenzeichen"/>
        </w:rPr>
        <w:footnoteRef/>
      </w:r>
      <w:r w:rsidRPr="00656668">
        <w:t xml:space="preserve"> </w:t>
      </w:r>
      <w:r>
        <w:t xml:space="preserve"> </w:t>
      </w:r>
      <w:r w:rsidRPr="00656668">
        <w:t xml:space="preserve">Maintenance and Promotion of Competition Act 96/1979: section 6; Hartzenberg 2006: 671; Chabane </w:t>
      </w:r>
      <w:r w:rsidRPr="00656668">
        <w:rPr>
          <w:i/>
        </w:rPr>
        <w:t>et al</w:t>
      </w:r>
      <w:r w:rsidRPr="00656668">
        <w:t xml:space="preserve">  2003: 28; Roberts 2003: 7; Smith 2005: 11.</w:t>
      </w:r>
    </w:p>
  </w:footnote>
  <w:footnote w:id="318">
    <w:p w:rsidR="005E7922" w:rsidRPr="00656668" w:rsidRDefault="005E7922" w:rsidP="00E21D12">
      <w:pPr>
        <w:pStyle w:val="Funotentext"/>
        <w:spacing w:line="240" w:lineRule="auto"/>
        <w:contextualSpacing/>
      </w:pPr>
      <w:r w:rsidRPr="00656668">
        <w:rPr>
          <w:rStyle w:val="Funotenzeichen"/>
        </w:rPr>
        <w:footnoteRef/>
      </w:r>
      <w:r w:rsidRPr="00656668">
        <w:t xml:space="preserve"> </w:t>
      </w:r>
      <w:r>
        <w:t xml:space="preserve"> </w:t>
      </w:r>
      <w:r w:rsidRPr="00656668">
        <w:t>Roberts 2003: 8.</w:t>
      </w:r>
    </w:p>
  </w:footnote>
  <w:footnote w:id="319">
    <w:p w:rsidR="005E7922" w:rsidRPr="00656668" w:rsidRDefault="005E7922" w:rsidP="0091419C">
      <w:pPr>
        <w:pStyle w:val="Funotentext"/>
        <w:spacing w:line="240" w:lineRule="auto"/>
        <w:contextualSpacing/>
      </w:pPr>
      <w:r w:rsidRPr="00656668">
        <w:rPr>
          <w:rStyle w:val="Funotenzeichen"/>
        </w:rPr>
        <w:footnoteRef/>
      </w:r>
      <w:r w:rsidRPr="00656668">
        <w:t xml:space="preserve"> </w:t>
      </w:r>
      <w:r>
        <w:t xml:space="preserve"> </w:t>
      </w:r>
      <w:r w:rsidRPr="00656668">
        <w:t>Maintenance and Promotion of Competition Act 96/1979.</w:t>
      </w:r>
    </w:p>
  </w:footnote>
  <w:footnote w:id="320">
    <w:p w:rsidR="005E7922" w:rsidRPr="00656668" w:rsidRDefault="005E7922" w:rsidP="0091419C">
      <w:pPr>
        <w:pStyle w:val="Funotentext"/>
        <w:spacing w:line="240" w:lineRule="auto"/>
        <w:contextualSpacing/>
      </w:pPr>
      <w:r w:rsidRPr="00656668">
        <w:rPr>
          <w:rStyle w:val="Funotenzeichen"/>
        </w:rPr>
        <w:footnoteRef/>
      </w:r>
      <w:r w:rsidRPr="00656668">
        <w:t xml:space="preserve"> </w:t>
      </w:r>
      <w:r>
        <w:t xml:space="preserve"> </w:t>
      </w:r>
      <w:r w:rsidRPr="00656668">
        <w:t>96/1979.</w:t>
      </w:r>
    </w:p>
  </w:footnote>
  <w:footnote w:id="321">
    <w:p w:rsidR="005E7922" w:rsidRPr="00656668" w:rsidRDefault="005E7922" w:rsidP="0091419C">
      <w:pPr>
        <w:pStyle w:val="Funotentext"/>
        <w:spacing w:line="240" w:lineRule="auto"/>
        <w:contextualSpacing/>
      </w:pPr>
      <w:r w:rsidRPr="00656668">
        <w:rPr>
          <w:rStyle w:val="Funotenzeichen"/>
        </w:rPr>
        <w:footnoteRef/>
      </w:r>
      <w:r w:rsidRPr="00656668">
        <w:t xml:space="preserve"> </w:t>
      </w:r>
      <w:r>
        <w:t xml:space="preserve"> </w:t>
      </w:r>
      <w:r w:rsidRPr="00656668">
        <w:t>Roberts 2004: 7.</w:t>
      </w:r>
    </w:p>
  </w:footnote>
  <w:footnote w:id="322">
    <w:p w:rsidR="005E7922" w:rsidRPr="00656668" w:rsidRDefault="005E7922" w:rsidP="0091419C">
      <w:pPr>
        <w:pStyle w:val="Funotentext"/>
        <w:spacing w:line="240" w:lineRule="auto"/>
        <w:contextualSpacing/>
      </w:pPr>
      <w:r w:rsidRPr="00656668">
        <w:rPr>
          <w:rStyle w:val="Funotenzeichen"/>
        </w:rPr>
        <w:footnoteRef/>
      </w:r>
      <w:r w:rsidRPr="00656668">
        <w:t xml:space="preserve"> </w:t>
      </w:r>
      <w:r>
        <w:t xml:space="preserve"> </w:t>
      </w:r>
      <w:r w:rsidRPr="00656668">
        <w:t>Smith 2005: 11.</w:t>
      </w:r>
    </w:p>
  </w:footnote>
  <w:footnote w:id="323">
    <w:p w:rsidR="005E7922" w:rsidRPr="00656668" w:rsidRDefault="005E7922" w:rsidP="0091419C">
      <w:pPr>
        <w:pStyle w:val="Funotentext"/>
        <w:spacing w:line="240" w:lineRule="auto"/>
        <w:contextualSpacing/>
      </w:pPr>
      <w:r w:rsidRPr="00656668">
        <w:rPr>
          <w:rStyle w:val="Funotenzeichen"/>
        </w:rPr>
        <w:footnoteRef/>
      </w:r>
      <w:r w:rsidRPr="00656668">
        <w:t xml:space="preserve"> </w:t>
      </w:r>
      <w:r>
        <w:t xml:space="preserve"> </w:t>
      </w:r>
      <w:r w:rsidRPr="00656668">
        <w:t>96/1979.</w:t>
      </w:r>
    </w:p>
  </w:footnote>
  <w:footnote w:id="324">
    <w:p w:rsidR="005E7922" w:rsidRPr="00656668" w:rsidRDefault="005E7922" w:rsidP="0091419C">
      <w:pPr>
        <w:pStyle w:val="Funotentext"/>
        <w:spacing w:line="240" w:lineRule="auto"/>
        <w:contextualSpacing/>
      </w:pPr>
      <w:r w:rsidRPr="00656668">
        <w:rPr>
          <w:rStyle w:val="Funotenzeichen"/>
        </w:rPr>
        <w:footnoteRef/>
      </w:r>
      <w:r w:rsidRPr="00656668">
        <w:t xml:space="preserve"> </w:t>
      </w:r>
      <w:r>
        <w:t xml:space="preserve"> </w:t>
      </w:r>
      <w:r w:rsidRPr="00656668">
        <w:t xml:space="preserve">Collusive tendering refers to a situation where a firm(s) agree to tender a higher price to ensure that one of that firms competitors are awarded that tender. The next time that competitor will tender a higher price to ensure that the other firm(s) are awarded the tender. See Neuhoff </w:t>
      </w:r>
      <w:r w:rsidRPr="00656668">
        <w:rPr>
          <w:i/>
        </w:rPr>
        <w:t>et al</w:t>
      </w:r>
      <w:r w:rsidRPr="00656668">
        <w:t xml:space="preserve">  2006: 69-70 for more information.</w:t>
      </w:r>
    </w:p>
  </w:footnote>
  <w:footnote w:id="325">
    <w:p w:rsidR="005E7922" w:rsidRPr="00656668" w:rsidRDefault="005E7922" w:rsidP="0091419C">
      <w:pPr>
        <w:pStyle w:val="Funotentext"/>
        <w:spacing w:line="240" w:lineRule="auto"/>
        <w:contextualSpacing/>
      </w:pPr>
      <w:r w:rsidRPr="00656668">
        <w:rPr>
          <w:rStyle w:val="Funotenzeichen"/>
        </w:rPr>
        <w:footnoteRef/>
      </w:r>
      <w:r w:rsidRPr="00656668">
        <w:t xml:space="preserve"> </w:t>
      </w:r>
      <w:r>
        <w:t xml:space="preserve"> </w:t>
      </w:r>
      <w:r w:rsidRPr="00656668">
        <w:t>Roberts 2004: 8; OECD 2003: 13; Smith 2005: 11.</w:t>
      </w:r>
    </w:p>
  </w:footnote>
  <w:footnote w:id="326">
    <w:p w:rsidR="005E7922" w:rsidRPr="00656668" w:rsidRDefault="005E7922" w:rsidP="0091419C">
      <w:pPr>
        <w:pStyle w:val="Funotentext"/>
        <w:spacing w:line="240" w:lineRule="auto"/>
        <w:contextualSpacing/>
      </w:pPr>
      <w:r w:rsidRPr="00656668">
        <w:rPr>
          <w:rStyle w:val="Funotenzeichen"/>
        </w:rPr>
        <w:footnoteRef/>
      </w:r>
      <w:r w:rsidRPr="00656668">
        <w:t xml:space="preserve"> </w:t>
      </w:r>
      <w:r>
        <w:t xml:space="preserve"> </w:t>
      </w:r>
      <w:r w:rsidRPr="00656668">
        <w:t>The Competition Commission on http://www.compcom.co.za/about-us/ (accessed on 11 March 2011)</w:t>
      </w:r>
    </w:p>
  </w:footnote>
  <w:footnote w:id="327">
    <w:p w:rsidR="005E7922" w:rsidRPr="00656668" w:rsidRDefault="005E7922" w:rsidP="0091419C">
      <w:pPr>
        <w:pStyle w:val="Funotentext"/>
        <w:spacing w:line="240" w:lineRule="auto"/>
        <w:contextualSpacing/>
      </w:pPr>
      <w:r w:rsidRPr="00656668">
        <w:rPr>
          <w:rStyle w:val="Funotenzeichen"/>
        </w:rPr>
        <w:footnoteRef/>
      </w:r>
      <w:r w:rsidRPr="00656668">
        <w:t xml:space="preserve"> </w:t>
      </w:r>
      <w:r>
        <w:t xml:space="preserve"> </w:t>
      </w:r>
      <w:r w:rsidRPr="00656668">
        <w:t>The Competition Commission on http://www.compcom.co.za/about-us/ (accessed on 11 March 2011)</w:t>
      </w:r>
    </w:p>
  </w:footnote>
  <w:footnote w:id="328">
    <w:p w:rsidR="005E7922" w:rsidRPr="00656668" w:rsidRDefault="005E7922" w:rsidP="00D37C0B">
      <w:pPr>
        <w:pStyle w:val="Funotentext"/>
        <w:spacing w:line="240" w:lineRule="auto"/>
        <w:contextualSpacing/>
      </w:pPr>
      <w:r w:rsidRPr="00656668">
        <w:rPr>
          <w:rStyle w:val="Funotenzeichen"/>
        </w:rPr>
        <w:footnoteRef/>
      </w:r>
      <w:r w:rsidRPr="00656668">
        <w:t xml:space="preserve"> </w:t>
      </w:r>
      <w:r>
        <w:t xml:space="preserve"> </w:t>
      </w:r>
      <w:r w:rsidRPr="00656668">
        <w:t>96/1979.</w:t>
      </w:r>
    </w:p>
  </w:footnote>
  <w:footnote w:id="329">
    <w:p w:rsidR="005E7922" w:rsidRPr="00656668" w:rsidRDefault="005E7922" w:rsidP="00D37C0B">
      <w:pPr>
        <w:pStyle w:val="Funotentext"/>
        <w:spacing w:line="240" w:lineRule="auto"/>
        <w:contextualSpacing/>
      </w:pPr>
      <w:r w:rsidRPr="00656668">
        <w:rPr>
          <w:rStyle w:val="Funotenzeichen"/>
        </w:rPr>
        <w:footnoteRef/>
      </w:r>
      <w:r w:rsidRPr="00656668">
        <w:t xml:space="preserve"> </w:t>
      </w:r>
      <w:r>
        <w:t xml:space="preserve"> </w:t>
      </w:r>
      <w:r w:rsidRPr="00656668">
        <w:t xml:space="preserve">89/1998. Neuhoff </w:t>
      </w:r>
      <w:r w:rsidRPr="00656668">
        <w:rPr>
          <w:i/>
        </w:rPr>
        <w:t>et al</w:t>
      </w:r>
      <w:r w:rsidRPr="00656668">
        <w:t xml:space="preserve">  2006: 12; Jafta 1998: 3; Roberts 2004: 8; Smith 2005: 11; OECD 2003: 13; The Competition Commission on http://www.compcom.co.za/about-us/ (accessed on 11 March 2011)</w:t>
      </w:r>
    </w:p>
  </w:footnote>
  <w:footnote w:id="330">
    <w:p w:rsidR="005E7922" w:rsidRPr="00656668" w:rsidRDefault="005E7922" w:rsidP="00D37C0B">
      <w:pPr>
        <w:pStyle w:val="Funotentext"/>
        <w:spacing w:line="240" w:lineRule="auto"/>
        <w:contextualSpacing/>
      </w:pPr>
      <w:r w:rsidRPr="00656668">
        <w:rPr>
          <w:rStyle w:val="Funotenzeichen"/>
        </w:rPr>
        <w:footnoteRef/>
      </w:r>
      <w:r w:rsidRPr="00656668">
        <w:t xml:space="preserve"> </w:t>
      </w:r>
      <w:r>
        <w:t xml:space="preserve"> </w:t>
      </w:r>
      <w:r w:rsidRPr="00656668">
        <w:t>United Nations Conference on Trade and Development 2002: 3.</w:t>
      </w:r>
    </w:p>
  </w:footnote>
  <w:footnote w:id="331">
    <w:p w:rsidR="005E7922" w:rsidRPr="00656668" w:rsidRDefault="005E7922" w:rsidP="00D37C0B">
      <w:pPr>
        <w:pStyle w:val="Funotentext"/>
        <w:spacing w:line="240" w:lineRule="auto"/>
        <w:contextualSpacing/>
      </w:pPr>
      <w:r w:rsidRPr="00656668">
        <w:rPr>
          <w:rStyle w:val="Funotenzeichen"/>
        </w:rPr>
        <w:footnoteRef/>
      </w:r>
      <w:r w:rsidRPr="00656668">
        <w:t xml:space="preserve"> </w:t>
      </w:r>
      <w:r>
        <w:t xml:space="preserve"> </w:t>
      </w:r>
      <w:r w:rsidRPr="00656668">
        <w:t>Klein 1998: 506.</w:t>
      </w:r>
    </w:p>
  </w:footnote>
  <w:footnote w:id="332">
    <w:p w:rsidR="005E7922" w:rsidRPr="00BB0DCB" w:rsidRDefault="005E7922">
      <w:pPr>
        <w:pStyle w:val="Funotentext"/>
        <w:rPr>
          <w:lang w:val="af-ZA"/>
        </w:rPr>
      </w:pPr>
      <w:r>
        <w:rPr>
          <w:rStyle w:val="Funotenzeichen"/>
        </w:rPr>
        <w:footnoteRef/>
      </w:r>
      <w:r>
        <w:t xml:space="preserve"> </w:t>
      </w:r>
      <w:r>
        <w:rPr>
          <w:lang w:val="af-ZA"/>
        </w:rPr>
        <w:t xml:space="preserve"> </w:t>
      </w:r>
      <w:r w:rsidRPr="00656668">
        <w:t>Klein 1998: 506.</w:t>
      </w:r>
    </w:p>
  </w:footnote>
  <w:footnote w:id="333">
    <w:p w:rsidR="005E7922" w:rsidRPr="00656668" w:rsidRDefault="005E7922" w:rsidP="00D37C0B">
      <w:pPr>
        <w:pStyle w:val="Funotentext"/>
        <w:spacing w:line="240" w:lineRule="auto"/>
        <w:contextualSpacing/>
      </w:pPr>
      <w:r w:rsidRPr="00656668">
        <w:rPr>
          <w:rStyle w:val="Funotenzeichen"/>
        </w:rPr>
        <w:footnoteRef/>
      </w:r>
      <w:r w:rsidRPr="00656668">
        <w:t xml:space="preserve"> </w:t>
      </w:r>
      <w:r>
        <w:t xml:space="preserve"> </w:t>
      </w:r>
      <w:r w:rsidRPr="00656668">
        <w:t>Klein 1998: 506.</w:t>
      </w:r>
    </w:p>
  </w:footnote>
  <w:footnote w:id="334">
    <w:p w:rsidR="005E7922" w:rsidRPr="00656668" w:rsidRDefault="005E7922" w:rsidP="00D37C0B">
      <w:pPr>
        <w:pStyle w:val="Funotentext"/>
        <w:spacing w:line="240" w:lineRule="auto"/>
        <w:contextualSpacing/>
      </w:pPr>
      <w:r w:rsidRPr="00656668">
        <w:rPr>
          <w:rStyle w:val="Funotenzeichen"/>
        </w:rPr>
        <w:footnoteRef/>
      </w:r>
      <w:r w:rsidRPr="00656668">
        <w:t xml:space="preserve"> </w:t>
      </w:r>
      <w:r>
        <w:t xml:space="preserve"> </w:t>
      </w:r>
      <w:r w:rsidRPr="00656668">
        <w:t>Klein 1998: 506.</w:t>
      </w:r>
    </w:p>
  </w:footnote>
  <w:footnote w:id="335">
    <w:p w:rsidR="005E7922" w:rsidRPr="00656668" w:rsidRDefault="005E7922" w:rsidP="00AD41F1">
      <w:pPr>
        <w:pStyle w:val="Funotentext"/>
        <w:spacing w:line="240" w:lineRule="auto"/>
        <w:contextualSpacing/>
      </w:pPr>
      <w:r w:rsidRPr="00656668">
        <w:rPr>
          <w:rStyle w:val="Funotenzeichen"/>
        </w:rPr>
        <w:footnoteRef/>
      </w:r>
      <w:r w:rsidRPr="00656668">
        <w:t xml:space="preserve"> </w:t>
      </w:r>
      <w:r>
        <w:t xml:space="preserve"> </w:t>
      </w:r>
      <w:r w:rsidRPr="00656668">
        <w:t>Hartzenberg 2006: 667; Klein 1998: 506.</w:t>
      </w:r>
    </w:p>
  </w:footnote>
  <w:footnote w:id="336">
    <w:p w:rsidR="005E7922" w:rsidRPr="00656668" w:rsidRDefault="005E7922" w:rsidP="00AD41F1">
      <w:pPr>
        <w:pStyle w:val="Funotentext"/>
        <w:spacing w:line="240" w:lineRule="auto"/>
        <w:contextualSpacing/>
      </w:pPr>
      <w:r w:rsidRPr="00656668">
        <w:rPr>
          <w:rStyle w:val="Funotenzeichen"/>
        </w:rPr>
        <w:footnoteRef/>
      </w:r>
      <w:r w:rsidRPr="00656668">
        <w:t xml:space="preserve"> </w:t>
      </w:r>
      <w:r>
        <w:t xml:space="preserve"> </w:t>
      </w:r>
      <w:r w:rsidRPr="00656668">
        <w:t>Hartzenberg 2006: 667; Klein 1998: 506.</w:t>
      </w:r>
    </w:p>
  </w:footnote>
  <w:footnote w:id="337">
    <w:p w:rsidR="005E7922" w:rsidRPr="005A263D" w:rsidRDefault="005E7922" w:rsidP="00AD41F1">
      <w:pPr>
        <w:pStyle w:val="Funotentext"/>
        <w:spacing w:line="240" w:lineRule="auto"/>
        <w:contextualSpacing/>
      </w:pPr>
      <w:r w:rsidRPr="005A263D">
        <w:rPr>
          <w:rStyle w:val="Funotenzeichen"/>
        </w:rPr>
        <w:footnoteRef/>
      </w:r>
      <w:r w:rsidRPr="005A263D">
        <w:t xml:space="preserve"> </w:t>
      </w:r>
      <w:r>
        <w:t xml:space="preserve"> </w:t>
      </w:r>
      <w:r w:rsidRPr="005A263D">
        <w:t xml:space="preserve">Kellman </w:t>
      </w:r>
      <w:r w:rsidRPr="005A263D">
        <w:rPr>
          <w:i/>
        </w:rPr>
        <w:t>et al</w:t>
      </w:r>
      <w:r w:rsidRPr="005A263D">
        <w:t xml:space="preserve"> 2003: 3.</w:t>
      </w:r>
    </w:p>
  </w:footnote>
  <w:footnote w:id="338">
    <w:p w:rsidR="005E7922" w:rsidRPr="005A263D" w:rsidRDefault="005E7922" w:rsidP="00AD41F1">
      <w:pPr>
        <w:pStyle w:val="Funotentext"/>
        <w:spacing w:line="240" w:lineRule="auto"/>
        <w:contextualSpacing/>
      </w:pPr>
      <w:r w:rsidRPr="005A263D">
        <w:rPr>
          <w:rStyle w:val="Funotenzeichen"/>
        </w:rPr>
        <w:footnoteRef/>
      </w:r>
      <w:r w:rsidRPr="005A263D">
        <w:t xml:space="preserve"> </w:t>
      </w:r>
      <w:r>
        <w:t xml:space="preserve"> </w:t>
      </w:r>
      <w:r w:rsidRPr="005A263D">
        <w:t xml:space="preserve">Kellman </w:t>
      </w:r>
      <w:r w:rsidRPr="005A263D">
        <w:rPr>
          <w:i/>
        </w:rPr>
        <w:t>et al</w:t>
      </w:r>
      <w:r w:rsidRPr="005A263D">
        <w:t xml:space="preserve"> 2003: 3.</w:t>
      </w:r>
    </w:p>
  </w:footnote>
  <w:footnote w:id="339">
    <w:p w:rsidR="005E7922" w:rsidRPr="005A263D" w:rsidRDefault="005E7922" w:rsidP="00AD41F1">
      <w:pPr>
        <w:pStyle w:val="Funotentext"/>
        <w:spacing w:line="240" w:lineRule="auto"/>
        <w:contextualSpacing/>
      </w:pPr>
      <w:r w:rsidRPr="005A263D">
        <w:rPr>
          <w:rStyle w:val="Funotenzeichen"/>
        </w:rPr>
        <w:footnoteRef/>
      </w:r>
      <w:r w:rsidRPr="005A263D">
        <w:t xml:space="preserve"> </w:t>
      </w:r>
      <w:r>
        <w:t xml:space="preserve"> </w:t>
      </w:r>
      <w:r w:rsidRPr="005A263D">
        <w:t>Roberts 2004: 2.</w:t>
      </w:r>
    </w:p>
  </w:footnote>
  <w:footnote w:id="340">
    <w:p w:rsidR="005E7922" w:rsidRPr="005A263D" w:rsidRDefault="005E7922" w:rsidP="00AD41F1">
      <w:pPr>
        <w:pStyle w:val="Funotentext"/>
        <w:spacing w:line="240" w:lineRule="auto"/>
        <w:contextualSpacing/>
      </w:pPr>
      <w:r w:rsidRPr="005A263D">
        <w:rPr>
          <w:rStyle w:val="Funotenzeichen"/>
        </w:rPr>
        <w:footnoteRef/>
      </w:r>
      <w:r w:rsidRPr="005A263D">
        <w:t xml:space="preserve"> </w:t>
      </w:r>
      <w:r>
        <w:t xml:space="preserve"> </w:t>
      </w:r>
      <w:r w:rsidRPr="005A263D">
        <w:t>Roberts 2004: 2.</w:t>
      </w:r>
    </w:p>
  </w:footnote>
  <w:footnote w:id="341">
    <w:p w:rsidR="005E7922" w:rsidRPr="005A263D" w:rsidRDefault="005E7922" w:rsidP="00AD41F1">
      <w:pPr>
        <w:pStyle w:val="Funotentext"/>
        <w:spacing w:line="240" w:lineRule="auto"/>
        <w:contextualSpacing/>
      </w:pPr>
      <w:r w:rsidRPr="005A263D">
        <w:rPr>
          <w:rStyle w:val="Funotenzeichen"/>
        </w:rPr>
        <w:footnoteRef/>
      </w:r>
      <w:r w:rsidRPr="005A263D">
        <w:t xml:space="preserve"> </w:t>
      </w:r>
      <w:r>
        <w:t xml:space="preserve"> </w:t>
      </w:r>
      <w:r w:rsidRPr="005A263D">
        <w:t>Roberts 2004: 2.</w:t>
      </w:r>
    </w:p>
  </w:footnote>
  <w:footnote w:id="342">
    <w:p w:rsidR="005E7922" w:rsidRPr="005A263D" w:rsidRDefault="005E7922" w:rsidP="00AD41F1">
      <w:pPr>
        <w:pStyle w:val="Funotentext"/>
        <w:spacing w:line="240" w:lineRule="auto"/>
        <w:contextualSpacing/>
      </w:pPr>
      <w:r w:rsidRPr="005A263D">
        <w:rPr>
          <w:rStyle w:val="Funotenzeichen"/>
        </w:rPr>
        <w:footnoteRef/>
      </w:r>
      <w:r w:rsidRPr="005A263D">
        <w:t xml:space="preserve"> </w:t>
      </w:r>
      <w:r>
        <w:t xml:space="preserve"> </w:t>
      </w:r>
      <w:r w:rsidRPr="005A263D">
        <w:t xml:space="preserve">Kellman </w:t>
      </w:r>
      <w:r w:rsidRPr="005A263D">
        <w:rPr>
          <w:i/>
        </w:rPr>
        <w:t>et al</w:t>
      </w:r>
      <w:r w:rsidRPr="005A263D">
        <w:t xml:space="preserve"> 2003: 3.</w:t>
      </w:r>
    </w:p>
  </w:footnote>
  <w:footnote w:id="343">
    <w:p w:rsidR="005E7922" w:rsidRPr="005A263D" w:rsidRDefault="005E7922" w:rsidP="00AD41F1">
      <w:pPr>
        <w:pStyle w:val="Funotentext"/>
        <w:spacing w:line="240" w:lineRule="auto"/>
        <w:contextualSpacing/>
      </w:pPr>
      <w:r w:rsidRPr="005A263D">
        <w:rPr>
          <w:rStyle w:val="Funotenzeichen"/>
        </w:rPr>
        <w:footnoteRef/>
      </w:r>
      <w:r w:rsidRPr="005A263D">
        <w:t xml:space="preserve"> </w:t>
      </w:r>
      <w:r>
        <w:t xml:space="preserve"> </w:t>
      </w:r>
      <w:r w:rsidRPr="005A263D">
        <w:t>Roberts 2004: 4.</w:t>
      </w:r>
    </w:p>
  </w:footnote>
  <w:footnote w:id="344">
    <w:p w:rsidR="005E7922" w:rsidRPr="00080D4C" w:rsidRDefault="005E7922" w:rsidP="00AD41F1">
      <w:pPr>
        <w:pStyle w:val="Funotentext"/>
        <w:spacing w:line="240" w:lineRule="auto"/>
        <w:contextualSpacing/>
      </w:pPr>
      <w:r w:rsidRPr="00080D4C">
        <w:rPr>
          <w:rStyle w:val="Funotenzeichen"/>
        </w:rPr>
        <w:footnoteRef/>
      </w:r>
      <w:r w:rsidRPr="00080D4C">
        <w:t xml:space="preserve">  Roberts 2004: 4.</w:t>
      </w:r>
    </w:p>
  </w:footnote>
  <w:footnote w:id="345">
    <w:p w:rsidR="005E7922" w:rsidRPr="00080D4C" w:rsidRDefault="005E7922" w:rsidP="00AD41F1">
      <w:pPr>
        <w:pStyle w:val="Funotentext"/>
        <w:spacing w:line="240" w:lineRule="auto"/>
        <w:contextualSpacing/>
      </w:pPr>
      <w:r w:rsidRPr="00080D4C">
        <w:rPr>
          <w:rStyle w:val="Funotenzeichen"/>
        </w:rPr>
        <w:footnoteRef/>
      </w:r>
      <w:r w:rsidRPr="00080D4C">
        <w:t xml:space="preserve">  OECD 2003: 14.</w:t>
      </w:r>
    </w:p>
  </w:footnote>
  <w:footnote w:id="346">
    <w:p w:rsidR="005E7922" w:rsidRPr="00080D4C" w:rsidRDefault="005E7922" w:rsidP="00AB58DD">
      <w:pPr>
        <w:pStyle w:val="Funotentext"/>
        <w:spacing w:line="240" w:lineRule="auto"/>
        <w:contextualSpacing/>
      </w:pPr>
      <w:r w:rsidRPr="00080D4C">
        <w:rPr>
          <w:rStyle w:val="Funotenzeichen"/>
        </w:rPr>
        <w:footnoteRef/>
      </w:r>
      <w:r w:rsidRPr="00080D4C">
        <w:t xml:space="preserve">  The Competition Commission on http://www.compcom.co.za/about-us/ (accessed on 11 March 2011)</w:t>
      </w:r>
    </w:p>
  </w:footnote>
  <w:footnote w:id="347">
    <w:p w:rsidR="005E7922" w:rsidRPr="00080D4C" w:rsidRDefault="005E7922" w:rsidP="00AB58DD">
      <w:pPr>
        <w:pStyle w:val="Funotentext"/>
        <w:spacing w:line="240" w:lineRule="auto"/>
        <w:contextualSpacing/>
      </w:pPr>
      <w:r w:rsidRPr="00080D4C">
        <w:rPr>
          <w:rStyle w:val="Funotenzeichen"/>
        </w:rPr>
        <w:footnoteRef/>
      </w:r>
      <w:r w:rsidRPr="00080D4C">
        <w:t xml:space="preserve">  OECD 2003: 14.</w:t>
      </w:r>
    </w:p>
  </w:footnote>
  <w:footnote w:id="348">
    <w:p w:rsidR="005E7922" w:rsidRPr="00080D4C" w:rsidRDefault="005E7922" w:rsidP="00AB58DD">
      <w:pPr>
        <w:pStyle w:val="Funotentext"/>
        <w:spacing w:line="240" w:lineRule="auto"/>
        <w:contextualSpacing/>
      </w:pPr>
      <w:r w:rsidRPr="00080D4C">
        <w:rPr>
          <w:rStyle w:val="Funotenzeichen"/>
        </w:rPr>
        <w:footnoteRef/>
      </w:r>
      <w:r w:rsidRPr="00080D4C">
        <w:t xml:space="preserve">  OECD 2003: 14.</w:t>
      </w:r>
    </w:p>
  </w:footnote>
  <w:footnote w:id="349">
    <w:p w:rsidR="005E7922" w:rsidRPr="00080D4C" w:rsidRDefault="005E7922" w:rsidP="00AB58DD">
      <w:pPr>
        <w:pStyle w:val="Funotentext"/>
        <w:spacing w:line="240" w:lineRule="auto"/>
        <w:contextualSpacing/>
      </w:pPr>
      <w:r w:rsidRPr="00080D4C">
        <w:rPr>
          <w:rStyle w:val="Funotenzeichen"/>
        </w:rPr>
        <w:footnoteRef/>
      </w:r>
      <w:r w:rsidRPr="00080D4C">
        <w:t xml:space="preserve">  OECD 2003: 14.</w:t>
      </w:r>
    </w:p>
  </w:footnote>
  <w:footnote w:id="350">
    <w:p w:rsidR="005E7922" w:rsidRPr="00080D4C" w:rsidRDefault="005E7922" w:rsidP="00C66C6E">
      <w:pPr>
        <w:pStyle w:val="Funotentext"/>
        <w:spacing w:line="240" w:lineRule="auto"/>
        <w:contextualSpacing/>
      </w:pPr>
      <w:r w:rsidRPr="00080D4C">
        <w:rPr>
          <w:rStyle w:val="Funotenzeichen"/>
        </w:rPr>
        <w:footnoteRef/>
      </w:r>
      <w:r w:rsidRPr="00080D4C">
        <w:t xml:space="preserve">  OECD 2003: 14-15.</w:t>
      </w:r>
    </w:p>
  </w:footnote>
  <w:footnote w:id="351">
    <w:p w:rsidR="005E7922" w:rsidRPr="00080D4C" w:rsidRDefault="005E7922" w:rsidP="00C66C6E">
      <w:pPr>
        <w:pStyle w:val="Funotentext"/>
        <w:spacing w:line="240" w:lineRule="auto"/>
        <w:contextualSpacing/>
      </w:pPr>
      <w:r w:rsidRPr="00080D4C">
        <w:rPr>
          <w:rStyle w:val="Funotenzeichen"/>
        </w:rPr>
        <w:footnoteRef/>
      </w:r>
      <w:r w:rsidRPr="00080D4C">
        <w:t xml:space="preserve">  OECD 2003: 15.</w:t>
      </w:r>
    </w:p>
  </w:footnote>
  <w:footnote w:id="352">
    <w:p w:rsidR="005E7922" w:rsidRPr="00080D4C" w:rsidRDefault="005E7922" w:rsidP="000F6620">
      <w:pPr>
        <w:pStyle w:val="Funotentext"/>
        <w:spacing w:line="240" w:lineRule="auto"/>
        <w:contextualSpacing/>
      </w:pPr>
      <w:r w:rsidRPr="00080D4C">
        <w:rPr>
          <w:rStyle w:val="Funotenzeichen"/>
        </w:rPr>
        <w:footnoteRef/>
      </w:r>
      <w:r w:rsidRPr="00080D4C">
        <w:t xml:space="preserve">  Competition Act 89/1998 as cited by Jafta 1998: 3.</w:t>
      </w:r>
    </w:p>
  </w:footnote>
  <w:footnote w:id="353">
    <w:p w:rsidR="005E7922" w:rsidRPr="000449E9" w:rsidRDefault="005E7922" w:rsidP="000F6620">
      <w:pPr>
        <w:pStyle w:val="Funotentext"/>
        <w:spacing w:line="240" w:lineRule="auto"/>
        <w:contextualSpacing/>
      </w:pPr>
      <w:r w:rsidRPr="000449E9">
        <w:rPr>
          <w:rStyle w:val="Funotenzeichen"/>
        </w:rPr>
        <w:footnoteRef/>
      </w:r>
      <w:r w:rsidRPr="000449E9">
        <w:t xml:space="preserve">  OECD 2003: 16.</w:t>
      </w:r>
    </w:p>
  </w:footnote>
  <w:footnote w:id="354">
    <w:p w:rsidR="005E7922" w:rsidRPr="000449E9" w:rsidRDefault="005E7922" w:rsidP="000F6620">
      <w:pPr>
        <w:pStyle w:val="Funotentext"/>
        <w:spacing w:line="240" w:lineRule="auto"/>
        <w:contextualSpacing/>
      </w:pPr>
      <w:r w:rsidRPr="000449E9">
        <w:rPr>
          <w:rStyle w:val="Funotenzeichen"/>
        </w:rPr>
        <w:footnoteRef/>
      </w:r>
      <w:r w:rsidRPr="000449E9">
        <w:t xml:space="preserve">  OECD 2003: 16.</w:t>
      </w:r>
    </w:p>
  </w:footnote>
  <w:footnote w:id="355">
    <w:p w:rsidR="005E7922" w:rsidRPr="000449E9" w:rsidRDefault="005E7922" w:rsidP="000F6620">
      <w:pPr>
        <w:pStyle w:val="Funotentext"/>
        <w:spacing w:line="240" w:lineRule="auto"/>
        <w:contextualSpacing/>
      </w:pPr>
      <w:r w:rsidRPr="000449E9">
        <w:rPr>
          <w:rStyle w:val="Funotenzeichen"/>
        </w:rPr>
        <w:footnoteRef/>
      </w:r>
      <w:r w:rsidRPr="000449E9">
        <w:t xml:space="preserve">  Torok 2005: 4; Lewis 1998: 3.</w:t>
      </w:r>
    </w:p>
  </w:footnote>
  <w:footnote w:id="356">
    <w:p w:rsidR="005E7922" w:rsidRPr="000449E9" w:rsidRDefault="005E7922" w:rsidP="000F6620">
      <w:pPr>
        <w:pStyle w:val="Funotentext"/>
        <w:spacing w:line="240" w:lineRule="auto"/>
        <w:contextualSpacing/>
      </w:pPr>
      <w:r w:rsidRPr="000449E9">
        <w:rPr>
          <w:rStyle w:val="Funotenzeichen"/>
        </w:rPr>
        <w:footnoteRef/>
      </w:r>
      <w:r w:rsidRPr="000449E9">
        <w:t xml:space="preserve">  89/1998.</w:t>
      </w:r>
    </w:p>
  </w:footnote>
  <w:footnote w:id="357">
    <w:p w:rsidR="005E7922" w:rsidRPr="000449E9" w:rsidRDefault="005E7922" w:rsidP="000F6620">
      <w:pPr>
        <w:pStyle w:val="Funotentext"/>
        <w:spacing w:line="240" w:lineRule="auto"/>
        <w:contextualSpacing/>
      </w:pPr>
      <w:r w:rsidRPr="000449E9">
        <w:rPr>
          <w:rStyle w:val="Funotenzeichen"/>
        </w:rPr>
        <w:footnoteRef/>
      </w:r>
      <w:r w:rsidRPr="000449E9">
        <w:t xml:space="preserve">  Lewis 1998: 3; The Competition Commission on http://www.compcom.co.za/about-us/ (accessed on 11 March 2011)</w:t>
      </w:r>
    </w:p>
  </w:footnote>
  <w:footnote w:id="358">
    <w:p w:rsidR="005E7922" w:rsidRPr="000449E9" w:rsidRDefault="005E7922" w:rsidP="000F6620">
      <w:pPr>
        <w:pStyle w:val="Funotentext"/>
        <w:spacing w:line="240" w:lineRule="auto"/>
        <w:contextualSpacing/>
      </w:pPr>
      <w:r w:rsidRPr="000449E9">
        <w:rPr>
          <w:rStyle w:val="Funotenzeichen"/>
        </w:rPr>
        <w:footnoteRef/>
      </w:r>
      <w:r w:rsidRPr="000449E9">
        <w:t xml:space="preserve">  Lewis 1998: 3; Reekie 1999: 15.</w:t>
      </w:r>
    </w:p>
  </w:footnote>
  <w:footnote w:id="359">
    <w:p w:rsidR="005E7922" w:rsidRPr="000449E9" w:rsidRDefault="005E7922" w:rsidP="000F6620">
      <w:pPr>
        <w:pStyle w:val="Funotentext"/>
        <w:spacing w:line="240" w:lineRule="auto"/>
        <w:contextualSpacing/>
      </w:pPr>
      <w:r w:rsidRPr="000449E9">
        <w:rPr>
          <w:rStyle w:val="Funotenzeichen"/>
        </w:rPr>
        <w:footnoteRef/>
      </w:r>
      <w:r w:rsidRPr="000449E9">
        <w:t xml:space="preserve">  Chabane </w:t>
      </w:r>
      <w:r w:rsidRPr="000449E9">
        <w:rPr>
          <w:i/>
        </w:rPr>
        <w:t>et al</w:t>
      </w:r>
      <w:r w:rsidRPr="000449E9">
        <w:t xml:space="preserve"> 2003: 1.</w:t>
      </w:r>
    </w:p>
  </w:footnote>
  <w:footnote w:id="360">
    <w:p w:rsidR="005E7922" w:rsidRPr="000449E9" w:rsidRDefault="005E7922" w:rsidP="000F6620">
      <w:pPr>
        <w:pStyle w:val="Funotentext"/>
        <w:spacing w:line="240" w:lineRule="auto"/>
        <w:contextualSpacing/>
      </w:pPr>
      <w:r w:rsidRPr="000449E9">
        <w:rPr>
          <w:rStyle w:val="Funotenzeichen"/>
        </w:rPr>
        <w:footnoteRef/>
      </w:r>
      <w:r w:rsidRPr="000449E9">
        <w:t xml:space="preserve">  Reekie 2000: 20.</w:t>
      </w:r>
    </w:p>
  </w:footnote>
  <w:footnote w:id="361">
    <w:p w:rsidR="005E7922" w:rsidRPr="000449E9" w:rsidRDefault="005E7922" w:rsidP="000F6620">
      <w:pPr>
        <w:pStyle w:val="Funotentext"/>
        <w:spacing w:line="240" w:lineRule="auto"/>
        <w:contextualSpacing/>
      </w:pPr>
      <w:r w:rsidRPr="000449E9">
        <w:rPr>
          <w:rStyle w:val="Funotenzeichen"/>
        </w:rPr>
        <w:footnoteRef/>
      </w:r>
      <w:r w:rsidRPr="000449E9">
        <w:t xml:space="preserve">  89/1998. The Competition Commission on http://www.compcom.co.za/about-us/ (accessed on 11 March 2011)</w:t>
      </w:r>
    </w:p>
  </w:footnote>
  <w:footnote w:id="362">
    <w:p w:rsidR="005E7922" w:rsidRPr="00271B7F" w:rsidRDefault="005E7922" w:rsidP="007E616E">
      <w:pPr>
        <w:pStyle w:val="Funotentext"/>
        <w:spacing w:line="240" w:lineRule="auto"/>
        <w:contextualSpacing/>
      </w:pPr>
      <w:r w:rsidRPr="00271B7F">
        <w:rPr>
          <w:rStyle w:val="Funotenzeichen"/>
        </w:rPr>
        <w:footnoteRef/>
      </w:r>
      <w:r w:rsidRPr="00271B7F">
        <w:t xml:space="preserve">  The Competition Commission on http://www.compcom.co.za/about-us/ (accessed on 11 March 2011)</w:t>
      </w:r>
    </w:p>
  </w:footnote>
  <w:footnote w:id="363">
    <w:p w:rsidR="005E7922" w:rsidRPr="00271B7F" w:rsidRDefault="005E7922" w:rsidP="007E616E">
      <w:pPr>
        <w:pStyle w:val="Funotentext"/>
        <w:spacing w:line="240" w:lineRule="auto"/>
        <w:contextualSpacing/>
      </w:pPr>
      <w:r w:rsidRPr="00271B7F">
        <w:rPr>
          <w:rStyle w:val="Funotenzeichen"/>
        </w:rPr>
        <w:footnoteRef/>
      </w:r>
      <w:r w:rsidRPr="00271B7F">
        <w:t xml:space="preserve">  89/1998.</w:t>
      </w:r>
    </w:p>
  </w:footnote>
  <w:footnote w:id="364">
    <w:p w:rsidR="005E7922" w:rsidRPr="00271B7F" w:rsidRDefault="005E7922" w:rsidP="007E616E">
      <w:pPr>
        <w:pStyle w:val="Funotentext"/>
        <w:spacing w:line="240" w:lineRule="auto"/>
        <w:contextualSpacing/>
      </w:pPr>
      <w:r w:rsidRPr="00271B7F">
        <w:rPr>
          <w:rStyle w:val="Funotenzeichen"/>
        </w:rPr>
        <w:footnoteRef/>
      </w:r>
      <w:r w:rsidRPr="00271B7F">
        <w:t xml:space="preserve">  The Competition Commission on http://www.compcom.co.za/about-us/ (accessed on 11 March 2011)</w:t>
      </w:r>
    </w:p>
  </w:footnote>
  <w:footnote w:id="365">
    <w:p w:rsidR="005E7922" w:rsidRPr="00271B7F" w:rsidRDefault="005E7922" w:rsidP="007E616E">
      <w:pPr>
        <w:pStyle w:val="Funotentext"/>
        <w:spacing w:line="240" w:lineRule="auto"/>
        <w:contextualSpacing/>
      </w:pPr>
      <w:r w:rsidRPr="00271B7F">
        <w:rPr>
          <w:rStyle w:val="Funotenzeichen"/>
        </w:rPr>
        <w:footnoteRef/>
      </w:r>
      <w:r w:rsidRPr="00271B7F">
        <w:t xml:space="preserve">  89/1998.</w:t>
      </w:r>
    </w:p>
  </w:footnote>
  <w:footnote w:id="366">
    <w:p w:rsidR="005E7922" w:rsidRPr="00271B7F" w:rsidRDefault="005E7922" w:rsidP="007E616E">
      <w:pPr>
        <w:pStyle w:val="Funotentext"/>
        <w:spacing w:line="240" w:lineRule="auto"/>
        <w:contextualSpacing/>
      </w:pPr>
      <w:r w:rsidRPr="00271B7F">
        <w:rPr>
          <w:rStyle w:val="Funotenzeichen"/>
        </w:rPr>
        <w:footnoteRef/>
      </w:r>
      <w:r w:rsidRPr="00271B7F">
        <w:t xml:space="preserve">  Sections 19-43; 78-79 and 84.</w:t>
      </w:r>
    </w:p>
  </w:footnote>
  <w:footnote w:id="367">
    <w:p w:rsidR="005E7922" w:rsidRPr="00271B7F" w:rsidRDefault="005E7922" w:rsidP="007E616E">
      <w:pPr>
        <w:pStyle w:val="Funotentext"/>
        <w:spacing w:line="240" w:lineRule="auto"/>
        <w:contextualSpacing/>
      </w:pPr>
      <w:r w:rsidRPr="00271B7F">
        <w:rPr>
          <w:rStyle w:val="Funotenzeichen"/>
        </w:rPr>
        <w:footnoteRef/>
      </w:r>
      <w:r w:rsidRPr="00271B7F">
        <w:t xml:space="preserve">  The institutional frameworks refer to the competition authorities who are tasked with the administration of the Competition Act 89/1998. </w:t>
      </w:r>
    </w:p>
  </w:footnote>
  <w:footnote w:id="368">
    <w:p w:rsidR="005E7922" w:rsidRPr="00271B7F" w:rsidRDefault="005E7922" w:rsidP="007E616E">
      <w:pPr>
        <w:pStyle w:val="Funotentext"/>
        <w:spacing w:line="240" w:lineRule="auto"/>
        <w:contextualSpacing/>
      </w:pPr>
      <w:r w:rsidRPr="00271B7F">
        <w:rPr>
          <w:rStyle w:val="Funotenzeichen"/>
        </w:rPr>
        <w:footnoteRef/>
      </w:r>
      <w:r w:rsidRPr="00271B7F">
        <w:t xml:space="preserve">  Competition Act 89/1998.</w:t>
      </w:r>
    </w:p>
  </w:footnote>
  <w:footnote w:id="369">
    <w:p w:rsidR="005E7922" w:rsidRPr="00271B7F" w:rsidRDefault="005E7922" w:rsidP="007E616E">
      <w:pPr>
        <w:pStyle w:val="Funotentext"/>
        <w:spacing w:line="240" w:lineRule="auto"/>
        <w:contextualSpacing/>
      </w:pPr>
      <w:r w:rsidRPr="00271B7F">
        <w:rPr>
          <w:rStyle w:val="Funotenzeichen"/>
        </w:rPr>
        <w:footnoteRef/>
      </w:r>
      <w:r w:rsidRPr="00271B7F">
        <w:t xml:space="preserve">  89/1998.</w:t>
      </w:r>
    </w:p>
  </w:footnote>
  <w:footnote w:id="370">
    <w:p w:rsidR="005E7922" w:rsidRPr="00271B7F" w:rsidRDefault="005E7922" w:rsidP="007E616E">
      <w:pPr>
        <w:pStyle w:val="Funotentext"/>
        <w:spacing w:line="240" w:lineRule="auto"/>
        <w:contextualSpacing/>
      </w:pPr>
      <w:r w:rsidRPr="00271B7F">
        <w:rPr>
          <w:rStyle w:val="Funotenzeichen"/>
        </w:rPr>
        <w:footnoteRef/>
      </w:r>
      <w:r w:rsidRPr="00271B7F">
        <w:t xml:space="preserve">  96/1979.</w:t>
      </w:r>
    </w:p>
  </w:footnote>
  <w:footnote w:id="371">
    <w:p w:rsidR="005E7922" w:rsidRPr="00271B7F" w:rsidRDefault="005E7922" w:rsidP="007E616E">
      <w:pPr>
        <w:pStyle w:val="Funotentext"/>
        <w:spacing w:line="240" w:lineRule="auto"/>
        <w:contextualSpacing/>
      </w:pPr>
      <w:r w:rsidRPr="00271B7F">
        <w:rPr>
          <w:rStyle w:val="Funotenzeichen"/>
        </w:rPr>
        <w:footnoteRef/>
      </w:r>
      <w:r w:rsidRPr="00271B7F">
        <w:t xml:space="preserve">  Hartzenberg 2006: 667.</w:t>
      </w:r>
    </w:p>
  </w:footnote>
  <w:footnote w:id="372">
    <w:p w:rsidR="005E7922" w:rsidRPr="00271B7F" w:rsidRDefault="005E7922" w:rsidP="007E616E">
      <w:pPr>
        <w:pStyle w:val="Funotentext"/>
        <w:spacing w:line="240" w:lineRule="auto"/>
        <w:contextualSpacing/>
      </w:pPr>
      <w:r w:rsidRPr="00271B7F">
        <w:rPr>
          <w:rStyle w:val="Funotenzeichen"/>
        </w:rPr>
        <w:footnoteRef/>
      </w:r>
      <w:r w:rsidRPr="00271B7F">
        <w:t xml:space="preserve">  89/1998.</w:t>
      </w:r>
    </w:p>
  </w:footnote>
  <w:footnote w:id="373">
    <w:p w:rsidR="005E7922" w:rsidRPr="00271B7F" w:rsidRDefault="005E7922" w:rsidP="007E616E">
      <w:pPr>
        <w:pStyle w:val="Funotentext"/>
        <w:spacing w:line="240" w:lineRule="auto"/>
        <w:contextualSpacing/>
      </w:pPr>
      <w:r w:rsidRPr="00271B7F">
        <w:rPr>
          <w:rStyle w:val="Funotenzeichen"/>
        </w:rPr>
        <w:footnoteRef/>
      </w:r>
      <w:r w:rsidRPr="00271B7F">
        <w:t xml:space="preserve">  Which functioned under the Maintenance and Promotion of Competition Act 96/1979.</w:t>
      </w:r>
    </w:p>
  </w:footnote>
  <w:footnote w:id="374">
    <w:p w:rsidR="005E7922" w:rsidRPr="00271B7F" w:rsidRDefault="005E7922" w:rsidP="007E616E">
      <w:pPr>
        <w:pStyle w:val="Funotentext"/>
        <w:spacing w:line="240" w:lineRule="auto"/>
        <w:contextualSpacing/>
      </w:pPr>
      <w:r w:rsidRPr="00271B7F">
        <w:rPr>
          <w:rStyle w:val="Funotenzeichen"/>
        </w:rPr>
        <w:footnoteRef/>
      </w:r>
      <w:r w:rsidRPr="00271B7F">
        <w:t xml:space="preserve">  Rutherford 1999: 301.</w:t>
      </w:r>
    </w:p>
  </w:footnote>
  <w:footnote w:id="375">
    <w:p w:rsidR="005E7922" w:rsidRPr="00271B7F" w:rsidRDefault="005E7922" w:rsidP="007E616E">
      <w:pPr>
        <w:pStyle w:val="Funotentext"/>
        <w:spacing w:line="240" w:lineRule="auto"/>
        <w:contextualSpacing/>
      </w:pPr>
      <w:r w:rsidRPr="00271B7F">
        <w:rPr>
          <w:rStyle w:val="Funotenzeichen"/>
        </w:rPr>
        <w:footnoteRef/>
      </w:r>
      <w:r w:rsidRPr="00271B7F">
        <w:t xml:space="preserve">  Rutherford 1999: 301.</w:t>
      </w:r>
    </w:p>
  </w:footnote>
  <w:footnote w:id="376">
    <w:p w:rsidR="005E7922" w:rsidRPr="00271B7F" w:rsidRDefault="005E7922" w:rsidP="007E616E">
      <w:pPr>
        <w:pStyle w:val="Funotentext"/>
        <w:spacing w:line="240" w:lineRule="auto"/>
        <w:contextualSpacing/>
      </w:pPr>
      <w:r w:rsidRPr="00271B7F">
        <w:rPr>
          <w:rStyle w:val="Funotenzeichen"/>
        </w:rPr>
        <w:footnoteRef/>
      </w:r>
      <w:r w:rsidRPr="00271B7F">
        <w:t xml:space="preserve">  89/1998.</w:t>
      </w:r>
    </w:p>
  </w:footnote>
  <w:footnote w:id="377">
    <w:p w:rsidR="005E7922" w:rsidRPr="00271B7F" w:rsidRDefault="005E7922" w:rsidP="007E616E">
      <w:pPr>
        <w:pStyle w:val="Funotentext"/>
        <w:spacing w:line="240" w:lineRule="auto"/>
        <w:contextualSpacing/>
      </w:pPr>
      <w:r w:rsidRPr="00271B7F">
        <w:rPr>
          <w:rStyle w:val="Funotenzeichen"/>
        </w:rPr>
        <w:footnoteRef/>
      </w:r>
      <w:r w:rsidRPr="00271B7F">
        <w:t xml:space="preserve">  Rutherford 1999: 301.</w:t>
      </w:r>
    </w:p>
  </w:footnote>
  <w:footnote w:id="378">
    <w:p w:rsidR="005E7922" w:rsidRPr="00271B7F" w:rsidRDefault="005E7922" w:rsidP="007E616E">
      <w:pPr>
        <w:pStyle w:val="Funotentext"/>
        <w:spacing w:line="240" w:lineRule="auto"/>
        <w:contextualSpacing/>
      </w:pPr>
      <w:r w:rsidRPr="00271B7F">
        <w:rPr>
          <w:rStyle w:val="Funotenzeichen"/>
        </w:rPr>
        <w:footnoteRef/>
      </w:r>
      <w:r w:rsidRPr="00271B7F">
        <w:t xml:space="preserve">  89/1998.</w:t>
      </w:r>
    </w:p>
  </w:footnote>
  <w:footnote w:id="379">
    <w:p w:rsidR="005E7922" w:rsidRPr="00271B7F" w:rsidRDefault="005E7922" w:rsidP="007E616E">
      <w:pPr>
        <w:pStyle w:val="Funotentext"/>
        <w:spacing w:line="240" w:lineRule="auto"/>
        <w:contextualSpacing/>
      </w:pPr>
      <w:r w:rsidRPr="00271B7F">
        <w:rPr>
          <w:rStyle w:val="Funotenzeichen"/>
        </w:rPr>
        <w:footnoteRef/>
      </w:r>
      <w:r w:rsidRPr="00271B7F">
        <w:t xml:space="preserve">  Rutherford 1999: 301.</w:t>
      </w:r>
    </w:p>
  </w:footnote>
  <w:footnote w:id="380">
    <w:p w:rsidR="005E7922" w:rsidRPr="00271B7F" w:rsidRDefault="005E7922" w:rsidP="007E616E">
      <w:pPr>
        <w:pStyle w:val="Funotentext"/>
        <w:spacing w:line="240" w:lineRule="auto"/>
        <w:contextualSpacing/>
      </w:pPr>
      <w:r w:rsidRPr="00271B7F">
        <w:rPr>
          <w:rStyle w:val="Funotenzeichen"/>
        </w:rPr>
        <w:footnoteRef/>
      </w:r>
      <w:r w:rsidRPr="00271B7F">
        <w:t xml:space="preserve">  89/1998.</w:t>
      </w:r>
    </w:p>
  </w:footnote>
  <w:footnote w:id="381">
    <w:p w:rsidR="005E7922" w:rsidRPr="006A29E0" w:rsidRDefault="005E7922" w:rsidP="007E616E">
      <w:pPr>
        <w:pStyle w:val="Funotentext"/>
        <w:spacing w:line="240" w:lineRule="auto"/>
        <w:contextualSpacing/>
        <w:rPr>
          <w:lang w:val="af-ZA"/>
        </w:rPr>
      </w:pPr>
      <w:r>
        <w:rPr>
          <w:rStyle w:val="Funotenzeichen"/>
        </w:rPr>
        <w:footnoteRef/>
      </w:r>
      <w:r>
        <w:t xml:space="preserve">  </w:t>
      </w:r>
      <w:r w:rsidRPr="008C0982">
        <w:t>89/1998.</w:t>
      </w:r>
    </w:p>
  </w:footnote>
  <w:footnote w:id="382">
    <w:p w:rsidR="005E7922" w:rsidRPr="00185BD2" w:rsidRDefault="005E7922" w:rsidP="00185BD2">
      <w:pPr>
        <w:pStyle w:val="Funotentext"/>
        <w:spacing w:line="240" w:lineRule="auto"/>
        <w:contextualSpacing/>
      </w:pPr>
      <w:r w:rsidRPr="00185BD2">
        <w:rPr>
          <w:rStyle w:val="Funotenzeichen"/>
        </w:rPr>
        <w:footnoteRef/>
      </w:r>
      <w:r w:rsidRPr="00185BD2">
        <w:t xml:space="preserve">  89/1998.</w:t>
      </w:r>
    </w:p>
  </w:footnote>
  <w:footnote w:id="383">
    <w:p w:rsidR="005E7922" w:rsidRPr="00185BD2" w:rsidRDefault="005E7922" w:rsidP="00185BD2">
      <w:pPr>
        <w:pStyle w:val="Funotentext"/>
        <w:spacing w:line="240" w:lineRule="auto"/>
        <w:contextualSpacing/>
      </w:pPr>
      <w:r w:rsidRPr="00185BD2">
        <w:rPr>
          <w:rStyle w:val="Funotenzeichen"/>
        </w:rPr>
        <w:footnoteRef/>
      </w:r>
      <w:r w:rsidRPr="00185BD2">
        <w:t xml:space="preserve">  Torok 2005: 26.</w:t>
      </w:r>
    </w:p>
  </w:footnote>
  <w:footnote w:id="384">
    <w:p w:rsidR="005E7922" w:rsidRPr="00185BD2" w:rsidRDefault="005E7922" w:rsidP="00185BD2">
      <w:pPr>
        <w:pStyle w:val="Funotentext"/>
        <w:spacing w:line="240" w:lineRule="auto"/>
        <w:contextualSpacing/>
      </w:pPr>
      <w:r w:rsidRPr="00185BD2">
        <w:rPr>
          <w:rStyle w:val="Funotenzeichen"/>
        </w:rPr>
        <w:footnoteRef/>
      </w:r>
      <w:r w:rsidRPr="00185BD2">
        <w:t xml:space="preserve">  Competition Act 89/1998.</w:t>
      </w:r>
    </w:p>
  </w:footnote>
  <w:footnote w:id="385">
    <w:p w:rsidR="005E7922" w:rsidRPr="00185BD2" w:rsidRDefault="005E7922" w:rsidP="00185BD2">
      <w:pPr>
        <w:pStyle w:val="Funotentext"/>
        <w:spacing w:line="240" w:lineRule="auto"/>
        <w:contextualSpacing/>
      </w:pPr>
      <w:r w:rsidRPr="00185BD2">
        <w:rPr>
          <w:rStyle w:val="Funotenzeichen"/>
        </w:rPr>
        <w:footnoteRef/>
      </w:r>
      <w:r w:rsidRPr="00185BD2">
        <w:t xml:space="preserve">  Reekie 2000</w:t>
      </w:r>
      <w:r>
        <w:t>: 43</w:t>
      </w:r>
      <w:r w:rsidRPr="00185BD2">
        <w:t xml:space="preserve">; Neuhoff </w:t>
      </w:r>
      <w:r w:rsidRPr="00185BD2">
        <w:rPr>
          <w:i/>
        </w:rPr>
        <w:t>et al</w:t>
      </w:r>
      <w:r w:rsidRPr="00185BD2">
        <w:t xml:space="preserve">  2006: 13; CUTS 2002: 12; Roberts 2004: 7; Torok 2005: 26.</w:t>
      </w:r>
    </w:p>
  </w:footnote>
  <w:footnote w:id="386">
    <w:p w:rsidR="005E7922" w:rsidRPr="00185BD2" w:rsidRDefault="005E7922" w:rsidP="00185BD2">
      <w:pPr>
        <w:pStyle w:val="Funotentext"/>
        <w:spacing w:line="240" w:lineRule="auto"/>
        <w:contextualSpacing/>
      </w:pPr>
      <w:r w:rsidRPr="00185BD2">
        <w:rPr>
          <w:rStyle w:val="Funotenzeichen"/>
        </w:rPr>
        <w:footnoteRef/>
      </w:r>
      <w:r w:rsidRPr="00185BD2">
        <w:t xml:space="preserve">  Reekie 2000: 4</w:t>
      </w:r>
      <w:r>
        <w:t>3</w:t>
      </w:r>
      <w:r w:rsidRPr="00185BD2">
        <w:t>; Torok 2005: 26.</w:t>
      </w:r>
    </w:p>
  </w:footnote>
  <w:footnote w:id="387">
    <w:p w:rsidR="005E7922" w:rsidRPr="00185BD2" w:rsidRDefault="005E7922" w:rsidP="00185BD2">
      <w:pPr>
        <w:pStyle w:val="Funotentext"/>
        <w:spacing w:line="240" w:lineRule="auto"/>
        <w:contextualSpacing/>
      </w:pPr>
      <w:r w:rsidRPr="00185BD2">
        <w:rPr>
          <w:rStyle w:val="Funotenzeichen"/>
        </w:rPr>
        <w:footnoteRef/>
      </w:r>
      <w:r w:rsidRPr="00185BD2">
        <w:t xml:space="preserve">  Macroeconomics can be defined as that part of economics which studies the whole economy or its aggregates. Therefore little attention is given to the various units that make up the aggregates. For more information see McConnel &amp; Brue 2008: 6.</w:t>
      </w:r>
    </w:p>
  </w:footnote>
  <w:footnote w:id="388">
    <w:p w:rsidR="005E7922" w:rsidRPr="00185BD2" w:rsidRDefault="005E7922" w:rsidP="00185BD2">
      <w:pPr>
        <w:pStyle w:val="Funotentext"/>
        <w:spacing w:line="240" w:lineRule="auto"/>
        <w:contextualSpacing/>
      </w:pPr>
      <w:r w:rsidRPr="00185BD2">
        <w:rPr>
          <w:rStyle w:val="Funotenzeichen"/>
        </w:rPr>
        <w:footnoteRef/>
      </w:r>
      <w:r w:rsidRPr="00185BD2">
        <w:t xml:space="preserve"> Reekie 2000: 4</w:t>
      </w:r>
      <w:r>
        <w:t>3</w:t>
      </w:r>
      <w:r w:rsidRPr="00185BD2">
        <w:t>.</w:t>
      </w:r>
    </w:p>
  </w:footnote>
  <w:footnote w:id="389">
    <w:p w:rsidR="005E7922" w:rsidRPr="00185BD2" w:rsidRDefault="005E7922" w:rsidP="00185BD2">
      <w:pPr>
        <w:pStyle w:val="Funotentext"/>
        <w:spacing w:line="240" w:lineRule="auto"/>
        <w:contextualSpacing/>
      </w:pPr>
      <w:r w:rsidRPr="00185BD2">
        <w:rPr>
          <w:rStyle w:val="Funotenzeichen"/>
        </w:rPr>
        <w:footnoteRef/>
      </w:r>
      <w:r w:rsidRPr="00185BD2">
        <w:t xml:space="preserve"> Reekie 2000: 4</w:t>
      </w:r>
      <w:r>
        <w:t>3</w:t>
      </w:r>
      <w:r w:rsidRPr="00185BD2">
        <w:t>.</w:t>
      </w:r>
    </w:p>
  </w:footnote>
  <w:footnote w:id="390">
    <w:p w:rsidR="005E7922" w:rsidRPr="00185BD2" w:rsidRDefault="005E7922" w:rsidP="00185BD2">
      <w:pPr>
        <w:pStyle w:val="Funotentext"/>
        <w:spacing w:line="240" w:lineRule="auto"/>
        <w:contextualSpacing/>
      </w:pPr>
      <w:r w:rsidRPr="00185BD2">
        <w:rPr>
          <w:rStyle w:val="Funotenzeichen"/>
        </w:rPr>
        <w:footnoteRef/>
      </w:r>
      <w:r w:rsidRPr="00185BD2">
        <w:t xml:space="preserve">  89/1998. Reekie 2000: 4</w:t>
      </w:r>
      <w:r>
        <w:t>3</w:t>
      </w:r>
      <w:r w:rsidRPr="00185BD2">
        <w:t>.</w:t>
      </w:r>
    </w:p>
  </w:footnote>
  <w:footnote w:id="391">
    <w:p w:rsidR="005E7922" w:rsidRPr="00185BD2" w:rsidRDefault="005E7922" w:rsidP="00185BD2">
      <w:pPr>
        <w:pStyle w:val="Funotentext"/>
        <w:spacing w:line="240" w:lineRule="auto"/>
        <w:contextualSpacing/>
      </w:pPr>
      <w:r w:rsidRPr="00185BD2">
        <w:rPr>
          <w:rStyle w:val="Funotenzeichen"/>
        </w:rPr>
        <w:footnoteRef/>
      </w:r>
      <w:r w:rsidRPr="00185BD2">
        <w:t xml:space="preserve"> Reekie 2000: 4</w:t>
      </w:r>
      <w:r>
        <w:t>3</w:t>
      </w:r>
      <w:r w:rsidRPr="00185BD2">
        <w:t>; Torok 2005: 26.</w:t>
      </w:r>
    </w:p>
  </w:footnote>
  <w:footnote w:id="392">
    <w:p w:rsidR="005E7922" w:rsidRPr="00185BD2" w:rsidRDefault="005E7922" w:rsidP="00185BD2">
      <w:pPr>
        <w:pStyle w:val="Funotentext"/>
        <w:spacing w:line="240" w:lineRule="auto"/>
        <w:contextualSpacing/>
      </w:pPr>
      <w:r w:rsidRPr="00185BD2">
        <w:rPr>
          <w:rStyle w:val="Funotenzeichen"/>
        </w:rPr>
        <w:footnoteRef/>
      </w:r>
      <w:r w:rsidRPr="00185BD2">
        <w:t xml:space="preserve"> Reekie 2000: 4</w:t>
      </w:r>
      <w:r>
        <w:t>3</w:t>
      </w:r>
      <w:r w:rsidRPr="00185BD2">
        <w:t>; Torok 2005: 26.</w:t>
      </w:r>
    </w:p>
  </w:footnote>
  <w:footnote w:id="393">
    <w:p w:rsidR="005E7922" w:rsidRPr="00185BD2" w:rsidRDefault="005E7922" w:rsidP="00185BD2">
      <w:pPr>
        <w:pStyle w:val="Funotentext"/>
        <w:spacing w:line="240" w:lineRule="auto"/>
        <w:contextualSpacing/>
      </w:pPr>
      <w:r w:rsidRPr="00185BD2">
        <w:rPr>
          <w:rStyle w:val="Funotenzeichen"/>
        </w:rPr>
        <w:footnoteRef/>
      </w:r>
      <w:r w:rsidRPr="00185BD2">
        <w:t xml:space="preserve"> Reekie 2000: 4</w:t>
      </w:r>
      <w:r>
        <w:t>3</w:t>
      </w:r>
      <w:r w:rsidRPr="00185BD2">
        <w:t>.</w:t>
      </w:r>
    </w:p>
  </w:footnote>
  <w:footnote w:id="394">
    <w:p w:rsidR="005E7922" w:rsidRPr="00185BD2" w:rsidRDefault="005E7922" w:rsidP="00185BD2">
      <w:pPr>
        <w:pStyle w:val="Funotentext"/>
        <w:spacing w:line="240" w:lineRule="auto"/>
        <w:contextualSpacing/>
      </w:pPr>
      <w:r w:rsidRPr="00185BD2">
        <w:rPr>
          <w:rStyle w:val="Funotenzeichen"/>
        </w:rPr>
        <w:footnoteRef/>
      </w:r>
      <w:r w:rsidRPr="00185BD2">
        <w:t xml:space="preserve">  In this case objective (b) will be achieved.</w:t>
      </w:r>
    </w:p>
  </w:footnote>
  <w:footnote w:id="395">
    <w:p w:rsidR="005E7922" w:rsidRPr="00185BD2" w:rsidRDefault="005E7922" w:rsidP="00185BD2">
      <w:pPr>
        <w:pStyle w:val="Funotentext"/>
        <w:spacing w:line="240" w:lineRule="auto"/>
        <w:contextualSpacing/>
      </w:pPr>
      <w:r w:rsidRPr="00185BD2">
        <w:rPr>
          <w:rStyle w:val="Funotenzeichen"/>
        </w:rPr>
        <w:footnoteRef/>
      </w:r>
      <w:r w:rsidRPr="00185BD2">
        <w:t xml:space="preserve">  Reekie 2000: 4</w:t>
      </w:r>
      <w:r>
        <w:t>3</w:t>
      </w:r>
      <w:r w:rsidRPr="00185BD2">
        <w:t>. In this case objective (a) will be achieved.</w:t>
      </w:r>
    </w:p>
  </w:footnote>
  <w:footnote w:id="396">
    <w:p w:rsidR="005E7922" w:rsidRPr="00102437" w:rsidRDefault="005E7922" w:rsidP="0022122E">
      <w:pPr>
        <w:pStyle w:val="Funotentext"/>
        <w:spacing w:line="240" w:lineRule="auto"/>
        <w:contextualSpacing/>
      </w:pPr>
      <w:r w:rsidRPr="00102437">
        <w:rPr>
          <w:rStyle w:val="Funotenzeichen"/>
        </w:rPr>
        <w:footnoteRef/>
      </w:r>
      <w:r w:rsidRPr="00102437">
        <w:t xml:space="preserve">  </w:t>
      </w:r>
      <w:r>
        <w:tab/>
      </w:r>
      <w:r w:rsidRPr="00102437">
        <w:t>Reekie 2000: 4</w:t>
      </w:r>
      <w:r>
        <w:t>3</w:t>
      </w:r>
      <w:r w:rsidRPr="00102437">
        <w:t>.</w:t>
      </w:r>
    </w:p>
  </w:footnote>
  <w:footnote w:id="397">
    <w:p w:rsidR="005E7922" w:rsidRPr="00102437" w:rsidRDefault="005E7922" w:rsidP="0022122E">
      <w:pPr>
        <w:pStyle w:val="Funotentext"/>
        <w:spacing w:line="240" w:lineRule="auto"/>
        <w:contextualSpacing/>
      </w:pPr>
      <w:r w:rsidRPr="00102437">
        <w:rPr>
          <w:rStyle w:val="Funotenzeichen"/>
        </w:rPr>
        <w:footnoteRef/>
      </w:r>
      <w:r w:rsidRPr="00102437">
        <w:t xml:space="preserve">  </w:t>
      </w:r>
      <w:r>
        <w:tab/>
      </w:r>
      <w:r w:rsidRPr="00102437">
        <w:t>Reekie 2000: 4</w:t>
      </w:r>
      <w:r>
        <w:t>3</w:t>
      </w:r>
      <w:r w:rsidRPr="00102437">
        <w:t>.</w:t>
      </w:r>
    </w:p>
  </w:footnote>
  <w:footnote w:id="398">
    <w:p w:rsidR="005E7922" w:rsidRPr="00102437" w:rsidRDefault="005E7922" w:rsidP="0022122E">
      <w:pPr>
        <w:pStyle w:val="Funotentext"/>
        <w:spacing w:line="240" w:lineRule="auto"/>
        <w:contextualSpacing/>
      </w:pPr>
      <w:r w:rsidRPr="00102437">
        <w:rPr>
          <w:rStyle w:val="Funotenzeichen"/>
        </w:rPr>
        <w:footnoteRef/>
      </w:r>
      <w:r w:rsidRPr="00102437">
        <w:t xml:space="preserve">  </w:t>
      </w:r>
      <w:r>
        <w:tab/>
      </w:r>
      <w:r w:rsidRPr="00102437">
        <w:t>Reekie 2000: 4</w:t>
      </w:r>
      <w:r>
        <w:t>3</w:t>
      </w:r>
      <w:r w:rsidRPr="00102437">
        <w:t>.</w:t>
      </w:r>
    </w:p>
  </w:footnote>
  <w:footnote w:id="399">
    <w:p w:rsidR="005E7922" w:rsidRPr="00102437" w:rsidRDefault="005E7922" w:rsidP="0022122E">
      <w:pPr>
        <w:pStyle w:val="Funotentext"/>
        <w:spacing w:line="240" w:lineRule="auto"/>
        <w:contextualSpacing/>
      </w:pPr>
      <w:r w:rsidRPr="00102437">
        <w:rPr>
          <w:rStyle w:val="Funotenzeichen"/>
        </w:rPr>
        <w:footnoteRef/>
      </w:r>
      <w:r w:rsidRPr="00102437">
        <w:t xml:space="preserve">  </w:t>
      </w:r>
      <w:r>
        <w:tab/>
      </w:r>
      <w:r w:rsidRPr="00102437">
        <w:t>Reekie 2000: 4</w:t>
      </w:r>
      <w:r>
        <w:t>3</w:t>
      </w:r>
      <w:r w:rsidRPr="00102437">
        <w:t>.</w:t>
      </w:r>
    </w:p>
  </w:footnote>
  <w:footnote w:id="400">
    <w:p w:rsidR="005E7922" w:rsidRPr="00102437" w:rsidRDefault="005E7922" w:rsidP="0022122E">
      <w:pPr>
        <w:pStyle w:val="Funotentext"/>
        <w:spacing w:line="240" w:lineRule="auto"/>
        <w:contextualSpacing/>
      </w:pPr>
      <w:r w:rsidRPr="00102437">
        <w:rPr>
          <w:rStyle w:val="Funotenzeichen"/>
        </w:rPr>
        <w:footnoteRef/>
      </w:r>
      <w:r w:rsidRPr="00102437">
        <w:t xml:space="preserve">  </w:t>
      </w:r>
      <w:r>
        <w:tab/>
      </w:r>
      <w:r w:rsidRPr="00102437">
        <w:t>89/1998.</w:t>
      </w:r>
    </w:p>
  </w:footnote>
  <w:footnote w:id="401">
    <w:p w:rsidR="005E7922" w:rsidRPr="00102437" w:rsidRDefault="005E7922" w:rsidP="0022122E">
      <w:pPr>
        <w:pStyle w:val="Funotentext"/>
        <w:spacing w:line="240" w:lineRule="auto"/>
        <w:contextualSpacing/>
      </w:pPr>
      <w:r w:rsidRPr="00102437">
        <w:rPr>
          <w:rStyle w:val="Funotenzeichen"/>
        </w:rPr>
        <w:footnoteRef/>
      </w:r>
      <w:r w:rsidRPr="00102437">
        <w:t xml:space="preserve"> </w:t>
      </w:r>
      <w:r>
        <w:tab/>
      </w:r>
      <w:r w:rsidRPr="00102437">
        <w:t>Reekie 2000: 4</w:t>
      </w:r>
      <w:r>
        <w:t>3</w:t>
      </w:r>
      <w:r w:rsidRPr="00102437">
        <w:t>.</w:t>
      </w:r>
    </w:p>
  </w:footnote>
  <w:footnote w:id="402">
    <w:p w:rsidR="005E7922" w:rsidRPr="006A2FCC" w:rsidRDefault="005E7922" w:rsidP="006A2FCC">
      <w:pPr>
        <w:pStyle w:val="Funotentext"/>
        <w:spacing w:line="240" w:lineRule="auto"/>
        <w:contextualSpacing/>
      </w:pPr>
      <w:r w:rsidRPr="006A2FCC">
        <w:rPr>
          <w:rStyle w:val="Funotenzeichen"/>
        </w:rPr>
        <w:footnoteRef/>
      </w:r>
      <w:r w:rsidRPr="006A2FCC">
        <w:t xml:space="preserve">  </w:t>
      </w:r>
      <w:r>
        <w:tab/>
      </w:r>
      <w:r w:rsidRPr="006A2FCC">
        <w:t xml:space="preserve">These groups include political, business and labour groups. For more information refer to The </w:t>
      </w:r>
      <w:r>
        <w:tab/>
      </w:r>
      <w:r w:rsidRPr="006A2FCC">
        <w:t>Competition Commission on http://www.compcom.co.za/about-us/ (accessed on 11 March 2011)</w:t>
      </w:r>
    </w:p>
  </w:footnote>
  <w:footnote w:id="403">
    <w:p w:rsidR="005E7922" w:rsidRPr="006A2FCC" w:rsidRDefault="005E7922" w:rsidP="006A2FCC">
      <w:pPr>
        <w:pStyle w:val="Funotentext"/>
        <w:spacing w:line="240" w:lineRule="auto"/>
        <w:contextualSpacing/>
      </w:pPr>
      <w:r w:rsidRPr="006A2FCC">
        <w:rPr>
          <w:rStyle w:val="Funotenzeichen"/>
        </w:rPr>
        <w:footnoteRef/>
      </w:r>
      <w:r w:rsidRPr="006A2FCC">
        <w:t xml:space="preserve"> </w:t>
      </w:r>
      <w:r>
        <w:tab/>
      </w:r>
      <w:r w:rsidRPr="006A2FCC">
        <w:t>89/1998. Roberts 2004: 7; Torok 2005: 26.</w:t>
      </w:r>
    </w:p>
  </w:footnote>
  <w:footnote w:id="404">
    <w:p w:rsidR="005E7922" w:rsidRPr="006A2FCC" w:rsidRDefault="005E7922" w:rsidP="006A2FCC">
      <w:pPr>
        <w:pStyle w:val="Funotentext"/>
        <w:spacing w:line="240" w:lineRule="auto"/>
        <w:contextualSpacing/>
      </w:pPr>
      <w:r w:rsidRPr="006A2FCC">
        <w:rPr>
          <w:rStyle w:val="Funotenzeichen"/>
        </w:rPr>
        <w:footnoteRef/>
      </w:r>
      <w:r w:rsidRPr="006A2FCC">
        <w:t xml:space="preserve">  </w:t>
      </w:r>
      <w:r>
        <w:tab/>
      </w:r>
      <w:r w:rsidRPr="006A2FCC">
        <w:t>89/1998.</w:t>
      </w:r>
    </w:p>
  </w:footnote>
  <w:footnote w:id="405">
    <w:p w:rsidR="005E7922" w:rsidRPr="006A2FCC" w:rsidRDefault="005E7922" w:rsidP="006A2FCC">
      <w:pPr>
        <w:pStyle w:val="Funotentext"/>
        <w:spacing w:line="240" w:lineRule="auto"/>
        <w:contextualSpacing/>
      </w:pPr>
      <w:r w:rsidRPr="006A2FCC">
        <w:rPr>
          <w:rStyle w:val="Funotenzeichen"/>
        </w:rPr>
        <w:footnoteRef/>
      </w:r>
      <w:r w:rsidRPr="006A2FCC">
        <w:t xml:space="preserve">  </w:t>
      </w:r>
      <w:r>
        <w:tab/>
      </w:r>
      <w:r w:rsidRPr="006A2FCC">
        <w:t>Torok 2005: 26.</w:t>
      </w:r>
    </w:p>
  </w:footnote>
  <w:footnote w:id="406">
    <w:p w:rsidR="005E7922" w:rsidRPr="006A2FCC" w:rsidRDefault="005E7922" w:rsidP="006A2FCC">
      <w:pPr>
        <w:pStyle w:val="Funotentext"/>
        <w:spacing w:line="240" w:lineRule="auto"/>
        <w:contextualSpacing/>
      </w:pPr>
      <w:r w:rsidRPr="006A2FCC">
        <w:rPr>
          <w:rStyle w:val="Funotenzeichen"/>
        </w:rPr>
        <w:footnoteRef/>
      </w:r>
      <w:r w:rsidRPr="006A2FCC">
        <w:t xml:space="preserve">  </w:t>
      </w:r>
      <w:r>
        <w:tab/>
      </w:r>
      <w:r w:rsidRPr="006A2FCC">
        <w:t xml:space="preserve">See Reekie 2000: 43 and Neuhoff </w:t>
      </w:r>
      <w:r w:rsidRPr="006A2FCC">
        <w:rPr>
          <w:i/>
        </w:rPr>
        <w:t>et al</w:t>
      </w:r>
      <w:r w:rsidRPr="006A2FCC">
        <w:t xml:space="preserve"> 2006: 13 for conflicting opinions.</w:t>
      </w:r>
    </w:p>
  </w:footnote>
  <w:footnote w:id="407">
    <w:p w:rsidR="005E7922" w:rsidRPr="006A2FCC" w:rsidRDefault="005E7922" w:rsidP="006A2FCC">
      <w:pPr>
        <w:pStyle w:val="Funotentext"/>
        <w:spacing w:line="240" w:lineRule="auto"/>
        <w:contextualSpacing/>
      </w:pPr>
      <w:r w:rsidRPr="006A2FCC">
        <w:rPr>
          <w:rStyle w:val="Funotenzeichen"/>
        </w:rPr>
        <w:footnoteRef/>
      </w:r>
      <w:r w:rsidRPr="006A2FCC">
        <w:t xml:space="preserve">  CUTS 2002: 12; Neuhoff </w:t>
      </w:r>
      <w:r w:rsidRPr="006A2FCC">
        <w:rPr>
          <w:i/>
        </w:rPr>
        <w:t>et al</w:t>
      </w:r>
      <w:r w:rsidRPr="006A2FCC">
        <w:t xml:space="preserve">  2006: 14; Roberts 2004: 7.</w:t>
      </w:r>
    </w:p>
  </w:footnote>
  <w:footnote w:id="408">
    <w:p w:rsidR="005E7922" w:rsidRPr="006A2FCC" w:rsidRDefault="005E7922" w:rsidP="006A2FCC">
      <w:pPr>
        <w:pStyle w:val="Funotentext"/>
        <w:spacing w:line="240" w:lineRule="auto"/>
        <w:contextualSpacing/>
      </w:pPr>
      <w:r w:rsidRPr="006A2FCC">
        <w:rPr>
          <w:rStyle w:val="Funotenzeichen"/>
        </w:rPr>
        <w:footnoteRef/>
      </w:r>
      <w:r w:rsidRPr="006A2FCC">
        <w:t xml:space="preserve">  Competition Act 89/1998.</w:t>
      </w:r>
    </w:p>
  </w:footnote>
  <w:footnote w:id="409">
    <w:p w:rsidR="005E7922" w:rsidRPr="006A2FCC" w:rsidRDefault="005E7922" w:rsidP="006A2FCC">
      <w:pPr>
        <w:pStyle w:val="Funotentext"/>
        <w:spacing w:line="240" w:lineRule="auto"/>
        <w:contextualSpacing/>
      </w:pPr>
      <w:r w:rsidRPr="006A2FCC">
        <w:rPr>
          <w:rStyle w:val="Funotenzeichen"/>
        </w:rPr>
        <w:footnoteRef/>
      </w:r>
      <w:r w:rsidRPr="006A2FCC">
        <w:t xml:space="preserve">  Shell South Africa (Pty) Ltd v Tepco Petroleum (Pty) Ltd case 66/LM/Oct01.</w:t>
      </w:r>
    </w:p>
  </w:footnote>
  <w:footnote w:id="410">
    <w:p w:rsidR="005E7922" w:rsidRPr="006A2FCC" w:rsidRDefault="005E7922" w:rsidP="006A2FCC">
      <w:pPr>
        <w:pStyle w:val="Funotentext"/>
        <w:spacing w:line="240" w:lineRule="auto"/>
        <w:contextualSpacing/>
      </w:pPr>
      <w:r w:rsidRPr="006A2FCC">
        <w:rPr>
          <w:rStyle w:val="Funotenzeichen"/>
        </w:rPr>
        <w:footnoteRef/>
      </w:r>
      <w:r w:rsidRPr="006A2FCC">
        <w:t xml:space="preserve">  1/2009.</w:t>
      </w:r>
    </w:p>
  </w:footnote>
  <w:footnote w:id="411">
    <w:p w:rsidR="005E7922" w:rsidRPr="006A2FCC" w:rsidRDefault="005E7922" w:rsidP="006A2FCC">
      <w:pPr>
        <w:pStyle w:val="Funotentext"/>
        <w:spacing w:line="240" w:lineRule="auto"/>
        <w:contextualSpacing/>
      </w:pPr>
      <w:r w:rsidRPr="006A2FCC">
        <w:rPr>
          <w:rStyle w:val="Funotenzeichen"/>
        </w:rPr>
        <w:footnoteRef/>
      </w:r>
      <w:r w:rsidRPr="006A2FCC">
        <w:t xml:space="preserve">  Competition Amendment Act 1/2009.</w:t>
      </w:r>
    </w:p>
  </w:footnote>
  <w:footnote w:id="412">
    <w:p w:rsidR="005E7922" w:rsidRPr="006A2FCC" w:rsidRDefault="005E7922" w:rsidP="006A2FCC">
      <w:pPr>
        <w:pStyle w:val="Funotentext"/>
        <w:spacing w:line="240" w:lineRule="auto"/>
        <w:contextualSpacing/>
      </w:pPr>
      <w:r w:rsidRPr="006A2FCC">
        <w:rPr>
          <w:rStyle w:val="Funotenzeichen"/>
        </w:rPr>
        <w:footnoteRef/>
      </w:r>
      <w:r w:rsidRPr="006A2FCC">
        <w:t xml:space="preserve">  89/1998.</w:t>
      </w:r>
    </w:p>
  </w:footnote>
  <w:footnote w:id="413">
    <w:p w:rsidR="005E7922" w:rsidRPr="006A2FCC" w:rsidRDefault="005E7922" w:rsidP="006A2FCC">
      <w:pPr>
        <w:pStyle w:val="Funotentext"/>
        <w:spacing w:line="240" w:lineRule="auto"/>
        <w:contextualSpacing/>
      </w:pPr>
      <w:r w:rsidRPr="006A2FCC">
        <w:rPr>
          <w:rStyle w:val="Funotenzeichen"/>
        </w:rPr>
        <w:footnoteRef/>
      </w:r>
      <w:r w:rsidRPr="006A2FCC">
        <w:t xml:space="preserve">  89/1998.</w:t>
      </w:r>
    </w:p>
  </w:footnote>
  <w:footnote w:id="414">
    <w:p w:rsidR="005E7922" w:rsidRPr="006A2FCC" w:rsidRDefault="005E7922" w:rsidP="006A2FCC">
      <w:pPr>
        <w:pStyle w:val="Funotentext"/>
        <w:spacing w:line="240" w:lineRule="auto"/>
        <w:contextualSpacing/>
      </w:pPr>
      <w:r w:rsidRPr="006A2FCC">
        <w:rPr>
          <w:rStyle w:val="Funotenzeichen"/>
        </w:rPr>
        <w:footnoteRef/>
      </w:r>
      <w:r w:rsidRPr="006A2FCC">
        <w:t xml:space="preserve">  1/2009.</w:t>
      </w:r>
    </w:p>
  </w:footnote>
  <w:footnote w:id="415">
    <w:p w:rsidR="005E7922" w:rsidRPr="006A2FCC" w:rsidRDefault="005E7922" w:rsidP="006A2FCC">
      <w:pPr>
        <w:pStyle w:val="Funotentext"/>
        <w:spacing w:line="240" w:lineRule="auto"/>
        <w:contextualSpacing/>
      </w:pPr>
      <w:r w:rsidRPr="006A2FCC">
        <w:rPr>
          <w:rStyle w:val="Funotenzeichen"/>
        </w:rPr>
        <w:footnoteRef/>
      </w:r>
      <w:r w:rsidRPr="006A2FCC">
        <w:t xml:space="preserve">  89/1998.</w:t>
      </w:r>
    </w:p>
  </w:footnote>
  <w:footnote w:id="416">
    <w:p w:rsidR="005E7922" w:rsidRPr="00FA5CFC" w:rsidRDefault="005E7922" w:rsidP="00FA5CFC">
      <w:pPr>
        <w:pStyle w:val="Funotentext"/>
        <w:spacing w:line="240" w:lineRule="auto"/>
        <w:contextualSpacing/>
      </w:pPr>
      <w:r w:rsidRPr="00FA5CFC">
        <w:rPr>
          <w:rStyle w:val="Funotenzeichen"/>
        </w:rPr>
        <w:footnoteRef/>
      </w:r>
      <w:r w:rsidRPr="00FA5CFC">
        <w:t xml:space="preserve">  89/1998.</w:t>
      </w:r>
    </w:p>
  </w:footnote>
  <w:footnote w:id="417">
    <w:p w:rsidR="005E7922" w:rsidRPr="00FA5CFC" w:rsidRDefault="005E7922" w:rsidP="00FA5CFC">
      <w:pPr>
        <w:pStyle w:val="Funotentext"/>
        <w:spacing w:line="240" w:lineRule="auto"/>
        <w:contextualSpacing/>
      </w:pPr>
      <w:r w:rsidRPr="00FA5CFC">
        <w:rPr>
          <w:rStyle w:val="Funotenzeichen"/>
        </w:rPr>
        <w:footnoteRef/>
      </w:r>
      <w:r w:rsidRPr="00FA5CFC">
        <w:t xml:space="preserve">  89/1998.</w:t>
      </w:r>
    </w:p>
  </w:footnote>
  <w:footnote w:id="418">
    <w:p w:rsidR="005E7922" w:rsidRPr="00FA5CFC" w:rsidRDefault="005E7922" w:rsidP="00FA5CFC">
      <w:pPr>
        <w:pStyle w:val="Funotentext"/>
        <w:spacing w:line="240" w:lineRule="auto"/>
        <w:contextualSpacing/>
      </w:pPr>
      <w:r w:rsidRPr="00FA5CFC">
        <w:rPr>
          <w:rStyle w:val="Funotenzeichen"/>
        </w:rPr>
        <w:footnoteRef/>
      </w:r>
      <w:r w:rsidRPr="00FA5CFC">
        <w:t xml:space="preserve">  Neuhoff </w:t>
      </w:r>
      <w:r w:rsidRPr="00FA5CFC">
        <w:rPr>
          <w:i/>
        </w:rPr>
        <w:t>et al</w:t>
      </w:r>
      <w:r w:rsidRPr="00FA5CFC">
        <w:t xml:space="preserve"> 2006: 44.</w:t>
      </w:r>
    </w:p>
  </w:footnote>
  <w:footnote w:id="419">
    <w:p w:rsidR="005E7922" w:rsidRPr="00FA5CFC" w:rsidRDefault="005E7922" w:rsidP="00FA5CFC">
      <w:pPr>
        <w:pStyle w:val="Funotentext"/>
        <w:spacing w:line="240" w:lineRule="auto"/>
        <w:contextualSpacing/>
      </w:pPr>
      <w:r w:rsidRPr="00FA5CFC">
        <w:rPr>
          <w:rStyle w:val="Funotenzeichen"/>
        </w:rPr>
        <w:footnoteRef/>
      </w:r>
      <w:r w:rsidRPr="00FA5CFC">
        <w:t xml:space="preserve">  89/1998.</w:t>
      </w:r>
    </w:p>
  </w:footnote>
  <w:footnote w:id="420">
    <w:p w:rsidR="005E7922" w:rsidRPr="00FA5CFC" w:rsidRDefault="005E7922" w:rsidP="00FA5CFC">
      <w:pPr>
        <w:pStyle w:val="Funotentext"/>
        <w:spacing w:line="240" w:lineRule="auto"/>
        <w:contextualSpacing/>
      </w:pPr>
      <w:r w:rsidRPr="00FA5CFC">
        <w:rPr>
          <w:rStyle w:val="Funotenzeichen"/>
        </w:rPr>
        <w:footnoteRef/>
      </w:r>
      <w:r w:rsidRPr="00FA5CFC">
        <w:t xml:space="preserve">  Competition Act 89/1998: section 4 &amp; 5; CUTS 2002: 12; Neuhoff </w:t>
      </w:r>
      <w:r w:rsidRPr="00FA5CFC">
        <w:rPr>
          <w:i/>
        </w:rPr>
        <w:t>et al</w:t>
      </w:r>
      <w:r w:rsidRPr="00FA5CFC">
        <w:t xml:space="preserve">  2006: 14-15; Reekie 2000: 44; Rutherford 1999: 302-303.</w:t>
      </w:r>
    </w:p>
  </w:footnote>
  <w:footnote w:id="421">
    <w:p w:rsidR="005E7922" w:rsidRPr="00FA5CFC" w:rsidRDefault="005E7922" w:rsidP="00FA5CFC">
      <w:pPr>
        <w:pStyle w:val="Funotentext"/>
        <w:spacing w:line="240" w:lineRule="auto"/>
        <w:contextualSpacing/>
      </w:pPr>
      <w:r w:rsidRPr="00FA5CFC">
        <w:rPr>
          <w:rStyle w:val="Funotenzeichen"/>
        </w:rPr>
        <w:footnoteRef/>
      </w:r>
      <w:r w:rsidRPr="00FA5CFC">
        <w:t xml:space="preserve">  In sections 4 &amp; 5 of the Competition Act 89/1998 the terms “restricted horizontal practices” and “restrictive vertical practises” are used.</w:t>
      </w:r>
    </w:p>
  </w:footnote>
  <w:footnote w:id="422">
    <w:p w:rsidR="005E7922" w:rsidRPr="00FA5CFC" w:rsidRDefault="005E7922" w:rsidP="00FA5CFC">
      <w:pPr>
        <w:pStyle w:val="Funotentext"/>
        <w:spacing w:line="240" w:lineRule="auto"/>
        <w:contextualSpacing/>
      </w:pPr>
      <w:r w:rsidRPr="00FA5CFC">
        <w:rPr>
          <w:rStyle w:val="Funotenzeichen"/>
        </w:rPr>
        <w:footnoteRef/>
      </w:r>
      <w:r w:rsidRPr="00FA5CFC">
        <w:t xml:space="preserve">  Competition Act 89/1998: section 4(2); Reekie 2000: 44; Rutherford 1999: 302-303.</w:t>
      </w:r>
    </w:p>
  </w:footnote>
  <w:footnote w:id="423">
    <w:p w:rsidR="005E7922" w:rsidRPr="00FA5CFC" w:rsidRDefault="005E7922" w:rsidP="00FA5CFC">
      <w:pPr>
        <w:pStyle w:val="Funotentext"/>
        <w:spacing w:line="240" w:lineRule="auto"/>
        <w:contextualSpacing/>
      </w:pPr>
      <w:r w:rsidRPr="00FA5CFC">
        <w:rPr>
          <w:rStyle w:val="Funotenzeichen"/>
        </w:rPr>
        <w:footnoteRef/>
      </w:r>
      <w:r w:rsidRPr="00FA5CFC">
        <w:t xml:space="preserve">  Neuhoff </w:t>
      </w:r>
      <w:r w:rsidRPr="00FA5CFC">
        <w:rPr>
          <w:i/>
        </w:rPr>
        <w:t>et al</w:t>
      </w:r>
      <w:r w:rsidRPr="00FA5CFC">
        <w:t xml:space="preserve"> 2006: 14.</w:t>
      </w:r>
    </w:p>
  </w:footnote>
  <w:footnote w:id="424">
    <w:p w:rsidR="005E7922" w:rsidRPr="00FA5CFC" w:rsidRDefault="005E7922" w:rsidP="00FA5CFC">
      <w:pPr>
        <w:pStyle w:val="Funotentext"/>
        <w:spacing w:line="240" w:lineRule="auto"/>
        <w:contextualSpacing/>
      </w:pPr>
      <w:r w:rsidRPr="00FA5CFC">
        <w:rPr>
          <w:rStyle w:val="Funotenzeichen"/>
        </w:rPr>
        <w:footnoteRef/>
      </w:r>
      <w:r w:rsidRPr="00FA5CFC">
        <w:t xml:space="preserve">  Competition Act 89/1998: section 4(2); </w:t>
      </w:r>
    </w:p>
  </w:footnote>
  <w:footnote w:id="425">
    <w:p w:rsidR="005E7922" w:rsidRPr="00FA5CFC" w:rsidRDefault="005E7922" w:rsidP="00FA5CFC">
      <w:pPr>
        <w:pStyle w:val="Funotentext"/>
        <w:spacing w:line="240" w:lineRule="auto"/>
        <w:contextualSpacing/>
      </w:pPr>
      <w:r w:rsidRPr="00FA5CFC">
        <w:rPr>
          <w:rStyle w:val="Funotenzeichen"/>
        </w:rPr>
        <w:footnoteRef/>
      </w:r>
      <w:r w:rsidRPr="00FA5CFC">
        <w:t xml:space="preserve">  Competition Act 89/1998: section 4 &amp; 5; CUTS 2002: 12; Neuhoff </w:t>
      </w:r>
      <w:r w:rsidRPr="00FA5CFC">
        <w:rPr>
          <w:i/>
        </w:rPr>
        <w:t>et al</w:t>
      </w:r>
      <w:r w:rsidRPr="00FA5CFC">
        <w:t xml:space="preserve">  2006: 14-15; Reekie 2000: 44.</w:t>
      </w:r>
    </w:p>
  </w:footnote>
  <w:footnote w:id="426">
    <w:p w:rsidR="005E7922" w:rsidRPr="00E36AED" w:rsidRDefault="005E7922" w:rsidP="00E36AED">
      <w:pPr>
        <w:pStyle w:val="Funotentext"/>
        <w:spacing w:line="240" w:lineRule="auto"/>
        <w:contextualSpacing/>
      </w:pPr>
      <w:r w:rsidRPr="00E36AED">
        <w:rPr>
          <w:rStyle w:val="Funotenzeichen"/>
        </w:rPr>
        <w:footnoteRef/>
      </w:r>
      <w:r w:rsidRPr="00E36AED">
        <w:t xml:space="preserve">  Neuhoff </w:t>
      </w:r>
      <w:r w:rsidRPr="00E36AED">
        <w:rPr>
          <w:i/>
        </w:rPr>
        <w:t>et al</w:t>
      </w:r>
      <w:r w:rsidRPr="00E36AED">
        <w:t xml:space="preserve"> 2006: 16. Competition Act 89/1998: sections 4(1)(b) &amp; 5(2)&amp;5(3).</w:t>
      </w:r>
    </w:p>
  </w:footnote>
  <w:footnote w:id="427">
    <w:p w:rsidR="005E7922" w:rsidRPr="00E36AED" w:rsidRDefault="005E7922" w:rsidP="004A60A3">
      <w:pPr>
        <w:pStyle w:val="Funotentext"/>
        <w:spacing w:line="240" w:lineRule="auto"/>
        <w:contextualSpacing/>
      </w:pPr>
      <w:r w:rsidRPr="00E36AED">
        <w:rPr>
          <w:rStyle w:val="Funotenzeichen"/>
        </w:rPr>
        <w:footnoteRef/>
      </w:r>
      <w:r w:rsidRPr="00E36AED">
        <w:t xml:space="preserve">  Neuhoff </w:t>
      </w:r>
      <w:r w:rsidRPr="00E36AED">
        <w:rPr>
          <w:i/>
        </w:rPr>
        <w:t>et al</w:t>
      </w:r>
      <w:r w:rsidRPr="00E36AED">
        <w:t xml:space="preserve"> 2006: 16.</w:t>
      </w:r>
    </w:p>
  </w:footnote>
  <w:footnote w:id="428">
    <w:p w:rsidR="005E7922" w:rsidRPr="00726391" w:rsidRDefault="005E7922" w:rsidP="00205AC9">
      <w:pPr>
        <w:pStyle w:val="Funotentext"/>
        <w:spacing w:line="240" w:lineRule="auto"/>
        <w:contextualSpacing/>
      </w:pPr>
      <w:r w:rsidRPr="00726391">
        <w:rPr>
          <w:rStyle w:val="Funotenzeichen"/>
        </w:rPr>
        <w:footnoteRef/>
      </w:r>
      <w:r w:rsidRPr="00726391">
        <w:t xml:space="preserve">  Neuhoff </w:t>
      </w:r>
      <w:r w:rsidRPr="00726391">
        <w:rPr>
          <w:i/>
        </w:rPr>
        <w:t>et al</w:t>
      </w:r>
      <w:r w:rsidRPr="00726391">
        <w:t xml:space="preserve"> 2006: 16-17.</w:t>
      </w:r>
    </w:p>
  </w:footnote>
  <w:footnote w:id="429">
    <w:p w:rsidR="005E7922" w:rsidRPr="00726391" w:rsidRDefault="005E7922" w:rsidP="00205AC9">
      <w:pPr>
        <w:pStyle w:val="Funotentext"/>
        <w:spacing w:line="240" w:lineRule="auto"/>
        <w:contextualSpacing/>
      </w:pPr>
      <w:r w:rsidRPr="00726391">
        <w:rPr>
          <w:rStyle w:val="Funotenzeichen"/>
        </w:rPr>
        <w:footnoteRef/>
      </w:r>
      <w:r w:rsidRPr="00726391">
        <w:t xml:space="preserve">  Competition Act 89/1998: sections 4(1)(a), 5(1) and 8(c)&amp;(d); CUTS 2002: 12; Neuhoff </w:t>
      </w:r>
      <w:r w:rsidRPr="00726391">
        <w:rPr>
          <w:i/>
        </w:rPr>
        <w:t>et al</w:t>
      </w:r>
      <w:r w:rsidRPr="00726391">
        <w:t xml:space="preserve">  2006: 16-17; Torok 2005: 30; Reekie 2000: 44-45.</w:t>
      </w:r>
    </w:p>
  </w:footnote>
  <w:footnote w:id="430">
    <w:p w:rsidR="005E7922" w:rsidRPr="00726391" w:rsidRDefault="005E7922" w:rsidP="00205AC9">
      <w:pPr>
        <w:pStyle w:val="Funotentext"/>
        <w:spacing w:line="240" w:lineRule="auto"/>
        <w:contextualSpacing/>
      </w:pPr>
      <w:r w:rsidRPr="00726391">
        <w:rPr>
          <w:rStyle w:val="Funotenzeichen"/>
        </w:rPr>
        <w:footnoteRef/>
      </w:r>
      <w:r w:rsidRPr="00726391">
        <w:t xml:space="preserve">  Competition Act 89/1998: sections 4(1)(a), 5(1) and 8(c)&amp;(d); CUTS 2002: 12; Neuhoff </w:t>
      </w:r>
      <w:r w:rsidRPr="00726391">
        <w:rPr>
          <w:i/>
        </w:rPr>
        <w:t>et al</w:t>
      </w:r>
      <w:r w:rsidRPr="00726391">
        <w:t xml:space="preserve">  2006: 16-17; Torok 2005: 30; Reekie 2000: 44-45.</w:t>
      </w:r>
    </w:p>
  </w:footnote>
  <w:footnote w:id="431">
    <w:p w:rsidR="005E7922" w:rsidRPr="00726391" w:rsidRDefault="005E7922" w:rsidP="00205AC9">
      <w:pPr>
        <w:pStyle w:val="Funotentext"/>
        <w:spacing w:line="240" w:lineRule="auto"/>
        <w:contextualSpacing/>
      </w:pPr>
      <w:r w:rsidRPr="00726391">
        <w:rPr>
          <w:rStyle w:val="Funotenzeichen"/>
        </w:rPr>
        <w:footnoteRef/>
      </w:r>
      <w:r w:rsidRPr="00726391">
        <w:t xml:space="preserve">  89/1998.</w:t>
      </w:r>
    </w:p>
  </w:footnote>
  <w:footnote w:id="432">
    <w:p w:rsidR="005E7922" w:rsidRPr="00726391" w:rsidRDefault="005E7922" w:rsidP="00726391">
      <w:pPr>
        <w:pStyle w:val="Funotentext"/>
        <w:spacing w:line="240" w:lineRule="auto"/>
        <w:contextualSpacing/>
      </w:pPr>
      <w:r w:rsidRPr="00726391">
        <w:rPr>
          <w:rStyle w:val="Funotenzeichen"/>
        </w:rPr>
        <w:footnoteRef/>
      </w:r>
      <w:r w:rsidRPr="00726391">
        <w:t xml:space="preserve">  89/1998.</w:t>
      </w:r>
    </w:p>
  </w:footnote>
  <w:footnote w:id="433">
    <w:p w:rsidR="005E7922" w:rsidRPr="00726391" w:rsidRDefault="005E7922" w:rsidP="00726391">
      <w:pPr>
        <w:pStyle w:val="Funotentext"/>
        <w:spacing w:line="240" w:lineRule="auto"/>
        <w:contextualSpacing/>
      </w:pPr>
      <w:r w:rsidRPr="00726391">
        <w:rPr>
          <w:rStyle w:val="Funotenzeichen"/>
        </w:rPr>
        <w:footnoteRef/>
      </w:r>
      <w:r w:rsidRPr="00726391">
        <w:t xml:space="preserve">  89/1998.</w:t>
      </w:r>
    </w:p>
  </w:footnote>
  <w:footnote w:id="434">
    <w:p w:rsidR="005E7922" w:rsidRPr="00726391" w:rsidRDefault="005E7922" w:rsidP="00726391">
      <w:pPr>
        <w:pStyle w:val="Funotentext"/>
        <w:spacing w:line="240" w:lineRule="auto"/>
        <w:contextualSpacing/>
      </w:pPr>
      <w:r w:rsidRPr="00726391">
        <w:rPr>
          <w:rStyle w:val="Funotenzeichen"/>
        </w:rPr>
        <w:footnoteRef/>
      </w:r>
      <w:r w:rsidRPr="00726391">
        <w:t xml:space="preserve">  89/1998.</w:t>
      </w:r>
    </w:p>
  </w:footnote>
  <w:footnote w:id="435">
    <w:p w:rsidR="005E7922" w:rsidRPr="00726391" w:rsidRDefault="005E7922" w:rsidP="00726391">
      <w:pPr>
        <w:pStyle w:val="Funotentext"/>
        <w:spacing w:line="240" w:lineRule="auto"/>
        <w:contextualSpacing/>
      </w:pPr>
      <w:r w:rsidRPr="00726391">
        <w:rPr>
          <w:rStyle w:val="Funotenzeichen"/>
        </w:rPr>
        <w:footnoteRef/>
      </w:r>
      <w:r w:rsidRPr="00726391">
        <w:t xml:space="preserve">  Competition Act 89/1998: section 1.</w:t>
      </w:r>
    </w:p>
  </w:footnote>
  <w:footnote w:id="436">
    <w:p w:rsidR="005E7922" w:rsidRPr="00483E00" w:rsidRDefault="005E7922" w:rsidP="00483E00">
      <w:pPr>
        <w:pStyle w:val="Funotentext"/>
        <w:spacing w:line="240" w:lineRule="auto"/>
        <w:contextualSpacing/>
      </w:pPr>
      <w:r w:rsidRPr="00483E00">
        <w:rPr>
          <w:rStyle w:val="Funotenzeichen"/>
        </w:rPr>
        <w:footnoteRef/>
      </w:r>
      <w:r w:rsidRPr="00483E00">
        <w:t xml:space="preserve">  89/1998.</w:t>
      </w:r>
    </w:p>
  </w:footnote>
  <w:footnote w:id="437">
    <w:p w:rsidR="005E7922" w:rsidRPr="00483E00" w:rsidRDefault="005E7922" w:rsidP="00483E00">
      <w:pPr>
        <w:pStyle w:val="Funotentext"/>
        <w:spacing w:line="240" w:lineRule="auto"/>
        <w:contextualSpacing/>
      </w:pPr>
      <w:r w:rsidRPr="00483E00">
        <w:rPr>
          <w:rStyle w:val="Funotenzeichen"/>
        </w:rPr>
        <w:footnoteRef/>
      </w:r>
      <w:r w:rsidRPr="00483E00">
        <w:t xml:space="preserve">  89/1998.</w:t>
      </w:r>
    </w:p>
  </w:footnote>
  <w:footnote w:id="438">
    <w:p w:rsidR="005E7922" w:rsidRPr="00483E00" w:rsidRDefault="005E7922" w:rsidP="00483E00">
      <w:pPr>
        <w:pStyle w:val="Funotentext"/>
        <w:spacing w:line="240" w:lineRule="auto"/>
        <w:contextualSpacing/>
      </w:pPr>
      <w:r w:rsidRPr="00483E00">
        <w:rPr>
          <w:rStyle w:val="Funotenzeichen"/>
        </w:rPr>
        <w:footnoteRef/>
      </w:r>
      <w:r w:rsidRPr="00483E00">
        <w:t xml:space="preserve">  Competition Act 89/1998: sections 11-17.</w:t>
      </w:r>
    </w:p>
  </w:footnote>
  <w:footnote w:id="439">
    <w:p w:rsidR="005E7922" w:rsidRPr="00483E00" w:rsidRDefault="005E7922" w:rsidP="00483E00">
      <w:pPr>
        <w:pStyle w:val="Funotentext"/>
        <w:spacing w:line="240" w:lineRule="auto"/>
        <w:contextualSpacing/>
      </w:pPr>
      <w:r w:rsidRPr="00483E00">
        <w:rPr>
          <w:rStyle w:val="Funotenzeichen"/>
        </w:rPr>
        <w:footnoteRef/>
      </w:r>
      <w:r w:rsidRPr="00483E00">
        <w:t xml:space="preserve">  Competition Act 89/1998.</w:t>
      </w:r>
    </w:p>
  </w:footnote>
  <w:footnote w:id="440">
    <w:p w:rsidR="005E7922" w:rsidRPr="00C20FD8" w:rsidRDefault="005E7922" w:rsidP="00C20FD8">
      <w:pPr>
        <w:pStyle w:val="Funotentext"/>
        <w:spacing w:line="240" w:lineRule="auto"/>
        <w:contextualSpacing/>
      </w:pPr>
      <w:r w:rsidRPr="00C20FD8">
        <w:rPr>
          <w:rStyle w:val="Funotenzeichen"/>
        </w:rPr>
        <w:footnoteRef/>
      </w:r>
      <w:r w:rsidRPr="00C20FD8">
        <w:t xml:space="preserve">  Competition Act 89/1998: chapter 3.</w:t>
      </w:r>
    </w:p>
  </w:footnote>
  <w:footnote w:id="441">
    <w:p w:rsidR="005E7922" w:rsidRPr="00C20FD8" w:rsidRDefault="005E7922" w:rsidP="00C20FD8">
      <w:pPr>
        <w:pStyle w:val="Funotentext"/>
        <w:spacing w:line="240" w:lineRule="auto"/>
        <w:contextualSpacing/>
      </w:pPr>
      <w:r w:rsidRPr="00C20FD8">
        <w:rPr>
          <w:rStyle w:val="Funotenzeichen"/>
        </w:rPr>
        <w:footnoteRef/>
      </w:r>
      <w:r w:rsidRPr="00C20FD8">
        <w:t xml:space="preserve">  Competition Act 89/1998: section 11.</w:t>
      </w:r>
    </w:p>
  </w:footnote>
  <w:footnote w:id="442">
    <w:p w:rsidR="005E7922" w:rsidRPr="00C20FD8" w:rsidRDefault="005E7922" w:rsidP="00C20FD8">
      <w:pPr>
        <w:pStyle w:val="Funotentext"/>
        <w:spacing w:line="240" w:lineRule="auto"/>
        <w:contextualSpacing/>
      </w:pPr>
      <w:r w:rsidRPr="00C20FD8">
        <w:rPr>
          <w:rStyle w:val="Funotenzeichen"/>
        </w:rPr>
        <w:footnoteRef/>
      </w:r>
      <w:r w:rsidRPr="00C20FD8">
        <w:t xml:space="preserve">  Competition Act 89/1998: section 11(5).</w:t>
      </w:r>
    </w:p>
  </w:footnote>
  <w:footnote w:id="443">
    <w:p w:rsidR="005E7922" w:rsidRPr="00C20FD8" w:rsidRDefault="005E7922" w:rsidP="00C20FD8">
      <w:pPr>
        <w:pStyle w:val="Funotentext"/>
        <w:spacing w:line="240" w:lineRule="auto"/>
        <w:contextualSpacing/>
      </w:pPr>
      <w:r w:rsidRPr="00C20FD8">
        <w:rPr>
          <w:rStyle w:val="Funotenzeichen"/>
        </w:rPr>
        <w:footnoteRef/>
      </w:r>
      <w:r w:rsidRPr="00C20FD8">
        <w:t xml:space="preserve">  Competition Act 89/1998: section 11(5)(a).</w:t>
      </w:r>
    </w:p>
  </w:footnote>
  <w:footnote w:id="444">
    <w:p w:rsidR="005E7922" w:rsidRPr="00C20FD8" w:rsidRDefault="005E7922" w:rsidP="00C20FD8">
      <w:pPr>
        <w:pStyle w:val="Funotentext"/>
        <w:spacing w:line="240" w:lineRule="auto"/>
        <w:contextualSpacing/>
      </w:pPr>
      <w:r w:rsidRPr="00C20FD8">
        <w:rPr>
          <w:rStyle w:val="Funotenzeichen"/>
        </w:rPr>
        <w:footnoteRef/>
      </w:r>
      <w:r w:rsidRPr="00C20FD8">
        <w:t xml:space="preserve">  Competition Act 89/1998: section 11(5)(b).</w:t>
      </w:r>
    </w:p>
  </w:footnote>
  <w:footnote w:id="445">
    <w:p w:rsidR="005E7922" w:rsidRPr="00C20FD8" w:rsidRDefault="005E7922" w:rsidP="00C20FD8">
      <w:pPr>
        <w:pStyle w:val="Funotentext"/>
        <w:spacing w:line="240" w:lineRule="auto"/>
        <w:contextualSpacing/>
      </w:pPr>
      <w:r w:rsidRPr="00C20FD8">
        <w:rPr>
          <w:rStyle w:val="Funotenzeichen"/>
        </w:rPr>
        <w:footnoteRef/>
      </w:r>
      <w:r w:rsidRPr="00C20FD8">
        <w:t xml:space="preserve">  Competition Act 89/1998: section 11(5)(c).</w:t>
      </w:r>
    </w:p>
  </w:footnote>
  <w:footnote w:id="446">
    <w:p w:rsidR="005E7922" w:rsidRPr="00C20FD8" w:rsidRDefault="005E7922" w:rsidP="00C20FD8">
      <w:pPr>
        <w:pStyle w:val="Funotentext"/>
        <w:spacing w:line="240" w:lineRule="auto"/>
        <w:contextualSpacing/>
      </w:pPr>
      <w:r w:rsidRPr="00C20FD8">
        <w:rPr>
          <w:rStyle w:val="Funotenzeichen"/>
        </w:rPr>
        <w:footnoteRef/>
      </w:r>
      <w:r w:rsidRPr="00C20FD8">
        <w:t xml:space="preserve">  Competition Act 89/1998: section 13(1).</w:t>
      </w:r>
    </w:p>
  </w:footnote>
  <w:footnote w:id="447">
    <w:p w:rsidR="005E7922" w:rsidRPr="00C20FD8" w:rsidRDefault="005E7922" w:rsidP="00C20FD8">
      <w:pPr>
        <w:pStyle w:val="Funotentext"/>
        <w:spacing w:line="240" w:lineRule="auto"/>
        <w:contextualSpacing/>
      </w:pPr>
      <w:r w:rsidRPr="00C20FD8">
        <w:rPr>
          <w:rStyle w:val="Funotenzeichen"/>
        </w:rPr>
        <w:footnoteRef/>
      </w:r>
      <w:r w:rsidRPr="00C20FD8">
        <w:t xml:space="preserve">  Competition Act 89/1998: section 13(3).</w:t>
      </w:r>
    </w:p>
  </w:footnote>
  <w:footnote w:id="448">
    <w:p w:rsidR="005E7922" w:rsidRPr="00C20FD8" w:rsidRDefault="005E7922" w:rsidP="00C20FD8">
      <w:pPr>
        <w:pStyle w:val="Funotentext"/>
        <w:spacing w:line="240" w:lineRule="auto"/>
        <w:contextualSpacing/>
      </w:pPr>
      <w:r w:rsidRPr="00C20FD8">
        <w:rPr>
          <w:rStyle w:val="Funotenzeichen"/>
        </w:rPr>
        <w:footnoteRef/>
      </w:r>
      <w:r w:rsidRPr="00C20FD8">
        <w:t xml:space="preserve">  The Competition Commission on http://www.compcom.co.za/merger-thresholds/ (accessed on 24 January 2011)</w:t>
      </w:r>
    </w:p>
  </w:footnote>
  <w:footnote w:id="449">
    <w:p w:rsidR="005E7922" w:rsidRPr="00C54A8D" w:rsidRDefault="005E7922" w:rsidP="00C54A8D">
      <w:pPr>
        <w:pStyle w:val="Funotentext"/>
        <w:spacing w:line="240" w:lineRule="auto"/>
        <w:contextualSpacing/>
      </w:pPr>
      <w:r w:rsidRPr="00C54A8D">
        <w:rPr>
          <w:rStyle w:val="Funotenzeichen"/>
        </w:rPr>
        <w:footnoteRef/>
      </w:r>
      <w:r w:rsidRPr="00C54A8D">
        <w:t xml:space="preserve">  The Competition Commission on http://www.compcom.co.za/merger-thresholds/ (accessed on 24 January 2011)</w:t>
      </w:r>
    </w:p>
  </w:footnote>
  <w:footnote w:id="450">
    <w:p w:rsidR="005E7922" w:rsidRPr="00C54A8D" w:rsidRDefault="005E7922" w:rsidP="00C54A8D">
      <w:pPr>
        <w:pStyle w:val="Funotentext"/>
        <w:spacing w:line="240" w:lineRule="auto"/>
        <w:contextualSpacing/>
      </w:pPr>
      <w:r w:rsidRPr="00C54A8D">
        <w:rPr>
          <w:rStyle w:val="Funotenzeichen"/>
        </w:rPr>
        <w:footnoteRef/>
      </w:r>
      <w:r w:rsidRPr="00C54A8D">
        <w:t xml:space="preserve">  The Competition Commission on http://www.compcom.co.za/merger-thresholds/ (accessed on 24 January 2011)</w:t>
      </w:r>
    </w:p>
  </w:footnote>
  <w:footnote w:id="451">
    <w:p w:rsidR="005E7922" w:rsidRPr="00C54A8D" w:rsidRDefault="005E7922" w:rsidP="00C54A8D">
      <w:pPr>
        <w:pStyle w:val="Funotentext"/>
        <w:spacing w:line="240" w:lineRule="auto"/>
        <w:contextualSpacing/>
      </w:pPr>
      <w:r w:rsidRPr="00C54A8D">
        <w:rPr>
          <w:rStyle w:val="Funotenzeichen"/>
        </w:rPr>
        <w:footnoteRef/>
      </w:r>
      <w:r w:rsidRPr="00C54A8D">
        <w:t xml:space="preserve">  89/1998.</w:t>
      </w:r>
    </w:p>
  </w:footnote>
  <w:footnote w:id="452">
    <w:p w:rsidR="005E7922" w:rsidRPr="00C54A8D" w:rsidRDefault="005E7922" w:rsidP="00C54A8D">
      <w:pPr>
        <w:pStyle w:val="Funotentext"/>
        <w:spacing w:line="240" w:lineRule="auto"/>
        <w:contextualSpacing/>
      </w:pPr>
      <w:r w:rsidRPr="00C54A8D">
        <w:rPr>
          <w:rStyle w:val="Funotenzeichen"/>
        </w:rPr>
        <w:footnoteRef/>
      </w:r>
      <w:r w:rsidRPr="00C54A8D">
        <w:t xml:space="preserve">  Competition Act 89/1998: section 12(1)(a).</w:t>
      </w:r>
    </w:p>
  </w:footnote>
  <w:footnote w:id="453">
    <w:p w:rsidR="005E7922" w:rsidRPr="00C54A8D" w:rsidRDefault="005E7922" w:rsidP="00C54A8D">
      <w:pPr>
        <w:pStyle w:val="Funotentext"/>
        <w:spacing w:line="240" w:lineRule="auto"/>
        <w:contextualSpacing/>
      </w:pPr>
      <w:r w:rsidRPr="00C54A8D">
        <w:rPr>
          <w:rStyle w:val="Funotenzeichen"/>
        </w:rPr>
        <w:footnoteRef/>
      </w:r>
      <w:r w:rsidRPr="00C54A8D">
        <w:t xml:space="preserve">  Competition Act 89/1998: section 12(1)(b).</w:t>
      </w:r>
    </w:p>
  </w:footnote>
  <w:footnote w:id="454">
    <w:p w:rsidR="005E7922" w:rsidRPr="00C54A8D" w:rsidRDefault="005E7922" w:rsidP="00C54A8D">
      <w:pPr>
        <w:pStyle w:val="Funotentext"/>
        <w:spacing w:line="240" w:lineRule="auto"/>
        <w:contextualSpacing/>
      </w:pPr>
      <w:r w:rsidRPr="00C54A8D">
        <w:rPr>
          <w:rStyle w:val="Funotenzeichen"/>
        </w:rPr>
        <w:footnoteRef/>
      </w:r>
      <w:r w:rsidRPr="00C54A8D">
        <w:t xml:space="preserve">  89/1998.</w:t>
      </w:r>
    </w:p>
  </w:footnote>
  <w:footnote w:id="455">
    <w:p w:rsidR="005E7922" w:rsidRPr="00C54A8D" w:rsidRDefault="005E7922" w:rsidP="00C54A8D">
      <w:pPr>
        <w:pStyle w:val="Funotentext"/>
        <w:spacing w:line="240" w:lineRule="auto"/>
        <w:contextualSpacing/>
      </w:pPr>
      <w:r w:rsidRPr="00C54A8D">
        <w:rPr>
          <w:rStyle w:val="Funotenzeichen"/>
        </w:rPr>
        <w:footnoteRef/>
      </w:r>
      <w:r w:rsidRPr="00C54A8D">
        <w:t xml:space="preserve">  Neuhoff </w:t>
      </w:r>
      <w:r w:rsidRPr="00C54A8D">
        <w:rPr>
          <w:i/>
        </w:rPr>
        <w:t>et al</w:t>
      </w:r>
      <w:r w:rsidRPr="00C54A8D">
        <w:t xml:space="preserve"> 2006: 177-178.</w:t>
      </w:r>
    </w:p>
  </w:footnote>
  <w:footnote w:id="456">
    <w:p w:rsidR="005E7922" w:rsidRPr="00C54A8D" w:rsidRDefault="005E7922" w:rsidP="00C54A8D">
      <w:pPr>
        <w:pStyle w:val="Funotentext"/>
        <w:spacing w:line="240" w:lineRule="auto"/>
        <w:contextualSpacing/>
      </w:pPr>
      <w:r w:rsidRPr="00C54A8D">
        <w:rPr>
          <w:rStyle w:val="Funotenzeichen"/>
        </w:rPr>
        <w:footnoteRef/>
      </w:r>
      <w:r w:rsidRPr="00C54A8D">
        <w:t xml:space="preserve">  Neuhoff </w:t>
      </w:r>
      <w:r w:rsidRPr="00C54A8D">
        <w:rPr>
          <w:i/>
        </w:rPr>
        <w:t>et al</w:t>
      </w:r>
      <w:r w:rsidRPr="00C54A8D">
        <w:t xml:space="preserve"> 2006: 177.</w:t>
      </w:r>
    </w:p>
  </w:footnote>
  <w:footnote w:id="457">
    <w:p w:rsidR="005E7922" w:rsidRPr="00C54A8D" w:rsidRDefault="005E7922" w:rsidP="00C54A8D">
      <w:pPr>
        <w:pStyle w:val="Funotentext"/>
        <w:spacing w:line="240" w:lineRule="auto"/>
        <w:contextualSpacing/>
      </w:pPr>
      <w:r w:rsidRPr="00C54A8D">
        <w:rPr>
          <w:rStyle w:val="Funotenzeichen"/>
        </w:rPr>
        <w:footnoteRef/>
      </w:r>
      <w:r w:rsidRPr="00C54A8D">
        <w:t xml:space="preserve">  Neuhoff </w:t>
      </w:r>
      <w:r w:rsidRPr="00C54A8D">
        <w:rPr>
          <w:i/>
        </w:rPr>
        <w:t>et al</w:t>
      </w:r>
      <w:r w:rsidRPr="00C54A8D">
        <w:t xml:space="preserve"> 2006: 178.</w:t>
      </w:r>
    </w:p>
  </w:footnote>
  <w:footnote w:id="458">
    <w:p w:rsidR="005E7922" w:rsidRPr="00C54A8D" w:rsidRDefault="005E7922" w:rsidP="00C54A8D">
      <w:pPr>
        <w:pStyle w:val="Funotentext"/>
        <w:spacing w:line="240" w:lineRule="auto"/>
        <w:contextualSpacing/>
      </w:pPr>
      <w:r w:rsidRPr="00C54A8D">
        <w:rPr>
          <w:rStyle w:val="Funotenzeichen"/>
        </w:rPr>
        <w:footnoteRef/>
      </w:r>
      <w:r w:rsidRPr="00C54A8D">
        <w:t xml:space="preserve">  Neuhoff </w:t>
      </w:r>
      <w:r w:rsidRPr="00C54A8D">
        <w:rPr>
          <w:i/>
        </w:rPr>
        <w:t>et al</w:t>
      </w:r>
      <w:r w:rsidRPr="00C54A8D">
        <w:t xml:space="preserve"> 2006: 178.</w:t>
      </w:r>
    </w:p>
  </w:footnote>
  <w:footnote w:id="459">
    <w:p w:rsidR="005E7922" w:rsidRPr="003A2F60" w:rsidRDefault="005E7922" w:rsidP="00E228A9">
      <w:pPr>
        <w:pStyle w:val="Funotentext"/>
        <w:spacing w:line="240" w:lineRule="auto"/>
        <w:contextualSpacing/>
      </w:pPr>
      <w:r w:rsidRPr="003A2F60">
        <w:rPr>
          <w:rStyle w:val="Funotenzeichen"/>
        </w:rPr>
        <w:footnoteRef/>
      </w:r>
      <w:r w:rsidRPr="003A2F60">
        <w:t xml:space="preserve">  1/2009.</w:t>
      </w:r>
    </w:p>
  </w:footnote>
  <w:footnote w:id="460">
    <w:p w:rsidR="005E7922" w:rsidRPr="003A2F60" w:rsidRDefault="005E7922" w:rsidP="00E228A9">
      <w:pPr>
        <w:pStyle w:val="Funotentext"/>
        <w:spacing w:line="240" w:lineRule="auto"/>
        <w:contextualSpacing/>
      </w:pPr>
      <w:r w:rsidRPr="003A2F60">
        <w:rPr>
          <w:rStyle w:val="Funotenzeichen"/>
        </w:rPr>
        <w:footnoteRef/>
      </w:r>
      <w:r w:rsidRPr="003A2F60">
        <w:t xml:space="preserve">  89/1998.</w:t>
      </w:r>
    </w:p>
  </w:footnote>
  <w:footnote w:id="461">
    <w:p w:rsidR="005E7922" w:rsidRPr="003A2F60" w:rsidRDefault="005E7922" w:rsidP="00E228A9">
      <w:pPr>
        <w:pStyle w:val="Funotentext"/>
        <w:spacing w:line="240" w:lineRule="auto"/>
        <w:contextualSpacing/>
      </w:pPr>
      <w:r w:rsidRPr="003A2F60">
        <w:rPr>
          <w:rStyle w:val="Funotenzeichen"/>
        </w:rPr>
        <w:footnoteRef/>
      </w:r>
      <w:r w:rsidRPr="003A2F60">
        <w:t xml:space="preserve">  Competition Amendment Act 1/2009.</w:t>
      </w:r>
    </w:p>
  </w:footnote>
  <w:footnote w:id="462">
    <w:p w:rsidR="005E7922" w:rsidRPr="003A2F60" w:rsidRDefault="005E7922" w:rsidP="00E228A9">
      <w:pPr>
        <w:pStyle w:val="Funotentext"/>
        <w:spacing w:line="240" w:lineRule="auto"/>
        <w:contextualSpacing/>
      </w:pPr>
      <w:r w:rsidRPr="003A2F60">
        <w:rPr>
          <w:rStyle w:val="Funotenzeichen"/>
        </w:rPr>
        <w:footnoteRef/>
      </w:r>
      <w:r w:rsidRPr="003A2F60">
        <w:t xml:space="preserve">  Competition Amendment Act 1/2009.</w:t>
      </w:r>
    </w:p>
  </w:footnote>
  <w:footnote w:id="463">
    <w:p w:rsidR="005E7922" w:rsidRPr="003A2F60" w:rsidRDefault="005E7922" w:rsidP="00F626F6">
      <w:pPr>
        <w:pStyle w:val="Funotentext"/>
        <w:spacing w:line="240" w:lineRule="auto"/>
        <w:contextualSpacing/>
      </w:pPr>
      <w:r w:rsidRPr="003A2F60">
        <w:rPr>
          <w:rStyle w:val="Funotenzeichen"/>
        </w:rPr>
        <w:footnoteRef/>
      </w:r>
      <w:r w:rsidRPr="003A2F60">
        <w:t xml:space="preserve">  Competition Amendment Act 1/2009: section 10A(3).</w:t>
      </w:r>
    </w:p>
  </w:footnote>
  <w:footnote w:id="464">
    <w:p w:rsidR="005E7922" w:rsidRPr="003A2F60" w:rsidRDefault="005E7922" w:rsidP="00F626F6">
      <w:pPr>
        <w:pStyle w:val="Funotentext"/>
        <w:spacing w:line="240" w:lineRule="auto"/>
        <w:contextualSpacing/>
      </w:pPr>
      <w:r w:rsidRPr="003A2F60">
        <w:rPr>
          <w:rStyle w:val="Funotenzeichen"/>
        </w:rPr>
        <w:footnoteRef/>
      </w:r>
      <w:r w:rsidRPr="003A2F60">
        <w:t xml:space="preserve">  Competition Amendment Act 1/2009: section 10A(4) &amp; (5).</w:t>
      </w:r>
    </w:p>
  </w:footnote>
  <w:footnote w:id="465">
    <w:p w:rsidR="005E7922" w:rsidRPr="00101B3B" w:rsidRDefault="005E7922" w:rsidP="00101B3B">
      <w:pPr>
        <w:pStyle w:val="Funotentext"/>
        <w:spacing w:line="240" w:lineRule="auto"/>
        <w:contextualSpacing/>
      </w:pPr>
      <w:r w:rsidRPr="00101B3B">
        <w:rPr>
          <w:rStyle w:val="Funotenzeichen"/>
        </w:rPr>
        <w:footnoteRef/>
      </w:r>
      <w:r w:rsidRPr="00101B3B">
        <w:t xml:space="preserve">  89/1998.</w:t>
      </w:r>
    </w:p>
  </w:footnote>
  <w:footnote w:id="466">
    <w:p w:rsidR="005E7922" w:rsidRPr="00101B3B" w:rsidRDefault="005E7922" w:rsidP="00101B3B">
      <w:pPr>
        <w:pStyle w:val="Funotentext"/>
        <w:spacing w:line="240" w:lineRule="auto"/>
        <w:contextualSpacing/>
      </w:pPr>
      <w:r w:rsidRPr="00101B3B">
        <w:rPr>
          <w:rStyle w:val="Funotenzeichen"/>
        </w:rPr>
        <w:footnoteRef/>
      </w:r>
      <w:r w:rsidRPr="00101B3B">
        <w:t xml:space="preserve">  Torok 2005: 28; OECD 2003: 13.</w:t>
      </w:r>
    </w:p>
  </w:footnote>
  <w:footnote w:id="467">
    <w:p w:rsidR="005E7922" w:rsidRPr="00101B3B" w:rsidRDefault="005E7922" w:rsidP="00101B3B">
      <w:pPr>
        <w:pStyle w:val="Funotentext"/>
        <w:spacing w:line="240" w:lineRule="auto"/>
        <w:contextualSpacing/>
      </w:pPr>
      <w:r w:rsidRPr="00101B3B">
        <w:rPr>
          <w:rStyle w:val="Funotenzeichen"/>
        </w:rPr>
        <w:footnoteRef/>
      </w:r>
      <w:r w:rsidRPr="00101B3B">
        <w:t xml:space="preserve">  89/1998.</w:t>
      </w:r>
    </w:p>
  </w:footnote>
  <w:footnote w:id="468">
    <w:p w:rsidR="005E7922" w:rsidRPr="00101B3B" w:rsidRDefault="005E7922" w:rsidP="00101B3B">
      <w:pPr>
        <w:pStyle w:val="Funotentext"/>
        <w:spacing w:line="240" w:lineRule="auto"/>
        <w:contextualSpacing/>
      </w:pPr>
      <w:r w:rsidRPr="00101B3B">
        <w:rPr>
          <w:rStyle w:val="Funotenzeichen"/>
        </w:rPr>
        <w:footnoteRef/>
      </w:r>
      <w:r w:rsidRPr="00101B3B">
        <w:t xml:space="preserve">  Competition Act 89/1998: chapter 4.</w:t>
      </w:r>
    </w:p>
  </w:footnote>
  <w:footnote w:id="469">
    <w:p w:rsidR="005E7922" w:rsidRPr="00101B3B" w:rsidRDefault="005E7922" w:rsidP="00101B3B">
      <w:pPr>
        <w:pStyle w:val="Funotentext"/>
        <w:spacing w:line="240" w:lineRule="auto"/>
        <w:contextualSpacing/>
      </w:pPr>
      <w:r w:rsidRPr="00101B3B">
        <w:rPr>
          <w:rStyle w:val="Funotenzeichen"/>
        </w:rPr>
        <w:footnoteRef/>
      </w:r>
      <w:r w:rsidRPr="00101B3B">
        <w:t xml:space="preserve">  Torok 2005: 28</w:t>
      </w:r>
    </w:p>
  </w:footnote>
  <w:footnote w:id="470">
    <w:p w:rsidR="005E7922" w:rsidRPr="00101B3B" w:rsidRDefault="005E7922" w:rsidP="00101B3B">
      <w:pPr>
        <w:pStyle w:val="Funotentext"/>
        <w:spacing w:line="240" w:lineRule="auto"/>
        <w:contextualSpacing/>
      </w:pPr>
      <w:r w:rsidRPr="00101B3B">
        <w:rPr>
          <w:rStyle w:val="Funotenzeichen"/>
        </w:rPr>
        <w:footnoteRef/>
      </w:r>
      <w:r w:rsidRPr="00101B3B">
        <w:t xml:space="preserve">  Cowen 1950: 147.</w:t>
      </w:r>
    </w:p>
  </w:footnote>
  <w:footnote w:id="471">
    <w:p w:rsidR="005E7922" w:rsidRPr="00101B3B" w:rsidRDefault="005E7922" w:rsidP="00101B3B">
      <w:pPr>
        <w:pStyle w:val="Funotentext"/>
        <w:spacing w:line="240" w:lineRule="auto"/>
        <w:contextualSpacing/>
      </w:pPr>
      <w:r w:rsidRPr="00101B3B">
        <w:rPr>
          <w:rStyle w:val="Funotenzeichen"/>
        </w:rPr>
        <w:footnoteRef/>
      </w:r>
      <w:r w:rsidRPr="00101B3B">
        <w:t xml:space="preserve">  Act 108/1996.</w:t>
      </w:r>
    </w:p>
  </w:footnote>
  <w:footnote w:id="472">
    <w:p w:rsidR="005E7922" w:rsidRPr="00101B3B" w:rsidRDefault="005E7922" w:rsidP="00101B3B">
      <w:pPr>
        <w:pStyle w:val="Funotentext"/>
        <w:spacing w:line="240" w:lineRule="auto"/>
        <w:contextualSpacing/>
      </w:pPr>
      <w:r w:rsidRPr="00101B3B">
        <w:rPr>
          <w:rStyle w:val="Funotenzeichen"/>
        </w:rPr>
        <w:footnoteRef/>
      </w:r>
      <w:r w:rsidRPr="00101B3B">
        <w:t xml:space="preserve">  Competition Act 89/1998: section 20(1)(b).</w:t>
      </w:r>
    </w:p>
  </w:footnote>
  <w:footnote w:id="473">
    <w:p w:rsidR="005E7922" w:rsidRPr="00101B3B" w:rsidRDefault="005E7922" w:rsidP="00101B3B">
      <w:pPr>
        <w:pStyle w:val="Funotentext"/>
        <w:spacing w:line="240" w:lineRule="auto"/>
        <w:contextualSpacing/>
      </w:pPr>
      <w:r w:rsidRPr="00101B3B">
        <w:rPr>
          <w:rStyle w:val="Funotenzeichen"/>
        </w:rPr>
        <w:footnoteRef/>
      </w:r>
      <w:r w:rsidRPr="00101B3B">
        <w:t xml:space="preserve">  Competition Act 89/1998: 19(2).</w:t>
      </w:r>
    </w:p>
  </w:footnote>
  <w:footnote w:id="474">
    <w:p w:rsidR="005E7922" w:rsidRPr="00101B3B" w:rsidRDefault="005E7922" w:rsidP="00101B3B">
      <w:pPr>
        <w:pStyle w:val="Funotentext"/>
        <w:spacing w:line="240" w:lineRule="auto"/>
        <w:contextualSpacing/>
      </w:pPr>
      <w:r w:rsidRPr="00101B3B">
        <w:rPr>
          <w:rStyle w:val="Funotenzeichen"/>
        </w:rPr>
        <w:footnoteRef/>
      </w:r>
      <w:r w:rsidRPr="00101B3B">
        <w:t xml:space="preserve">  Competition Act 89/1998: section 22(1) and 23(1).</w:t>
      </w:r>
    </w:p>
  </w:footnote>
  <w:footnote w:id="475">
    <w:p w:rsidR="005E7922" w:rsidRPr="00101B3B" w:rsidRDefault="005E7922" w:rsidP="00101B3B">
      <w:pPr>
        <w:pStyle w:val="Funotentext"/>
        <w:spacing w:line="240" w:lineRule="auto"/>
        <w:contextualSpacing/>
      </w:pPr>
      <w:r w:rsidRPr="00101B3B">
        <w:rPr>
          <w:rStyle w:val="Funotenzeichen"/>
        </w:rPr>
        <w:footnoteRef/>
      </w:r>
      <w:r w:rsidRPr="00101B3B">
        <w:t xml:space="preserve">  It is beyond the scope of this paper to provide a full list of all the functions of the Competition Commission. The full list is contained in section 21 of the Competition Act 89/1998. </w:t>
      </w:r>
    </w:p>
  </w:footnote>
  <w:footnote w:id="476">
    <w:p w:rsidR="005E7922" w:rsidRPr="00B77AA9" w:rsidRDefault="005E7922" w:rsidP="007F4A84">
      <w:pPr>
        <w:pStyle w:val="Funotentext"/>
        <w:spacing w:line="240" w:lineRule="auto"/>
        <w:contextualSpacing/>
      </w:pPr>
      <w:r w:rsidRPr="00B77AA9">
        <w:rPr>
          <w:rStyle w:val="Funotenzeichen"/>
        </w:rPr>
        <w:footnoteRef/>
      </w:r>
      <w:r w:rsidRPr="00B77AA9">
        <w:t xml:space="preserve">  Competition Act 89/1998: sections 21(1)(a) &amp; 21(1)(b).</w:t>
      </w:r>
    </w:p>
  </w:footnote>
  <w:footnote w:id="477">
    <w:p w:rsidR="005E7922" w:rsidRPr="00B77AA9" w:rsidRDefault="005E7922" w:rsidP="007F4A84">
      <w:pPr>
        <w:pStyle w:val="Funotentext"/>
        <w:spacing w:line="240" w:lineRule="auto"/>
        <w:contextualSpacing/>
      </w:pPr>
      <w:r w:rsidRPr="00B77AA9">
        <w:rPr>
          <w:rStyle w:val="Funotenzeichen"/>
        </w:rPr>
        <w:footnoteRef/>
      </w:r>
      <w:r w:rsidRPr="00B77AA9">
        <w:t xml:space="preserve">  Competition Act 89/1998: sections 21(1)(c) &amp; 21(1)(d).</w:t>
      </w:r>
    </w:p>
  </w:footnote>
  <w:footnote w:id="478">
    <w:p w:rsidR="005E7922" w:rsidRPr="00B77AA9" w:rsidRDefault="005E7922" w:rsidP="007F4A84">
      <w:pPr>
        <w:pStyle w:val="Funotentext"/>
        <w:spacing w:line="240" w:lineRule="auto"/>
        <w:contextualSpacing/>
      </w:pPr>
      <w:r w:rsidRPr="00B77AA9">
        <w:rPr>
          <w:rStyle w:val="Funotenzeichen"/>
        </w:rPr>
        <w:footnoteRef/>
      </w:r>
      <w:r w:rsidRPr="00B77AA9">
        <w:t xml:space="preserve">  Competition Act 89/1998: section 21(1)(e).</w:t>
      </w:r>
    </w:p>
  </w:footnote>
  <w:footnote w:id="479">
    <w:p w:rsidR="005E7922" w:rsidRPr="00B77AA9" w:rsidRDefault="005E7922" w:rsidP="007F4A84">
      <w:pPr>
        <w:pStyle w:val="Funotentext"/>
        <w:spacing w:line="240" w:lineRule="auto"/>
        <w:contextualSpacing/>
      </w:pPr>
      <w:r w:rsidRPr="00B77AA9">
        <w:rPr>
          <w:rStyle w:val="Funotenzeichen"/>
        </w:rPr>
        <w:footnoteRef/>
      </w:r>
      <w:r w:rsidRPr="00B77AA9">
        <w:t xml:space="preserve">  Neuhoff </w:t>
      </w:r>
      <w:r w:rsidRPr="00B77AA9">
        <w:rPr>
          <w:i/>
        </w:rPr>
        <w:t>et al</w:t>
      </w:r>
      <w:r w:rsidRPr="00B77AA9">
        <w:t xml:space="preserve"> 2006: 19.</w:t>
      </w:r>
    </w:p>
  </w:footnote>
  <w:footnote w:id="480">
    <w:p w:rsidR="005E7922" w:rsidRPr="00F01672" w:rsidRDefault="005E7922" w:rsidP="00F01672">
      <w:pPr>
        <w:pStyle w:val="Funotentext"/>
        <w:spacing w:line="240" w:lineRule="auto"/>
        <w:contextualSpacing/>
      </w:pPr>
      <w:r w:rsidRPr="00F01672">
        <w:rPr>
          <w:rStyle w:val="Funotenzeichen"/>
        </w:rPr>
        <w:footnoteRef/>
      </w:r>
      <w:r w:rsidRPr="00F01672">
        <w:t xml:space="preserve">  Neuhoff </w:t>
      </w:r>
      <w:r w:rsidRPr="00F01672">
        <w:rPr>
          <w:i/>
        </w:rPr>
        <w:t>et al</w:t>
      </w:r>
      <w:r w:rsidRPr="00F01672">
        <w:t xml:space="preserve"> 2006: 19.</w:t>
      </w:r>
    </w:p>
  </w:footnote>
  <w:footnote w:id="481">
    <w:p w:rsidR="005E7922" w:rsidRPr="00F01672" w:rsidRDefault="005E7922" w:rsidP="00F01672">
      <w:pPr>
        <w:pStyle w:val="Funotentext"/>
        <w:spacing w:line="240" w:lineRule="auto"/>
        <w:contextualSpacing/>
      </w:pPr>
      <w:r w:rsidRPr="00F01672">
        <w:rPr>
          <w:rStyle w:val="Funotenzeichen"/>
        </w:rPr>
        <w:footnoteRef/>
      </w:r>
      <w:r w:rsidRPr="00F01672">
        <w:t xml:space="preserve"> Neuhoff </w:t>
      </w:r>
      <w:r w:rsidRPr="00F01672">
        <w:rPr>
          <w:i/>
        </w:rPr>
        <w:t>et al</w:t>
      </w:r>
      <w:r w:rsidRPr="00F01672">
        <w:t xml:space="preserve"> 2006: 19.</w:t>
      </w:r>
    </w:p>
  </w:footnote>
  <w:footnote w:id="482">
    <w:p w:rsidR="005E7922" w:rsidRPr="00F01672" w:rsidRDefault="005E7922" w:rsidP="00F01672">
      <w:pPr>
        <w:pStyle w:val="Funotentext"/>
        <w:spacing w:line="240" w:lineRule="auto"/>
        <w:contextualSpacing/>
      </w:pPr>
      <w:r w:rsidRPr="00F01672">
        <w:rPr>
          <w:rStyle w:val="Funotenzeichen"/>
        </w:rPr>
        <w:footnoteRef/>
      </w:r>
      <w:r w:rsidRPr="00F01672">
        <w:t xml:space="preserve">  Competition Amendment Act 1/2009: section 10A(3).</w:t>
      </w:r>
    </w:p>
  </w:footnote>
  <w:footnote w:id="483">
    <w:p w:rsidR="005E7922" w:rsidRPr="00F01672" w:rsidRDefault="005E7922" w:rsidP="00F01672">
      <w:pPr>
        <w:pStyle w:val="Funotentext"/>
        <w:spacing w:line="240" w:lineRule="auto"/>
        <w:contextualSpacing/>
      </w:pPr>
      <w:r w:rsidRPr="00F01672">
        <w:rPr>
          <w:rStyle w:val="Funotenzeichen"/>
        </w:rPr>
        <w:footnoteRef/>
      </w:r>
      <w:r w:rsidRPr="00F01672">
        <w:t xml:space="preserve">  Competition Amendment Act 1/2009: section 10A(4) and 10A(5).</w:t>
      </w:r>
    </w:p>
  </w:footnote>
  <w:footnote w:id="484">
    <w:p w:rsidR="005E7922" w:rsidRPr="00F01672" w:rsidRDefault="005E7922" w:rsidP="00F01672">
      <w:pPr>
        <w:pStyle w:val="Funotentext"/>
        <w:spacing w:line="240" w:lineRule="auto"/>
        <w:contextualSpacing/>
      </w:pPr>
      <w:r w:rsidRPr="00F01672">
        <w:rPr>
          <w:rStyle w:val="Funotenzeichen"/>
        </w:rPr>
        <w:footnoteRef/>
      </w:r>
      <w:r w:rsidRPr="00F01672">
        <w:t xml:space="preserve">  Competition Act 89/1998: section 26(1)(a) and 26(1)(b).</w:t>
      </w:r>
    </w:p>
  </w:footnote>
  <w:footnote w:id="485">
    <w:p w:rsidR="005E7922" w:rsidRPr="00F01672" w:rsidRDefault="005E7922" w:rsidP="00F01672">
      <w:pPr>
        <w:pStyle w:val="Funotentext"/>
        <w:spacing w:line="240" w:lineRule="auto"/>
        <w:contextualSpacing/>
      </w:pPr>
      <w:r w:rsidRPr="00F01672">
        <w:rPr>
          <w:rStyle w:val="Funotenzeichen"/>
        </w:rPr>
        <w:footnoteRef/>
      </w:r>
      <w:r w:rsidRPr="00F01672">
        <w:t xml:space="preserve">  Competition Act 89/1998: section 26(1)(c) and 26(1)(d).</w:t>
      </w:r>
    </w:p>
  </w:footnote>
  <w:footnote w:id="486">
    <w:p w:rsidR="005E7922" w:rsidRPr="00F01672" w:rsidRDefault="005E7922" w:rsidP="00F01672">
      <w:pPr>
        <w:pStyle w:val="Funotentext"/>
        <w:spacing w:line="240" w:lineRule="auto"/>
        <w:contextualSpacing/>
      </w:pPr>
      <w:r w:rsidRPr="00F01672">
        <w:rPr>
          <w:rStyle w:val="Funotenzeichen"/>
        </w:rPr>
        <w:footnoteRef/>
      </w:r>
      <w:r w:rsidRPr="00F01672">
        <w:t xml:space="preserve">  Competition Act 89/1998: section 26(2).</w:t>
      </w:r>
    </w:p>
  </w:footnote>
  <w:footnote w:id="487">
    <w:p w:rsidR="005E7922" w:rsidRPr="00F01672" w:rsidRDefault="005E7922" w:rsidP="00F01672">
      <w:pPr>
        <w:pStyle w:val="Funotentext"/>
        <w:spacing w:line="240" w:lineRule="auto"/>
        <w:contextualSpacing/>
      </w:pPr>
      <w:r w:rsidRPr="00F01672">
        <w:rPr>
          <w:rStyle w:val="Funotenzeichen"/>
        </w:rPr>
        <w:footnoteRef/>
      </w:r>
      <w:r w:rsidRPr="00F01672">
        <w:t xml:space="preserve">  89/1998.</w:t>
      </w:r>
    </w:p>
  </w:footnote>
  <w:footnote w:id="488">
    <w:p w:rsidR="005E7922" w:rsidRPr="008A6F73" w:rsidRDefault="005E7922" w:rsidP="00B747B6">
      <w:pPr>
        <w:pStyle w:val="Funotentext"/>
        <w:spacing w:line="240" w:lineRule="auto"/>
        <w:contextualSpacing/>
      </w:pPr>
      <w:r w:rsidRPr="008A6F73">
        <w:rPr>
          <w:rStyle w:val="Funotenzeichen"/>
        </w:rPr>
        <w:footnoteRef/>
      </w:r>
      <w:r w:rsidRPr="008A6F73">
        <w:t xml:space="preserve">  Act 108/1996.</w:t>
      </w:r>
    </w:p>
  </w:footnote>
  <w:footnote w:id="489">
    <w:p w:rsidR="005E7922" w:rsidRPr="008A6F73" w:rsidRDefault="005E7922" w:rsidP="00B747B6">
      <w:pPr>
        <w:pStyle w:val="Funotentext"/>
        <w:spacing w:line="240" w:lineRule="auto"/>
        <w:contextualSpacing/>
      </w:pPr>
      <w:r w:rsidRPr="008A6F73">
        <w:rPr>
          <w:rStyle w:val="Funotenzeichen"/>
        </w:rPr>
        <w:footnoteRef/>
      </w:r>
      <w:r w:rsidRPr="008A6F73">
        <w:t xml:space="preserve">  Competition Act 89/1998: section 36(1)(a).</w:t>
      </w:r>
    </w:p>
  </w:footnote>
  <w:footnote w:id="490">
    <w:p w:rsidR="005E7922" w:rsidRPr="008A6F73" w:rsidRDefault="005E7922" w:rsidP="00B747B6">
      <w:pPr>
        <w:pStyle w:val="Funotentext"/>
        <w:spacing w:line="240" w:lineRule="auto"/>
        <w:contextualSpacing/>
      </w:pPr>
      <w:r w:rsidRPr="008A6F73">
        <w:rPr>
          <w:rStyle w:val="Funotenzeichen"/>
        </w:rPr>
        <w:footnoteRef/>
      </w:r>
      <w:r w:rsidRPr="008A6F73">
        <w:t xml:space="preserve">  Competition Act 89/1998: section 36(1)(b) and 36(1)(c).</w:t>
      </w:r>
    </w:p>
  </w:footnote>
  <w:footnote w:id="491">
    <w:p w:rsidR="005E7922" w:rsidRPr="008A6F73" w:rsidRDefault="005E7922" w:rsidP="00B747B6">
      <w:pPr>
        <w:pStyle w:val="Funotentext"/>
        <w:spacing w:line="240" w:lineRule="auto"/>
        <w:contextualSpacing/>
      </w:pPr>
      <w:r w:rsidRPr="008A6F73">
        <w:rPr>
          <w:rStyle w:val="Funotenzeichen"/>
        </w:rPr>
        <w:footnoteRef/>
      </w:r>
      <w:r w:rsidRPr="008A6F73">
        <w:t xml:space="preserve">  89/1998.</w:t>
      </w:r>
    </w:p>
  </w:footnote>
  <w:footnote w:id="492">
    <w:p w:rsidR="005E7922" w:rsidRPr="00A84CCE" w:rsidRDefault="005E7922" w:rsidP="00A84CCE">
      <w:pPr>
        <w:pStyle w:val="Funotentext"/>
        <w:spacing w:line="240" w:lineRule="auto"/>
        <w:contextualSpacing/>
      </w:pPr>
      <w:r w:rsidRPr="00A84CCE">
        <w:rPr>
          <w:rStyle w:val="Funotenzeichen"/>
        </w:rPr>
        <w:footnoteRef/>
      </w:r>
      <w:r w:rsidRPr="00A84CCE">
        <w:t xml:space="preserve">  89/1998.</w:t>
      </w:r>
    </w:p>
  </w:footnote>
  <w:footnote w:id="493">
    <w:p w:rsidR="005E7922" w:rsidRPr="00A84CCE" w:rsidRDefault="005E7922" w:rsidP="00A84CCE">
      <w:pPr>
        <w:pStyle w:val="Funotentext"/>
        <w:spacing w:line="240" w:lineRule="auto"/>
        <w:contextualSpacing/>
      </w:pPr>
      <w:r w:rsidRPr="00A84CCE">
        <w:rPr>
          <w:rStyle w:val="Funotenzeichen"/>
        </w:rPr>
        <w:footnoteRef/>
      </w:r>
      <w:r w:rsidRPr="00A84CCE">
        <w:t xml:space="preserve">  Competition Amendment Act 1/2009: section 3(1).</w:t>
      </w:r>
    </w:p>
  </w:footnote>
  <w:footnote w:id="494">
    <w:p w:rsidR="005E7922" w:rsidRPr="00A84CCE" w:rsidRDefault="005E7922" w:rsidP="00A84CCE">
      <w:pPr>
        <w:pStyle w:val="Funotentext"/>
        <w:spacing w:line="240" w:lineRule="auto"/>
        <w:contextualSpacing/>
      </w:pPr>
      <w:r w:rsidRPr="00A84CCE">
        <w:rPr>
          <w:rStyle w:val="Funotenzeichen"/>
        </w:rPr>
        <w:footnoteRef/>
      </w:r>
      <w:r w:rsidRPr="00A84CCE">
        <w:t xml:space="preserve">  89/1998.</w:t>
      </w:r>
    </w:p>
  </w:footnote>
  <w:footnote w:id="495">
    <w:p w:rsidR="005E7922" w:rsidRPr="00A84CCE" w:rsidRDefault="005E7922" w:rsidP="00A84CCE">
      <w:pPr>
        <w:pStyle w:val="Funotentext"/>
        <w:spacing w:line="240" w:lineRule="auto"/>
        <w:contextualSpacing/>
      </w:pPr>
      <w:r w:rsidRPr="00A84CCE">
        <w:rPr>
          <w:rStyle w:val="Funotenzeichen"/>
        </w:rPr>
        <w:footnoteRef/>
      </w:r>
      <w:r w:rsidRPr="00A84CCE">
        <w:t xml:space="preserve">  As defined in section 23 of the Constitution 108/1996 and section 23 of the Labour Relations Act 66/1995.</w:t>
      </w:r>
    </w:p>
  </w:footnote>
  <w:footnote w:id="496">
    <w:p w:rsidR="005E7922" w:rsidRPr="00A84CCE" w:rsidRDefault="005E7922" w:rsidP="00A84CCE">
      <w:pPr>
        <w:pStyle w:val="Funotentext"/>
        <w:spacing w:line="240" w:lineRule="auto"/>
        <w:contextualSpacing/>
      </w:pPr>
      <w:r w:rsidRPr="00A84CCE">
        <w:rPr>
          <w:rStyle w:val="Funotenzeichen"/>
        </w:rPr>
        <w:footnoteRef/>
      </w:r>
      <w:r w:rsidRPr="00A84CCE">
        <w:t xml:space="preserve">  As defined in section 213 of the Labour Relations Act 66/1995.</w:t>
      </w:r>
    </w:p>
  </w:footnote>
  <w:footnote w:id="497">
    <w:p w:rsidR="005E7922" w:rsidRPr="00A84CCE" w:rsidRDefault="005E7922" w:rsidP="00A84CCE">
      <w:pPr>
        <w:pStyle w:val="Funotentext"/>
        <w:spacing w:line="240" w:lineRule="auto"/>
        <w:contextualSpacing/>
      </w:pPr>
      <w:r w:rsidRPr="00A84CCE">
        <w:rPr>
          <w:rStyle w:val="Funotenzeichen"/>
        </w:rPr>
        <w:footnoteRef/>
      </w:r>
      <w:r w:rsidRPr="00A84CCE">
        <w:t xml:space="preserve">  Competition Amendment Act 1/2009: section 3(2).</w:t>
      </w:r>
    </w:p>
  </w:footnote>
  <w:footnote w:id="498">
    <w:p w:rsidR="005E7922" w:rsidRPr="00A84CCE" w:rsidRDefault="005E7922" w:rsidP="00A84CCE">
      <w:pPr>
        <w:pStyle w:val="Funotentext"/>
        <w:spacing w:line="240" w:lineRule="auto"/>
        <w:contextualSpacing/>
      </w:pPr>
      <w:r w:rsidRPr="00A84CCE">
        <w:rPr>
          <w:rStyle w:val="Funotenzeichen"/>
        </w:rPr>
        <w:footnoteRef/>
      </w:r>
      <w:r w:rsidRPr="00A84CCE">
        <w:t xml:space="preserve">  89/1998.</w:t>
      </w:r>
    </w:p>
  </w:footnote>
  <w:footnote w:id="499">
    <w:p w:rsidR="005E7922" w:rsidRPr="00A84CCE" w:rsidRDefault="005E7922" w:rsidP="00A84CCE">
      <w:pPr>
        <w:pStyle w:val="Funotentext"/>
        <w:spacing w:line="240" w:lineRule="auto"/>
        <w:contextualSpacing/>
      </w:pPr>
      <w:r w:rsidRPr="00A84CCE">
        <w:rPr>
          <w:rStyle w:val="Funotenzeichen"/>
        </w:rPr>
        <w:footnoteRef/>
      </w:r>
      <w:r w:rsidRPr="00A84CCE">
        <w:t xml:space="preserve">  Competition Amendment Act 1/2009: section 3(3).</w:t>
      </w:r>
    </w:p>
  </w:footnote>
  <w:footnote w:id="500">
    <w:p w:rsidR="005E7922" w:rsidRPr="00A84CCE" w:rsidRDefault="005E7922" w:rsidP="00A84CCE">
      <w:pPr>
        <w:pStyle w:val="Funotentext"/>
        <w:spacing w:line="240" w:lineRule="auto"/>
        <w:contextualSpacing/>
      </w:pPr>
      <w:r w:rsidRPr="00A84CCE">
        <w:rPr>
          <w:rStyle w:val="Funotenzeichen"/>
        </w:rPr>
        <w:footnoteRef/>
      </w:r>
      <w:r w:rsidRPr="00A84CCE">
        <w:t xml:space="preserve">  89/1998.</w:t>
      </w:r>
    </w:p>
  </w:footnote>
  <w:footnote w:id="501">
    <w:p w:rsidR="005E7922" w:rsidRPr="00A84CCE" w:rsidRDefault="005E7922" w:rsidP="00A84CCE">
      <w:pPr>
        <w:pStyle w:val="Funotentext"/>
        <w:spacing w:line="240" w:lineRule="auto"/>
        <w:contextualSpacing/>
      </w:pPr>
      <w:r w:rsidRPr="00A84CCE">
        <w:rPr>
          <w:rStyle w:val="Funotenzeichen"/>
        </w:rPr>
        <w:footnoteRef/>
      </w:r>
      <w:r w:rsidRPr="00A84CCE">
        <w:t xml:space="preserve">  89/1998.</w:t>
      </w:r>
    </w:p>
  </w:footnote>
  <w:footnote w:id="502">
    <w:p w:rsidR="005E7922" w:rsidRPr="00A84CCE" w:rsidRDefault="005E7922" w:rsidP="00A84CCE">
      <w:pPr>
        <w:pStyle w:val="Funotentext"/>
        <w:spacing w:line="240" w:lineRule="auto"/>
        <w:contextualSpacing/>
      </w:pPr>
      <w:r w:rsidRPr="00A84CCE">
        <w:rPr>
          <w:rStyle w:val="Funotenzeichen"/>
        </w:rPr>
        <w:footnoteRef/>
      </w:r>
      <w:r w:rsidRPr="00A84CCE">
        <w:t xml:space="preserve">  Concurrent jurisdiction means that more than 1 authority has jurisdiction over a specific matter.</w:t>
      </w:r>
    </w:p>
  </w:footnote>
  <w:footnote w:id="503">
    <w:p w:rsidR="005E7922" w:rsidRPr="00A84CCE" w:rsidRDefault="005E7922" w:rsidP="00A84CCE">
      <w:pPr>
        <w:pStyle w:val="Funotentext"/>
        <w:spacing w:line="240" w:lineRule="auto"/>
        <w:contextualSpacing/>
      </w:pPr>
      <w:r w:rsidRPr="00A84CCE">
        <w:rPr>
          <w:rStyle w:val="Funotenzeichen"/>
        </w:rPr>
        <w:footnoteRef/>
      </w:r>
      <w:r w:rsidRPr="00A84CCE">
        <w:t xml:space="preserve">  89/1998.</w:t>
      </w:r>
    </w:p>
  </w:footnote>
  <w:footnote w:id="504">
    <w:p w:rsidR="005E7922" w:rsidRPr="00A84CCE" w:rsidRDefault="005E7922" w:rsidP="00A84CCE">
      <w:pPr>
        <w:pStyle w:val="Funotentext"/>
        <w:spacing w:line="240" w:lineRule="auto"/>
        <w:contextualSpacing/>
      </w:pPr>
      <w:r w:rsidRPr="00A84CCE">
        <w:rPr>
          <w:rStyle w:val="Funotenzeichen"/>
        </w:rPr>
        <w:footnoteRef/>
      </w:r>
      <w:r w:rsidRPr="00A84CCE">
        <w:t xml:space="preserve">  Competition Amendment Act 1/2009: section 3(3)(a).</w:t>
      </w:r>
    </w:p>
  </w:footnote>
  <w:footnote w:id="505">
    <w:p w:rsidR="005E7922" w:rsidRPr="00A84CCE" w:rsidRDefault="005E7922" w:rsidP="00A84CCE">
      <w:pPr>
        <w:pStyle w:val="Funotentext"/>
        <w:spacing w:line="240" w:lineRule="auto"/>
        <w:contextualSpacing/>
      </w:pPr>
      <w:r w:rsidRPr="00A84CCE">
        <w:rPr>
          <w:rStyle w:val="Funotenzeichen"/>
        </w:rPr>
        <w:footnoteRef/>
      </w:r>
      <w:r w:rsidRPr="00A84CCE">
        <w:t xml:space="preserve">  Competition Amendment Act 1/2009: section 3(3)(b).</w:t>
      </w:r>
    </w:p>
  </w:footnote>
  <w:footnote w:id="506">
    <w:p w:rsidR="005E7922" w:rsidRPr="00A84CCE" w:rsidRDefault="005E7922" w:rsidP="004A3E08">
      <w:pPr>
        <w:pStyle w:val="Funotentext"/>
        <w:spacing w:line="240" w:lineRule="auto"/>
        <w:contextualSpacing/>
      </w:pPr>
      <w:r w:rsidRPr="00A84CCE">
        <w:rPr>
          <w:rStyle w:val="Funotenzeichen"/>
        </w:rPr>
        <w:footnoteRef/>
      </w:r>
      <w:r w:rsidRPr="00A84CCE">
        <w:t xml:space="preserve">  Competition Amendment Act 1/2009: section 3(3)(a)(i).</w:t>
      </w:r>
    </w:p>
  </w:footnote>
  <w:footnote w:id="507">
    <w:p w:rsidR="005E7922" w:rsidRPr="004A3E08" w:rsidRDefault="005E7922" w:rsidP="004A3E08">
      <w:pPr>
        <w:pStyle w:val="Funotentext"/>
        <w:spacing w:line="240" w:lineRule="auto"/>
        <w:contextualSpacing/>
      </w:pPr>
      <w:r w:rsidRPr="004A3E08">
        <w:rPr>
          <w:rStyle w:val="Funotenzeichen"/>
        </w:rPr>
        <w:footnoteRef/>
      </w:r>
      <w:r w:rsidRPr="004A3E08">
        <w:t xml:space="preserve">  Competition Amendment Act 1/2009: section 3(3)(a)(ii).</w:t>
      </w:r>
    </w:p>
  </w:footnote>
  <w:footnote w:id="508">
    <w:p w:rsidR="005E7922" w:rsidRPr="00E51195" w:rsidRDefault="005E7922" w:rsidP="004A3E08">
      <w:pPr>
        <w:pStyle w:val="Funotentext"/>
        <w:spacing w:line="240" w:lineRule="auto"/>
        <w:contextualSpacing/>
        <w:rPr>
          <w:rFonts w:ascii="Arial" w:hAnsi="Arial" w:cs="Arial"/>
        </w:rPr>
      </w:pPr>
      <w:r w:rsidRPr="00E51195">
        <w:rPr>
          <w:rStyle w:val="Funotenzeichen"/>
          <w:rFonts w:ascii="Arial" w:hAnsi="Arial" w:cs="Arial"/>
        </w:rPr>
        <w:footnoteRef/>
      </w:r>
      <w:r w:rsidRPr="00E51195">
        <w:rPr>
          <w:rFonts w:ascii="Arial" w:hAnsi="Arial" w:cs="Arial"/>
        </w:rPr>
        <w:t xml:space="preserve">  </w:t>
      </w:r>
      <w:r w:rsidRPr="00E51195">
        <w:rPr>
          <w:rFonts w:ascii="Arial" w:hAnsi="Arial" w:cs="Arial"/>
        </w:rPr>
        <w:tab/>
        <w:t>OECD 2003: 54-59; Hartzenberg 2006:673.</w:t>
      </w:r>
    </w:p>
  </w:footnote>
  <w:footnote w:id="509">
    <w:p w:rsidR="005E7922" w:rsidRPr="00E51195" w:rsidRDefault="005E7922" w:rsidP="00761692">
      <w:pPr>
        <w:pStyle w:val="Funotentext"/>
        <w:spacing w:line="240" w:lineRule="auto"/>
        <w:contextualSpacing/>
        <w:rPr>
          <w:rFonts w:ascii="Arial" w:hAnsi="Arial" w:cs="Arial"/>
        </w:rPr>
      </w:pPr>
      <w:r w:rsidRPr="00E51195">
        <w:rPr>
          <w:rStyle w:val="Funotenzeichen"/>
          <w:rFonts w:ascii="Arial" w:hAnsi="Arial" w:cs="Arial"/>
        </w:rPr>
        <w:footnoteRef/>
      </w:r>
      <w:r w:rsidRPr="00E51195">
        <w:rPr>
          <w:rFonts w:ascii="Arial" w:hAnsi="Arial" w:cs="Arial"/>
        </w:rPr>
        <w:t xml:space="preserve"> </w:t>
      </w:r>
      <w:r w:rsidRPr="00E51195">
        <w:rPr>
          <w:rFonts w:ascii="Arial" w:hAnsi="Arial" w:cs="Arial"/>
        </w:rPr>
        <w:tab/>
        <w:t>89/1998.</w:t>
      </w:r>
    </w:p>
  </w:footnote>
  <w:footnote w:id="510">
    <w:p w:rsidR="005E7922" w:rsidRPr="00E51195" w:rsidRDefault="005E7922" w:rsidP="00761692">
      <w:pPr>
        <w:pStyle w:val="Funotentext"/>
        <w:spacing w:line="240" w:lineRule="auto"/>
        <w:contextualSpacing/>
        <w:rPr>
          <w:rFonts w:ascii="Arial" w:hAnsi="Arial" w:cs="Arial"/>
        </w:rPr>
      </w:pPr>
      <w:r w:rsidRPr="00E51195">
        <w:rPr>
          <w:rStyle w:val="Funotenzeichen"/>
          <w:rFonts w:ascii="Arial" w:hAnsi="Arial" w:cs="Arial"/>
        </w:rPr>
        <w:footnoteRef/>
      </w:r>
      <w:r w:rsidRPr="00E51195">
        <w:rPr>
          <w:rFonts w:ascii="Arial" w:hAnsi="Arial" w:cs="Arial"/>
        </w:rPr>
        <w:t xml:space="preserve">  </w:t>
      </w:r>
      <w:r w:rsidRPr="00E51195">
        <w:rPr>
          <w:rFonts w:ascii="Arial" w:hAnsi="Arial" w:cs="Arial"/>
        </w:rPr>
        <w:tab/>
        <w:t>Competition Act 89/1998: section 65(2)(a) and 65(2)(b).</w:t>
      </w:r>
    </w:p>
  </w:footnote>
  <w:footnote w:id="511">
    <w:p w:rsidR="005E7922" w:rsidRPr="00E51195" w:rsidRDefault="005E7922" w:rsidP="00761692">
      <w:pPr>
        <w:pStyle w:val="Funotentext"/>
        <w:spacing w:line="240" w:lineRule="auto"/>
        <w:contextualSpacing/>
        <w:rPr>
          <w:rFonts w:ascii="Arial" w:hAnsi="Arial" w:cs="Arial"/>
        </w:rPr>
      </w:pPr>
      <w:r w:rsidRPr="00E51195">
        <w:rPr>
          <w:rStyle w:val="Funotenzeichen"/>
          <w:rFonts w:ascii="Arial" w:hAnsi="Arial" w:cs="Arial"/>
        </w:rPr>
        <w:footnoteRef/>
      </w:r>
      <w:r w:rsidRPr="00E51195">
        <w:rPr>
          <w:rFonts w:ascii="Arial" w:hAnsi="Arial" w:cs="Arial"/>
        </w:rPr>
        <w:t xml:space="preserve">  </w:t>
      </w:r>
      <w:r w:rsidRPr="00E51195">
        <w:rPr>
          <w:rFonts w:ascii="Arial" w:hAnsi="Arial" w:cs="Arial"/>
        </w:rPr>
        <w:tab/>
        <w:t>89/1998.</w:t>
      </w:r>
    </w:p>
  </w:footnote>
  <w:footnote w:id="512">
    <w:p w:rsidR="005E7922" w:rsidRPr="00E51195" w:rsidRDefault="005E7922" w:rsidP="00761692">
      <w:pPr>
        <w:pStyle w:val="Funotentext"/>
        <w:spacing w:line="240" w:lineRule="auto"/>
        <w:contextualSpacing/>
        <w:rPr>
          <w:rFonts w:ascii="Arial" w:hAnsi="Arial" w:cs="Arial"/>
        </w:rPr>
      </w:pPr>
      <w:r w:rsidRPr="00E51195">
        <w:rPr>
          <w:rStyle w:val="Funotenzeichen"/>
          <w:rFonts w:ascii="Arial" w:hAnsi="Arial" w:cs="Arial"/>
        </w:rPr>
        <w:footnoteRef/>
      </w:r>
      <w:r w:rsidRPr="00E51195">
        <w:rPr>
          <w:rFonts w:ascii="Arial" w:hAnsi="Arial" w:cs="Arial"/>
        </w:rPr>
        <w:t xml:space="preserve">  </w:t>
      </w:r>
      <w:r w:rsidRPr="00E51195">
        <w:rPr>
          <w:rFonts w:ascii="Arial" w:hAnsi="Arial" w:cs="Arial"/>
        </w:rPr>
        <w:tab/>
        <w:t>Competition Act 89/1998: section 65(6)(a).</w:t>
      </w:r>
    </w:p>
  </w:footnote>
  <w:footnote w:id="513">
    <w:p w:rsidR="005E7922" w:rsidRPr="00E51195" w:rsidRDefault="005E7922" w:rsidP="00A0737B">
      <w:pPr>
        <w:pStyle w:val="Funotentext"/>
        <w:spacing w:line="240" w:lineRule="auto"/>
        <w:contextualSpacing/>
        <w:jc w:val="both"/>
        <w:rPr>
          <w:rFonts w:ascii="Arial" w:hAnsi="Arial" w:cs="Arial"/>
        </w:rPr>
      </w:pPr>
      <w:r w:rsidRPr="00E51195">
        <w:rPr>
          <w:rStyle w:val="Funotenzeichen"/>
          <w:rFonts w:ascii="Arial" w:hAnsi="Arial" w:cs="Arial"/>
        </w:rPr>
        <w:footnoteRef/>
      </w:r>
      <w:r w:rsidRPr="00E51195">
        <w:rPr>
          <w:rFonts w:ascii="Arial" w:hAnsi="Arial" w:cs="Arial"/>
        </w:rPr>
        <w:t xml:space="preserve"> </w:t>
      </w:r>
      <w:r w:rsidRPr="00E51195">
        <w:rPr>
          <w:rFonts w:ascii="Arial" w:hAnsi="Arial" w:cs="Arial"/>
        </w:rPr>
        <w:tab/>
        <w:t>Competition Act 89/1998: section 65(6)(b).</w:t>
      </w:r>
    </w:p>
  </w:footnote>
  <w:footnote w:id="514">
    <w:p w:rsidR="005E7922" w:rsidRPr="00173ACB" w:rsidRDefault="005E7922" w:rsidP="00A0737B">
      <w:pPr>
        <w:pStyle w:val="Funotentext"/>
        <w:spacing w:line="240" w:lineRule="auto"/>
        <w:contextualSpacing/>
        <w:jc w:val="both"/>
        <w:rPr>
          <w:rFonts w:ascii="Arial" w:hAnsi="Arial" w:cs="Arial"/>
        </w:rPr>
      </w:pPr>
      <w:r w:rsidRPr="00173ACB">
        <w:rPr>
          <w:rStyle w:val="Funotenzeichen"/>
          <w:rFonts w:ascii="Arial" w:hAnsi="Arial" w:cs="Arial"/>
        </w:rPr>
        <w:footnoteRef/>
      </w:r>
      <w:r w:rsidRPr="00173ACB">
        <w:rPr>
          <w:rFonts w:ascii="Arial" w:hAnsi="Arial" w:cs="Arial"/>
        </w:rPr>
        <w:t xml:space="preserve"> </w:t>
      </w:r>
      <w:r w:rsidRPr="00173ACB">
        <w:rPr>
          <w:rFonts w:ascii="Arial" w:hAnsi="Arial" w:cs="Arial"/>
        </w:rPr>
        <w:tab/>
        <w:t>Competition Act 89/1998: section 65(6)(b).</w:t>
      </w:r>
    </w:p>
  </w:footnote>
  <w:footnote w:id="515">
    <w:p w:rsidR="005E7922" w:rsidRPr="00173ACB" w:rsidRDefault="005E7922" w:rsidP="00A0737B">
      <w:pPr>
        <w:pStyle w:val="Funotentext"/>
        <w:spacing w:line="240" w:lineRule="auto"/>
        <w:contextualSpacing/>
        <w:jc w:val="both"/>
        <w:rPr>
          <w:rFonts w:ascii="Arial" w:hAnsi="Arial" w:cs="Arial"/>
        </w:rPr>
      </w:pPr>
      <w:r w:rsidRPr="00173ACB">
        <w:rPr>
          <w:rStyle w:val="Funotenzeichen"/>
          <w:rFonts w:ascii="Arial" w:hAnsi="Arial" w:cs="Arial"/>
        </w:rPr>
        <w:footnoteRef/>
      </w:r>
      <w:r w:rsidRPr="00173ACB">
        <w:rPr>
          <w:rFonts w:ascii="Arial" w:hAnsi="Arial" w:cs="Arial"/>
        </w:rPr>
        <w:t xml:space="preserve"> </w:t>
      </w:r>
      <w:r w:rsidRPr="00173ACB">
        <w:rPr>
          <w:rFonts w:ascii="Arial" w:hAnsi="Arial" w:cs="Arial"/>
        </w:rPr>
        <w:tab/>
        <w:t>89/1998.</w:t>
      </w:r>
    </w:p>
  </w:footnote>
  <w:footnote w:id="516">
    <w:p w:rsidR="005E7922" w:rsidRPr="00173ACB" w:rsidRDefault="005E7922" w:rsidP="00A0737B">
      <w:pPr>
        <w:pStyle w:val="Funotentext"/>
        <w:spacing w:line="240" w:lineRule="auto"/>
        <w:contextualSpacing/>
        <w:jc w:val="both"/>
        <w:rPr>
          <w:rFonts w:ascii="Arial" w:hAnsi="Arial" w:cs="Arial"/>
        </w:rPr>
      </w:pPr>
      <w:r w:rsidRPr="00173ACB">
        <w:rPr>
          <w:rStyle w:val="Funotenzeichen"/>
          <w:rFonts w:ascii="Arial" w:hAnsi="Arial" w:cs="Arial"/>
        </w:rPr>
        <w:footnoteRef/>
      </w:r>
      <w:r w:rsidRPr="00173ACB">
        <w:rPr>
          <w:rFonts w:ascii="Arial" w:hAnsi="Arial" w:cs="Arial"/>
        </w:rPr>
        <w:t xml:space="preserve"> </w:t>
      </w:r>
      <w:r w:rsidRPr="00173ACB">
        <w:rPr>
          <w:rFonts w:ascii="Arial" w:hAnsi="Arial" w:cs="Arial"/>
        </w:rPr>
        <w:tab/>
        <w:t>As cited in Reekie 2000: 20.</w:t>
      </w:r>
    </w:p>
  </w:footnote>
  <w:footnote w:id="517">
    <w:p w:rsidR="005E7922" w:rsidRPr="00173ACB" w:rsidRDefault="005E7922" w:rsidP="00A0737B">
      <w:pPr>
        <w:pStyle w:val="Funotentext"/>
        <w:spacing w:line="240" w:lineRule="auto"/>
        <w:contextualSpacing/>
        <w:jc w:val="both"/>
        <w:rPr>
          <w:rFonts w:ascii="Arial" w:hAnsi="Arial" w:cs="Arial"/>
        </w:rPr>
      </w:pPr>
      <w:r w:rsidRPr="00173ACB">
        <w:rPr>
          <w:rStyle w:val="Funotenzeichen"/>
          <w:rFonts w:ascii="Arial" w:hAnsi="Arial" w:cs="Arial"/>
        </w:rPr>
        <w:footnoteRef/>
      </w:r>
      <w:r w:rsidRPr="00173ACB">
        <w:rPr>
          <w:rFonts w:ascii="Arial" w:hAnsi="Arial" w:cs="Arial"/>
        </w:rPr>
        <w:t xml:space="preserve">  </w:t>
      </w:r>
      <w:r w:rsidRPr="00173ACB">
        <w:rPr>
          <w:rFonts w:ascii="Arial" w:hAnsi="Arial" w:cs="Arial"/>
        </w:rPr>
        <w:tab/>
        <w:t>89/1998.</w:t>
      </w:r>
    </w:p>
  </w:footnote>
  <w:footnote w:id="518">
    <w:p w:rsidR="005E7922" w:rsidRPr="00173ACB" w:rsidRDefault="005E7922" w:rsidP="00A0737B">
      <w:pPr>
        <w:pStyle w:val="Funotentext"/>
        <w:spacing w:line="240" w:lineRule="auto"/>
        <w:contextualSpacing/>
        <w:jc w:val="both"/>
        <w:rPr>
          <w:rFonts w:ascii="Arial" w:hAnsi="Arial" w:cs="Arial"/>
        </w:rPr>
      </w:pPr>
      <w:r w:rsidRPr="00173ACB">
        <w:rPr>
          <w:rStyle w:val="Funotenzeichen"/>
          <w:rFonts w:ascii="Arial" w:hAnsi="Arial" w:cs="Arial"/>
        </w:rPr>
        <w:footnoteRef/>
      </w:r>
      <w:r w:rsidRPr="00173ACB">
        <w:rPr>
          <w:rFonts w:ascii="Arial" w:hAnsi="Arial" w:cs="Arial"/>
        </w:rPr>
        <w:t xml:space="preserve"> </w:t>
      </w:r>
      <w:r w:rsidRPr="00173ACB">
        <w:rPr>
          <w:rFonts w:ascii="Arial" w:hAnsi="Arial" w:cs="Arial"/>
        </w:rPr>
        <w:tab/>
        <w:t>89/1998.</w:t>
      </w:r>
    </w:p>
  </w:footnote>
  <w:footnote w:id="519">
    <w:p w:rsidR="005E7922" w:rsidRPr="00173ACB" w:rsidRDefault="005E7922" w:rsidP="00A0737B">
      <w:pPr>
        <w:pStyle w:val="Funotentext"/>
        <w:spacing w:line="240" w:lineRule="auto"/>
        <w:contextualSpacing/>
        <w:jc w:val="both"/>
        <w:rPr>
          <w:rFonts w:ascii="Arial" w:hAnsi="Arial" w:cs="Arial"/>
        </w:rPr>
      </w:pPr>
      <w:r w:rsidRPr="00173ACB">
        <w:rPr>
          <w:rStyle w:val="Funotenzeichen"/>
          <w:rFonts w:ascii="Arial" w:hAnsi="Arial" w:cs="Arial"/>
        </w:rPr>
        <w:footnoteRef/>
      </w:r>
      <w:r w:rsidRPr="00173ACB">
        <w:rPr>
          <w:rFonts w:ascii="Arial" w:hAnsi="Arial" w:cs="Arial"/>
        </w:rPr>
        <w:t xml:space="preserve"> </w:t>
      </w:r>
      <w:r w:rsidRPr="00173ACB">
        <w:rPr>
          <w:rFonts w:ascii="Arial" w:hAnsi="Arial" w:cs="Arial"/>
        </w:rPr>
        <w:tab/>
        <w:t xml:space="preserve">CUTS 2002: 12; Neuhoff </w:t>
      </w:r>
      <w:r w:rsidRPr="00173ACB">
        <w:rPr>
          <w:rFonts w:ascii="Arial" w:hAnsi="Arial" w:cs="Arial"/>
          <w:i/>
        </w:rPr>
        <w:t>et al</w:t>
      </w:r>
      <w:r w:rsidRPr="00173ACB">
        <w:rPr>
          <w:rFonts w:ascii="Arial" w:hAnsi="Arial" w:cs="Arial"/>
        </w:rPr>
        <w:t xml:space="preserve">  2006: 14; Roberts 2004: 7.</w:t>
      </w:r>
    </w:p>
  </w:footnote>
  <w:footnote w:id="520">
    <w:p w:rsidR="005E7922" w:rsidRPr="00173ACB" w:rsidRDefault="005E7922" w:rsidP="00A0737B">
      <w:pPr>
        <w:pStyle w:val="Funotentext"/>
        <w:spacing w:line="240" w:lineRule="auto"/>
        <w:contextualSpacing/>
        <w:jc w:val="both"/>
        <w:rPr>
          <w:rFonts w:ascii="Arial" w:hAnsi="Arial" w:cs="Arial"/>
        </w:rPr>
      </w:pPr>
      <w:r w:rsidRPr="00173ACB">
        <w:rPr>
          <w:rStyle w:val="Funotenzeichen"/>
          <w:rFonts w:ascii="Arial" w:hAnsi="Arial" w:cs="Arial"/>
        </w:rPr>
        <w:footnoteRef/>
      </w:r>
      <w:r w:rsidRPr="00173ACB">
        <w:rPr>
          <w:rFonts w:ascii="Arial" w:hAnsi="Arial" w:cs="Arial"/>
        </w:rPr>
        <w:t xml:space="preserve"> </w:t>
      </w:r>
      <w:r w:rsidRPr="00173ACB">
        <w:rPr>
          <w:rFonts w:ascii="Arial" w:hAnsi="Arial" w:cs="Arial"/>
        </w:rPr>
        <w:tab/>
        <w:t>McConnell &amp; Brue 2008: 31.</w:t>
      </w:r>
    </w:p>
  </w:footnote>
  <w:footnote w:id="521">
    <w:p w:rsidR="005E7922" w:rsidRPr="00173ACB" w:rsidRDefault="005E7922" w:rsidP="00A0737B">
      <w:pPr>
        <w:pStyle w:val="Funotentext"/>
        <w:spacing w:line="240" w:lineRule="auto"/>
        <w:contextualSpacing/>
        <w:jc w:val="both"/>
        <w:rPr>
          <w:rFonts w:ascii="Arial" w:hAnsi="Arial" w:cs="Arial"/>
        </w:rPr>
      </w:pPr>
      <w:r w:rsidRPr="00173ACB">
        <w:rPr>
          <w:rStyle w:val="Funotenzeichen"/>
          <w:rFonts w:ascii="Arial" w:hAnsi="Arial" w:cs="Arial"/>
        </w:rPr>
        <w:footnoteRef/>
      </w:r>
      <w:r w:rsidRPr="00173ACB">
        <w:rPr>
          <w:rFonts w:ascii="Arial" w:hAnsi="Arial" w:cs="Arial"/>
        </w:rPr>
        <w:t xml:space="preserve"> </w:t>
      </w:r>
      <w:r w:rsidRPr="00173ACB">
        <w:rPr>
          <w:rFonts w:ascii="Arial" w:hAnsi="Arial" w:cs="Arial"/>
        </w:rPr>
        <w:tab/>
        <w:t>McConnell &amp; Brue 2008: 31.</w:t>
      </w:r>
    </w:p>
  </w:footnote>
  <w:footnote w:id="522">
    <w:p w:rsidR="005E7922" w:rsidRPr="00173ACB" w:rsidRDefault="005E7922" w:rsidP="004D3F5B">
      <w:pPr>
        <w:pStyle w:val="Funotentext"/>
        <w:spacing w:line="240" w:lineRule="auto"/>
        <w:contextualSpacing/>
        <w:jc w:val="both"/>
        <w:rPr>
          <w:rFonts w:ascii="Arial" w:hAnsi="Arial" w:cs="Arial"/>
        </w:rPr>
      </w:pPr>
      <w:r w:rsidRPr="00173ACB">
        <w:rPr>
          <w:rStyle w:val="Funotenzeichen"/>
          <w:rFonts w:ascii="Arial" w:hAnsi="Arial" w:cs="Arial"/>
        </w:rPr>
        <w:footnoteRef/>
      </w:r>
      <w:r w:rsidRPr="00173ACB">
        <w:rPr>
          <w:rFonts w:ascii="Arial" w:hAnsi="Arial" w:cs="Arial"/>
        </w:rPr>
        <w:t xml:space="preserve"> </w:t>
      </w:r>
      <w:r w:rsidRPr="00173ACB">
        <w:rPr>
          <w:rFonts w:ascii="Arial" w:hAnsi="Arial" w:cs="Arial"/>
        </w:rPr>
        <w:tab/>
        <w:t>McConnell &amp; Brue 2008: 31.</w:t>
      </w:r>
    </w:p>
  </w:footnote>
  <w:footnote w:id="523">
    <w:p w:rsidR="005E7922" w:rsidRPr="00173ACB" w:rsidRDefault="005E7922" w:rsidP="004D3F5B">
      <w:pPr>
        <w:pStyle w:val="Funotentext"/>
        <w:spacing w:line="240" w:lineRule="auto"/>
        <w:contextualSpacing/>
        <w:jc w:val="both"/>
        <w:rPr>
          <w:rFonts w:ascii="Arial" w:hAnsi="Arial" w:cs="Arial"/>
        </w:rPr>
      </w:pPr>
      <w:r w:rsidRPr="00173ACB">
        <w:rPr>
          <w:rStyle w:val="Funotenzeichen"/>
          <w:rFonts w:ascii="Arial" w:hAnsi="Arial" w:cs="Arial"/>
        </w:rPr>
        <w:footnoteRef/>
      </w:r>
      <w:r w:rsidRPr="00173ACB">
        <w:rPr>
          <w:rFonts w:ascii="Arial" w:hAnsi="Arial" w:cs="Arial"/>
        </w:rPr>
        <w:t xml:space="preserve"> </w:t>
      </w:r>
      <w:r w:rsidRPr="00173ACB">
        <w:rPr>
          <w:rFonts w:ascii="Arial" w:hAnsi="Arial" w:cs="Arial"/>
        </w:rPr>
        <w:tab/>
        <w:t>McConnell &amp; Brue 2008: 31.</w:t>
      </w:r>
    </w:p>
  </w:footnote>
  <w:footnote w:id="524">
    <w:p w:rsidR="005E7922" w:rsidRPr="004D3F5B" w:rsidRDefault="005E7922" w:rsidP="004D3F5B">
      <w:pPr>
        <w:pStyle w:val="Funotentext"/>
        <w:spacing w:line="240" w:lineRule="auto"/>
        <w:contextualSpacing/>
        <w:jc w:val="both"/>
        <w:rPr>
          <w:rFonts w:ascii="Arial" w:hAnsi="Arial" w:cs="Arial"/>
        </w:rPr>
      </w:pPr>
      <w:r w:rsidRPr="004D3F5B">
        <w:rPr>
          <w:rStyle w:val="Funotenzeichen"/>
          <w:rFonts w:ascii="Arial" w:hAnsi="Arial" w:cs="Arial"/>
        </w:rPr>
        <w:footnoteRef/>
      </w:r>
      <w:r w:rsidRPr="004D3F5B">
        <w:rPr>
          <w:rFonts w:ascii="Arial" w:hAnsi="Arial" w:cs="Arial"/>
        </w:rPr>
        <w:t xml:space="preserve"> </w:t>
      </w:r>
      <w:r w:rsidRPr="004D3F5B">
        <w:rPr>
          <w:rFonts w:ascii="Arial" w:hAnsi="Arial" w:cs="Arial"/>
        </w:rPr>
        <w:tab/>
        <w:t>Wetzstein 2005: 368; McTeer 2002: Chapter 2; McConnell &amp; Brue 2008: 31.</w:t>
      </w:r>
    </w:p>
  </w:footnote>
  <w:footnote w:id="525">
    <w:p w:rsidR="005E7922" w:rsidRPr="004D3F5B" w:rsidRDefault="005E7922" w:rsidP="004D3F5B">
      <w:pPr>
        <w:pStyle w:val="Funotentext"/>
        <w:spacing w:line="240" w:lineRule="auto"/>
        <w:contextualSpacing/>
        <w:jc w:val="both"/>
        <w:rPr>
          <w:rFonts w:ascii="Arial" w:hAnsi="Arial" w:cs="Arial"/>
        </w:rPr>
      </w:pPr>
      <w:r w:rsidRPr="004D3F5B">
        <w:rPr>
          <w:rStyle w:val="Funotenzeichen"/>
          <w:rFonts w:ascii="Arial" w:hAnsi="Arial" w:cs="Arial"/>
        </w:rPr>
        <w:footnoteRef/>
      </w:r>
      <w:r w:rsidRPr="004D3F5B">
        <w:rPr>
          <w:rFonts w:ascii="Arial" w:hAnsi="Arial" w:cs="Arial"/>
        </w:rPr>
        <w:t xml:space="preserve"> </w:t>
      </w:r>
      <w:r w:rsidRPr="004D3F5B">
        <w:rPr>
          <w:rFonts w:ascii="Arial" w:hAnsi="Arial" w:cs="Arial"/>
        </w:rPr>
        <w:tab/>
        <w:t>McConnell &amp; Brue 2008: 30.</w:t>
      </w:r>
    </w:p>
  </w:footnote>
  <w:footnote w:id="526">
    <w:p w:rsidR="005E7922" w:rsidRPr="004D3F5B" w:rsidRDefault="005E7922" w:rsidP="004D3F5B">
      <w:pPr>
        <w:pStyle w:val="Funotentext"/>
        <w:spacing w:line="240" w:lineRule="auto"/>
        <w:contextualSpacing/>
        <w:jc w:val="both"/>
        <w:rPr>
          <w:rFonts w:ascii="Arial" w:hAnsi="Arial" w:cs="Arial"/>
        </w:rPr>
      </w:pPr>
      <w:r w:rsidRPr="004D3F5B">
        <w:rPr>
          <w:rStyle w:val="Funotenzeichen"/>
          <w:rFonts w:ascii="Arial" w:hAnsi="Arial" w:cs="Arial"/>
        </w:rPr>
        <w:footnoteRef/>
      </w:r>
      <w:r w:rsidRPr="004D3F5B">
        <w:rPr>
          <w:rFonts w:ascii="Arial" w:hAnsi="Arial" w:cs="Arial"/>
        </w:rPr>
        <w:t xml:space="preserve"> </w:t>
      </w:r>
      <w:r w:rsidRPr="004D3F5B">
        <w:rPr>
          <w:rFonts w:ascii="Arial" w:hAnsi="Arial" w:cs="Arial"/>
        </w:rPr>
        <w:tab/>
        <w:t>McConnell &amp; Brue 2008: 30.</w:t>
      </w:r>
    </w:p>
  </w:footnote>
  <w:footnote w:id="527">
    <w:p w:rsidR="005E7922" w:rsidRPr="004D3F5B" w:rsidRDefault="005E7922" w:rsidP="004D3F5B">
      <w:pPr>
        <w:pStyle w:val="Funotentext"/>
        <w:spacing w:line="240" w:lineRule="auto"/>
        <w:contextualSpacing/>
        <w:jc w:val="both"/>
        <w:rPr>
          <w:rFonts w:ascii="Arial" w:hAnsi="Arial" w:cs="Arial"/>
        </w:rPr>
      </w:pPr>
      <w:r w:rsidRPr="004D3F5B">
        <w:rPr>
          <w:rStyle w:val="Funotenzeichen"/>
          <w:rFonts w:ascii="Arial" w:hAnsi="Arial" w:cs="Arial"/>
        </w:rPr>
        <w:footnoteRef/>
      </w:r>
      <w:r w:rsidRPr="004D3F5B">
        <w:rPr>
          <w:rFonts w:ascii="Arial" w:hAnsi="Arial" w:cs="Arial"/>
        </w:rPr>
        <w:t xml:space="preserve"> </w:t>
      </w:r>
      <w:r w:rsidRPr="004D3F5B">
        <w:rPr>
          <w:rFonts w:ascii="Arial" w:hAnsi="Arial" w:cs="Arial"/>
        </w:rPr>
        <w:tab/>
        <w:t>McConnell &amp; Brue 2008: 30.</w:t>
      </w:r>
    </w:p>
  </w:footnote>
  <w:footnote w:id="528">
    <w:p w:rsidR="005E7922" w:rsidRPr="004D3F5B" w:rsidRDefault="005E7922" w:rsidP="004D3F5B">
      <w:pPr>
        <w:pStyle w:val="Funotentext"/>
        <w:spacing w:line="240" w:lineRule="auto"/>
        <w:contextualSpacing/>
        <w:jc w:val="both"/>
        <w:rPr>
          <w:rFonts w:ascii="Arial" w:hAnsi="Arial" w:cs="Arial"/>
        </w:rPr>
      </w:pPr>
      <w:r w:rsidRPr="004D3F5B">
        <w:rPr>
          <w:rStyle w:val="Funotenzeichen"/>
          <w:rFonts w:ascii="Arial" w:hAnsi="Arial" w:cs="Arial"/>
        </w:rPr>
        <w:footnoteRef/>
      </w:r>
      <w:r w:rsidRPr="004D3F5B">
        <w:rPr>
          <w:rFonts w:ascii="Arial" w:hAnsi="Arial" w:cs="Arial"/>
        </w:rPr>
        <w:t xml:space="preserve"> </w:t>
      </w:r>
      <w:r w:rsidRPr="004D3F5B">
        <w:rPr>
          <w:rFonts w:ascii="Arial" w:hAnsi="Arial" w:cs="Arial"/>
        </w:rPr>
        <w:tab/>
        <w:t>McConnell &amp; Brue 2008: 31.</w:t>
      </w:r>
    </w:p>
  </w:footnote>
  <w:footnote w:id="529">
    <w:p w:rsidR="005E7922" w:rsidRPr="004D3F5B" w:rsidRDefault="005E7922" w:rsidP="004D3F5B">
      <w:pPr>
        <w:pStyle w:val="Funotentext"/>
        <w:spacing w:line="240" w:lineRule="auto"/>
        <w:contextualSpacing/>
        <w:jc w:val="both"/>
        <w:rPr>
          <w:rFonts w:ascii="Arial" w:hAnsi="Arial" w:cs="Arial"/>
        </w:rPr>
      </w:pPr>
      <w:r w:rsidRPr="004D3F5B">
        <w:rPr>
          <w:rStyle w:val="Funotenzeichen"/>
          <w:rFonts w:ascii="Arial" w:hAnsi="Arial" w:cs="Arial"/>
        </w:rPr>
        <w:footnoteRef/>
      </w:r>
      <w:r w:rsidRPr="004D3F5B">
        <w:rPr>
          <w:rFonts w:ascii="Arial" w:hAnsi="Arial" w:cs="Arial"/>
        </w:rPr>
        <w:t xml:space="preserve"> </w:t>
      </w:r>
      <w:r w:rsidRPr="004D3F5B">
        <w:rPr>
          <w:rFonts w:ascii="Arial" w:hAnsi="Arial" w:cs="Arial"/>
        </w:rPr>
        <w:tab/>
        <w:t>McConnell &amp; Brue 2008: 31.</w:t>
      </w:r>
    </w:p>
  </w:footnote>
  <w:footnote w:id="530">
    <w:p w:rsidR="005E7922" w:rsidRPr="004D3F5B" w:rsidRDefault="005E7922" w:rsidP="004D3F5B">
      <w:pPr>
        <w:pStyle w:val="Funotentext"/>
        <w:spacing w:line="240" w:lineRule="auto"/>
        <w:contextualSpacing/>
        <w:jc w:val="both"/>
        <w:rPr>
          <w:rFonts w:ascii="Arial" w:hAnsi="Arial" w:cs="Arial"/>
        </w:rPr>
      </w:pPr>
      <w:r w:rsidRPr="004D3F5B">
        <w:rPr>
          <w:rStyle w:val="Funotenzeichen"/>
          <w:rFonts w:ascii="Arial" w:hAnsi="Arial" w:cs="Arial"/>
        </w:rPr>
        <w:footnoteRef/>
      </w:r>
      <w:r w:rsidRPr="004D3F5B">
        <w:rPr>
          <w:rFonts w:ascii="Arial" w:hAnsi="Arial" w:cs="Arial"/>
        </w:rPr>
        <w:t xml:space="preserve"> </w:t>
      </w:r>
      <w:r w:rsidRPr="004D3F5B">
        <w:rPr>
          <w:rFonts w:ascii="Arial" w:hAnsi="Arial" w:cs="Arial"/>
        </w:rPr>
        <w:tab/>
        <w:t>McConnell &amp; Brue 2008: 31.</w:t>
      </w:r>
    </w:p>
  </w:footnote>
  <w:footnote w:id="531">
    <w:p w:rsidR="005E7922" w:rsidRPr="004D3F5B" w:rsidRDefault="005E7922" w:rsidP="004D3F5B">
      <w:pPr>
        <w:pStyle w:val="Funotentext"/>
        <w:spacing w:line="240" w:lineRule="auto"/>
        <w:contextualSpacing/>
        <w:jc w:val="both"/>
        <w:rPr>
          <w:rFonts w:ascii="Arial" w:hAnsi="Arial" w:cs="Arial"/>
        </w:rPr>
      </w:pPr>
      <w:r w:rsidRPr="004D3F5B">
        <w:rPr>
          <w:rStyle w:val="Funotenzeichen"/>
          <w:rFonts w:ascii="Arial" w:hAnsi="Arial" w:cs="Arial"/>
        </w:rPr>
        <w:footnoteRef/>
      </w:r>
      <w:r w:rsidRPr="004D3F5B">
        <w:rPr>
          <w:rFonts w:ascii="Arial" w:hAnsi="Arial" w:cs="Arial"/>
        </w:rPr>
        <w:t xml:space="preserve">  </w:t>
      </w:r>
      <w:r w:rsidRPr="004D3F5B">
        <w:rPr>
          <w:rFonts w:ascii="Arial" w:hAnsi="Arial" w:cs="Arial"/>
        </w:rPr>
        <w:tab/>
        <w:t>89/1998: section 1.</w:t>
      </w:r>
    </w:p>
  </w:footnote>
  <w:footnote w:id="532">
    <w:p w:rsidR="005E7922" w:rsidRPr="008A3EFE" w:rsidRDefault="005E7922" w:rsidP="00EB2F4C">
      <w:pPr>
        <w:pStyle w:val="Funotentext"/>
        <w:spacing w:line="240" w:lineRule="auto"/>
        <w:contextualSpacing/>
        <w:jc w:val="both"/>
        <w:rPr>
          <w:rFonts w:ascii="Arial" w:hAnsi="Arial" w:cs="Arial"/>
        </w:rPr>
      </w:pPr>
      <w:r w:rsidRPr="008A3EFE">
        <w:rPr>
          <w:rStyle w:val="Funotenzeichen"/>
          <w:rFonts w:ascii="Arial" w:hAnsi="Arial" w:cs="Arial"/>
        </w:rPr>
        <w:footnoteRef/>
      </w:r>
      <w:r w:rsidRPr="008A3EFE">
        <w:rPr>
          <w:rFonts w:ascii="Arial" w:hAnsi="Arial" w:cs="Arial"/>
        </w:rPr>
        <w:t xml:space="preserve"> </w:t>
      </w:r>
      <w:r w:rsidRPr="008A3EFE">
        <w:rPr>
          <w:rFonts w:ascii="Arial" w:hAnsi="Arial" w:cs="Arial"/>
        </w:rPr>
        <w:tab/>
        <w:t>The Competition Act 89/1998: section 1.</w:t>
      </w:r>
    </w:p>
  </w:footnote>
  <w:footnote w:id="533">
    <w:p w:rsidR="005E7922" w:rsidRPr="008A3EFE" w:rsidRDefault="005E7922" w:rsidP="0023418E">
      <w:pPr>
        <w:pStyle w:val="Funotentext"/>
        <w:spacing w:line="240" w:lineRule="auto"/>
        <w:contextualSpacing/>
        <w:jc w:val="both"/>
        <w:rPr>
          <w:rFonts w:ascii="Arial" w:hAnsi="Arial" w:cs="Arial"/>
        </w:rPr>
      </w:pPr>
      <w:r w:rsidRPr="008A3EFE">
        <w:rPr>
          <w:rStyle w:val="Funotenzeichen"/>
          <w:rFonts w:ascii="Arial" w:hAnsi="Arial" w:cs="Arial"/>
        </w:rPr>
        <w:footnoteRef/>
      </w:r>
      <w:r w:rsidRPr="008A3EFE">
        <w:rPr>
          <w:rFonts w:ascii="Arial" w:hAnsi="Arial" w:cs="Arial"/>
        </w:rPr>
        <w:t xml:space="preserve"> </w:t>
      </w:r>
      <w:r w:rsidRPr="008A3EFE">
        <w:rPr>
          <w:rFonts w:ascii="Arial" w:hAnsi="Arial" w:cs="Arial"/>
        </w:rPr>
        <w:tab/>
        <w:t xml:space="preserve">It is argued by the author of this paper that the ability to control prices, exclude competition </w:t>
      </w:r>
      <w:r w:rsidRPr="008A3EFE">
        <w:rPr>
          <w:rFonts w:ascii="Arial" w:hAnsi="Arial" w:cs="Arial"/>
        </w:rPr>
        <w:tab/>
        <w:t xml:space="preserve">and to </w:t>
      </w:r>
      <w:r w:rsidRPr="008A3EFE">
        <w:rPr>
          <w:rFonts w:ascii="Arial" w:hAnsi="Arial" w:cs="Arial"/>
        </w:rPr>
        <w:tab/>
        <w:t xml:space="preserve">behave to an appreciable extent independently from competitors, suppliers and </w:t>
      </w:r>
      <w:r w:rsidRPr="008A3EFE">
        <w:rPr>
          <w:rFonts w:ascii="Arial" w:hAnsi="Arial" w:cs="Arial"/>
        </w:rPr>
        <w:tab/>
        <w:t>customers provides such firms with the ability to influence the quantity supplied and the</w:t>
      </w:r>
      <w:r w:rsidRPr="008A3EFE">
        <w:rPr>
          <w:rFonts w:ascii="Arial" w:hAnsi="Arial" w:cs="Arial"/>
        </w:rPr>
        <w:tab/>
        <w:t xml:space="preserve">quantity demanded in that market. </w:t>
      </w:r>
    </w:p>
  </w:footnote>
  <w:footnote w:id="534">
    <w:p w:rsidR="005E7922" w:rsidRPr="008A3EFE" w:rsidRDefault="005E7922" w:rsidP="0023418E">
      <w:pPr>
        <w:pStyle w:val="Funotentext"/>
        <w:spacing w:line="240" w:lineRule="auto"/>
        <w:contextualSpacing/>
        <w:jc w:val="both"/>
        <w:rPr>
          <w:rFonts w:ascii="Arial" w:hAnsi="Arial" w:cs="Arial"/>
        </w:rPr>
      </w:pPr>
      <w:r w:rsidRPr="008A3EFE">
        <w:rPr>
          <w:rStyle w:val="Funotenzeichen"/>
          <w:rFonts w:ascii="Arial" w:hAnsi="Arial" w:cs="Arial"/>
        </w:rPr>
        <w:footnoteRef/>
      </w:r>
      <w:r w:rsidRPr="008A3EFE">
        <w:rPr>
          <w:rFonts w:ascii="Arial" w:hAnsi="Arial" w:cs="Arial"/>
        </w:rPr>
        <w:t xml:space="preserve"> </w:t>
      </w:r>
      <w:r w:rsidRPr="008A3EFE">
        <w:rPr>
          <w:rFonts w:ascii="Arial" w:hAnsi="Arial" w:cs="Arial"/>
        </w:rPr>
        <w:tab/>
        <w:t>Refer to section 2.4.5.</w:t>
      </w:r>
    </w:p>
  </w:footnote>
  <w:footnote w:id="535">
    <w:p w:rsidR="005E7922" w:rsidRPr="008A3EFE" w:rsidRDefault="005E7922" w:rsidP="0023418E">
      <w:pPr>
        <w:pStyle w:val="Funotentext"/>
        <w:spacing w:line="240" w:lineRule="auto"/>
        <w:contextualSpacing/>
        <w:jc w:val="both"/>
        <w:rPr>
          <w:rFonts w:ascii="Arial" w:hAnsi="Arial" w:cs="Arial"/>
        </w:rPr>
      </w:pPr>
      <w:r w:rsidRPr="008A3EFE">
        <w:rPr>
          <w:rStyle w:val="Funotenzeichen"/>
          <w:rFonts w:ascii="Arial" w:hAnsi="Arial" w:cs="Arial"/>
        </w:rPr>
        <w:footnoteRef/>
      </w:r>
      <w:r w:rsidRPr="008A3EFE">
        <w:rPr>
          <w:rFonts w:ascii="Arial" w:hAnsi="Arial" w:cs="Arial"/>
        </w:rPr>
        <w:t xml:space="preserve"> </w:t>
      </w:r>
      <w:r w:rsidRPr="008A3EFE">
        <w:rPr>
          <w:rFonts w:ascii="Arial" w:hAnsi="Arial" w:cs="Arial"/>
        </w:rPr>
        <w:tab/>
        <w:t xml:space="preserve">Neuhoff </w:t>
      </w:r>
      <w:r w:rsidRPr="008A3EFE">
        <w:rPr>
          <w:rFonts w:ascii="Arial" w:hAnsi="Arial" w:cs="Arial"/>
          <w:i/>
        </w:rPr>
        <w:t>et al</w:t>
      </w:r>
      <w:r w:rsidRPr="008A3EFE">
        <w:rPr>
          <w:rFonts w:ascii="Arial" w:hAnsi="Arial" w:cs="Arial"/>
        </w:rPr>
        <w:t xml:space="preserve"> 2006: 27.</w:t>
      </w:r>
    </w:p>
  </w:footnote>
  <w:footnote w:id="536">
    <w:p w:rsidR="005E7922" w:rsidRPr="008A3EFE" w:rsidRDefault="005E7922" w:rsidP="0023418E">
      <w:pPr>
        <w:pStyle w:val="Funotentext"/>
        <w:spacing w:line="240" w:lineRule="auto"/>
        <w:contextualSpacing/>
        <w:jc w:val="both"/>
        <w:rPr>
          <w:rFonts w:ascii="Arial" w:hAnsi="Arial" w:cs="Arial"/>
        </w:rPr>
      </w:pPr>
      <w:r w:rsidRPr="008A3EFE">
        <w:rPr>
          <w:rStyle w:val="Funotenzeichen"/>
          <w:rFonts w:ascii="Arial" w:hAnsi="Arial" w:cs="Arial"/>
        </w:rPr>
        <w:footnoteRef/>
      </w:r>
      <w:r w:rsidRPr="008A3EFE">
        <w:rPr>
          <w:rFonts w:ascii="Arial" w:hAnsi="Arial" w:cs="Arial"/>
        </w:rPr>
        <w:t xml:space="preserve">  </w:t>
      </w:r>
      <w:r w:rsidRPr="008A3EFE">
        <w:rPr>
          <w:rFonts w:ascii="Arial" w:hAnsi="Arial" w:cs="Arial"/>
        </w:rPr>
        <w:tab/>
        <w:t xml:space="preserve">A significant degree of market power refers to the situation where a single firm or a group of </w:t>
      </w:r>
      <w:r w:rsidRPr="008A3EFE">
        <w:rPr>
          <w:rFonts w:ascii="Arial" w:hAnsi="Arial" w:cs="Arial"/>
        </w:rPr>
        <w:tab/>
        <w:t xml:space="preserve">firms acting collectively have sufficient market power so as to allow it/them to abuse that </w:t>
      </w:r>
      <w:r w:rsidRPr="008A3EFE">
        <w:rPr>
          <w:rFonts w:ascii="Arial" w:hAnsi="Arial" w:cs="Arial"/>
        </w:rPr>
        <w:tab/>
        <w:t xml:space="preserve">market power in a particular market in order to decrease competition and hence the </w:t>
      </w:r>
      <w:r w:rsidRPr="008A3EFE">
        <w:rPr>
          <w:rFonts w:ascii="Arial" w:hAnsi="Arial" w:cs="Arial"/>
        </w:rPr>
        <w:tab/>
        <w:t xml:space="preserve">effective functioning of that market’s forces. An insignificant degree of market power on </w:t>
      </w:r>
      <w:r w:rsidRPr="008A3EFE">
        <w:rPr>
          <w:rFonts w:ascii="Arial" w:hAnsi="Arial" w:cs="Arial"/>
        </w:rPr>
        <w:tab/>
        <w:t xml:space="preserve">the </w:t>
      </w:r>
      <w:r w:rsidRPr="008A3EFE">
        <w:rPr>
          <w:rFonts w:ascii="Arial" w:hAnsi="Arial" w:cs="Arial"/>
        </w:rPr>
        <w:tab/>
        <w:t xml:space="preserve">other hand refers to the situation where a single firm or a group of firms acting collectively </w:t>
      </w:r>
      <w:r w:rsidRPr="008A3EFE">
        <w:rPr>
          <w:rFonts w:ascii="Arial" w:hAnsi="Arial" w:cs="Arial"/>
        </w:rPr>
        <w:tab/>
        <w:t xml:space="preserve">does not have sufficient market power so as to allow it/them to abuse that market power. For </w:t>
      </w:r>
      <w:r w:rsidRPr="008A3EFE">
        <w:rPr>
          <w:rFonts w:ascii="Arial" w:hAnsi="Arial" w:cs="Arial"/>
        </w:rPr>
        <w:tab/>
        <w:t xml:space="preserve">more information see Neuhoff </w:t>
      </w:r>
      <w:r w:rsidRPr="008A3EFE">
        <w:rPr>
          <w:rFonts w:ascii="Arial" w:hAnsi="Arial" w:cs="Arial"/>
          <w:i/>
        </w:rPr>
        <w:t>et al</w:t>
      </w:r>
      <w:r w:rsidRPr="008A3EFE">
        <w:rPr>
          <w:rFonts w:ascii="Arial" w:hAnsi="Arial" w:cs="Arial"/>
        </w:rPr>
        <w:t xml:space="preserve"> 2006: 27.</w:t>
      </w:r>
    </w:p>
  </w:footnote>
  <w:footnote w:id="537">
    <w:p w:rsidR="005E7922" w:rsidRPr="008A3EFE" w:rsidRDefault="005E7922" w:rsidP="0023418E">
      <w:pPr>
        <w:pStyle w:val="Funotentext"/>
        <w:spacing w:line="240" w:lineRule="auto"/>
        <w:contextualSpacing/>
        <w:jc w:val="both"/>
        <w:rPr>
          <w:rFonts w:ascii="Arial" w:hAnsi="Arial" w:cs="Arial"/>
        </w:rPr>
      </w:pPr>
      <w:r w:rsidRPr="008A3EFE">
        <w:rPr>
          <w:rStyle w:val="Funotenzeichen"/>
          <w:rFonts w:ascii="Arial" w:hAnsi="Arial" w:cs="Arial"/>
        </w:rPr>
        <w:footnoteRef/>
      </w:r>
      <w:r w:rsidRPr="008A3EFE">
        <w:rPr>
          <w:rFonts w:ascii="Arial" w:hAnsi="Arial" w:cs="Arial"/>
        </w:rPr>
        <w:t xml:space="preserve"> </w:t>
      </w:r>
      <w:r w:rsidRPr="008A3EFE">
        <w:rPr>
          <w:rFonts w:ascii="Arial" w:hAnsi="Arial" w:cs="Arial"/>
        </w:rPr>
        <w:tab/>
        <w:t xml:space="preserve">Neuhoff </w:t>
      </w:r>
      <w:r w:rsidRPr="008A3EFE">
        <w:rPr>
          <w:rFonts w:ascii="Arial" w:hAnsi="Arial" w:cs="Arial"/>
          <w:i/>
        </w:rPr>
        <w:t>et al</w:t>
      </w:r>
      <w:r w:rsidRPr="008A3EFE">
        <w:rPr>
          <w:rFonts w:ascii="Arial" w:hAnsi="Arial" w:cs="Arial"/>
        </w:rPr>
        <w:t xml:space="preserve"> 2006: 27.</w:t>
      </w:r>
    </w:p>
  </w:footnote>
  <w:footnote w:id="538">
    <w:p w:rsidR="005E7922" w:rsidRPr="008A3EFE" w:rsidRDefault="005E7922" w:rsidP="0023418E">
      <w:pPr>
        <w:pStyle w:val="Funotentext"/>
        <w:spacing w:line="240" w:lineRule="auto"/>
        <w:contextualSpacing/>
        <w:jc w:val="both"/>
        <w:rPr>
          <w:rFonts w:ascii="Arial" w:hAnsi="Arial" w:cs="Arial"/>
        </w:rPr>
      </w:pPr>
      <w:r w:rsidRPr="008A3EFE">
        <w:rPr>
          <w:rStyle w:val="Funotenzeichen"/>
          <w:rFonts w:ascii="Arial" w:hAnsi="Arial" w:cs="Arial"/>
        </w:rPr>
        <w:footnoteRef/>
      </w:r>
      <w:r w:rsidRPr="008A3EFE">
        <w:rPr>
          <w:rFonts w:ascii="Arial" w:hAnsi="Arial" w:cs="Arial"/>
        </w:rPr>
        <w:t xml:space="preserve"> </w:t>
      </w:r>
      <w:r w:rsidRPr="008A3EFE">
        <w:rPr>
          <w:rFonts w:ascii="Arial" w:hAnsi="Arial" w:cs="Arial"/>
        </w:rPr>
        <w:tab/>
        <w:t>89/1998.</w:t>
      </w:r>
    </w:p>
  </w:footnote>
  <w:footnote w:id="539">
    <w:p w:rsidR="005E7922" w:rsidRPr="008A3EFE" w:rsidRDefault="005E7922" w:rsidP="0023418E">
      <w:pPr>
        <w:pStyle w:val="Funotentext"/>
        <w:spacing w:line="240" w:lineRule="auto"/>
        <w:contextualSpacing/>
        <w:jc w:val="both"/>
        <w:rPr>
          <w:rFonts w:ascii="Arial" w:hAnsi="Arial" w:cs="Arial"/>
        </w:rPr>
      </w:pPr>
      <w:r w:rsidRPr="008A3EFE">
        <w:rPr>
          <w:rStyle w:val="Funotenzeichen"/>
          <w:rFonts w:ascii="Arial" w:hAnsi="Arial" w:cs="Arial"/>
        </w:rPr>
        <w:footnoteRef/>
      </w:r>
      <w:r w:rsidRPr="008A3EFE">
        <w:rPr>
          <w:rFonts w:ascii="Arial" w:hAnsi="Arial" w:cs="Arial"/>
        </w:rPr>
        <w:t xml:space="preserve"> </w:t>
      </w:r>
      <w:r w:rsidRPr="008A3EFE">
        <w:rPr>
          <w:rFonts w:ascii="Arial" w:hAnsi="Arial" w:cs="Arial"/>
        </w:rPr>
        <w:tab/>
        <w:t xml:space="preserve">Neuhoff </w:t>
      </w:r>
      <w:r w:rsidRPr="008A3EFE">
        <w:rPr>
          <w:rFonts w:ascii="Arial" w:hAnsi="Arial" w:cs="Arial"/>
          <w:i/>
        </w:rPr>
        <w:t>et al</w:t>
      </w:r>
      <w:r w:rsidRPr="008A3EFE">
        <w:rPr>
          <w:rFonts w:ascii="Arial" w:hAnsi="Arial" w:cs="Arial"/>
        </w:rPr>
        <w:t xml:space="preserve"> 2006: 27.</w:t>
      </w:r>
    </w:p>
  </w:footnote>
  <w:footnote w:id="540">
    <w:p w:rsidR="005E7922" w:rsidRPr="008A3EFE" w:rsidRDefault="005E7922" w:rsidP="0023418E">
      <w:pPr>
        <w:pStyle w:val="Funotentext"/>
        <w:spacing w:line="240" w:lineRule="auto"/>
        <w:contextualSpacing/>
        <w:jc w:val="both"/>
        <w:rPr>
          <w:rFonts w:ascii="Arial" w:hAnsi="Arial" w:cs="Arial"/>
        </w:rPr>
      </w:pPr>
      <w:r w:rsidRPr="008A3EFE">
        <w:rPr>
          <w:rStyle w:val="Funotenzeichen"/>
          <w:rFonts w:ascii="Arial" w:hAnsi="Arial" w:cs="Arial"/>
        </w:rPr>
        <w:footnoteRef/>
      </w:r>
      <w:r w:rsidRPr="008A3EFE">
        <w:rPr>
          <w:rFonts w:ascii="Arial" w:hAnsi="Arial" w:cs="Arial"/>
        </w:rPr>
        <w:t xml:space="preserve">  </w:t>
      </w:r>
      <w:r w:rsidRPr="008A3EFE">
        <w:rPr>
          <w:rFonts w:ascii="Arial" w:hAnsi="Arial" w:cs="Arial"/>
        </w:rPr>
        <w:tab/>
        <w:t>Walker 2006: 10; Pleatsikas &amp; Teece 2001: 668.</w:t>
      </w:r>
    </w:p>
  </w:footnote>
  <w:footnote w:id="541">
    <w:p w:rsidR="005E7922" w:rsidRPr="00E20C14" w:rsidRDefault="005E7922" w:rsidP="00C05CA6">
      <w:pPr>
        <w:pStyle w:val="Funotentext"/>
        <w:spacing w:line="240" w:lineRule="auto"/>
        <w:contextualSpacing/>
        <w:jc w:val="both"/>
        <w:rPr>
          <w:rFonts w:ascii="Arial" w:hAnsi="Arial" w:cs="Arial"/>
        </w:rPr>
      </w:pPr>
      <w:r w:rsidRPr="00E20C14">
        <w:rPr>
          <w:rStyle w:val="Funotenzeichen"/>
          <w:rFonts w:ascii="Arial" w:hAnsi="Arial" w:cs="Arial"/>
        </w:rPr>
        <w:footnoteRef/>
      </w:r>
      <w:r w:rsidRPr="00E20C14">
        <w:rPr>
          <w:rFonts w:ascii="Arial" w:hAnsi="Arial" w:cs="Arial"/>
        </w:rPr>
        <w:t xml:space="preserve">  </w:t>
      </w:r>
      <w:r w:rsidRPr="00E20C14">
        <w:rPr>
          <w:rFonts w:ascii="Arial" w:hAnsi="Arial" w:cs="Arial"/>
        </w:rPr>
        <w:tab/>
        <w:t>Competition Act 89/1998: section 2 read with chapter 4.</w:t>
      </w:r>
    </w:p>
  </w:footnote>
  <w:footnote w:id="542">
    <w:p w:rsidR="005E7922" w:rsidRPr="00E20C14" w:rsidRDefault="005E7922" w:rsidP="00C05CA6">
      <w:pPr>
        <w:pStyle w:val="Funotentext"/>
        <w:spacing w:line="240" w:lineRule="auto"/>
        <w:contextualSpacing/>
        <w:jc w:val="both"/>
        <w:rPr>
          <w:rFonts w:ascii="Arial" w:hAnsi="Arial" w:cs="Arial"/>
        </w:rPr>
      </w:pPr>
      <w:r w:rsidRPr="00E20C14">
        <w:rPr>
          <w:rStyle w:val="Funotenzeichen"/>
          <w:rFonts w:ascii="Arial" w:hAnsi="Arial" w:cs="Arial"/>
        </w:rPr>
        <w:footnoteRef/>
      </w:r>
      <w:r w:rsidRPr="00E20C14">
        <w:rPr>
          <w:rFonts w:ascii="Arial" w:hAnsi="Arial" w:cs="Arial"/>
        </w:rPr>
        <w:t xml:space="preserve">  </w:t>
      </w:r>
      <w:r w:rsidRPr="00E20C14">
        <w:rPr>
          <w:rFonts w:ascii="Arial" w:hAnsi="Arial" w:cs="Arial"/>
        </w:rPr>
        <w:tab/>
        <w:t xml:space="preserve">Neuhoff </w:t>
      </w:r>
      <w:r w:rsidRPr="00E20C14">
        <w:rPr>
          <w:rFonts w:ascii="Arial" w:hAnsi="Arial" w:cs="Arial"/>
          <w:i/>
        </w:rPr>
        <w:t>et al</w:t>
      </w:r>
      <w:r w:rsidRPr="00E20C14">
        <w:rPr>
          <w:rFonts w:ascii="Arial" w:hAnsi="Arial" w:cs="Arial"/>
        </w:rPr>
        <w:t xml:space="preserve"> 2006: 29.</w:t>
      </w:r>
    </w:p>
  </w:footnote>
  <w:footnote w:id="543">
    <w:p w:rsidR="005E7922" w:rsidRPr="00E20C14" w:rsidRDefault="005E7922" w:rsidP="002E4676">
      <w:pPr>
        <w:pStyle w:val="Funotentext"/>
        <w:spacing w:line="240" w:lineRule="auto"/>
        <w:contextualSpacing/>
        <w:jc w:val="both"/>
        <w:rPr>
          <w:rFonts w:ascii="Arial" w:hAnsi="Arial" w:cs="Arial"/>
        </w:rPr>
      </w:pPr>
      <w:r w:rsidRPr="00E20C14">
        <w:rPr>
          <w:rStyle w:val="Funotenzeichen"/>
          <w:rFonts w:ascii="Arial" w:hAnsi="Arial" w:cs="Arial"/>
        </w:rPr>
        <w:footnoteRef/>
      </w:r>
      <w:r w:rsidRPr="00E20C14">
        <w:rPr>
          <w:rFonts w:ascii="Arial" w:hAnsi="Arial" w:cs="Arial"/>
        </w:rPr>
        <w:t xml:space="preserve">  </w:t>
      </w:r>
      <w:r w:rsidRPr="00E20C14">
        <w:rPr>
          <w:rFonts w:ascii="Arial" w:hAnsi="Arial" w:cs="Arial"/>
        </w:rPr>
        <w:tab/>
        <w:t xml:space="preserve">Neuhoff </w:t>
      </w:r>
      <w:r w:rsidRPr="00E20C14">
        <w:rPr>
          <w:rFonts w:ascii="Arial" w:hAnsi="Arial" w:cs="Arial"/>
          <w:i/>
        </w:rPr>
        <w:t>et al</w:t>
      </w:r>
      <w:r w:rsidRPr="00E20C14">
        <w:rPr>
          <w:rFonts w:ascii="Arial" w:hAnsi="Arial" w:cs="Arial"/>
        </w:rPr>
        <w:t xml:space="preserve"> 2006: 29.</w:t>
      </w:r>
    </w:p>
  </w:footnote>
  <w:footnote w:id="544">
    <w:p w:rsidR="005E7922" w:rsidRPr="00E20C14" w:rsidRDefault="005E7922" w:rsidP="00C05CA6">
      <w:pPr>
        <w:pStyle w:val="Funotentext"/>
        <w:spacing w:line="240" w:lineRule="auto"/>
        <w:contextualSpacing/>
        <w:jc w:val="both"/>
        <w:rPr>
          <w:rFonts w:ascii="Arial" w:hAnsi="Arial" w:cs="Arial"/>
        </w:rPr>
      </w:pPr>
      <w:r w:rsidRPr="00E20C14">
        <w:rPr>
          <w:rStyle w:val="Funotenzeichen"/>
          <w:rFonts w:ascii="Arial" w:hAnsi="Arial" w:cs="Arial"/>
        </w:rPr>
        <w:footnoteRef/>
      </w:r>
      <w:r w:rsidRPr="00E20C14">
        <w:rPr>
          <w:rFonts w:ascii="Arial" w:hAnsi="Arial" w:cs="Arial"/>
        </w:rPr>
        <w:t xml:space="preserve">  </w:t>
      </w:r>
      <w:r w:rsidRPr="00E20C14">
        <w:rPr>
          <w:rFonts w:ascii="Arial" w:hAnsi="Arial" w:cs="Arial"/>
        </w:rPr>
        <w:tab/>
        <w:t xml:space="preserve">The competition analysis is the process followed by the Competition Authorities to determine </w:t>
      </w:r>
      <w:r>
        <w:rPr>
          <w:rFonts w:ascii="Arial" w:hAnsi="Arial" w:cs="Arial"/>
        </w:rPr>
        <w:tab/>
      </w:r>
      <w:r w:rsidRPr="00E20C14">
        <w:rPr>
          <w:rFonts w:ascii="Arial" w:hAnsi="Arial" w:cs="Arial"/>
        </w:rPr>
        <w:t xml:space="preserve">whether certain conduct is anti-competitive. </w:t>
      </w:r>
    </w:p>
  </w:footnote>
  <w:footnote w:id="545">
    <w:p w:rsidR="005E7922" w:rsidRPr="00E20C14" w:rsidRDefault="005E7922" w:rsidP="00C05CA6">
      <w:pPr>
        <w:pStyle w:val="Funotentext"/>
        <w:spacing w:line="240" w:lineRule="auto"/>
        <w:contextualSpacing/>
        <w:jc w:val="both"/>
        <w:rPr>
          <w:rFonts w:ascii="Arial" w:hAnsi="Arial" w:cs="Arial"/>
        </w:rPr>
      </w:pPr>
      <w:r w:rsidRPr="00E20C14">
        <w:rPr>
          <w:rStyle w:val="Funotenzeichen"/>
          <w:rFonts w:ascii="Arial" w:hAnsi="Arial" w:cs="Arial"/>
        </w:rPr>
        <w:footnoteRef/>
      </w:r>
      <w:r w:rsidRPr="00E20C14">
        <w:rPr>
          <w:rFonts w:ascii="Arial" w:hAnsi="Arial" w:cs="Arial"/>
        </w:rPr>
        <w:t xml:space="preserve">  </w:t>
      </w:r>
      <w:r w:rsidRPr="00E20C14">
        <w:rPr>
          <w:rFonts w:ascii="Arial" w:hAnsi="Arial" w:cs="Arial"/>
        </w:rPr>
        <w:tab/>
        <w:t xml:space="preserve">Anti-competitive conduct is any conduct that substantially prevents or lessens competition in </w:t>
      </w:r>
      <w:r w:rsidRPr="00E20C14">
        <w:rPr>
          <w:rFonts w:ascii="Arial" w:hAnsi="Arial" w:cs="Arial"/>
        </w:rPr>
        <w:tab/>
        <w:t xml:space="preserve">any given market. It is argued, except for the </w:t>
      </w:r>
      <w:r w:rsidRPr="00E20C14">
        <w:rPr>
          <w:rFonts w:ascii="Arial" w:hAnsi="Arial" w:cs="Arial"/>
          <w:i/>
        </w:rPr>
        <w:t>per se</w:t>
      </w:r>
      <w:r w:rsidRPr="00E20C14">
        <w:rPr>
          <w:rFonts w:ascii="Arial" w:hAnsi="Arial" w:cs="Arial"/>
        </w:rPr>
        <w:t xml:space="preserve"> prohibitions which by its very nature </w:t>
      </w:r>
      <w:r w:rsidRPr="00E20C14">
        <w:rPr>
          <w:rFonts w:ascii="Arial" w:hAnsi="Arial" w:cs="Arial"/>
        </w:rPr>
        <w:tab/>
        <w:t xml:space="preserve">reduce competition and hence is anti-competitive, that conduct will only substantially prevent </w:t>
      </w:r>
      <w:r w:rsidRPr="00E20C14">
        <w:rPr>
          <w:rFonts w:ascii="Arial" w:hAnsi="Arial" w:cs="Arial"/>
        </w:rPr>
        <w:tab/>
        <w:t xml:space="preserve">or lessen competition in a given </w:t>
      </w:r>
      <w:r w:rsidRPr="00E20C14">
        <w:rPr>
          <w:rFonts w:ascii="Arial" w:hAnsi="Arial" w:cs="Arial"/>
        </w:rPr>
        <w:tab/>
        <w:t xml:space="preserve">market if the firm(s) that perpetrate that conduct possess </w:t>
      </w:r>
      <w:r w:rsidRPr="00E20C14">
        <w:rPr>
          <w:rFonts w:ascii="Arial" w:hAnsi="Arial" w:cs="Arial"/>
        </w:rPr>
        <w:tab/>
        <w:t>sufficient market power so as to allow them to abuse that market power. Accordingly, anti-</w:t>
      </w:r>
      <w:r w:rsidRPr="00E20C14">
        <w:rPr>
          <w:rFonts w:ascii="Arial" w:hAnsi="Arial" w:cs="Arial"/>
        </w:rPr>
        <w:tab/>
        <w:t xml:space="preserve">competitive conduct can also be described as the abuse of market power. For more </w:t>
      </w:r>
      <w:r w:rsidRPr="00E20C14">
        <w:rPr>
          <w:rFonts w:ascii="Arial" w:hAnsi="Arial" w:cs="Arial"/>
        </w:rPr>
        <w:tab/>
        <w:t xml:space="preserve">information see the Competition Act 89/1998: sections </w:t>
      </w:r>
      <w:r w:rsidRPr="00E20C14">
        <w:rPr>
          <w:rFonts w:ascii="Arial" w:hAnsi="Arial" w:cs="Arial"/>
        </w:rPr>
        <w:tab/>
        <w:t xml:space="preserve">4(1), 5(1) &amp; 5(2), 7, 8, 9 and 12(A); </w:t>
      </w:r>
      <w:r w:rsidRPr="00E20C14">
        <w:rPr>
          <w:rFonts w:ascii="Arial" w:hAnsi="Arial" w:cs="Arial"/>
        </w:rPr>
        <w:tab/>
        <w:t xml:space="preserve">Rudman &amp; Ostrovsky 2010: 7; Neuhoff </w:t>
      </w:r>
      <w:r w:rsidRPr="00E20C14">
        <w:rPr>
          <w:rFonts w:ascii="Arial" w:hAnsi="Arial" w:cs="Arial"/>
          <w:i/>
        </w:rPr>
        <w:t>et al</w:t>
      </w:r>
      <w:r w:rsidRPr="00E20C14">
        <w:rPr>
          <w:rFonts w:ascii="Arial" w:hAnsi="Arial" w:cs="Arial"/>
        </w:rPr>
        <w:t xml:space="preserve"> 2006: 16 and 44.</w:t>
      </w:r>
    </w:p>
  </w:footnote>
  <w:footnote w:id="546">
    <w:p w:rsidR="005E7922" w:rsidRPr="00E20C14" w:rsidRDefault="005E7922" w:rsidP="00C05CA6">
      <w:pPr>
        <w:pStyle w:val="Funotentext"/>
        <w:spacing w:line="240" w:lineRule="auto"/>
        <w:contextualSpacing/>
        <w:jc w:val="both"/>
        <w:rPr>
          <w:rFonts w:ascii="Arial" w:hAnsi="Arial" w:cs="Arial"/>
        </w:rPr>
      </w:pPr>
      <w:r w:rsidRPr="00E20C14">
        <w:rPr>
          <w:rStyle w:val="Funotenzeichen"/>
          <w:rFonts w:ascii="Arial" w:hAnsi="Arial" w:cs="Arial"/>
        </w:rPr>
        <w:footnoteRef/>
      </w:r>
      <w:r w:rsidRPr="00E20C14">
        <w:rPr>
          <w:rFonts w:ascii="Arial" w:hAnsi="Arial" w:cs="Arial"/>
        </w:rPr>
        <w:t xml:space="preserve">  </w:t>
      </w:r>
      <w:r w:rsidRPr="00E20C14">
        <w:rPr>
          <w:rFonts w:ascii="Arial" w:hAnsi="Arial" w:cs="Arial"/>
        </w:rPr>
        <w:tab/>
        <w:t xml:space="preserve">Competition Commission 2002: 6; Neuhoff </w:t>
      </w:r>
      <w:r w:rsidRPr="00E20C14">
        <w:rPr>
          <w:rFonts w:ascii="Arial" w:hAnsi="Arial" w:cs="Arial"/>
          <w:i/>
        </w:rPr>
        <w:t>et al</w:t>
      </w:r>
      <w:r w:rsidRPr="00E20C14">
        <w:rPr>
          <w:rFonts w:ascii="Arial" w:hAnsi="Arial" w:cs="Arial"/>
        </w:rPr>
        <w:t xml:space="preserve"> 2006: 29 read with 30. </w:t>
      </w:r>
    </w:p>
  </w:footnote>
  <w:footnote w:id="547">
    <w:p w:rsidR="005E7922" w:rsidRPr="00E20C14" w:rsidRDefault="005E7922" w:rsidP="00C05CA6">
      <w:pPr>
        <w:pStyle w:val="Funotentext"/>
        <w:spacing w:line="240" w:lineRule="auto"/>
        <w:contextualSpacing/>
        <w:jc w:val="both"/>
        <w:rPr>
          <w:rFonts w:ascii="Arial" w:hAnsi="Arial" w:cs="Arial"/>
        </w:rPr>
      </w:pPr>
      <w:r w:rsidRPr="00E20C14">
        <w:rPr>
          <w:rStyle w:val="Funotenzeichen"/>
          <w:rFonts w:ascii="Arial" w:hAnsi="Arial" w:cs="Arial"/>
        </w:rPr>
        <w:footnoteRef/>
      </w:r>
      <w:r w:rsidRPr="00E20C14">
        <w:rPr>
          <w:rFonts w:ascii="Arial" w:hAnsi="Arial" w:cs="Arial"/>
        </w:rPr>
        <w:t xml:space="preserve">  </w:t>
      </w:r>
      <w:r w:rsidRPr="00E20C14">
        <w:rPr>
          <w:rFonts w:ascii="Arial" w:hAnsi="Arial" w:cs="Arial"/>
        </w:rPr>
        <w:tab/>
        <w:t xml:space="preserve">Boshoff 2006: 2; Neuhoff </w:t>
      </w:r>
      <w:r w:rsidRPr="00E20C14">
        <w:rPr>
          <w:rFonts w:ascii="Arial" w:hAnsi="Arial" w:cs="Arial"/>
          <w:i/>
        </w:rPr>
        <w:t>et al</w:t>
      </w:r>
      <w:r w:rsidRPr="00E20C14">
        <w:rPr>
          <w:rFonts w:ascii="Arial" w:hAnsi="Arial" w:cs="Arial"/>
        </w:rPr>
        <w:t xml:space="preserve"> 2006: 29.</w:t>
      </w:r>
    </w:p>
  </w:footnote>
  <w:footnote w:id="548">
    <w:p w:rsidR="005E7922" w:rsidRPr="0098600E" w:rsidRDefault="005E7922" w:rsidP="0098600E">
      <w:pPr>
        <w:pStyle w:val="Funotentext"/>
        <w:spacing w:line="240" w:lineRule="auto"/>
        <w:contextualSpacing/>
        <w:jc w:val="both"/>
        <w:rPr>
          <w:rFonts w:ascii="Arial" w:hAnsi="Arial" w:cs="Arial"/>
        </w:rPr>
      </w:pPr>
      <w:r w:rsidRPr="0098600E">
        <w:rPr>
          <w:rStyle w:val="Funotenzeichen"/>
          <w:rFonts w:ascii="Arial" w:hAnsi="Arial" w:cs="Arial"/>
        </w:rPr>
        <w:footnoteRef/>
      </w:r>
      <w:r w:rsidRPr="0098600E">
        <w:rPr>
          <w:rFonts w:ascii="Arial" w:hAnsi="Arial" w:cs="Arial"/>
        </w:rPr>
        <w:t xml:space="preserve">  </w:t>
      </w:r>
      <w:r w:rsidRPr="0098600E">
        <w:rPr>
          <w:rFonts w:ascii="Arial" w:hAnsi="Arial" w:cs="Arial"/>
        </w:rPr>
        <w:tab/>
        <w:t xml:space="preserve">Neuhoff </w:t>
      </w:r>
      <w:r w:rsidRPr="0098600E">
        <w:rPr>
          <w:rFonts w:ascii="Arial" w:hAnsi="Arial" w:cs="Arial"/>
          <w:i/>
        </w:rPr>
        <w:t>et al</w:t>
      </w:r>
      <w:r w:rsidRPr="0098600E">
        <w:rPr>
          <w:rFonts w:ascii="Arial" w:hAnsi="Arial" w:cs="Arial"/>
        </w:rPr>
        <w:t xml:space="preserve"> 2006: 35.</w:t>
      </w:r>
    </w:p>
  </w:footnote>
  <w:footnote w:id="549">
    <w:p w:rsidR="005E7922" w:rsidRPr="0098600E" w:rsidRDefault="005E7922" w:rsidP="0098600E">
      <w:pPr>
        <w:pStyle w:val="Funotentext"/>
        <w:spacing w:line="240" w:lineRule="auto"/>
        <w:contextualSpacing/>
        <w:jc w:val="both"/>
        <w:rPr>
          <w:rFonts w:ascii="Arial" w:hAnsi="Arial" w:cs="Arial"/>
        </w:rPr>
      </w:pPr>
      <w:r w:rsidRPr="0098600E">
        <w:rPr>
          <w:rStyle w:val="Funotenzeichen"/>
          <w:rFonts w:ascii="Arial" w:hAnsi="Arial" w:cs="Arial"/>
        </w:rPr>
        <w:footnoteRef/>
      </w:r>
      <w:r w:rsidRPr="0098600E">
        <w:rPr>
          <w:rFonts w:ascii="Arial" w:hAnsi="Arial" w:cs="Arial"/>
        </w:rPr>
        <w:t xml:space="preserve">  </w:t>
      </w:r>
      <w:r w:rsidRPr="0098600E">
        <w:rPr>
          <w:rFonts w:ascii="Arial" w:hAnsi="Arial" w:cs="Arial"/>
        </w:rPr>
        <w:tab/>
        <w:t xml:space="preserve">Competition Commission 2002: 9; Neuhoff </w:t>
      </w:r>
      <w:r w:rsidRPr="0098600E">
        <w:rPr>
          <w:rFonts w:ascii="Arial" w:hAnsi="Arial" w:cs="Arial"/>
          <w:i/>
        </w:rPr>
        <w:t>et al</w:t>
      </w:r>
      <w:r w:rsidRPr="0098600E">
        <w:rPr>
          <w:rFonts w:ascii="Arial" w:hAnsi="Arial" w:cs="Arial"/>
        </w:rPr>
        <w:t xml:space="preserve"> 2006: 30-31.</w:t>
      </w:r>
    </w:p>
  </w:footnote>
  <w:footnote w:id="550">
    <w:p w:rsidR="005E7922" w:rsidRPr="00A53799" w:rsidRDefault="005E7922" w:rsidP="00A53799">
      <w:pPr>
        <w:pStyle w:val="Funotentext"/>
        <w:spacing w:line="240" w:lineRule="auto"/>
        <w:contextualSpacing/>
        <w:jc w:val="both"/>
        <w:rPr>
          <w:rFonts w:ascii="Arial" w:hAnsi="Arial" w:cs="Arial"/>
        </w:rPr>
      </w:pPr>
      <w:r w:rsidRPr="00A53799">
        <w:rPr>
          <w:rStyle w:val="Funotenzeichen"/>
          <w:rFonts w:ascii="Arial" w:hAnsi="Arial" w:cs="Arial"/>
        </w:rPr>
        <w:footnoteRef/>
      </w:r>
      <w:r w:rsidRPr="00A53799">
        <w:rPr>
          <w:rFonts w:ascii="Arial" w:hAnsi="Arial" w:cs="Arial"/>
        </w:rPr>
        <w:t xml:space="preserve">  </w:t>
      </w:r>
      <w:r w:rsidRPr="00A53799">
        <w:rPr>
          <w:rFonts w:ascii="Arial" w:hAnsi="Arial" w:cs="Arial"/>
        </w:rPr>
        <w:tab/>
        <w:t xml:space="preserve">Neuhoff </w:t>
      </w:r>
      <w:r w:rsidRPr="00A53799">
        <w:rPr>
          <w:rFonts w:ascii="Arial" w:hAnsi="Arial" w:cs="Arial"/>
          <w:i/>
        </w:rPr>
        <w:t>et al</w:t>
      </w:r>
      <w:r w:rsidRPr="00A53799">
        <w:rPr>
          <w:rFonts w:ascii="Arial" w:hAnsi="Arial" w:cs="Arial"/>
        </w:rPr>
        <w:t xml:space="preserve"> 2006: 30; Competition Commission 10; Boshoff 2011: 2.</w:t>
      </w:r>
    </w:p>
  </w:footnote>
  <w:footnote w:id="551">
    <w:p w:rsidR="005E7922" w:rsidRPr="00A53799" w:rsidRDefault="005E7922" w:rsidP="00A53799">
      <w:pPr>
        <w:pStyle w:val="Funotentext"/>
        <w:spacing w:line="240" w:lineRule="auto"/>
        <w:contextualSpacing/>
        <w:jc w:val="both"/>
        <w:rPr>
          <w:rFonts w:ascii="Arial" w:hAnsi="Arial" w:cs="Arial"/>
        </w:rPr>
      </w:pPr>
      <w:r w:rsidRPr="00A53799">
        <w:rPr>
          <w:rStyle w:val="Funotenzeichen"/>
          <w:rFonts w:ascii="Arial" w:hAnsi="Arial" w:cs="Arial"/>
        </w:rPr>
        <w:footnoteRef/>
      </w:r>
      <w:r w:rsidRPr="00A53799">
        <w:rPr>
          <w:rFonts w:ascii="Arial" w:hAnsi="Arial" w:cs="Arial"/>
        </w:rPr>
        <w:t xml:space="preserve"> </w:t>
      </w:r>
      <w:r w:rsidRPr="00A53799">
        <w:rPr>
          <w:rFonts w:ascii="Arial" w:hAnsi="Arial" w:cs="Arial"/>
        </w:rPr>
        <w:tab/>
        <w:t xml:space="preserve">Neuhoff </w:t>
      </w:r>
      <w:r w:rsidRPr="00A53799">
        <w:rPr>
          <w:rFonts w:ascii="Arial" w:hAnsi="Arial" w:cs="Arial"/>
          <w:i/>
        </w:rPr>
        <w:t>et al</w:t>
      </w:r>
      <w:r w:rsidRPr="00A53799">
        <w:rPr>
          <w:rFonts w:ascii="Arial" w:hAnsi="Arial" w:cs="Arial"/>
        </w:rPr>
        <w:t xml:space="preserve"> 2006: 30; Competition Commission 10; Boshoff 2011: 2</w:t>
      </w:r>
      <w:r>
        <w:rPr>
          <w:rFonts w:ascii="Arial" w:hAnsi="Arial" w:cs="Arial"/>
        </w:rPr>
        <w:t>.</w:t>
      </w:r>
    </w:p>
  </w:footnote>
  <w:footnote w:id="552">
    <w:p w:rsidR="005E7922" w:rsidRPr="00A53799" w:rsidRDefault="005E7922" w:rsidP="00A53799">
      <w:pPr>
        <w:pStyle w:val="Funotentext"/>
        <w:spacing w:line="240" w:lineRule="auto"/>
        <w:contextualSpacing/>
        <w:jc w:val="both"/>
        <w:rPr>
          <w:rFonts w:ascii="Arial" w:hAnsi="Arial" w:cs="Arial"/>
          <w:lang w:val="af-ZA"/>
        </w:rPr>
      </w:pPr>
      <w:r w:rsidRPr="00A53799">
        <w:rPr>
          <w:rStyle w:val="Funotenzeichen"/>
          <w:rFonts w:ascii="Arial" w:hAnsi="Arial" w:cs="Arial"/>
        </w:rPr>
        <w:footnoteRef/>
      </w:r>
      <w:r w:rsidRPr="00A53799">
        <w:rPr>
          <w:rFonts w:ascii="Arial" w:hAnsi="Arial" w:cs="Arial"/>
        </w:rPr>
        <w:t xml:space="preserve"> </w:t>
      </w:r>
      <w:r w:rsidRPr="00A53799">
        <w:rPr>
          <w:rFonts w:ascii="Arial" w:hAnsi="Arial" w:cs="Arial"/>
          <w:lang w:val="af-ZA"/>
        </w:rPr>
        <w:t xml:space="preserve"> </w:t>
      </w:r>
      <w:r w:rsidRPr="00A53799">
        <w:rPr>
          <w:rFonts w:ascii="Arial" w:hAnsi="Arial" w:cs="Arial"/>
          <w:lang w:val="af-ZA"/>
        </w:rPr>
        <w:tab/>
      </w:r>
      <w:r w:rsidRPr="00A53799">
        <w:rPr>
          <w:rFonts w:ascii="Arial" w:hAnsi="Arial" w:cs="Arial"/>
        </w:rPr>
        <w:t>Competition Commission 2002: 9.</w:t>
      </w:r>
    </w:p>
  </w:footnote>
  <w:footnote w:id="553">
    <w:p w:rsidR="005E7922" w:rsidRPr="00A53799" w:rsidRDefault="005E7922" w:rsidP="00A53799">
      <w:pPr>
        <w:pStyle w:val="Funotentext"/>
        <w:spacing w:line="240" w:lineRule="auto"/>
        <w:contextualSpacing/>
        <w:jc w:val="both"/>
        <w:rPr>
          <w:rFonts w:ascii="Arial" w:hAnsi="Arial" w:cs="Arial"/>
        </w:rPr>
      </w:pPr>
      <w:r w:rsidRPr="00A53799">
        <w:rPr>
          <w:rStyle w:val="Funotenzeichen"/>
          <w:rFonts w:ascii="Arial" w:hAnsi="Arial" w:cs="Arial"/>
        </w:rPr>
        <w:footnoteRef/>
      </w:r>
      <w:r w:rsidRPr="00A53799">
        <w:rPr>
          <w:rFonts w:ascii="Arial" w:hAnsi="Arial" w:cs="Arial"/>
        </w:rPr>
        <w:t xml:space="preserve">  </w:t>
      </w:r>
      <w:r w:rsidRPr="00A53799">
        <w:rPr>
          <w:rFonts w:ascii="Arial" w:hAnsi="Arial" w:cs="Arial"/>
        </w:rPr>
        <w:tab/>
        <w:t xml:space="preserve">Neuhoff </w:t>
      </w:r>
      <w:r w:rsidRPr="00A53799">
        <w:rPr>
          <w:rFonts w:ascii="Arial" w:hAnsi="Arial" w:cs="Arial"/>
          <w:i/>
        </w:rPr>
        <w:t>et al</w:t>
      </w:r>
      <w:r w:rsidRPr="00A53799">
        <w:rPr>
          <w:rFonts w:ascii="Arial" w:hAnsi="Arial" w:cs="Arial"/>
        </w:rPr>
        <w:t xml:space="preserve"> 31; Massey 2000: 315; Competition Commission 2002: 16.</w:t>
      </w:r>
    </w:p>
  </w:footnote>
  <w:footnote w:id="554">
    <w:p w:rsidR="005E7922" w:rsidRPr="00A53799" w:rsidRDefault="005E7922" w:rsidP="00A53799">
      <w:pPr>
        <w:pStyle w:val="Funotentext"/>
        <w:spacing w:line="240" w:lineRule="auto"/>
        <w:contextualSpacing/>
        <w:jc w:val="both"/>
        <w:rPr>
          <w:rFonts w:ascii="Arial" w:hAnsi="Arial" w:cs="Arial"/>
        </w:rPr>
      </w:pPr>
      <w:r w:rsidRPr="00A53799">
        <w:rPr>
          <w:rStyle w:val="Funotenzeichen"/>
          <w:rFonts w:ascii="Arial" w:hAnsi="Arial" w:cs="Arial"/>
        </w:rPr>
        <w:footnoteRef/>
      </w:r>
      <w:r w:rsidRPr="00A53799">
        <w:rPr>
          <w:rFonts w:ascii="Arial" w:hAnsi="Arial" w:cs="Arial"/>
        </w:rPr>
        <w:t xml:space="preserve">  </w:t>
      </w:r>
      <w:r w:rsidRPr="00A53799">
        <w:rPr>
          <w:rFonts w:ascii="Arial" w:hAnsi="Arial" w:cs="Arial"/>
        </w:rPr>
        <w:tab/>
        <w:t xml:space="preserve">Neuhoff </w:t>
      </w:r>
      <w:r w:rsidRPr="00A53799">
        <w:rPr>
          <w:rFonts w:ascii="Arial" w:hAnsi="Arial" w:cs="Arial"/>
          <w:i/>
        </w:rPr>
        <w:t>et al</w:t>
      </w:r>
      <w:r w:rsidRPr="00A53799">
        <w:rPr>
          <w:rFonts w:ascii="Arial" w:hAnsi="Arial" w:cs="Arial"/>
        </w:rPr>
        <w:t xml:space="preserve"> 2006: 31; Massey 2000: 315; Competition Commission 2002: 16.</w:t>
      </w:r>
    </w:p>
  </w:footnote>
  <w:footnote w:id="555">
    <w:p w:rsidR="005E7922" w:rsidRPr="00A53799" w:rsidRDefault="005E7922" w:rsidP="00A53799">
      <w:pPr>
        <w:pStyle w:val="Funotentext"/>
        <w:spacing w:line="240" w:lineRule="auto"/>
        <w:contextualSpacing/>
        <w:jc w:val="both"/>
        <w:rPr>
          <w:rFonts w:ascii="Arial" w:hAnsi="Arial" w:cs="Arial"/>
        </w:rPr>
      </w:pPr>
      <w:r w:rsidRPr="00A53799">
        <w:rPr>
          <w:rStyle w:val="Funotenzeichen"/>
          <w:rFonts w:ascii="Arial" w:hAnsi="Arial" w:cs="Arial"/>
        </w:rPr>
        <w:footnoteRef/>
      </w:r>
      <w:r w:rsidRPr="00A53799">
        <w:rPr>
          <w:rFonts w:ascii="Arial" w:hAnsi="Arial" w:cs="Arial"/>
        </w:rPr>
        <w:t xml:space="preserve">  </w:t>
      </w:r>
      <w:r w:rsidRPr="00A53799">
        <w:rPr>
          <w:rFonts w:ascii="Arial" w:hAnsi="Arial" w:cs="Arial"/>
        </w:rPr>
        <w:tab/>
        <w:t xml:space="preserve">Neuhoff </w:t>
      </w:r>
      <w:r w:rsidRPr="00A53799">
        <w:rPr>
          <w:rFonts w:ascii="Arial" w:hAnsi="Arial" w:cs="Arial"/>
          <w:i/>
        </w:rPr>
        <w:t>et al</w:t>
      </w:r>
      <w:r w:rsidRPr="00A53799">
        <w:rPr>
          <w:rFonts w:ascii="Arial" w:hAnsi="Arial" w:cs="Arial"/>
        </w:rPr>
        <w:t xml:space="preserve"> 2006: 31.</w:t>
      </w:r>
    </w:p>
  </w:footnote>
  <w:footnote w:id="556">
    <w:p w:rsidR="005E7922" w:rsidRPr="00A53799" w:rsidRDefault="005E7922" w:rsidP="00A53799">
      <w:pPr>
        <w:pStyle w:val="Funotentext"/>
        <w:spacing w:line="240" w:lineRule="auto"/>
        <w:contextualSpacing/>
        <w:jc w:val="both"/>
        <w:rPr>
          <w:rFonts w:ascii="Arial" w:hAnsi="Arial" w:cs="Arial"/>
        </w:rPr>
      </w:pPr>
      <w:r w:rsidRPr="00A53799">
        <w:rPr>
          <w:rStyle w:val="Funotenzeichen"/>
          <w:rFonts w:ascii="Arial" w:hAnsi="Arial" w:cs="Arial"/>
        </w:rPr>
        <w:footnoteRef/>
      </w:r>
      <w:r w:rsidRPr="00A53799">
        <w:rPr>
          <w:rFonts w:ascii="Arial" w:hAnsi="Arial" w:cs="Arial"/>
        </w:rPr>
        <w:t xml:space="preserve">  </w:t>
      </w:r>
      <w:r w:rsidRPr="00A53799">
        <w:rPr>
          <w:rFonts w:ascii="Arial" w:hAnsi="Arial" w:cs="Arial"/>
        </w:rPr>
        <w:tab/>
        <w:t xml:space="preserve">The supply chain can be defined as the causal link between participants in the production </w:t>
      </w:r>
      <w:r w:rsidRPr="00A53799">
        <w:rPr>
          <w:rFonts w:ascii="Arial" w:hAnsi="Arial" w:cs="Arial"/>
        </w:rPr>
        <w:tab/>
        <w:t xml:space="preserve">cycle of goods and services. There are four participants in the production cycle namely the </w:t>
      </w:r>
      <w:r w:rsidRPr="00A53799">
        <w:rPr>
          <w:rFonts w:ascii="Arial" w:hAnsi="Arial" w:cs="Arial"/>
        </w:rPr>
        <w:tab/>
        <w:t>manufacturers, distributors, wholesalers and retailers.</w:t>
      </w:r>
    </w:p>
  </w:footnote>
  <w:footnote w:id="557">
    <w:p w:rsidR="005E7922" w:rsidRPr="00A53799" w:rsidRDefault="005E7922" w:rsidP="00A53799">
      <w:pPr>
        <w:pStyle w:val="Funotentext"/>
        <w:spacing w:line="240" w:lineRule="auto"/>
        <w:contextualSpacing/>
        <w:jc w:val="both"/>
        <w:rPr>
          <w:rFonts w:ascii="Arial" w:hAnsi="Arial" w:cs="Arial"/>
        </w:rPr>
      </w:pPr>
      <w:r w:rsidRPr="00A53799">
        <w:rPr>
          <w:rStyle w:val="Funotenzeichen"/>
          <w:rFonts w:ascii="Arial" w:hAnsi="Arial" w:cs="Arial"/>
        </w:rPr>
        <w:footnoteRef/>
      </w:r>
      <w:r w:rsidRPr="00A53799">
        <w:rPr>
          <w:rFonts w:ascii="Arial" w:hAnsi="Arial" w:cs="Arial"/>
        </w:rPr>
        <w:t xml:space="preserve">  </w:t>
      </w:r>
      <w:r w:rsidRPr="00A53799">
        <w:rPr>
          <w:rFonts w:ascii="Arial" w:hAnsi="Arial" w:cs="Arial"/>
        </w:rPr>
        <w:tab/>
        <w:t xml:space="preserve">Competition Commission 2002: 19; Neuhoff </w:t>
      </w:r>
      <w:r w:rsidRPr="00A53799">
        <w:rPr>
          <w:rFonts w:ascii="Arial" w:hAnsi="Arial" w:cs="Arial"/>
          <w:i/>
        </w:rPr>
        <w:t xml:space="preserve">et al </w:t>
      </w:r>
      <w:r w:rsidRPr="00A53799">
        <w:rPr>
          <w:rFonts w:ascii="Arial" w:hAnsi="Arial" w:cs="Arial"/>
        </w:rPr>
        <w:t>2006</w:t>
      </w:r>
      <w:r w:rsidRPr="00A53799">
        <w:rPr>
          <w:rFonts w:ascii="Arial" w:hAnsi="Arial" w:cs="Arial"/>
          <w:i/>
        </w:rPr>
        <w:t>:</w:t>
      </w:r>
      <w:r w:rsidRPr="00A53799">
        <w:rPr>
          <w:rFonts w:ascii="Arial" w:hAnsi="Arial" w:cs="Arial"/>
        </w:rPr>
        <w:t xml:space="preserve"> 31.</w:t>
      </w:r>
    </w:p>
  </w:footnote>
  <w:footnote w:id="558">
    <w:p w:rsidR="005E7922" w:rsidRPr="00A53799" w:rsidRDefault="005E7922" w:rsidP="00A53799">
      <w:pPr>
        <w:pStyle w:val="Funotentext"/>
        <w:spacing w:line="240" w:lineRule="auto"/>
        <w:contextualSpacing/>
        <w:jc w:val="both"/>
        <w:rPr>
          <w:rFonts w:ascii="Arial" w:hAnsi="Arial" w:cs="Arial"/>
        </w:rPr>
      </w:pPr>
      <w:r w:rsidRPr="00A53799">
        <w:rPr>
          <w:rStyle w:val="Funotenzeichen"/>
          <w:rFonts w:ascii="Arial" w:hAnsi="Arial" w:cs="Arial"/>
        </w:rPr>
        <w:footnoteRef/>
      </w:r>
      <w:r w:rsidRPr="00A53799">
        <w:rPr>
          <w:rFonts w:ascii="Arial" w:hAnsi="Arial" w:cs="Arial"/>
        </w:rPr>
        <w:t xml:space="preserve"> </w:t>
      </w:r>
      <w:r w:rsidRPr="00A53799">
        <w:rPr>
          <w:rFonts w:ascii="Arial" w:hAnsi="Arial" w:cs="Arial"/>
        </w:rPr>
        <w:tab/>
        <w:t xml:space="preserve">Competition Commission 2002: 19; Neuhoff </w:t>
      </w:r>
      <w:r w:rsidRPr="00A53799">
        <w:rPr>
          <w:rFonts w:ascii="Arial" w:hAnsi="Arial" w:cs="Arial"/>
          <w:i/>
        </w:rPr>
        <w:t>et al</w:t>
      </w:r>
      <w:r w:rsidRPr="00A53799">
        <w:rPr>
          <w:rFonts w:ascii="Arial" w:hAnsi="Arial" w:cs="Arial"/>
        </w:rPr>
        <w:t xml:space="preserve"> 2006: 31.</w:t>
      </w:r>
    </w:p>
  </w:footnote>
  <w:footnote w:id="559">
    <w:p w:rsidR="005E7922" w:rsidRPr="00A53799" w:rsidRDefault="005E7922" w:rsidP="00A53799">
      <w:pPr>
        <w:pStyle w:val="Funotentext"/>
        <w:spacing w:line="240" w:lineRule="auto"/>
        <w:contextualSpacing/>
        <w:jc w:val="both"/>
        <w:rPr>
          <w:rFonts w:ascii="Arial" w:hAnsi="Arial" w:cs="Arial"/>
        </w:rPr>
      </w:pPr>
      <w:r w:rsidRPr="00A53799">
        <w:rPr>
          <w:rStyle w:val="Funotenzeichen"/>
          <w:rFonts w:ascii="Arial" w:hAnsi="Arial" w:cs="Arial"/>
        </w:rPr>
        <w:footnoteRef/>
      </w:r>
      <w:r w:rsidRPr="00A53799">
        <w:rPr>
          <w:rFonts w:ascii="Arial" w:hAnsi="Arial" w:cs="Arial"/>
        </w:rPr>
        <w:t xml:space="preserve"> </w:t>
      </w:r>
      <w:r w:rsidRPr="00A53799">
        <w:rPr>
          <w:rFonts w:ascii="Arial" w:hAnsi="Arial" w:cs="Arial"/>
        </w:rPr>
        <w:tab/>
        <w:t xml:space="preserve">Competition Commission 2002: 19; Neuhoff </w:t>
      </w:r>
      <w:r w:rsidRPr="00A53799">
        <w:rPr>
          <w:rFonts w:ascii="Arial" w:hAnsi="Arial" w:cs="Arial"/>
          <w:i/>
        </w:rPr>
        <w:t>et al</w:t>
      </w:r>
      <w:r w:rsidRPr="00A53799">
        <w:rPr>
          <w:rFonts w:ascii="Arial" w:hAnsi="Arial" w:cs="Arial"/>
        </w:rPr>
        <w:t xml:space="preserve"> 2006: 97. Also see National Association of </w:t>
      </w:r>
      <w:r w:rsidRPr="00A53799">
        <w:rPr>
          <w:rFonts w:ascii="Arial" w:hAnsi="Arial" w:cs="Arial"/>
        </w:rPr>
        <w:tab/>
        <w:t xml:space="preserve">Pharmaceutical Wholesalers and Others v Glaxo Welcome (Pty) Ltd and Others case </w:t>
      </w:r>
      <w:r w:rsidRPr="00A53799">
        <w:rPr>
          <w:rFonts w:ascii="Arial" w:hAnsi="Arial" w:cs="Arial"/>
        </w:rPr>
        <w:tab/>
        <w:t>45/CR/Jul01.</w:t>
      </w:r>
    </w:p>
  </w:footnote>
  <w:footnote w:id="560">
    <w:p w:rsidR="005E7922" w:rsidRPr="00A53799" w:rsidRDefault="005E7922" w:rsidP="00A53799">
      <w:pPr>
        <w:pStyle w:val="Funotentext"/>
        <w:spacing w:line="240" w:lineRule="auto"/>
        <w:contextualSpacing/>
        <w:jc w:val="both"/>
        <w:rPr>
          <w:rFonts w:ascii="Arial" w:hAnsi="Arial" w:cs="Arial"/>
        </w:rPr>
      </w:pPr>
      <w:r w:rsidRPr="00A53799">
        <w:rPr>
          <w:rStyle w:val="Funotenzeichen"/>
          <w:rFonts w:ascii="Arial" w:hAnsi="Arial" w:cs="Arial"/>
        </w:rPr>
        <w:footnoteRef/>
      </w:r>
      <w:r w:rsidRPr="00A53799">
        <w:rPr>
          <w:rFonts w:ascii="Arial" w:hAnsi="Arial" w:cs="Arial"/>
        </w:rPr>
        <w:t xml:space="preserve">  </w:t>
      </w:r>
      <w:r w:rsidRPr="00A53799">
        <w:rPr>
          <w:rFonts w:ascii="Arial" w:hAnsi="Arial" w:cs="Arial"/>
        </w:rPr>
        <w:tab/>
        <w:t xml:space="preserve">Competition Commission 2002: 19; Neuhoff </w:t>
      </w:r>
      <w:r w:rsidRPr="00A53799">
        <w:rPr>
          <w:rFonts w:ascii="Arial" w:hAnsi="Arial" w:cs="Arial"/>
          <w:i/>
        </w:rPr>
        <w:t>et al</w:t>
      </w:r>
      <w:r w:rsidRPr="00A53799">
        <w:rPr>
          <w:rFonts w:ascii="Arial" w:hAnsi="Arial" w:cs="Arial"/>
        </w:rPr>
        <w:t xml:space="preserve"> 2006: 97. Also see National Association of </w:t>
      </w:r>
      <w:r w:rsidRPr="00A53799">
        <w:rPr>
          <w:rFonts w:ascii="Arial" w:hAnsi="Arial" w:cs="Arial"/>
        </w:rPr>
        <w:tab/>
        <w:t xml:space="preserve">Pharmaceutical Wholesalers and Others v Glaxo Welcome (Pty) Ltd and Others case </w:t>
      </w:r>
      <w:r w:rsidRPr="00A53799">
        <w:rPr>
          <w:rFonts w:ascii="Arial" w:hAnsi="Arial" w:cs="Arial"/>
        </w:rPr>
        <w:tab/>
        <w:t>45/CR/Jul01.</w:t>
      </w:r>
    </w:p>
  </w:footnote>
  <w:footnote w:id="561">
    <w:p w:rsidR="005E7922" w:rsidRPr="009D787F" w:rsidRDefault="005E7922" w:rsidP="00A53799">
      <w:pPr>
        <w:pStyle w:val="Funotentext"/>
        <w:spacing w:line="240" w:lineRule="auto"/>
        <w:contextualSpacing/>
        <w:jc w:val="both"/>
      </w:pPr>
      <w:r w:rsidRPr="009D787F">
        <w:rPr>
          <w:rStyle w:val="Funotenzeichen"/>
          <w:rFonts w:ascii="Arial" w:hAnsi="Arial" w:cs="Arial"/>
        </w:rPr>
        <w:footnoteRef/>
      </w:r>
      <w:r w:rsidRPr="009D787F">
        <w:rPr>
          <w:rFonts w:ascii="Arial" w:hAnsi="Arial" w:cs="Arial"/>
        </w:rPr>
        <w:t xml:space="preserve">  </w:t>
      </w:r>
      <w:r>
        <w:rPr>
          <w:rFonts w:ascii="Arial" w:hAnsi="Arial" w:cs="Arial"/>
        </w:rPr>
        <w:tab/>
      </w:r>
      <w:r w:rsidRPr="009D787F">
        <w:rPr>
          <w:rFonts w:ascii="Arial" w:hAnsi="Arial" w:cs="Arial"/>
        </w:rPr>
        <w:t xml:space="preserve">Competition Commission 2002: 19; Neuhoff </w:t>
      </w:r>
      <w:r w:rsidRPr="00567D9C">
        <w:rPr>
          <w:rFonts w:ascii="Arial" w:hAnsi="Arial" w:cs="Arial"/>
          <w:i/>
        </w:rPr>
        <w:t xml:space="preserve">et al </w:t>
      </w:r>
      <w:r>
        <w:rPr>
          <w:rFonts w:ascii="Arial" w:hAnsi="Arial" w:cs="Arial"/>
          <w:i/>
        </w:rPr>
        <w:t>2006:</w:t>
      </w:r>
      <w:r w:rsidRPr="009D787F">
        <w:rPr>
          <w:rFonts w:ascii="Arial" w:hAnsi="Arial" w:cs="Arial"/>
        </w:rPr>
        <w:t xml:space="preserve"> 97. Also see National Association of </w:t>
      </w:r>
      <w:r>
        <w:rPr>
          <w:rFonts w:ascii="Arial" w:hAnsi="Arial" w:cs="Arial"/>
        </w:rPr>
        <w:tab/>
      </w:r>
      <w:r w:rsidRPr="009D787F">
        <w:rPr>
          <w:rFonts w:ascii="Arial" w:hAnsi="Arial" w:cs="Arial"/>
        </w:rPr>
        <w:t xml:space="preserve">Pharmaceutical Wholesalers and Others v Glaxo Welcome (Pty) Ltd and Others case </w:t>
      </w:r>
      <w:r>
        <w:rPr>
          <w:rFonts w:ascii="Arial" w:hAnsi="Arial" w:cs="Arial"/>
        </w:rPr>
        <w:tab/>
      </w:r>
      <w:r w:rsidRPr="009D787F">
        <w:rPr>
          <w:rFonts w:ascii="Arial" w:hAnsi="Arial" w:cs="Arial"/>
        </w:rPr>
        <w:t>45/CR/Jul01.</w:t>
      </w:r>
    </w:p>
  </w:footnote>
  <w:footnote w:id="562">
    <w:p w:rsidR="005E7922" w:rsidRPr="00811AEB" w:rsidRDefault="005E7922" w:rsidP="00A53799">
      <w:pPr>
        <w:pStyle w:val="Funotentext"/>
        <w:spacing w:line="240" w:lineRule="auto"/>
        <w:contextualSpacing/>
        <w:jc w:val="both"/>
        <w:rPr>
          <w:rFonts w:ascii="Arial" w:hAnsi="Arial" w:cs="Arial"/>
        </w:rPr>
      </w:pPr>
      <w:r w:rsidRPr="00811AEB">
        <w:rPr>
          <w:rStyle w:val="Funotenzeichen"/>
          <w:rFonts w:ascii="Arial" w:hAnsi="Arial" w:cs="Arial"/>
        </w:rPr>
        <w:footnoteRef/>
      </w:r>
      <w:r w:rsidRPr="00811AEB">
        <w:rPr>
          <w:rFonts w:ascii="Arial" w:hAnsi="Arial" w:cs="Arial"/>
        </w:rPr>
        <w:t xml:space="preserve">  </w:t>
      </w:r>
      <w:r w:rsidRPr="00811AEB">
        <w:rPr>
          <w:rFonts w:ascii="Arial" w:hAnsi="Arial" w:cs="Arial"/>
        </w:rPr>
        <w:tab/>
        <w:t xml:space="preserve">Competition Commission 2002: 18; Neuhoff </w:t>
      </w:r>
      <w:r w:rsidRPr="00811AEB">
        <w:rPr>
          <w:rFonts w:ascii="Arial" w:hAnsi="Arial" w:cs="Arial"/>
          <w:i/>
        </w:rPr>
        <w:t>et al</w:t>
      </w:r>
      <w:r w:rsidRPr="00811AEB">
        <w:rPr>
          <w:rFonts w:ascii="Arial" w:hAnsi="Arial" w:cs="Arial"/>
        </w:rPr>
        <w:t xml:space="preserve"> 2006: 31.</w:t>
      </w:r>
    </w:p>
  </w:footnote>
  <w:footnote w:id="563">
    <w:p w:rsidR="005E7922" w:rsidRPr="00811AEB" w:rsidRDefault="005E7922" w:rsidP="00A53799">
      <w:pPr>
        <w:pStyle w:val="Funotentext"/>
        <w:spacing w:line="240" w:lineRule="auto"/>
        <w:contextualSpacing/>
        <w:jc w:val="both"/>
        <w:rPr>
          <w:rFonts w:ascii="Arial" w:hAnsi="Arial" w:cs="Arial"/>
        </w:rPr>
      </w:pPr>
      <w:r w:rsidRPr="00811AEB">
        <w:rPr>
          <w:rStyle w:val="Funotenzeichen"/>
          <w:rFonts w:ascii="Arial" w:hAnsi="Arial" w:cs="Arial"/>
        </w:rPr>
        <w:footnoteRef/>
      </w:r>
      <w:r w:rsidRPr="00811AEB">
        <w:rPr>
          <w:rFonts w:ascii="Arial" w:hAnsi="Arial" w:cs="Arial"/>
        </w:rPr>
        <w:t xml:space="preserve">  </w:t>
      </w:r>
      <w:r w:rsidRPr="00811AEB">
        <w:rPr>
          <w:rFonts w:ascii="Arial" w:hAnsi="Arial" w:cs="Arial"/>
        </w:rPr>
        <w:tab/>
        <w:t xml:space="preserve">Competition Commission 2002: 18; Neuhoff </w:t>
      </w:r>
      <w:r w:rsidRPr="00811AEB">
        <w:rPr>
          <w:rFonts w:ascii="Arial" w:hAnsi="Arial" w:cs="Arial"/>
          <w:i/>
        </w:rPr>
        <w:t>et al</w:t>
      </w:r>
      <w:r w:rsidRPr="00811AEB">
        <w:rPr>
          <w:rFonts w:ascii="Arial" w:hAnsi="Arial" w:cs="Arial"/>
        </w:rPr>
        <w:t xml:space="preserve"> 2006: 31.</w:t>
      </w:r>
    </w:p>
  </w:footnote>
  <w:footnote w:id="564">
    <w:p w:rsidR="005E7922" w:rsidRPr="00811AEB" w:rsidRDefault="005E7922" w:rsidP="00A53799">
      <w:pPr>
        <w:pStyle w:val="Funotentext"/>
        <w:spacing w:line="240" w:lineRule="auto"/>
        <w:contextualSpacing/>
        <w:jc w:val="both"/>
        <w:rPr>
          <w:rFonts w:ascii="Arial" w:hAnsi="Arial" w:cs="Arial"/>
        </w:rPr>
      </w:pPr>
      <w:r w:rsidRPr="00811AEB">
        <w:rPr>
          <w:rStyle w:val="Funotenzeichen"/>
          <w:rFonts w:ascii="Arial" w:hAnsi="Arial" w:cs="Arial"/>
        </w:rPr>
        <w:footnoteRef/>
      </w:r>
      <w:r w:rsidRPr="00811AEB">
        <w:rPr>
          <w:rFonts w:ascii="Arial" w:hAnsi="Arial" w:cs="Arial"/>
        </w:rPr>
        <w:t xml:space="preserve">  </w:t>
      </w:r>
      <w:r w:rsidRPr="00811AEB">
        <w:rPr>
          <w:rFonts w:ascii="Arial" w:hAnsi="Arial" w:cs="Arial"/>
        </w:rPr>
        <w:tab/>
        <w:t>Competition Commission 2002: 18.</w:t>
      </w:r>
    </w:p>
  </w:footnote>
  <w:footnote w:id="565">
    <w:p w:rsidR="005E7922" w:rsidRPr="00811AEB" w:rsidRDefault="005E7922" w:rsidP="00A53799">
      <w:pPr>
        <w:pStyle w:val="Funotentext"/>
        <w:spacing w:line="240" w:lineRule="auto"/>
        <w:contextualSpacing/>
        <w:jc w:val="both"/>
        <w:rPr>
          <w:rFonts w:ascii="Arial" w:hAnsi="Arial" w:cs="Arial"/>
        </w:rPr>
      </w:pPr>
      <w:r w:rsidRPr="00811AEB">
        <w:rPr>
          <w:rStyle w:val="Funotenzeichen"/>
          <w:rFonts w:ascii="Arial" w:hAnsi="Arial" w:cs="Arial"/>
        </w:rPr>
        <w:footnoteRef/>
      </w:r>
      <w:r w:rsidRPr="00811AEB">
        <w:rPr>
          <w:rFonts w:ascii="Arial" w:hAnsi="Arial" w:cs="Arial"/>
        </w:rPr>
        <w:t xml:space="preserve">  </w:t>
      </w:r>
      <w:r w:rsidRPr="00811AEB">
        <w:rPr>
          <w:rFonts w:ascii="Arial" w:hAnsi="Arial" w:cs="Arial"/>
        </w:rPr>
        <w:tab/>
        <w:t xml:space="preserve">Neuhoff </w:t>
      </w:r>
      <w:r w:rsidRPr="00811AEB">
        <w:rPr>
          <w:rFonts w:ascii="Arial" w:hAnsi="Arial" w:cs="Arial"/>
          <w:i/>
        </w:rPr>
        <w:t>et al</w:t>
      </w:r>
      <w:r w:rsidRPr="00811AEB">
        <w:rPr>
          <w:rFonts w:ascii="Arial" w:hAnsi="Arial" w:cs="Arial"/>
        </w:rPr>
        <w:t xml:space="preserve"> 2006: 31.</w:t>
      </w:r>
    </w:p>
  </w:footnote>
  <w:footnote w:id="566">
    <w:p w:rsidR="005E7922" w:rsidRPr="00811AEB" w:rsidRDefault="005E7922" w:rsidP="00A53799">
      <w:pPr>
        <w:pStyle w:val="Funotentext"/>
        <w:spacing w:line="240" w:lineRule="auto"/>
        <w:contextualSpacing/>
        <w:jc w:val="both"/>
        <w:rPr>
          <w:rFonts w:ascii="Arial" w:hAnsi="Arial" w:cs="Arial"/>
        </w:rPr>
      </w:pPr>
      <w:r w:rsidRPr="00811AEB">
        <w:rPr>
          <w:rStyle w:val="Funotenzeichen"/>
          <w:rFonts w:ascii="Arial" w:hAnsi="Arial" w:cs="Arial"/>
        </w:rPr>
        <w:footnoteRef/>
      </w:r>
      <w:r w:rsidRPr="00811AEB">
        <w:rPr>
          <w:rFonts w:ascii="Arial" w:hAnsi="Arial" w:cs="Arial"/>
        </w:rPr>
        <w:t xml:space="preserve"> </w:t>
      </w:r>
      <w:r w:rsidRPr="00811AEB">
        <w:rPr>
          <w:rFonts w:ascii="Arial" w:hAnsi="Arial" w:cs="Arial"/>
        </w:rPr>
        <w:tab/>
        <w:t>89/1998.</w:t>
      </w:r>
    </w:p>
  </w:footnote>
  <w:footnote w:id="567">
    <w:p w:rsidR="005E7922" w:rsidRPr="00811AEB" w:rsidRDefault="005E7922" w:rsidP="00A53799">
      <w:pPr>
        <w:pStyle w:val="Funotentext"/>
        <w:spacing w:line="240" w:lineRule="auto"/>
        <w:contextualSpacing/>
        <w:jc w:val="both"/>
        <w:rPr>
          <w:rFonts w:ascii="Arial" w:hAnsi="Arial" w:cs="Arial"/>
        </w:rPr>
      </w:pPr>
      <w:r w:rsidRPr="00811AEB">
        <w:rPr>
          <w:rStyle w:val="Funotenzeichen"/>
          <w:rFonts w:ascii="Arial" w:hAnsi="Arial" w:cs="Arial"/>
        </w:rPr>
        <w:footnoteRef/>
      </w:r>
      <w:r w:rsidRPr="00811AEB">
        <w:rPr>
          <w:rFonts w:ascii="Arial" w:hAnsi="Arial" w:cs="Arial"/>
        </w:rPr>
        <w:t xml:space="preserve">  </w:t>
      </w:r>
      <w:r w:rsidRPr="00811AEB">
        <w:rPr>
          <w:rFonts w:ascii="Arial" w:hAnsi="Arial" w:cs="Arial"/>
        </w:rPr>
        <w:tab/>
        <w:t>Co</w:t>
      </w:r>
      <w:r>
        <w:rPr>
          <w:rFonts w:ascii="Arial" w:hAnsi="Arial" w:cs="Arial"/>
        </w:rPr>
        <w:t>mpetition Act 89/1998: section 1</w:t>
      </w:r>
      <w:r w:rsidRPr="00811AEB">
        <w:rPr>
          <w:rFonts w:ascii="Arial" w:hAnsi="Arial" w:cs="Arial"/>
        </w:rPr>
        <w:t>.</w:t>
      </w:r>
    </w:p>
  </w:footnote>
  <w:footnote w:id="568">
    <w:p w:rsidR="005E7922" w:rsidRPr="00811AEB" w:rsidRDefault="005E7922" w:rsidP="00A53799">
      <w:pPr>
        <w:pStyle w:val="Funotentext"/>
        <w:spacing w:line="240" w:lineRule="auto"/>
        <w:contextualSpacing/>
        <w:jc w:val="both"/>
        <w:rPr>
          <w:rFonts w:ascii="Arial" w:hAnsi="Arial" w:cs="Arial"/>
        </w:rPr>
      </w:pPr>
      <w:r w:rsidRPr="00811AEB">
        <w:rPr>
          <w:rStyle w:val="Funotenzeichen"/>
          <w:rFonts w:ascii="Arial" w:hAnsi="Arial" w:cs="Arial"/>
        </w:rPr>
        <w:footnoteRef/>
      </w:r>
      <w:r w:rsidRPr="00811AEB">
        <w:rPr>
          <w:rFonts w:ascii="Arial" w:hAnsi="Arial" w:cs="Arial"/>
        </w:rPr>
        <w:t xml:space="preserve">  </w:t>
      </w:r>
      <w:r w:rsidRPr="00811AEB">
        <w:rPr>
          <w:rFonts w:ascii="Arial" w:hAnsi="Arial" w:cs="Arial"/>
        </w:rPr>
        <w:tab/>
        <w:t>Refer to section 2.5.1</w:t>
      </w:r>
      <w:r>
        <w:rPr>
          <w:rFonts w:ascii="Arial" w:hAnsi="Arial" w:cs="Arial"/>
        </w:rPr>
        <w:t xml:space="preserve"> of this paper</w:t>
      </w:r>
      <w:r w:rsidRPr="00811AEB">
        <w:rPr>
          <w:rFonts w:ascii="Arial" w:hAnsi="Arial" w:cs="Arial"/>
        </w:rPr>
        <w:t>.</w:t>
      </w:r>
    </w:p>
  </w:footnote>
  <w:footnote w:id="569">
    <w:p w:rsidR="005E7922" w:rsidRPr="00811AEB" w:rsidRDefault="005E7922" w:rsidP="00A53799">
      <w:pPr>
        <w:pStyle w:val="Funotentext"/>
        <w:spacing w:line="240" w:lineRule="auto"/>
        <w:contextualSpacing/>
        <w:jc w:val="both"/>
        <w:rPr>
          <w:rFonts w:ascii="Arial" w:hAnsi="Arial" w:cs="Arial"/>
        </w:rPr>
      </w:pPr>
      <w:r w:rsidRPr="00811AEB">
        <w:rPr>
          <w:rStyle w:val="Funotenzeichen"/>
          <w:rFonts w:ascii="Arial" w:hAnsi="Arial" w:cs="Arial"/>
        </w:rPr>
        <w:footnoteRef/>
      </w:r>
      <w:r w:rsidRPr="00811AEB">
        <w:rPr>
          <w:rFonts w:ascii="Arial" w:hAnsi="Arial" w:cs="Arial"/>
        </w:rPr>
        <w:t xml:space="preserve">  </w:t>
      </w:r>
      <w:r w:rsidRPr="00811AEB">
        <w:rPr>
          <w:rFonts w:ascii="Arial" w:hAnsi="Arial" w:cs="Arial"/>
        </w:rPr>
        <w:tab/>
        <w:t>Refer to section 2.5.2</w:t>
      </w:r>
      <w:r>
        <w:rPr>
          <w:rFonts w:ascii="Arial" w:hAnsi="Arial" w:cs="Arial"/>
        </w:rPr>
        <w:t xml:space="preserve"> of this paper</w:t>
      </w:r>
      <w:r w:rsidRPr="00811AEB">
        <w:rPr>
          <w:rFonts w:ascii="Arial" w:hAnsi="Arial" w:cs="Arial"/>
        </w:rPr>
        <w:t>.</w:t>
      </w:r>
    </w:p>
  </w:footnote>
  <w:footnote w:id="570">
    <w:p w:rsidR="005E7922" w:rsidRPr="00811AEB" w:rsidRDefault="005E7922" w:rsidP="00156E3F">
      <w:pPr>
        <w:pStyle w:val="Funotentext"/>
        <w:spacing w:line="240" w:lineRule="auto"/>
        <w:contextualSpacing/>
        <w:jc w:val="both"/>
        <w:rPr>
          <w:rFonts w:ascii="Arial" w:hAnsi="Arial" w:cs="Arial"/>
        </w:rPr>
      </w:pPr>
      <w:r w:rsidRPr="00811AEB">
        <w:rPr>
          <w:rStyle w:val="Funotenzeichen"/>
          <w:rFonts w:ascii="Arial" w:hAnsi="Arial" w:cs="Arial"/>
        </w:rPr>
        <w:footnoteRef/>
      </w:r>
      <w:r w:rsidRPr="00811AEB">
        <w:rPr>
          <w:rFonts w:ascii="Arial" w:hAnsi="Arial" w:cs="Arial"/>
        </w:rPr>
        <w:t xml:space="preserve">  </w:t>
      </w:r>
      <w:r w:rsidRPr="00811AEB">
        <w:rPr>
          <w:rFonts w:ascii="Arial" w:hAnsi="Arial" w:cs="Arial"/>
        </w:rPr>
        <w:tab/>
        <w:t>Refer to section 2.5.2</w:t>
      </w:r>
      <w:r>
        <w:rPr>
          <w:rFonts w:ascii="Arial" w:hAnsi="Arial" w:cs="Arial"/>
        </w:rPr>
        <w:t xml:space="preserve"> of this paper</w:t>
      </w:r>
      <w:r w:rsidRPr="00811AEB">
        <w:rPr>
          <w:rFonts w:ascii="Arial" w:hAnsi="Arial" w:cs="Arial"/>
        </w:rPr>
        <w:t>.</w:t>
      </w:r>
    </w:p>
  </w:footnote>
  <w:footnote w:id="571">
    <w:p w:rsidR="005E7922" w:rsidRPr="00AD112C" w:rsidRDefault="005E7922" w:rsidP="00156E3F">
      <w:pPr>
        <w:pStyle w:val="Funotentext"/>
        <w:spacing w:line="240" w:lineRule="auto"/>
        <w:contextualSpacing/>
        <w:jc w:val="both"/>
        <w:rPr>
          <w:rFonts w:ascii="Arial" w:hAnsi="Arial" w:cs="Arial"/>
        </w:rPr>
      </w:pPr>
      <w:r w:rsidRPr="00AD112C">
        <w:rPr>
          <w:rStyle w:val="Funotenzeichen"/>
          <w:rFonts w:ascii="Arial" w:hAnsi="Arial" w:cs="Arial"/>
        </w:rPr>
        <w:footnoteRef/>
      </w:r>
      <w:r w:rsidRPr="00AD112C">
        <w:rPr>
          <w:rFonts w:ascii="Arial" w:hAnsi="Arial" w:cs="Arial"/>
        </w:rPr>
        <w:t xml:space="preserve">  </w:t>
      </w:r>
      <w:r>
        <w:rPr>
          <w:rFonts w:ascii="Arial" w:hAnsi="Arial" w:cs="Arial"/>
        </w:rPr>
        <w:tab/>
      </w:r>
      <w:r w:rsidRPr="00AD112C">
        <w:rPr>
          <w:rFonts w:ascii="Arial" w:hAnsi="Arial" w:cs="Arial"/>
        </w:rPr>
        <w:t xml:space="preserve">Filistrucchi 2008: 2; Ridyard </w:t>
      </w:r>
      <w:r w:rsidRPr="00AD112C">
        <w:rPr>
          <w:rFonts w:ascii="Arial" w:hAnsi="Arial" w:cs="Arial"/>
          <w:i/>
        </w:rPr>
        <w:t>et al</w:t>
      </w:r>
      <w:r w:rsidRPr="00AD112C">
        <w:rPr>
          <w:rFonts w:ascii="Arial" w:hAnsi="Arial" w:cs="Arial"/>
        </w:rPr>
        <w:t xml:space="preserve"> 2003: 1.</w:t>
      </w:r>
    </w:p>
  </w:footnote>
  <w:footnote w:id="572">
    <w:p w:rsidR="005E7922" w:rsidRPr="007F066F" w:rsidRDefault="005E7922" w:rsidP="00156E3F">
      <w:pPr>
        <w:pStyle w:val="Funotentext"/>
        <w:spacing w:line="240" w:lineRule="auto"/>
        <w:contextualSpacing/>
        <w:jc w:val="both"/>
        <w:rPr>
          <w:rFonts w:ascii="Arial" w:hAnsi="Arial" w:cs="Arial"/>
        </w:rPr>
      </w:pPr>
      <w:r w:rsidRPr="007F066F">
        <w:rPr>
          <w:rStyle w:val="Funotenzeichen"/>
          <w:rFonts w:ascii="Arial" w:hAnsi="Arial" w:cs="Arial"/>
        </w:rPr>
        <w:footnoteRef/>
      </w:r>
      <w:r w:rsidRPr="007F066F">
        <w:rPr>
          <w:rFonts w:ascii="Arial" w:hAnsi="Arial" w:cs="Arial"/>
        </w:rPr>
        <w:t xml:space="preserve">  </w:t>
      </w:r>
      <w:r w:rsidRPr="007F066F">
        <w:rPr>
          <w:rFonts w:ascii="Arial" w:hAnsi="Arial" w:cs="Arial"/>
        </w:rPr>
        <w:tab/>
        <w:t xml:space="preserve">Filistrucchi 2008: 2; Ridyard </w:t>
      </w:r>
      <w:r w:rsidRPr="007F066F">
        <w:rPr>
          <w:rFonts w:ascii="Arial" w:hAnsi="Arial" w:cs="Arial"/>
          <w:i/>
        </w:rPr>
        <w:t>et al</w:t>
      </w:r>
      <w:r w:rsidRPr="007F066F">
        <w:rPr>
          <w:rFonts w:ascii="Arial" w:hAnsi="Arial" w:cs="Arial"/>
        </w:rPr>
        <w:t xml:space="preserve"> 2003: 1.</w:t>
      </w:r>
    </w:p>
  </w:footnote>
  <w:footnote w:id="573">
    <w:p w:rsidR="005E7922" w:rsidRPr="007F066F" w:rsidRDefault="005E7922" w:rsidP="00156E3F">
      <w:pPr>
        <w:pStyle w:val="Funotentext"/>
        <w:spacing w:line="240" w:lineRule="auto"/>
        <w:contextualSpacing/>
        <w:jc w:val="both"/>
        <w:rPr>
          <w:rFonts w:ascii="Arial" w:hAnsi="Arial" w:cs="Arial"/>
        </w:rPr>
      </w:pPr>
      <w:r w:rsidRPr="007F066F">
        <w:rPr>
          <w:rStyle w:val="Funotenzeichen"/>
          <w:rFonts w:ascii="Arial" w:hAnsi="Arial" w:cs="Arial"/>
        </w:rPr>
        <w:footnoteRef/>
      </w:r>
      <w:r w:rsidRPr="007F066F">
        <w:rPr>
          <w:rFonts w:ascii="Arial" w:hAnsi="Arial" w:cs="Arial"/>
        </w:rPr>
        <w:t xml:space="preserve">  </w:t>
      </w:r>
      <w:r w:rsidRPr="007F066F">
        <w:rPr>
          <w:rFonts w:ascii="Arial" w:hAnsi="Arial" w:cs="Arial"/>
        </w:rPr>
        <w:tab/>
        <w:t xml:space="preserve">Filistrucchi 2008: 2; Ridyard </w:t>
      </w:r>
      <w:r w:rsidRPr="007F066F">
        <w:rPr>
          <w:rFonts w:ascii="Arial" w:hAnsi="Arial" w:cs="Arial"/>
          <w:i/>
        </w:rPr>
        <w:t>et al</w:t>
      </w:r>
      <w:r w:rsidRPr="007F066F">
        <w:rPr>
          <w:rFonts w:ascii="Arial" w:hAnsi="Arial" w:cs="Arial"/>
        </w:rPr>
        <w:t xml:space="preserve"> 2003: 1.</w:t>
      </w:r>
    </w:p>
  </w:footnote>
  <w:footnote w:id="574">
    <w:p w:rsidR="005E7922" w:rsidRPr="007F066F" w:rsidRDefault="005E7922" w:rsidP="00156E3F">
      <w:pPr>
        <w:pStyle w:val="Funotentext"/>
        <w:spacing w:line="240" w:lineRule="auto"/>
        <w:contextualSpacing/>
        <w:jc w:val="both"/>
        <w:rPr>
          <w:rFonts w:ascii="Arial" w:hAnsi="Arial" w:cs="Arial"/>
        </w:rPr>
      </w:pPr>
      <w:r w:rsidRPr="007F066F">
        <w:rPr>
          <w:rStyle w:val="Funotenzeichen"/>
          <w:rFonts w:ascii="Arial" w:hAnsi="Arial" w:cs="Arial"/>
        </w:rPr>
        <w:footnoteRef/>
      </w:r>
      <w:r w:rsidRPr="007F066F">
        <w:rPr>
          <w:rFonts w:ascii="Arial" w:hAnsi="Arial" w:cs="Arial"/>
        </w:rPr>
        <w:t xml:space="preserve">  </w:t>
      </w:r>
      <w:r w:rsidRPr="007F066F">
        <w:rPr>
          <w:rFonts w:ascii="Arial" w:hAnsi="Arial" w:cs="Arial"/>
        </w:rPr>
        <w:tab/>
        <w:t xml:space="preserve">Filistrucchi 2008: 2; Ridyard </w:t>
      </w:r>
      <w:r w:rsidRPr="007F066F">
        <w:rPr>
          <w:rFonts w:ascii="Arial" w:hAnsi="Arial" w:cs="Arial"/>
          <w:i/>
        </w:rPr>
        <w:t>et al</w:t>
      </w:r>
      <w:r w:rsidRPr="007F066F">
        <w:rPr>
          <w:rFonts w:ascii="Arial" w:hAnsi="Arial" w:cs="Arial"/>
        </w:rPr>
        <w:t xml:space="preserve"> 2003: 1.</w:t>
      </w:r>
    </w:p>
  </w:footnote>
  <w:footnote w:id="575">
    <w:p w:rsidR="005E7922" w:rsidRPr="007F066F" w:rsidRDefault="005E7922" w:rsidP="00156E3F">
      <w:pPr>
        <w:pStyle w:val="Funotentext"/>
        <w:spacing w:line="240" w:lineRule="auto"/>
        <w:contextualSpacing/>
        <w:jc w:val="both"/>
        <w:rPr>
          <w:rFonts w:ascii="Arial" w:hAnsi="Arial" w:cs="Arial"/>
        </w:rPr>
      </w:pPr>
      <w:r w:rsidRPr="007F066F">
        <w:rPr>
          <w:rStyle w:val="Funotenzeichen"/>
          <w:rFonts w:ascii="Arial" w:hAnsi="Arial" w:cs="Arial"/>
        </w:rPr>
        <w:footnoteRef/>
      </w:r>
      <w:r w:rsidRPr="007F066F">
        <w:rPr>
          <w:rFonts w:ascii="Arial" w:hAnsi="Arial" w:cs="Arial"/>
        </w:rPr>
        <w:t xml:space="preserve">  </w:t>
      </w:r>
      <w:r w:rsidRPr="007F066F">
        <w:rPr>
          <w:rFonts w:ascii="Arial" w:hAnsi="Arial" w:cs="Arial"/>
        </w:rPr>
        <w:tab/>
        <w:t xml:space="preserve">Filistrucchi 2008: 2; Ridyard </w:t>
      </w:r>
      <w:r w:rsidRPr="007F066F">
        <w:rPr>
          <w:rFonts w:ascii="Arial" w:hAnsi="Arial" w:cs="Arial"/>
          <w:i/>
        </w:rPr>
        <w:t>et al</w:t>
      </w:r>
      <w:r w:rsidRPr="007F066F">
        <w:rPr>
          <w:rFonts w:ascii="Arial" w:hAnsi="Arial" w:cs="Arial"/>
        </w:rPr>
        <w:t xml:space="preserve"> 2003: 1.</w:t>
      </w:r>
    </w:p>
  </w:footnote>
  <w:footnote w:id="576">
    <w:p w:rsidR="005E7922" w:rsidRPr="007F066F" w:rsidRDefault="005E7922" w:rsidP="00156E3F">
      <w:pPr>
        <w:pStyle w:val="Funotentext"/>
        <w:spacing w:line="240" w:lineRule="auto"/>
        <w:contextualSpacing/>
        <w:jc w:val="both"/>
        <w:rPr>
          <w:rFonts w:ascii="Arial" w:hAnsi="Arial" w:cs="Arial"/>
        </w:rPr>
      </w:pPr>
      <w:r w:rsidRPr="007F066F">
        <w:rPr>
          <w:rStyle w:val="Funotenzeichen"/>
          <w:rFonts w:ascii="Arial" w:hAnsi="Arial" w:cs="Arial"/>
        </w:rPr>
        <w:footnoteRef/>
      </w:r>
      <w:r w:rsidRPr="007F066F">
        <w:rPr>
          <w:rFonts w:ascii="Arial" w:hAnsi="Arial" w:cs="Arial"/>
        </w:rPr>
        <w:t xml:space="preserve">  </w:t>
      </w:r>
      <w:r w:rsidRPr="007F066F">
        <w:rPr>
          <w:rFonts w:ascii="Arial" w:hAnsi="Arial" w:cs="Arial"/>
        </w:rPr>
        <w:tab/>
        <w:t xml:space="preserve">Filistrucchi 2008: 2; Ridyard </w:t>
      </w:r>
      <w:r w:rsidRPr="007F066F">
        <w:rPr>
          <w:rFonts w:ascii="Arial" w:hAnsi="Arial" w:cs="Arial"/>
          <w:i/>
        </w:rPr>
        <w:t>et al</w:t>
      </w:r>
      <w:r w:rsidRPr="007F066F">
        <w:rPr>
          <w:rFonts w:ascii="Arial" w:hAnsi="Arial" w:cs="Arial"/>
        </w:rPr>
        <w:t xml:space="preserve"> 2003: 1.</w:t>
      </w:r>
    </w:p>
  </w:footnote>
  <w:footnote w:id="577">
    <w:p w:rsidR="005E7922" w:rsidRPr="007F066F" w:rsidRDefault="005E7922" w:rsidP="00156E3F">
      <w:pPr>
        <w:pStyle w:val="Funotentext"/>
        <w:spacing w:line="240" w:lineRule="auto"/>
        <w:contextualSpacing/>
        <w:jc w:val="both"/>
        <w:rPr>
          <w:rFonts w:ascii="Arial" w:hAnsi="Arial" w:cs="Arial"/>
          <w:lang w:val="af-ZA"/>
        </w:rPr>
      </w:pPr>
      <w:r w:rsidRPr="007F066F">
        <w:rPr>
          <w:rStyle w:val="Funotenzeichen"/>
          <w:rFonts w:ascii="Arial" w:hAnsi="Arial" w:cs="Arial"/>
        </w:rPr>
        <w:footnoteRef/>
      </w:r>
      <w:r w:rsidRPr="007F066F">
        <w:rPr>
          <w:rFonts w:ascii="Arial" w:hAnsi="Arial" w:cs="Arial"/>
        </w:rPr>
        <w:t xml:space="preserve">  </w:t>
      </w:r>
      <w:r w:rsidRPr="007F066F">
        <w:rPr>
          <w:rFonts w:ascii="Arial" w:hAnsi="Arial" w:cs="Arial"/>
        </w:rPr>
        <w:tab/>
        <w:t xml:space="preserve">Filistrucchi 2008: 2; Ridyard </w:t>
      </w:r>
      <w:r w:rsidRPr="007F066F">
        <w:rPr>
          <w:rFonts w:ascii="Arial" w:hAnsi="Arial" w:cs="Arial"/>
          <w:i/>
        </w:rPr>
        <w:t>et al</w:t>
      </w:r>
      <w:r w:rsidRPr="007F066F">
        <w:rPr>
          <w:rFonts w:ascii="Arial" w:hAnsi="Arial" w:cs="Arial"/>
        </w:rPr>
        <w:t xml:space="preserve"> 2003: 1.</w:t>
      </w:r>
    </w:p>
  </w:footnote>
  <w:footnote w:id="578">
    <w:p w:rsidR="005E7922" w:rsidRPr="008F22E0" w:rsidRDefault="005E7922" w:rsidP="008F22E0">
      <w:pPr>
        <w:pStyle w:val="Funotentext"/>
        <w:spacing w:line="240" w:lineRule="auto"/>
        <w:contextualSpacing/>
        <w:jc w:val="both"/>
        <w:rPr>
          <w:rFonts w:ascii="Arial" w:hAnsi="Arial" w:cs="Arial"/>
        </w:rPr>
      </w:pPr>
      <w:r w:rsidRPr="008F22E0">
        <w:rPr>
          <w:rStyle w:val="Funotenzeichen"/>
          <w:rFonts w:ascii="Arial" w:hAnsi="Arial" w:cs="Arial"/>
        </w:rPr>
        <w:footnoteRef/>
      </w:r>
      <w:r w:rsidRPr="008F22E0">
        <w:rPr>
          <w:rFonts w:ascii="Arial" w:hAnsi="Arial" w:cs="Arial"/>
        </w:rPr>
        <w:t xml:space="preserve">  </w:t>
      </w:r>
      <w:r w:rsidRPr="008F22E0">
        <w:rPr>
          <w:rFonts w:ascii="Arial" w:hAnsi="Arial" w:cs="Arial"/>
        </w:rPr>
        <w:tab/>
        <w:t>Stigler 1982: 9.</w:t>
      </w:r>
    </w:p>
  </w:footnote>
  <w:footnote w:id="579">
    <w:p w:rsidR="005E7922" w:rsidRPr="008F22E0" w:rsidRDefault="005E7922" w:rsidP="008F22E0">
      <w:pPr>
        <w:pStyle w:val="Funotentext"/>
        <w:spacing w:line="240" w:lineRule="auto"/>
        <w:contextualSpacing/>
        <w:jc w:val="both"/>
        <w:rPr>
          <w:rFonts w:ascii="Arial" w:hAnsi="Arial" w:cs="Arial"/>
        </w:rPr>
      </w:pPr>
      <w:r w:rsidRPr="008F22E0">
        <w:rPr>
          <w:rStyle w:val="Funotenzeichen"/>
          <w:rFonts w:ascii="Arial" w:hAnsi="Arial" w:cs="Arial"/>
        </w:rPr>
        <w:footnoteRef/>
      </w:r>
      <w:r w:rsidRPr="008F22E0">
        <w:rPr>
          <w:rFonts w:ascii="Arial" w:hAnsi="Arial" w:cs="Arial"/>
        </w:rPr>
        <w:t xml:space="preserve">  </w:t>
      </w:r>
      <w:r w:rsidRPr="008F22E0">
        <w:rPr>
          <w:rFonts w:ascii="Arial" w:hAnsi="Arial" w:cs="Arial"/>
        </w:rPr>
        <w:tab/>
        <w:t xml:space="preserve">The relevant market can also be delineated from a technological standpoint. For more </w:t>
      </w:r>
      <w:r w:rsidRPr="008F22E0">
        <w:rPr>
          <w:rFonts w:ascii="Arial" w:hAnsi="Arial" w:cs="Arial"/>
        </w:rPr>
        <w:tab/>
        <w:t>information see Reekie 2000: 48.</w:t>
      </w:r>
    </w:p>
  </w:footnote>
  <w:footnote w:id="580">
    <w:p w:rsidR="005E7922" w:rsidRPr="008F22E0" w:rsidRDefault="005E7922" w:rsidP="008F22E0">
      <w:pPr>
        <w:pStyle w:val="Funotentext"/>
        <w:spacing w:line="240" w:lineRule="auto"/>
        <w:contextualSpacing/>
        <w:jc w:val="both"/>
        <w:rPr>
          <w:rFonts w:ascii="Arial" w:hAnsi="Arial" w:cs="Arial"/>
        </w:rPr>
      </w:pPr>
      <w:r w:rsidRPr="008F22E0">
        <w:rPr>
          <w:rStyle w:val="Funotenzeichen"/>
          <w:rFonts w:ascii="Arial" w:hAnsi="Arial" w:cs="Arial"/>
        </w:rPr>
        <w:footnoteRef/>
      </w:r>
      <w:r w:rsidRPr="008F22E0">
        <w:rPr>
          <w:rFonts w:ascii="Arial" w:hAnsi="Arial" w:cs="Arial"/>
        </w:rPr>
        <w:t xml:space="preserve">  </w:t>
      </w:r>
      <w:r w:rsidRPr="008F22E0">
        <w:rPr>
          <w:rFonts w:ascii="Arial" w:hAnsi="Arial" w:cs="Arial"/>
        </w:rPr>
        <w:tab/>
        <w:t>Massey 2000: 314.</w:t>
      </w:r>
    </w:p>
  </w:footnote>
  <w:footnote w:id="581">
    <w:p w:rsidR="005E7922" w:rsidRPr="008F22E0" w:rsidRDefault="005E7922" w:rsidP="008F22E0">
      <w:pPr>
        <w:pStyle w:val="Funotentext"/>
        <w:spacing w:line="240" w:lineRule="auto"/>
        <w:contextualSpacing/>
        <w:jc w:val="both"/>
        <w:rPr>
          <w:rFonts w:ascii="Arial" w:hAnsi="Arial" w:cs="Arial"/>
        </w:rPr>
      </w:pPr>
      <w:r w:rsidRPr="008F22E0">
        <w:rPr>
          <w:rStyle w:val="Funotenzeichen"/>
          <w:rFonts w:ascii="Arial" w:hAnsi="Arial" w:cs="Arial"/>
        </w:rPr>
        <w:footnoteRef/>
      </w:r>
      <w:r w:rsidRPr="008F22E0">
        <w:rPr>
          <w:rFonts w:ascii="Arial" w:hAnsi="Arial" w:cs="Arial"/>
        </w:rPr>
        <w:t xml:space="preserve">  </w:t>
      </w:r>
      <w:r w:rsidRPr="008F22E0">
        <w:rPr>
          <w:rFonts w:ascii="Arial" w:hAnsi="Arial" w:cs="Arial"/>
        </w:rPr>
        <w:tab/>
        <w:t>Massey 2000: 314; McConnel &amp; Brue 2008: 350.</w:t>
      </w:r>
    </w:p>
  </w:footnote>
  <w:footnote w:id="582">
    <w:p w:rsidR="005E7922" w:rsidRPr="008F22E0" w:rsidRDefault="005E7922" w:rsidP="008F22E0">
      <w:pPr>
        <w:pStyle w:val="Funotentext"/>
        <w:spacing w:line="240" w:lineRule="auto"/>
        <w:contextualSpacing/>
        <w:jc w:val="both"/>
        <w:rPr>
          <w:rFonts w:ascii="Arial" w:hAnsi="Arial" w:cs="Arial"/>
        </w:rPr>
      </w:pPr>
      <w:r w:rsidRPr="008F22E0">
        <w:rPr>
          <w:rStyle w:val="Funotenzeichen"/>
          <w:rFonts w:ascii="Arial" w:hAnsi="Arial" w:cs="Arial"/>
        </w:rPr>
        <w:footnoteRef/>
      </w:r>
      <w:r w:rsidRPr="008F22E0">
        <w:rPr>
          <w:rFonts w:ascii="Arial" w:hAnsi="Arial" w:cs="Arial"/>
        </w:rPr>
        <w:t xml:space="preserve">  </w:t>
      </w:r>
      <w:r w:rsidRPr="008F22E0">
        <w:rPr>
          <w:rFonts w:ascii="Arial" w:hAnsi="Arial" w:cs="Arial"/>
        </w:rPr>
        <w:tab/>
        <w:t>Massey 2000: 314; McConnel &amp; Brue 2008: 350.</w:t>
      </w:r>
    </w:p>
  </w:footnote>
  <w:footnote w:id="583">
    <w:p w:rsidR="005E7922" w:rsidRPr="008F22E0" w:rsidRDefault="005E7922" w:rsidP="008F22E0">
      <w:pPr>
        <w:pStyle w:val="Funotentext"/>
        <w:spacing w:line="240" w:lineRule="auto"/>
        <w:contextualSpacing/>
        <w:jc w:val="both"/>
        <w:rPr>
          <w:rFonts w:ascii="Arial" w:hAnsi="Arial" w:cs="Arial"/>
        </w:rPr>
      </w:pPr>
      <w:r w:rsidRPr="008F22E0">
        <w:rPr>
          <w:rStyle w:val="Funotenzeichen"/>
          <w:rFonts w:ascii="Arial" w:hAnsi="Arial" w:cs="Arial"/>
        </w:rPr>
        <w:footnoteRef/>
      </w:r>
      <w:r w:rsidRPr="008F22E0">
        <w:rPr>
          <w:rFonts w:ascii="Arial" w:hAnsi="Arial" w:cs="Arial"/>
        </w:rPr>
        <w:t xml:space="preserve">  </w:t>
      </w:r>
      <w:r w:rsidRPr="008F22E0">
        <w:rPr>
          <w:rFonts w:ascii="Arial" w:hAnsi="Arial" w:cs="Arial"/>
        </w:rPr>
        <w:tab/>
        <w:t>Boshoff 2006: 2; Massey 2000: 317; Werden &amp; Froeb 1993: 329.</w:t>
      </w:r>
    </w:p>
  </w:footnote>
  <w:footnote w:id="584">
    <w:p w:rsidR="005E7922" w:rsidRPr="008F22E0" w:rsidRDefault="005E7922" w:rsidP="008F22E0">
      <w:pPr>
        <w:pStyle w:val="Funotentext"/>
        <w:spacing w:line="240" w:lineRule="auto"/>
        <w:contextualSpacing/>
        <w:jc w:val="both"/>
        <w:rPr>
          <w:rFonts w:ascii="Arial" w:hAnsi="Arial" w:cs="Arial"/>
        </w:rPr>
      </w:pPr>
      <w:r w:rsidRPr="008F22E0">
        <w:rPr>
          <w:rStyle w:val="Funotenzeichen"/>
          <w:rFonts w:ascii="Arial" w:hAnsi="Arial" w:cs="Arial"/>
        </w:rPr>
        <w:footnoteRef/>
      </w:r>
      <w:r w:rsidRPr="008F22E0">
        <w:rPr>
          <w:rFonts w:ascii="Arial" w:hAnsi="Arial" w:cs="Arial"/>
        </w:rPr>
        <w:t xml:space="preserve">  </w:t>
      </w:r>
      <w:r w:rsidRPr="008F22E0">
        <w:rPr>
          <w:rFonts w:ascii="Arial" w:hAnsi="Arial" w:cs="Arial"/>
        </w:rPr>
        <w:tab/>
        <w:t>Boshoff 2006: 2; Werden &amp; Froeb 1993: 329; Massey 2000: 317.</w:t>
      </w:r>
    </w:p>
  </w:footnote>
  <w:footnote w:id="585">
    <w:p w:rsidR="005E7922" w:rsidRPr="008F22E0" w:rsidRDefault="005E7922" w:rsidP="008F22E0">
      <w:pPr>
        <w:pStyle w:val="Funotentext"/>
        <w:spacing w:line="240" w:lineRule="auto"/>
        <w:contextualSpacing/>
        <w:jc w:val="both"/>
        <w:rPr>
          <w:rFonts w:ascii="Arial" w:hAnsi="Arial" w:cs="Arial"/>
        </w:rPr>
      </w:pPr>
      <w:r w:rsidRPr="008F22E0">
        <w:rPr>
          <w:rStyle w:val="Funotenzeichen"/>
          <w:rFonts w:ascii="Arial" w:hAnsi="Arial" w:cs="Arial"/>
        </w:rPr>
        <w:footnoteRef/>
      </w:r>
      <w:r w:rsidRPr="008F22E0">
        <w:rPr>
          <w:rFonts w:ascii="Arial" w:hAnsi="Arial" w:cs="Arial"/>
        </w:rPr>
        <w:t xml:space="preserve">  </w:t>
      </w:r>
      <w:r w:rsidRPr="008F22E0">
        <w:rPr>
          <w:rFonts w:ascii="Arial" w:hAnsi="Arial" w:cs="Arial"/>
        </w:rPr>
        <w:tab/>
        <w:t>Massey 2000: 318; Boshoff 2006: 2.</w:t>
      </w:r>
    </w:p>
  </w:footnote>
  <w:footnote w:id="586">
    <w:p w:rsidR="005E7922" w:rsidRPr="008F22E0" w:rsidRDefault="005E7922" w:rsidP="008F22E0">
      <w:pPr>
        <w:pStyle w:val="Funotentext"/>
        <w:spacing w:line="240" w:lineRule="auto"/>
        <w:contextualSpacing/>
        <w:jc w:val="both"/>
        <w:rPr>
          <w:rFonts w:ascii="Arial" w:hAnsi="Arial" w:cs="Arial"/>
        </w:rPr>
      </w:pPr>
      <w:r w:rsidRPr="008F22E0">
        <w:rPr>
          <w:rStyle w:val="Funotenzeichen"/>
          <w:rFonts w:ascii="Arial" w:hAnsi="Arial" w:cs="Arial"/>
        </w:rPr>
        <w:footnoteRef/>
      </w:r>
      <w:r w:rsidRPr="008F22E0">
        <w:rPr>
          <w:rFonts w:ascii="Arial" w:hAnsi="Arial" w:cs="Arial"/>
        </w:rPr>
        <w:t xml:space="preserve">  </w:t>
      </w:r>
      <w:r w:rsidRPr="008F22E0">
        <w:rPr>
          <w:rFonts w:ascii="Arial" w:hAnsi="Arial" w:cs="Arial"/>
        </w:rPr>
        <w:tab/>
        <w:t>Boshoff 2006: 2; Werden &amp; Froeb 1993: 329; Massey 2000: 317.</w:t>
      </w:r>
    </w:p>
  </w:footnote>
  <w:footnote w:id="587">
    <w:p w:rsidR="005E7922" w:rsidRPr="008F22E0" w:rsidRDefault="005E7922" w:rsidP="008F22E0">
      <w:pPr>
        <w:pStyle w:val="Funotentext"/>
        <w:spacing w:line="240" w:lineRule="auto"/>
        <w:contextualSpacing/>
        <w:jc w:val="both"/>
        <w:rPr>
          <w:rFonts w:ascii="Arial" w:hAnsi="Arial" w:cs="Arial"/>
        </w:rPr>
      </w:pPr>
      <w:r w:rsidRPr="008F22E0">
        <w:rPr>
          <w:rStyle w:val="Funotenzeichen"/>
          <w:rFonts w:ascii="Arial" w:hAnsi="Arial" w:cs="Arial"/>
        </w:rPr>
        <w:footnoteRef/>
      </w:r>
      <w:r w:rsidRPr="008F22E0">
        <w:rPr>
          <w:rFonts w:ascii="Arial" w:hAnsi="Arial" w:cs="Arial"/>
        </w:rPr>
        <w:t xml:space="preserve">  </w:t>
      </w:r>
      <w:r w:rsidRPr="008F22E0">
        <w:rPr>
          <w:rFonts w:ascii="Arial" w:hAnsi="Arial" w:cs="Arial"/>
        </w:rPr>
        <w:tab/>
        <w:t>Massey 2000: 318.</w:t>
      </w:r>
    </w:p>
  </w:footnote>
  <w:footnote w:id="588">
    <w:p w:rsidR="005E7922" w:rsidRPr="00140160" w:rsidRDefault="005E7922" w:rsidP="00140160">
      <w:pPr>
        <w:pStyle w:val="Funotentext"/>
        <w:spacing w:line="240" w:lineRule="auto"/>
        <w:contextualSpacing/>
        <w:jc w:val="both"/>
        <w:rPr>
          <w:rFonts w:ascii="Arial" w:hAnsi="Arial" w:cs="Arial"/>
        </w:rPr>
      </w:pPr>
      <w:r w:rsidRPr="00140160">
        <w:rPr>
          <w:rStyle w:val="Funotenzeichen"/>
          <w:rFonts w:ascii="Arial" w:hAnsi="Arial" w:cs="Arial"/>
        </w:rPr>
        <w:footnoteRef/>
      </w:r>
      <w:r w:rsidRPr="00140160">
        <w:rPr>
          <w:rFonts w:ascii="Arial" w:hAnsi="Arial" w:cs="Arial"/>
        </w:rPr>
        <w:t xml:space="preserve">  </w:t>
      </w:r>
      <w:r>
        <w:rPr>
          <w:rFonts w:ascii="Arial" w:hAnsi="Arial" w:cs="Arial"/>
        </w:rPr>
        <w:tab/>
      </w:r>
      <w:r w:rsidRPr="00140160">
        <w:rPr>
          <w:rFonts w:ascii="Arial" w:hAnsi="Arial" w:cs="Arial"/>
        </w:rPr>
        <w:t>Massey 2000: 318.</w:t>
      </w:r>
    </w:p>
  </w:footnote>
  <w:footnote w:id="589">
    <w:p w:rsidR="005E7922" w:rsidRPr="005370AF" w:rsidRDefault="005E7922" w:rsidP="005370AF">
      <w:pPr>
        <w:pStyle w:val="Funotentext"/>
        <w:spacing w:line="240" w:lineRule="auto"/>
        <w:contextualSpacing/>
        <w:jc w:val="both"/>
        <w:rPr>
          <w:rFonts w:ascii="Arial" w:hAnsi="Arial" w:cs="Arial"/>
        </w:rPr>
      </w:pPr>
      <w:r w:rsidRPr="005370AF">
        <w:rPr>
          <w:rStyle w:val="Funotenzeichen"/>
          <w:rFonts w:ascii="Arial" w:hAnsi="Arial" w:cs="Arial"/>
        </w:rPr>
        <w:footnoteRef/>
      </w:r>
      <w:r w:rsidRPr="005370AF">
        <w:rPr>
          <w:rFonts w:ascii="Arial" w:hAnsi="Arial" w:cs="Arial"/>
        </w:rPr>
        <w:t xml:space="preserve">  </w:t>
      </w:r>
      <w:r w:rsidRPr="005370AF">
        <w:rPr>
          <w:rFonts w:ascii="Arial" w:hAnsi="Arial" w:cs="Arial"/>
        </w:rPr>
        <w:tab/>
        <w:t>Boshoff 2006: 2.</w:t>
      </w:r>
    </w:p>
  </w:footnote>
  <w:footnote w:id="590">
    <w:p w:rsidR="005E7922" w:rsidRPr="005370AF" w:rsidRDefault="005E7922" w:rsidP="005370AF">
      <w:pPr>
        <w:pStyle w:val="Funotentext"/>
        <w:spacing w:line="240" w:lineRule="auto"/>
        <w:contextualSpacing/>
        <w:jc w:val="both"/>
        <w:rPr>
          <w:rFonts w:ascii="Arial" w:hAnsi="Arial" w:cs="Arial"/>
        </w:rPr>
      </w:pPr>
      <w:r w:rsidRPr="005370AF">
        <w:rPr>
          <w:rStyle w:val="Funotenzeichen"/>
          <w:rFonts w:ascii="Arial" w:hAnsi="Arial" w:cs="Arial"/>
        </w:rPr>
        <w:footnoteRef/>
      </w:r>
      <w:r w:rsidRPr="005370AF">
        <w:rPr>
          <w:rFonts w:ascii="Arial" w:hAnsi="Arial" w:cs="Arial"/>
        </w:rPr>
        <w:t xml:space="preserve">  </w:t>
      </w:r>
      <w:r w:rsidRPr="005370AF">
        <w:rPr>
          <w:rFonts w:ascii="Arial" w:hAnsi="Arial" w:cs="Arial"/>
        </w:rPr>
        <w:tab/>
        <w:t xml:space="preserve">Massey 2000: 318.  </w:t>
      </w:r>
    </w:p>
  </w:footnote>
  <w:footnote w:id="591">
    <w:p w:rsidR="005E7922" w:rsidRPr="005370AF" w:rsidRDefault="005E7922" w:rsidP="005370AF">
      <w:pPr>
        <w:pStyle w:val="Funotentext"/>
        <w:spacing w:line="240" w:lineRule="auto"/>
        <w:contextualSpacing/>
        <w:jc w:val="both"/>
        <w:rPr>
          <w:rFonts w:ascii="Arial" w:hAnsi="Arial" w:cs="Arial"/>
        </w:rPr>
      </w:pPr>
      <w:r w:rsidRPr="005370AF">
        <w:rPr>
          <w:rStyle w:val="Funotenzeichen"/>
          <w:rFonts w:ascii="Arial" w:hAnsi="Arial" w:cs="Arial"/>
        </w:rPr>
        <w:footnoteRef/>
      </w:r>
      <w:r w:rsidRPr="005370AF">
        <w:rPr>
          <w:rFonts w:ascii="Arial" w:hAnsi="Arial" w:cs="Arial"/>
        </w:rPr>
        <w:t xml:space="preserve">  </w:t>
      </w:r>
      <w:r w:rsidRPr="005370AF">
        <w:rPr>
          <w:rFonts w:ascii="Arial" w:hAnsi="Arial" w:cs="Arial"/>
        </w:rPr>
        <w:tab/>
        <w:t xml:space="preserve">Dobbs 2002: 1; Serge </w:t>
      </w:r>
      <w:r w:rsidRPr="005370AF">
        <w:rPr>
          <w:rFonts w:ascii="Arial" w:hAnsi="Arial" w:cs="Arial"/>
          <w:i/>
        </w:rPr>
        <w:t>et al</w:t>
      </w:r>
      <w:r w:rsidRPr="005370AF">
        <w:rPr>
          <w:rFonts w:ascii="Arial" w:hAnsi="Arial" w:cs="Arial"/>
        </w:rPr>
        <w:t xml:space="preserve">  2008: 2; Boshoff 2006: 2; Filistrucchi 2008: 2; Massey 2000: 318; </w:t>
      </w:r>
      <w:r w:rsidRPr="005370AF">
        <w:rPr>
          <w:rFonts w:ascii="Arial" w:hAnsi="Arial" w:cs="Arial"/>
        </w:rPr>
        <w:tab/>
        <w:t>Stenborg 2004: 4.</w:t>
      </w:r>
    </w:p>
  </w:footnote>
  <w:footnote w:id="592">
    <w:p w:rsidR="005E7922" w:rsidRPr="005370AF" w:rsidRDefault="005E7922" w:rsidP="005370AF">
      <w:pPr>
        <w:pStyle w:val="Funotentext"/>
        <w:spacing w:line="240" w:lineRule="auto"/>
        <w:contextualSpacing/>
        <w:jc w:val="both"/>
        <w:rPr>
          <w:rFonts w:ascii="Arial" w:hAnsi="Arial" w:cs="Arial"/>
        </w:rPr>
      </w:pPr>
      <w:r w:rsidRPr="005370AF">
        <w:rPr>
          <w:rStyle w:val="Funotenzeichen"/>
          <w:rFonts w:ascii="Arial" w:hAnsi="Arial" w:cs="Arial"/>
        </w:rPr>
        <w:footnoteRef/>
      </w:r>
      <w:r w:rsidRPr="005370AF">
        <w:rPr>
          <w:rFonts w:ascii="Arial" w:hAnsi="Arial" w:cs="Arial"/>
        </w:rPr>
        <w:t xml:space="preserve">  </w:t>
      </w:r>
      <w:r w:rsidRPr="005370AF">
        <w:rPr>
          <w:rFonts w:ascii="Arial" w:hAnsi="Arial" w:cs="Arial"/>
        </w:rPr>
        <w:tab/>
        <w:t xml:space="preserve">Dobbs 2002: 1; Serge </w:t>
      </w:r>
      <w:r w:rsidRPr="005370AF">
        <w:rPr>
          <w:rFonts w:ascii="Arial" w:hAnsi="Arial" w:cs="Arial"/>
          <w:i/>
        </w:rPr>
        <w:t>et al</w:t>
      </w:r>
      <w:r w:rsidRPr="005370AF">
        <w:rPr>
          <w:rFonts w:ascii="Arial" w:hAnsi="Arial" w:cs="Arial"/>
        </w:rPr>
        <w:t xml:space="preserve">  2008: 2; Boshoff 2006: 2; Filistrucchi 2008: 2; Massey 2000: 318; </w:t>
      </w:r>
      <w:r w:rsidRPr="005370AF">
        <w:rPr>
          <w:rFonts w:ascii="Arial" w:hAnsi="Arial" w:cs="Arial"/>
        </w:rPr>
        <w:tab/>
        <w:t>Stenborg 2004: 4.</w:t>
      </w:r>
    </w:p>
  </w:footnote>
  <w:footnote w:id="593">
    <w:p w:rsidR="005E7922" w:rsidRPr="005370AF" w:rsidRDefault="005E7922" w:rsidP="005370AF">
      <w:pPr>
        <w:pStyle w:val="Funotentext"/>
        <w:spacing w:line="240" w:lineRule="auto"/>
        <w:contextualSpacing/>
        <w:jc w:val="both"/>
        <w:rPr>
          <w:rFonts w:ascii="Arial" w:hAnsi="Arial" w:cs="Arial"/>
        </w:rPr>
      </w:pPr>
      <w:r w:rsidRPr="005370AF">
        <w:rPr>
          <w:rStyle w:val="Funotenzeichen"/>
          <w:rFonts w:ascii="Arial" w:hAnsi="Arial" w:cs="Arial"/>
        </w:rPr>
        <w:footnoteRef/>
      </w:r>
      <w:r w:rsidRPr="005370AF">
        <w:rPr>
          <w:rFonts w:ascii="Arial" w:hAnsi="Arial" w:cs="Arial"/>
        </w:rPr>
        <w:t xml:space="preserve">  </w:t>
      </w:r>
      <w:r w:rsidRPr="005370AF">
        <w:rPr>
          <w:rFonts w:ascii="Arial" w:hAnsi="Arial" w:cs="Arial"/>
        </w:rPr>
        <w:tab/>
        <w:t xml:space="preserve">Boshoff 2006: 2; Neuhoff </w:t>
      </w:r>
      <w:r w:rsidRPr="005370AF">
        <w:rPr>
          <w:rFonts w:ascii="Arial" w:hAnsi="Arial" w:cs="Arial"/>
          <w:i/>
        </w:rPr>
        <w:t>et al</w:t>
      </w:r>
      <w:r w:rsidRPr="005370AF">
        <w:rPr>
          <w:rFonts w:ascii="Arial" w:hAnsi="Arial" w:cs="Arial"/>
        </w:rPr>
        <w:t xml:space="preserve"> 2006: 34.</w:t>
      </w:r>
    </w:p>
  </w:footnote>
  <w:footnote w:id="594">
    <w:p w:rsidR="005E7922" w:rsidRPr="005370AF" w:rsidRDefault="005E7922" w:rsidP="005370AF">
      <w:pPr>
        <w:pStyle w:val="Funotentext"/>
        <w:spacing w:line="240" w:lineRule="auto"/>
        <w:contextualSpacing/>
        <w:jc w:val="both"/>
        <w:rPr>
          <w:rFonts w:ascii="Arial" w:hAnsi="Arial" w:cs="Arial"/>
        </w:rPr>
      </w:pPr>
      <w:r w:rsidRPr="005370AF">
        <w:rPr>
          <w:rStyle w:val="Funotenzeichen"/>
          <w:rFonts w:ascii="Arial" w:hAnsi="Arial" w:cs="Arial"/>
        </w:rPr>
        <w:footnoteRef/>
      </w:r>
      <w:r w:rsidRPr="005370AF">
        <w:rPr>
          <w:rFonts w:ascii="Arial" w:hAnsi="Arial" w:cs="Arial"/>
        </w:rPr>
        <w:t xml:space="preserve">  </w:t>
      </w:r>
      <w:r w:rsidRPr="005370AF">
        <w:rPr>
          <w:rFonts w:ascii="Arial" w:hAnsi="Arial" w:cs="Arial"/>
        </w:rPr>
        <w:tab/>
        <w:t>89/1998.</w:t>
      </w:r>
    </w:p>
  </w:footnote>
  <w:footnote w:id="595">
    <w:p w:rsidR="005E7922" w:rsidRPr="005370AF" w:rsidRDefault="005E7922" w:rsidP="005370AF">
      <w:pPr>
        <w:pStyle w:val="Funotentext"/>
        <w:spacing w:line="240" w:lineRule="auto"/>
        <w:contextualSpacing/>
        <w:jc w:val="both"/>
        <w:rPr>
          <w:rFonts w:ascii="Arial" w:hAnsi="Arial" w:cs="Arial"/>
        </w:rPr>
      </w:pPr>
      <w:r w:rsidRPr="005370AF">
        <w:rPr>
          <w:rStyle w:val="Funotenzeichen"/>
          <w:rFonts w:ascii="Arial" w:hAnsi="Arial" w:cs="Arial"/>
        </w:rPr>
        <w:footnoteRef/>
      </w:r>
      <w:r w:rsidRPr="005370AF">
        <w:rPr>
          <w:rFonts w:ascii="Arial" w:hAnsi="Arial" w:cs="Arial"/>
        </w:rPr>
        <w:t xml:space="preserve">  </w:t>
      </w:r>
      <w:r w:rsidRPr="005370AF">
        <w:rPr>
          <w:rFonts w:ascii="Arial" w:hAnsi="Arial" w:cs="Arial"/>
        </w:rPr>
        <w:tab/>
        <w:t>89/1998.</w:t>
      </w:r>
    </w:p>
  </w:footnote>
  <w:footnote w:id="596">
    <w:p w:rsidR="005E7922" w:rsidRPr="005370AF" w:rsidRDefault="005E7922" w:rsidP="005370AF">
      <w:pPr>
        <w:pStyle w:val="Funotentext"/>
        <w:spacing w:line="240" w:lineRule="auto"/>
        <w:contextualSpacing/>
        <w:jc w:val="both"/>
        <w:rPr>
          <w:rFonts w:ascii="Arial" w:hAnsi="Arial" w:cs="Arial"/>
        </w:rPr>
      </w:pPr>
      <w:r w:rsidRPr="005370AF">
        <w:rPr>
          <w:rStyle w:val="Funotenzeichen"/>
          <w:rFonts w:ascii="Arial" w:hAnsi="Arial" w:cs="Arial"/>
        </w:rPr>
        <w:footnoteRef/>
      </w:r>
      <w:r w:rsidRPr="005370AF">
        <w:rPr>
          <w:rFonts w:ascii="Arial" w:hAnsi="Arial" w:cs="Arial"/>
        </w:rPr>
        <w:t xml:space="preserve">  </w:t>
      </w:r>
      <w:r w:rsidRPr="005370AF">
        <w:rPr>
          <w:rFonts w:ascii="Arial" w:hAnsi="Arial" w:cs="Arial"/>
        </w:rPr>
        <w:tab/>
        <w:t>89/1998.</w:t>
      </w:r>
    </w:p>
  </w:footnote>
  <w:footnote w:id="597">
    <w:p w:rsidR="005E7922" w:rsidRPr="005370AF" w:rsidRDefault="005E7922" w:rsidP="005370AF">
      <w:pPr>
        <w:pStyle w:val="Funotentext"/>
        <w:spacing w:line="240" w:lineRule="auto"/>
        <w:contextualSpacing/>
        <w:jc w:val="both"/>
        <w:rPr>
          <w:rFonts w:ascii="Arial" w:hAnsi="Arial" w:cs="Arial"/>
        </w:rPr>
      </w:pPr>
      <w:r w:rsidRPr="005370AF">
        <w:rPr>
          <w:rStyle w:val="Funotenzeichen"/>
          <w:rFonts w:ascii="Arial" w:hAnsi="Arial" w:cs="Arial"/>
        </w:rPr>
        <w:footnoteRef/>
      </w:r>
      <w:r w:rsidRPr="005370AF">
        <w:rPr>
          <w:rFonts w:ascii="Arial" w:hAnsi="Arial" w:cs="Arial"/>
        </w:rPr>
        <w:t xml:space="preserve">  </w:t>
      </w:r>
      <w:r w:rsidRPr="005370AF">
        <w:rPr>
          <w:rFonts w:ascii="Arial" w:hAnsi="Arial" w:cs="Arial"/>
        </w:rPr>
        <w:tab/>
        <w:t>Competition Act 89/1998: section 1.</w:t>
      </w:r>
    </w:p>
  </w:footnote>
  <w:footnote w:id="598">
    <w:p w:rsidR="005E7922" w:rsidRPr="0024052E" w:rsidRDefault="005E7922" w:rsidP="005D790A">
      <w:pPr>
        <w:pStyle w:val="Funotentext"/>
        <w:spacing w:line="240" w:lineRule="auto"/>
        <w:contextualSpacing/>
        <w:jc w:val="both"/>
        <w:rPr>
          <w:rFonts w:ascii="Arial" w:hAnsi="Arial" w:cs="Arial"/>
        </w:rPr>
      </w:pPr>
      <w:r w:rsidRPr="0024052E">
        <w:rPr>
          <w:rStyle w:val="Funotenzeichen"/>
          <w:rFonts w:ascii="Arial" w:hAnsi="Arial" w:cs="Arial"/>
        </w:rPr>
        <w:footnoteRef/>
      </w:r>
      <w:r w:rsidRPr="0024052E">
        <w:rPr>
          <w:rFonts w:ascii="Arial" w:hAnsi="Arial" w:cs="Arial"/>
        </w:rPr>
        <w:t xml:space="preserve">  </w:t>
      </w:r>
      <w:r>
        <w:rPr>
          <w:rFonts w:ascii="Arial" w:hAnsi="Arial" w:cs="Arial"/>
        </w:rPr>
        <w:tab/>
      </w:r>
      <w:r w:rsidRPr="0024052E">
        <w:rPr>
          <w:rFonts w:ascii="Arial" w:hAnsi="Arial" w:cs="Arial"/>
        </w:rPr>
        <w:t>Theron 2001: 615-616; Walker 2006: 10.</w:t>
      </w:r>
    </w:p>
  </w:footnote>
  <w:footnote w:id="599">
    <w:p w:rsidR="005E7922" w:rsidRPr="0024052E" w:rsidRDefault="005E7922" w:rsidP="005D790A">
      <w:pPr>
        <w:pStyle w:val="Funotentext"/>
        <w:spacing w:line="240" w:lineRule="auto"/>
        <w:contextualSpacing/>
        <w:jc w:val="both"/>
        <w:rPr>
          <w:rFonts w:ascii="Arial" w:hAnsi="Arial" w:cs="Arial"/>
        </w:rPr>
      </w:pPr>
      <w:r w:rsidRPr="0024052E">
        <w:rPr>
          <w:rStyle w:val="Funotenzeichen"/>
          <w:rFonts w:ascii="Arial" w:hAnsi="Arial" w:cs="Arial"/>
        </w:rPr>
        <w:footnoteRef/>
      </w:r>
      <w:r w:rsidRPr="0024052E">
        <w:rPr>
          <w:rFonts w:ascii="Arial" w:hAnsi="Arial" w:cs="Arial"/>
        </w:rPr>
        <w:t xml:space="preserve"> </w:t>
      </w:r>
      <w:r>
        <w:rPr>
          <w:rFonts w:ascii="Arial" w:hAnsi="Arial" w:cs="Arial"/>
        </w:rPr>
        <w:tab/>
      </w:r>
      <w:r w:rsidRPr="0024052E">
        <w:rPr>
          <w:rFonts w:ascii="Arial" w:hAnsi="Arial" w:cs="Arial"/>
        </w:rPr>
        <w:t>89/1998.</w:t>
      </w:r>
    </w:p>
  </w:footnote>
  <w:footnote w:id="600">
    <w:p w:rsidR="005E7922" w:rsidRPr="0024052E" w:rsidRDefault="005E7922" w:rsidP="005D790A">
      <w:pPr>
        <w:pStyle w:val="Funotentext"/>
        <w:spacing w:line="240" w:lineRule="auto"/>
        <w:contextualSpacing/>
        <w:jc w:val="both"/>
        <w:rPr>
          <w:rFonts w:ascii="Arial" w:hAnsi="Arial" w:cs="Arial"/>
        </w:rPr>
      </w:pPr>
      <w:r w:rsidRPr="0024052E">
        <w:rPr>
          <w:rStyle w:val="Funotenzeichen"/>
          <w:rFonts w:ascii="Arial" w:hAnsi="Arial" w:cs="Arial"/>
        </w:rPr>
        <w:footnoteRef/>
      </w:r>
      <w:r w:rsidRPr="0024052E">
        <w:rPr>
          <w:rFonts w:ascii="Arial" w:hAnsi="Arial" w:cs="Arial"/>
        </w:rPr>
        <w:t xml:space="preserve">  </w:t>
      </w:r>
      <w:r>
        <w:rPr>
          <w:rFonts w:ascii="Arial" w:hAnsi="Arial" w:cs="Arial"/>
        </w:rPr>
        <w:tab/>
      </w:r>
      <w:r w:rsidRPr="0024052E">
        <w:rPr>
          <w:rFonts w:ascii="Arial" w:hAnsi="Arial" w:cs="Arial"/>
        </w:rPr>
        <w:t>89/1998.</w:t>
      </w:r>
    </w:p>
  </w:footnote>
  <w:footnote w:id="601">
    <w:p w:rsidR="005E7922" w:rsidRPr="0024052E" w:rsidRDefault="005E7922" w:rsidP="005D790A">
      <w:pPr>
        <w:pStyle w:val="Funotentext"/>
        <w:spacing w:line="240" w:lineRule="auto"/>
        <w:contextualSpacing/>
        <w:jc w:val="both"/>
        <w:rPr>
          <w:rFonts w:ascii="Arial" w:hAnsi="Arial" w:cs="Arial"/>
        </w:rPr>
      </w:pPr>
      <w:r w:rsidRPr="0024052E">
        <w:rPr>
          <w:rStyle w:val="Funotenzeichen"/>
          <w:rFonts w:ascii="Arial" w:hAnsi="Arial" w:cs="Arial"/>
        </w:rPr>
        <w:footnoteRef/>
      </w:r>
      <w:r w:rsidRPr="0024052E">
        <w:rPr>
          <w:rFonts w:ascii="Arial" w:hAnsi="Arial" w:cs="Arial"/>
        </w:rPr>
        <w:t xml:space="preserve">  </w:t>
      </w:r>
      <w:r>
        <w:rPr>
          <w:rFonts w:ascii="Arial" w:hAnsi="Arial" w:cs="Arial"/>
        </w:rPr>
        <w:tab/>
      </w:r>
      <w:r w:rsidRPr="0024052E">
        <w:rPr>
          <w:rFonts w:ascii="Arial" w:hAnsi="Arial" w:cs="Arial"/>
        </w:rPr>
        <w:t>89/1998.</w:t>
      </w:r>
    </w:p>
  </w:footnote>
  <w:footnote w:id="602">
    <w:p w:rsidR="005E7922" w:rsidRPr="0024052E" w:rsidRDefault="005E7922" w:rsidP="005D790A">
      <w:pPr>
        <w:pStyle w:val="Funotentext"/>
        <w:spacing w:line="240" w:lineRule="auto"/>
        <w:contextualSpacing/>
        <w:jc w:val="both"/>
        <w:rPr>
          <w:rFonts w:ascii="Arial" w:hAnsi="Arial" w:cs="Arial"/>
        </w:rPr>
      </w:pPr>
      <w:r w:rsidRPr="0024052E">
        <w:rPr>
          <w:rStyle w:val="Funotenzeichen"/>
          <w:rFonts w:ascii="Arial" w:hAnsi="Arial" w:cs="Arial"/>
        </w:rPr>
        <w:footnoteRef/>
      </w:r>
      <w:r w:rsidRPr="0024052E">
        <w:rPr>
          <w:rFonts w:ascii="Arial" w:hAnsi="Arial" w:cs="Arial"/>
        </w:rPr>
        <w:t xml:space="preserve"> </w:t>
      </w:r>
      <w:r>
        <w:rPr>
          <w:rFonts w:ascii="Arial" w:hAnsi="Arial" w:cs="Arial"/>
        </w:rPr>
        <w:tab/>
      </w:r>
      <w:r w:rsidRPr="0024052E">
        <w:rPr>
          <w:rFonts w:ascii="Arial" w:hAnsi="Arial" w:cs="Arial"/>
        </w:rPr>
        <w:t>Theron 2001: 615-616.</w:t>
      </w:r>
    </w:p>
  </w:footnote>
  <w:footnote w:id="603">
    <w:p w:rsidR="005E7922" w:rsidRPr="0024052E" w:rsidRDefault="005E7922" w:rsidP="005D790A">
      <w:pPr>
        <w:pStyle w:val="Funotentext"/>
        <w:spacing w:line="240" w:lineRule="auto"/>
        <w:contextualSpacing/>
        <w:jc w:val="both"/>
        <w:rPr>
          <w:rFonts w:ascii="Arial" w:hAnsi="Arial" w:cs="Arial"/>
        </w:rPr>
      </w:pPr>
      <w:r w:rsidRPr="0024052E">
        <w:rPr>
          <w:rStyle w:val="Funotenzeichen"/>
          <w:rFonts w:ascii="Arial" w:hAnsi="Arial" w:cs="Arial"/>
        </w:rPr>
        <w:footnoteRef/>
      </w:r>
      <w:r w:rsidRPr="0024052E">
        <w:rPr>
          <w:rFonts w:ascii="Arial" w:hAnsi="Arial" w:cs="Arial"/>
        </w:rPr>
        <w:t xml:space="preserve">  </w:t>
      </w:r>
      <w:r>
        <w:rPr>
          <w:rFonts w:ascii="Arial" w:hAnsi="Arial" w:cs="Arial"/>
        </w:rPr>
        <w:tab/>
      </w:r>
      <w:r w:rsidRPr="0024052E">
        <w:rPr>
          <w:rFonts w:ascii="Arial" w:hAnsi="Arial" w:cs="Arial"/>
        </w:rPr>
        <w:t>89/1998.</w:t>
      </w:r>
    </w:p>
  </w:footnote>
  <w:footnote w:id="604">
    <w:p w:rsidR="005E7922" w:rsidRPr="0024052E" w:rsidRDefault="005E7922" w:rsidP="005D790A">
      <w:pPr>
        <w:pStyle w:val="Funotentext"/>
        <w:spacing w:line="240" w:lineRule="auto"/>
        <w:contextualSpacing/>
        <w:jc w:val="both"/>
        <w:rPr>
          <w:rFonts w:ascii="Arial" w:hAnsi="Arial" w:cs="Arial"/>
        </w:rPr>
      </w:pPr>
      <w:r w:rsidRPr="0024052E">
        <w:rPr>
          <w:rStyle w:val="Funotenzeichen"/>
          <w:rFonts w:ascii="Arial" w:hAnsi="Arial" w:cs="Arial"/>
        </w:rPr>
        <w:footnoteRef/>
      </w:r>
      <w:r w:rsidRPr="0024052E">
        <w:rPr>
          <w:rFonts w:ascii="Arial" w:hAnsi="Arial" w:cs="Arial"/>
        </w:rPr>
        <w:t xml:space="preserve">  </w:t>
      </w:r>
      <w:r>
        <w:rPr>
          <w:rFonts w:ascii="Arial" w:hAnsi="Arial" w:cs="Arial"/>
        </w:rPr>
        <w:tab/>
      </w:r>
      <w:r w:rsidRPr="0024052E">
        <w:rPr>
          <w:rFonts w:ascii="Arial" w:hAnsi="Arial" w:cs="Arial"/>
        </w:rPr>
        <w:t>Walker 2006: 10.</w:t>
      </w:r>
    </w:p>
  </w:footnote>
  <w:footnote w:id="605">
    <w:p w:rsidR="005E7922" w:rsidRPr="00071652" w:rsidRDefault="005E7922" w:rsidP="00A17FDF">
      <w:pPr>
        <w:pStyle w:val="Funotentext"/>
        <w:spacing w:line="240" w:lineRule="auto"/>
        <w:contextualSpacing/>
        <w:jc w:val="both"/>
        <w:rPr>
          <w:rFonts w:ascii="Arial" w:hAnsi="Arial" w:cs="Arial"/>
        </w:rPr>
      </w:pPr>
      <w:r w:rsidRPr="00071652">
        <w:rPr>
          <w:rStyle w:val="Funotenzeichen"/>
          <w:rFonts w:ascii="Arial" w:hAnsi="Arial" w:cs="Arial"/>
        </w:rPr>
        <w:footnoteRef/>
      </w:r>
      <w:r w:rsidRPr="00071652">
        <w:rPr>
          <w:rFonts w:ascii="Arial" w:hAnsi="Arial" w:cs="Arial"/>
        </w:rPr>
        <w:t xml:space="preserve">  </w:t>
      </w:r>
      <w:r w:rsidRPr="00071652">
        <w:rPr>
          <w:rFonts w:ascii="Arial" w:hAnsi="Arial" w:cs="Arial"/>
        </w:rPr>
        <w:tab/>
        <w:t xml:space="preserve">Boshoff 2006: 3; Dobbs 2002: 2; Walker 2006: 26; Theron 2001: 623; US Department of </w:t>
      </w:r>
      <w:r w:rsidRPr="00071652">
        <w:rPr>
          <w:rFonts w:ascii="Arial" w:hAnsi="Arial" w:cs="Arial"/>
        </w:rPr>
        <w:tab/>
        <w:t xml:space="preserve">Justice on  http://www.justice.gov/atr/public/guidelines/horiz_book/11.html (accessed on 19 </w:t>
      </w:r>
      <w:r w:rsidRPr="00071652">
        <w:rPr>
          <w:rFonts w:ascii="Arial" w:hAnsi="Arial" w:cs="Arial"/>
        </w:rPr>
        <w:tab/>
        <w:t xml:space="preserve">Mei 2011); </w:t>
      </w:r>
      <w:r>
        <w:rPr>
          <w:rFonts w:ascii="Arial" w:hAnsi="Arial" w:cs="Arial"/>
        </w:rPr>
        <w:t>US</w:t>
      </w:r>
      <w:r w:rsidRPr="00071652">
        <w:rPr>
          <w:rFonts w:ascii="Arial" w:hAnsi="Arial" w:cs="Arial"/>
        </w:rPr>
        <w:t xml:space="preserve"> Federal Trade Commission</w:t>
      </w:r>
      <w:r>
        <w:rPr>
          <w:rFonts w:ascii="Arial" w:hAnsi="Arial" w:cs="Arial"/>
        </w:rPr>
        <w:t xml:space="preserve"> 1992</w:t>
      </w:r>
      <w:r w:rsidRPr="00071652">
        <w:rPr>
          <w:rFonts w:ascii="Arial" w:hAnsi="Arial" w:cs="Arial"/>
        </w:rPr>
        <w:t xml:space="preserve"> on http://www.ftc.gov/bc/docs/horizmer.shtm </w:t>
      </w:r>
      <w:r>
        <w:rPr>
          <w:rFonts w:ascii="Arial" w:hAnsi="Arial" w:cs="Arial"/>
        </w:rPr>
        <w:tab/>
        <w:t>(</w:t>
      </w:r>
      <w:r w:rsidRPr="00071652">
        <w:rPr>
          <w:rFonts w:ascii="Arial" w:hAnsi="Arial" w:cs="Arial"/>
        </w:rPr>
        <w:t xml:space="preserve">accessed 19 Mei 2011) </w:t>
      </w:r>
    </w:p>
  </w:footnote>
  <w:footnote w:id="606">
    <w:p w:rsidR="005E7922" w:rsidRPr="00071652" w:rsidRDefault="005E7922" w:rsidP="00A17FDF">
      <w:pPr>
        <w:pStyle w:val="Funotentext"/>
        <w:spacing w:line="240" w:lineRule="auto"/>
        <w:contextualSpacing/>
        <w:jc w:val="both"/>
        <w:rPr>
          <w:rFonts w:ascii="Arial" w:hAnsi="Arial" w:cs="Arial"/>
        </w:rPr>
      </w:pPr>
      <w:r w:rsidRPr="00071652">
        <w:rPr>
          <w:rStyle w:val="Funotenzeichen"/>
          <w:rFonts w:ascii="Arial" w:hAnsi="Arial" w:cs="Arial"/>
        </w:rPr>
        <w:footnoteRef/>
      </w:r>
      <w:r w:rsidRPr="00071652">
        <w:rPr>
          <w:rFonts w:ascii="Arial" w:hAnsi="Arial" w:cs="Arial"/>
        </w:rPr>
        <w:t xml:space="preserve">  </w:t>
      </w:r>
      <w:r w:rsidRPr="00071652">
        <w:rPr>
          <w:rFonts w:ascii="Arial" w:hAnsi="Arial" w:cs="Arial"/>
        </w:rPr>
        <w:tab/>
        <w:t>Theron 2001: 623; Stenborg 2004: 4.</w:t>
      </w:r>
    </w:p>
  </w:footnote>
  <w:footnote w:id="607">
    <w:p w:rsidR="005E7922" w:rsidRPr="00071652" w:rsidRDefault="005E7922" w:rsidP="00A17FDF">
      <w:pPr>
        <w:pStyle w:val="Funotentext"/>
        <w:spacing w:line="240" w:lineRule="auto"/>
        <w:contextualSpacing/>
        <w:jc w:val="both"/>
        <w:rPr>
          <w:rFonts w:ascii="Arial" w:hAnsi="Arial" w:cs="Arial"/>
          <w:lang w:val="af-ZA"/>
        </w:rPr>
      </w:pPr>
      <w:r w:rsidRPr="00071652">
        <w:rPr>
          <w:rStyle w:val="Funotenzeichen"/>
          <w:rFonts w:ascii="Arial" w:hAnsi="Arial" w:cs="Arial"/>
        </w:rPr>
        <w:footnoteRef/>
      </w:r>
      <w:r w:rsidRPr="00071652">
        <w:rPr>
          <w:rFonts w:ascii="Arial" w:hAnsi="Arial" w:cs="Arial"/>
        </w:rPr>
        <w:t xml:space="preserve"> </w:t>
      </w:r>
      <w:r w:rsidRPr="00071652">
        <w:rPr>
          <w:rFonts w:ascii="Arial" w:hAnsi="Arial" w:cs="Arial"/>
          <w:lang w:val="af-ZA"/>
        </w:rPr>
        <w:t xml:space="preserve"> </w:t>
      </w:r>
      <w:r w:rsidRPr="00071652">
        <w:rPr>
          <w:rFonts w:ascii="Arial" w:hAnsi="Arial" w:cs="Arial"/>
          <w:lang w:val="af-ZA"/>
        </w:rPr>
        <w:tab/>
      </w:r>
      <w:r w:rsidRPr="00071652">
        <w:rPr>
          <w:rFonts w:ascii="Arial" w:hAnsi="Arial" w:cs="Arial"/>
        </w:rPr>
        <w:t>Massey 2000: 318; Boshoff 2006: 3; Stenborg 2004: 4.</w:t>
      </w:r>
    </w:p>
  </w:footnote>
  <w:footnote w:id="608">
    <w:p w:rsidR="005E7922" w:rsidRPr="00071652" w:rsidRDefault="005E7922" w:rsidP="00A17FDF">
      <w:pPr>
        <w:pStyle w:val="Funotentext"/>
        <w:spacing w:line="240" w:lineRule="auto"/>
        <w:contextualSpacing/>
        <w:jc w:val="both"/>
        <w:rPr>
          <w:rFonts w:ascii="Arial" w:hAnsi="Arial" w:cs="Arial"/>
          <w:lang w:val="af-ZA"/>
        </w:rPr>
      </w:pPr>
      <w:r w:rsidRPr="00071652">
        <w:rPr>
          <w:rStyle w:val="Funotenzeichen"/>
          <w:rFonts w:ascii="Arial" w:hAnsi="Arial" w:cs="Arial"/>
        </w:rPr>
        <w:footnoteRef/>
      </w:r>
      <w:r w:rsidRPr="00071652">
        <w:rPr>
          <w:rFonts w:ascii="Arial" w:hAnsi="Arial" w:cs="Arial"/>
        </w:rPr>
        <w:t xml:space="preserve"> </w:t>
      </w:r>
      <w:r w:rsidRPr="00071652">
        <w:rPr>
          <w:rFonts w:ascii="Arial" w:hAnsi="Arial" w:cs="Arial"/>
          <w:lang w:val="af-ZA"/>
        </w:rPr>
        <w:t xml:space="preserve"> </w:t>
      </w:r>
      <w:r w:rsidRPr="00071652">
        <w:rPr>
          <w:rFonts w:ascii="Arial" w:hAnsi="Arial" w:cs="Arial"/>
          <w:lang w:val="af-ZA"/>
        </w:rPr>
        <w:tab/>
      </w:r>
      <w:r w:rsidRPr="00071652">
        <w:rPr>
          <w:rFonts w:ascii="Arial" w:hAnsi="Arial" w:cs="Arial"/>
        </w:rPr>
        <w:t>Theron 2001: 623.</w:t>
      </w:r>
    </w:p>
  </w:footnote>
  <w:footnote w:id="609">
    <w:p w:rsidR="005E7922" w:rsidRPr="00071652" w:rsidRDefault="005E7922" w:rsidP="00A17FDF">
      <w:pPr>
        <w:pStyle w:val="Funotentext"/>
        <w:spacing w:line="240" w:lineRule="auto"/>
        <w:contextualSpacing/>
        <w:jc w:val="both"/>
        <w:rPr>
          <w:rFonts w:ascii="Arial" w:hAnsi="Arial" w:cs="Arial"/>
        </w:rPr>
      </w:pPr>
      <w:r w:rsidRPr="00071652">
        <w:rPr>
          <w:rStyle w:val="Funotenzeichen"/>
          <w:rFonts w:ascii="Arial" w:hAnsi="Arial" w:cs="Arial"/>
        </w:rPr>
        <w:footnoteRef/>
      </w:r>
      <w:r w:rsidRPr="00071652">
        <w:rPr>
          <w:rFonts w:ascii="Arial" w:hAnsi="Arial" w:cs="Arial"/>
        </w:rPr>
        <w:t xml:space="preserve">  </w:t>
      </w:r>
      <w:r w:rsidRPr="00071652">
        <w:rPr>
          <w:rFonts w:ascii="Arial" w:hAnsi="Arial" w:cs="Arial"/>
        </w:rPr>
        <w:tab/>
        <w:t xml:space="preserve">Massey 2000: 319; Boshoff 2006: 3; Filistrucchi 2008: 6; Dobbs 2002: 2; Competition </w:t>
      </w:r>
      <w:r w:rsidRPr="00071652">
        <w:rPr>
          <w:rFonts w:ascii="Arial" w:hAnsi="Arial" w:cs="Arial"/>
        </w:rPr>
        <w:tab/>
        <w:t xml:space="preserve">Commission 2002: 10; Stenborg 2004: 4; Walker 2006: 25. </w:t>
      </w:r>
    </w:p>
  </w:footnote>
  <w:footnote w:id="610">
    <w:p w:rsidR="005E7922" w:rsidRPr="00071652" w:rsidRDefault="005E7922" w:rsidP="00A17FDF">
      <w:pPr>
        <w:pStyle w:val="Funotentext"/>
        <w:spacing w:line="240" w:lineRule="auto"/>
        <w:contextualSpacing/>
        <w:jc w:val="both"/>
        <w:rPr>
          <w:rFonts w:ascii="Arial" w:hAnsi="Arial" w:cs="Arial"/>
        </w:rPr>
      </w:pPr>
      <w:r w:rsidRPr="00071652">
        <w:rPr>
          <w:rStyle w:val="Funotenzeichen"/>
          <w:rFonts w:ascii="Arial" w:hAnsi="Arial" w:cs="Arial"/>
        </w:rPr>
        <w:footnoteRef/>
      </w:r>
      <w:r w:rsidRPr="00071652">
        <w:rPr>
          <w:rFonts w:ascii="Arial" w:hAnsi="Arial" w:cs="Arial"/>
        </w:rPr>
        <w:t xml:space="preserve">  </w:t>
      </w:r>
      <w:r w:rsidRPr="00071652">
        <w:rPr>
          <w:rFonts w:ascii="Arial" w:hAnsi="Arial" w:cs="Arial"/>
        </w:rPr>
        <w:tab/>
        <w:t>Walker 2006: 26; Competition Commission 2002: 10; Dobbs 2002: 2.</w:t>
      </w:r>
    </w:p>
  </w:footnote>
  <w:footnote w:id="611">
    <w:p w:rsidR="005E7922" w:rsidRPr="008B59A4" w:rsidRDefault="005E7922" w:rsidP="00A17FDF">
      <w:pPr>
        <w:pStyle w:val="Funotentext"/>
        <w:spacing w:line="240" w:lineRule="auto"/>
        <w:contextualSpacing/>
        <w:jc w:val="both"/>
        <w:rPr>
          <w:rFonts w:ascii="Arial" w:hAnsi="Arial" w:cs="Arial"/>
        </w:rPr>
      </w:pPr>
      <w:r w:rsidRPr="008B59A4">
        <w:rPr>
          <w:rStyle w:val="Funotenzeichen"/>
          <w:rFonts w:ascii="Arial" w:hAnsi="Arial" w:cs="Arial"/>
        </w:rPr>
        <w:footnoteRef/>
      </w:r>
      <w:r w:rsidRPr="008B59A4">
        <w:rPr>
          <w:rFonts w:ascii="Arial" w:hAnsi="Arial" w:cs="Arial"/>
        </w:rPr>
        <w:t xml:space="preserve">  </w:t>
      </w:r>
      <w:r w:rsidRPr="008B59A4">
        <w:rPr>
          <w:rFonts w:ascii="Arial" w:hAnsi="Arial" w:cs="Arial"/>
        </w:rPr>
        <w:tab/>
        <w:t>Massey 2000: 318.</w:t>
      </w:r>
    </w:p>
  </w:footnote>
  <w:footnote w:id="612">
    <w:p w:rsidR="005E7922" w:rsidRPr="008B59A4" w:rsidRDefault="005E7922" w:rsidP="00A17FDF">
      <w:pPr>
        <w:pStyle w:val="Funotentext"/>
        <w:spacing w:line="240" w:lineRule="auto"/>
        <w:contextualSpacing/>
        <w:jc w:val="both"/>
        <w:rPr>
          <w:rFonts w:ascii="Arial" w:hAnsi="Arial" w:cs="Arial"/>
          <w:lang w:val="af-ZA"/>
        </w:rPr>
      </w:pPr>
      <w:r w:rsidRPr="008B59A4">
        <w:rPr>
          <w:rStyle w:val="Funotenzeichen"/>
          <w:rFonts w:ascii="Arial" w:hAnsi="Arial" w:cs="Arial"/>
        </w:rPr>
        <w:footnoteRef/>
      </w:r>
      <w:r w:rsidRPr="008B59A4">
        <w:rPr>
          <w:rFonts w:ascii="Arial" w:hAnsi="Arial" w:cs="Arial"/>
        </w:rPr>
        <w:t xml:space="preserve"> </w:t>
      </w:r>
      <w:r w:rsidRPr="008B59A4">
        <w:rPr>
          <w:rFonts w:ascii="Arial" w:hAnsi="Arial" w:cs="Arial"/>
          <w:lang w:val="af-ZA"/>
        </w:rPr>
        <w:t xml:space="preserve"> </w:t>
      </w:r>
      <w:r w:rsidRPr="008B59A4">
        <w:rPr>
          <w:rFonts w:ascii="Arial" w:hAnsi="Arial" w:cs="Arial"/>
          <w:lang w:val="af-ZA"/>
        </w:rPr>
        <w:tab/>
      </w:r>
      <w:r w:rsidRPr="008B59A4">
        <w:rPr>
          <w:rFonts w:ascii="Arial" w:hAnsi="Arial" w:cs="Arial"/>
        </w:rPr>
        <w:t>Competition Commission 2002: 10.</w:t>
      </w:r>
    </w:p>
  </w:footnote>
  <w:footnote w:id="613">
    <w:p w:rsidR="005E7922" w:rsidRPr="008B59A4" w:rsidRDefault="005E7922" w:rsidP="008B59A4">
      <w:pPr>
        <w:pStyle w:val="Funotentext"/>
        <w:spacing w:line="240" w:lineRule="auto"/>
        <w:contextualSpacing/>
        <w:jc w:val="both"/>
        <w:rPr>
          <w:rFonts w:ascii="Arial" w:hAnsi="Arial" w:cs="Arial"/>
        </w:rPr>
      </w:pPr>
      <w:r w:rsidRPr="008B59A4">
        <w:rPr>
          <w:rStyle w:val="Funotenzeichen"/>
          <w:rFonts w:ascii="Arial" w:hAnsi="Arial" w:cs="Arial"/>
        </w:rPr>
        <w:footnoteRef/>
      </w:r>
      <w:r w:rsidRPr="008B59A4">
        <w:rPr>
          <w:rFonts w:ascii="Arial" w:hAnsi="Arial" w:cs="Arial"/>
        </w:rPr>
        <w:t xml:space="preserve">  </w:t>
      </w:r>
      <w:r w:rsidRPr="008B59A4">
        <w:rPr>
          <w:rFonts w:ascii="Arial" w:hAnsi="Arial" w:cs="Arial"/>
        </w:rPr>
        <w:tab/>
        <w:t>Boshoff 2006: 3; Massey 2000: 318.</w:t>
      </w:r>
    </w:p>
  </w:footnote>
  <w:footnote w:id="614">
    <w:p w:rsidR="005E7922" w:rsidRPr="008B59A4" w:rsidRDefault="005E7922" w:rsidP="008B59A4">
      <w:pPr>
        <w:pStyle w:val="Funotentext"/>
        <w:spacing w:line="240" w:lineRule="auto"/>
        <w:contextualSpacing/>
        <w:jc w:val="both"/>
        <w:rPr>
          <w:rFonts w:ascii="Arial" w:hAnsi="Arial" w:cs="Arial"/>
          <w:lang w:val="af-ZA"/>
        </w:rPr>
      </w:pPr>
      <w:r w:rsidRPr="008B59A4">
        <w:rPr>
          <w:rStyle w:val="Funotenzeichen"/>
          <w:rFonts w:ascii="Arial" w:hAnsi="Arial" w:cs="Arial"/>
        </w:rPr>
        <w:footnoteRef/>
      </w:r>
      <w:r w:rsidRPr="008B59A4">
        <w:rPr>
          <w:rFonts w:ascii="Arial" w:hAnsi="Arial" w:cs="Arial"/>
        </w:rPr>
        <w:t xml:space="preserve"> </w:t>
      </w:r>
      <w:r w:rsidRPr="008B59A4">
        <w:rPr>
          <w:rFonts w:ascii="Arial" w:hAnsi="Arial" w:cs="Arial"/>
          <w:lang w:val="af-ZA"/>
        </w:rPr>
        <w:t xml:space="preserve"> </w:t>
      </w:r>
      <w:r w:rsidRPr="008B59A4">
        <w:rPr>
          <w:rFonts w:ascii="Arial" w:hAnsi="Arial" w:cs="Arial"/>
          <w:lang w:val="af-ZA"/>
        </w:rPr>
        <w:tab/>
      </w:r>
      <w:r w:rsidRPr="008B59A4">
        <w:rPr>
          <w:rFonts w:ascii="Arial" w:hAnsi="Arial" w:cs="Arial"/>
        </w:rPr>
        <w:t>Stenborg 2004: 4; Competition Commission 2002: 10; Boshoff 2006: 3; Massey 2000: 318.</w:t>
      </w:r>
    </w:p>
  </w:footnote>
  <w:footnote w:id="615">
    <w:p w:rsidR="005E7922" w:rsidRPr="008B59A4" w:rsidRDefault="005E7922" w:rsidP="008B59A4">
      <w:pPr>
        <w:pStyle w:val="Funotentext"/>
        <w:spacing w:line="240" w:lineRule="auto"/>
        <w:contextualSpacing/>
        <w:jc w:val="both"/>
        <w:rPr>
          <w:rFonts w:ascii="Arial" w:hAnsi="Arial" w:cs="Arial"/>
          <w:lang w:val="af-ZA"/>
        </w:rPr>
      </w:pPr>
      <w:r w:rsidRPr="008B59A4">
        <w:rPr>
          <w:rStyle w:val="Funotenzeichen"/>
          <w:rFonts w:ascii="Arial" w:hAnsi="Arial" w:cs="Arial"/>
        </w:rPr>
        <w:footnoteRef/>
      </w:r>
      <w:r w:rsidRPr="008B59A4">
        <w:rPr>
          <w:rFonts w:ascii="Arial" w:hAnsi="Arial" w:cs="Arial"/>
        </w:rPr>
        <w:t xml:space="preserve"> </w:t>
      </w:r>
      <w:r w:rsidRPr="008B59A4">
        <w:rPr>
          <w:rFonts w:ascii="Arial" w:hAnsi="Arial" w:cs="Arial"/>
          <w:lang w:val="af-ZA"/>
        </w:rPr>
        <w:t xml:space="preserve"> </w:t>
      </w:r>
      <w:r w:rsidRPr="008B59A4">
        <w:rPr>
          <w:rFonts w:ascii="Arial" w:hAnsi="Arial" w:cs="Arial"/>
          <w:lang w:val="af-ZA"/>
        </w:rPr>
        <w:tab/>
      </w:r>
      <w:r w:rsidRPr="008B59A4">
        <w:rPr>
          <w:rFonts w:ascii="Arial" w:hAnsi="Arial" w:cs="Arial"/>
        </w:rPr>
        <w:t>Theron 2001: 623; Stenborg 2004: 4.</w:t>
      </w:r>
    </w:p>
  </w:footnote>
  <w:footnote w:id="616">
    <w:p w:rsidR="005E7922" w:rsidRPr="008B59A4" w:rsidRDefault="005E7922" w:rsidP="008B59A4">
      <w:pPr>
        <w:pStyle w:val="Funotentext"/>
        <w:spacing w:line="240" w:lineRule="auto"/>
        <w:contextualSpacing/>
        <w:jc w:val="both"/>
        <w:rPr>
          <w:rFonts w:ascii="Arial" w:hAnsi="Arial" w:cs="Arial"/>
          <w:lang w:val="af-ZA"/>
        </w:rPr>
      </w:pPr>
      <w:r w:rsidRPr="008B59A4">
        <w:rPr>
          <w:rStyle w:val="Funotenzeichen"/>
          <w:rFonts w:ascii="Arial" w:hAnsi="Arial" w:cs="Arial"/>
        </w:rPr>
        <w:footnoteRef/>
      </w:r>
      <w:r w:rsidRPr="008B59A4">
        <w:rPr>
          <w:rFonts w:ascii="Arial" w:hAnsi="Arial" w:cs="Arial"/>
        </w:rPr>
        <w:t xml:space="preserve">  </w:t>
      </w:r>
      <w:r w:rsidRPr="008B59A4">
        <w:rPr>
          <w:rFonts w:ascii="Arial" w:hAnsi="Arial" w:cs="Arial"/>
        </w:rPr>
        <w:tab/>
        <w:t>Massey 2000: 318; Boshoff 2006: 3; Stenborg 2004: 4.</w:t>
      </w:r>
    </w:p>
  </w:footnote>
  <w:footnote w:id="617">
    <w:p w:rsidR="005E7922" w:rsidRPr="008B59A4" w:rsidRDefault="005E7922" w:rsidP="008B59A4">
      <w:pPr>
        <w:pStyle w:val="Funotentext"/>
        <w:spacing w:line="240" w:lineRule="auto"/>
        <w:contextualSpacing/>
        <w:jc w:val="both"/>
        <w:rPr>
          <w:rFonts w:ascii="Arial" w:hAnsi="Arial" w:cs="Arial"/>
          <w:lang w:val="af-ZA"/>
        </w:rPr>
      </w:pPr>
      <w:r w:rsidRPr="008B59A4">
        <w:rPr>
          <w:rStyle w:val="Funotenzeichen"/>
          <w:rFonts w:ascii="Arial" w:hAnsi="Arial" w:cs="Arial"/>
        </w:rPr>
        <w:footnoteRef/>
      </w:r>
      <w:r w:rsidRPr="008B59A4">
        <w:rPr>
          <w:rFonts w:ascii="Arial" w:hAnsi="Arial" w:cs="Arial"/>
        </w:rPr>
        <w:t xml:space="preserve"> </w:t>
      </w:r>
      <w:r w:rsidRPr="008B59A4">
        <w:rPr>
          <w:rFonts w:ascii="Arial" w:hAnsi="Arial" w:cs="Arial"/>
          <w:lang w:val="af-ZA"/>
        </w:rPr>
        <w:t xml:space="preserve"> </w:t>
      </w:r>
      <w:r w:rsidRPr="008B59A4">
        <w:rPr>
          <w:rFonts w:ascii="Arial" w:hAnsi="Arial" w:cs="Arial"/>
          <w:lang w:val="af-ZA"/>
        </w:rPr>
        <w:tab/>
      </w:r>
      <w:r w:rsidRPr="008B59A4">
        <w:rPr>
          <w:rFonts w:ascii="Arial" w:hAnsi="Arial" w:cs="Arial"/>
        </w:rPr>
        <w:t>Massey 2000: 318; Boshoff 2006: 3; Stenborg 2004: 4; Competition Commission 2002: 10.</w:t>
      </w:r>
    </w:p>
  </w:footnote>
  <w:footnote w:id="618">
    <w:p w:rsidR="005E7922" w:rsidRPr="008B59A4" w:rsidRDefault="005E7922" w:rsidP="008B59A4">
      <w:pPr>
        <w:pStyle w:val="Funotentext"/>
        <w:spacing w:line="240" w:lineRule="auto"/>
        <w:contextualSpacing/>
        <w:jc w:val="both"/>
        <w:rPr>
          <w:rFonts w:ascii="Arial" w:hAnsi="Arial" w:cs="Arial"/>
          <w:lang w:val="af-ZA"/>
        </w:rPr>
      </w:pPr>
      <w:r w:rsidRPr="008B59A4">
        <w:rPr>
          <w:rStyle w:val="Funotenzeichen"/>
          <w:rFonts w:ascii="Arial" w:hAnsi="Arial" w:cs="Arial"/>
        </w:rPr>
        <w:footnoteRef/>
      </w:r>
      <w:r w:rsidRPr="008B59A4">
        <w:rPr>
          <w:rFonts w:ascii="Arial" w:hAnsi="Arial" w:cs="Arial"/>
        </w:rPr>
        <w:t xml:space="preserve"> </w:t>
      </w:r>
      <w:r w:rsidRPr="008B59A4">
        <w:rPr>
          <w:rFonts w:ascii="Arial" w:hAnsi="Arial" w:cs="Arial"/>
          <w:lang w:val="af-ZA"/>
        </w:rPr>
        <w:t xml:space="preserve"> </w:t>
      </w:r>
      <w:r w:rsidRPr="008B59A4">
        <w:rPr>
          <w:rFonts w:ascii="Arial" w:hAnsi="Arial" w:cs="Arial"/>
          <w:lang w:val="af-ZA"/>
        </w:rPr>
        <w:tab/>
      </w:r>
      <w:r w:rsidRPr="008B59A4">
        <w:rPr>
          <w:rFonts w:ascii="Arial" w:hAnsi="Arial" w:cs="Arial"/>
        </w:rPr>
        <w:t>Massey 2000: 318; Boshoff 2006: 3; Stenborg 2004: 4; Competition Commission 2002: 10.</w:t>
      </w:r>
    </w:p>
  </w:footnote>
  <w:footnote w:id="619">
    <w:p w:rsidR="005E7922" w:rsidRPr="008B59A4" w:rsidRDefault="005E7922" w:rsidP="008B59A4">
      <w:pPr>
        <w:pStyle w:val="Funotentext"/>
        <w:spacing w:line="240" w:lineRule="auto"/>
        <w:contextualSpacing/>
        <w:jc w:val="both"/>
        <w:rPr>
          <w:rFonts w:ascii="Arial" w:hAnsi="Arial" w:cs="Arial"/>
          <w:lang w:val="af-ZA"/>
        </w:rPr>
      </w:pPr>
      <w:r w:rsidRPr="008B59A4">
        <w:rPr>
          <w:rStyle w:val="Funotenzeichen"/>
          <w:rFonts w:ascii="Arial" w:hAnsi="Arial" w:cs="Arial"/>
        </w:rPr>
        <w:footnoteRef/>
      </w:r>
      <w:r w:rsidRPr="008B59A4">
        <w:rPr>
          <w:rFonts w:ascii="Arial" w:hAnsi="Arial" w:cs="Arial"/>
        </w:rPr>
        <w:t xml:space="preserve">  </w:t>
      </w:r>
      <w:r w:rsidRPr="008B59A4">
        <w:rPr>
          <w:rFonts w:ascii="Arial" w:hAnsi="Arial" w:cs="Arial"/>
        </w:rPr>
        <w:tab/>
        <w:t>Massey 2000: 318; Boshoff 2006: 3; Stenborg 2004: 5; Competition Commission 2002: 10.</w:t>
      </w:r>
    </w:p>
  </w:footnote>
  <w:footnote w:id="620">
    <w:p w:rsidR="005E7922" w:rsidRPr="008B59A4" w:rsidRDefault="005E7922" w:rsidP="008B59A4">
      <w:pPr>
        <w:pStyle w:val="Funotentext"/>
        <w:spacing w:line="240" w:lineRule="auto"/>
        <w:contextualSpacing/>
        <w:jc w:val="both"/>
        <w:rPr>
          <w:rFonts w:ascii="Arial" w:hAnsi="Arial" w:cs="Arial"/>
          <w:lang w:val="af-ZA"/>
        </w:rPr>
      </w:pPr>
      <w:r w:rsidRPr="008B59A4">
        <w:rPr>
          <w:rStyle w:val="Funotenzeichen"/>
          <w:rFonts w:ascii="Arial" w:hAnsi="Arial" w:cs="Arial"/>
        </w:rPr>
        <w:footnoteRef/>
      </w:r>
      <w:r w:rsidRPr="008B59A4">
        <w:rPr>
          <w:rFonts w:ascii="Arial" w:hAnsi="Arial" w:cs="Arial"/>
        </w:rPr>
        <w:t xml:space="preserve"> </w:t>
      </w:r>
      <w:r w:rsidRPr="008B59A4">
        <w:rPr>
          <w:rFonts w:ascii="Arial" w:hAnsi="Arial" w:cs="Arial"/>
          <w:lang w:val="af-ZA"/>
        </w:rPr>
        <w:t xml:space="preserve"> </w:t>
      </w:r>
      <w:r w:rsidRPr="008B59A4">
        <w:rPr>
          <w:rFonts w:ascii="Arial" w:hAnsi="Arial" w:cs="Arial"/>
          <w:lang w:val="af-ZA"/>
        </w:rPr>
        <w:tab/>
      </w:r>
      <w:r w:rsidRPr="008B59A4">
        <w:rPr>
          <w:rFonts w:ascii="Arial" w:hAnsi="Arial" w:cs="Arial"/>
        </w:rPr>
        <w:t>Theron 2001: 623; Boshoff 2006: 3.</w:t>
      </w:r>
    </w:p>
  </w:footnote>
  <w:footnote w:id="621">
    <w:p w:rsidR="005E7922" w:rsidRPr="00D76E00" w:rsidRDefault="005E7922" w:rsidP="00D76E00">
      <w:pPr>
        <w:pStyle w:val="Funotentext"/>
        <w:spacing w:line="240" w:lineRule="auto"/>
        <w:contextualSpacing/>
        <w:jc w:val="both"/>
        <w:rPr>
          <w:rFonts w:ascii="Arial" w:hAnsi="Arial" w:cs="Arial"/>
          <w:lang w:val="af-ZA"/>
        </w:rPr>
      </w:pPr>
      <w:r w:rsidRPr="00D76E00">
        <w:rPr>
          <w:rStyle w:val="Funotenzeichen"/>
          <w:rFonts w:ascii="Arial" w:hAnsi="Arial" w:cs="Arial"/>
        </w:rPr>
        <w:footnoteRef/>
      </w:r>
      <w:r w:rsidRPr="00D76E00">
        <w:rPr>
          <w:rFonts w:ascii="Arial" w:hAnsi="Arial" w:cs="Arial"/>
        </w:rPr>
        <w:t xml:space="preserve"> </w:t>
      </w:r>
      <w:r w:rsidRPr="00D76E00">
        <w:rPr>
          <w:rFonts w:ascii="Arial" w:hAnsi="Arial" w:cs="Arial"/>
          <w:lang w:val="af-ZA"/>
        </w:rPr>
        <w:t xml:space="preserve"> </w:t>
      </w:r>
      <w:r w:rsidRPr="00D76E00">
        <w:rPr>
          <w:rFonts w:ascii="Arial" w:hAnsi="Arial" w:cs="Arial"/>
          <w:lang w:val="af-ZA"/>
        </w:rPr>
        <w:tab/>
      </w:r>
      <w:r w:rsidRPr="00D76E00">
        <w:rPr>
          <w:rFonts w:ascii="Arial" w:hAnsi="Arial" w:cs="Arial"/>
        </w:rPr>
        <w:t>Stenborg 2004: 5; Boshoff 2006: 3.</w:t>
      </w:r>
    </w:p>
  </w:footnote>
  <w:footnote w:id="622">
    <w:p w:rsidR="005E7922" w:rsidRPr="00D76E00" w:rsidRDefault="005E7922" w:rsidP="00D76E00">
      <w:pPr>
        <w:pStyle w:val="Funotentext"/>
        <w:spacing w:line="240" w:lineRule="auto"/>
        <w:contextualSpacing/>
        <w:jc w:val="both"/>
        <w:rPr>
          <w:rFonts w:ascii="Arial" w:hAnsi="Arial" w:cs="Arial"/>
          <w:lang w:val="af-ZA"/>
        </w:rPr>
      </w:pPr>
      <w:r w:rsidRPr="00D76E00">
        <w:rPr>
          <w:rStyle w:val="Funotenzeichen"/>
          <w:rFonts w:ascii="Arial" w:hAnsi="Arial" w:cs="Arial"/>
        </w:rPr>
        <w:footnoteRef/>
      </w:r>
      <w:r w:rsidRPr="00D76E00">
        <w:rPr>
          <w:rFonts w:ascii="Arial" w:hAnsi="Arial" w:cs="Arial"/>
        </w:rPr>
        <w:t xml:space="preserve"> </w:t>
      </w:r>
      <w:r w:rsidRPr="00D76E00">
        <w:rPr>
          <w:rFonts w:ascii="Arial" w:hAnsi="Arial" w:cs="Arial"/>
          <w:lang w:val="af-ZA"/>
        </w:rPr>
        <w:t xml:space="preserve"> </w:t>
      </w:r>
      <w:r w:rsidRPr="00D76E00">
        <w:rPr>
          <w:rFonts w:ascii="Arial" w:hAnsi="Arial" w:cs="Arial"/>
          <w:lang w:val="af-ZA"/>
        </w:rPr>
        <w:tab/>
      </w:r>
      <w:r w:rsidRPr="00D76E00">
        <w:rPr>
          <w:rFonts w:ascii="Arial" w:hAnsi="Arial" w:cs="Arial"/>
        </w:rPr>
        <w:t>Stenborg 2004: 5.</w:t>
      </w:r>
    </w:p>
  </w:footnote>
  <w:footnote w:id="623">
    <w:p w:rsidR="005E7922" w:rsidRPr="00D76E00" w:rsidRDefault="005E7922" w:rsidP="00D76E00">
      <w:pPr>
        <w:pStyle w:val="Funotentext"/>
        <w:spacing w:line="240" w:lineRule="auto"/>
        <w:contextualSpacing/>
        <w:jc w:val="both"/>
        <w:rPr>
          <w:rFonts w:ascii="Arial" w:hAnsi="Arial" w:cs="Arial"/>
          <w:lang w:val="af-ZA"/>
        </w:rPr>
      </w:pPr>
      <w:r w:rsidRPr="00D76E00">
        <w:rPr>
          <w:rStyle w:val="Funotenzeichen"/>
          <w:rFonts w:ascii="Arial" w:hAnsi="Arial" w:cs="Arial"/>
        </w:rPr>
        <w:footnoteRef/>
      </w:r>
      <w:r w:rsidRPr="00D76E00">
        <w:rPr>
          <w:rFonts w:ascii="Arial" w:hAnsi="Arial" w:cs="Arial"/>
        </w:rPr>
        <w:t xml:space="preserve"> </w:t>
      </w:r>
      <w:r w:rsidRPr="00D76E00">
        <w:rPr>
          <w:rFonts w:ascii="Arial" w:hAnsi="Arial" w:cs="Arial"/>
          <w:lang w:val="af-ZA"/>
        </w:rPr>
        <w:t xml:space="preserve"> </w:t>
      </w:r>
      <w:r w:rsidRPr="00D76E00">
        <w:rPr>
          <w:rFonts w:ascii="Arial" w:hAnsi="Arial" w:cs="Arial"/>
          <w:lang w:val="af-ZA"/>
        </w:rPr>
        <w:tab/>
      </w:r>
      <w:r w:rsidRPr="00D76E00">
        <w:rPr>
          <w:rFonts w:ascii="Arial" w:hAnsi="Arial" w:cs="Arial"/>
        </w:rPr>
        <w:t>Stenborg 2004: 5.</w:t>
      </w:r>
    </w:p>
  </w:footnote>
  <w:footnote w:id="624">
    <w:p w:rsidR="005E7922" w:rsidRPr="00D76E00" w:rsidRDefault="005E7922" w:rsidP="00D76E00">
      <w:pPr>
        <w:pStyle w:val="Funotentext"/>
        <w:spacing w:line="240" w:lineRule="auto"/>
        <w:contextualSpacing/>
        <w:jc w:val="both"/>
        <w:rPr>
          <w:rFonts w:ascii="Arial" w:hAnsi="Arial" w:cs="Arial"/>
          <w:lang w:val="af-ZA"/>
        </w:rPr>
      </w:pPr>
      <w:r w:rsidRPr="00D76E00">
        <w:rPr>
          <w:rStyle w:val="Funotenzeichen"/>
          <w:rFonts w:ascii="Arial" w:hAnsi="Arial" w:cs="Arial"/>
        </w:rPr>
        <w:footnoteRef/>
      </w:r>
      <w:r w:rsidRPr="00D76E00">
        <w:rPr>
          <w:rFonts w:ascii="Arial" w:hAnsi="Arial" w:cs="Arial"/>
        </w:rPr>
        <w:t xml:space="preserve"> </w:t>
      </w:r>
      <w:r w:rsidRPr="00D76E00">
        <w:rPr>
          <w:rFonts w:ascii="Arial" w:hAnsi="Arial" w:cs="Arial"/>
          <w:lang w:val="af-ZA"/>
        </w:rPr>
        <w:t xml:space="preserve">  </w:t>
      </w:r>
      <w:r w:rsidRPr="00D76E00">
        <w:rPr>
          <w:rFonts w:ascii="Arial" w:hAnsi="Arial" w:cs="Arial"/>
          <w:lang w:val="af-ZA"/>
        </w:rPr>
        <w:tab/>
      </w:r>
      <w:r w:rsidRPr="00D76E00">
        <w:rPr>
          <w:rFonts w:ascii="Arial" w:hAnsi="Arial" w:cs="Arial"/>
        </w:rPr>
        <w:t>Boshoff 2006: 3.</w:t>
      </w:r>
    </w:p>
  </w:footnote>
  <w:footnote w:id="625">
    <w:p w:rsidR="005E7922" w:rsidRPr="00D76E00" w:rsidRDefault="005E7922" w:rsidP="00D76E00">
      <w:pPr>
        <w:pStyle w:val="Funotentext"/>
        <w:spacing w:line="240" w:lineRule="auto"/>
        <w:contextualSpacing/>
        <w:jc w:val="both"/>
        <w:rPr>
          <w:rFonts w:ascii="Arial" w:hAnsi="Arial" w:cs="Arial"/>
          <w:lang w:val="af-ZA"/>
        </w:rPr>
      </w:pPr>
      <w:r w:rsidRPr="00D76E00">
        <w:rPr>
          <w:rStyle w:val="Funotenzeichen"/>
          <w:rFonts w:ascii="Arial" w:hAnsi="Arial" w:cs="Arial"/>
        </w:rPr>
        <w:footnoteRef/>
      </w:r>
      <w:r w:rsidRPr="00D76E00">
        <w:rPr>
          <w:rFonts w:ascii="Arial" w:hAnsi="Arial" w:cs="Arial"/>
        </w:rPr>
        <w:t xml:space="preserve"> </w:t>
      </w:r>
      <w:r w:rsidRPr="00D76E00">
        <w:rPr>
          <w:rFonts w:ascii="Arial" w:hAnsi="Arial" w:cs="Arial"/>
          <w:lang w:val="af-ZA"/>
        </w:rPr>
        <w:t xml:space="preserve"> </w:t>
      </w:r>
      <w:r w:rsidRPr="00D76E00">
        <w:rPr>
          <w:rFonts w:ascii="Arial" w:hAnsi="Arial" w:cs="Arial"/>
          <w:lang w:val="af-ZA"/>
        </w:rPr>
        <w:tab/>
      </w:r>
      <w:r w:rsidRPr="00D76E00">
        <w:rPr>
          <w:rFonts w:ascii="Arial" w:hAnsi="Arial" w:cs="Arial"/>
        </w:rPr>
        <w:t>Boshoff 2006: 3.</w:t>
      </w:r>
    </w:p>
  </w:footnote>
  <w:footnote w:id="626">
    <w:p w:rsidR="005E7922" w:rsidRPr="00D76E00" w:rsidRDefault="005E7922" w:rsidP="00D76E00">
      <w:pPr>
        <w:pStyle w:val="Funotentext"/>
        <w:spacing w:line="240" w:lineRule="auto"/>
        <w:contextualSpacing/>
        <w:jc w:val="both"/>
        <w:rPr>
          <w:rFonts w:ascii="Arial" w:hAnsi="Arial" w:cs="Arial"/>
          <w:lang w:val="af-ZA"/>
        </w:rPr>
      </w:pPr>
      <w:r w:rsidRPr="00D76E00">
        <w:rPr>
          <w:rStyle w:val="Funotenzeichen"/>
          <w:rFonts w:ascii="Arial" w:hAnsi="Arial" w:cs="Arial"/>
        </w:rPr>
        <w:footnoteRef/>
      </w:r>
      <w:r w:rsidRPr="00D76E00">
        <w:rPr>
          <w:rFonts w:ascii="Arial" w:hAnsi="Arial" w:cs="Arial"/>
        </w:rPr>
        <w:t xml:space="preserve"> </w:t>
      </w:r>
      <w:r w:rsidRPr="00D76E00">
        <w:rPr>
          <w:rFonts w:ascii="Arial" w:hAnsi="Arial" w:cs="Arial"/>
          <w:lang w:val="af-ZA"/>
        </w:rPr>
        <w:t xml:space="preserve"> </w:t>
      </w:r>
      <w:r w:rsidRPr="00D76E00">
        <w:rPr>
          <w:rFonts w:ascii="Arial" w:hAnsi="Arial" w:cs="Arial"/>
          <w:lang w:val="af-ZA"/>
        </w:rPr>
        <w:tab/>
      </w:r>
      <w:r w:rsidRPr="00D76E00">
        <w:rPr>
          <w:rFonts w:ascii="Arial" w:hAnsi="Arial" w:cs="Arial"/>
        </w:rPr>
        <w:t xml:space="preserve">Theron 2001: 623; Neuhoff </w:t>
      </w:r>
      <w:r w:rsidRPr="00D76E00">
        <w:rPr>
          <w:rFonts w:ascii="Arial" w:hAnsi="Arial" w:cs="Arial"/>
          <w:i/>
        </w:rPr>
        <w:t>et al</w:t>
      </w:r>
      <w:r w:rsidRPr="00D76E00">
        <w:rPr>
          <w:rFonts w:ascii="Arial" w:hAnsi="Arial" w:cs="Arial"/>
        </w:rPr>
        <w:t xml:space="preserve"> 2006: 34.</w:t>
      </w:r>
    </w:p>
  </w:footnote>
  <w:footnote w:id="627">
    <w:p w:rsidR="005E7922" w:rsidRPr="00D76E00" w:rsidRDefault="005E7922" w:rsidP="00D76E00">
      <w:pPr>
        <w:pStyle w:val="Funotentext"/>
        <w:spacing w:line="240" w:lineRule="auto"/>
        <w:contextualSpacing/>
        <w:jc w:val="both"/>
        <w:rPr>
          <w:rFonts w:ascii="Arial" w:hAnsi="Arial" w:cs="Arial"/>
          <w:lang w:val="af-ZA"/>
        </w:rPr>
      </w:pPr>
      <w:r w:rsidRPr="00D76E00">
        <w:rPr>
          <w:rStyle w:val="Funotenzeichen"/>
          <w:rFonts w:ascii="Arial" w:hAnsi="Arial" w:cs="Arial"/>
        </w:rPr>
        <w:footnoteRef/>
      </w:r>
      <w:r w:rsidRPr="00D76E00">
        <w:rPr>
          <w:rFonts w:ascii="Arial" w:hAnsi="Arial" w:cs="Arial"/>
        </w:rPr>
        <w:t xml:space="preserve"> </w:t>
      </w:r>
      <w:r w:rsidRPr="00D76E00">
        <w:rPr>
          <w:rFonts w:ascii="Arial" w:hAnsi="Arial" w:cs="Arial"/>
          <w:lang w:val="af-ZA"/>
        </w:rPr>
        <w:t xml:space="preserve"> </w:t>
      </w:r>
      <w:r w:rsidRPr="00D76E00">
        <w:rPr>
          <w:rFonts w:ascii="Arial" w:hAnsi="Arial" w:cs="Arial"/>
          <w:lang w:val="af-ZA"/>
        </w:rPr>
        <w:tab/>
      </w:r>
      <w:r w:rsidRPr="00D76E00">
        <w:rPr>
          <w:rFonts w:ascii="Arial" w:hAnsi="Arial" w:cs="Arial"/>
        </w:rPr>
        <w:t xml:space="preserve">Neuhoff </w:t>
      </w:r>
      <w:r w:rsidRPr="00D76E00">
        <w:rPr>
          <w:rFonts w:ascii="Arial" w:hAnsi="Arial" w:cs="Arial"/>
          <w:i/>
        </w:rPr>
        <w:t>et al</w:t>
      </w:r>
      <w:r w:rsidRPr="00D76E00">
        <w:rPr>
          <w:rFonts w:ascii="Arial" w:hAnsi="Arial" w:cs="Arial"/>
        </w:rPr>
        <w:t xml:space="preserve"> 2006: 33.</w:t>
      </w:r>
    </w:p>
  </w:footnote>
  <w:footnote w:id="628">
    <w:p w:rsidR="005E7922" w:rsidRPr="00D76E00" w:rsidRDefault="005E7922" w:rsidP="00D76E00">
      <w:pPr>
        <w:pStyle w:val="Funotentext"/>
        <w:spacing w:line="240" w:lineRule="auto"/>
        <w:contextualSpacing/>
        <w:jc w:val="both"/>
        <w:rPr>
          <w:rFonts w:ascii="Arial" w:hAnsi="Arial" w:cs="Arial"/>
          <w:lang w:val="af-ZA"/>
        </w:rPr>
      </w:pPr>
      <w:r w:rsidRPr="00D76E00">
        <w:rPr>
          <w:rStyle w:val="Funotenzeichen"/>
          <w:rFonts w:ascii="Arial" w:hAnsi="Arial" w:cs="Arial"/>
        </w:rPr>
        <w:footnoteRef/>
      </w:r>
      <w:r w:rsidRPr="00D76E00">
        <w:rPr>
          <w:rFonts w:ascii="Arial" w:hAnsi="Arial" w:cs="Arial"/>
        </w:rPr>
        <w:t xml:space="preserve"> </w:t>
      </w:r>
      <w:r w:rsidRPr="00D76E00">
        <w:rPr>
          <w:rFonts w:ascii="Arial" w:hAnsi="Arial" w:cs="Arial"/>
          <w:lang w:val="af-ZA"/>
        </w:rPr>
        <w:t xml:space="preserve"> </w:t>
      </w:r>
      <w:r w:rsidRPr="00D76E00">
        <w:rPr>
          <w:rFonts w:ascii="Arial" w:hAnsi="Arial" w:cs="Arial"/>
          <w:lang w:val="af-ZA"/>
        </w:rPr>
        <w:tab/>
      </w:r>
      <w:r w:rsidRPr="00D76E00">
        <w:rPr>
          <w:rFonts w:ascii="Arial" w:hAnsi="Arial" w:cs="Arial"/>
        </w:rPr>
        <w:t xml:space="preserve">Neuhoff </w:t>
      </w:r>
      <w:r w:rsidRPr="00D76E00">
        <w:rPr>
          <w:rFonts w:ascii="Arial" w:hAnsi="Arial" w:cs="Arial"/>
          <w:i/>
        </w:rPr>
        <w:t>et al</w:t>
      </w:r>
      <w:r w:rsidRPr="00D76E00">
        <w:rPr>
          <w:rFonts w:ascii="Arial" w:hAnsi="Arial" w:cs="Arial"/>
        </w:rPr>
        <w:t xml:space="preserve"> 2006: 33.</w:t>
      </w:r>
    </w:p>
  </w:footnote>
  <w:footnote w:id="629">
    <w:p w:rsidR="005E7922" w:rsidRPr="00822574" w:rsidRDefault="005E7922" w:rsidP="00822574">
      <w:pPr>
        <w:pStyle w:val="Funotentext"/>
        <w:spacing w:line="240" w:lineRule="auto"/>
        <w:contextualSpacing/>
        <w:jc w:val="both"/>
        <w:rPr>
          <w:rFonts w:ascii="Arial" w:hAnsi="Arial" w:cs="Arial"/>
        </w:rPr>
      </w:pPr>
      <w:r w:rsidRPr="00822574">
        <w:rPr>
          <w:rStyle w:val="Funotenzeichen"/>
          <w:rFonts w:ascii="Arial" w:hAnsi="Arial" w:cs="Arial"/>
        </w:rPr>
        <w:footnoteRef/>
      </w:r>
      <w:r w:rsidRPr="00822574">
        <w:rPr>
          <w:rFonts w:ascii="Arial" w:hAnsi="Arial" w:cs="Arial"/>
        </w:rPr>
        <w:t xml:space="preserve">  </w:t>
      </w:r>
      <w:r w:rsidRPr="00822574">
        <w:rPr>
          <w:rFonts w:ascii="Arial" w:hAnsi="Arial" w:cs="Arial"/>
        </w:rPr>
        <w:tab/>
        <w:t xml:space="preserve">Neuhoff </w:t>
      </w:r>
      <w:r w:rsidRPr="00822574">
        <w:rPr>
          <w:rFonts w:ascii="Arial" w:hAnsi="Arial" w:cs="Arial"/>
          <w:i/>
        </w:rPr>
        <w:t>et al</w:t>
      </w:r>
      <w:r w:rsidRPr="00822574">
        <w:rPr>
          <w:rFonts w:ascii="Arial" w:hAnsi="Arial" w:cs="Arial"/>
        </w:rPr>
        <w:t xml:space="preserve"> 2006: 33.</w:t>
      </w:r>
    </w:p>
  </w:footnote>
  <w:footnote w:id="630">
    <w:p w:rsidR="005E7922" w:rsidRPr="00822574" w:rsidRDefault="005E7922" w:rsidP="00822574">
      <w:pPr>
        <w:pStyle w:val="Funotentext"/>
        <w:spacing w:line="240" w:lineRule="auto"/>
        <w:contextualSpacing/>
        <w:jc w:val="both"/>
        <w:rPr>
          <w:rFonts w:ascii="Arial" w:hAnsi="Arial" w:cs="Arial"/>
        </w:rPr>
      </w:pPr>
      <w:r w:rsidRPr="00822574">
        <w:rPr>
          <w:rStyle w:val="Funotenzeichen"/>
          <w:rFonts w:ascii="Arial" w:hAnsi="Arial" w:cs="Arial"/>
        </w:rPr>
        <w:footnoteRef/>
      </w:r>
      <w:r w:rsidRPr="00822574">
        <w:rPr>
          <w:rFonts w:ascii="Arial" w:hAnsi="Arial" w:cs="Arial"/>
        </w:rPr>
        <w:t xml:space="preserve">  </w:t>
      </w:r>
      <w:r w:rsidRPr="00822574">
        <w:rPr>
          <w:rFonts w:ascii="Arial" w:hAnsi="Arial" w:cs="Arial"/>
        </w:rPr>
        <w:tab/>
        <w:t xml:space="preserve">Neuhoff </w:t>
      </w:r>
      <w:r w:rsidRPr="00822574">
        <w:rPr>
          <w:rFonts w:ascii="Arial" w:hAnsi="Arial" w:cs="Arial"/>
          <w:i/>
        </w:rPr>
        <w:t>et al</w:t>
      </w:r>
      <w:r w:rsidRPr="00822574">
        <w:rPr>
          <w:rFonts w:ascii="Arial" w:hAnsi="Arial" w:cs="Arial"/>
        </w:rPr>
        <w:t xml:space="preserve"> 2006: 33.</w:t>
      </w:r>
    </w:p>
  </w:footnote>
  <w:footnote w:id="631">
    <w:p w:rsidR="005E7922" w:rsidRPr="00822574" w:rsidRDefault="005E7922" w:rsidP="00822574">
      <w:pPr>
        <w:pStyle w:val="Funotentext"/>
        <w:spacing w:line="240" w:lineRule="auto"/>
        <w:contextualSpacing/>
        <w:jc w:val="both"/>
        <w:rPr>
          <w:rFonts w:ascii="Arial" w:hAnsi="Arial" w:cs="Arial"/>
        </w:rPr>
      </w:pPr>
      <w:r w:rsidRPr="00822574">
        <w:rPr>
          <w:rStyle w:val="Funotenzeichen"/>
          <w:rFonts w:ascii="Arial" w:hAnsi="Arial" w:cs="Arial"/>
        </w:rPr>
        <w:footnoteRef/>
      </w:r>
      <w:r w:rsidRPr="00822574">
        <w:rPr>
          <w:rFonts w:ascii="Arial" w:hAnsi="Arial" w:cs="Arial"/>
        </w:rPr>
        <w:t xml:space="preserve">  </w:t>
      </w:r>
      <w:r w:rsidRPr="00822574">
        <w:rPr>
          <w:rFonts w:ascii="Arial" w:hAnsi="Arial" w:cs="Arial"/>
        </w:rPr>
        <w:tab/>
        <w:t xml:space="preserve">Neuhoff </w:t>
      </w:r>
      <w:r w:rsidRPr="00822574">
        <w:rPr>
          <w:rFonts w:ascii="Arial" w:hAnsi="Arial" w:cs="Arial"/>
          <w:i/>
        </w:rPr>
        <w:t>et al</w:t>
      </w:r>
      <w:r w:rsidRPr="00822574">
        <w:rPr>
          <w:rFonts w:ascii="Arial" w:hAnsi="Arial" w:cs="Arial"/>
        </w:rPr>
        <w:t xml:space="preserve"> 2006: 33.</w:t>
      </w:r>
    </w:p>
  </w:footnote>
  <w:footnote w:id="632">
    <w:p w:rsidR="005E7922" w:rsidRPr="00822574" w:rsidRDefault="005E7922" w:rsidP="00822574">
      <w:pPr>
        <w:pStyle w:val="Funotentext"/>
        <w:spacing w:line="240" w:lineRule="auto"/>
        <w:contextualSpacing/>
        <w:jc w:val="both"/>
        <w:rPr>
          <w:rFonts w:ascii="Arial" w:hAnsi="Arial" w:cs="Arial"/>
        </w:rPr>
      </w:pPr>
      <w:r w:rsidRPr="00822574">
        <w:rPr>
          <w:rStyle w:val="Funotenzeichen"/>
          <w:rFonts w:ascii="Arial" w:hAnsi="Arial" w:cs="Arial"/>
        </w:rPr>
        <w:footnoteRef/>
      </w:r>
      <w:r w:rsidRPr="00822574">
        <w:rPr>
          <w:rFonts w:ascii="Arial" w:hAnsi="Arial" w:cs="Arial"/>
        </w:rPr>
        <w:t xml:space="preserve">  </w:t>
      </w:r>
      <w:r w:rsidRPr="00822574">
        <w:rPr>
          <w:rFonts w:ascii="Arial" w:hAnsi="Arial" w:cs="Arial"/>
        </w:rPr>
        <w:tab/>
        <w:t xml:space="preserve">Neuhoff </w:t>
      </w:r>
      <w:r w:rsidRPr="00822574">
        <w:rPr>
          <w:rFonts w:ascii="Arial" w:hAnsi="Arial" w:cs="Arial"/>
          <w:i/>
        </w:rPr>
        <w:t>et al</w:t>
      </w:r>
      <w:r w:rsidRPr="00822574">
        <w:rPr>
          <w:rFonts w:ascii="Arial" w:hAnsi="Arial" w:cs="Arial"/>
        </w:rPr>
        <w:t xml:space="preserve"> 2006: 33.</w:t>
      </w:r>
    </w:p>
  </w:footnote>
  <w:footnote w:id="633">
    <w:p w:rsidR="005E7922" w:rsidRPr="00822574" w:rsidRDefault="005E7922" w:rsidP="00822574">
      <w:pPr>
        <w:pStyle w:val="Funotentext"/>
        <w:spacing w:line="240" w:lineRule="auto"/>
        <w:contextualSpacing/>
        <w:jc w:val="both"/>
        <w:rPr>
          <w:rFonts w:ascii="Arial" w:hAnsi="Arial" w:cs="Arial"/>
        </w:rPr>
      </w:pPr>
      <w:r w:rsidRPr="00822574">
        <w:rPr>
          <w:rStyle w:val="Funotenzeichen"/>
          <w:rFonts w:ascii="Arial" w:hAnsi="Arial" w:cs="Arial"/>
        </w:rPr>
        <w:footnoteRef/>
      </w:r>
      <w:r w:rsidRPr="00822574">
        <w:rPr>
          <w:rFonts w:ascii="Arial" w:hAnsi="Arial" w:cs="Arial"/>
        </w:rPr>
        <w:t xml:space="preserve">  </w:t>
      </w:r>
      <w:r w:rsidRPr="00822574">
        <w:rPr>
          <w:rFonts w:ascii="Arial" w:hAnsi="Arial" w:cs="Arial"/>
        </w:rPr>
        <w:tab/>
        <w:t xml:space="preserve">Theron 2001: 623; Neuhoff </w:t>
      </w:r>
      <w:r w:rsidRPr="00822574">
        <w:rPr>
          <w:rFonts w:ascii="Arial" w:hAnsi="Arial" w:cs="Arial"/>
          <w:i/>
        </w:rPr>
        <w:t>et al</w:t>
      </w:r>
      <w:r w:rsidRPr="00822574">
        <w:rPr>
          <w:rFonts w:ascii="Arial" w:hAnsi="Arial" w:cs="Arial"/>
        </w:rPr>
        <w:t xml:space="preserve"> 2006: 34.</w:t>
      </w:r>
    </w:p>
  </w:footnote>
  <w:footnote w:id="634">
    <w:p w:rsidR="005E7922" w:rsidRPr="00822574" w:rsidRDefault="005E7922" w:rsidP="00822574">
      <w:pPr>
        <w:pStyle w:val="Funotentext"/>
        <w:spacing w:line="240" w:lineRule="auto"/>
        <w:contextualSpacing/>
        <w:jc w:val="both"/>
        <w:rPr>
          <w:rFonts w:ascii="Arial" w:hAnsi="Arial" w:cs="Arial"/>
        </w:rPr>
      </w:pPr>
      <w:r w:rsidRPr="00822574">
        <w:rPr>
          <w:rStyle w:val="Funotenzeichen"/>
          <w:rFonts w:ascii="Arial" w:hAnsi="Arial" w:cs="Arial"/>
        </w:rPr>
        <w:footnoteRef/>
      </w:r>
      <w:r w:rsidRPr="00822574">
        <w:rPr>
          <w:rFonts w:ascii="Arial" w:hAnsi="Arial" w:cs="Arial"/>
        </w:rPr>
        <w:t xml:space="preserve">  </w:t>
      </w:r>
      <w:r w:rsidRPr="00822574">
        <w:rPr>
          <w:rFonts w:ascii="Arial" w:hAnsi="Arial" w:cs="Arial"/>
        </w:rPr>
        <w:tab/>
        <w:t xml:space="preserve">Theron 2001: 623; Neuhoff </w:t>
      </w:r>
      <w:r w:rsidRPr="00822574">
        <w:rPr>
          <w:rFonts w:ascii="Arial" w:hAnsi="Arial" w:cs="Arial"/>
          <w:i/>
        </w:rPr>
        <w:t>et al</w:t>
      </w:r>
      <w:r w:rsidRPr="00822574">
        <w:rPr>
          <w:rFonts w:ascii="Arial" w:hAnsi="Arial" w:cs="Arial"/>
        </w:rPr>
        <w:t xml:space="preserve"> 2006: 34.</w:t>
      </w:r>
    </w:p>
  </w:footnote>
  <w:footnote w:id="635">
    <w:p w:rsidR="005E7922" w:rsidRPr="00822574" w:rsidRDefault="005E7922" w:rsidP="00822574">
      <w:pPr>
        <w:pStyle w:val="Funotentext"/>
        <w:spacing w:line="240" w:lineRule="auto"/>
        <w:contextualSpacing/>
        <w:jc w:val="both"/>
        <w:rPr>
          <w:rFonts w:ascii="Arial" w:hAnsi="Arial" w:cs="Arial"/>
        </w:rPr>
      </w:pPr>
      <w:r w:rsidRPr="00822574">
        <w:rPr>
          <w:rStyle w:val="Funotenzeichen"/>
          <w:rFonts w:ascii="Arial" w:hAnsi="Arial" w:cs="Arial"/>
        </w:rPr>
        <w:footnoteRef/>
      </w:r>
      <w:r w:rsidRPr="00822574">
        <w:rPr>
          <w:rFonts w:ascii="Arial" w:hAnsi="Arial" w:cs="Arial"/>
        </w:rPr>
        <w:t xml:space="preserve">  </w:t>
      </w:r>
      <w:r w:rsidRPr="00822574">
        <w:rPr>
          <w:rFonts w:ascii="Arial" w:hAnsi="Arial" w:cs="Arial"/>
        </w:rPr>
        <w:tab/>
        <w:t>Competition Act 89</w:t>
      </w:r>
      <w:r>
        <w:rPr>
          <w:rFonts w:ascii="Arial" w:hAnsi="Arial" w:cs="Arial"/>
        </w:rPr>
        <w:t>/1998: sections 4, 5, 8, 9; 12A.</w:t>
      </w:r>
    </w:p>
  </w:footnote>
  <w:footnote w:id="636">
    <w:p w:rsidR="005E7922" w:rsidRPr="00414B21" w:rsidRDefault="005E7922" w:rsidP="00414B21">
      <w:pPr>
        <w:pStyle w:val="Funotentext"/>
        <w:spacing w:line="240" w:lineRule="auto"/>
        <w:contextualSpacing/>
        <w:jc w:val="both"/>
        <w:rPr>
          <w:rFonts w:ascii="Arial" w:hAnsi="Arial" w:cs="Arial"/>
        </w:rPr>
      </w:pPr>
      <w:r w:rsidRPr="00414B21">
        <w:rPr>
          <w:rStyle w:val="Funotenzeichen"/>
          <w:rFonts w:ascii="Arial" w:hAnsi="Arial" w:cs="Arial"/>
        </w:rPr>
        <w:footnoteRef/>
      </w:r>
      <w:r w:rsidRPr="00414B21">
        <w:rPr>
          <w:rFonts w:ascii="Arial" w:hAnsi="Arial" w:cs="Arial"/>
        </w:rPr>
        <w:t xml:space="preserve"> </w:t>
      </w:r>
      <w:r w:rsidRPr="00414B21">
        <w:rPr>
          <w:rFonts w:ascii="Arial" w:hAnsi="Arial" w:cs="Arial"/>
        </w:rPr>
        <w:tab/>
        <w:t xml:space="preserve">Competition Act 89/1998: sections 4, 5, 8, 9; 12A and section 10A of the Competition </w:t>
      </w:r>
      <w:r w:rsidRPr="00414B21">
        <w:rPr>
          <w:rFonts w:ascii="Arial" w:hAnsi="Arial" w:cs="Arial"/>
        </w:rPr>
        <w:tab/>
        <w:t>Amendment Act 1/2009.</w:t>
      </w:r>
    </w:p>
  </w:footnote>
  <w:footnote w:id="637">
    <w:p w:rsidR="005E7922" w:rsidRPr="00414B21" w:rsidRDefault="005E7922" w:rsidP="00414B21">
      <w:pPr>
        <w:pStyle w:val="Funotentext"/>
        <w:spacing w:line="240" w:lineRule="auto"/>
        <w:contextualSpacing/>
        <w:jc w:val="both"/>
        <w:rPr>
          <w:rFonts w:ascii="Arial" w:hAnsi="Arial" w:cs="Arial"/>
          <w:lang w:val="af-ZA"/>
        </w:rPr>
      </w:pPr>
      <w:r w:rsidRPr="00414B21">
        <w:rPr>
          <w:rStyle w:val="Funotenzeichen"/>
          <w:rFonts w:ascii="Arial" w:hAnsi="Arial" w:cs="Arial"/>
        </w:rPr>
        <w:footnoteRef/>
      </w:r>
      <w:r w:rsidRPr="00414B21">
        <w:rPr>
          <w:rFonts w:ascii="Arial" w:hAnsi="Arial" w:cs="Arial"/>
        </w:rPr>
        <w:t xml:space="preserve"> </w:t>
      </w:r>
      <w:r w:rsidRPr="00414B21">
        <w:rPr>
          <w:rFonts w:ascii="Arial" w:hAnsi="Arial" w:cs="Arial"/>
        </w:rPr>
        <w:tab/>
        <w:t>Competition Act 89/1998: sections 4, 5, 8, 9; 12A</w:t>
      </w:r>
    </w:p>
  </w:footnote>
  <w:footnote w:id="638">
    <w:p w:rsidR="005E7922" w:rsidRPr="00414B21" w:rsidRDefault="005E7922" w:rsidP="00414B21">
      <w:pPr>
        <w:pStyle w:val="Funotentext"/>
        <w:spacing w:line="240" w:lineRule="auto"/>
        <w:contextualSpacing/>
        <w:jc w:val="both"/>
        <w:rPr>
          <w:rFonts w:ascii="Arial" w:hAnsi="Arial" w:cs="Arial"/>
        </w:rPr>
      </w:pPr>
      <w:r w:rsidRPr="00414B21">
        <w:rPr>
          <w:rStyle w:val="Funotenzeichen"/>
          <w:rFonts w:ascii="Arial" w:hAnsi="Arial" w:cs="Arial"/>
        </w:rPr>
        <w:footnoteRef/>
      </w:r>
      <w:r w:rsidRPr="00414B21">
        <w:rPr>
          <w:rFonts w:ascii="Arial" w:hAnsi="Arial" w:cs="Arial"/>
        </w:rPr>
        <w:t xml:space="preserve">  </w:t>
      </w:r>
      <w:r w:rsidRPr="00414B21">
        <w:rPr>
          <w:rFonts w:ascii="Arial" w:hAnsi="Arial" w:cs="Arial"/>
        </w:rPr>
        <w:tab/>
        <w:t xml:space="preserve">Market power is the power (ability) of an individual firm or a groups of firms acting together to </w:t>
      </w:r>
      <w:r w:rsidRPr="00414B21">
        <w:rPr>
          <w:rFonts w:ascii="Arial" w:hAnsi="Arial" w:cs="Arial"/>
        </w:rPr>
        <w:tab/>
        <w:t>ask a higher price than the market price for their products. Refer to section 3.</w:t>
      </w:r>
      <w:r>
        <w:rPr>
          <w:rFonts w:ascii="Arial" w:hAnsi="Arial" w:cs="Arial"/>
        </w:rPr>
        <w:t>3</w:t>
      </w:r>
      <w:r w:rsidRPr="00414B21">
        <w:rPr>
          <w:rFonts w:ascii="Arial" w:hAnsi="Arial" w:cs="Arial"/>
        </w:rPr>
        <w:t>.3</w:t>
      </w:r>
      <w:r>
        <w:rPr>
          <w:rFonts w:ascii="Arial" w:hAnsi="Arial" w:cs="Arial"/>
        </w:rPr>
        <w:t>.1</w:t>
      </w:r>
      <w:r w:rsidRPr="00414B21">
        <w:rPr>
          <w:rFonts w:ascii="Arial" w:hAnsi="Arial" w:cs="Arial"/>
        </w:rPr>
        <w:t xml:space="preserve"> for a </w:t>
      </w:r>
      <w:r w:rsidRPr="00414B21">
        <w:rPr>
          <w:rFonts w:ascii="Arial" w:hAnsi="Arial" w:cs="Arial"/>
        </w:rPr>
        <w:tab/>
        <w:t>discussion on the meaning of market power.</w:t>
      </w:r>
    </w:p>
  </w:footnote>
  <w:footnote w:id="639">
    <w:p w:rsidR="005E7922" w:rsidRPr="00414B21" w:rsidRDefault="005E7922" w:rsidP="00414B21">
      <w:pPr>
        <w:pStyle w:val="Funotentext"/>
        <w:spacing w:line="240" w:lineRule="auto"/>
        <w:contextualSpacing/>
        <w:jc w:val="both"/>
        <w:rPr>
          <w:rFonts w:ascii="Arial" w:hAnsi="Arial" w:cs="Arial"/>
        </w:rPr>
      </w:pPr>
      <w:r w:rsidRPr="00414B21">
        <w:rPr>
          <w:rStyle w:val="Funotenzeichen"/>
          <w:rFonts w:ascii="Arial" w:hAnsi="Arial" w:cs="Arial"/>
        </w:rPr>
        <w:footnoteRef/>
      </w:r>
      <w:r w:rsidRPr="00414B21">
        <w:rPr>
          <w:rFonts w:ascii="Arial" w:hAnsi="Arial" w:cs="Arial"/>
        </w:rPr>
        <w:t xml:space="preserve">  </w:t>
      </w:r>
      <w:r w:rsidRPr="00414B21">
        <w:rPr>
          <w:rFonts w:ascii="Arial" w:hAnsi="Arial" w:cs="Arial"/>
        </w:rPr>
        <w:tab/>
        <w:t xml:space="preserve">Wetzstein 2005: 259; McConnel &amp; Brue 2008: 400-401. </w:t>
      </w:r>
    </w:p>
  </w:footnote>
  <w:footnote w:id="640">
    <w:p w:rsidR="005E7922" w:rsidRPr="00414B21" w:rsidRDefault="005E7922" w:rsidP="00414B21">
      <w:pPr>
        <w:pStyle w:val="Funotentext"/>
        <w:spacing w:line="240" w:lineRule="auto"/>
        <w:contextualSpacing/>
        <w:jc w:val="both"/>
        <w:rPr>
          <w:rFonts w:ascii="Arial" w:hAnsi="Arial" w:cs="Arial"/>
        </w:rPr>
      </w:pPr>
      <w:r w:rsidRPr="00414B21">
        <w:rPr>
          <w:rStyle w:val="Funotenzeichen"/>
          <w:rFonts w:ascii="Arial" w:hAnsi="Arial" w:cs="Arial"/>
        </w:rPr>
        <w:footnoteRef/>
      </w:r>
      <w:r w:rsidRPr="00414B21">
        <w:rPr>
          <w:rFonts w:ascii="Arial" w:hAnsi="Arial" w:cs="Arial"/>
        </w:rPr>
        <w:t xml:space="preserve">  </w:t>
      </w:r>
      <w:r w:rsidRPr="00414B21">
        <w:rPr>
          <w:rFonts w:ascii="Arial" w:hAnsi="Arial" w:cs="Arial"/>
        </w:rPr>
        <w:tab/>
        <w:t xml:space="preserve">Wetzstein 2005: 259; McConnel &amp; Brue 2008: 400-401. </w:t>
      </w:r>
    </w:p>
  </w:footnote>
  <w:footnote w:id="641">
    <w:p w:rsidR="005E7922" w:rsidRPr="00414B21" w:rsidRDefault="005E7922" w:rsidP="00414B21">
      <w:pPr>
        <w:pStyle w:val="Funotentext"/>
        <w:spacing w:line="240" w:lineRule="auto"/>
        <w:contextualSpacing/>
        <w:jc w:val="both"/>
        <w:rPr>
          <w:rFonts w:ascii="Arial" w:hAnsi="Arial" w:cs="Arial"/>
        </w:rPr>
      </w:pPr>
      <w:r w:rsidRPr="00414B21">
        <w:rPr>
          <w:rStyle w:val="Funotenzeichen"/>
          <w:rFonts w:ascii="Arial" w:hAnsi="Arial" w:cs="Arial"/>
        </w:rPr>
        <w:footnoteRef/>
      </w:r>
      <w:r w:rsidRPr="00414B21">
        <w:rPr>
          <w:rFonts w:ascii="Arial" w:hAnsi="Arial" w:cs="Arial"/>
        </w:rPr>
        <w:t xml:space="preserve">  </w:t>
      </w:r>
      <w:r w:rsidRPr="00414B21">
        <w:rPr>
          <w:rFonts w:ascii="Arial" w:hAnsi="Arial" w:cs="Arial"/>
        </w:rPr>
        <w:tab/>
        <w:t>McConnel &amp; Brue 2008: 401.</w:t>
      </w:r>
    </w:p>
  </w:footnote>
  <w:footnote w:id="642">
    <w:p w:rsidR="005E7922" w:rsidRPr="00414B21" w:rsidRDefault="005E7922" w:rsidP="00414B21">
      <w:pPr>
        <w:pStyle w:val="Funotentext"/>
        <w:spacing w:line="240" w:lineRule="auto"/>
        <w:contextualSpacing/>
        <w:jc w:val="both"/>
        <w:rPr>
          <w:rFonts w:ascii="Arial" w:hAnsi="Arial" w:cs="Arial"/>
        </w:rPr>
      </w:pPr>
      <w:r w:rsidRPr="00414B21">
        <w:rPr>
          <w:rStyle w:val="Funotenzeichen"/>
          <w:rFonts w:ascii="Arial" w:hAnsi="Arial" w:cs="Arial"/>
        </w:rPr>
        <w:footnoteRef/>
      </w:r>
      <w:r w:rsidRPr="00414B21">
        <w:rPr>
          <w:rFonts w:ascii="Arial" w:hAnsi="Arial" w:cs="Arial"/>
        </w:rPr>
        <w:t xml:space="preserve">  </w:t>
      </w:r>
      <w:r w:rsidRPr="00414B21">
        <w:rPr>
          <w:rFonts w:ascii="Arial" w:hAnsi="Arial" w:cs="Arial"/>
        </w:rPr>
        <w:tab/>
        <w:t>McConnel &amp; Brue 2008: 401.</w:t>
      </w:r>
    </w:p>
  </w:footnote>
  <w:footnote w:id="643">
    <w:p w:rsidR="005E7922" w:rsidRPr="00414B21" w:rsidRDefault="005E7922" w:rsidP="00414B21">
      <w:pPr>
        <w:pStyle w:val="Funotentext"/>
        <w:spacing w:line="240" w:lineRule="auto"/>
        <w:contextualSpacing/>
        <w:jc w:val="both"/>
        <w:rPr>
          <w:rFonts w:ascii="Arial" w:hAnsi="Arial" w:cs="Arial"/>
        </w:rPr>
      </w:pPr>
      <w:r w:rsidRPr="00414B21">
        <w:rPr>
          <w:rStyle w:val="Funotenzeichen"/>
          <w:rFonts w:ascii="Arial" w:hAnsi="Arial" w:cs="Arial"/>
        </w:rPr>
        <w:footnoteRef/>
      </w:r>
      <w:r w:rsidRPr="00414B21">
        <w:rPr>
          <w:rFonts w:ascii="Arial" w:hAnsi="Arial" w:cs="Arial"/>
        </w:rPr>
        <w:t xml:space="preserve">  </w:t>
      </w:r>
      <w:r w:rsidRPr="00414B21">
        <w:rPr>
          <w:rFonts w:ascii="Arial" w:hAnsi="Arial" w:cs="Arial"/>
        </w:rPr>
        <w:tab/>
        <w:t>McConnel &amp; Brue 2008: 401.</w:t>
      </w:r>
    </w:p>
  </w:footnote>
  <w:footnote w:id="644">
    <w:p w:rsidR="005E7922" w:rsidRPr="00414B21" w:rsidRDefault="005E7922" w:rsidP="00414B21">
      <w:pPr>
        <w:pStyle w:val="Funotentext"/>
        <w:spacing w:line="240" w:lineRule="auto"/>
        <w:contextualSpacing/>
        <w:jc w:val="both"/>
        <w:rPr>
          <w:rFonts w:ascii="Arial" w:hAnsi="Arial" w:cs="Arial"/>
        </w:rPr>
      </w:pPr>
      <w:r w:rsidRPr="00414B21">
        <w:rPr>
          <w:rStyle w:val="Funotenzeichen"/>
          <w:rFonts w:ascii="Arial" w:hAnsi="Arial" w:cs="Arial"/>
        </w:rPr>
        <w:footnoteRef/>
      </w:r>
      <w:r w:rsidRPr="00414B21">
        <w:rPr>
          <w:rFonts w:ascii="Arial" w:hAnsi="Arial" w:cs="Arial"/>
        </w:rPr>
        <w:t xml:space="preserve"> </w:t>
      </w:r>
      <w:r w:rsidRPr="00414B21">
        <w:rPr>
          <w:rFonts w:ascii="Arial" w:hAnsi="Arial" w:cs="Arial"/>
        </w:rPr>
        <w:tab/>
        <w:t xml:space="preserve">Marginal revenue can be defined as the extra revenue obtained by selling one more unit of </w:t>
      </w:r>
      <w:r w:rsidRPr="00414B21">
        <w:rPr>
          <w:rFonts w:ascii="Arial" w:hAnsi="Arial" w:cs="Arial"/>
        </w:rPr>
        <w:tab/>
        <w:t xml:space="preserve">output i.e. it is the change in total revenue due to selling one more unit of output. For more </w:t>
      </w:r>
      <w:r w:rsidRPr="00414B21">
        <w:rPr>
          <w:rFonts w:ascii="Arial" w:hAnsi="Arial" w:cs="Arial"/>
        </w:rPr>
        <w:tab/>
        <w:t xml:space="preserve">information see McConnel &amp; Brue 2008: 401.  </w:t>
      </w:r>
    </w:p>
  </w:footnote>
  <w:footnote w:id="645">
    <w:p w:rsidR="005E7922" w:rsidRPr="00414B21" w:rsidRDefault="005E7922" w:rsidP="00414B21">
      <w:pPr>
        <w:pStyle w:val="Funotentext"/>
        <w:spacing w:line="240" w:lineRule="auto"/>
        <w:contextualSpacing/>
        <w:jc w:val="both"/>
        <w:rPr>
          <w:rFonts w:ascii="Arial" w:hAnsi="Arial" w:cs="Arial"/>
        </w:rPr>
      </w:pPr>
      <w:r w:rsidRPr="00414B21">
        <w:rPr>
          <w:rStyle w:val="Funotenzeichen"/>
          <w:rFonts w:ascii="Arial" w:hAnsi="Arial" w:cs="Arial"/>
        </w:rPr>
        <w:footnoteRef/>
      </w:r>
      <w:r w:rsidRPr="00414B21">
        <w:rPr>
          <w:rFonts w:ascii="Arial" w:hAnsi="Arial" w:cs="Arial"/>
        </w:rPr>
        <w:t xml:space="preserve">  </w:t>
      </w:r>
      <w:r w:rsidRPr="00414B21">
        <w:rPr>
          <w:rFonts w:ascii="Arial" w:hAnsi="Arial" w:cs="Arial"/>
        </w:rPr>
        <w:tab/>
        <w:t>McConnel &amp; Brue 2008: 401.</w:t>
      </w:r>
    </w:p>
  </w:footnote>
  <w:footnote w:id="646">
    <w:p w:rsidR="005E7922" w:rsidRPr="00AF61A1" w:rsidRDefault="005E7922" w:rsidP="00AF61A1">
      <w:pPr>
        <w:pStyle w:val="Funotentext"/>
        <w:spacing w:line="240" w:lineRule="auto"/>
        <w:contextualSpacing/>
        <w:jc w:val="both"/>
        <w:rPr>
          <w:rFonts w:ascii="Arial" w:hAnsi="Arial" w:cs="Arial"/>
        </w:rPr>
      </w:pPr>
      <w:r w:rsidRPr="00AF61A1">
        <w:rPr>
          <w:rStyle w:val="Funotenzeichen"/>
          <w:rFonts w:ascii="Arial" w:hAnsi="Arial" w:cs="Arial"/>
        </w:rPr>
        <w:footnoteRef/>
      </w:r>
      <w:r w:rsidRPr="00AF61A1">
        <w:rPr>
          <w:rFonts w:ascii="Arial" w:hAnsi="Arial" w:cs="Arial"/>
        </w:rPr>
        <w:t xml:space="preserve">  </w:t>
      </w:r>
      <w:r w:rsidRPr="00AF61A1">
        <w:rPr>
          <w:rFonts w:ascii="Arial" w:hAnsi="Arial" w:cs="Arial"/>
        </w:rPr>
        <w:tab/>
        <w:t>Wetzstein 2005: 263; McConnel &amp; Brue 2008: 405.</w:t>
      </w:r>
    </w:p>
  </w:footnote>
  <w:footnote w:id="647">
    <w:p w:rsidR="005E7922" w:rsidRPr="00AF61A1" w:rsidRDefault="005E7922" w:rsidP="00AF61A1">
      <w:pPr>
        <w:pStyle w:val="Funotentext"/>
        <w:spacing w:line="240" w:lineRule="auto"/>
        <w:contextualSpacing/>
        <w:jc w:val="both"/>
        <w:rPr>
          <w:rFonts w:ascii="Arial" w:hAnsi="Arial" w:cs="Arial"/>
        </w:rPr>
      </w:pPr>
      <w:r w:rsidRPr="00AF61A1">
        <w:rPr>
          <w:rStyle w:val="Funotenzeichen"/>
          <w:rFonts w:ascii="Arial" w:hAnsi="Arial" w:cs="Arial"/>
        </w:rPr>
        <w:footnoteRef/>
      </w:r>
      <w:r w:rsidRPr="00AF61A1">
        <w:rPr>
          <w:rFonts w:ascii="Arial" w:hAnsi="Arial" w:cs="Arial"/>
        </w:rPr>
        <w:t xml:space="preserve">  </w:t>
      </w:r>
      <w:r w:rsidRPr="00AF61A1">
        <w:rPr>
          <w:rFonts w:ascii="Arial" w:hAnsi="Arial" w:cs="Arial"/>
        </w:rPr>
        <w:tab/>
        <w:t xml:space="preserve">Marginal cost can be described as the extra cost incurred from producing one additional unit </w:t>
      </w:r>
      <w:r w:rsidRPr="00AF61A1">
        <w:rPr>
          <w:rFonts w:ascii="Arial" w:hAnsi="Arial" w:cs="Arial"/>
        </w:rPr>
        <w:tab/>
        <w:t>of output. For more information see McConnel &amp; Brue 2008: 5 &amp; 50.</w:t>
      </w:r>
    </w:p>
  </w:footnote>
  <w:footnote w:id="648">
    <w:p w:rsidR="005E7922" w:rsidRPr="00AF61A1" w:rsidRDefault="005E7922" w:rsidP="00AF61A1">
      <w:pPr>
        <w:pStyle w:val="Funotentext"/>
        <w:spacing w:line="240" w:lineRule="auto"/>
        <w:contextualSpacing/>
        <w:jc w:val="both"/>
        <w:rPr>
          <w:rFonts w:ascii="Arial" w:hAnsi="Arial" w:cs="Arial"/>
        </w:rPr>
      </w:pPr>
      <w:r w:rsidRPr="00AF61A1">
        <w:rPr>
          <w:rStyle w:val="Funotenzeichen"/>
          <w:rFonts w:ascii="Arial" w:hAnsi="Arial" w:cs="Arial"/>
        </w:rPr>
        <w:footnoteRef/>
      </w:r>
      <w:r w:rsidRPr="00AF61A1">
        <w:rPr>
          <w:rFonts w:ascii="Arial" w:hAnsi="Arial" w:cs="Arial"/>
        </w:rPr>
        <w:t xml:space="preserve">  </w:t>
      </w:r>
      <w:r w:rsidRPr="00AF61A1">
        <w:rPr>
          <w:rFonts w:ascii="Arial" w:hAnsi="Arial" w:cs="Arial"/>
        </w:rPr>
        <w:tab/>
        <w:t>Wetzstein 2005: 259-263; McConnel &amp; Brue 2008: 400-405.</w:t>
      </w:r>
    </w:p>
  </w:footnote>
  <w:footnote w:id="649">
    <w:p w:rsidR="005E7922" w:rsidRPr="00AF61A1" w:rsidRDefault="005E7922" w:rsidP="00AF61A1">
      <w:pPr>
        <w:pStyle w:val="Funotentext"/>
        <w:spacing w:line="240" w:lineRule="auto"/>
        <w:contextualSpacing/>
        <w:jc w:val="both"/>
        <w:rPr>
          <w:rFonts w:ascii="Arial" w:hAnsi="Arial" w:cs="Arial"/>
        </w:rPr>
      </w:pPr>
      <w:r w:rsidRPr="00AF61A1">
        <w:rPr>
          <w:rStyle w:val="Funotenzeichen"/>
          <w:rFonts w:ascii="Arial" w:hAnsi="Arial" w:cs="Arial"/>
        </w:rPr>
        <w:footnoteRef/>
      </w:r>
      <w:r w:rsidRPr="00AF61A1">
        <w:rPr>
          <w:rFonts w:ascii="Arial" w:hAnsi="Arial" w:cs="Arial"/>
        </w:rPr>
        <w:t xml:space="preserve">  </w:t>
      </w:r>
      <w:r w:rsidRPr="00AF61A1">
        <w:rPr>
          <w:rFonts w:ascii="Arial" w:hAnsi="Arial" w:cs="Arial"/>
        </w:rPr>
        <w:tab/>
        <w:t>Refer to section 2.2.</w:t>
      </w:r>
    </w:p>
  </w:footnote>
  <w:footnote w:id="650">
    <w:p w:rsidR="005E7922" w:rsidRPr="00AF61A1" w:rsidRDefault="005E7922" w:rsidP="00AF61A1">
      <w:pPr>
        <w:pStyle w:val="Funotentext"/>
        <w:spacing w:line="240" w:lineRule="auto"/>
        <w:contextualSpacing/>
        <w:jc w:val="both"/>
        <w:rPr>
          <w:rFonts w:ascii="Arial" w:hAnsi="Arial" w:cs="Arial"/>
        </w:rPr>
      </w:pPr>
      <w:r w:rsidRPr="00AF61A1">
        <w:rPr>
          <w:rStyle w:val="Funotenzeichen"/>
          <w:rFonts w:ascii="Arial" w:hAnsi="Arial" w:cs="Arial"/>
        </w:rPr>
        <w:footnoteRef/>
      </w:r>
      <w:r w:rsidRPr="00AF61A1">
        <w:rPr>
          <w:rFonts w:ascii="Arial" w:hAnsi="Arial" w:cs="Arial"/>
        </w:rPr>
        <w:t xml:space="preserve">  </w:t>
      </w:r>
      <w:r w:rsidRPr="00AF61A1">
        <w:rPr>
          <w:rFonts w:ascii="Arial" w:hAnsi="Arial" w:cs="Arial"/>
        </w:rPr>
        <w:tab/>
        <w:t>Wetzstein 2005: 261. Also, refer to section 2.2.</w:t>
      </w:r>
    </w:p>
  </w:footnote>
  <w:footnote w:id="651">
    <w:p w:rsidR="005E7922" w:rsidRPr="00B1493C" w:rsidRDefault="005E7922" w:rsidP="00B1493C">
      <w:pPr>
        <w:pStyle w:val="Funotentext"/>
        <w:spacing w:line="240" w:lineRule="auto"/>
        <w:contextualSpacing/>
        <w:jc w:val="both"/>
        <w:rPr>
          <w:rFonts w:ascii="Arial" w:hAnsi="Arial" w:cs="Arial"/>
        </w:rPr>
      </w:pPr>
      <w:r w:rsidRPr="00B1493C">
        <w:rPr>
          <w:rStyle w:val="Funotenzeichen"/>
          <w:rFonts w:ascii="Arial" w:hAnsi="Arial" w:cs="Arial"/>
        </w:rPr>
        <w:footnoteRef/>
      </w:r>
      <w:r w:rsidRPr="00B1493C">
        <w:rPr>
          <w:rFonts w:ascii="Arial" w:hAnsi="Arial" w:cs="Arial"/>
        </w:rPr>
        <w:t xml:space="preserve">  </w:t>
      </w:r>
      <w:r w:rsidRPr="00B1493C">
        <w:rPr>
          <w:rFonts w:ascii="Arial" w:hAnsi="Arial" w:cs="Arial"/>
        </w:rPr>
        <w:tab/>
        <w:t>Refer o section 3.5.2.3.</w:t>
      </w:r>
    </w:p>
  </w:footnote>
  <w:footnote w:id="652">
    <w:p w:rsidR="005E7922" w:rsidRPr="00B1493C" w:rsidRDefault="005E7922" w:rsidP="00B1493C">
      <w:pPr>
        <w:pStyle w:val="Funotentext"/>
        <w:spacing w:line="240" w:lineRule="auto"/>
        <w:contextualSpacing/>
        <w:jc w:val="both"/>
        <w:rPr>
          <w:rFonts w:ascii="Arial" w:hAnsi="Arial" w:cs="Arial"/>
        </w:rPr>
      </w:pPr>
      <w:r w:rsidRPr="00B1493C">
        <w:rPr>
          <w:rStyle w:val="Funotenzeichen"/>
          <w:rFonts w:ascii="Arial" w:hAnsi="Arial" w:cs="Arial"/>
        </w:rPr>
        <w:footnoteRef/>
      </w:r>
      <w:r w:rsidRPr="00B1493C">
        <w:rPr>
          <w:rFonts w:ascii="Arial" w:hAnsi="Arial" w:cs="Arial"/>
        </w:rPr>
        <w:t xml:space="preserve"> </w:t>
      </w:r>
      <w:r w:rsidRPr="00B1493C">
        <w:rPr>
          <w:rFonts w:ascii="Arial" w:hAnsi="Arial" w:cs="Arial"/>
        </w:rPr>
        <w:tab/>
        <w:t xml:space="preserve">Rojas 2010: 1; US Federal Trade Commission 2007 on </w:t>
      </w:r>
    </w:p>
    <w:p w:rsidR="005E7922" w:rsidRPr="00B1493C" w:rsidRDefault="005E7922" w:rsidP="00B1493C">
      <w:pPr>
        <w:pStyle w:val="Funotentext"/>
        <w:spacing w:line="240" w:lineRule="auto"/>
        <w:contextualSpacing/>
        <w:jc w:val="both"/>
        <w:rPr>
          <w:rFonts w:ascii="Arial" w:hAnsi="Arial" w:cs="Arial"/>
        </w:rPr>
      </w:pPr>
      <w:r w:rsidRPr="00B1493C">
        <w:rPr>
          <w:rFonts w:ascii="Arial" w:hAnsi="Arial" w:cs="Arial"/>
        </w:rPr>
        <w:tab/>
        <w:t>http://www.ftc.gov/opp/jointvent/classic3.shtm (accessed on 13 Mei 2011)</w:t>
      </w:r>
    </w:p>
  </w:footnote>
  <w:footnote w:id="653">
    <w:p w:rsidR="005E7922" w:rsidRPr="00B1493C" w:rsidRDefault="005E7922" w:rsidP="00B1493C">
      <w:pPr>
        <w:pStyle w:val="Funotentext"/>
        <w:spacing w:line="240" w:lineRule="auto"/>
        <w:contextualSpacing/>
        <w:jc w:val="both"/>
        <w:rPr>
          <w:rFonts w:ascii="Arial" w:hAnsi="Arial" w:cs="Arial"/>
        </w:rPr>
      </w:pPr>
      <w:r w:rsidRPr="00B1493C">
        <w:rPr>
          <w:rStyle w:val="Funotenzeichen"/>
          <w:rFonts w:ascii="Arial" w:hAnsi="Arial" w:cs="Arial"/>
        </w:rPr>
        <w:footnoteRef/>
      </w:r>
      <w:r w:rsidRPr="00B1493C">
        <w:rPr>
          <w:rFonts w:ascii="Arial" w:hAnsi="Arial" w:cs="Arial"/>
        </w:rPr>
        <w:t xml:space="preserve">  </w:t>
      </w:r>
      <w:r w:rsidRPr="00B1493C">
        <w:rPr>
          <w:rFonts w:ascii="Arial" w:hAnsi="Arial" w:cs="Arial"/>
        </w:rPr>
        <w:tab/>
        <w:t xml:space="preserve">Rojas 2010: 1; US Federal Trade Commission 2007 on </w:t>
      </w:r>
    </w:p>
    <w:p w:rsidR="005E7922" w:rsidRPr="00B1493C" w:rsidRDefault="005E7922" w:rsidP="00B1493C">
      <w:pPr>
        <w:pStyle w:val="Funotentext"/>
        <w:spacing w:line="240" w:lineRule="auto"/>
        <w:contextualSpacing/>
        <w:jc w:val="both"/>
        <w:rPr>
          <w:rFonts w:ascii="Arial" w:hAnsi="Arial" w:cs="Arial"/>
        </w:rPr>
      </w:pPr>
      <w:r w:rsidRPr="00B1493C">
        <w:rPr>
          <w:rFonts w:ascii="Arial" w:hAnsi="Arial" w:cs="Arial"/>
        </w:rPr>
        <w:tab/>
        <w:t>http://www.ftc.gov/opp/jointvent/classic3.shtm (accessed on 13 Mei 2011)</w:t>
      </w:r>
    </w:p>
  </w:footnote>
  <w:footnote w:id="654">
    <w:p w:rsidR="005E7922" w:rsidRPr="00B1493C" w:rsidRDefault="005E7922" w:rsidP="00B1493C">
      <w:pPr>
        <w:pStyle w:val="Funotentext"/>
        <w:spacing w:line="240" w:lineRule="auto"/>
        <w:contextualSpacing/>
        <w:jc w:val="both"/>
        <w:rPr>
          <w:rFonts w:ascii="Arial" w:hAnsi="Arial" w:cs="Arial"/>
        </w:rPr>
      </w:pPr>
      <w:r w:rsidRPr="00B1493C">
        <w:rPr>
          <w:rStyle w:val="Funotenzeichen"/>
          <w:rFonts w:ascii="Arial" w:hAnsi="Arial" w:cs="Arial"/>
        </w:rPr>
        <w:footnoteRef/>
      </w:r>
      <w:r w:rsidRPr="00B1493C">
        <w:rPr>
          <w:rFonts w:ascii="Arial" w:hAnsi="Arial" w:cs="Arial"/>
        </w:rPr>
        <w:t xml:space="preserve">  </w:t>
      </w:r>
      <w:r w:rsidRPr="00B1493C">
        <w:rPr>
          <w:rFonts w:ascii="Arial" w:hAnsi="Arial" w:cs="Arial"/>
        </w:rPr>
        <w:tab/>
        <w:t xml:space="preserve">Rojas 2010: 1; US Federal Trade Commission 2007 on </w:t>
      </w:r>
    </w:p>
    <w:p w:rsidR="005E7922" w:rsidRPr="00B1493C" w:rsidRDefault="005E7922" w:rsidP="00B1493C">
      <w:pPr>
        <w:pStyle w:val="Funotentext"/>
        <w:spacing w:line="240" w:lineRule="auto"/>
        <w:contextualSpacing/>
        <w:jc w:val="both"/>
        <w:rPr>
          <w:rFonts w:ascii="Arial" w:hAnsi="Arial" w:cs="Arial"/>
        </w:rPr>
      </w:pPr>
      <w:r w:rsidRPr="00B1493C">
        <w:rPr>
          <w:rFonts w:ascii="Arial" w:hAnsi="Arial" w:cs="Arial"/>
        </w:rPr>
        <w:tab/>
        <w:t>http://www.ftc.gov/opp/jointvent/classic3.shtm (accessed on 13 Mei 2011)</w:t>
      </w:r>
    </w:p>
  </w:footnote>
  <w:footnote w:id="655">
    <w:p w:rsidR="005E7922" w:rsidRPr="00B1493C" w:rsidRDefault="005E7922" w:rsidP="00B1493C">
      <w:pPr>
        <w:pStyle w:val="Funotentext"/>
        <w:spacing w:line="240" w:lineRule="auto"/>
        <w:contextualSpacing/>
        <w:jc w:val="both"/>
        <w:rPr>
          <w:rFonts w:ascii="Arial" w:hAnsi="Arial" w:cs="Arial"/>
        </w:rPr>
      </w:pPr>
      <w:r w:rsidRPr="00B1493C">
        <w:rPr>
          <w:rStyle w:val="Funotenzeichen"/>
          <w:rFonts w:ascii="Arial" w:hAnsi="Arial" w:cs="Arial"/>
        </w:rPr>
        <w:footnoteRef/>
      </w:r>
      <w:r w:rsidRPr="00B1493C">
        <w:rPr>
          <w:rFonts w:ascii="Arial" w:hAnsi="Arial" w:cs="Arial"/>
        </w:rPr>
        <w:t xml:space="preserve">  </w:t>
      </w:r>
      <w:r w:rsidRPr="00B1493C">
        <w:rPr>
          <w:rFonts w:ascii="Arial" w:hAnsi="Arial" w:cs="Arial"/>
        </w:rPr>
        <w:tab/>
        <w:t xml:space="preserve">Rojas 2010: 1; US Federal Trade Commission 2007 on </w:t>
      </w:r>
    </w:p>
    <w:p w:rsidR="005E7922" w:rsidRPr="00B1493C" w:rsidRDefault="005E7922" w:rsidP="00B1493C">
      <w:pPr>
        <w:pStyle w:val="Funotentext"/>
        <w:spacing w:line="240" w:lineRule="auto"/>
        <w:contextualSpacing/>
        <w:jc w:val="both"/>
        <w:rPr>
          <w:rFonts w:ascii="Arial" w:hAnsi="Arial" w:cs="Arial"/>
        </w:rPr>
      </w:pPr>
      <w:r w:rsidRPr="00B1493C">
        <w:rPr>
          <w:rFonts w:ascii="Arial" w:hAnsi="Arial" w:cs="Arial"/>
        </w:rPr>
        <w:tab/>
        <w:t>http://www.ftc.gov/opp/jointvent/classic3.shtm (accessed on 13 Mei 2011)</w:t>
      </w:r>
    </w:p>
  </w:footnote>
  <w:footnote w:id="656">
    <w:p w:rsidR="005E7922" w:rsidRPr="00B1493C" w:rsidRDefault="005E7922" w:rsidP="00B1493C">
      <w:pPr>
        <w:pStyle w:val="Funotentext"/>
        <w:spacing w:line="240" w:lineRule="auto"/>
        <w:contextualSpacing/>
        <w:jc w:val="both"/>
        <w:rPr>
          <w:rFonts w:ascii="Arial" w:hAnsi="Arial" w:cs="Arial"/>
        </w:rPr>
      </w:pPr>
      <w:r w:rsidRPr="00B1493C">
        <w:rPr>
          <w:rStyle w:val="Funotenzeichen"/>
          <w:rFonts w:ascii="Arial" w:hAnsi="Arial" w:cs="Arial"/>
        </w:rPr>
        <w:footnoteRef/>
      </w:r>
      <w:r w:rsidRPr="00B1493C">
        <w:rPr>
          <w:rFonts w:ascii="Arial" w:hAnsi="Arial" w:cs="Arial"/>
        </w:rPr>
        <w:t xml:space="preserve">  </w:t>
      </w:r>
      <w:r w:rsidRPr="00B1493C">
        <w:rPr>
          <w:rFonts w:ascii="Arial" w:hAnsi="Arial" w:cs="Arial"/>
        </w:rPr>
        <w:tab/>
        <w:t xml:space="preserve">Neuhoff </w:t>
      </w:r>
      <w:r w:rsidRPr="00B1493C">
        <w:rPr>
          <w:rFonts w:ascii="Arial" w:hAnsi="Arial" w:cs="Arial"/>
          <w:i/>
        </w:rPr>
        <w:t>et al</w:t>
      </w:r>
      <w:r w:rsidRPr="00B1493C">
        <w:rPr>
          <w:rFonts w:ascii="Arial" w:hAnsi="Arial" w:cs="Arial"/>
        </w:rPr>
        <w:t xml:space="preserve"> 2006: 28-29.</w:t>
      </w:r>
    </w:p>
  </w:footnote>
  <w:footnote w:id="657">
    <w:p w:rsidR="005E7922" w:rsidRPr="00B1493C" w:rsidRDefault="005E7922" w:rsidP="00B1493C">
      <w:pPr>
        <w:pStyle w:val="Funotentext"/>
        <w:spacing w:line="240" w:lineRule="auto"/>
        <w:contextualSpacing/>
        <w:jc w:val="both"/>
        <w:rPr>
          <w:rFonts w:ascii="Arial" w:hAnsi="Arial" w:cs="Arial"/>
        </w:rPr>
      </w:pPr>
      <w:r w:rsidRPr="00B1493C">
        <w:rPr>
          <w:rStyle w:val="Funotenzeichen"/>
          <w:rFonts w:ascii="Arial" w:hAnsi="Arial" w:cs="Arial"/>
        </w:rPr>
        <w:footnoteRef/>
      </w:r>
      <w:r w:rsidRPr="00B1493C">
        <w:rPr>
          <w:rFonts w:ascii="Arial" w:hAnsi="Arial" w:cs="Arial"/>
        </w:rPr>
        <w:t xml:space="preserve">  </w:t>
      </w:r>
      <w:r w:rsidRPr="00B1493C">
        <w:rPr>
          <w:rFonts w:ascii="Arial" w:hAnsi="Arial" w:cs="Arial"/>
        </w:rPr>
        <w:tab/>
        <w:t xml:space="preserve">Neuhoff </w:t>
      </w:r>
      <w:r w:rsidRPr="00B1493C">
        <w:rPr>
          <w:rFonts w:ascii="Arial" w:hAnsi="Arial" w:cs="Arial"/>
          <w:i/>
        </w:rPr>
        <w:t>et al</w:t>
      </w:r>
      <w:r w:rsidRPr="00B1493C">
        <w:rPr>
          <w:rFonts w:ascii="Arial" w:hAnsi="Arial" w:cs="Arial"/>
        </w:rPr>
        <w:t xml:space="preserve"> 2006: 28-29.</w:t>
      </w:r>
    </w:p>
  </w:footnote>
  <w:footnote w:id="658">
    <w:p w:rsidR="005E7922" w:rsidRPr="00B1493C" w:rsidRDefault="005E7922" w:rsidP="00B1493C">
      <w:pPr>
        <w:pStyle w:val="Funotentext"/>
        <w:spacing w:line="240" w:lineRule="auto"/>
        <w:contextualSpacing/>
        <w:jc w:val="both"/>
        <w:rPr>
          <w:rFonts w:ascii="Arial" w:hAnsi="Arial" w:cs="Arial"/>
        </w:rPr>
      </w:pPr>
      <w:r w:rsidRPr="00B1493C">
        <w:rPr>
          <w:rStyle w:val="Funotenzeichen"/>
          <w:rFonts w:ascii="Arial" w:hAnsi="Arial" w:cs="Arial"/>
        </w:rPr>
        <w:footnoteRef/>
      </w:r>
      <w:r w:rsidRPr="00B1493C">
        <w:rPr>
          <w:rFonts w:ascii="Arial" w:hAnsi="Arial" w:cs="Arial"/>
        </w:rPr>
        <w:t xml:space="preserve">  </w:t>
      </w:r>
      <w:r w:rsidRPr="00B1493C">
        <w:rPr>
          <w:rFonts w:ascii="Arial" w:hAnsi="Arial" w:cs="Arial"/>
        </w:rPr>
        <w:tab/>
        <w:t xml:space="preserve">Lavergne </w:t>
      </w:r>
      <w:r w:rsidRPr="00B1493C">
        <w:rPr>
          <w:rFonts w:ascii="Arial" w:hAnsi="Arial" w:cs="Arial"/>
          <w:i/>
        </w:rPr>
        <w:t>et al</w:t>
      </w:r>
      <w:r w:rsidRPr="00B1493C">
        <w:rPr>
          <w:rFonts w:ascii="Arial" w:hAnsi="Arial" w:cs="Arial"/>
        </w:rPr>
        <w:t xml:space="preserve"> 2001: 159.</w:t>
      </w:r>
    </w:p>
  </w:footnote>
  <w:footnote w:id="659">
    <w:p w:rsidR="005E7922" w:rsidRPr="005E4D8B" w:rsidRDefault="005E7922" w:rsidP="005E4D8B">
      <w:pPr>
        <w:pStyle w:val="Funotentext"/>
        <w:spacing w:line="240" w:lineRule="auto"/>
        <w:contextualSpacing/>
        <w:jc w:val="both"/>
        <w:rPr>
          <w:rFonts w:ascii="Arial" w:hAnsi="Arial" w:cs="Arial"/>
        </w:rPr>
      </w:pPr>
      <w:r w:rsidRPr="005E4D8B">
        <w:rPr>
          <w:rStyle w:val="Funotenzeichen"/>
          <w:rFonts w:ascii="Arial" w:hAnsi="Arial" w:cs="Arial"/>
        </w:rPr>
        <w:footnoteRef/>
      </w:r>
      <w:r w:rsidRPr="005E4D8B">
        <w:rPr>
          <w:rFonts w:ascii="Arial" w:hAnsi="Arial" w:cs="Arial"/>
        </w:rPr>
        <w:t xml:space="preserve">  </w:t>
      </w:r>
      <w:r w:rsidRPr="005E4D8B">
        <w:rPr>
          <w:rFonts w:ascii="Arial" w:hAnsi="Arial" w:cs="Arial"/>
        </w:rPr>
        <w:tab/>
        <w:t>Lerner 1934: 169.</w:t>
      </w:r>
    </w:p>
  </w:footnote>
  <w:footnote w:id="660">
    <w:p w:rsidR="005E7922" w:rsidRPr="005E4D8B" w:rsidRDefault="005E7922" w:rsidP="005E4D8B">
      <w:pPr>
        <w:pStyle w:val="Funotentext"/>
        <w:spacing w:line="240" w:lineRule="auto"/>
        <w:contextualSpacing/>
        <w:jc w:val="both"/>
        <w:rPr>
          <w:rFonts w:ascii="Arial" w:hAnsi="Arial" w:cs="Arial"/>
        </w:rPr>
      </w:pPr>
      <w:r w:rsidRPr="005E4D8B">
        <w:rPr>
          <w:rStyle w:val="Funotenzeichen"/>
          <w:rFonts w:ascii="Arial" w:hAnsi="Arial" w:cs="Arial"/>
        </w:rPr>
        <w:footnoteRef/>
      </w:r>
      <w:r w:rsidRPr="005E4D8B">
        <w:rPr>
          <w:rFonts w:ascii="Arial" w:hAnsi="Arial" w:cs="Arial"/>
        </w:rPr>
        <w:t xml:space="preserve">  </w:t>
      </w:r>
      <w:r w:rsidRPr="005E4D8B">
        <w:rPr>
          <w:rFonts w:ascii="Arial" w:hAnsi="Arial" w:cs="Arial"/>
        </w:rPr>
        <w:tab/>
        <w:t>Vallejo 2006: 96.</w:t>
      </w:r>
    </w:p>
  </w:footnote>
  <w:footnote w:id="661">
    <w:p w:rsidR="005E7922" w:rsidRPr="005E4D8B" w:rsidRDefault="005E7922" w:rsidP="005E4D8B">
      <w:pPr>
        <w:pStyle w:val="Funotentext"/>
        <w:spacing w:line="240" w:lineRule="auto"/>
        <w:contextualSpacing/>
        <w:jc w:val="both"/>
        <w:rPr>
          <w:rFonts w:ascii="Arial" w:hAnsi="Arial" w:cs="Arial"/>
        </w:rPr>
      </w:pPr>
      <w:r w:rsidRPr="005E4D8B">
        <w:rPr>
          <w:rStyle w:val="Funotenzeichen"/>
          <w:rFonts w:ascii="Arial" w:hAnsi="Arial" w:cs="Arial"/>
        </w:rPr>
        <w:footnoteRef/>
      </w:r>
      <w:r w:rsidRPr="005E4D8B">
        <w:rPr>
          <w:rFonts w:ascii="Arial" w:hAnsi="Arial" w:cs="Arial"/>
        </w:rPr>
        <w:t xml:space="preserve">  </w:t>
      </w:r>
      <w:r w:rsidRPr="005E4D8B">
        <w:rPr>
          <w:rFonts w:ascii="Arial" w:hAnsi="Arial" w:cs="Arial"/>
        </w:rPr>
        <w:tab/>
        <w:t xml:space="preserve">Lerner 1934: 169; Vallejo 2006: 96; Littlechild 2006: 6; Massey 2000: 324; Tardiff &amp; Weisman </w:t>
      </w:r>
      <w:r w:rsidRPr="005E4D8B">
        <w:rPr>
          <w:rFonts w:ascii="Arial" w:hAnsi="Arial" w:cs="Arial"/>
        </w:rPr>
        <w:tab/>
        <w:t xml:space="preserve">2009: 521; Stenborg 2004: 1; US Federal Trade Commission 2007 on </w:t>
      </w:r>
    </w:p>
    <w:p w:rsidR="005E7922" w:rsidRPr="005E4D8B" w:rsidRDefault="005E7922" w:rsidP="005E4D8B">
      <w:pPr>
        <w:pStyle w:val="Funotentext"/>
        <w:spacing w:line="240" w:lineRule="auto"/>
        <w:contextualSpacing/>
        <w:jc w:val="both"/>
        <w:rPr>
          <w:rFonts w:ascii="Arial" w:hAnsi="Arial" w:cs="Arial"/>
        </w:rPr>
      </w:pPr>
      <w:r w:rsidRPr="005E4D8B">
        <w:rPr>
          <w:rFonts w:ascii="Arial" w:hAnsi="Arial" w:cs="Arial"/>
        </w:rPr>
        <w:tab/>
        <w:t>http://www.ftc.gov/opp/jointvent/classic3.shtm (accessed on 13 Mei 2011)</w:t>
      </w:r>
    </w:p>
  </w:footnote>
  <w:footnote w:id="662">
    <w:p w:rsidR="005E7922" w:rsidRPr="005E4D8B" w:rsidRDefault="005E7922" w:rsidP="005E4D8B">
      <w:pPr>
        <w:pStyle w:val="Funotentext"/>
        <w:spacing w:line="240" w:lineRule="auto"/>
        <w:contextualSpacing/>
        <w:jc w:val="both"/>
        <w:rPr>
          <w:rFonts w:ascii="Arial" w:hAnsi="Arial" w:cs="Arial"/>
        </w:rPr>
      </w:pPr>
      <w:r w:rsidRPr="005E4D8B">
        <w:rPr>
          <w:rStyle w:val="Funotenzeichen"/>
          <w:rFonts w:ascii="Arial" w:hAnsi="Arial" w:cs="Arial"/>
        </w:rPr>
        <w:footnoteRef/>
      </w:r>
      <w:r w:rsidRPr="005E4D8B">
        <w:rPr>
          <w:rFonts w:ascii="Arial" w:hAnsi="Arial" w:cs="Arial"/>
        </w:rPr>
        <w:t xml:space="preserve">   </w:t>
      </w:r>
      <w:r w:rsidRPr="005E4D8B">
        <w:rPr>
          <w:rFonts w:ascii="Arial" w:hAnsi="Arial" w:cs="Arial"/>
        </w:rPr>
        <w:tab/>
        <w:t xml:space="preserve">Lerner 1934: 169; Rojas 2010: 1; US Federal Trade Commission 2007 on </w:t>
      </w:r>
    </w:p>
    <w:p w:rsidR="005E7922" w:rsidRPr="005E4D8B" w:rsidRDefault="005E7922" w:rsidP="005E4D8B">
      <w:pPr>
        <w:pStyle w:val="Funotentext"/>
        <w:spacing w:line="240" w:lineRule="auto"/>
        <w:contextualSpacing/>
        <w:jc w:val="both"/>
        <w:rPr>
          <w:rFonts w:ascii="Arial" w:hAnsi="Arial" w:cs="Arial"/>
        </w:rPr>
      </w:pPr>
      <w:r w:rsidRPr="005E4D8B">
        <w:rPr>
          <w:rFonts w:ascii="Arial" w:hAnsi="Arial" w:cs="Arial"/>
        </w:rPr>
        <w:tab/>
        <w:t>http://www.ftc.gov/opp/jointvent/classic3.shtm (accessed on 13 Mei 2011)</w:t>
      </w:r>
    </w:p>
  </w:footnote>
  <w:footnote w:id="663">
    <w:p w:rsidR="005E7922" w:rsidRPr="005E4D8B" w:rsidRDefault="005E7922" w:rsidP="005E4D8B">
      <w:pPr>
        <w:pStyle w:val="Funotentext"/>
        <w:spacing w:line="240" w:lineRule="auto"/>
        <w:contextualSpacing/>
        <w:jc w:val="both"/>
        <w:rPr>
          <w:rFonts w:ascii="Arial" w:hAnsi="Arial" w:cs="Arial"/>
        </w:rPr>
      </w:pPr>
      <w:r w:rsidRPr="005E4D8B">
        <w:rPr>
          <w:rStyle w:val="Funotenzeichen"/>
          <w:rFonts w:ascii="Arial" w:hAnsi="Arial" w:cs="Arial"/>
        </w:rPr>
        <w:footnoteRef/>
      </w:r>
      <w:r w:rsidRPr="005E4D8B">
        <w:rPr>
          <w:rFonts w:ascii="Arial" w:hAnsi="Arial" w:cs="Arial"/>
        </w:rPr>
        <w:t xml:space="preserve">  </w:t>
      </w:r>
      <w:r w:rsidRPr="005E4D8B">
        <w:rPr>
          <w:rFonts w:ascii="Arial" w:hAnsi="Arial" w:cs="Arial"/>
        </w:rPr>
        <w:tab/>
        <w:t xml:space="preserve">McConnel 7 Brue 2008: 428; Neuhoff </w:t>
      </w:r>
      <w:r w:rsidRPr="005E4D8B">
        <w:rPr>
          <w:rFonts w:ascii="Arial" w:hAnsi="Arial" w:cs="Arial"/>
          <w:i/>
        </w:rPr>
        <w:t>et al</w:t>
      </w:r>
      <w:r w:rsidRPr="005E4D8B">
        <w:rPr>
          <w:rFonts w:ascii="Arial" w:hAnsi="Arial" w:cs="Arial"/>
        </w:rPr>
        <w:t xml:space="preserve"> 2006: 37-38.</w:t>
      </w:r>
    </w:p>
  </w:footnote>
  <w:footnote w:id="664">
    <w:p w:rsidR="005E7922" w:rsidRPr="005E4D8B" w:rsidRDefault="005E7922" w:rsidP="005E4D8B">
      <w:pPr>
        <w:pStyle w:val="Funotentext"/>
        <w:spacing w:line="240" w:lineRule="auto"/>
        <w:contextualSpacing/>
        <w:jc w:val="both"/>
        <w:rPr>
          <w:rFonts w:ascii="Arial" w:hAnsi="Arial" w:cs="Arial"/>
        </w:rPr>
      </w:pPr>
      <w:r w:rsidRPr="005E4D8B">
        <w:rPr>
          <w:rStyle w:val="Funotenzeichen"/>
          <w:rFonts w:ascii="Arial" w:hAnsi="Arial" w:cs="Arial"/>
        </w:rPr>
        <w:footnoteRef/>
      </w:r>
      <w:r w:rsidRPr="005E4D8B">
        <w:rPr>
          <w:rFonts w:ascii="Arial" w:hAnsi="Arial" w:cs="Arial"/>
        </w:rPr>
        <w:t xml:space="preserve">  </w:t>
      </w:r>
      <w:r w:rsidRPr="005E4D8B">
        <w:rPr>
          <w:rFonts w:ascii="Arial" w:hAnsi="Arial" w:cs="Arial"/>
        </w:rPr>
        <w:tab/>
        <w:t xml:space="preserve">Lerner 1934: 169; Rojas 2010: 1; US Federal Trade Commission 2007 on </w:t>
      </w:r>
    </w:p>
    <w:p w:rsidR="005E7922" w:rsidRPr="005E4D8B" w:rsidRDefault="005E7922" w:rsidP="005E4D8B">
      <w:pPr>
        <w:pStyle w:val="Funotentext"/>
        <w:spacing w:line="240" w:lineRule="auto"/>
        <w:contextualSpacing/>
        <w:jc w:val="both"/>
        <w:rPr>
          <w:rFonts w:ascii="Arial" w:hAnsi="Arial" w:cs="Arial"/>
        </w:rPr>
      </w:pPr>
      <w:r w:rsidRPr="005E4D8B">
        <w:rPr>
          <w:rFonts w:ascii="Arial" w:hAnsi="Arial" w:cs="Arial"/>
        </w:rPr>
        <w:tab/>
        <w:t>http://www.ftc.gov/opp/jointvent/classic3.shtm (accessed on 13 Mei 2011)</w:t>
      </w:r>
    </w:p>
  </w:footnote>
  <w:footnote w:id="665">
    <w:p w:rsidR="005E7922" w:rsidRPr="00DA41BF" w:rsidRDefault="005E7922" w:rsidP="00DA41BF">
      <w:pPr>
        <w:pStyle w:val="Funotentext"/>
        <w:spacing w:line="240" w:lineRule="auto"/>
        <w:contextualSpacing/>
        <w:jc w:val="both"/>
        <w:rPr>
          <w:rFonts w:ascii="Arial" w:hAnsi="Arial" w:cs="Arial"/>
          <w:lang w:val="af-ZA"/>
        </w:rPr>
      </w:pPr>
      <w:r w:rsidRPr="00DA41BF">
        <w:rPr>
          <w:rStyle w:val="Funotenzeichen"/>
          <w:rFonts w:ascii="Arial" w:hAnsi="Arial" w:cs="Arial"/>
        </w:rPr>
        <w:footnoteRef/>
      </w:r>
      <w:r w:rsidRPr="00DA41BF">
        <w:rPr>
          <w:rFonts w:ascii="Arial" w:hAnsi="Arial" w:cs="Arial"/>
        </w:rPr>
        <w:t xml:space="preserve"> </w:t>
      </w:r>
      <w:r w:rsidRPr="00DA41BF">
        <w:rPr>
          <w:rFonts w:ascii="Arial" w:hAnsi="Arial" w:cs="Arial"/>
          <w:lang w:val="af-ZA"/>
        </w:rPr>
        <w:t xml:space="preserve"> </w:t>
      </w:r>
      <w:r w:rsidRPr="00DA41BF">
        <w:rPr>
          <w:rFonts w:ascii="Arial" w:hAnsi="Arial" w:cs="Arial"/>
          <w:lang w:val="af-ZA"/>
        </w:rPr>
        <w:tab/>
      </w:r>
      <w:r w:rsidRPr="00DA41BF">
        <w:rPr>
          <w:rFonts w:ascii="Arial" w:hAnsi="Arial" w:cs="Arial"/>
        </w:rPr>
        <w:t>Rojas 2010: 1.</w:t>
      </w:r>
    </w:p>
  </w:footnote>
  <w:footnote w:id="666">
    <w:p w:rsidR="005E7922" w:rsidRPr="00DA41BF" w:rsidRDefault="005E7922" w:rsidP="00DA41BF">
      <w:pPr>
        <w:pStyle w:val="Funotentext"/>
        <w:spacing w:line="240" w:lineRule="auto"/>
        <w:contextualSpacing/>
        <w:jc w:val="both"/>
        <w:rPr>
          <w:rFonts w:ascii="Arial" w:hAnsi="Arial" w:cs="Arial"/>
        </w:rPr>
      </w:pPr>
      <w:r w:rsidRPr="00DA41BF">
        <w:rPr>
          <w:rStyle w:val="Funotenzeichen"/>
          <w:rFonts w:ascii="Arial" w:hAnsi="Arial" w:cs="Arial"/>
        </w:rPr>
        <w:footnoteRef/>
      </w:r>
      <w:r w:rsidRPr="00DA41BF">
        <w:rPr>
          <w:rFonts w:ascii="Arial" w:hAnsi="Arial" w:cs="Arial"/>
        </w:rPr>
        <w:t xml:space="preserve">  </w:t>
      </w:r>
      <w:r w:rsidRPr="00DA41BF">
        <w:rPr>
          <w:rFonts w:ascii="Arial" w:hAnsi="Arial" w:cs="Arial"/>
        </w:rPr>
        <w:tab/>
        <w:t>Rojas 2010: 1.</w:t>
      </w:r>
    </w:p>
  </w:footnote>
  <w:footnote w:id="667">
    <w:p w:rsidR="005E7922" w:rsidRPr="00DA41BF" w:rsidRDefault="005E7922" w:rsidP="00DA41BF">
      <w:pPr>
        <w:pStyle w:val="Funotentext"/>
        <w:spacing w:line="240" w:lineRule="auto"/>
        <w:contextualSpacing/>
        <w:jc w:val="both"/>
        <w:rPr>
          <w:rFonts w:ascii="Arial" w:hAnsi="Arial" w:cs="Arial"/>
        </w:rPr>
      </w:pPr>
      <w:r w:rsidRPr="00DA41BF">
        <w:rPr>
          <w:rStyle w:val="Funotenzeichen"/>
          <w:rFonts w:ascii="Arial" w:hAnsi="Arial" w:cs="Arial"/>
        </w:rPr>
        <w:footnoteRef/>
      </w:r>
      <w:r w:rsidRPr="00DA41BF">
        <w:rPr>
          <w:rFonts w:ascii="Arial" w:hAnsi="Arial" w:cs="Arial"/>
        </w:rPr>
        <w:t xml:space="preserve">  </w:t>
      </w:r>
      <w:r w:rsidRPr="00DA41BF">
        <w:rPr>
          <w:rFonts w:ascii="Arial" w:hAnsi="Arial" w:cs="Arial"/>
        </w:rPr>
        <w:tab/>
        <w:t>Rojas 2010: 1.</w:t>
      </w:r>
    </w:p>
  </w:footnote>
  <w:footnote w:id="668">
    <w:p w:rsidR="005E7922" w:rsidRPr="00DA41BF" w:rsidRDefault="005E7922" w:rsidP="00DA41BF">
      <w:pPr>
        <w:pStyle w:val="Funotentext"/>
        <w:spacing w:line="240" w:lineRule="auto"/>
        <w:contextualSpacing/>
        <w:jc w:val="both"/>
        <w:rPr>
          <w:rFonts w:ascii="Arial" w:hAnsi="Arial" w:cs="Arial"/>
          <w:lang w:val="af-ZA"/>
        </w:rPr>
      </w:pPr>
      <w:r w:rsidRPr="00DA41BF">
        <w:rPr>
          <w:rStyle w:val="Funotenzeichen"/>
          <w:rFonts w:ascii="Arial" w:hAnsi="Arial" w:cs="Arial"/>
        </w:rPr>
        <w:footnoteRef/>
      </w:r>
      <w:r w:rsidRPr="00DA41BF">
        <w:rPr>
          <w:rFonts w:ascii="Arial" w:hAnsi="Arial" w:cs="Arial"/>
        </w:rPr>
        <w:t xml:space="preserve"> </w:t>
      </w:r>
      <w:r w:rsidRPr="00DA41BF">
        <w:rPr>
          <w:rFonts w:ascii="Arial" w:hAnsi="Arial" w:cs="Arial"/>
        </w:rPr>
        <w:tab/>
        <w:t>Rojas 2010: 1.</w:t>
      </w:r>
    </w:p>
  </w:footnote>
  <w:footnote w:id="669">
    <w:p w:rsidR="005E7922" w:rsidRPr="00DA41BF" w:rsidRDefault="005E7922" w:rsidP="00DA41BF">
      <w:pPr>
        <w:pStyle w:val="Funotentext"/>
        <w:spacing w:line="240" w:lineRule="auto"/>
        <w:contextualSpacing/>
        <w:jc w:val="both"/>
        <w:rPr>
          <w:rFonts w:ascii="Arial" w:hAnsi="Arial" w:cs="Arial"/>
          <w:lang w:val="af-ZA"/>
        </w:rPr>
      </w:pPr>
      <w:r w:rsidRPr="00DA41BF">
        <w:rPr>
          <w:rStyle w:val="Funotenzeichen"/>
          <w:rFonts w:ascii="Arial" w:hAnsi="Arial" w:cs="Arial"/>
        </w:rPr>
        <w:footnoteRef/>
      </w:r>
      <w:r w:rsidRPr="00DA41BF">
        <w:rPr>
          <w:rFonts w:ascii="Arial" w:hAnsi="Arial" w:cs="Arial"/>
        </w:rPr>
        <w:t xml:space="preserve"> </w:t>
      </w:r>
      <w:r w:rsidRPr="00DA41BF">
        <w:rPr>
          <w:rFonts w:ascii="Arial" w:hAnsi="Arial" w:cs="Arial"/>
          <w:lang w:val="af-ZA"/>
        </w:rPr>
        <w:t xml:space="preserve"> </w:t>
      </w:r>
      <w:r w:rsidRPr="00DA41BF">
        <w:rPr>
          <w:rFonts w:ascii="Arial" w:hAnsi="Arial" w:cs="Arial"/>
          <w:lang w:val="af-ZA"/>
        </w:rPr>
        <w:tab/>
      </w:r>
      <w:r w:rsidRPr="00DA41BF">
        <w:rPr>
          <w:rFonts w:ascii="Arial" w:hAnsi="Arial" w:cs="Arial"/>
        </w:rPr>
        <w:t>Rojas 2010: 1.</w:t>
      </w:r>
    </w:p>
  </w:footnote>
  <w:footnote w:id="670">
    <w:p w:rsidR="005E7922" w:rsidRPr="00DA41BF" w:rsidRDefault="005E7922" w:rsidP="00DA41BF">
      <w:pPr>
        <w:pStyle w:val="Funotentext"/>
        <w:spacing w:line="240" w:lineRule="auto"/>
        <w:contextualSpacing/>
        <w:jc w:val="both"/>
        <w:rPr>
          <w:rFonts w:ascii="Arial" w:hAnsi="Arial" w:cs="Arial"/>
        </w:rPr>
      </w:pPr>
      <w:r w:rsidRPr="00DA41BF">
        <w:rPr>
          <w:rStyle w:val="Funotenzeichen"/>
          <w:rFonts w:ascii="Arial" w:hAnsi="Arial" w:cs="Arial"/>
        </w:rPr>
        <w:footnoteRef/>
      </w:r>
      <w:r w:rsidRPr="00DA41BF">
        <w:rPr>
          <w:rFonts w:ascii="Arial" w:hAnsi="Arial" w:cs="Arial"/>
        </w:rPr>
        <w:t xml:space="preserve">  </w:t>
      </w:r>
      <w:r w:rsidRPr="00DA41BF">
        <w:rPr>
          <w:rFonts w:ascii="Arial" w:hAnsi="Arial" w:cs="Arial"/>
        </w:rPr>
        <w:tab/>
        <w:t xml:space="preserve">US Federal Trade Commission 2007 on </w:t>
      </w:r>
    </w:p>
    <w:p w:rsidR="005E7922" w:rsidRPr="00DA41BF" w:rsidRDefault="005E7922" w:rsidP="00DA41BF">
      <w:pPr>
        <w:pStyle w:val="Funotentext"/>
        <w:spacing w:line="240" w:lineRule="auto"/>
        <w:contextualSpacing/>
        <w:jc w:val="both"/>
        <w:rPr>
          <w:rFonts w:ascii="Arial" w:hAnsi="Arial" w:cs="Arial"/>
        </w:rPr>
      </w:pPr>
      <w:r w:rsidRPr="00DA41BF">
        <w:rPr>
          <w:rFonts w:ascii="Arial" w:hAnsi="Arial" w:cs="Arial"/>
        </w:rPr>
        <w:tab/>
        <w:t>http://www.ftc.gov/opp/jointvent/classic3.shtm (accessed on 13 Mei 2011)</w:t>
      </w:r>
    </w:p>
  </w:footnote>
  <w:footnote w:id="671">
    <w:p w:rsidR="005E7922" w:rsidRPr="00DA41BF" w:rsidRDefault="005E7922" w:rsidP="00DA41BF">
      <w:pPr>
        <w:pStyle w:val="Funotentext"/>
        <w:spacing w:line="240" w:lineRule="auto"/>
        <w:contextualSpacing/>
        <w:jc w:val="both"/>
        <w:rPr>
          <w:rFonts w:ascii="Arial" w:hAnsi="Arial" w:cs="Arial"/>
        </w:rPr>
      </w:pPr>
      <w:r w:rsidRPr="00DA41BF">
        <w:rPr>
          <w:rStyle w:val="Funotenzeichen"/>
          <w:rFonts w:ascii="Arial" w:hAnsi="Arial" w:cs="Arial"/>
        </w:rPr>
        <w:footnoteRef/>
      </w:r>
      <w:r w:rsidRPr="00DA41BF">
        <w:rPr>
          <w:rFonts w:ascii="Arial" w:hAnsi="Arial" w:cs="Arial"/>
        </w:rPr>
        <w:t xml:space="preserve">  </w:t>
      </w:r>
      <w:r w:rsidRPr="00DA41BF">
        <w:rPr>
          <w:rFonts w:ascii="Arial" w:hAnsi="Arial" w:cs="Arial"/>
        </w:rPr>
        <w:tab/>
        <w:t xml:space="preserve">US Federal Trade Commission 2007 on </w:t>
      </w:r>
    </w:p>
    <w:p w:rsidR="005E7922" w:rsidRPr="00DA41BF" w:rsidRDefault="005E7922" w:rsidP="00DA41BF">
      <w:pPr>
        <w:pStyle w:val="Funotentext"/>
        <w:spacing w:line="240" w:lineRule="auto"/>
        <w:contextualSpacing/>
        <w:jc w:val="both"/>
        <w:rPr>
          <w:rFonts w:ascii="Arial" w:hAnsi="Arial" w:cs="Arial"/>
        </w:rPr>
      </w:pPr>
      <w:r w:rsidRPr="00DA41BF">
        <w:rPr>
          <w:rFonts w:ascii="Arial" w:hAnsi="Arial" w:cs="Arial"/>
        </w:rPr>
        <w:tab/>
        <w:t>http://www.ftc.gov/opp/jointvent/classic3.shtm (accessed on 13 Mei 2011)</w:t>
      </w:r>
    </w:p>
  </w:footnote>
  <w:footnote w:id="672">
    <w:p w:rsidR="005E7922" w:rsidRPr="00DA41BF" w:rsidRDefault="005E7922" w:rsidP="00DA41BF">
      <w:pPr>
        <w:pStyle w:val="Funotentext"/>
        <w:spacing w:line="240" w:lineRule="auto"/>
        <w:contextualSpacing/>
        <w:jc w:val="both"/>
        <w:rPr>
          <w:rFonts w:ascii="Arial" w:hAnsi="Arial" w:cs="Arial"/>
        </w:rPr>
      </w:pPr>
      <w:r w:rsidRPr="00DA41BF">
        <w:rPr>
          <w:rStyle w:val="Funotenzeichen"/>
          <w:rFonts w:ascii="Arial" w:hAnsi="Arial" w:cs="Arial"/>
        </w:rPr>
        <w:footnoteRef/>
      </w:r>
      <w:r w:rsidRPr="00DA41BF">
        <w:rPr>
          <w:rFonts w:ascii="Arial" w:hAnsi="Arial" w:cs="Arial"/>
        </w:rPr>
        <w:t xml:space="preserve">   </w:t>
      </w:r>
      <w:r w:rsidRPr="00DA41BF">
        <w:rPr>
          <w:rFonts w:ascii="Arial" w:hAnsi="Arial" w:cs="Arial"/>
        </w:rPr>
        <w:tab/>
        <w:t xml:space="preserve">US Federal Trade Commission 2007 on </w:t>
      </w:r>
    </w:p>
    <w:p w:rsidR="005E7922" w:rsidRPr="00DA41BF" w:rsidRDefault="005E7922" w:rsidP="00DA41BF">
      <w:pPr>
        <w:pStyle w:val="Funotentext"/>
        <w:spacing w:line="240" w:lineRule="auto"/>
        <w:contextualSpacing/>
        <w:jc w:val="both"/>
        <w:rPr>
          <w:rFonts w:ascii="Arial" w:hAnsi="Arial" w:cs="Arial"/>
        </w:rPr>
      </w:pPr>
      <w:r w:rsidRPr="00DA41BF">
        <w:rPr>
          <w:rFonts w:ascii="Arial" w:hAnsi="Arial" w:cs="Arial"/>
        </w:rPr>
        <w:tab/>
        <w:t>http://www.ftc.gov/opp/jointvent/classic3.shtm (accessed on 13 Mei 2011)</w:t>
      </w:r>
    </w:p>
  </w:footnote>
  <w:footnote w:id="673">
    <w:p w:rsidR="005E7922" w:rsidRPr="00DA41BF" w:rsidRDefault="005E7922" w:rsidP="00DA41BF">
      <w:pPr>
        <w:pStyle w:val="Funotentext"/>
        <w:spacing w:line="240" w:lineRule="auto"/>
        <w:contextualSpacing/>
        <w:jc w:val="both"/>
        <w:rPr>
          <w:rFonts w:ascii="Arial" w:hAnsi="Arial" w:cs="Arial"/>
        </w:rPr>
      </w:pPr>
      <w:r w:rsidRPr="00DA41BF">
        <w:rPr>
          <w:rStyle w:val="Funotenzeichen"/>
          <w:rFonts w:ascii="Arial" w:hAnsi="Arial" w:cs="Arial"/>
        </w:rPr>
        <w:footnoteRef/>
      </w:r>
      <w:r w:rsidRPr="00DA41BF">
        <w:rPr>
          <w:rFonts w:ascii="Arial" w:hAnsi="Arial" w:cs="Arial"/>
        </w:rPr>
        <w:t xml:space="preserve">   </w:t>
      </w:r>
      <w:r w:rsidRPr="00DA41BF">
        <w:rPr>
          <w:rFonts w:ascii="Arial" w:hAnsi="Arial" w:cs="Arial"/>
        </w:rPr>
        <w:tab/>
        <w:t>Tardiff &amp; Weisman 2009: 521.</w:t>
      </w:r>
    </w:p>
  </w:footnote>
  <w:footnote w:id="674">
    <w:p w:rsidR="005E7922" w:rsidRPr="00DA41BF" w:rsidRDefault="005E7922" w:rsidP="00DA41BF">
      <w:pPr>
        <w:pStyle w:val="Funotentext"/>
        <w:spacing w:line="240" w:lineRule="auto"/>
        <w:contextualSpacing/>
        <w:jc w:val="both"/>
        <w:rPr>
          <w:rFonts w:ascii="Arial" w:hAnsi="Arial" w:cs="Arial"/>
        </w:rPr>
      </w:pPr>
      <w:r w:rsidRPr="00DA41BF">
        <w:rPr>
          <w:rStyle w:val="Funotenzeichen"/>
          <w:rFonts w:ascii="Arial" w:hAnsi="Arial" w:cs="Arial"/>
        </w:rPr>
        <w:footnoteRef/>
      </w:r>
      <w:r w:rsidRPr="00DA41BF">
        <w:rPr>
          <w:rFonts w:ascii="Arial" w:hAnsi="Arial" w:cs="Arial"/>
        </w:rPr>
        <w:t xml:space="preserve"> </w:t>
      </w:r>
      <w:r w:rsidRPr="00DA41BF">
        <w:rPr>
          <w:rFonts w:ascii="Arial" w:hAnsi="Arial" w:cs="Arial"/>
        </w:rPr>
        <w:tab/>
        <w:t>Stenborg 2004: 1; Rojas 2010: 1.</w:t>
      </w:r>
    </w:p>
  </w:footnote>
  <w:footnote w:id="675">
    <w:p w:rsidR="005E7922" w:rsidRPr="00615AAC" w:rsidRDefault="005E7922" w:rsidP="000E1B05">
      <w:pPr>
        <w:pStyle w:val="Funotentext"/>
        <w:spacing w:line="240" w:lineRule="auto"/>
        <w:contextualSpacing/>
        <w:jc w:val="both"/>
        <w:rPr>
          <w:rFonts w:ascii="Arial" w:hAnsi="Arial" w:cs="Arial"/>
        </w:rPr>
      </w:pPr>
      <w:r w:rsidRPr="00615AAC">
        <w:rPr>
          <w:rStyle w:val="Funotenzeichen"/>
          <w:rFonts w:ascii="Arial" w:hAnsi="Arial" w:cs="Arial"/>
        </w:rPr>
        <w:footnoteRef/>
      </w:r>
      <w:r w:rsidRPr="00615AAC">
        <w:rPr>
          <w:rFonts w:ascii="Arial" w:hAnsi="Arial" w:cs="Arial"/>
        </w:rPr>
        <w:t xml:space="preserve">  </w:t>
      </w:r>
      <w:r w:rsidRPr="00615AAC">
        <w:rPr>
          <w:rFonts w:ascii="Arial" w:hAnsi="Arial" w:cs="Arial"/>
        </w:rPr>
        <w:tab/>
        <w:t xml:space="preserve">Neuhoff </w:t>
      </w:r>
      <w:r w:rsidRPr="00615AAC">
        <w:rPr>
          <w:rFonts w:ascii="Arial" w:hAnsi="Arial" w:cs="Arial"/>
          <w:i/>
        </w:rPr>
        <w:t>et al</w:t>
      </w:r>
      <w:r w:rsidRPr="00615AAC">
        <w:rPr>
          <w:rFonts w:ascii="Arial" w:hAnsi="Arial" w:cs="Arial"/>
        </w:rPr>
        <w:t xml:space="preserve"> 2006: 27.</w:t>
      </w:r>
    </w:p>
  </w:footnote>
  <w:footnote w:id="676">
    <w:p w:rsidR="005E7922" w:rsidRPr="00615AAC" w:rsidRDefault="005E7922" w:rsidP="000E1B05">
      <w:pPr>
        <w:pStyle w:val="Funotentext"/>
        <w:spacing w:line="240" w:lineRule="auto"/>
        <w:contextualSpacing/>
        <w:jc w:val="both"/>
        <w:rPr>
          <w:rFonts w:ascii="Arial" w:hAnsi="Arial" w:cs="Arial"/>
        </w:rPr>
      </w:pPr>
      <w:r w:rsidRPr="00615AAC">
        <w:rPr>
          <w:rStyle w:val="Funotenzeichen"/>
          <w:rFonts w:ascii="Arial" w:hAnsi="Arial" w:cs="Arial"/>
        </w:rPr>
        <w:footnoteRef/>
      </w:r>
      <w:r w:rsidRPr="00615AAC">
        <w:rPr>
          <w:rFonts w:ascii="Arial" w:hAnsi="Arial" w:cs="Arial"/>
        </w:rPr>
        <w:t xml:space="preserve">  </w:t>
      </w:r>
      <w:r w:rsidRPr="00615AAC">
        <w:rPr>
          <w:rFonts w:ascii="Arial" w:hAnsi="Arial" w:cs="Arial"/>
        </w:rPr>
        <w:tab/>
        <w:t xml:space="preserve">Neuhoff </w:t>
      </w:r>
      <w:r w:rsidRPr="00615AAC">
        <w:rPr>
          <w:rFonts w:ascii="Arial" w:hAnsi="Arial" w:cs="Arial"/>
          <w:i/>
        </w:rPr>
        <w:t>et al</w:t>
      </w:r>
      <w:r w:rsidRPr="00615AAC">
        <w:rPr>
          <w:rFonts w:ascii="Arial" w:hAnsi="Arial" w:cs="Arial"/>
        </w:rPr>
        <w:t xml:space="preserve"> 2006: 27; McConnel &amp; Brue 2008: 340.</w:t>
      </w:r>
    </w:p>
  </w:footnote>
  <w:footnote w:id="677">
    <w:p w:rsidR="005E7922" w:rsidRPr="000F7347" w:rsidRDefault="005E7922" w:rsidP="000F7347">
      <w:pPr>
        <w:pStyle w:val="Funotentext"/>
        <w:spacing w:line="240" w:lineRule="auto"/>
        <w:contextualSpacing/>
        <w:jc w:val="both"/>
        <w:rPr>
          <w:rFonts w:ascii="Arial" w:hAnsi="Arial" w:cs="Arial"/>
        </w:rPr>
      </w:pPr>
      <w:r w:rsidRPr="000F7347">
        <w:rPr>
          <w:rStyle w:val="Funotenzeichen"/>
          <w:rFonts w:ascii="Arial" w:hAnsi="Arial" w:cs="Arial"/>
        </w:rPr>
        <w:footnoteRef/>
      </w:r>
      <w:r w:rsidRPr="000F7347">
        <w:rPr>
          <w:rFonts w:ascii="Arial" w:hAnsi="Arial" w:cs="Arial"/>
        </w:rPr>
        <w:t xml:space="preserve">  </w:t>
      </w:r>
      <w:r w:rsidRPr="000F7347">
        <w:rPr>
          <w:rFonts w:ascii="Arial" w:hAnsi="Arial" w:cs="Arial"/>
        </w:rPr>
        <w:tab/>
        <w:t xml:space="preserve">Neuhoff </w:t>
      </w:r>
      <w:r w:rsidRPr="000F7347">
        <w:rPr>
          <w:rFonts w:ascii="Arial" w:hAnsi="Arial" w:cs="Arial"/>
          <w:i/>
        </w:rPr>
        <w:t>et al</w:t>
      </w:r>
      <w:r w:rsidRPr="000F7347">
        <w:rPr>
          <w:rFonts w:ascii="Arial" w:hAnsi="Arial" w:cs="Arial"/>
        </w:rPr>
        <w:t xml:space="preserve"> 2006: 28; McConnel &amp; Brue 2008: 340.</w:t>
      </w:r>
    </w:p>
  </w:footnote>
  <w:footnote w:id="678">
    <w:p w:rsidR="005E7922" w:rsidRPr="000F7347" w:rsidRDefault="005E7922" w:rsidP="000F7347">
      <w:pPr>
        <w:pStyle w:val="Funotentext"/>
        <w:spacing w:line="240" w:lineRule="auto"/>
        <w:contextualSpacing/>
        <w:jc w:val="both"/>
        <w:rPr>
          <w:rFonts w:ascii="Arial" w:hAnsi="Arial" w:cs="Arial"/>
        </w:rPr>
      </w:pPr>
      <w:r w:rsidRPr="000F7347">
        <w:rPr>
          <w:rStyle w:val="Funotenzeichen"/>
          <w:rFonts w:ascii="Arial" w:hAnsi="Arial" w:cs="Arial"/>
        </w:rPr>
        <w:footnoteRef/>
      </w:r>
      <w:r w:rsidRPr="000F7347">
        <w:rPr>
          <w:rFonts w:ascii="Arial" w:hAnsi="Arial" w:cs="Arial"/>
        </w:rPr>
        <w:t xml:space="preserve">  </w:t>
      </w:r>
      <w:r w:rsidRPr="000F7347">
        <w:rPr>
          <w:rFonts w:ascii="Arial" w:hAnsi="Arial" w:cs="Arial"/>
        </w:rPr>
        <w:tab/>
        <w:t xml:space="preserve">Neuhoff </w:t>
      </w:r>
      <w:r w:rsidRPr="000F7347">
        <w:rPr>
          <w:rFonts w:ascii="Arial" w:hAnsi="Arial" w:cs="Arial"/>
          <w:i/>
        </w:rPr>
        <w:t>et al</w:t>
      </w:r>
      <w:r w:rsidRPr="000F7347">
        <w:rPr>
          <w:rFonts w:ascii="Arial" w:hAnsi="Arial" w:cs="Arial"/>
        </w:rPr>
        <w:t xml:space="preserve"> 2006: 28; McConnel &amp; Brue 2008: 341.</w:t>
      </w:r>
    </w:p>
  </w:footnote>
  <w:footnote w:id="679">
    <w:p w:rsidR="005E7922" w:rsidRPr="000F7347" w:rsidRDefault="005E7922" w:rsidP="000F7347">
      <w:pPr>
        <w:pStyle w:val="Funotentext"/>
        <w:spacing w:line="240" w:lineRule="auto"/>
        <w:contextualSpacing/>
        <w:jc w:val="both"/>
        <w:rPr>
          <w:rFonts w:ascii="Arial" w:hAnsi="Arial" w:cs="Arial"/>
          <w:lang w:val="af-ZA"/>
        </w:rPr>
      </w:pPr>
      <w:r w:rsidRPr="000F7347">
        <w:rPr>
          <w:rStyle w:val="Funotenzeichen"/>
          <w:rFonts w:ascii="Arial" w:hAnsi="Arial" w:cs="Arial"/>
        </w:rPr>
        <w:footnoteRef/>
      </w:r>
      <w:r w:rsidRPr="000F7347">
        <w:rPr>
          <w:rFonts w:ascii="Arial" w:hAnsi="Arial" w:cs="Arial"/>
        </w:rPr>
        <w:t xml:space="preserve"> </w:t>
      </w:r>
      <w:r w:rsidRPr="000F7347">
        <w:rPr>
          <w:rFonts w:ascii="Arial" w:hAnsi="Arial" w:cs="Arial"/>
          <w:lang w:val="af-ZA"/>
        </w:rPr>
        <w:t xml:space="preserve"> </w:t>
      </w:r>
      <w:r w:rsidRPr="000F7347">
        <w:rPr>
          <w:rFonts w:ascii="Arial" w:hAnsi="Arial" w:cs="Arial"/>
          <w:lang w:val="af-ZA"/>
        </w:rPr>
        <w:tab/>
      </w:r>
      <w:r w:rsidRPr="000F7347">
        <w:rPr>
          <w:rFonts w:ascii="Arial" w:hAnsi="Arial" w:cs="Arial"/>
        </w:rPr>
        <w:t xml:space="preserve">Neuhoff </w:t>
      </w:r>
      <w:r w:rsidRPr="000F7347">
        <w:rPr>
          <w:rFonts w:ascii="Arial" w:hAnsi="Arial" w:cs="Arial"/>
          <w:i/>
        </w:rPr>
        <w:t>et al</w:t>
      </w:r>
      <w:r w:rsidRPr="000F7347">
        <w:rPr>
          <w:rFonts w:ascii="Arial" w:hAnsi="Arial" w:cs="Arial"/>
        </w:rPr>
        <w:t xml:space="preserve"> 2006: 28; McConnel &amp; Brue 2008: 341.</w:t>
      </w:r>
    </w:p>
  </w:footnote>
  <w:footnote w:id="680">
    <w:p w:rsidR="005E7922" w:rsidRPr="000F7347" w:rsidRDefault="005E7922" w:rsidP="000F7347">
      <w:pPr>
        <w:pStyle w:val="Funotentext"/>
        <w:spacing w:line="240" w:lineRule="auto"/>
        <w:contextualSpacing/>
        <w:jc w:val="both"/>
        <w:rPr>
          <w:rFonts w:ascii="Arial" w:hAnsi="Arial" w:cs="Arial"/>
        </w:rPr>
      </w:pPr>
      <w:r w:rsidRPr="000F7347">
        <w:rPr>
          <w:rStyle w:val="Funotenzeichen"/>
          <w:rFonts w:ascii="Arial" w:hAnsi="Arial" w:cs="Arial"/>
        </w:rPr>
        <w:footnoteRef/>
      </w:r>
      <w:r w:rsidRPr="000F7347">
        <w:rPr>
          <w:rFonts w:ascii="Arial" w:hAnsi="Arial" w:cs="Arial"/>
        </w:rPr>
        <w:t xml:space="preserve">  </w:t>
      </w:r>
      <w:r w:rsidRPr="000F7347">
        <w:rPr>
          <w:rFonts w:ascii="Arial" w:hAnsi="Arial" w:cs="Arial"/>
        </w:rPr>
        <w:tab/>
        <w:t xml:space="preserve">Neuhoff </w:t>
      </w:r>
      <w:r w:rsidRPr="000F7347">
        <w:rPr>
          <w:rFonts w:ascii="Arial" w:hAnsi="Arial" w:cs="Arial"/>
          <w:i/>
        </w:rPr>
        <w:t>et al</w:t>
      </w:r>
      <w:r w:rsidRPr="000F7347">
        <w:rPr>
          <w:rFonts w:ascii="Arial" w:hAnsi="Arial" w:cs="Arial"/>
        </w:rPr>
        <w:t xml:space="preserve"> 2006: 27; McConnel &amp; Brue 2008: 341.</w:t>
      </w:r>
    </w:p>
  </w:footnote>
  <w:footnote w:id="681">
    <w:p w:rsidR="005E7922" w:rsidRPr="000F7347" w:rsidRDefault="005E7922" w:rsidP="000F7347">
      <w:pPr>
        <w:pStyle w:val="Funotentext"/>
        <w:spacing w:line="240" w:lineRule="auto"/>
        <w:contextualSpacing/>
        <w:jc w:val="both"/>
        <w:rPr>
          <w:rFonts w:ascii="Arial" w:hAnsi="Arial" w:cs="Arial"/>
        </w:rPr>
      </w:pPr>
      <w:r w:rsidRPr="000F7347">
        <w:rPr>
          <w:rStyle w:val="Funotenzeichen"/>
          <w:rFonts w:ascii="Arial" w:hAnsi="Arial" w:cs="Arial"/>
        </w:rPr>
        <w:footnoteRef/>
      </w:r>
      <w:r w:rsidRPr="000F7347">
        <w:rPr>
          <w:rFonts w:ascii="Arial" w:hAnsi="Arial" w:cs="Arial"/>
        </w:rPr>
        <w:t xml:space="preserve">  </w:t>
      </w:r>
      <w:r w:rsidRPr="000F7347">
        <w:rPr>
          <w:rFonts w:ascii="Arial" w:hAnsi="Arial" w:cs="Arial"/>
        </w:rPr>
        <w:tab/>
        <w:t xml:space="preserve">Neuhoff </w:t>
      </w:r>
      <w:r w:rsidRPr="000F7347">
        <w:rPr>
          <w:rFonts w:ascii="Arial" w:hAnsi="Arial" w:cs="Arial"/>
          <w:i/>
        </w:rPr>
        <w:t>et al</w:t>
      </w:r>
      <w:r w:rsidRPr="000F7347">
        <w:rPr>
          <w:rFonts w:ascii="Arial" w:hAnsi="Arial" w:cs="Arial"/>
        </w:rPr>
        <w:t xml:space="preserve"> 2006: 27; McConnel &amp; Brue 2008: 341.</w:t>
      </w:r>
    </w:p>
  </w:footnote>
  <w:footnote w:id="682">
    <w:p w:rsidR="005E7922" w:rsidRPr="000F7347" w:rsidRDefault="005E7922" w:rsidP="000F7347">
      <w:pPr>
        <w:pStyle w:val="Funotentext"/>
        <w:spacing w:line="240" w:lineRule="auto"/>
        <w:contextualSpacing/>
        <w:jc w:val="both"/>
        <w:rPr>
          <w:rFonts w:ascii="Arial" w:hAnsi="Arial" w:cs="Arial"/>
        </w:rPr>
      </w:pPr>
      <w:r w:rsidRPr="000F7347">
        <w:rPr>
          <w:rStyle w:val="Funotenzeichen"/>
          <w:rFonts w:ascii="Arial" w:hAnsi="Arial" w:cs="Arial"/>
        </w:rPr>
        <w:footnoteRef/>
      </w:r>
      <w:r w:rsidRPr="000F7347">
        <w:rPr>
          <w:rFonts w:ascii="Arial" w:hAnsi="Arial" w:cs="Arial"/>
        </w:rPr>
        <w:t xml:space="preserve">  </w:t>
      </w:r>
      <w:r w:rsidRPr="000F7347">
        <w:rPr>
          <w:rFonts w:ascii="Arial" w:hAnsi="Arial" w:cs="Arial"/>
        </w:rPr>
        <w:tab/>
        <w:t xml:space="preserve">The law of demand states that if the price of a product increases, the demand for that product </w:t>
      </w:r>
      <w:r w:rsidRPr="000F7347">
        <w:rPr>
          <w:rFonts w:ascii="Arial" w:hAnsi="Arial" w:cs="Arial"/>
        </w:rPr>
        <w:tab/>
        <w:t>decreases and vice versa. For more information, see McConnel &amp; Brue 2008: 46.</w:t>
      </w:r>
    </w:p>
  </w:footnote>
  <w:footnote w:id="683">
    <w:p w:rsidR="005E7922" w:rsidRPr="000F7347" w:rsidRDefault="005E7922" w:rsidP="000F7347">
      <w:pPr>
        <w:pStyle w:val="Funotentext"/>
        <w:spacing w:line="240" w:lineRule="auto"/>
        <w:contextualSpacing/>
        <w:jc w:val="both"/>
        <w:rPr>
          <w:rFonts w:ascii="Arial" w:hAnsi="Arial" w:cs="Arial"/>
        </w:rPr>
      </w:pPr>
      <w:r w:rsidRPr="000F7347">
        <w:rPr>
          <w:rStyle w:val="Funotenzeichen"/>
          <w:rFonts w:ascii="Arial" w:hAnsi="Arial" w:cs="Arial"/>
        </w:rPr>
        <w:footnoteRef/>
      </w:r>
      <w:r w:rsidRPr="000F7347">
        <w:rPr>
          <w:rFonts w:ascii="Arial" w:hAnsi="Arial" w:cs="Arial"/>
        </w:rPr>
        <w:t xml:space="preserve">  </w:t>
      </w:r>
      <w:r w:rsidRPr="000F7347">
        <w:rPr>
          <w:rFonts w:ascii="Arial" w:hAnsi="Arial" w:cs="Arial"/>
        </w:rPr>
        <w:tab/>
        <w:t xml:space="preserve">Neuhoff </w:t>
      </w:r>
      <w:r w:rsidRPr="000F7347">
        <w:rPr>
          <w:rFonts w:ascii="Arial" w:hAnsi="Arial" w:cs="Arial"/>
          <w:i/>
        </w:rPr>
        <w:t>et al</w:t>
      </w:r>
      <w:r w:rsidRPr="000F7347">
        <w:rPr>
          <w:rFonts w:ascii="Arial" w:hAnsi="Arial" w:cs="Arial"/>
        </w:rPr>
        <w:t xml:space="preserve"> 2006: 28; McConnel &amp; Brue 2008: 341.</w:t>
      </w:r>
    </w:p>
  </w:footnote>
  <w:footnote w:id="684">
    <w:p w:rsidR="005E7922" w:rsidRPr="000F7347" w:rsidRDefault="005E7922" w:rsidP="000F7347">
      <w:pPr>
        <w:pStyle w:val="Funotentext"/>
        <w:spacing w:line="240" w:lineRule="auto"/>
        <w:contextualSpacing/>
        <w:jc w:val="both"/>
        <w:rPr>
          <w:rFonts w:ascii="Arial" w:hAnsi="Arial" w:cs="Arial"/>
        </w:rPr>
      </w:pPr>
      <w:r w:rsidRPr="000F7347">
        <w:rPr>
          <w:rStyle w:val="Funotenzeichen"/>
          <w:rFonts w:ascii="Arial" w:hAnsi="Arial" w:cs="Arial"/>
        </w:rPr>
        <w:footnoteRef/>
      </w:r>
      <w:r w:rsidRPr="000F7347">
        <w:rPr>
          <w:rFonts w:ascii="Arial" w:hAnsi="Arial" w:cs="Arial"/>
        </w:rPr>
        <w:t xml:space="preserve">  </w:t>
      </w:r>
      <w:r w:rsidRPr="000F7347">
        <w:rPr>
          <w:rFonts w:ascii="Arial" w:hAnsi="Arial" w:cs="Arial"/>
        </w:rPr>
        <w:tab/>
        <w:t xml:space="preserve">Neuhoff </w:t>
      </w:r>
      <w:r w:rsidRPr="000F7347">
        <w:rPr>
          <w:rFonts w:ascii="Arial" w:hAnsi="Arial" w:cs="Arial"/>
          <w:i/>
        </w:rPr>
        <w:t>et al</w:t>
      </w:r>
      <w:r w:rsidRPr="000F7347">
        <w:rPr>
          <w:rFonts w:ascii="Arial" w:hAnsi="Arial" w:cs="Arial"/>
        </w:rPr>
        <w:t xml:space="preserve"> 2006: 27-28.</w:t>
      </w:r>
    </w:p>
  </w:footnote>
  <w:footnote w:id="685">
    <w:p w:rsidR="005E7922" w:rsidRPr="00B30694" w:rsidRDefault="005E7922" w:rsidP="00B30694">
      <w:pPr>
        <w:pStyle w:val="Funotentext"/>
        <w:spacing w:line="240" w:lineRule="auto"/>
        <w:contextualSpacing/>
        <w:jc w:val="both"/>
        <w:rPr>
          <w:rFonts w:ascii="Arial" w:hAnsi="Arial" w:cs="Arial"/>
        </w:rPr>
      </w:pPr>
      <w:r w:rsidRPr="00B30694">
        <w:rPr>
          <w:rStyle w:val="Funotenzeichen"/>
          <w:rFonts w:ascii="Arial" w:hAnsi="Arial" w:cs="Arial"/>
        </w:rPr>
        <w:footnoteRef/>
      </w:r>
      <w:r w:rsidRPr="00B30694">
        <w:rPr>
          <w:rFonts w:ascii="Arial" w:hAnsi="Arial" w:cs="Arial"/>
        </w:rPr>
        <w:t xml:space="preserve">  </w:t>
      </w:r>
      <w:r w:rsidRPr="00B30694">
        <w:rPr>
          <w:rFonts w:ascii="Arial" w:hAnsi="Arial" w:cs="Arial"/>
        </w:rPr>
        <w:tab/>
        <w:t xml:space="preserve">McConnel &amp; Brue 2008: 340-341; Neuhoff </w:t>
      </w:r>
      <w:r w:rsidRPr="00B30694">
        <w:rPr>
          <w:rFonts w:ascii="Arial" w:hAnsi="Arial" w:cs="Arial"/>
          <w:i/>
        </w:rPr>
        <w:t>et al</w:t>
      </w:r>
      <w:r w:rsidRPr="00B30694">
        <w:rPr>
          <w:rFonts w:ascii="Arial" w:hAnsi="Arial" w:cs="Arial"/>
        </w:rPr>
        <w:t xml:space="preserve"> 2006: 27-28.</w:t>
      </w:r>
    </w:p>
  </w:footnote>
  <w:footnote w:id="686">
    <w:p w:rsidR="005E7922" w:rsidRPr="00B30694" w:rsidRDefault="005E7922" w:rsidP="00B30694">
      <w:pPr>
        <w:pStyle w:val="Funotentext"/>
        <w:spacing w:line="240" w:lineRule="auto"/>
        <w:contextualSpacing/>
        <w:jc w:val="both"/>
        <w:rPr>
          <w:rFonts w:ascii="Arial" w:hAnsi="Arial" w:cs="Arial"/>
        </w:rPr>
      </w:pPr>
      <w:r w:rsidRPr="00B30694">
        <w:rPr>
          <w:rStyle w:val="Funotenzeichen"/>
          <w:rFonts w:ascii="Arial" w:hAnsi="Arial" w:cs="Arial"/>
        </w:rPr>
        <w:footnoteRef/>
      </w:r>
      <w:r w:rsidRPr="00B30694">
        <w:rPr>
          <w:rFonts w:ascii="Arial" w:hAnsi="Arial" w:cs="Arial"/>
        </w:rPr>
        <w:t xml:space="preserve">  </w:t>
      </w:r>
      <w:r w:rsidRPr="00B30694">
        <w:rPr>
          <w:rFonts w:ascii="Arial" w:hAnsi="Arial" w:cs="Arial"/>
        </w:rPr>
        <w:tab/>
        <w:t>McConnel &amp; Brue 2008: 342-344.</w:t>
      </w:r>
    </w:p>
  </w:footnote>
  <w:footnote w:id="687">
    <w:p w:rsidR="005E7922" w:rsidRPr="00B30694" w:rsidRDefault="005E7922" w:rsidP="00B30694">
      <w:pPr>
        <w:pStyle w:val="Funotentext"/>
        <w:spacing w:line="240" w:lineRule="auto"/>
        <w:contextualSpacing/>
        <w:jc w:val="both"/>
        <w:rPr>
          <w:rFonts w:ascii="Arial" w:hAnsi="Arial" w:cs="Arial"/>
        </w:rPr>
      </w:pPr>
      <w:r w:rsidRPr="00B30694">
        <w:rPr>
          <w:rStyle w:val="Funotenzeichen"/>
          <w:rFonts w:ascii="Arial" w:hAnsi="Arial" w:cs="Arial"/>
        </w:rPr>
        <w:footnoteRef/>
      </w:r>
      <w:r w:rsidRPr="00B30694">
        <w:rPr>
          <w:rFonts w:ascii="Arial" w:hAnsi="Arial" w:cs="Arial"/>
        </w:rPr>
        <w:t xml:space="preserve">  </w:t>
      </w:r>
      <w:r w:rsidRPr="00B30694">
        <w:rPr>
          <w:rFonts w:ascii="Arial" w:hAnsi="Arial" w:cs="Arial"/>
        </w:rPr>
        <w:tab/>
        <w:t>McConnel &amp; Brue 2008: 342-344.</w:t>
      </w:r>
    </w:p>
  </w:footnote>
  <w:footnote w:id="688">
    <w:p w:rsidR="005E7922" w:rsidRPr="00B30694" w:rsidRDefault="005E7922" w:rsidP="00B30694">
      <w:pPr>
        <w:pStyle w:val="Funotentext"/>
        <w:spacing w:line="240" w:lineRule="auto"/>
        <w:contextualSpacing/>
        <w:jc w:val="both"/>
        <w:rPr>
          <w:rFonts w:ascii="Arial" w:hAnsi="Arial" w:cs="Arial"/>
        </w:rPr>
      </w:pPr>
      <w:r w:rsidRPr="00B30694">
        <w:rPr>
          <w:rStyle w:val="Funotenzeichen"/>
          <w:rFonts w:ascii="Arial" w:hAnsi="Arial" w:cs="Arial"/>
        </w:rPr>
        <w:footnoteRef/>
      </w:r>
      <w:r w:rsidRPr="00B30694">
        <w:rPr>
          <w:rFonts w:ascii="Arial" w:hAnsi="Arial" w:cs="Arial"/>
        </w:rPr>
        <w:t xml:space="preserve">  </w:t>
      </w:r>
      <w:r w:rsidRPr="00B30694">
        <w:rPr>
          <w:rFonts w:ascii="Arial" w:hAnsi="Arial" w:cs="Arial"/>
        </w:rPr>
        <w:tab/>
        <w:t xml:space="preserve">Neuhoff </w:t>
      </w:r>
      <w:r w:rsidRPr="00B30694">
        <w:rPr>
          <w:rFonts w:ascii="Arial" w:hAnsi="Arial" w:cs="Arial"/>
          <w:i/>
        </w:rPr>
        <w:t>et al</w:t>
      </w:r>
      <w:r w:rsidRPr="00B30694">
        <w:rPr>
          <w:rFonts w:ascii="Arial" w:hAnsi="Arial" w:cs="Arial"/>
        </w:rPr>
        <w:t xml:space="preserve"> 2006: 28.</w:t>
      </w:r>
    </w:p>
  </w:footnote>
  <w:footnote w:id="689">
    <w:p w:rsidR="005E7922" w:rsidRPr="00B30694" w:rsidRDefault="005E7922" w:rsidP="00B30694">
      <w:pPr>
        <w:pStyle w:val="Funotentext"/>
        <w:spacing w:line="240" w:lineRule="auto"/>
        <w:contextualSpacing/>
        <w:jc w:val="both"/>
        <w:rPr>
          <w:rFonts w:ascii="Arial" w:hAnsi="Arial" w:cs="Arial"/>
        </w:rPr>
      </w:pPr>
      <w:r w:rsidRPr="00B30694">
        <w:rPr>
          <w:rStyle w:val="Funotenzeichen"/>
          <w:rFonts w:ascii="Arial" w:hAnsi="Arial" w:cs="Arial"/>
        </w:rPr>
        <w:footnoteRef/>
      </w:r>
      <w:r w:rsidRPr="00B30694">
        <w:rPr>
          <w:rFonts w:ascii="Arial" w:hAnsi="Arial" w:cs="Arial"/>
        </w:rPr>
        <w:t xml:space="preserve">  </w:t>
      </w:r>
      <w:r w:rsidRPr="00B30694">
        <w:rPr>
          <w:rFonts w:ascii="Arial" w:hAnsi="Arial" w:cs="Arial"/>
        </w:rPr>
        <w:tab/>
        <w:t>Inferred from Rojas 2010: 1.</w:t>
      </w:r>
    </w:p>
  </w:footnote>
  <w:footnote w:id="690">
    <w:p w:rsidR="005E7922" w:rsidRPr="00B30694" w:rsidRDefault="005E7922" w:rsidP="00B30694">
      <w:pPr>
        <w:pStyle w:val="Funotentext"/>
        <w:spacing w:line="240" w:lineRule="auto"/>
        <w:contextualSpacing/>
        <w:jc w:val="both"/>
        <w:rPr>
          <w:rFonts w:ascii="Arial" w:hAnsi="Arial" w:cs="Arial"/>
        </w:rPr>
      </w:pPr>
      <w:r w:rsidRPr="00B30694">
        <w:rPr>
          <w:rStyle w:val="Funotenzeichen"/>
          <w:rFonts w:ascii="Arial" w:hAnsi="Arial" w:cs="Arial"/>
        </w:rPr>
        <w:footnoteRef/>
      </w:r>
      <w:r w:rsidRPr="00B30694">
        <w:rPr>
          <w:rFonts w:ascii="Arial" w:hAnsi="Arial" w:cs="Arial"/>
        </w:rPr>
        <w:t xml:space="preserve">  </w:t>
      </w:r>
      <w:r w:rsidRPr="00B30694">
        <w:rPr>
          <w:rFonts w:ascii="Arial" w:hAnsi="Arial" w:cs="Arial"/>
        </w:rPr>
        <w:tab/>
        <w:t>Inferred from Rojas 2010: 1.</w:t>
      </w:r>
    </w:p>
  </w:footnote>
  <w:footnote w:id="691">
    <w:p w:rsidR="005E7922" w:rsidRPr="00B30694" w:rsidRDefault="005E7922" w:rsidP="00B30694">
      <w:pPr>
        <w:pStyle w:val="Funotentext"/>
        <w:spacing w:line="240" w:lineRule="auto"/>
        <w:contextualSpacing/>
        <w:jc w:val="both"/>
        <w:rPr>
          <w:rFonts w:ascii="Arial" w:hAnsi="Arial" w:cs="Arial"/>
        </w:rPr>
      </w:pPr>
      <w:r w:rsidRPr="00B30694">
        <w:rPr>
          <w:rStyle w:val="Funotenzeichen"/>
          <w:rFonts w:ascii="Arial" w:hAnsi="Arial" w:cs="Arial"/>
        </w:rPr>
        <w:footnoteRef/>
      </w:r>
      <w:r w:rsidRPr="00B30694">
        <w:rPr>
          <w:rFonts w:ascii="Arial" w:hAnsi="Arial" w:cs="Arial"/>
        </w:rPr>
        <w:t xml:space="preserve">  </w:t>
      </w:r>
      <w:r w:rsidRPr="00B30694">
        <w:rPr>
          <w:rFonts w:ascii="Arial" w:hAnsi="Arial" w:cs="Arial"/>
        </w:rPr>
        <w:tab/>
        <w:t xml:space="preserve">Stenborg 2004: 1; Neuhoff </w:t>
      </w:r>
      <w:r w:rsidRPr="00B30694">
        <w:rPr>
          <w:rFonts w:ascii="Arial" w:hAnsi="Arial" w:cs="Arial"/>
          <w:i/>
        </w:rPr>
        <w:t>et al</w:t>
      </w:r>
      <w:r w:rsidRPr="00B30694">
        <w:rPr>
          <w:rFonts w:ascii="Arial" w:hAnsi="Arial" w:cs="Arial"/>
        </w:rPr>
        <w:t xml:space="preserve"> 2006: 28.</w:t>
      </w:r>
    </w:p>
  </w:footnote>
  <w:footnote w:id="692">
    <w:p w:rsidR="005E7922" w:rsidRPr="00B55E12" w:rsidRDefault="005E7922" w:rsidP="00B55E12">
      <w:pPr>
        <w:pStyle w:val="Funotentext"/>
        <w:spacing w:line="240" w:lineRule="auto"/>
        <w:contextualSpacing/>
        <w:jc w:val="both"/>
        <w:rPr>
          <w:rFonts w:ascii="Arial" w:hAnsi="Arial" w:cs="Arial"/>
        </w:rPr>
      </w:pPr>
      <w:r w:rsidRPr="00B55E12">
        <w:rPr>
          <w:rStyle w:val="Funotenzeichen"/>
          <w:rFonts w:ascii="Arial" w:hAnsi="Arial" w:cs="Arial"/>
        </w:rPr>
        <w:footnoteRef/>
      </w:r>
      <w:r w:rsidRPr="00B55E12">
        <w:rPr>
          <w:rFonts w:ascii="Arial" w:hAnsi="Arial" w:cs="Arial"/>
        </w:rPr>
        <w:t xml:space="preserve">  </w:t>
      </w:r>
      <w:r w:rsidRPr="00B55E12">
        <w:rPr>
          <w:rFonts w:ascii="Arial" w:hAnsi="Arial" w:cs="Arial"/>
        </w:rPr>
        <w:tab/>
        <w:t xml:space="preserve">Stenborg 2004: 1-2; Neuhoff </w:t>
      </w:r>
      <w:r w:rsidRPr="00B55E12">
        <w:rPr>
          <w:rFonts w:ascii="Arial" w:hAnsi="Arial" w:cs="Arial"/>
          <w:i/>
        </w:rPr>
        <w:t>et al</w:t>
      </w:r>
      <w:r w:rsidRPr="00B55E12">
        <w:rPr>
          <w:rFonts w:ascii="Arial" w:hAnsi="Arial" w:cs="Arial"/>
        </w:rPr>
        <w:t xml:space="preserve"> 2006: 28.</w:t>
      </w:r>
    </w:p>
  </w:footnote>
  <w:footnote w:id="693">
    <w:p w:rsidR="005E7922" w:rsidRPr="00B55E12" w:rsidRDefault="005E7922" w:rsidP="00B55E12">
      <w:pPr>
        <w:pStyle w:val="Funotentext"/>
        <w:spacing w:line="240" w:lineRule="auto"/>
        <w:contextualSpacing/>
        <w:jc w:val="both"/>
        <w:rPr>
          <w:rFonts w:ascii="Arial" w:hAnsi="Arial" w:cs="Arial"/>
        </w:rPr>
      </w:pPr>
      <w:r w:rsidRPr="00B55E12">
        <w:rPr>
          <w:rStyle w:val="Funotenzeichen"/>
          <w:rFonts w:ascii="Arial" w:hAnsi="Arial" w:cs="Arial"/>
        </w:rPr>
        <w:footnoteRef/>
      </w:r>
      <w:r w:rsidRPr="00B55E12">
        <w:rPr>
          <w:rFonts w:ascii="Arial" w:hAnsi="Arial" w:cs="Arial"/>
        </w:rPr>
        <w:t xml:space="preserve">  </w:t>
      </w:r>
      <w:r w:rsidRPr="00B55E12">
        <w:rPr>
          <w:rFonts w:ascii="Arial" w:hAnsi="Arial" w:cs="Arial"/>
        </w:rPr>
        <w:tab/>
        <w:t xml:space="preserve">Neuhoff </w:t>
      </w:r>
      <w:r w:rsidRPr="00B55E12">
        <w:rPr>
          <w:rFonts w:ascii="Arial" w:hAnsi="Arial" w:cs="Arial"/>
          <w:i/>
        </w:rPr>
        <w:t>et al</w:t>
      </w:r>
      <w:r w:rsidRPr="00B55E12">
        <w:rPr>
          <w:rFonts w:ascii="Arial" w:hAnsi="Arial" w:cs="Arial"/>
        </w:rPr>
        <w:t xml:space="preserve"> 2006: 35.</w:t>
      </w:r>
    </w:p>
  </w:footnote>
  <w:footnote w:id="694">
    <w:p w:rsidR="005E7922" w:rsidRPr="00B55E12" w:rsidRDefault="005E7922" w:rsidP="00B55E12">
      <w:pPr>
        <w:pStyle w:val="Funotentext"/>
        <w:spacing w:line="240" w:lineRule="auto"/>
        <w:contextualSpacing/>
        <w:jc w:val="both"/>
        <w:rPr>
          <w:rFonts w:ascii="Arial" w:hAnsi="Arial" w:cs="Arial"/>
        </w:rPr>
      </w:pPr>
      <w:r w:rsidRPr="00B55E12">
        <w:rPr>
          <w:rStyle w:val="Funotenzeichen"/>
          <w:rFonts w:ascii="Arial" w:hAnsi="Arial" w:cs="Arial"/>
        </w:rPr>
        <w:footnoteRef/>
      </w:r>
      <w:r>
        <w:rPr>
          <w:rFonts w:ascii="Arial" w:hAnsi="Arial" w:cs="Arial"/>
        </w:rPr>
        <w:t xml:space="preserve">  </w:t>
      </w:r>
      <w:r>
        <w:rPr>
          <w:rFonts w:ascii="Arial" w:hAnsi="Arial" w:cs="Arial"/>
        </w:rPr>
        <w:tab/>
        <w:t>Refer to section 2.4.5.</w:t>
      </w:r>
    </w:p>
  </w:footnote>
  <w:footnote w:id="695">
    <w:p w:rsidR="005E7922" w:rsidRPr="00B55E12" w:rsidRDefault="005E7922" w:rsidP="00B55E12">
      <w:pPr>
        <w:pStyle w:val="Funotentext"/>
        <w:spacing w:line="240" w:lineRule="auto"/>
        <w:contextualSpacing/>
        <w:jc w:val="both"/>
        <w:rPr>
          <w:rFonts w:ascii="Arial" w:hAnsi="Arial" w:cs="Arial"/>
        </w:rPr>
      </w:pPr>
      <w:r w:rsidRPr="00B55E12">
        <w:rPr>
          <w:rStyle w:val="Funotenzeichen"/>
          <w:rFonts w:ascii="Arial" w:hAnsi="Arial" w:cs="Arial"/>
        </w:rPr>
        <w:footnoteRef/>
      </w:r>
      <w:r w:rsidRPr="00B55E12">
        <w:rPr>
          <w:rFonts w:ascii="Arial" w:hAnsi="Arial" w:cs="Arial"/>
        </w:rPr>
        <w:t xml:space="preserve">  </w:t>
      </w:r>
      <w:r w:rsidRPr="00B55E12">
        <w:rPr>
          <w:rFonts w:ascii="Arial" w:hAnsi="Arial" w:cs="Arial"/>
        </w:rPr>
        <w:tab/>
        <w:t xml:space="preserve">Martin 2005: 15; Chabane </w:t>
      </w:r>
      <w:r w:rsidRPr="00B55E12">
        <w:rPr>
          <w:rFonts w:ascii="Arial" w:hAnsi="Arial" w:cs="Arial"/>
          <w:i/>
        </w:rPr>
        <w:t>et al</w:t>
      </w:r>
      <w:r w:rsidRPr="00B55E12">
        <w:rPr>
          <w:rFonts w:ascii="Arial" w:hAnsi="Arial" w:cs="Arial"/>
        </w:rPr>
        <w:t xml:space="preserve">  2003: 2; Witztum 2010: 157; Roberts 2004: 2; Reekie 2000: </w:t>
      </w:r>
      <w:r w:rsidRPr="00B55E12">
        <w:rPr>
          <w:rFonts w:ascii="Arial" w:hAnsi="Arial" w:cs="Arial"/>
        </w:rPr>
        <w:tab/>
        <w:t xml:space="preserve">11; Neuhoff </w:t>
      </w:r>
      <w:r w:rsidRPr="00B55E12">
        <w:rPr>
          <w:rFonts w:ascii="Arial" w:hAnsi="Arial" w:cs="Arial"/>
          <w:i/>
        </w:rPr>
        <w:t>et al</w:t>
      </w:r>
      <w:r w:rsidRPr="00B55E12">
        <w:rPr>
          <w:rFonts w:ascii="Arial" w:hAnsi="Arial" w:cs="Arial"/>
        </w:rPr>
        <w:t xml:space="preserve"> 2006: 36; Fourie 2006: 335; McConnell &amp; Brue 2008: 400; Wetzstein 2005: </w:t>
      </w:r>
      <w:r w:rsidRPr="00B55E12">
        <w:rPr>
          <w:rFonts w:ascii="Arial" w:hAnsi="Arial" w:cs="Arial"/>
        </w:rPr>
        <w:tab/>
        <w:t>258-259.</w:t>
      </w:r>
    </w:p>
  </w:footnote>
  <w:footnote w:id="696">
    <w:p w:rsidR="005E7922" w:rsidRPr="00B55E12" w:rsidRDefault="005E7922" w:rsidP="00B55E12">
      <w:pPr>
        <w:pStyle w:val="Funotentext"/>
        <w:spacing w:line="240" w:lineRule="auto"/>
        <w:contextualSpacing/>
        <w:jc w:val="both"/>
        <w:rPr>
          <w:rFonts w:ascii="Arial" w:hAnsi="Arial" w:cs="Arial"/>
        </w:rPr>
      </w:pPr>
      <w:r w:rsidRPr="00B55E12">
        <w:rPr>
          <w:rStyle w:val="Funotenzeichen"/>
          <w:rFonts w:ascii="Arial" w:hAnsi="Arial" w:cs="Arial"/>
        </w:rPr>
        <w:footnoteRef/>
      </w:r>
      <w:r w:rsidRPr="00B55E12">
        <w:rPr>
          <w:rFonts w:ascii="Arial" w:hAnsi="Arial" w:cs="Arial"/>
        </w:rPr>
        <w:t xml:space="preserve">  </w:t>
      </w:r>
      <w:r w:rsidRPr="00B55E12">
        <w:rPr>
          <w:rFonts w:ascii="Arial" w:hAnsi="Arial" w:cs="Arial"/>
        </w:rPr>
        <w:tab/>
        <w:t xml:space="preserve">Wetzstein 2005: 259; McConnel &amp; Brue 2008: 400-401. </w:t>
      </w:r>
    </w:p>
  </w:footnote>
  <w:footnote w:id="697">
    <w:p w:rsidR="005E7922" w:rsidRPr="00B55E12" w:rsidRDefault="005E7922" w:rsidP="00B55E12">
      <w:pPr>
        <w:pStyle w:val="Funotentext"/>
        <w:spacing w:line="240" w:lineRule="auto"/>
        <w:contextualSpacing/>
        <w:jc w:val="both"/>
        <w:rPr>
          <w:rFonts w:ascii="Arial" w:hAnsi="Arial" w:cs="Arial"/>
        </w:rPr>
      </w:pPr>
      <w:r w:rsidRPr="00B55E12">
        <w:rPr>
          <w:rStyle w:val="Funotenzeichen"/>
          <w:rFonts w:ascii="Arial" w:hAnsi="Arial" w:cs="Arial"/>
        </w:rPr>
        <w:footnoteRef/>
      </w:r>
      <w:r w:rsidRPr="00B55E12">
        <w:rPr>
          <w:rFonts w:ascii="Arial" w:hAnsi="Arial" w:cs="Arial"/>
        </w:rPr>
        <w:t xml:space="preserve">  </w:t>
      </w:r>
      <w:r w:rsidRPr="00B55E12">
        <w:rPr>
          <w:rFonts w:ascii="Arial" w:hAnsi="Arial" w:cs="Arial"/>
        </w:rPr>
        <w:tab/>
        <w:t xml:space="preserve">Wetzstein 2005: 259; McConnel &amp; Brue 2008: 400-401. </w:t>
      </w:r>
    </w:p>
  </w:footnote>
  <w:footnote w:id="698">
    <w:p w:rsidR="005E7922" w:rsidRPr="00B55E12" w:rsidRDefault="005E7922" w:rsidP="00B55E12">
      <w:pPr>
        <w:pStyle w:val="Funotentext"/>
        <w:spacing w:line="240" w:lineRule="auto"/>
        <w:contextualSpacing/>
        <w:jc w:val="both"/>
        <w:rPr>
          <w:rFonts w:ascii="Arial" w:hAnsi="Arial" w:cs="Arial"/>
        </w:rPr>
      </w:pPr>
      <w:r w:rsidRPr="00B55E12">
        <w:rPr>
          <w:rStyle w:val="Funotenzeichen"/>
          <w:rFonts w:ascii="Arial" w:hAnsi="Arial" w:cs="Arial"/>
        </w:rPr>
        <w:footnoteRef/>
      </w:r>
      <w:r w:rsidRPr="00B55E12">
        <w:rPr>
          <w:rFonts w:ascii="Arial" w:hAnsi="Arial" w:cs="Arial"/>
        </w:rPr>
        <w:t xml:space="preserve">  </w:t>
      </w:r>
      <w:r w:rsidRPr="00B55E12">
        <w:rPr>
          <w:rFonts w:ascii="Arial" w:hAnsi="Arial" w:cs="Arial"/>
        </w:rPr>
        <w:tab/>
        <w:t>McConnel &amp; Brue 2008: 400-401.</w:t>
      </w:r>
    </w:p>
  </w:footnote>
  <w:footnote w:id="699">
    <w:p w:rsidR="005E7922" w:rsidRPr="00B55E12" w:rsidRDefault="005E7922" w:rsidP="00B55E12">
      <w:pPr>
        <w:pStyle w:val="Funotentext"/>
        <w:spacing w:line="240" w:lineRule="auto"/>
        <w:contextualSpacing/>
        <w:jc w:val="both"/>
        <w:rPr>
          <w:rFonts w:ascii="Arial" w:hAnsi="Arial" w:cs="Arial"/>
        </w:rPr>
      </w:pPr>
      <w:r w:rsidRPr="00B55E12">
        <w:rPr>
          <w:rStyle w:val="Funotenzeichen"/>
          <w:rFonts w:ascii="Arial" w:hAnsi="Arial" w:cs="Arial"/>
        </w:rPr>
        <w:footnoteRef/>
      </w:r>
      <w:r w:rsidRPr="00B55E12">
        <w:rPr>
          <w:rFonts w:ascii="Arial" w:hAnsi="Arial" w:cs="Arial"/>
        </w:rPr>
        <w:t xml:space="preserve">  </w:t>
      </w:r>
      <w:r w:rsidRPr="00B55E12">
        <w:rPr>
          <w:rFonts w:ascii="Arial" w:hAnsi="Arial" w:cs="Arial"/>
        </w:rPr>
        <w:tab/>
        <w:t>McConnel &amp; Brue 2008: 400-401.</w:t>
      </w:r>
    </w:p>
  </w:footnote>
  <w:footnote w:id="700">
    <w:p w:rsidR="005E7922" w:rsidRPr="007E1FBA" w:rsidRDefault="005E7922" w:rsidP="00B55E12">
      <w:pPr>
        <w:pStyle w:val="Funotentext"/>
        <w:spacing w:line="240" w:lineRule="auto"/>
        <w:contextualSpacing/>
        <w:jc w:val="both"/>
      </w:pPr>
      <w:r w:rsidRPr="00B55E12">
        <w:rPr>
          <w:rStyle w:val="Funotenzeichen"/>
          <w:rFonts w:ascii="Arial" w:hAnsi="Arial" w:cs="Arial"/>
        </w:rPr>
        <w:footnoteRef/>
      </w:r>
      <w:r w:rsidRPr="00B55E12">
        <w:rPr>
          <w:rFonts w:ascii="Arial" w:hAnsi="Arial" w:cs="Arial"/>
        </w:rPr>
        <w:t xml:space="preserve">  </w:t>
      </w:r>
      <w:r w:rsidRPr="00B55E12">
        <w:rPr>
          <w:rFonts w:ascii="Arial" w:hAnsi="Arial" w:cs="Arial"/>
        </w:rPr>
        <w:tab/>
        <w:t>Wetzstein 2005: 368; McTeer 2002: Chapter 2; McConnell &amp; Brue 2008: 31.</w:t>
      </w:r>
    </w:p>
  </w:footnote>
  <w:footnote w:id="701">
    <w:p w:rsidR="005E7922" w:rsidRPr="00C2638C" w:rsidRDefault="005E7922" w:rsidP="00C2638C">
      <w:pPr>
        <w:pStyle w:val="Funotentext"/>
        <w:spacing w:line="240" w:lineRule="auto"/>
        <w:contextualSpacing/>
        <w:jc w:val="both"/>
        <w:rPr>
          <w:rFonts w:ascii="Arial" w:hAnsi="Arial" w:cs="Arial"/>
        </w:rPr>
      </w:pPr>
      <w:r w:rsidRPr="00C2638C">
        <w:rPr>
          <w:rStyle w:val="Funotenzeichen"/>
          <w:rFonts w:ascii="Arial" w:hAnsi="Arial" w:cs="Arial"/>
        </w:rPr>
        <w:footnoteRef/>
      </w:r>
      <w:r w:rsidRPr="00C2638C">
        <w:rPr>
          <w:rFonts w:ascii="Arial" w:hAnsi="Arial" w:cs="Arial"/>
        </w:rPr>
        <w:t xml:space="preserve">  </w:t>
      </w:r>
      <w:r w:rsidRPr="00C2638C">
        <w:rPr>
          <w:rFonts w:ascii="Arial" w:hAnsi="Arial" w:cs="Arial"/>
        </w:rPr>
        <w:tab/>
        <w:t xml:space="preserve">Martin 2005: 15; Chabane </w:t>
      </w:r>
      <w:r w:rsidRPr="00C2638C">
        <w:rPr>
          <w:rFonts w:ascii="Arial" w:hAnsi="Arial" w:cs="Arial"/>
          <w:i/>
        </w:rPr>
        <w:t>et al</w:t>
      </w:r>
      <w:r w:rsidRPr="00C2638C">
        <w:rPr>
          <w:rFonts w:ascii="Arial" w:hAnsi="Arial" w:cs="Arial"/>
        </w:rPr>
        <w:t xml:space="preserve">  2003: 2; Witztum 2010: 157; Roberts 2008: 2; Reekie 2000: </w:t>
      </w:r>
      <w:r w:rsidRPr="00C2638C">
        <w:rPr>
          <w:rFonts w:ascii="Arial" w:hAnsi="Arial" w:cs="Arial"/>
        </w:rPr>
        <w:tab/>
        <w:t xml:space="preserve">11; Neuhoff </w:t>
      </w:r>
      <w:r w:rsidRPr="00C2638C">
        <w:rPr>
          <w:rFonts w:ascii="Arial" w:hAnsi="Arial" w:cs="Arial"/>
          <w:i/>
        </w:rPr>
        <w:t>et al</w:t>
      </w:r>
      <w:r w:rsidRPr="00C2638C">
        <w:rPr>
          <w:rFonts w:ascii="Arial" w:hAnsi="Arial" w:cs="Arial"/>
        </w:rPr>
        <w:t xml:space="preserve">  2006: 36; Fourie 2006: 335; McConnell &amp; Brue 2008: 400; Wetzstein 2005: </w:t>
      </w:r>
      <w:r w:rsidRPr="00C2638C">
        <w:rPr>
          <w:rFonts w:ascii="Arial" w:hAnsi="Arial" w:cs="Arial"/>
        </w:rPr>
        <w:tab/>
        <w:t>258-259.</w:t>
      </w:r>
    </w:p>
  </w:footnote>
  <w:footnote w:id="702">
    <w:p w:rsidR="005E7922" w:rsidRPr="00C2638C" w:rsidRDefault="005E7922" w:rsidP="00C2638C">
      <w:pPr>
        <w:pStyle w:val="Funotentext"/>
        <w:spacing w:line="240" w:lineRule="auto"/>
        <w:contextualSpacing/>
        <w:jc w:val="both"/>
        <w:rPr>
          <w:rFonts w:ascii="Arial" w:hAnsi="Arial" w:cs="Arial"/>
        </w:rPr>
      </w:pPr>
      <w:r w:rsidRPr="00C2638C">
        <w:rPr>
          <w:rStyle w:val="Funotenzeichen"/>
          <w:rFonts w:ascii="Arial" w:hAnsi="Arial" w:cs="Arial"/>
        </w:rPr>
        <w:footnoteRef/>
      </w:r>
      <w:r w:rsidRPr="00C2638C">
        <w:rPr>
          <w:rFonts w:ascii="Arial" w:hAnsi="Arial" w:cs="Arial"/>
        </w:rPr>
        <w:t xml:space="preserve">  </w:t>
      </w:r>
      <w:r w:rsidRPr="00C2638C">
        <w:rPr>
          <w:rFonts w:ascii="Arial" w:hAnsi="Arial" w:cs="Arial"/>
        </w:rPr>
        <w:tab/>
        <w:t xml:space="preserve">Neuhoff </w:t>
      </w:r>
      <w:r w:rsidRPr="00C2638C">
        <w:rPr>
          <w:rFonts w:ascii="Arial" w:hAnsi="Arial" w:cs="Arial"/>
          <w:i/>
        </w:rPr>
        <w:t>et al</w:t>
      </w:r>
      <w:r w:rsidRPr="00C2638C">
        <w:rPr>
          <w:rFonts w:ascii="Arial" w:hAnsi="Arial" w:cs="Arial"/>
        </w:rPr>
        <w:t xml:space="preserve"> 35-36; McConnel &amp; Brue 400; Wetzstein 259.</w:t>
      </w:r>
    </w:p>
  </w:footnote>
  <w:footnote w:id="703">
    <w:p w:rsidR="005E7922" w:rsidRPr="00C2638C" w:rsidRDefault="005E7922" w:rsidP="00C2638C">
      <w:pPr>
        <w:pStyle w:val="Funotentext"/>
        <w:spacing w:line="240" w:lineRule="auto"/>
        <w:contextualSpacing/>
        <w:jc w:val="both"/>
        <w:rPr>
          <w:rFonts w:ascii="Arial" w:hAnsi="Arial" w:cs="Arial"/>
        </w:rPr>
      </w:pPr>
      <w:r w:rsidRPr="00C2638C">
        <w:rPr>
          <w:rStyle w:val="Funotenzeichen"/>
          <w:rFonts w:ascii="Arial" w:hAnsi="Arial" w:cs="Arial"/>
        </w:rPr>
        <w:footnoteRef/>
      </w:r>
      <w:r w:rsidRPr="00C2638C">
        <w:rPr>
          <w:rFonts w:ascii="Arial" w:hAnsi="Arial" w:cs="Arial"/>
        </w:rPr>
        <w:t xml:space="preserve">  </w:t>
      </w:r>
      <w:r w:rsidRPr="00C2638C">
        <w:rPr>
          <w:rFonts w:ascii="Arial" w:hAnsi="Arial" w:cs="Arial"/>
        </w:rPr>
        <w:tab/>
        <w:t xml:space="preserve">Martin 2005: 15; Chabane </w:t>
      </w:r>
      <w:r w:rsidRPr="00C2638C">
        <w:rPr>
          <w:rFonts w:ascii="Arial" w:hAnsi="Arial" w:cs="Arial"/>
          <w:i/>
        </w:rPr>
        <w:t>et al</w:t>
      </w:r>
      <w:r w:rsidRPr="00C2638C">
        <w:rPr>
          <w:rFonts w:ascii="Arial" w:hAnsi="Arial" w:cs="Arial"/>
        </w:rPr>
        <w:t xml:space="preserve">  2003: 2; Witztum 2010: 157; Roberts 2008: 2; Reekie 2000: </w:t>
      </w:r>
      <w:r w:rsidRPr="00C2638C">
        <w:rPr>
          <w:rFonts w:ascii="Arial" w:hAnsi="Arial" w:cs="Arial"/>
        </w:rPr>
        <w:tab/>
        <w:t xml:space="preserve">11; Neuhoff </w:t>
      </w:r>
      <w:r w:rsidRPr="00C2638C">
        <w:rPr>
          <w:rFonts w:ascii="Arial" w:hAnsi="Arial" w:cs="Arial"/>
          <w:i/>
        </w:rPr>
        <w:t>et al</w:t>
      </w:r>
      <w:r w:rsidRPr="00C2638C">
        <w:rPr>
          <w:rFonts w:ascii="Arial" w:hAnsi="Arial" w:cs="Arial"/>
        </w:rPr>
        <w:t xml:space="preserve"> 2006: 36; Fourie 2006: 335; McConnell &amp; Brue 2008: 400; Wetzstein 2005: </w:t>
      </w:r>
      <w:r w:rsidRPr="00C2638C">
        <w:rPr>
          <w:rFonts w:ascii="Arial" w:hAnsi="Arial" w:cs="Arial"/>
        </w:rPr>
        <w:tab/>
        <w:t>258-259; Reekie 1989: 38.</w:t>
      </w:r>
    </w:p>
  </w:footnote>
  <w:footnote w:id="704">
    <w:p w:rsidR="005E7922" w:rsidRPr="00C2638C" w:rsidRDefault="005E7922" w:rsidP="00C2638C">
      <w:pPr>
        <w:pStyle w:val="Funotentext"/>
        <w:spacing w:line="240" w:lineRule="auto"/>
        <w:contextualSpacing/>
        <w:jc w:val="both"/>
        <w:rPr>
          <w:rFonts w:ascii="Arial" w:hAnsi="Arial" w:cs="Arial"/>
        </w:rPr>
      </w:pPr>
      <w:r w:rsidRPr="00C2638C">
        <w:rPr>
          <w:rStyle w:val="Funotenzeichen"/>
          <w:rFonts w:ascii="Arial" w:hAnsi="Arial" w:cs="Arial"/>
        </w:rPr>
        <w:footnoteRef/>
      </w:r>
      <w:r w:rsidRPr="00C2638C">
        <w:rPr>
          <w:rFonts w:ascii="Arial" w:hAnsi="Arial" w:cs="Arial"/>
        </w:rPr>
        <w:t xml:space="preserve">  </w:t>
      </w:r>
      <w:r w:rsidRPr="00C2638C">
        <w:rPr>
          <w:rFonts w:ascii="Arial" w:hAnsi="Arial" w:cs="Arial"/>
        </w:rPr>
        <w:tab/>
        <w:t>Refer to section 2.5.3.1.1</w:t>
      </w:r>
    </w:p>
  </w:footnote>
  <w:footnote w:id="705">
    <w:p w:rsidR="005E7922" w:rsidRPr="00C2638C" w:rsidRDefault="005E7922" w:rsidP="00C2638C">
      <w:pPr>
        <w:pStyle w:val="Funotentext"/>
        <w:spacing w:line="240" w:lineRule="auto"/>
        <w:contextualSpacing/>
        <w:jc w:val="both"/>
        <w:rPr>
          <w:rFonts w:ascii="Arial" w:hAnsi="Arial" w:cs="Arial"/>
        </w:rPr>
      </w:pPr>
      <w:r w:rsidRPr="00C2638C">
        <w:rPr>
          <w:rStyle w:val="Funotenzeichen"/>
          <w:rFonts w:ascii="Arial" w:hAnsi="Arial" w:cs="Arial"/>
        </w:rPr>
        <w:footnoteRef/>
      </w:r>
      <w:r w:rsidRPr="00C2638C">
        <w:rPr>
          <w:rFonts w:ascii="Arial" w:hAnsi="Arial" w:cs="Arial"/>
        </w:rPr>
        <w:t xml:space="preserve">  </w:t>
      </w:r>
      <w:r w:rsidRPr="00C2638C">
        <w:rPr>
          <w:rFonts w:ascii="Arial" w:hAnsi="Arial" w:cs="Arial"/>
        </w:rPr>
        <w:tab/>
        <w:t xml:space="preserve">McConnel 7 Brue 2008: 428; Neuhoff </w:t>
      </w:r>
      <w:r w:rsidRPr="00C2638C">
        <w:rPr>
          <w:rFonts w:ascii="Arial" w:hAnsi="Arial" w:cs="Arial"/>
          <w:i/>
        </w:rPr>
        <w:t>et al</w:t>
      </w:r>
      <w:r w:rsidRPr="00C2638C">
        <w:rPr>
          <w:rFonts w:ascii="Arial" w:hAnsi="Arial" w:cs="Arial"/>
        </w:rPr>
        <w:t xml:space="preserve"> 2006: 37-38.</w:t>
      </w:r>
    </w:p>
  </w:footnote>
  <w:footnote w:id="706">
    <w:p w:rsidR="005E7922" w:rsidRPr="00C2638C" w:rsidRDefault="005E7922" w:rsidP="00C2638C">
      <w:pPr>
        <w:pStyle w:val="Funotentext"/>
        <w:spacing w:line="240" w:lineRule="auto"/>
        <w:contextualSpacing/>
        <w:jc w:val="both"/>
        <w:rPr>
          <w:rFonts w:ascii="Arial" w:hAnsi="Arial" w:cs="Arial"/>
        </w:rPr>
      </w:pPr>
      <w:r w:rsidRPr="00C2638C">
        <w:rPr>
          <w:rStyle w:val="Funotenzeichen"/>
          <w:rFonts w:ascii="Arial" w:hAnsi="Arial" w:cs="Arial"/>
        </w:rPr>
        <w:footnoteRef/>
      </w:r>
      <w:r w:rsidRPr="00C2638C">
        <w:rPr>
          <w:rFonts w:ascii="Arial" w:hAnsi="Arial" w:cs="Arial"/>
        </w:rPr>
        <w:t xml:space="preserve">  </w:t>
      </w:r>
      <w:r w:rsidRPr="00C2638C">
        <w:rPr>
          <w:rFonts w:ascii="Arial" w:hAnsi="Arial" w:cs="Arial"/>
        </w:rPr>
        <w:tab/>
        <w:t xml:space="preserve">Kahn 1981: </w:t>
      </w:r>
      <w:r>
        <w:rPr>
          <w:rFonts w:ascii="Arial" w:hAnsi="Arial" w:cs="Arial"/>
        </w:rPr>
        <w:t>1</w:t>
      </w:r>
      <w:r w:rsidRPr="00C2638C">
        <w:rPr>
          <w:rFonts w:ascii="Arial" w:hAnsi="Arial" w:cs="Arial"/>
        </w:rPr>
        <w:t xml:space="preserve">; Cook 2001:12; Audretsch </w:t>
      </w:r>
      <w:r w:rsidRPr="00C2638C">
        <w:rPr>
          <w:rFonts w:ascii="Arial" w:hAnsi="Arial" w:cs="Arial"/>
          <w:i/>
        </w:rPr>
        <w:t>et al</w:t>
      </w:r>
      <w:r w:rsidRPr="00C2638C">
        <w:rPr>
          <w:rFonts w:ascii="Arial" w:hAnsi="Arial" w:cs="Arial"/>
        </w:rPr>
        <w:t xml:space="preserve">  2001: 615; López 2001: 360</w:t>
      </w:r>
      <w:r>
        <w:rPr>
          <w:rFonts w:ascii="Arial" w:hAnsi="Arial" w:cs="Arial"/>
        </w:rPr>
        <w:t xml:space="preserve">; Smith 1999: 6; </w:t>
      </w:r>
      <w:r>
        <w:rPr>
          <w:rFonts w:ascii="Arial" w:hAnsi="Arial" w:cs="Arial"/>
        </w:rPr>
        <w:tab/>
        <w:t>Reid 1987: 11.</w:t>
      </w:r>
      <w:r>
        <w:rPr>
          <w:rFonts w:ascii="Arial" w:hAnsi="Arial" w:cs="Arial"/>
        </w:rPr>
        <w:tab/>
      </w:r>
      <w:r w:rsidRPr="00C2638C">
        <w:rPr>
          <w:rFonts w:ascii="Arial" w:hAnsi="Arial" w:cs="Arial"/>
        </w:rPr>
        <w:t xml:space="preserve">   </w:t>
      </w:r>
    </w:p>
  </w:footnote>
  <w:footnote w:id="707">
    <w:p w:rsidR="005E7922" w:rsidRPr="00C2638C" w:rsidRDefault="005E7922" w:rsidP="00C2638C">
      <w:pPr>
        <w:pStyle w:val="Funotentext"/>
        <w:spacing w:line="240" w:lineRule="auto"/>
        <w:contextualSpacing/>
        <w:jc w:val="both"/>
        <w:rPr>
          <w:rFonts w:ascii="Arial" w:hAnsi="Arial" w:cs="Arial"/>
        </w:rPr>
      </w:pPr>
      <w:r w:rsidRPr="00C2638C">
        <w:rPr>
          <w:rStyle w:val="Funotenzeichen"/>
          <w:rFonts w:ascii="Arial" w:hAnsi="Arial" w:cs="Arial"/>
        </w:rPr>
        <w:footnoteRef/>
      </w:r>
      <w:r w:rsidRPr="00C2638C">
        <w:rPr>
          <w:rFonts w:ascii="Arial" w:hAnsi="Arial" w:cs="Arial"/>
        </w:rPr>
        <w:t xml:space="preserve">  </w:t>
      </w:r>
      <w:r w:rsidRPr="00C2638C">
        <w:rPr>
          <w:rFonts w:ascii="Arial" w:hAnsi="Arial" w:cs="Arial"/>
        </w:rPr>
        <w:tab/>
        <w:t xml:space="preserve">Kahn 1981: 1; Cook 2001: 12; Neuhoff </w:t>
      </w:r>
      <w:r w:rsidRPr="00C2638C">
        <w:rPr>
          <w:rFonts w:ascii="Arial" w:hAnsi="Arial" w:cs="Arial"/>
          <w:i/>
        </w:rPr>
        <w:t>et al</w:t>
      </w:r>
      <w:r w:rsidRPr="00C2638C">
        <w:rPr>
          <w:rFonts w:ascii="Arial" w:hAnsi="Arial" w:cs="Arial"/>
        </w:rPr>
        <w:t xml:space="preserve"> 2006: 35.</w:t>
      </w:r>
    </w:p>
  </w:footnote>
  <w:footnote w:id="708">
    <w:p w:rsidR="005E7922" w:rsidRPr="00C2638C" w:rsidRDefault="005E7922" w:rsidP="00C2638C">
      <w:pPr>
        <w:pStyle w:val="Funotentext"/>
        <w:spacing w:line="240" w:lineRule="auto"/>
        <w:contextualSpacing/>
        <w:jc w:val="both"/>
        <w:rPr>
          <w:rFonts w:ascii="Arial" w:hAnsi="Arial" w:cs="Arial"/>
        </w:rPr>
      </w:pPr>
      <w:r w:rsidRPr="00C2638C">
        <w:rPr>
          <w:rStyle w:val="Funotenzeichen"/>
          <w:rFonts w:ascii="Arial" w:hAnsi="Arial" w:cs="Arial"/>
        </w:rPr>
        <w:footnoteRef/>
      </w:r>
      <w:r w:rsidRPr="00C2638C">
        <w:rPr>
          <w:rFonts w:ascii="Arial" w:hAnsi="Arial" w:cs="Arial"/>
        </w:rPr>
        <w:t xml:space="preserve">  </w:t>
      </w:r>
      <w:r w:rsidRPr="00C2638C">
        <w:rPr>
          <w:rFonts w:ascii="Arial" w:hAnsi="Arial" w:cs="Arial"/>
        </w:rPr>
        <w:tab/>
        <w:t xml:space="preserve">Neuhoff </w:t>
      </w:r>
      <w:r w:rsidRPr="00C2638C">
        <w:rPr>
          <w:rFonts w:ascii="Arial" w:hAnsi="Arial" w:cs="Arial"/>
          <w:i/>
        </w:rPr>
        <w:t>et al</w:t>
      </w:r>
      <w:r w:rsidRPr="00C2638C">
        <w:rPr>
          <w:rFonts w:ascii="Arial" w:hAnsi="Arial" w:cs="Arial"/>
        </w:rPr>
        <w:t xml:space="preserve"> 2006: 35.</w:t>
      </w:r>
    </w:p>
  </w:footnote>
  <w:footnote w:id="709">
    <w:p w:rsidR="005E7922" w:rsidRPr="00C2638C" w:rsidRDefault="005E7922" w:rsidP="00C2638C">
      <w:pPr>
        <w:pStyle w:val="Funotentext"/>
        <w:spacing w:line="240" w:lineRule="auto"/>
        <w:contextualSpacing/>
        <w:jc w:val="both"/>
        <w:rPr>
          <w:rFonts w:ascii="Arial" w:hAnsi="Arial" w:cs="Arial"/>
        </w:rPr>
      </w:pPr>
      <w:r w:rsidRPr="00C2638C">
        <w:rPr>
          <w:rStyle w:val="Funotenzeichen"/>
          <w:rFonts w:ascii="Arial" w:hAnsi="Arial" w:cs="Arial"/>
        </w:rPr>
        <w:footnoteRef/>
      </w:r>
      <w:r w:rsidRPr="00C2638C">
        <w:rPr>
          <w:rFonts w:ascii="Arial" w:hAnsi="Arial" w:cs="Arial"/>
        </w:rPr>
        <w:t xml:space="preserve">  </w:t>
      </w:r>
      <w:r w:rsidRPr="00C2638C">
        <w:rPr>
          <w:rFonts w:ascii="Arial" w:hAnsi="Arial" w:cs="Arial"/>
        </w:rPr>
        <w:tab/>
        <w:t>Reid 1987: 11.</w:t>
      </w:r>
    </w:p>
  </w:footnote>
  <w:footnote w:id="710">
    <w:p w:rsidR="005E7922" w:rsidRPr="00865583" w:rsidRDefault="005E7922" w:rsidP="00865583">
      <w:pPr>
        <w:pStyle w:val="Funotentext"/>
        <w:spacing w:line="240" w:lineRule="auto"/>
        <w:contextualSpacing/>
        <w:jc w:val="both"/>
        <w:rPr>
          <w:rFonts w:ascii="Arial" w:hAnsi="Arial" w:cs="Arial"/>
        </w:rPr>
      </w:pPr>
      <w:r w:rsidRPr="00865583">
        <w:rPr>
          <w:rStyle w:val="Funotenzeichen"/>
          <w:rFonts w:ascii="Arial" w:hAnsi="Arial" w:cs="Arial"/>
        </w:rPr>
        <w:footnoteRef/>
      </w:r>
      <w:r w:rsidRPr="00865583">
        <w:rPr>
          <w:rFonts w:ascii="Arial" w:hAnsi="Arial" w:cs="Arial"/>
        </w:rPr>
        <w:t xml:space="preserve">  </w:t>
      </w:r>
      <w:r w:rsidRPr="00865583">
        <w:rPr>
          <w:rFonts w:ascii="Arial" w:hAnsi="Arial" w:cs="Arial"/>
        </w:rPr>
        <w:tab/>
        <w:t>Smith 2005: 8.</w:t>
      </w:r>
    </w:p>
  </w:footnote>
  <w:footnote w:id="711">
    <w:p w:rsidR="005E7922" w:rsidRPr="00865583" w:rsidRDefault="005E7922" w:rsidP="00865583">
      <w:pPr>
        <w:pStyle w:val="Funotentext"/>
        <w:spacing w:line="240" w:lineRule="auto"/>
        <w:contextualSpacing/>
        <w:jc w:val="both"/>
        <w:rPr>
          <w:rFonts w:ascii="Arial" w:hAnsi="Arial" w:cs="Arial"/>
        </w:rPr>
      </w:pPr>
      <w:r w:rsidRPr="00865583">
        <w:rPr>
          <w:rStyle w:val="Funotenzeichen"/>
          <w:rFonts w:ascii="Arial" w:hAnsi="Arial" w:cs="Arial"/>
        </w:rPr>
        <w:footnoteRef/>
      </w:r>
      <w:r w:rsidRPr="00865583">
        <w:rPr>
          <w:rFonts w:ascii="Arial" w:hAnsi="Arial" w:cs="Arial"/>
        </w:rPr>
        <w:t xml:space="preserve"> </w:t>
      </w:r>
      <w:r w:rsidRPr="00865583">
        <w:rPr>
          <w:rFonts w:ascii="Arial" w:hAnsi="Arial" w:cs="Arial"/>
        </w:rPr>
        <w:tab/>
        <w:t>Smith 2005: 8.</w:t>
      </w:r>
    </w:p>
  </w:footnote>
  <w:footnote w:id="712">
    <w:p w:rsidR="005E7922" w:rsidRPr="00865583" w:rsidRDefault="005E7922" w:rsidP="00865583">
      <w:pPr>
        <w:pStyle w:val="Funotentext"/>
        <w:spacing w:line="240" w:lineRule="auto"/>
        <w:contextualSpacing/>
        <w:jc w:val="both"/>
        <w:rPr>
          <w:rFonts w:ascii="Arial" w:hAnsi="Arial" w:cs="Arial"/>
        </w:rPr>
      </w:pPr>
      <w:r w:rsidRPr="00865583">
        <w:rPr>
          <w:rStyle w:val="Funotenzeichen"/>
          <w:rFonts w:ascii="Arial" w:hAnsi="Arial" w:cs="Arial"/>
        </w:rPr>
        <w:footnoteRef/>
      </w:r>
      <w:r w:rsidRPr="00865583">
        <w:rPr>
          <w:rFonts w:ascii="Arial" w:hAnsi="Arial" w:cs="Arial"/>
        </w:rPr>
        <w:t xml:space="preserve">  </w:t>
      </w:r>
      <w:r w:rsidRPr="00865583">
        <w:rPr>
          <w:rFonts w:ascii="Arial" w:hAnsi="Arial" w:cs="Arial"/>
        </w:rPr>
        <w:tab/>
        <w:t xml:space="preserve">Audretsch </w:t>
      </w:r>
      <w:r w:rsidRPr="00865583">
        <w:rPr>
          <w:rFonts w:ascii="Arial" w:hAnsi="Arial" w:cs="Arial"/>
          <w:i/>
        </w:rPr>
        <w:t>et al</w:t>
      </w:r>
      <w:r w:rsidRPr="00865583">
        <w:rPr>
          <w:rFonts w:ascii="Arial" w:hAnsi="Arial" w:cs="Arial"/>
        </w:rPr>
        <w:t xml:space="preserve"> 2001: 615; Smith 2005: 8; Kahn 1981: 1.</w:t>
      </w:r>
    </w:p>
  </w:footnote>
  <w:footnote w:id="713">
    <w:p w:rsidR="005E7922" w:rsidRPr="00865583" w:rsidRDefault="005E7922" w:rsidP="00865583">
      <w:pPr>
        <w:pStyle w:val="Funotentext"/>
        <w:spacing w:line="240" w:lineRule="auto"/>
        <w:contextualSpacing/>
        <w:jc w:val="both"/>
        <w:rPr>
          <w:rFonts w:ascii="Arial" w:hAnsi="Arial" w:cs="Arial"/>
        </w:rPr>
      </w:pPr>
      <w:r w:rsidRPr="00865583">
        <w:rPr>
          <w:rStyle w:val="Funotenzeichen"/>
          <w:rFonts w:ascii="Arial" w:hAnsi="Arial" w:cs="Arial"/>
        </w:rPr>
        <w:footnoteRef/>
      </w:r>
      <w:r w:rsidRPr="00865583">
        <w:rPr>
          <w:rFonts w:ascii="Arial" w:hAnsi="Arial" w:cs="Arial"/>
        </w:rPr>
        <w:t xml:space="preserve">  </w:t>
      </w:r>
      <w:r w:rsidRPr="00865583">
        <w:rPr>
          <w:rFonts w:ascii="Arial" w:hAnsi="Arial" w:cs="Arial"/>
        </w:rPr>
        <w:tab/>
        <w:t xml:space="preserve">Audretsch </w:t>
      </w:r>
      <w:r w:rsidRPr="00865583">
        <w:rPr>
          <w:rFonts w:ascii="Arial" w:hAnsi="Arial" w:cs="Arial"/>
          <w:i/>
        </w:rPr>
        <w:t>et al</w:t>
      </w:r>
      <w:r w:rsidRPr="00865583">
        <w:rPr>
          <w:rFonts w:ascii="Arial" w:hAnsi="Arial" w:cs="Arial"/>
        </w:rPr>
        <w:t xml:space="preserve"> 2001: 615; Smith 2005: 8; Kahn 1981: 1; López 2001: 360.</w:t>
      </w:r>
    </w:p>
  </w:footnote>
  <w:footnote w:id="714">
    <w:p w:rsidR="005E7922" w:rsidRPr="00865583" w:rsidRDefault="005E7922" w:rsidP="00865583">
      <w:pPr>
        <w:pStyle w:val="Funotentext"/>
        <w:spacing w:line="240" w:lineRule="auto"/>
        <w:contextualSpacing/>
        <w:jc w:val="both"/>
        <w:rPr>
          <w:rFonts w:ascii="Arial" w:hAnsi="Arial" w:cs="Arial"/>
        </w:rPr>
      </w:pPr>
      <w:r w:rsidRPr="00865583">
        <w:rPr>
          <w:rStyle w:val="Funotenzeichen"/>
          <w:rFonts w:ascii="Arial" w:hAnsi="Arial" w:cs="Arial"/>
        </w:rPr>
        <w:footnoteRef/>
      </w:r>
      <w:r w:rsidRPr="00865583">
        <w:rPr>
          <w:rFonts w:ascii="Arial" w:hAnsi="Arial" w:cs="Arial"/>
        </w:rPr>
        <w:t xml:space="preserve">  </w:t>
      </w:r>
      <w:r w:rsidRPr="00865583">
        <w:rPr>
          <w:rFonts w:ascii="Arial" w:hAnsi="Arial" w:cs="Arial"/>
        </w:rPr>
        <w:tab/>
        <w:t>Reekie 1989: 38.</w:t>
      </w:r>
    </w:p>
  </w:footnote>
  <w:footnote w:id="715">
    <w:p w:rsidR="005E7922" w:rsidRPr="00865583" w:rsidRDefault="005E7922" w:rsidP="00865583">
      <w:pPr>
        <w:pStyle w:val="Funotentext"/>
        <w:spacing w:line="240" w:lineRule="auto"/>
        <w:contextualSpacing/>
        <w:jc w:val="both"/>
        <w:rPr>
          <w:rFonts w:ascii="Arial" w:hAnsi="Arial" w:cs="Arial"/>
        </w:rPr>
      </w:pPr>
      <w:r w:rsidRPr="00865583">
        <w:rPr>
          <w:rStyle w:val="Funotenzeichen"/>
          <w:rFonts w:ascii="Arial" w:hAnsi="Arial" w:cs="Arial"/>
        </w:rPr>
        <w:footnoteRef/>
      </w:r>
      <w:r w:rsidRPr="00865583">
        <w:rPr>
          <w:rFonts w:ascii="Arial" w:hAnsi="Arial" w:cs="Arial"/>
        </w:rPr>
        <w:t xml:space="preserve">  </w:t>
      </w:r>
      <w:r w:rsidRPr="00865583">
        <w:rPr>
          <w:rFonts w:ascii="Arial" w:hAnsi="Arial" w:cs="Arial"/>
        </w:rPr>
        <w:tab/>
        <w:t xml:space="preserve">López 2001: 360; Audretsch </w:t>
      </w:r>
      <w:r w:rsidRPr="00865583">
        <w:rPr>
          <w:rFonts w:ascii="Arial" w:hAnsi="Arial" w:cs="Arial"/>
          <w:i/>
        </w:rPr>
        <w:t>et al</w:t>
      </w:r>
      <w:r w:rsidRPr="00865583">
        <w:rPr>
          <w:rFonts w:ascii="Arial" w:hAnsi="Arial" w:cs="Arial"/>
        </w:rPr>
        <w:t xml:space="preserve"> 2001: 615; Gilbert &amp; Du Plessis </w:t>
      </w:r>
      <w:r>
        <w:rPr>
          <w:rFonts w:ascii="Arial" w:hAnsi="Arial" w:cs="Arial"/>
        </w:rPr>
        <w:t>2008</w:t>
      </w:r>
      <w:r w:rsidRPr="00865583">
        <w:rPr>
          <w:rFonts w:ascii="Arial" w:hAnsi="Arial" w:cs="Arial"/>
        </w:rPr>
        <w:t>:</w:t>
      </w:r>
      <w:r>
        <w:rPr>
          <w:rFonts w:ascii="Arial" w:hAnsi="Arial" w:cs="Arial"/>
        </w:rPr>
        <w:t xml:space="preserve"> </w:t>
      </w:r>
      <w:r w:rsidRPr="00865583">
        <w:rPr>
          <w:rFonts w:ascii="Arial" w:hAnsi="Arial" w:cs="Arial"/>
        </w:rPr>
        <w:t xml:space="preserve">2; Reekie 2000: 12; </w:t>
      </w:r>
      <w:r>
        <w:rPr>
          <w:rFonts w:ascii="Arial" w:hAnsi="Arial" w:cs="Arial"/>
        </w:rPr>
        <w:tab/>
      </w:r>
      <w:r w:rsidRPr="00865583">
        <w:rPr>
          <w:rFonts w:ascii="Arial" w:hAnsi="Arial" w:cs="Arial"/>
        </w:rPr>
        <w:t>Weis 1979: 1105; Smith 2005: 8.</w:t>
      </w:r>
    </w:p>
  </w:footnote>
  <w:footnote w:id="716">
    <w:p w:rsidR="005E7922" w:rsidRPr="00865583" w:rsidRDefault="005E7922" w:rsidP="00865583">
      <w:pPr>
        <w:pStyle w:val="Funotentext"/>
        <w:spacing w:line="240" w:lineRule="auto"/>
        <w:contextualSpacing/>
        <w:jc w:val="both"/>
        <w:rPr>
          <w:rFonts w:ascii="Arial" w:hAnsi="Arial" w:cs="Arial"/>
        </w:rPr>
      </w:pPr>
      <w:r w:rsidRPr="00865583">
        <w:rPr>
          <w:rStyle w:val="Funotenzeichen"/>
          <w:rFonts w:ascii="Arial" w:hAnsi="Arial" w:cs="Arial"/>
        </w:rPr>
        <w:footnoteRef/>
      </w:r>
      <w:r w:rsidRPr="00865583">
        <w:rPr>
          <w:rFonts w:ascii="Arial" w:hAnsi="Arial" w:cs="Arial"/>
        </w:rPr>
        <w:t xml:space="preserve">  </w:t>
      </w:r>
      <w:r w:rsidRPr="00865583">
        <w:rPr>
          <w:rFonts w:ascii="Arial" w:hAnsi="Arial" w:cs="Arial"/>
        </w:rPr>
        <w:tab/>
        <w:t xml:space="preserve">López 2001: 360; Audretsch </w:t>
      </w:r>
      <w:r w:rsidRPr="00865583">
        <w:rPr>
          <w:rFonts w:ascii="Arial" w:hAnsi="Arial" w:cs="Arial"/>
          <w:i/>
        </w:rPr>
        <w:t>et al</w:t>
      </w:r>
      <w:r w:rsidRPr="00865583">
        <w:rPr>
          <w:rFonts w:ascii="Arial" w:hAnsi="Arial" w:cs="Arial"/>
        </w:rPr>
        <w:t xml:space="preserve"> 2001: 615; Gilbert &amp; Du Plessis </w:t>
      </w:r>
      <w:r>
        <w:rPr>
          <w:rFonts w:ascii="Arial" w:hAnsi="Arial" w:cs="Arial"/>
        </w:rPr>
        <w:t>2008</w:t>
      </w:r>
      <w:r w:rsidRPr="00865583">
        <w:rPr>
          <w:rFonts w:ascii="Arial" w:hAnsi="Arial" w:cs="Arial"/>
        </w:rPr>
        <w:t>:</w:t>
      </w:r>
      <w:r>
        <w:rPr>
          <w:rFonts w:ascii="Arial" w:hAnsi="Arial" w:cs="Arial"/>
        </w:rPr>
        <w:t xml:space="preserve"> </w:t>
      </w:r>
      <w:r w:rsidRPr="00865583">
        <w:rPr>
          <w:rFonts w:ascii="Arial" w:hAnsi="Arial" w:cs="Arial"/>
        </w:rPr>
        <w:t xml:space="preserve">2; Reekie 2000: 12; </w:t>
      </w:r>
      <w:r>
        <w:rPr>
          <w:rFonts w:ascii="Arial" w:hAnsi="Arial" w:cs="Arial"/>
        </w:rPr>
        <w:tab/>
      </w:r>
      <w:r w:rsidRPr="00865583">
        <w:rPr>
          <w:rFonts w:ascii="Arial" w:hAnsi="Arial" w:cs="Arial"/>
        </w:rPr>
        <w:t>Weis 1979: 1105; Smith 2005: 8.</w:t>
      </w:r>
    </w:p>
  </w:footnote>
  <w:footnote w:id="717">
    <w:p w:rsidR="005E7922" w:rsidRPr="00865583" w:rsidRDefault="005E7922" w:rsidP="00865583">
      <w:pPr>
        <w:pStyle w:val="Funotentext"/>
        <w:spacing w:line="240" w:lineRule="auto"/>
        <w:contextualSpacing/>
        <w:jc w:val="both"/>
        <w:rPr>
          <w:rFonts w:ascii="Arial" w:hAnsi="Arial" w:cs="Arial"/>
        </w:rPr>
      </w:pPr>
      <w:r w:rsidRPr="00865583">
        <w:rPr>
          <w:rStyle w:val="Funotenzeichen"/>
          <w:rFonts w:ascii="Arial" w:hAnsi="Arial" w:cs="Arial"/>
        </w:rPr>
        <w:footnoteRef/>
      </w:r>
      <w:r w:rsidRPr="00865583">
        <w:rPr>
          <w:rFonts w:ascii="Arial" w:hAnsi="Arial" w:cs="Arial"/>
        </w:rPr>
        <w:t xml:space="preserve">  </w:t>
      </w:r>
      <w:r w:rsidRPr="00865583">
        <w:rPr>
          <w:rFonts w:ascii="Arial" w:hAnsi="Arial" w:cs="Arial"/>
        </w:rPr>
        <w:tab/>
        <w:t xml:space="preserve">López 2001: 360; Audretsch </w:t>
      </w:r>
      <w:r w:rsidRPr="00865583">
        <w:rPr>
          <w:rFonts w:ascii="Arial" w:hAnsi="Arial" w:cs="Arial"/>
          <w:i/>
        </w:rPr>
        <w:t xml:space="preserve">et al </w:t>
      </w:r>
      <w:r w:rsidRPr="00865583">
        <w:rPr>
          <w:rFonts w:ascii="Arial" w:hAnsi="Arial" w:cs="Arial"/>
        </w:rPr>
        <w:t xml:space="preserve">2001: 615; Gilbert &amp; Du Plessis </w:t>
      </w:r>
      <w:r>
        <w:rPr>
          <w:rFonts w:ascii="Arial" w:hAnsi="Arial" w:cs="Arial"/>
        </w:rPr>
        <w:t>2008</w:t>
      </w:r>
      <w:r w:rsidRPr="00865583">
        <w:rPr>
          <w:rFonts w:ascii="Arial" w:hAnsi="Arial" w:cs="Arial"/>
        </w:rPr>
        <w:t>:</w:t>
      </w:r>
      <w:r>
        <w:rPr>
          <w:rFonts w:ascii="Arial" w:hAnsi="Arial" w:cs="Arial"/>
        </w:rPr>
        <w:t xml:space="preserve"> </w:t>
      </w:r>
      <w:r w:rsidRPr="00865583">
        <w:rPr>
          <w:rFonts w:ascii="Arial" w:hAnsi="Arial" w:cs="Arial"/>
        </w:rPr>
        <w:t xml:space="preserve">2; Reekie 2000: 12; </w:t>
      </w:r>
      <w:r>
        <w:rPr>
          <w:rFonts w:ascii="Arial" w:hAnsi="Arial" w:cs="Arial"/>
        </w:rPr>
        <w:tab/>
      </w:r>
      <w:r w:rsidRPr="00865583">
        <w:rPr>
          <w:rFonts w:ascii="Arial" w:hAnsi="Arial" w:cs="Arial"/>
        </w:rPr>
        <w:t>Weis 1979: 1105; Smith 2005: 8.</w:t>
      </w:r>
    </w:p>
  </w:footnote>
  <w:footnote w:id="718">
    <w:p w:rsidR="005E7922" w:rsidRPr="00865583" w:rsidRDefault="005E7922" w:rsidP="00865583">
      <w:pPr>
        <w:pStyle w:val="Funotentext"/>
        <w:spacing w:line="240" w:lineRule="auto"/>
        <w:contextualSpacing/>
        <w:jc w:val="both"/>
        <w:rPr>
          <w:rFonts w:ascii="Arial" w:hAnsi="Arial" w:cs="Arial"/>
        </w:rPr>
      </w:pPr>
      <w:r w:rsidRPr="00865583">
        <w:rPr>
          <w:rStyle w:val="Funotenzeichen"/>
          <w:rFonts w:ascii="Arial" w:hAnsi="Arial" w:cs="Arial"/>
        </w:rPr>
        <w:footnoteRef/>
      </w:r>
      <w:r w:rsidRPr="00865583">
        <w:rPr>
          <w:rFonts w:ascii="Arial" w:hAnsi="Arial" w:cs="Arial"/>
        </w:rPr>
        <w:t xml:space="preserve">  </w:t>
      </w:r>
      <w:r w:rsidRPr="00865583">
        <w:rPr>
          <w:rFonts w:ascii="Arial" w:hAnsi="Arial" w:cs="Arial"/>
        </w:rPr>
        <w:tab/>
        <w:t xml:space="preserve">López 2001: 360; Audretsch </w:t>
      </w:r>
      <w:r w:rsidRPr="00865583">
        <w:rPr>
          <w:rFonts w:ascii="Arial" w:hAnsi="Arial" w:cs="Arial"/>
          <w:i/>
        </w:rPr>
        <w:t>et al</w:t>
      </w:r>
      <w:r w:rsidRPr="00865583">
        <w:rPr>
          <w:rFonts w:ascii="Arial" w:hAnsi="Arial" w:cs="Arial"/>
        </w:rPr>
        <w:t xml:space="preserve"> 2001: 615; Gilbert &amp; Du Plessis </w:t>
      </w:r>
      <w:r>
        <w:rPr>
          <w:rFonts w:ascii="Arial" w:hAnsi="Arial" w:cs="Arial"/>
        </w:rPr>
        <w:t>2008</w:t>
      </w:r>
      <w:r w:rsidRPr="00865583">
        <w:rPr>
          <w:rFonts w:ascii="Arial" w:hAnsi="Arial" w:cs="Arial"/>
        </w:rPr>
        <w:t>:</w:t>
      </w:r>
      <w:r>
        <w:rPr>
          <w:rFonts w:ascii="Arial" w:hAnsi="Arial" w:cs="Arial"/>
        </w:rPr>
        <w:t xml:space="preserve"> </w:t>
      </w:r>
      <w:r w:rsidRPr="00865583">
        <w:rPr>
          <w:rFonts w:ascii="Arial" w:hAnsi="Arial" w:cs="Arial"/>
        </w:rPr>
        <w:t xml:space="preserve">2; Reekie 2000: 12; </w:t>
      </w:r>
      <w:r>
        <w:rPr>
          <w:rFonts w:ascii="Arial" w:hAnsi="Arial" w:cs="Arial"/>
        </w:rPr>
        <w:tab/>
      </w:r>
      <w:r w:rsidRPr="00865583">
        <w:rPr>
          <w:rFonts w:ascii="Arial" w:hAnsi="Arial" w:cs="Arial"/>
        </w:rPr>
        <w:t>Weis 1979: 1105; Smith 2005: 8.</w:t>
      </w:r>
    </w:p>
  </w:footnote>
  <w:footnote w:id="719">
    <w:p w:rsidR="005E7922" w:rsidRPr="00865583" w:rsidRDefault="005E7922" w:rsidP="00865583">
      <w:pPr>
        <w:pStyle w:val="Funotentext"/>
        <w:spacing w:line="240" w:lineRule="auto"/>
        <w:contextualSpacing/>
        <w:jc w:val="both"/>
        <w:rPr>
          <w:rFonts w:ascii="Arial" w:hAnsi="Arial" w:cs="Arial"/>
          <w:lang w:val="af-ZA"/>
        </w:rPr>
      </w:pPr>
      <w:r w:rsidRPr="00865583">
        <w:rPr>
          <w:rStyle w:val="Funotenzeichen"/>
          <w:rFonts w:ascii="Arial" w:hAnsi="Arial" w:cs="Arial"/>
        </w:rPr>
        <w:footnoteRef/>
      </w:r>
      <w:r w:rsidRPr="00865583">
        <w:rPr>
          <w:rFonts w:ascii="Arial" w:hAnsi="Arial" w:cs="Arial"/>
        </w:rPr>
        <w:t xml:space="preserve"> </w:t>
      </w:r>
      <w:r w:rsidRPr="00865583">
        <w:rPr>
          <w:rFonts w:ascii="Arial" w:hAnsi="Arial" w:cs="Arial"/>
          <w:lang w:val="af-ZA"/>
        </w:rPr>
        <w:t xml:space="preserve"> </w:t>
      </w:r>
      <w:r w:rsidRPr="00865583">
        <w:rPr>
          <w:rFonts w:ascii="Arial" w:hAnsi="Arial" w:cs="Arial"/>
          <w:lang w:val="af-ZA"/>
        </w:rPr>
        <w:tab/>
      </w:r>
      <w:r w:rsidRPr="00865583">
        <w:rPr>
          <w:rFonts w:ascii="Arial" w:hAnsi="Arial" w:cs="Arial"/>
        </w:rPr>
        <w:t>López 2001: 360.</w:t>
      </w:r>
    </w:p>
  </w:footnote>
  <w:footnote w:id="720">
    <w:p w:rsidR="005E7922" w:rsidRPr="00AC421B" w:rsidRDefault="005E7922" w:rsidP="00AC421B">
      <w:pPr>
        <w:pStyle w:val="Funotentext"/>
        <w:spacing w:line="240" w:lineRule="auto"/>
        <w:contextualSpacing/>
        <w:jc w:val="both"/>
        <w:rPr>
          <w:rFonts w:ascii="Arial" w:hAnsi="Arial" w:cs="Arial"/>
        </w:rPr>
      </w:pPr>
      <w:r w:rsidRPr="00AC421B">
        <w:rPr>
          <w:rStyle w:val="Funotenzeichen"/>
          <w:rFonts w:ascii="Arial" w:hAnsi="Arial" w:cs="Arial"/>
        </w:rPr>
        <w:footnoteRef/>
      </w:r>
      <w:r w:rsidRPr="00AC421B">
        <w:rPr>
          <w:rFonts w:ascii="Arial" w:hAnsi="Arial" w:cs="Arial"/>
        </w:rPr>
        <w:t xml:space="preserve">   </w:t>
      </w:r>
      <w:r w:rsidRPr="00AC421B">
        <w:rPr>
          <w:rFonts w:ascii="Arial" w:hAnsi="Arial" w:cs="Arial"/>
        </w:rPr>
        <w:tab/>
      </w:r>
      <w:r>
        <w:rPr>
          <w:rFonts w:ascii="Arial" w:hAnsi="Arial" w:cs="Arial"/>
        </w:rPr>
        <w:t xml:space="preserve">Liebenberg &amp; </w:t>
      </w:r>
      <w:r w:rsidRPr="001322FB">
        <w:rPr>
          <w:rFonts w:ascii="Arial" w:hAnsi="Arial" w:cs="Arial"/>
        </w:rPr>
        <w:t>kamerschen</w:t>
      </w:r>
      <w:r>
        <w:rPr>
          <w:rFonts w:ascii="Arial" w:hAnsi="Arial" w:cs="Arial"/>
        </w:rPr>
        <w:t xml:space="preserve"> 2008: 228; </w:t>
      </w:r>
      <w:r w:rsidRPr="00AC421B">
        <w:rPr>
          <w:rFonts w:ascii="Arial" w:hAnsi="Arial" w:cs="Arial"/>
        </w:rPr>
        <w:t xml:space="preserve">Theron 2001: 620; Du Plessis &amp; Gilbert </w:t>
      </w:r>
      <w:r>
        <w:rPr>
          <w:rFonts w:ascii="Arial" w:hAnsi="Arial" w:cs="Arial"/>
        </w:rPr>
        <w:t>2008</w:t>
      </w:r>
      <w:r w:rsidRPr="00AC421B">
        <w:rPr>
          <w:rFonts w:ascii="Arial" w:hAnsi="Arial" w:cs="Arial"/>
        </w:rPr>
        <w:t>: 2.</w:t>
      </w:r>
    </w:p>
  </w:footnote>
  <w:footnote w:id="721">
    <w:p w:rsidR="005E7922" w:rsidRPr="00AC421B" w:rsidRDefault="005E7922" w:rsidP="00AC421B">
      <w:pPr>
        <w:pStyle w:val="Funotentext"/>
        <w:spacing w:line="240" w:lineRule="auto"/>
        <w:contextualSpacing/>
        <w:jc w:val="both"/>
        <w:rPr>
          <w:rFonts w:ascii="Arial" w:hAnsi="Arial" w:cs="Arial"/>
        </w:rPr>
      </w:pPr>
      <w:r w:rsidRPr="00AC421B">
        <w:rPr>
          <w:rStyle w:val="Funotenzeichen"/>
          <w:rFonts w:ascii="Arial" w:hAnsi="Arial" w:cs="Arial"/>
        </w:rPr>
        <w:footnoteRef/>
      </w:r>
      <w:r w:rsidRPr="00AC421B">
        <w:rPr>
          <w:rFonts w:ascii="Arial" w:hAnsi="Arial" w:cs="Arial"/>
        </w:rPr>
        <w:t xml:space="preserve">  </w:t>
      </w:r>
      <w:r w:rsidRPr="00AC421B">
        <w:rPr>
          <w:rFonts w:ascii="Arial" w:hAnsi="Arial" w:cs="Arial"/>
        </w:rPr>
        <w:tab/>
      </w:r>
      <w:r>
        <w:rPr>
          <w:rFonts w:ascii="Arial" w:hAnsi="Arial" w:cs="Arial"/>
        </w:rPr>
        <w:t xml:space="preserve">Liebenberg &amp; </w:t>
      </w:r>
      <w:r w:rsidRPr="001322FB">
        <w:rPr>
          <w:rFonts w:ascii="Arial" w:hAnsi="Arial" w:cs="Arial"/>
        </w:rPr>
        <w:t>kamerschen</w:t>
      </w:r>
      <w:r>
        <w:rPr>
          <w:rFonts w:ascii="Arial" w:hAnsi="Arial" w:cs="Arial"/>
        </w:rPr>
        <w:t xml:space="preserve"> 2008: 228; </w:t>
      </w:r>
      <w:r w:rsidRPr="00AC421B">
        <w:rPr>
          <w:rFonts w:ascii="Arial" w:hAnsi="Arial" w:cs="Arial"/>
        </w:rPr>
        <w:t xml:space="preserve">Theron 2001: 620; Du Plessis &amp; Gilbert </w:t>
      </w:r>
      <w:r>
        <w:rPr>
          <w:rFonts w:ascii="Arial" w:hAnsi="Arial" w:cs="Arial"/>
        </w:rPr>
        <w:t>2008</w:t>
      </w:r>
      <w:r w:rsidRPr="00AC421B">
        <w:rPr>
          <w:rFonts w:ascii="Arial" w:hAnsi="Arial" w:cs="Arial"/>
        </w:rPr>
        <w:t>: 2.</w:t>
      </w:r>
    </w:p>
  </w:footnote>
  <w:footnote w:id="722">
    <w:p w:rsidR="005E7922" w:rsidRPr="00AC421B" w:rsidRDefault="005E7922" w:rsidP="00AC421B">
      <w:pPr>
        <w:pStyle w:val="Funotentext"/>
        <w:spacing w:line="240" w:lineRule="auto"/>
        <w:contextualSpacing/>
        <w:jc w:val="both"/>
        <w:rPr>
          <w:rFonts w:ascii="Arial" w:hAnsi="Arial" w:cs="Arial"/>
        </w:rPr>
      </w:pPr>
      <w:r w:rsidRPr="00AC421B">
        <w:rPr>
          <w:rStyle w:val="Funotenzeichen"/>
          <w:rFonts w:ascii="Arial" w:hAnsi="Arial" w:cs="Arial"/>
        </w:rPr>
        <w:footnoteRef/>
      </w:r>
      <w:r w:rsidRPr="00AC421B">
        <w:rPr>
          <w:rFonts w:ascii="Arial" w:hAnsi="Arial" w:cs="Arial"/>
        </w:rPr>
        <w:t xml:space="preserve">  </w:t>
      </w:r>
      <w:r w:rsidRPr="00AC421B">
        <w:rPr>
          <w:rFonts w:ascii="Arial" w:hAnsi="Arial" w:cs="Arial"/>
        </w:rPr>
        <w:tab/>
      </w:r>
      <w:r>
        <w:rPr>
          <w:rFonts w:ascii="Arial" w:hAnsi="Arial" w:cs="Arial"/>
        </w:rPr>
        <w:t xml:space="preserve">Liebenberg &amp; </w:t>
      </w:r>
      <w:r w:rsidRPr="001322FB">
        <w:rPr>
          <w:rFonts w:ascii="Arial" w:hAnsi="Arial" w:cs="Arial"/>
        </w:rPr>
        <w:t>kamerschen</w:t>
      </w:r>
      <w:r>
        <w:rPr>
          <w:rFonts w:ascii="Arial" w:hAnsi="Arial" w:cs="Arial"/>
        </w:rPr>
        <w:t xml:space="preserve"> 2008: 228; </w:t>
      </w:r>
      <w:r w:rsidRPr="00AC421B">
        <w:rPr>
          <w:rFonts w:ascii="Arial" w:hAnsi="Arial" w:cs="Arial"/>
        </w:rPr>
        <w:t xml:space="preserve">Theron 2001: 620; Du Plessis &amp; Gilbert </w:t>
      </w:r>
      <w:r>
        <w:rPr>
          <w:rFonts w:ascii="Arial" w:hAnsi="Arial" w:cs="Arial"/>
        </w:rPr>
        <w:t>2008</w:t>
      </w:r>
      <w:r w:rsidRPr="00AC421B">
        <w:rPr>
          <w:rFonts w:ascii="Arial" w:hAnsi="Arial" w:cs="Arial"/>
        </w:rPr>
        <w:t>: 2.</w:t>
      </w:r>
    </w:p>
  </w:footnote>
  <w:footnote w:id="723">
    <w:p w:rsidR="005E7922" w:rsidRPr="00AC421B" w:rsidRDefault="005E7922" w:rsidP="00AC421B">
      <w:pPr>
        <w:pStyle w:val="Funotentext"/>
        <w:spacing w:line="240" w:lineRule="auto"/>
        <w:contextualSpacing/>
        <w:jc w:val="both"/>
        <w:rPr>
          <w:rFonts w:ascii="Arial" w:hAnsi="Arial" w:cs="Arial"/>
        </w:rPr>
      </w:pPr>
      <w:r w:rsidRPr="00AC421B">
        <w:rPr>
          <w:rStyle w:val="Funotenzeichen"/>
          <w:rFonts w:ascii="Arial" w:hAnsi="Arial" w:cs="Arial"/>
        </w:rPr>
        <w:footnoteRef/>
      </w:r>
      <w:r w:rsidRPr="00AC421B">
        <w:rPr>
          <w:rFonts w:ascii="Arial" w:hAnsi="Arial" w:cs="Arial"/>
        </w:rPr>
        <w:t xml:space="preserve">  </w:t>
      </w:r>
      <w:r w:rsidRPr="00AC421B">
        <w:rPr>
          <w:rFonts w:ascii="Arial" w:hAnsi="Arial" w:cs="Arial"/>
        </w:rPr>
        <w:tab/>
        <w:t>Concentration will be discussed in the following section.</w:t>
      </w:r>
    </w:p>
  </w:footnote>
  <w:footnote w:id="724">
    <w:p w:rsidR="005E7922" w:rsidRPr="00AC421B" w:rsidRDefault="005E7922" w:rsidP="00AC421B">
      <w:pPr>
        <w:pStyle w:val="Funotentext"/>
        <w:spacing w:line="240" w:lineRule="auto"/>
        <w:contextualSpacing/>
        <w:jc w:val="both"/>
        <w:rPr>
          <w:rFonts w:ascii="Arial" w:hAnsi="Arial" w:cs="Arial"/>
        </w:rPr>
      </w:pPr>
      <w:r w:rsidRPr="00AC421B">
        <w:rPr>
          <w:rStyle w:val="Funotenzeichen"/>
          <w:rFonts w:ascii="Arial" w:hAnsi="Arial" w:cs="Arial"/>
        </w:rPr>
        <w:footnoteRef/>
      </w:r>
      <w:r w:rsidRPr="00AC421B">
        <w:rPr>
          <w:rFonts w:ascii="Arial" w:hAnsi="Arial" w:cs="Arial"/>
        </w:rPr>
        <w:t xml:space="preserve">  </w:t>
      </w:r>
      <w:r w:rsidRPr="00AC421B">
        <w:rPr>
          <w:rFonts w:ascii="Arial" w:hAnsi="Arial" w:cs="Arial"/>
        </w:rPr>
        <w:tab/>
        <w:t xml:space="preserve">Du Plessis &amp; Gilbert </w:t>
      </w:r>
      <w:r>
        <w:rPr>
          <w:rFonts w:ascii="Arial" w:hAnsi="Arial" w:cs="Arial"/>
        </w:rPr>
        <w:t>2008</w:t>
      </w:r>
      <w:r w:rsidRPr="00AC421B">
        <w:rPr>
          <w:rFonts w:ascii="Arial" w:hAnsi="Arial" w:cs="Arial"/>
        </w:rPr>
        <w:t>: 2; Weis 1979: 1105; Smith 2005: 8; López 2001: 360.</w:t>
      </w:r>
    </w:p>
  </w:footnote>
  <w:footnote w:id="725">
    <w:p w:rsidR="005E7922" w:rsidRPr="00AC421B" w:rsidRDefault="005E7922" w:rsidP="00AC421B">
      <w:pPr>
        <w:pStyle w:val="Funotentext"/>
        <w:spacing w:line="240" w:lineRule="auto"/>
        <w:contextualSpacing/>
        <w:jc w:val="both"/>
        <w:rPr>
          <w:rFonts w:ascii="Arial" w:hAnsi="Arial" w:cs="Arial"/>
        </w:rPr>
      </w:pPr>
      <w:r w:rsidRPr="00AC421B">
        <w:rPr>
          <w:rStyle w:val="Funotenzeichen"/>
          <w:rFonts w:ascii="Arial" w:hAnsi="Arial" w:cs="Arial"/>
        </w:rPr>
        <w:footnoteRef/>
      </w:r>
      <w:r w:rsidRPr="00AC421B">
        <w:rPr>
          <w:rFonts w:ascii="Arial" w:hAnsi="Arial" w:cs="Arial"/>
        </w:rPr>
        <w:t xml:space="preserve">  </w:t>
      </w:r>
      <w:r w:rsidRPr="00AC421B">
        <w:rPr>
          <w:rFonts w:ascii="Arial" w:hAnsi="Arial" w:cs="Arial"/>
        </w:rPr>
        <w:tab/>
        <w:t xml:space="preserve">Du Plessis &amp; Gilbert </w:t>
      </w:r>
      <w:r>
        <w:rPr>
          <w:rFonts w:ascii="Arial" w:hAnsi="Arial" w:cs="Arial"/>
        </w:rPr>
        <w:t>2008</w:t>
      </w:r>
      <w:r w:rsidRPr="00AC421B">
        <w:rPr>
          <w:rFonts w:ascii="Arial" w:hAnsi="Arial" w:cs="Arial"/>
        </w:rPr>
        <w:t>: 2; Weis 1979: 1105; Smith 2005: 8; López 2001: 360.</w:t>
      </w:r>
    </w:p>
  </w:footnote>
  <w:footnote w:id="726">
    <w:p w:rsidR="005E7922" w:rsidRPr="00AC421B" w:rsidRDefault="005E7922" w:rsidP="00AC421B">
      <w:pPr>
        <w:pStyle w:val="Funotentext"/>
        <w:spacing w:line="240" w:lineRule="auto"/>
        <w:contextualSpacing/>
        <w:jc w:val="both"/>
        <w:rPr>
          <w:rFonts w:ascii="Arial" w:hAnsi="Arial" w:cs="Arial"/>
        </w:rPr>
      </w:pPr>
      <w:r w:rsidRPr="00AC421B">
        <w:rPr>
          <w:rStyle w:val="Funotenzeichen"/>
          <w:rFonts w:ascii="Arial" w:hAnsi="Arial" w:cs="Arial"/>
        </w:rPr>
        <w:footnoteRef/>
      </w:r>
      <w:r w:rsidRPr="00AC421B">
        <w:rPr>
          <w:rFonts w:ascii="Arial" w:hAnsi="Arial" w:cs="Arial"/>
        </w:rPr>
        <w:t xml:space="preserve">  </w:t>
      </w:r>
      <w:r w:rsidRPr="00AC421B">
        <w:rPr>
          <w:rFonts w:ascii="Arial" w:hAnsi="Arial" w:cs="Arial"/>
        </w:rPr>
        <w:tab/>
        <w:t>Reekie 2000: 12.</w:t>
      </w:r>
    </w:p>
  </w:footnote>
  <w:footnote w:id="727">
    <w:p w:rsidR="005E7922" w:rsidRPr="00AC421B" w:rsidRDefault="005E7922" w:rsidP="00AC421B">
      <w:pPr>
        <w:pStyle w:val="Funotentext"/>
        <w:spacing w:line="240" w:lineRule="auto"/>
        <w:contextualSpacing/>
        <w:jc w:val="both"/>
        <w:rPr>
          <w:rFonts w:ascii="Arial" w:hAnsi="Arial" w:cs="Arial"/>
        </w:rPr>
      </w:pPr>
      <w:r w:rsidRPr="00AC421B">
        <w:rPr>
          <w:rStyle w:val="Funotenzeichen"/>
          <w:rFonts w:ascii="Arial" w:hAnsi="Arial" w:cs="Arial"/>
        </w:rPr>
        <w:footnoteRef/>
      </w:r>
      <w:r w:rsidRPr="00AC421B">
        <w:rPr>
          <w:rFonts w:ascii="Arial" w:hAnsi="Arial" w:cs="Arial"/>
        </w:rPr>
        <w:t xml:space="preserve">  </w:t>
      </w:r>
      <w:r w:rsidRPr="00AC421B">
        <w:rPr>
          <w:rFonts w:ascii="Arial" w:hAnsi="Arial" w:cs="Arial"/>
        </w:rPr>
        <w:tab/>
        <w:t>Reekie 2000: 11.</w:t>
      </w:r>
    </w:p>
  </w:footnote>
  <w:footnote w:id="728">
    <w:p w:rsidR="005E7922" w:rsidRPr="00AC421B" w:rsidRDefault="005E7922" w:rsidP="00AC421B">
      <w:pPr>
        <w:pStyle w:val="Funotentext"/>
        <w:spacing w:line="240" w:lineRule="auto"/>
        <w:contextualSpacing/>
        <w:jc w:val="both"/>
        <w:rPr>
          <w:rFonts w:ascii="Arial" w:hAnsi="Arial" w:cs="Arial"/>
        </w:rPr>
      </w:pPr>
      <w:r w:rsidRPr="00AC421B">
        <w:rPr>
          <w:rStyle w:val="Funotenzeichen"/>
          <w:rFonts w:ascii="Arial" w:hAnsi="Arial" w:cs="Arial"/>
        </w:rPr>
        <w:footnoteRef/>
      </w:r>
      <w:r w:rsidRPr="00AC421B">
        <w:rPr>
          <w:rFonts w:ascii="Arial" w:hAnsi="Arial" w:cs="Arial"/>
        </w:rPr>
        <w:t xml:space="preserve">   </w:t>
      </w:r>
      <w:r w:rsidRPr="00AC421B">
        <w:rPr>
          <w:rFonts w:ascii="Arial" w:hAnsi="Arial" w:cs="Arial"/>
        </w:rPr>
        <w:tab/>
        <w:t>Reekie 2000: 11.</w:t>
      </w:r>
    </w:p>
  </w:footnote>
  <w:footnote w:id="729">
    <w:p w:rsidR="005E7922" w:rsidRPr="00AC421B" w:rsidRDefault="005E7922" w:rsidP="00AC421B">
      <w:pPr>
        <w:pStyle w:val="Funotentext"/>
        <w:spacing w:line="240" w:lineRule="auto"/>
        <w:contextualSpacing/>
        <w:jc w:val="both"/>
        <w:rPr>
          <w:rFonts w:ascii="Arial" w:hAnsi="Arial" w:cs="Arial"/>
        </w:rPr>
      </w:pPr>
      <w:r w:rsidRPr="00AC421B">
        <w:rPr>
          <w:rStyle w:val="Funotenzeichen"/>
          <w:rFonts w:ascii="Arial" w:hAnsi="Arial" w:cs="Arial"/>
        </w:rPr>
        <w:footnoteRef/>
      </w:r>
      <w:r w:rsidRPr="00AC421B">
        <w:rPr>
          <w:rFonts w:ascii="Arial" w:hAnsi="Arial" w:cs="Arial"/>
        </w:rPr>
        <w:t xml:space="preserve">  </w:t>
      </w:r>
      <w:r w:rsidRPr="00AC421B">
        <w:rPr>
          <w:rFonts w:ascii="Arial" w:hAnsi="Arial" w:cs="Arial"/>
        </w:rPr>
        <w:tab/>
        <w:t>Reekie 2000: 11.</w:t>
      </w:r>
    </w:p>
  </w:footnote>
  <w:footnote w:id="730">
    <w:p w:rsidR="005E7922" w:rsidRPr="00735624" w:rsidRDefault="005E7922" w:rsidP="00735624">
      <w:pPr>
        <w:pStyle w:val="Funotentext"/>
        <w:spacing w:line="240" w:lineRule="auto"/>
        <w:contextualSpacing/>
        <w:jc w:val="both"/>
        <w:rPr>
          <w:rFonts w:ascii="Arial" w:hAnsi="Arial" w:cs="Arial"/>
        </w:rPr>
      </w:pPr>
      <w:r w:rsidRPr="00735624">
        <w:rPr>
          <w:rStyle w:val="Funotenzeichen"/>
          <w:rFonts w:ascii="Arial" w:hAnsi="Arial" w:cs="Arial"/>
        </w:rPr>
        <w:footnoteRef/>
      </w:r>
      <w:r w:rsidRPr="00735624">
        <w:rPr>
          <w:rFonts w:ascii="Arial" w:hAnsi="Arial" w:cs="Arial"/>
        </w:rPr>
        <w:t xml:space="preserve">  </w:t>
      </w:r>
      <w:r w:rsidRPr="00735624">
        <w:rPr>
          <w:rFonts w:ascii="Arial" w:hAnsi="Arial" w:cs="Arial"/>
        </w:rPr>
        <w:tab/>
        <w:t>Reekie 2000: 11.</w:t>
      </w:r>
    </w:p>
  </w:footnote>
  <w:footnote w:id="731">
    <w:p w:rsidR="005E7922" w:rsidRPr="00735624" w:rsidRDefault="005E7922" w:rsidP="00735624">
      <w:pPr>
        <w:pStyle w:val="Funotentext"/>
        <w:spacing w:line="240" w:lineRule="auto"/>
        <w:contextualSpacing/>
        <w:jc w:val="both"/>
        <w:rPr>
          <w:rFonts w:ascii="Arial" w:hAnsi="Arial" w:cs="Arial"/>
        </w:rPr>
      </w:pPr>
      <w:r w:rsidRPr="00735624">
        <w:rPr>
          <w:rStyle w:val="Funotenzeichen"/>
          <w:rFonts w:ascii="Arial" w:hAnsi="Arial" w:cs="Arial"/>
        </w:rPr>
        <w:footnoteRef/>
      </w:r>
      <w:r w:rsidRPr="00735624">
        <w:rPr>
          <w:rFonts w:ascii="Arial" w:hAnsi="Arial" w:cs="Arial"/>
        </w:rPr>
        <w:t xml:space="preserve">  </w:t>
      </w:r>
      <w:r w:rsidRPr="00735624">
        <w:rPr>
          <w:rFonts w:ascii="Arial" w:hAnsi="Arial" w:cs="Arial"/>
        </w:rPr>
        <w:tab/>
        <w:t xml:space="preserve">Neuhoff </w:t>
      </w:r>
      <w:r w:rsidRPr="00735624">
        <w:rPr>
          <w:rFonts w:ascii="Arial" w:hAnsi="Arial" w:cs="Arial"/>
          <w:i/>
        </w:rPr>
        <w:t>et al</w:t>
      </w:r>
      <w:r w:rsidRPr="00735624">
        <w:rPr>
          <w:rFonts w:ascii="Arial" w:hAnsi="Arial" w:cs="Arial"/>
        </w:rPr>
        <w:t xml:space="preserve"> 2006: 40.</w:t>
      </w:r>
    </w:p>
  </w:footnote>
  <w:footnote w:id="732">
    <w:p w:rsidR="005E7922" w:rsidRPr="00735624" w:rsidRDefault="005E7922" w:rsidP="00735624">
      <w:pPr>
        <w:pStyle w:val="Funotentext"/>
        <w:spacing w:line="240" w:lineRule="auto"/>
        <w:contextualSpacing/>
        <w:jc w:val="both"/>
        <w:rPr>
          <w:rFonts w:ascii="Arial" w:hAnsi="Arial" w:cs="Arial"/>
        </w:rPr>
      </w:pPr>
      <w:r w:rsidRPr="00735624">
        <w:rPr>
          <w:rStyle w:val="Funotenzeichen"/>
          <w:rFonts w:ascii="Arial" w:hAnsi="Arial" w:cs="Arial"/>
        </w:rPr>
        <w:footnoteRef/>
      </w:r>
      <w:r w:rsidRPr="00735624">
        <w:rPr>
          <w:rFonts w:ascii="Arial" w:hAnsi="Arial" w:cs="Arial"/>
        </w:rPr>
        <w:t xml:space="preserve">  </w:t>
      </w:r>
      <w:r w:rsidRPr="00735624">
        <w:rPr>
          <w:rFonts w:ascii="Arial" w:hAnsi="Arial" w:cs="Arial"/>
        </w:rPr>
        <w:tab/>
        <w:t>Reekie 2000: 12.</w:t>
      </w:r>
    </w:p>
  </w:footnote>
  <w:footnote w:id="733">
    <w:p w:rsidR="005E7922" w:rsidRPr="00735624" w:rsidRDefault="005E7922" w:rsidP="00735624">
      <w:pPr>
        <w:pStyle w:val="Funotentext"/>
        <w:spacing w:line="240" w:lineRule="auto"/>
        <w:contextualSpacing/>
        <w:jc w:val="both"/>
        <w:rPr>
          <w:rFonts w:ascii="Arial" w:hAnsi="Arial" w:cs="Arial"/>
          <w:lang w:val="af-ZA"/>
        </w:rPr>
      </w:pPr>
      <w:r w:rsidRPr="00735624">
        <w:rPr>
          <w:rStyle w:val="Funotenzeichen"/>
          <w:rFonts w:ascii="Arial" w:hAnsi="Arial" w:cs="Arial"/>
        </w:rPr>
        <w:footnoteRef/>
      </w:r>
      <w:r w:rsidRPr="00735624">
        <w:rPr>
          <w:rFonts w:ascii="Arial" w:hAnsi="Arial" w:cs="Arial"/>
        </w:rPr>
        <w:t xml:space="preserve"> </w:t>
      </w:r>
      <w:r w:rsidRPr="00735624">
        <w:rPr>
          <w:rFonts w:ascii="Arial" w:hAnsi="Arial" w:cs="Arial"/>
          <w:lang w:val="af-ZA"/>
        </w:rPr>
        <w:t xml:space="preserve"> </w:t>
      </w:r>
      <w:r w:rsidRPr="00735624">
        <w:rPr>
          <w:rFonts w:ascii="Arial" w:hAnsi="Arial" w:cs="Arial"/>
          <w:lang w:val="af-ZA"/>
        </w:rPr>
        <w:tab/>
      </w:r>
      <w:r w:rsidRPr="00735624">
        <w:rPr>
          <w:rFonts w:ascii="Arial" w:hAnsi="Arial" w:cs="Arial"/>
        </w:rPr>
        <w:t>Du Plessis &amp; Gilbert 2008: 4.</w:t>
      </w:r>
    </w:p>
  </w:footnote>
  <w:footnote w:id="734">
    <w:p w:rsidR="005E7922" w:rsidRPr="00735624" w:rsidRDefault="005E7922" w:rsidP="00735624">
      <w:pPr>
        <w:pStyle w:val="Funotentext"/>
        <w:spacing w:line="240" w:lineRule="auto"/>
        <w:contextualSpacing/>
        <w:jc w:val="both"/>
        <w:rPr>
          <w:rFonts w:ascii="Arial" w:hAnsi="Arial" w:cs="Arial"/>
          <w:lang w:val="af-ZA"/>
        </w:rPr>
      </w:pPr>
      <w:r w:rsidRPr="00735624">
        <w:rPr>
          <w:rStyle w:val="Funotenzeichen"/>
          <w:rFonts w:ascii="Arial" w:hAnsi="Arial" w:cs="Arial"/>
        </w:rPr>
        <w:footnoteRef/>
      </w:r>
      <w:r w:rsidRPr="00735624">
        <w:rPr>
          <w:rFonts w:ascii="Arial" w:hAnsi="Arial" w:cs="Arial"/>
        </w:rPr>
        <w:t xml:space="preserve"> </w:t>
      </w:r>
      <w:r w:rsidRPr="00735624">
        <w:rPr>
          <w:rFonts w:ascii="Arial" w:hAnsi="Arial" w:cs="Arial"/>
          <w:lang w:val="af-ZA"/>
        </w:rPr>
        <w:t xml:space="preserve"> </w:t>
      </w:r>
      <w:r w:rsidRPr="00735624">
        <w:rPr>
          <w:rFonts w:ascii="Arial" w:hAnsi="Arial" w:cs="Arial"/>
          <w:lang w:val="af-ZA"/>
        </w:rPr>
        <w:tab/>
      </w:r>
      <w:r w:rsidRPr="00735624">
        <w:rPr>
          <w:rFonts w:ascii="Arial" w:hAnsi="Arial" w:cs="Arial"/>
        </w:rPr>
        <w:t>Du Plessis &amp; Gilbert 2008: 2.</w:t>
      </w:r>
    </w:p>
  </w:footnote>
  <w:footnote w:id="735">
    <w:p w:rsidR="005E7922" w:rsidRPr="00735624" w:rsidRDefault="005E7922" w:rsidP="00735624">
      <w:pPr>
        <w:pStyle w:val="Funotentext"/>
        <w:spacing w:line="240" w:lineRule="auto"/>
        <w:contextualSpacing/>
        <w:jc w:val="both"/>
        <w:rPr>
          <w:rFonts w:ascii="Arial" w:hAnsi="Arial" w:cs="Arial"/>
          <w:lang w:val="af-ZA"/>
        </w:rPr>
      </w:pPr>
      <w:r w:rsidRPr="00735624">
        <w:rPr>
          <w:rStyle w:val="Funotenzeichen"/>
          <w:rFonts w:ascii="Arial" w:hAnsi="Arial" w:cs="Arial"/>
        </w:rPr>
        <w:footnoteRef/>
      </w:r>
      <w:r w:rsidRPr="00735624">
        <w:rPr>
          <w:rFonts w:ascii="Arial" w:hAnsi="Arial" w:cs="Arial"/>
        </w:rPr>
        <w:t xml:space="preserve"> </w:t>
      </w:r>
      <w:r w:rsidRPr="00735624">
        <w:rPr>
          <w:rFonts w:ascii="Arial" w:hAnsi="Arial" w:cs="Arial"/>
          <w:lang w:val="af-ZA"/>
        </w:rPr>
        <w:t xml:space="preserve"> </w:t>
      </w:r>
      <w:r w:rsidRPr="00735624">
        <w:rPr>
          <w:rFonts w:ascii="Arial" w:hAnsi="Arial" w:cs="Arial"/>
          <w:lang w:val="af-ZA"/>
        </w:rPr>
        <w:tab/>
      </w:r>
      <w:r w:rsidRPr="00735624">
        <w:rPr>
          <w:rFonts w:ascii="Arial" w:hAnsi="Arial" w:cs="Arial"/>
        </w:rPr>
        <w:t>Du Plessis &amp; Gilbert 2008: 2.</w:t>
      </w:r>
    </w:p>
  </w:footnote>
  <w:footnote w:id="736">
    <w:p w:rsidR="005E7922" w:rsidRPr="00735624" w:rsidRDefault="005E7922" w:rsidP="00735624">
      <w:pPr>
        <w:pStyle w:val="Funotentext"/>
        <w:spacing w:line="240" w:lineRule="auto"/>
        <w:contextualSpacing/>
        <w:jc w:val="both"/>
        <w:rPr>
          <w:rFonts w:ascii="Arial" w:hAnsi="Arial" w:cs="Arial"/>
          <w:lang w:val="af-ZA"/>
        </w:rPr>
      </w:pPr>
      <w:r w:rsidRPr="00735624">
        <w:rPr>
          <w:rStyle w:val="Funotenzeichen"/>
          <w:rFonts w:ascii="Arial" w:hAnsi="Arial" w:cs="Arial"/>
        </w:rPr>
        <w:footnoteRef/>
      </w:r>
      <w:r w:rsidRPr="00735624">
        <w:rPr>
          <w:rFonts w:ascii="Arial" w:hAnsi="Arial" w:cs="Arial"/>
        </w:rPr>
        <w:t xml:space="preserve"> </w:t>
      </w:r>
      <w:r w:rsidRPr="00735624">
        <w:rPr>
          <w:rFonts w:ascii="Arial" w:hAnsi="Arial" w:cs="Arial"/>
          <w:lang w:val="af-ZA"/>
        </w:rPr>
        <w:t xml:space="preserve"> </w:t>
      </w:r>
      <w:r w:rsidRPr="00735624">
        <w:rPr>
          <w:rFonts w:ascii="Arial" w:hAnsi="Arial" w:cs="Arial"/>
          <w:lang w:val="af-ZA"/>
        </w:rPr>
        <w:tab/>
      </w:r>
      <w:r w:rsidRPr="00735624">
        <w:rPr>
          <w:rFonts w:ascii="Arial" w:hAnsi="Arial" w:cs="Arial"/>
        </w:rPr>
        <w:t>Du Plessis &amp; Gilbert 2008: 2.</w:t>
      </w:r>
    </w:p>
  </w:footnote>
  <w:footnote w:id="737">
    <w:p w:rsidR="005E7922" w:rsidRPr="00735624" w:rsidRDefault="005E7922" w:rsidP="00735624">
      <w:pPr>
        <w:pStyle w:val="Funotentext"/>
        <w:spacing w:line="240" w:lineRule="auto"/>
        <w:contextualSpacing/>
        <w:jc w:val="both"/>
        <w:rPr>
          <w:rFonts w:ascii="Arial" w:hAnsi="Arial" w:cs="Arial"/>
          <w:lang w:val="af-ZA"/>
        </w:rPr>
      </w:pPr>
      <w:r w:rsidRPr="00735624">
        <w:rPr>
          <w:rStyle w:val="Funotenzeichen"/>
          <w:rFonts w:ascii="Arial" w:hAnsi="Arial" w:cs="Arial"/>
        </w:rPr>
        <w:footnoteRef/>
      </w:r>
      <w:r w:rsidRPr="00735624">
        <w:rPr>
          <w:rFonts w:ascii="Arial" w:hAnsi="Arial" w:cs="Arial"/>
        </w:rPr>
        <w:t xml:space="preserve"> </w:t>
      </w:r>
      <w:r w:rsidRPr="00735624">
        <w:rPr>
          <w:rFonts w:ascii="Arial" w:hAnsi="Arial" w:cs="Arial"/>
          <w:lang w:val="af-ZA"/>
        </w:rPr>
        <w:t xml:space="preserve"> </w:t>
      </w:r>
      <w:r w:rsidRPr="00735624">
        <w:rPr>
          <w:rFonts w:ascii="Arial" w:hAnsi="Arial" w:cs="Arial"/>
          <w:lang w:val="af-ZA"/>
        </w:rPr>
        <w:tab/>
      </w:r>
      <w:r w:rsidRPr="00735624">
        <w:rPr>
          <w:rFonts w:ascii="Arial" w:hAnsi="Arial" w:cs="Arial"/>
        </w:rPr>
        <w:t>Du Plessis &amp; Gilbert 2008: 2.</w:t>
      </w:r>
    </w:p>
  </w:footnote>
  <w:footnote w:id="738">
    <w:p w:rsidR="005E7922" w:rsidRPr="0002587A" w:rsidRDefault="005E7922" w:rsidP="0002587A">
      <w:pPr>
        <w:pStyle w:val="Funotentext"/>
        <w:spacing w:line="240" w:lineRule="auto"/>
        <w:contextualSpacing/>
        <w:jc w:val="both"/>
        <w:rPr>
          <w:rFonts w:ascii="Arial" w:hAnsi="Arial" w:cs="Arial"/>
        </w:rPr>
      </w:pPr>
      <w:r w:rsidRPr="0002587A">
        <w:rPr>
          <w:rStyle w:val="Funotenzeichen"/>
          <w:rFonts w:ascii="Arial" w:hAnsi="Arial" w:cs="Arial"/>
        </w:rPr>
        <w:footnoteRef/>
      </w:r>
      <w:r w:rsidRPr="0002587A">
        <w:rPr>
          <w:rFonts w:ascii="Arial" w:hAnsi="Arial" w:cs="Arial"/>
        </w:rPr>
        <w:t xml:space="preserve">  </w:t>
      </w:r>
      <w:r w:rsidRPr="0002587A">
        <w:rPr>
          <w:rFonts w:ascii="Arial" w:hAnsi="Arial" w:cs="Arial"/>
        </w:rPr>
        <w:tab/>
        <w:t>Lipczynski 2009: 17.</w:t>
      </w:r>
    </w:p>
  </w:footnote>
  <w:footnote w:id="739">
    <w:p w:rsidR="005E7922" w:rsidRPr="0002587A" w:rsidRDefault="005E7922" w:rsidP="0002587A">
      <w:pPr>
        <w:pStyle w:val="Funotentext"/>
        <w:spacing w:line="240" w:lineRule="auto"/>
        <w:contextualSpacing/>
        <w:jc w:val="both"/>
        <w:rPr>
          <w:rFonts w:ascii="Arial" w:hAnsi="Arial" w:cs="Arial"/>
        </w:rPr>
      </w:pPr>
      <w:r w:rsidRPr="0002587A">
        <w:rPr>
          <w:rStyle w:val="Funotenzeichen"/>
          <w:rFonts w:ascii="Arial" w:hAnsi="Arial" w:cs="Arial"/>
        </w:rPr>
        <w:footnoteRef/>
      </w:r>
      <w:r w:rsidRPr="0002587A">
        <w:rPr>
          <w:rFonts w:ascii="Arial" w:hAnsi="Arial" w:cs="Arial"/>
        </w:rPr>
        <w:t xml:space="preserve">  </w:t>
      </w:r>
      <w:r w:rsidRPr="0002587A">
        <w:rPr>
          <w:rFonts w:ascii="Arial" w:hAnsi="Arial" w:cs="Arial"/>
        </w:rPr>
        <w:tab/>
      </w:r>
      <w:r w:rsidRPr="0048182C">
        <w:rPr>
          <w:rFonts w:ascii="Arial" w:hAnsi="Arial" w:cs="Arial"/>
        </w:rPr>
        <w:t>Inferred</w:t>
      </w:r>
      <w:r w:rsidRPr="0002587A">
        <w:rPr>
          <w:rFonts w:ascii="Arial" w:hAnsi="Arial" w:cs="Arial"/>
        </w:rPr>
        <w:t xml:space="preserve"> from Lipczynski 2009: 17; Du Plessis &amp; Gilbert 2008: 2</w:t>
      </w:r>
      <w:r>
        <w:rPr>
          <w:rFonts w:ascii="Arial" w:hAnsi="Arial" w:cs="Arial"/>
        </w:rPr>
        <w:t xml:space="preserve">; Smith 2005: 8; </w:t>
      </w:r>
      <w:r w:rsidRPr="00865583">
        <w:rPr>
          <w:rFonts w:ascii="Arial" w:hAnsi="Arial" w:cs="Arial"/>
        </w:rPr>
        <w:t xml:space="preserve">Audretsch </w:t>
      </w:r>
      <w:r w:rsidRPr="00865583">
        <w:rPr>
          <w:rFonts w:ascii="Arial" w:hAnsi="Arial" w:cs="Arial"/>
          <w:i/>
        </w:rPr>
        <w:t xml:space="preserve">et </w:t>
      </w:r>
      <w:r>
        <w:rPr>
          <w:rFonts w:ascii="Arial" w:hAnsi="Arial" w:cs="Arial"/>
          <w:i/>
        </w:rPr>
        <w:tab/>
      </w:r>
      <w:r w:rsidRPr="00865583">
        <w:rPr>
          <w:rFonts w:ascii="Arial" w:hAnsi="Arial" w:cs="Arial"/>
          <w:i/>
        </w:rPr>
        <w:t>al</w:t>
      </w:r>
      <w:r w:rsidRPr="00865583">
        <w:rPr>
          <w:rFonts w:ascii="Arial" w:hAnsi="Arial" w:cs="Arial"/>
        </w:rPr>
        <w:t xml:space="preserve"> 2001: 615</w:t>
      </w:r>
      <w:r>
        <w:rPr>
          <w:rFonts w:ascii="Arial" w:hAnsi="Arial" w:cs="Arial"/>
        </w:rPr>
        <w:t>.</w:t>
      </w:r>
    </w:p>
  </w:footnote>
  <w:footnote w:id="740">
    <w:p w:rsidR="005E7922" w:rsidRPr="0002587A" w:rsidRDefault="005E7922" w:rsidP="0002587A">
      <w:pPr>
        <w:pStyle w:val="Funotentext"/>
        <w:spacing w:line="240" w:lineRule="auto"/>
        <w:contextualSpacing/>
        <w:jc w:val="both"/>
        <w:rPr>
          <w:rFonts w:ascii="Arial" w:hAnsi="Arial" w:cs="Arial"/>
        </w:rPr>
      </w:pPr>
      <w:r w:rsidRPr="0002587A">
        <w:rPr>
          <w:rStyle w:val="Funotenzeichen"/>
          <w:rFonts w:ascii="Arial" w:hAnsi="Arial" w:cs="Arial"/>
        </w:rPr>
        <w:footnoteRef/>
      </w:r>
      <w:r w:rsidRPr="0002587A">
        <w:rPr>
          <w:rFonts w:ascii="Arial" w:hAnsi="Arial" w:cs="Arial"/>
        </w:rPr>
        <w:t xml:space="preserve">  </w:t>
      </w:r>
      <w:r w:rsidRPr="0002587A">
        <w:rPr>
          <w:rFonts w:ascii="Arial" w:hAnsi="Arial" w:cs="Arial"/>
        </w:rPr>
        <w:tab/>
        <w:t>Inferred from Lipczynski 2009: 17; Du Plessis &amp; Gilbert 2008: 2</w:t>
      </w:r>
      <w:r>
        <w:rPr>
          <w:rFonts w:ascii="Arial" w:hAnsi="Arial" w:cs="Arial"/>
        </w:rPr>
        <w:t xml:space="preserve">; </w:t>
      </w:r>
      <w:r w:rsidRPr="00865583">
        <w:rPr>
          <w:rFonts w:ascii="Arial" w:hAnsi="Arial" w:cs="Arial"/>
        </w:rPr>
        <w:t>Smith 2005: 8</w:t>
      </w:r>
      <w:r>
        <w:rPr>
          <w:rFonts w:ascii="Arial" w:hAnsi="Arial" w:cs="Arial"/>
        </w:rPr>
        <w:t xml:space="preserve">; </w:t>
      </w:r>
      <w:r w:rsidRPr="00865583">
        <w:rPr>
          <w:rFonts w:ascii="Arial" w:hAnsi="Arial" w:cs="Arial"/>
        </w:rPr>
        <w:t xml:space="preserve">Audretsch </w:t>
      </w:r>
      <w:r w:rsidRPr="00865583">
        <w:rPr>
          <w:rFonts w:ascii="Arial" w:hAnsi="Arial" w:cs="Arial"/>
          <w:i/>
        </w:rPr>
        <w:t xml:space="preserve">et </w:t>
      </w:r>
      <w:r>
        <w:rPr>
          <w:rFonts w:ascii="Arial" w:hAnsi="Arial" w:cs="Arial"/>
          <w:i/>
        </w:rPr>
        <w:tab/>
      </w:r>
      <w:r w:rsidRPr="00865583">
        <w:rPr>
          <w:rFonts w:ascii="Arial" w:hAnsi="Arial" w:cs="Arial"/>
          <w:i/>
        </w:rPr>
        <w:t>al</w:t>
      </w:r>
      <w:r w:rsidRPr="00865583">
        <w:rPr>
          <w:rFonts w:ascii="Arial" w:hAnsi="Arial" w:cs="Arial"/>
        </w:rPr>
        <w:t xml:space="preserve"> 2001: 615</w:t>
      </w:r>
      <w:r>
        <w:rPr>
          <w:rFonts w:ascii="Arial" w:hAnsi="Arial" w:cs="Arial"/>
        </w:rPr>
        <w:t>.</w:t>
      </w:r>
    </w:p>
  </w:footnote>
  <w:footnote w:id="741">
    <w:p w:rsidR="005E7922" w:rsidRPr="0002587A" w:rsidRDefault="005E7922" w:rsidP="0002587A">
      <w:pPr>
        <w:pStyle w:val="Funotentext"/>
        <w:spacing w:line="240" w:lineRule="auto"/>
        <w:contextualSpacing/>
        <w:jc w:val="both"/>
        <w:rPr>
          <w:rFonts w:ascii="Arial" w:hAnsi="Arial" w:cs="Arial"/>
        </w:rPr>
      </w:pPr>
      <w:r w:rsidRPr="0002587A">
        <w:rPr>
          <w:rStyle w:val="Funotenzeichen"/>
          <w:rFonts w:ascii="Arial" w:hAnsi="Arial" w:cs="Arial"/>
        </w:rPr>
        <w:footnoteRef/>
      </w:r>
      <w:r w:rsidRPr="0002587A">
        <w:rPr>
          <w:rFonts w:ascii="Arial" w:hAnsi="Arial" w:cs="Arial"/>
        </w:rPr>
        <w:t xml:space="preserve">  </w:t>
      </w:r>
      <w:r w:rsidRPr="0002587A">
        <w:rPr>
          <w:rFonts w:ascii="Arial" w:hAnsi="Arial" w:cs="Arial"/>
        </w:rPr>
        <w:tab/>
        <w:t xml:space="preserve">Inferred from Lipczynski 2009: 17; </w:t>
      </w:r>
      <w:r>
        <w:rPr>
          <w:rFonts w:ascii="Arial" w:hAnsi="Arial" w:cs="Arial"/>
        </w:rPr>
        <w:t xml:space="preserve">Du Plessis &amp; Gilbert 2008: 2; Smith 2005: 8; </w:t>
      </w:r>
      <w:r w:rsidRPr="00865583">
        <w:rPr>
          <w:rFonts w:ascii="Arial" w:hAnsi="Arial" w:cs="Arial"/>
        </w:rPr>
        <w:t xml:space="preserve">Audretsch </w:t>
      </w:r>
      <w:r w:rsidRPr="00865583">
        <w:rPr>
          <w:rFonts w:ascii="Arial" w:hAnsi="Arial" w:cs="Arial"/>
          <w:i/>
        </w:rPr>
        <w:t xml:space="preserve">et </w:t>
      </w:r>
      <w:r>
        <w:rPr>
          <w:rFonts w:ascii="Arial" w:hAnsi="Arial" w:cs="Arial"/>
          <w:i/>
        </w:rPr>
        <w:tab/>
      </w:r>
      <w:r w:rsidRPr="00865583">
        <w:rPr>
          <w:rFonts w:ascii="Arial" w:hAnsi="Arial" w:cs="Arial"/>
          <w:i/>
        </w:rPr>
        <w:t>al</w:t>
      </w:r>
      <w:r w:rsidRPr="00865583">
        <w:rPr>
          <w:rFonts w:ascii="Arial" w:hAnsi="Arial" w:cs="Arial"/>
        </w:rPr>
        <w:t xml:space="preserve"> 2001: 615</w:t>
      </w:r>
      <w:r>
        <w:rPr>
          <w:rFonts w:ascii="Arial" w:hAnsi="Arial" w:cs="Arial"/>
        </w:rPr>
        <w:t>.</w:t>
      </w:r>
    </w:p>
  </w:footnote>
  <w:footnote w:id="742">
    <w:p w:rsidR="005E7922" w:rsidRPr="0002587A" w:rsidRDefault="005E7922" w:rsidP="0002587A">
      <w:pPr>
        <w:pStyle w:val="Funotentext"/>
        <w:spacing w:line="240" w:lineRule="auto"/>
        <w:contextualSpacing/>
        <w:jc w:val="both"/>
        <w:rPr>
          <w:rFonts w:ascii="Arial" w:hAnsi="Arial" w:cs="Arial"/>
        </w:rPr>
      </w:pPr>
      <w:r w:rsidRPr="0002587A">
        <w:rPr>
          <w:rStyle w:val="Funotenzeichen"/>
          <w:rFonts w:ascii="Arial" w:hAnsi="Arial" w:cs="Arial"/>
        </w:rPr>
        <w:footnoteRef/>
      </w:r>
      <w:r>
        <w:rPr>
          <w:rFonts w:ascii="Arial" w:hAnsi="Arial" w:cs="Arial"/>
        </w:rPr>
        <w:t xml:space="preserve">  </w:t>
      </w:r>
      <w:r>
        <w:rPr>
          <w:rFonts w:ascii="Arial" w:hAnsi="Arial" w:cs="Arial"/>
        </w:rPr>
        <w:tab/>
        <w:t>Reid 1987: 16;</w:t>
      </w:r>
      <w:r w:rsidRPr="00E03E7A">
        <w:rPr>
          <w:rFonts w:ascii="Arial" w:hAnsi="Arial" w:cs="Arial"/>
        </w:rPr>
        <w:t xml:space="preserve"> </w:t>
      </w:r>
      <w:r>
        <w:rPr>
          <w:rFonts w:ascii="Arial" w:hAnsi="Arial" w:cs="Arial"/>
        </w:rPr>
        <w:t>Lipczynski 2009: 17</w:t>
      </w:r>
    </w:p>
  </w:footnote>
  <w:footnote w:id="743">
    <w:p w:rsidR="005E7922" w:rsidRPr="0002587A" w:rsidRDefault="005E7922" w:rsidP="0002587A">
      <w:pPr>
        <w:pStyle w:val="Funotentext"/>
        <w:spacing w:line="240" w:lineRule="auto"/>
        <w:contextualSpacing/>
        <w:jc w:val="both"/>
        <w:rPr>
          <w:rFonts w:ascii="Arial" w:hAnsi="Arial" w:cs="Arial"/>
        </w:rPr>
      </w:pPr>
      <w:r w:rsidRPr="0002587A">
        <w:rPr>
          <w:rStyle w:val="Funotenzeichen"/>
          <w:rFonts w:ascii="Arial" w:hAnsi="Arial" w:cs="Arial"/>
        </w:rPr>
        <w:footnoteRef/>
      </w:r>
      <w:r w:rsidRPr="0002587A">
        <w:rPr>
          <w:rFonts w:ascii="Arial" w:hAnsi="Arial" w:cs="Arial"/>
        </w:rPr>
        <w:t xml:space="preserve">  </w:t>
      </w:r>
      <w:r w:rsidRPr="0002587A">
        <w:rPr>
          <w:rFonts w:ascii="Arial" w:hAnsi="Arial" w:cs="Arial"/>
        </w:rPr>
        <w:tab/>
        <w:t xml:space="preserve">Black </w:t>
      </w:r>
      <w:r w:rsidRPr="0002587A">
        <w:rPr>
          <w:rFonts w:ascii="Arial" w:hAnsi="Arial" w:cs="Arial"/>
          <w:i/>
        </w:rPr>
        <w:t>et al</w:t>
      </w:r>
      <w:r w:rsidRPr="0002587A">
        <w:rPr>
          <w:rFonts w:ascii="Arial" w:hAnsi="Arial" w:cs="Arial"/>
        </w:rPr>
        <w:t xml:space="preserve"> 1999: 42 as cited in Smith 2005: 8.</w:t>
      </w:r>
    </w:p>
  </w:footnote>
  <w:footnote w:id="744">
    <w:p w:rsidR="005E7922" w:rsidRPr="0002587A" w:rsidRDefault="005E7922" w:rsidP="0002587A">
      <w:pPr>
        <w:pStyle w:val="Funotentext"/>
        <w:spacing w:line="240" w:lineRule="auto"/>
        <w:contextualSpacing/>
        <w:jc w:val="both"/>
        <w:rPr>
          <w:rFonts w:ascii="Arial" w:hAnsi="Arial" w:cs="Arial"/>
        </w:rPr>
      </w:pPr>
      <w:r w:rsidRPr="0002587A">
        <w:rPr>
          <w:rStyle w:val="Funotenzeichen"/>
          <w:rFonts w:ascii="Arial" w:hAnsi="Arial" w:cs="Arial"/>
        </w:rPr>
        <w:footnoteRef/>
      </w:r>
      <w:r w:rsidRPr="0002587A">
        <w:rPr>
          <w:rFonts w:ascii="Arial" w:hAnsi="Arial" w:cs="Arial"/>
        </w:rPr>
        <w:t xml:space="preserve">  </w:t>
      </w:r>
      <w:r w:rsidRPr="0002587A">
        <w:rPr>
          <w:rFonts w:ascii="Arial" w:hAnsi="Arial" w:cs="Arial"/>
        </w:rPr>
        <w:tab/>
        <w:t>Smith 2005: 8.</w:t>
      </w:r>
    </w:p>
  </w:footnote>
  <w:footnote w:id="745">
    <w:p w:rsidR="005E7922" w:rsidRPr="00707227" w:rsidRDefault="005E7922" w:rsidP="00707227">
      <w:pPr>
        <w:pStyle w:val="Funotentext"/>
        <w:spacing w:line="240" w:lineRule="auto"/>
        <w:contextualSpacing/>
        <w:jc w:val="both"/>
        <w:rPr>
          <w:rFonts w:ascii="Arial" w:hAnsi="Arial" w:cs="Arial"/>
        </w:rPr>
      </w:pPr>
      <w:r w:rsidRPr="00707227">
        <w:rPr>
          <w:rStyle w:val="Funotenzeichen"/>
          <w:rFonts w:ascii="Arial" w:hAnsi="Arial" w:cs="Arial"/>
        </w:rPr>
        <w:footnoteRef/>
      </w:r>
      <w:r w:rsidRPr="00707227">
        <w:rPr>
          <w:rFonts w:ascii="Arial" w:hAnsi="Arial" w:cs="Arial"/>
        </w:rPr>
        <w:t xml:space="preserve">  </w:t>
      </w:r>
      <w:r w:rsidRPr="00707227">
        <w:rPr>
          <w:rFonts w:ascii="Arial" w:hAnsi="Arial" w:cs="Arial"/>
        </w:rPr>
        <w:tab/>
        <w:t>Smith 2005: 9.</w:t>
      </w:r>
    </w:p>
  </w:footnote>
  <w:footnote w:id="746">
    <w:p w:rsidR="005E7922" w:rsidRPr="00707227" w:rsidRDefault="005E7922" w:rsidP="00707227">
      <w:pPr>
        <w:pStyle w:val="Funotentext"/>
        <w:spacing w:line="240" w:lineRule="auto"/>
        <w:contextualSpacing/>
        <w:jc w:val="both"/>
        <w:rPr>
          <w:rFonts w:ascii="Arial" w:hAnsi="Arial" w:cs="Arial"/>
        </w:rPr>
      </w:pPr>
      <w:r w:rsidRPr="00707227">
        <w:rPr>
          <w:rStyle w:val="Funotenzeichen"/>
          <w:rFonts w:ascii="Arial" w:hAnsi="Arial" w:cs="Arial"/>
        </w:rPr>
        <w:footnoteRef/>
      </w:r>
      <w:r w:rsidRPr="00707227">
        <w:rPr>
          <w:rFonts w:ascii="Arial" w:hAnsi="Arial" w:cs="Arial"/>
        </w:rPr>
        <w:t xml:space="preserve">  </w:t>
      </w:r>
      <w:r w:rsidRPr="00707227">
        <w:rPr>
          <w:rFonts w:ascii="Arial" w:hAnsi="Arial" w:cs="Arial"/>
        </w:rPr>
        <w:tab/>
        <w:t>Smith 2005: 9.</w:t>
      </w:r>
    </w:p>
  </w:footnote>
  <w:footnote w:id="747">
    <w:p w:rsidR="005E7922" w:rsidRPr="00707227" w:rsidRDefault="005E7922" w:rsidP="00707227">
      <w:pPr>
        <w:pStyle w:val="Funotentext"/>
        <w:spacing w:line="240" w:lineRule="auto"/>
        <w:contextualSpacing/>
        <w:jc w:val="both"/>
        <w:rPr>
          <w:rFonts w:ascii="Arial" w:hAnsi="Arial" w:cs="Arial"/>
        </w:rPr>
      </w:pPr>
      <w:r w:rsidRPr="00707227">
        <w:rPr>
          <w:rStyle w:val="Funotenzeichen"/>
          <w:rFonts w:ascii="Arial" w:hAnsi="Arial" w:cs="Arial"/>
        </w:rPr>
        <w:footnoteRef/>
      </w:r>
      <w:r w:rsidRPr="00707227">
        <w:rPr>
          <w:rFonts w:ascii="Arial" w:hAnsi="Arial" w:cs="Arial"/>
        </w:rPr>
        <w:t xml:space="preserve">  </w:t>
      </w:r>
      <w:r w:rsidRPr="00707227">
        <w:rPr>
          <w:rFonts w:ascii="Arial" w:hAnsi="Arial" w:cs="Arial"/>
        </w:rPr>
        <w:tab/>
        <w:t>Fourie &amp; Smith 1999: 66.</w:t>
      </w:r>
    </w:p>
  </w:footnote>
  <w:footnote w:id="748">
    <w:p w:rsidR="005E7922" w:rsidRPr="00707227" w:rsidRDefault="005E7922" w:rsidP="00707227">
      <w:pPr>
        <w:pStyle w:val="Funotentext"/>
        <w:spacing w:line="240" w:lineRule="auto"/>
        <w:contextualSpacing/>
        <w:jc w:val="both"/>
        <w:rPr>
          <w:rFonts w:ascii="Arial" w:hAnsi="Arial" w:cs="Arial"/>
        </w:rPr>
      </w:pPr>
      <w:r w:rsidRPr="00707227">
        <w:rPr>
          <w:rStyle w:val="Funotenzeichen"/>
          <w:rFonts w:ascii="Arial" w:hAnsi="Arial" w:cs="Arial"/>
        </w:rPr>
        <w:footnoteRef/>
      </w:r>
      <w:r w:rsidRPr="00707227">
        <w:rPr>
          <w:rFonts w:ascii="Arial" w:hAnsi="Arial" w:cs="Arial"/>
        </w:rPr>
        <w:t xml:space="preserve">  </w:t>
      </w:r>
      <w:r w:rsidRPr="00707227">
        <w:rPr>
          <w:rFonts w:ascii="Arial" w:hAnsi="Arial" w:cs="Arial"/>
        </w:rPr>
        <w:tab/>
        <w:t>Fourie &amp; Smith 1999: 67.</w:t>
      </w:r>
    </w:p>
  </w:footnote>
  <w:footnote w:id="749">
    <w:p w:rsidR="005E7922" w:rsidRPr="00707227" w:rsidRDefault="005E7922" w:rsidP="00707227">
      <w:pPr>
        <w:pStyle w:val="Funotentext"/>
        <w:spacing w:line="240" w:lineRule="auto"/>
        <w:contextualSpacing/>
        <w:jc w:val="both"/>
        <w:rPr>
          <w:rFonts w:ascii="Arial" w:hAnsi="Arial" w:cs="Arial"/>
        </w:rPr>
      </w:pPr>
      <w:r w:rsidRPr="00707227">
        <w:rPr>
          <w:rStyle w:val="Funotenzeichen"/>
          <w:rFonts w:ascii="Arial" w:hAnsi="Arial" w:cs="Arial"/>
        </w:rPr>
        <w:footnoteRef/>
      </w:r>
      <w:r w:rsidRPr="00707227">
        <w:rPr>
          <w:rFonts w:ascii="Arial" w:hAnsi="Arial" w:cs="Arial"/>
        </w:rPr>
        <w:t xml:space="preserve">  </w:t>
      </w:r>
      <w:r w:rsidRPr="00707227">
        <w:rPr>
          <w:rFonts w:ascii="Arial" w:hAnsi="Arial" w:cs="Arial"/>
        </w:rPr>
        <w:tab/>
        <w:t>Lipczynski 2009: 17; Kahn 1981: 3.</w:t>
      </w:r>
    </w:p>
  </w:footnote>
  <w:footnote w:id="750">
    <w:p w:rsidR="005E7922" w:rsidRPr="00707227" w:rsidRDefault="005E7922" w:rsidP="00707227">
      <w:pPr>
        <w:pStyle w:val="Funotentext"/>
        <w:spacing w:line="240" w:lineRule="auto"/>
        <w:contextualSpacing/>
        <w:jc w:val="both"/>
        <w:rPr>
          <w:rFonts w:ascii="Arial" w:hAnsi="Arial" w:cs="Arial"/>
        </w:rPr>
      </w:pPr>
      <w:r w:rsidRPr="00707227">
        <w:rPr>
          <w:rStyle w:val="Funotenzeichen"/>
          <w:rFonts w:ascii="Arial" w:hAnsi="Arial" w:cs="Arial"/>
        </w:rPr>
        <w:footnoteRef/>
      </w:r>
      <w:r w:rsidRPr="00707227">
        <w:rPr>
          <w:rFonts w:ascii="Arial" w:hAnsi="Arial" w:cs="Arial"/>
        </w:rPr>
        <w:t xml:space="preserve">  </w:t>
      </w:r>
      <w:r w:rsidRPr="00707227">
        <w:rPr>
          <w:rFonts w:ascii="Arial" w:hAnsi="Arial" w:cs="Arial"/>
        </w:rPr>
        <w:tab/>
        <w:t>Refer to section 2.3.2.4.</w:t>
      </w:r>
    </w:p>
  </w:footnote>
  <w:footnote w:id="751">
    <w:p w:rsidR="005E7922" w:rsidRPr="00707227" w:rsidRDefault="005E7922" w:rsidP="00707227">
      <w:pPr>
        <w:pStyle w:val="Funotentext"/>
        <w:spacing w:line="240" w:lineRule="auto"/>
        <w:contextualSpacing/>
        <w:jc w:val="both"/>
        <w:rPr>
          <w:rFonts w:ascii="Arial" w:hAnsi="Arial" w:cs="Arial"/>
        </w:rPr>
      </w:pPr>
      <w:r w:rsidRPr="00707227">
        <w:rPr>
          <w:rStyle w:val="Funotenzeichen"/>
          <w:rFonts w:ascii="Arial" w:hAnsi="Arial" w:cs="Arial"/>
        </w:rPr>
        <w:footnoteRef/>
      </w:r>
      <w:r w:rsidRPr="00707227">
        <w:rPr>
          <w:rFonts w:ascii="Arial" w:hAnsi="Arial" w:cs="Arial"/>
        </w:rPr>
        <w:t xml:space="preserve">  </w:t>
      </w:r>
      <w:r w:rsidRPr="00707227">
        <w:rPr>
          <w:rFonts w:ascii="Arial" w:hAnsi="Arial" w:cs="Arial"/>
        </w:rPr>
        <w:tab/>
        <w:t>Klein 1998: 510.</w:t>
      </w:r>
    </w:p>
  </w:footnote>
  <w:footnote w:id="752">
    <w:p w:rsidR="005E7922" w:rsidRPr="00707227" w:rsidRDefault="005E7922" w:rsidP="00707227">
      <w:pPr>
        <w:pStyle w:val="Funotentext"/>
        <w:spacing w:line="240" w:lineRule="auto"/>
        <w:contextualSpacing/>
        <w:jc w:val="both"/>
        <w:rPr>
          <w:rFonts w:ascii="Arial" w:hAnsi="Arial" w:cs="Arial"/>
        </w:rPr>
      </w:pPr>
      <w:r w:rsidRPr="00707227">
        <w:rPr>
          <w:rStyle w:val="Funotenzeichen"/>
          <w:rFonts w:ascii="Arial" w:hAnsi="Arial" w:cs="Arial"/>
        </w:rPr>
        <w:footnoteRef/>
      </w:r>
      <w:r w:rsidRPr="00707227">
        <w:rPr>
          <w:rFonts w:ascii="Arial" w:hAnsi="Arial" w:cs="Arial"/>
        </w:rPr>
        <w:t xml:space="preserve">  </w:t>
      </w:r>
      <w:r w:rsidRPr="00707227">
        <w:rPr>
          <w:rFonts w:ascii="Arial" w:hAnsi="Arial" w:cs="Arial"/>
        </w:rPr>
        <w:tab/>
        <w:t>Theron 2001: 620; Klein 1998: 510; Du Plessis &amp; Gilbert 2008: 5; Smith 2005: 8.</w:t>
      </w:r>
    </w:p>
  </w:footnote>
  <w:footnote w:id="753">
    <w:p w:rsidR="005E7922" w:rsidRPr="00707227" w:rsidRDefault="005E7922" w:rsidP="00707227">
      <w:pPr>
        <w:pStyle w:val="Funotentext"/>
        <w:spacing w:line="240" w:lineRule="auto"/>
        <w:contextualSpacing/>
        <w:jc w:val="both"/>
        <w:rPr>
          <w:rFonts w:ascii="Arial" w:hAnsi="Arial" w:cs="Arial"/>
        </w:rPr>
      </w:pPr>
      <w:r w:rsidRPr="00707227">
        <w:rPr>
          <w:rStyle w:val="Funotenzeichen"/>
          <w:rFonts w:ascii="Arial" w:hAnsi="Arial" w:cs="Arial"/>
        </w:rPr>
        <w:footnoteRef/>
      </w:r>
      <w:r w:rsidRPr="00707227">
        <w:rPr>
          <w:rFonts w:ascii="Arial" w:hAnsi="Arial" w:cs="Arial"/>
        </w:rPr>
        <w:t xml:space="preserve">  </w:t>
      </w:r>
      <w:r w:rsidRPr="00707227">
        <w:rPr>
          <w:rFonts w:ascii="Arial" w:hAnsi="Arial" w:cs="Arial"/>
        </w:rPr>
        <w:tab/>
        <w:t>Du Plessis &amp; Gilbert 2008: 5.</w:t>
      </w:r>
    </w:p>
  </w:footnote>
  <w:footnote w:id="754">
    <w:p w:rsidR="005E7922" w:rsidRPr="00707227" w:rsidRDefault="005E7922" w:rsidP="00707227">
      <w:pPr>
        <w:pStyle w:val="Funotentext"/>
        <w:spacing w:line="240" w:lineRule="auto"/>
        <w:contextualSpacing/>
        <w:jc w:val="both"/>
        <w:rPr>
          <w:rFonts w:ascii="Arial" w:hAnsi="Arial" w:cs="Arial"/>
        </w:rPr>
      </w:pPr>
      <w:r w:rsidRPr="00707227">
        <w:rPr>
          <w:rStyle w:val="Funotenzeichen"/>
          <w:rFonts w:ascii="Arial" w:hAnsi="Arial" w:cs="Arial"/>
        </w:rPr>
        <w:footnoteRef/>
      </w:r>
      <w:r w:rsidRPr="00707227">
        <w:rPr>
          <w:rFonts w:ascii="Arial" w:hAnsi="Arial" w:cs="Arial"/>
        </w:rPr>
        <w:t xml:space="preserve">  </w:t>
      </w:r>
      <w:r w:rsidRPr="00707227">
        <w:rPr>
          <w:rFonts w:ascii="Arial" w:hAnsi="Arial" w:cs="Arial"/>
        </w:rPr>
        <w:tab/>
      </w:r>
      <w:r>
        <w:rPr>
          <w:rFonts w:ascii="Arial" w:hAnsi="Arial" w:cs="Arial"/>
        </w:rPr>
        <w:t>Reekie 1984: 154.</w:t>
      </w:r>
    </w:p>
  </w:footnote>
  <w:footnote w:id="755">
    <w:p w:rsidR="005E7922" w:rsidRPr="00707227" w:rsidRDefault="005E7922" w:rsidP="00707227">
      <w:pPr>
        <w:pStyle w:val="Funotentext"/>
        <w:spacing w:line="240" w:lineRule="auto"/>
        <w:contextualSpacing/>
        <w:jc w:val="both"/>
        <w:rPr>
          <w:rFonts w:ascii="Arial" w:hAnsi="Arial" w:cs="Arial"/>
        </w:rPr>
      </w:pPr>
      <w:r w:rsidRPr="00707227">
        <w:rPr>
          <w:rStyle w:val="Funotenzeichen"/>
          <w:rFonts w:ascii="Arial" w:hAnsi="Arial" w:cs="Arial"/>
        </w:rPr>
        <w:footnoteRef/>
      </w:r>
      <w:r w:rsidRPr="00707227">
        <w:rPr>
          <w:rFonts w:ascii="Arial" w:hAnsi="Arial" w:cs="Arial"/>
        </w:rPr>
        <w:t xml:space="preserve">  </w:t>
      </w:r>
      <w:r w:rsidRPr="00707227">
        <w:rPr>
          <w:rFonts w:ascii="Arial" w:hAnsi="Arial" w:cs="Arial"/>
        </w:rPr>
        <w:tab/>
      </w:r>
      <w:r>
        <w:rPr>
          <w:rFonts w:ascii="Arial" w:hAnsi="Arial" w:cs="Arial"/>
        </w:rPr>
        <w:t>Reekie 1984: 154.</w:t>
      </w:r>
    </w:p>
  </w:footnote>
  <w:footnote w:id="756">
    <w:p w:rsidR="005E7922" w:rsidRPr="00707227" w:rsidRDefault="005E7922" w:rsidP="00707227">
      <w:pPr>
        <w:pStyle w:val="Funotentext"/>
        <w:spacing w:line="240" w:lineRule="auto"/>
        <w:contextualSpacing/>
        <w:jc w:val="both"/>
        <w:rPr>
          <w:rFonts w:ascii="Arial" w:hAnsi="Arial" w:cs="Arial"/>
        </w:rPr>
      </w:pPr>
      <w:r w:rsidRPr="00707227">
        <w:rPr>
          <w:rStyle w:val="Funotenzeichen"/>
          <w:rFonts w:ascii="Arial" w:hAnsi="Arial" w:cs="Arial"/>
        </w:rPr>
        <w:footnoteRef/>
      </w:r>
      <w:r w:rsidRPr="00707227">
        <w:rPr>
          <w:rFonts w:ascii="Arial" w:hAnsi="Arial" w:cs="Arial"/>
        </w:rPr>
        <w:t xml:space="preserve">  </w:t>
      </w:r>
      <w:r w:rsidRPr="00707227">
        <w:rPr>
          <w:rFonts w:ascii="Arial" w:hAnsi="Arial" w:cs="Arial"/>
        </w:rPr>
        <w:tab/>
        <w:t>Du Plessis &amp; Gilbert 2008: 5.</w:t>
      </w:r>
    </w:p>
  </w:footnote>
  <w:footnote w:id="757">
    <w:p w:rsidR="005E7922" w:rsidRPr="008F338B" w:rsidRDefault="005E7922" w:rsidP="008F338B">
      <w:pPr>
        <w:pStyle w:val="Funotentext"/>
        <w:spacing w:line="240" w:lineRule="auto"/>
        <w:contextualSpacing/>
        <w:jc w:val="both"/>
        <w:rPr>
          <w:rFonts w:ascii="Arial" w:hAnsi="Arial" w:cs="Arial"/>
        </w:rPr>
      </w:pPr>
      <w:r w:rsidRPr="008F338B">
        <w:rPr>
          <w:rStyle w:val="Funotenzeichen"/>
          <w:rFonts w:ascii="Arial" w:hAnsi="Arial" w:cs="Arial"/>
        </w:rPr>
        <w:footnoteRef/>
      </w:r>
      <w:r w:rsidRPr="008F338B">
        <w:rPr>
          <w:rFonts w:ascii="Arial" w:hAnsi="Arial" w:cs="Arial"/>
        </w:rPr>
        <w:t xml:space="preserve"> </w:t>
      </w:r>
      <w:r w:rsidRPr="008F338B">
        <w:rPr>
          <w:rFonts w:ascii="Arial" w:hAnsi="Arial" w:cs="Arial"/>
        </w:rPr>
        <w:tab/>
        <w:t>Du Plessis &amp; Gilbert 2008: 6; Reekie 1999: 269.</w:t>
      </w:r>
    </w:p>
  </w:footnote>
  <w:footnote w:id="758">
    <w:p w:rsidR="005E7922" w:rsidRPr="00BF06B8" w:rsidRDefault="005E7922" w:rsidP="00BF06B8">
      <w:pPr>
        <w:pStyle w:val="Funotentext"/>
        <w:spacing w:line="240" w:lineRule="auto"/>
        <w:contextualSpacing/>
        <w:jc w:val="both"/>
        <w:rPr>
          <w:rFonts w:ascii="Arial" w:hAnsi="Arial" w:cs="Arial"/>
        </w:rPr>
      </w:pPr>
      <w:r w:rsidRPr="00BF06B8">
        <w:rPr>
          <w:rStyle w:val="Funotenzeichen"/>
          <w:rFonts w:ascii="Arial" w:hAnsi="Arial" w:cs="Arial"/>
        </w:rPr>
        <w:footnoteRef/>
      </w:r>
      <w:r w:rsidRPr="00BF06B8">
        <w:rPr>
          <w:rFonts w:ascii="Arial" w:hAnsi="Arial" w:cs="Arial"/>
        </w:rPr>
        <w:t xml:space="preserve">  </w:t>
      </w:r>
      <w:r w:rsidRPr="00BF06B8">
        <w:rPr>
          <w:rFonts w:ascii="Arial" w:hAnsi="Arial" w:cs="Arial"/>
        </w:rPr>
        <w:tab/>
        <w:t>Leach 1997: 12.</w:t>
      </w:r>
    </w:p>
  </w:footnote>
  <w:footnote w:id="759">
    <w:p w:rsidR="005E7922" w:rsidRPr="00BF06B8" w:rsidRDefault="005E7922" w:rsidP="00BF06B8">
      <w:pPr>
        <w:pStyle w:val="Funotentext"/>
        <w:spacing w:line="240" w:lineRule="auto"/>
        <w:contextualSpacing/>
        <w:jc w:val="both"/>
        <w:rPr>
          <w:rFonts w:ascii="Arial" w:hAnsi="Arial" w:cs="Arial"/>
        </w:rPr>
      </w:pPr>
      <w:r w:rsidRPr="00BF06B8">
        <w:rPr>
          <w:rStyle w:val="Funotenzeichen"/>
          <w:rFonts w:ascii="Arial" w:hAnsi="Arial" w:cs="Arial"/>
        </w:rPr>
        <w:footnoteRef/>
      </w:r>
      <w:r w:rsidRPr="00BF06B8">
        <w:rPr>
          <w:rFonts w:ascii="Arial" w:hAnsi="Arial" w:cs="Arial"/>
        </w:rPr>
        <w:t xml:space="preserve">  </w:t>
      </w:r>
      <w:r w:rsidRPr="00BF06B8">
        <w:rPr>
          <w:rFonts w:ascii="Arial" w:hAnsi="Arial" w:cs="Arial"/>
        </w:rPr>
        <w:tab/>
        <w:t>Reekie 1999: 269; Du Plessis &amp; Gilbert 2008: 6.</w:t>
      </w:r>
    </w:p>
  </w:footnote>
  <w:footnote w:id="760">
    <w:p w:rsidR="005E7922" w:rsidRPr="00BF06B8" w:rsidRDefault="005E7922" w:rsidP="00BF06B8">
      <w:pPr>
        <w:pStyle w:val="Funotentext"/>
        <w:spacing w:line="240" w:lineRule="auto"/>
        <w:contextualSpacing/>
        <w:jc w:val="both"/>
        <w:rPr>
          <w:rFonts w:ascii="Arial" w:hAnsi="Arial" w:cs="Arial"/>
        </w:rPr>
      </w:pPr>
      <w:r w:rsidRPr="00BF06B8">
        <w:rPr>
          <w:rStyle w:val="Funotenzeichen"/>
          <w:rFonts w:ascii="Arial" w:hAnsi="Arial" w:cs="Arial"/>
        </w:rPr>
        <w:footnoteRef/>
      </w:r>
      <w:r w:rsidRPr="00BF06B8">
        <w:rPr>
          <w:rFonts w:ascii="Arial" w:hAnsi="Arial" w:cs="Arial"/>
        </w:rPr>
        <w:t xml:space="preserve">  </w:t>
      </w:r>
      <w:r w:rsidRPr="00BF06B8">
        <w:rPr>
          <w:rFonts w:ascii="Arial" w:hAnsi="Arial" w:cs="Arial"/>
        </w:rPr>
        <w:tab/>
      </w:r>
      <w:r>
        <w:rPr>
          <w:rFonts w:ascii="Arial" w:hAnsi="Arial" w:cs="Arial"/>
        </w:rPr>
        <w:t>Fourie &amp; Smith 1998: 577</w:t>
      </w:r>
      <w:r w:rsidRPr="00BF06B8">
        <w:rPr>
          <w:rFonts w:ascii="Arial" w:hAnsi="Arial" w:cs="Arial"/>
        </w:rPr>
        <w:t>.</w:t>
      </w:r>
    </w:p>
  </w:footnote>
  <w:footnote w:id="761">
    <w:p w:rsidR="005E7922" w:rsidRPr="00BF06B8" w:rsidRDefault="005E7922" w:rsidP="00BF06B8">
      <w:pPr>
        <w:pStyle w:val="Funotentext"/>
        <w:spacing w:line="240" w:lineRule="auto"/>
        <w:contextualSpacing/>
        <w:jc w:val="both"/>
        <w:rPr>
          <w:rFonts w:ascii="Arial" w:hAnsi="Arial" w:cs="Arial"/>
        </w:rPr>
      </w:pPr>
      <w:r w:rsidRPr="00BF06B8">
        <w:rPr>
          <w:rStyle w:val="Funotenzeichen"/>
          <w:rFonts w:ascii="Arial" w:hAnsi="Arial" w:cs="Arial"/>
        </w:rPr>
        <w:footnoteRef/>
      </w:r>
      <w:r w:rsidRPr="00BF06B8">
        <w:rPr>
          <w:rFonts w:ascii="Arial" w:hAnsi="Arial" w:cs="Arial"/>
        </w:rPr>
        <w:t xml:space="preserve">  </w:t>
      </w:r>
      <w:r w:rsidRPr="00BF06B8">
        <w:rPr>
          <w:rFonts w:ascii="Arial" w:hAnsi="Arial" w:cs="Arial"/>
        </w:rPr>
        <w:tab/>
        <w:t>Du Plessis &amp; Gilbert 2008: 11.</w:t>
      </w:r>
    </w:p>
  </w:footnote>
  <w:footnote w:id="762">
    <w:p w:rsidR="005E7922" w:rsidRPr="00BF06B8" w:rsidRDefault="005E7922" w:rsidP="00BF06B8">
      <w:pPr>
        <w:pStyle w:val="Funotentext"/>
        <w:spacing w:line="240" w:lineRule="auto"/>
        <w:contextualSpacing/>
        <w:jc w:val="both"/>
        <w:rPr>
          <w:rFonts w:ascii="Arial" w:hAnsi="Arial" w:cs="Arial"/>
          <w:lang w:val="af-ZA"/>
        </w:rPr>
      </w:pPr>
      <w:r w:rsidRPr="00BF06B8">
        <w:rPr>
          <w:rStyle w:val="Funotenzeichen"/>
          <w:rFonts w:ascii="Arial" w:hAnsi="Arial" w:cs="Arial"/>
        </w:rPr>
        <w:footnoteRef/>
      </w:r>
      <w:r w:rsidRPr="00BF06B8">
        <w:rPr>
          <w:rFonts w:ascii="Arial" w:hAnsi="Arial" w:cs="Arial"/>
        </w:rPr>
        <w:t xml:space="preserve"> </w:t>
      </w:r>
      <w:r w:rsidRPr="00BF06B8">
        <w:rPr>
          <w:rFonts w:ascii="Arial" w:hAnsi="Arial" w:cs="Arial"/>
          <w:lang w:val="af-ZA"/>
        </w:rPr>
        <w:t xml:space="preserve">  </w:t>
      </w:r>
      <w:r w:rsidRPr="00BF06B8">
        <w:rPr>
          <w:rFonts w:ascii="Arial" w:hAnsi="Arial" w:cs="Arial"/>
          <w:lang w:val="af-ZA"/>
        </w:rPr>
        <w:tab/>
      </w:r>
      <w:r w:rsidRPr="00BF06B8">
        <w:rPr>
          <w:rFonts w:ascii="Arial" w:hAnsi="Arial" w:cs="Arial"/>
        </w:rPr>
        <w:t>Fourie &amp; Smith 1999: 66-67.</w:t>
      </w:r>
    </w:p>
  </w:footnote>
  <w:footnote w:id="763">
    <w:p w:rsidR="005E7922" w:rsidRPr="00BF06B8" w:rsidRDefault="005E7922" w:rsidP="00BF06B8">
      <w:pPr>
        <w:pStyle w:val="Funotentext"/>
        <w:spacing w:line="240" w:lineRule="auto"/>
        <w:contextualSpacing/>
        <w:jc w:val="both"/>
        <w:rPr>
          <w:rFonts w:ascii="Arial" w:hAnsi="Arial" w:cs="Arial"/>
          <w:lang w:val="af-ZA"/>
        </w:rPr>
      </w:pPr>
      <w:r w:rsidRPr="00BF06B8">
        <w:rPr>
          <w:rStyle w:val="Funotenzeichen"/>
          <w:rFonts w:ascii="Arial" w:hAnsi="Arial" w:cs="Arial"/>
        </w:rPr>
        <w:footnoteRef/>
      </w:r>
      <w:r w:rsidRPr="00BF06B8">
        <w:rPr>
          <w:rFonts w:ascii="Arial" w:hAnsi="Arial" w:cs="Arial"/>
        </w:rPr>
        <w:t xml:space="preserve"> </w:t>
      </w:r>
      <w:r w:rsidRPr="00BF06B8">
        <w:rPr>
          <w:rFonts w:ascii="Arial" w:hAnsi="Arial" w:cs="Arial"/>
          <w:lang w:val="af-ZA"/>
        </w:rPr>
        <w:t xml:space="preserve"> </w:t>
      </w:r>
      <w:r w:rsidRPr="00BF06B8">
        <w:rPr>
          <w:rFonts w:ascii="Arial" w:hAnsi="Arial" w:cs="Arial"/>
          <w:lang w:val="af-ZA"/>
        </w:rPr>
        <w:tab/>
      </w:r>
      <w:r w:rsidRPr="00BF06B8">
        <w:rPr>
          <w:rFonts w:ascii="Arial" w:hAnsi="Arial" w:cs="Arial"/>
        </w:rPr>
        <w:t>Du Plessis &amp; Gilbert 2008: 16.</w:t>
      </w:r>
    </w:p>
  </w:footnote>
  <w:footnote w:id="764">
    <w:p w:rsidR="005E7922" w:rsidRPr="00BF06B8" w:rsidRDefault="005E7922" w:rsidP="00BF06B8">
      <w:pPr>
        <w:pStyle w:val="Funotentext"/>
        <w:spacing w:line="240" w:lineRule="auto"/>
        <w:contextualSpacing/>
        <w:jc w:val="both"/>
        <w:rPr>
          <w:rFonts w:ascii="Arial" w:hAnsi="Arial" w:cs="Arial"/>
        </w:rPr>
      </w:pPr>
      <w:r w:rsidRPr="00BF06B8">
        <w:rPr>
          <w:rStyle w:val="Funotenzeichen"/>
          <w:rFonts w:ascii="Arial" w:hAnsi="Arial" w:cs="Arial"/>
        </w:rPr>
        <w:footnoteRef/>
      </w:r>
      <w:r w:rsidRPr="00BF06B8">
        <w:rPr>
          <w:rFonts w:ascii="Arial" w:hAnsi="Arial" w:cs="Arial"/>
        </w:rPr>
        <w:t xml:space="preserve"> </w:t>
      </w:r>
      <w:r w:rsidRPr="00BF06B8">
        <w:rPr>
          <w:rFonts w:ascii="Arial" w:hAnsi="Arial" w:cs="Arial"/>
        </w:rPr>
        <w:tab/>
        <w:t>Reekie 1999: 269; Du Plessis &amp; Gilbert 2008: 6.</w:t>
      </w:r>
    </w:p>
  </w:footnote>
  <w:footnote w:id="765">
    <w:p w:rsidR="005E7922" w:rsidRPr="00BF06B8" w:rsidRDefault="005E7922" w:rsidP="00BF06B8">
      <w:pPr>
        <w:pStyle w:val="Funotentext"/>
        <w:spacing w:line="240" w:lineRule="auto"/>
        <w:contextualSpacing/>
        <w:jc w:val="both"/>
        <w:rPr>
          <w:rFonts w:ascii="Arial" w:hAnsi="Arial" w:cs="Arial"/>
        </w:rPr>
      </w:pPr>
      <w:r w:rsidRPr="00BF06B8">
        <w:rPr>
          <w:rStyle w:val="Funotenzeichen"/>
          <w:rFonts w:ascii="Arial" w:hAnsi="Arial" w:cs="Arial"/>
        </w:rPr>
        <w:footnoteRef/>
      </w:r>
      <w:r w:rsidRPr="00BF06B8">
        <w:rPr>
          <w:rFonts w:ascii="Arial" w:hAnsi="Arial" w:cs="Arial"/>
        </w:rPr>
        <w:t xml:space="preserve">  </w:t>
      </w:r>
      <w:r w:rsidRPr="00BF06B8">
        <w:rPr>
          <w:rFonts w:ascii="Arial" w:hAnsi="Arial" w:cs="Arial"/>
        </w:rPr>
        <w:tab/>
        <w:t xml:space="preserve">89/1998. Neuhoff </w:t>
      </w:r>
      <w:r w:rsidRPr="00BF06B8">
        <w:rPr>
          <w:rFonts w:ascii="Arial" w:hAnsi="Arial" w:cs="Arial"/>
          <w:i/>
        </w:rPr>
        <w:t>et al</w:t>
      </w:r>
      <w:r w:rsidRPr="00BF06B8">
        <w:rPr>
          <w:rFonts w:ascii="Arial" w:hAnsi="Arial" w:cs="Arial"/>
        </w:rPr>
        <w:t xml:space="preserve">  2006: 43; Reekie 1999: 269; Du Plessis &amp; Gilbert 2008: 16</w:t>
      </w:r>
    </w:p>
  </w:footnote>
  <w:footnote w:id="766">
    <w:p w:rsidR="005E7922" w:rsidRPr="00BF06B8" w:rsidRDefault="005E7922" w:rsidP="00BF06B8">
      <w:pPr>
        <w:pStyle w:val="Funotentext"/>
        <w:spacing w:line="240" w:lineRule="auto"/>
        <w:contextualSpacing/>
        <w:jc w:val="both"/>
        <w:rPr>
          <w:rFonts w:ascii="Arial" w:hAnsi="Arial" w:cs="Arial"/>
        </w:rPr>
      </w:pPr>
      <w:r w:rsidRPr="00BF06B8">
        <w:rPr>
          <w:rStyle w:val="Funotenzeichen"/>
          <w:rFonts w:ascii="Arial" w:hAnsi="Arial" w:cs="Arial"/>
        </w:rPr>
        <w:footnoteRef/>
      </w:r>
      <w:r w:rsidRPr="00BF06B8">
        <w:rPr>
          <w:rFonts w:ascii="Arial" w:hAnsi="Arial" w:cs="Arial"/>
        </w:rPr>
        <w:t xml:space="preserve">  </w:t>
      </w:r>
      <w:r w:rsidRPr="00BF06B8">
        <w:rPr>
          <w:rFonts w:ascii="Arial" w:hAnsi="Arial" w:cs="Arial"/>
        </w:rPr>
        <w:tab/>
        <w:t>Theron 2001: 621.</w:t>
      </w:r>
    </w:p>
  </w:footnote>
  <w:footnote w:id="767">
    <w:p w:rsidR="005E7922" w:rsidRPr="00BF06B8" w:rsidRDefault="005E7922" w:rsidP="00BF06B8">
      <w:pPr>
        <w:pStyle w:val="Funotentext"/>
        <w:spacing w:line="240" w:lineRule="auto"/>
        <w:contextualSpacing/>
        <w:jc w:val="both"/>
        <w:rPr>
          <w:rFonts w:ascii="Arial" w:hAnsi="Arial" w:cs="Arial"/>
        </w:rPr>
      </w:pPr>
      <w:r w:rsidRPr="00BF06B8">
        <w:rPr>
          <w:rStyle w:val="Funotenzeichen"/>
          <w:rFonts w:ascii="Arial" w:hAnsi="Arial" w:cs="Arial"/>
        </w:rPr>
        <w:footnoteRef/>
      </w:r>
      <w:r w:rsidRPr="00BF06B8">
        <w:rPr>
          <w:rFonts w:ascii="Arial" w:hAnsi="Arial" w:cs="Arial"/>
        </w:rPr>
        <w:t xml:space="preserve">  </w:t>
      </w:r>
      <w:r w:rsidRPr="00BF06B8">
        <w:rPr>
          <w:rFonts w:ascii="Arial" w:hAnsi="Arial" w:cs="Arial"/>
        </w:rPr>
        <w:tab/>
        <w:t xml:space="preserve">Neuhoff </w:t>
      </w:r>
      <w:r w:rsidRPr="00BF06B8">
        <w:rPr>
          <w:rFonts w:ascii="Arial" w:hAnsi="Arial" w:cs="Arial"/>
          <w:i/>
        </w:rPr>
        <w:t>et al</w:t>
      </w:r>
      <w:r w:rsidRPr="00BF06B8">
        <w:rPr>
          <w:rFonts w:ascii="Arial" w:hAnsi="Arial" w:cs="Arial"/>
        </w:rPr>
        <w:t xml:space="preserve"> 2006: 43.</w:t>
      </w:r>
    </w:p>
  </w:footnote>
  <w:footnote w:id="768">
    <w:p w:rsidR="005E7922" w:rsidRPr="00922B28" w:rsidRDefault="005E7922" w:rsidP="007F791F">
      <w:pPr>
        <w:pStyle w:val="Funotentext"/>
        <w:spacing w:line="240" w:lineRule="auto"/>
        <w:contextualSpacing/>
        <w:jc w:val="both"/>
        <w:rPr>
          <w:rFonts w:ascii="Arial" w:hAnsi="Arial" w:cs="Arial"/>
        </w:rPr>
      </w:pPr>
      <w:r w:rsidRPr="00922B28">
        <w:rPr>
          <w:rStyle w:val="Funotenzeichen"/>
          <w:rFonts w:ascii="Arial" w:hAnsi="Arial" w:cs="Arial"/>
        </w:rPr>
        <w:footnoteRef/>
      </w:r>
      <w:r w:rsidRPr="00922B28">
        <w:rPr>
          <w:rFonts w:ascii="Arial" w:hAnsi="Arial" w:cs="Arial"/>
        </w:rPr>
        <w:t xml:space="preserve">  </w:t>
      </w:r>
      <w:r w:rsidRPr="00922B28">
        <w:rPr>
          <w:rFonts w:ascii="Arial" w:hAnsi="Arial" w:cs="Arial"/>
        </w:rPr>
        <w:tab/>
        <w:t>Stenborg 2004: 5; Boshoff 2006: 3.</w:t>
      </w:r>
    </w:p>
  </w:footnote>
  <w:footnote w:id="769">
    <w:p w:rsidR="005E7922" w:rsidRPr="00922B28" w:rsidRDefault="005E7922" w:rsidP="007F791F">
      <w:pPr>
        <w:pStyle w:val="Funotentext"/>
        <w:spacing w:line="240" w:lineRule="auto"/>
        <w:contextualSpacing/>
        <w:jc w:val="both"/>
        <w:rPr>
          <w:rFonts w:ascii="Arial" w:hAnsi="Arial" w:cs="Arial"/>
        </w:rPr>
      </w:pPr>
      <w:r w:rsidRPr="00922B28">
        <w:rPr>
          <w:rStyle w:val="Funotenzeichen"/>
          <w:rFonts w:ascii="Arial" w:hAnsi="Arial" w:cs="Arial"/>
        </w:rPr>
        <w:footnoteRef/>
      </w:r>
      <w:r w:rsidRPr="00922B28">
        <w:rPr>
          <w:rFonts w:ascii="Arial" w:hAnsi="Arial" w:cs="Arial"/>
        </w:rPr>
        <w:t xml:space="preserve">  </w:t>
      </w:r>
      <w:r w:rsidRPr="00922B28">
        <w:rPr>
          <w:rFonts w:ascii="Arial" w:hAnsi="Arial" w:cs="Arial"/>
        </w:rPr>
        <w:tab/>
        <w:t xml:space="preserve">Lipczynski 2009: 6; Neuhoff </w:t>
      </w:r>
      <w:r w:rsidRPr="00922B28">
        <w:rPr>
          <w:rFonts w:ascii="Arial" w:hAnsi="Arial" w:cs="Arial"/>
          <w:i/>
        </w:rPr>
        <w:t>et al</w:t>
      </w:r>
      <w:r w:rsidRPr="00922B28">
        <w:rPr>
          <w:rFonts w:ascii="Arial" w:hAnsi="Arial" w:cs="Arial"/>
        </w:rPr>
        <w:t xml:space="preserve"> 2006: 35 &amp; 43; Reekie 1999: 269; Du Plessis &amp; Gilbert </w:t>
      </w:r>
      <w:r w:rsidRPr="00922B28">
        <w:rPr>
          <w:rFonts w:ascii="Arial" w:hAnsi="Arial" w:cs="Arial"/>
        </w:rPr>
        <w:tab/>
        <w:t>2008: 16; Theron 2001: 622.</w:t>
      </w:r>
    </w:p>
  </w:footnote>
  <w:footnote w:id="770">
    <w:p w:rsidR="005E7922" w:rsidRPr="00C93E66" w:rsidRDefault="005E7922" w:rsidP="00C93E66">
      <w:pPr>
        <w:pStyle w:val="Funotentext"/>
        <w:spacing w:line="240" w:lineRule="auto"/>
        <w:contextualSpacing/>
        <w:jc w:val="both"/>
        <w:rPr>
          <w:rFonts w:ascii="Arial" w:hAnsi="Arial" w:cs="Arial"/>
        </w:rPr>
      </w:pPr>
      <w:r w:rsidRPr="00C93E66">
        <w:rPr>
          <w:rStyle w:val="Funotenzeichen"/>
          <w:rFonts w:ascii="Arial" w:hAnsi="Arial" w:cs="Arial"/>
        </w:rPr>
        <w:footnoteRef/>
      </w:r>
      <w:r w:rsidRPr="00C93E66">
        <w:rPr>
          <w:rFonts w:ascii="Arial" w:hAnsi="Arial" w:cs="Arial"/>
        </w:rPr>
        <w:t xml:space="preserve">  </w:t>
      </w:r>
      <w:r w:rsidRPr="00C93E66">
        <w:rPr>
          <w:rFonts w:ascii="Arial" w:hAnsi="Arial" w:cs="Arial"/>
        </w:rPr>
        <w:tab/>
        <w:t xml:space="preserve">Neuhoff </w:t>
      </w:r>
      <w:r w:rsidRPr="00C93E66">
        <w:rPr>
          <w:rFonts w:ascii="Arial" w:hAnsi="Arial" w:cs="Arial"/>
          <w:i/>
        </w:rPr>
        <w:t>et al</w:t>
      </w:r>
      <w:r w:rsidRPr="00C93E66">
        <w:rPr>
          <w:rFonts w:ascii="Arial" w:hAnsi="Arial" w:cs="Arial"/>
        </w:rPr>
        <w:t xml:space="preserve"> 2006: 35.</w:t>
      </w:r>
    </w:p>
  </w:footnote>
  <w:footnote w:id="771">
    <w:p w:rsidR="005E7922" w:rsidRPr="00C93E66" w:rsidRDefault="005E7922" w:rsidP="00C93E66">
      <w:pPr>
        <w:pStyle w:val="Funotentext"/>
        <w:spacing w:line="240" w:lineRule="auto"/>
        <w:contextualSpacing/>
        <w:jc w:val="both"/>
        <w:rPr>
          <w:rFonts w:ascii="Arial" w:hAnsi="Arial" w:cs="Arial"/>
        </w:rPr>
      </w:pPr>
      <w:r w:rsidRPr="00C93E66">
        <w:rPr>
          <w:rStyle w:val="Funotenzeichen"/>
          <w:rFonts w:ascii="Arial" w:hAnsi="Arial" w:cs="Arial"/>
        </w:rPr>
        <w:footnoteRef/>
      </w:r>
      <w:r w:rsidRPr="00C93E66">
        <w:rPr>
          <w:rFonts w:ascii="Arial" w:hAnsi="Arial" w:cs="Arial"/>
        </w:rPr>
        <w:t xml:space="preserve">  </w:t>
      </w:r>
      <w:r w:rsidRPr="00C93E66">
        <w:rPr>
          <w:rFonts w:ascii="Arial" w:hAnsi="Arial" w:cs="Arial"/>
        </w:rPr>
        <w:tab/>
        <w:t xml:space="preserve">Reid 1987: 12; Lipczynski 2009: 8; McConnel &amp; Brue 2008: 400; Neuhoff </w:t>
      </w:r>
      <w:r w:rsidRPr="00C93E66">
        <w:rPr>
          <w:rFonts w:ascii="Arial" w:hAnsi="Arial" w:cs="Arial"/>
          <w:i/>
        </w:rPr>
        <w:t>et al</w:t>
      </w:r>
      <w:r w:rsidRPr="00C93E66">
        <w:rPr>
          <w:rFonts w:ascii="Arial" w:hAnsi="Arial" w:cs="Arial"/>
        </w:rPr>
        <w:t xml:space="preserve"> 2006: 35.</w:t>
      </w:r>
    </w:p>
  </w:footnote>
  <w:footnote w:id="772">
    <w:p w:rsidR="005E7922" w:rsidRPr="00C93E66" w:rsidRDefault="005E7922" w:rsidP="00C93E66">
      <w:pPr>
        <w:pStyle w:val="Funotentext"/>
        <w:spacing w:line="240" w:lineRule="auto"/>
        <w:contextualSpacing/>
        <w:jc w:val="both"/>
        <w:rPr>
          <w:rFonts w:ascii="Arial" w:hAnsi="Arial" w:cs="Arial"/>
        </w:rPr>
      </w:pPr>
      <w:r w:rsidRPr="00C93E66">
        <w:rPr>
          <w:rStyle w:val="Funotenzeichen"/>
          <w:rFonts w:ascii="Arial" w:hAnsi="Arial" w:cs="Arial"/>
        </w:rPr>
        <w:footnoteRef/>
      </w:r>
      <w:r w:rsidRPr="00C93E66">
        <w:rPr>
          <w:rFonts w:ascii="Arial" w:hAnsi="Arial" w:cs="Arial"/>
        </w:rPr>
        <w:t xml:space="preserve">  </w:t>
      </w:r>
      <w:r w:rsidRPr="00C93E66">
        <w:rPr>
          <w:rFonts w:ascii="Arial" w:hAnsi="Arial" w:cs="Arial"/>
        </w:rPr>
        <w:tab/>
        <w:t xml:space="preserve">Reid 1987: 12; Lipczynski 2009: 8; Neuhoff </w:t>
      </w:r>
      <w:r w:rsidRPr="00C93E66">
        <w:rPr>
          <w:rFonts w:ascii="Arial" w:hAnsi="Arial" w:cs="Arial"/>
          <w:i/>
        </w:rPr>
        <w:t>et al</w:t>
      </w:r>
      <w:r w:rsidRPr="00C93E66">
        <w:rPr>
          <w:rFonts w:ascii="Arial" w:hAnsi="Arial" w:cs="Arial"/>
        </w:rPr>
        <w:t xml:space="preserve"> 2006: 35.</w:t>
      </w:r>
    </w:p>
  </w:footnote>
  <w:footnote w:id="773">
    <w:p w:rsidR="005E7922" w:rsidRPr="00C93E66" w:rsidRDefault="005E7922" w:rsidP="00C93E66">
      <w:pPr>
        <w:pStyle w:val="Funotentext"/>
        <w:spacing w:line="240" w:lineRule="auto"/>
        <w:contextualSpacing/>
        <w:jc w:val="both"/>
        <w:rPr>
          <w:rFonts w:ascii="Arial" w:hAnsi="Arial" w:cs="Arial"/>
        </w:rPr>
      </w:pPr>
      <w:r w:rsidRPr="00C93E66">
        <w:rPr>
          <w:rStyle w:val="Funotenzeichen"/>
          <w:rFonts w:ascii="Arial" w:hAnsi="Arial" w:cs="Arial"/>
        </w:rPr>
        <w:footnoteRef/>
      </w:r>
      <w:r w:rsidRPr="00C93E66">
        <w:rPr>
          <w:rFonts w:ascii="Arial" w:hAnsi="Arial" w:cs="Arial"/>
        </w:rPr>
        <w:t xml:space="preserve">  </w:t>
      </w:r>
      <w:r w:rsidRPr="00C93E66">
        <w:rPr>
          <w:rFonts w:ascii="Arial" w:hAnsi="Arial" w:cs="Arial"/>
        </w:rPr>
        <w:tab/>
        <w:t xml:space="preserve">Reid 1987: 12; Lipczynski 2009: 8; McConnel &amp; Brue 2008: 400; Neuhoff </w:t>
      </w:r>
      <w:r w:rsidRPr="00C93E66">
        <w:rPr>
          <w:rFonts w:ascii="Arial" w:hAnsi="Arial" w:cs="Arial"/>
          <w:i/>
        </w:rPr>
        <w:t>et al</w:t>
      </w:r>
      <w:r w:rsidRPr="00C93E66">
        <w:rPr>
          <w:rFonts w:ascii="Arial" w:hAnsi="Arial" w:cs="Arial"/>
        </w:rPr>
        <w:t xml:space="preserve"> 2006: 35.</w:t>
      </w:r>
    </w:p>
  </w:footnote>
  <w:footnote w:id="774">
    <w:p w:rsidR="005E7922" w:rsidRPr="00C93E66" w:rsidRDefault="005E7922" w:rsidP="00C93E66">
      <w:pPr>
        <w:pStyle w:val="Funotentext"/>
        <w:spacing w:line="240" w:lineRule="auto"/>
        <w:contextualSpacing/>
        <w:jc w:val="both"/>
        <w:rPr>
          <w:rFonts w:ascii="Arial" w:hAnsi="Arial" w:cs="Arial"/>
          <w:lang w:val="af-ZA"/>
        </w:rPr>
      </w:pPr>
      <w:r w:rsidRPr="00C93E66">
        <w:rPr>
          <w:rStyle w:val="Funotenzeichen"/>
          <w:rFonts w:ascii="Arial" w:hAnsi="Arial" w:cs="Arial"/>
        </w:rPr>
        <w:footnoteRef/>
      </w:r>
      <w:r w:rsidRPr="00C93E66">
        <w:rPr>
          <w:rFonts w:ascii="Arial" w:hAnsi="Arial" w:cs="Arial"/>
        </w:rPr>
        <w:t xml:space="preserve"> </w:t>
      </w:r>
      <w:r w:rsidRPr="00C93E66">
        <w:rPr>
          <w:rFonts w:ascii="Arial" w:hAnsi="Arial" w:cs="Arial"/>
          <w:lang w:val="af-ZA"/>
        </w:rPr>
        <w:t xml:space="preserve"> </w:t>
      </w:r>
      <w:r w:rsidRPr="00C93E66">
        <w:rPr>
          <w:rFonts w:ascii="Arial" w:hAnsi="Arial" w:cs="Arial"/>
          <w:lang w:val="af-ZA"/>
        </w:rPr>
        <w:tab/>
      </w:r>
      <w:r w:rsidRPr="00C93E66">
        <w:rPr>
          <w:rFonts w:ascii="Arial" w:hAnsi="Arial" w:cs="Arial"/>
        </w:rPr>
        <w:t xml:space="preserve">Reid 1987: 12; Lipczynski 2009: 8; McConnel &amp; Brue 2008: 400; Neuhoff </w:t>
      </w:r>
      <w:r w:rsidRPr="00C93E66">
        <w:rPr>
          <w:rFonts w:ascii="Arial" w:hAnsi="Arial" w:cs="Arial"/>
          <w:i/>
        </w:rPr>
        <w:t>et al</w:t>
      </w:r>
      <w:r w:rsidRPr="00C93E66">
        <w:rPr>
          <w:rFonts w:ascii="Arial" w:hAnsi="Arial" w:cs="Arial"/>
        </w:rPr>
        <w:t xml:space="preserve"> 2006: 35.</w:t>
      </w:r>
    </w:p>
  </w:footnote>
  <w:footnote w:id="775">
    <w:p w:rsidR="005E7922" w:rsidRPr="00C93E66" w:rsidRDefault="005E7922" w:rsidP="00C93E66">
      <w:pPr>
        <w:pStyle w:val="Funotentext"/>
        <w:spacing w:line="240" w:lineRule="auto"/>
        <w:contextualSpacing/>
        <w:jc w:val="both"/>
        <w:rPr>
          <w:rFonts w:ascii="Arial" w:hAnsi="Arial" w:cs="Arial"/>
        </w:rPr>
      </w:pPr>
      <w:r w:rsidRPr="00C93E66">
        <w:rPr>
          <w:rStyle w:val="Funotenzeichen"/>
          <w:rFonts w:ascii="Arial" w:hAnsi="Arial" w:cs="Arial"/>
        </w:rPr>
        <w:footnoteRef/>
      </w:r>
      <w:r w:rsidRPr="00C93E66">
        <w:rPr>
          <w:rFonts w:ascii="Arial" w:hAnsi="Arial" w:cs="Arial"/>
        </w:rPr>
        <w:t xml:space="preserve">  </w:t>
      </w:r>
      <w:r w:rsidRPr="00C93E66">
        <w:rPr>
          <w:rFonts w:ascii="Arial" w:hAnsi="Arial" w:cs="Arial"/>
        </w:rPr>
        <w:tab/>
        <w:t xml:space="preserve">Reid 1987: 12; Lipczynski 2009: 8; McConnel &amp; Brue 2008: 400; Neuhoff </w:t>
      </w:r>
      <w:r w:rsidRPr="00C93E66">
        <w:rPr>
          <w:rFonts w:ascii="Arial" w:hAnsi="Arial" w:cs="Arial"/>
          <w:i/>
        </w:rPr>
        <w:t>et al</w:t>
      </w:r>
      <w:r w:rsidRPr="00C93E66">
        <w:rPr>
          <w:rFonts w:ascii="Arial" w:hAnsi="Arial" w:cs="Arial"/>
        </w:rPr>
        <w:t xml:space="preserve"> 2006: 35.</w:t>
      </w:r>
    </w:p>
  </w:footnote>
  <w:footnote w:id="776">
    <w:p w:rsidR="005E7922" w:rsidRPr="00C93E66" w:rsidRDefault="005E7922" w:rsidP="00C93E66">
      <w:pPr>
        <w:pStyle w:val="Funotentext"/>
        <w:spacing w:line="240" w:lineRule="auto"/>
        <w:contextualSpacing/>
        <w:jc w:val="both"/>
        <w:rPr>
          <w:rFonts w:ascii="Arial" w:hAnsi="Arial" w:cs="Arial"/>
        </w:rPr>
      </w:pPr>
      <w:r w:rsidRPr="00C93E66">
        <w:rPr>
          <w:rStyle w:val="Funotenzeichen"/>
          <w:rFonts w:ascii="Arial" w:hAnsi="Arial" w:cs="Arial"/>
        </w:rPr>
        <w:footnoteRef/>
      </w:r>
      <w:r w:rsidRPr="00C93E66">
        <w:rPr>
          <w:rFonts w:ascii="Arial" w:hAnsi="Arial" w:cs="Arial"/>
        </w:rPr>
        <w:t xml:space="preserve">  </w:t>
      </w:r>
      <w:r w:rsidRPr="00C93E66">
        <w:rPr>
          <w:rFonts w:ascii="Arial" w:hAnsi="Arial" w:cs="Arial"/>
        </w:rPr>
        <w:tab/>
        <w:t xml:space="preserve">Reid 1987: 12; Neuhoff </w:t>
      </w:r>
      <w:r w:rsidRPr="00C93E66">
        <w:rPr>
          <w:rFonts w:ascii="Arial" w:hAnsi="Arial" w:cs="Arial"/>
          <w:i/>
        </w:rPr>
        <w:t>et al</w:t>
      </w:r>
      <w:r w:rsidRPr="00C93E66">
        <w:rPr>
          <w:rFonts w:ascii="Arial" w:hAnsi="Arial" w:cs="Arial"/>
        </w:rPr>
        <w:t xml:space="preserve"> 2006: 35.</w:t>
      </w:r>
    </w:p>
  </w:footnote>
  <w:footnote w:id="777">
    <w:p w:rsidR="005E7922" w:rsidRPr="00C93E66" w:rsidRDefault="005E7922" w:rsidP="00C93E66">
      <w:pPr>
        <w:pStyle w:val="Funotentext"/>
        <w:spacing w:line="240" w:lineRule="auto"/>
        <w:contextualSpacing/>
        <w:jc w:val="both"/>
        <w:rPr>
          <w:rFonts w:ascii="Arial" w:hAnsi="Arial" w:cs="Arial"/>
        </w:rPr>
      </w:pPr>
      <w:r w:rsidRPr="00C93E66">
        <w:rPr>
          <w:rStyle w:val="Funotenzeichen"/>
          <w:rFonts w:ascii="Arial" w:hAnsi="Arial" w:cs="Arial"/>
        </w:rPr>
        <w:footnoteRef/>
      </w:r>
      <w:r w:rsidRPr="00C93E66">
        <w:rPr>
          <w:rFonts w:ascii="Arial" w:hAnsi="Arial" w:cs="Arial"/>
        </w:rPr>
        <w:t xml:space="preserve">  </w:t>
      </w:r>
      <w:r w:rsidRPr="00C93E66">
        <w:rPr>
          <w:rFonts w:ascii="Arial" w:hAnsi="Arial" w:cs="Arial"/>
        </w:rPr>
        <w:tab/>
        <w:t xml:space="preserve">Neuhoff </w:t>
      </w:r>
      <w:r w:rsidRPr="00C93E66">
        <w:rPr>
          <w:rFonts w:ascii="Arial" w:hAnsi="Arial" w:cs="Arial"/>
          <w:i/>
        </w:rPr>
        <w:t>et al</w:t>
      </w:r>
      <w:r w:rsidRPr="00C93E66">
        <w:rPr>
          <w:rFonts w:ascii="Arial" w:hAnsi="Arial" w:cs="Arial"/>
        </w:rPr>
        <w:t xml:space="preserve"> 2006: 35.</w:t>
      </w:r>
    </w:p>
  </w:footnote>
  <w:footnote w:id="778">
    <w:p w:rsidR="005E7922" w:rsidRPr="00C93E66" w:rsidRDefault="005E7922" w:rsidP="00C93E66">
      <w:pPr>
        <w:pStyle w:val="Funotentext"/>
        <w:spacing w:line="240" w:lineRule="auto"/>
        <w:contextualSpacing/>
        <w:jc w:val="both"/>
        <w:rPr>
          <w:rFonts w:ascii="Arial" w:hAnsi="Arial" w:cs="Arial"/>
        </w:rPr>
      </w:pPr>
      <w:r w:rsidRPr="00C93E66">
        <w:rPr>
          <w:rStyle w:val="Funotenzeichen"/>
          <w:rFonts w:ascii="Arial" w:hAnsi="Arial" w:cs="Arial"/>
        </w:rPr>
        <w:footnoteRef/>
      </w:r>
      <w:r w:rsidRPr="00C93E66">
        <w:rPr>
          <w:rFonts w:ascii="Arial" w:hAnsi="Arial" w:cs="Arial"/>
        </w:rPr>
        <w:t xml:space="preserve">  </w:t>
      </w:r>
      <w:r w:rsidRPr="00C93E66">
        <w:rPr>
          <w:rFonts w:ascii="Arial" w:hAnsi="Arial" w:cs="Arial"/>
        </w:rPr>
        <w:tab/>
        <w:t xml:space="preserve">McConnel &amp; Brue 2008: 400; Neuhoff </w:t>
      </w:r>
      <w:r w:rsidRPr="00C93E66">
        <w:rPr>
          <w:rFonts w:ascii="Arial" w:hAnsi="Arial" w:cs="Arial"/>
          <w:i/>
        </w:rPr>
        <w:t>et al</w:t>
      </w:r>
      <w:r w:rsidRPr="00C93E66">
        <w:rPr>
          <w:rFonts w:ascii="Arial" w:hAnsi="Arial" w:cs="Arial"/>
        </w:rPr>
        <w:t xml:space="preserve"> 2006: 35.</w:t>
      </w:r>
    </w:p>
  </w:footnote>
  <w:footnote w:id="779">
    <w:p w:rsidR="005E7922" w:rsidRPr="00C93E66" w:rsidRDefault="005E7922" w:rsidP="00C93E66">
      <w:pPr>
        <w:pStyle w:val="Funotentext"/>
        <w:spacing w:line="240" w:lineRule="auto"/>
        <w:contextualSpacing/>
        <w:jc w:val="both"/>
        <w:rPr>
          <w:rFonts w:ascii="Arial" w:hAnsi="Arial" w:cs="Arial"/>
        </w:rPr>
      </w:pPr>
      <w:r w:rsidRPr="00C93E66">
        <w:rPr>
          <w:rStyle w:val="Funotenzeichen"/>
          <w:rFonts w:ascii="Arial" w:hAnsi="Arial" w:cs="Arial"/>
        </w:rPr>
        <w:footnoteRef/>
      </w:r>
      <w:r w:rsidRPr="00C93E66">
        <w:rPr>
          <w:rFonts w:ascii="Arial" w:hAnsi="Arial" w:cs="Arial"/>
        </w:rPr>
        <w:t xml:space="preserve">  </w:t>
      </w:r>
      <w:r w:rsidRPr="00C93E66">
        <w:rPr>
          <w:rFonts w:ascii="Arial" w:hAnsi="Arial" w:cs="Arial"/>
        </w:rPr>
        <w:tab/>
        <w:t xml:space="preserve">Neuhoff </w:t>
      </w:r>
      <w:r w:rsidRPr="00C93E66">
        <w:rPr>
          <w:rFonts w:ascii="Arial" w:hAnsi="Arial" w:cs="Arial"/>
          <w:i/>
        </w:rPr>
        <w:t>et al</w:t>
      </w:r>
      <w:r w:rsidRPr="00C93E66">
        <w:rPr>
          <w:rFonts w:ascii="Arial" w:hAnsi="Arial" w:cs="Arial"/>
        </w:rPr>
        <w:t xml:space="preserve"> 2006: 35.</w:t>
      </w:r>
    </w:p>
  </w:footnote>
  <w:footnote w:id="780">
    <w:p w:rsidR="005E7922" w:rsidRPr="008E2B77" w:rsidRDefault="005E7922" w:rsidP="008E2B77">
      <w:pPr>
        <w:pStyle w:val="Funotentext"/>
        <w:spacing w:line="240" w:lineRule="auto"/>
        <w:contextualSpacing/>
        <w:jc w:val="both"/>
        <w:rPr>
          <w:rFonts w:ascii="Arial" w:hAnsi="Arial" w:cs="Arial"/>
        </w:rPr>
      </w:pPr>
      <w:r w:rsidRPr="008E2B77">
        <w:rPr>
          <w:rStyle w:val="Funotenzeichen"/>
          <w:rFonts w:ascii="Arial" w:hAnsi="Arial" w:cs="Arial"/>
        </w:rPr>
        <w:footnoteRef/>
      </w:r>
      <w:r w:rsidRPr="008E2B77">
        <w:rPr>
          <w:rFonts w:ascii="Arial" w:hAnsi="Arial" w:cs="Arial"/>
        </w:rPr>
        <w:t xml:space="preserve">  </w:t>
      </w:r>
      <w:r w:rsidRPr="008E2B77">
        <w:rPr>
          <w:rFonts w:ascii="Arial" w:hAnsi="Arial" w:cs="Arial"/>
        </w:rPr>
        <w:tab/>
        <w:t>Refer to section 2.5.3.1.</w:t>
      </w:r>
    </w:p>
  </w:footnote>
  <w:footnote w:id="781">
    <w:p w:rsidR="005E7922" w:rsidRPr="008E2B77" w:rsidRDefault="005E7922" w:rsidP="008E2B77">
      <w:pPr>
        <w:pStyle w:val="Funotentext"/>
        <w:spacing w:line="240" w:lineRule="auto"/>
        <w:contextualSpacing/>
        <w:jc w:val="both"/>
        <w:rPr>
          <w:rFonts w:ascii="Arial" w:hAnsi="Arial" w:cs="Arial"/>
        </w:rPr>
      </w:pPr>
      <w:r w:rsidRPr="008E2B77">
        <w:rPr>
          <w:rStyle w:val="Funotenzeichen"/>
          <w:rFonts w:ascii="Arial" w:hAnsi="Arial" w:cs="Arial"/>
        </w:rPr>
        <w:footnoteRef/>
      </w:r>
      <w:r w:rsidRPr="008E2B77">
        <w:rPr>
          <w:rFonts w:ascii="Arial" w:hAnsi="Arial" w:cs="Arial"/>
        </w:rPr>
        <w:t xml:space="preserve">  </w:t>
      </w:r>
      <w:r w:rsidRPr="008E2B77">
        <w:rPr>
          <w:rFonts w:ascii="Arial" w:hAnsi="Arial" w:cs="Arial"/>
        </w:rPr>
        <w:tab/>
        <w:t xml:space="preserve">Wetzstein 2005: 259; Lipczynski 2009: 4; McConnel &amp; Brue 2008: 400; Neuhoff </w:t>
      </w:r>
      <w:r w:rsidRPr="008E2B77">
        <w:rPr>
          <w:rFonts w:ascii="Arial" w:hAnsi="Arial" w:cs="Arial"/>
          <w:i/>
        </w:rPr>
        <w:t>et al</w:t>
      </w:r>
      <w:r w:rsidRPr="008E2B77">
        <w:rPr>
          <w:rFonts w:ascii="Arial" w:hAnsi="Arial" w:cs="Arial"/>
        </w:rPr>
        <w:t xml:space="preserve"> 2006: </w:t>
      </w:r>
      <w:r w:rsidRPr="008E2B77">
        <w:rPr>
          <w:rFonts w:ascii="Arial" w:hAnsi="Arial" w:cs="Arial"/>
        </w:rPr>
        <w:tab/>
        <w:t>36.</w:t>
      </w:r>
    </w:p>
  </w:footnote>
  <w:footnote w:id="782">
    <w:p w:rsidR="005E7922" w:rsidRPr="008E2B77" w:rsidRDefault="005E7922" w:rsidP="008E2B77">
      <w:pPr>
        <w:pStyle w:val="Funotentext"/>
        <w:spacing w:line="240" w:lineRule="auto"/>
        <w:contextualSpacing/>
        <w:jc w:val="both"/>
        <w:rPr>
          <w:rFonts w:ascii="Arial" w:hAnsi="Arial" w:cs="Arial"/>
        </w:rPr>
      </w:pPr>
      <w:r w:rsidRPr="008E2B77">
        <w:rPr>
          <w:rStyle w:val="Funotenzeichen"/>
          <w:rFonts w:ascii="Arial" w:hAnsi="Arial" w:cs="Arial"/>
        </w:rPr>
        <w:footnoteRef/>
      </w:r>
      <w:r w:rsidRPr="008E2B77">
        <w:rPr>
          <w:rFonts w:ascii="Arial" w:hAnsi="Arial" w:cs="Arial"/>
        </w:rPr>
        <w:t xml:space="preserve">  </w:t>
      </w:r>
      <w:r w:rsidRPr="008E2B77">
        <w:rPr>
          <w:rFonts w:ascii="Arial" w:hAnsi="Arial" w:cs="Arial"/>
        </w:rPr>
        <w:tab/>
        <w:t xml:space="preserve">Wetzstein 2005: 259; Lipczynski 2009: 4; McConnel &amp; Brue 2008: 400; Neuhoff </w:t>
      </w:r>
      <w:r w:rsidRPr="008E2B77">
        <w:rPr>
          <w:rFonts w:ascii="Arial" w:hAnsi="Arial" w:cs="Arial"/>
          <w:i/>
        </w:rPr>
        <w:t>et al</w:t>
      </w:r>
      <w:r w:rsidRPr="008E2B77">
        <w:rPr>
          <w:rFonts w:ascii="Arial" w:hAnsi="Arial" w:cs="Arial"/>
        </w:rPr>
        <w:t xml:space="preserve"> 2006: </w:t>
      </w:r>
      <w:r w:rsidRPr="008E2B77">
        <w:rPr>
          <w:rFonts w:ascii="Arial" w:hAnsi="Arial" w:cs="Arial"/>
        </w:rPr>
        <w:tab/>
        <w:t>36.</w:t>
      </w:r>
    </w:p>
  </w:footnote>
  <w:footnote w:id="783">
    <w:p w:rsidR="005E7922" w:rsidRPr="008E2B77" w:rsidRDefault="005E7922" w:rsidP="008E2B77">
      <w:pPr>
        <w:pStyle w:val="Funotentext"/>
        <w:spacing w:line="240" w:lineRule="auto"/>
        <w:contextualSpacing/>
        <w:jc w:val="both"/>
        <w:rPr>
          <w:rFonts w:ascii="Arial" w:hAnsi="Arial" w:cs="Arial"/>
        </w:rPr>
      </w:pPr>
      <w:r w:rsidRPr="008E2B77">
        <w:rPr>
          <w:rStyle w:val="Funotenzeichen"/>
          <w:rFonts w:ascii="Arial" w:hAnsi="Arial" w:cs="Arial"/>
        </w:rPr>
        <w:footnoteRef/>
      </w:r>
      <w:r w:rsidRPr="008E2B77">
        <w:rPr>
          <w:rFonts w:ascii="Arial" w:hAnsi="Arial" w:cs="Arial"/>
        </w:rPr>
        <w:t xml:space="preserve"> </w:t>
      </w:r>
      <w:r w:rsidRPr="008E2B77">
        <w:rPr>
          <w:rFonts w:ascii="Arial" w:hAnsi="Arial" w:cs="Arial"/>
        </w:rPr>
        <w:tab/>
        <w:t xml:space="preserve">Wetzstein 2005: 259; Lipczynski 2009: 4; McConnel &amp; Brue 2008: 400; Neuhoff </w:t>
      </w:r>
      <w:r w:rsidRPr="008E2B77">
        <w:rPr>
          <w:rFonts w:ascii="Arial" w:hAnsi="Arial" w:cs="Arial"/>
          <w:i/>
        </w:rPr>
        <w:t>et al</w:t>
      </w:r>
      <w:r w:rsidRPr="008E2B77">
        <w:rPr>
          <w:rFonts w:ascii="Arial" w:hAnsi="Arial" w:cs="Arial"/>
        </w:rPr>
        <w:t xml:space="preserve"> 2006: </w:t>
      </w:r>
      <w:r w:rsidRPr="008E2B77">
        <w:rPr>
          <w:rFonts w:ascii="Arial" w:hAnsi="Arial" w:cs="Arial"/>
        </w:rPr>
        <w:tab/>
        <w:t>36.</w:t>
      </w:r>
    </w:p>
  </w:footnote>
  <w:footnote w:id="784">
    <w:p w:rsidR="005E7922" w:rsidRPr="008E2B77" w:rsidRDefault="005E7922" w:rsidP="008E2B77">
      <w:pPr>
        <w:pStyle w:val="Funotentext"/>
        <w:spacing w:line="240" w:lineRule="auto"/>
        <w:contextualSpacing/>
        <w:jc w:val="both"/>
        <w:rPr>
          <w:rFonts w:ascii="Arial" w:hAnsi="Arial" w:cs="Arial"/>
        </w:rPr>
      </w:pPr>
      <w:r w:rsidRPr="008E2B77">
        <w:rPr>
          <w:rStyle w:val="Funotenzeichen"/>
          <w:rFonts w:ascii="Arial" w:hAnsi="Arial" w:cs="Arial"/>
        </w:rPr>
        <w:footnoteRef/>
      </w:r>
      <w:r w:rsidRPr="008E2B77">
        <w:rPr>
          <w:rFonts w:ascii="Arial" w:hAnsi="Arial" w:cs="Arial"/>
        </w:rPr>
        <w:t xml:space="preserve"> </w:t>
      </w:r>
      <w:r w:rsidRPr="008E2B77">
        <w:rPr>
          <w:rFonts w:ascii="Arial" w:hAnsi="Arial" w:cs="Arial"/>
        </w:rPr>
        <w:tab/>
        <w:t xml:space="preserve">Wetzstein 2005: 259; Lipczynski 2009: 4; McConnel &amp; Brue 2008: 400; Neuhoff </w:t>
      </w:r>
      <w:r w:rsidRPr="008E2B77">
        <w:rPr>
          <w:rFonts w:ascii="Arial" w:hAnsi="Arial" w:cs="Arial"/>
          <w:i/>
        </w:rPr>
        <w:t>et al</w:t>
      </w:r>
      <w:r w:rsidRPr="008E2B77">
        <w:rPr>
          <w:rFonts w:ascii="Arial" w:hAnsi="Arial" w:cs="Arial"/>
        </w:rPr>
        <w:t xml:space="preserve"> 2006: </w:t>
      </w:r>
      <w:r w:rsidRPr="008E2B77">
        <w:rPr>
          <w:rFonts w:ascii="Arial" w:hAnsi="Arial" w:cs="Arial"/>
        </w:rPr>
        <w:tab/>
        <w:t>36.</w:t>
      </w:r>
    </w:p>
  </w:footnote>
  <w:footnote w:id="785">
    <w:p w:rsidR="005E7922" w:rsidRPr="008E2B77" w:rsidRDefault="005E7922" w:rsidP="008E2B77">
      <w:pPr>
        <w:pStyle w:val="Funotentext"/>
        <w:spacing w:line="240" w:lineRule="auto"/>
        <w:contextualSpacing/>
        <w:jc w:val="both"/>
        <w:rPr>
          <w:rFonts w:ascii="Arial" w:hAnsi="Arial" w:cs="Arial"/>
        </w:rPr>
      </w:pPr>
      <w:r w:rsidRPr="008E2B77">
        <w:rPr>
          <w:rStyle w:val="Funotenzeichen"/>
          <w:rFonts w:ascii="Arial" w:hAnsi="Arial" w:cs="Arial"/>
        </w:rPr>
        <w:footnoteRef/>
      </w:r>
      <w:r w:rsidRPr="008E2B77">
        <w:rPr>
          <w:rFonts w:ascii="Arial" w:hAnsi="Arial" w:cs="Arial"/>
        </w:rPr>
        <w:t xml:space="preserve"> </w:t>
      </w:r>
      <w:r w:rsidRPr="008E2B77">
        <w:rPr>
          <w:rFonts w:ascii="Arial" w:hAnsi="Arial" w:cs="Arial"/>
        </w:rPr>
        <w:tab/>
        <w:t>Lipczynski 2009: 4.</w:t>
      </w:r>
    </w:p>
  </w:footnote>
  <w:footnote w:id="786">
    <w:p w:rsidR="005E7922" w:rsidRPr="008E2B77" w:rsidRDefault="005E7922" w:rsidP="008E2B77">
      <w:pPr>
        <w:pStyle w:val="Funotentext"/>
        <w:spacing w:line="240" w:lineRule="auto"/>
        <w:contextualSpacing/>
        <w:jc w:val="both"/>
        <w:rPr>
          <w:rFonts w:ascii="Arial" w:hAnsi="Arial" w:cs="Arial"/>
        </w:rPr>
      </w:pPr>
      <w:r w:rsidRPr="008E2B77">
        <w:rPr>
          <w:rStyle w:val="Funotenzeichen"/>
          <w:rFonts w:ascii="Arial" w:hAnsi="Arial" w:cs="Arial"/>
        </w:rPr>
        <w:footnoteRef/>
      </w:r>
      <w:r w:rsidRPr="008E2B77">
        <w:rPr>
          <w:rFonts w:ascii="Arial" w:hAnsi="Arial" w:cs="Arial"/>
        </w:rPr>
        <w:t xml:space="preserve"> </w:t>
      </w:r>
      <w:r w:rsidRPr="008E2B77">
        <w:rPr>
          <w:rFonts w:ascii="Arial" w:hAnsi="Arial" w:cs="Arial"/>
        </w:rPr>
        <w:tab/>
        <w:t xml:space="preserve">Wetzstein 2005: 259; Lipczynski 2009: 4; McConnel &amp; Brue 2008: 400; Neuhoff </w:t>
      </w:r>
      <w:r w:rsidRPr="008E2B77">
        <w:rPr>
          <w:rFonts w:ascii="Arial" w:hAnsi="Arial" w:cs="Arial"/>
          <w:i/>
        </w:rPr>
        <w:t>et al</w:t>
      </w:r>
      <w:r w:rsidRPr="008E2B77">
        <w:rPr>
          <w:rFonts w:ascii="Arial" w:hAnsi="Arial" w:cs="Arial"/>
        </w:rPr>
        <w:t xml:space="preserve"> 2006: </w:t>
      </w:r>
      <w:r w:rsidRPr="008E2B77">
        <w:rPr>
          <w:rFonts w:ascii="Arial" w:hAnsi="Arial" w:cs="Arial"/>
        </w:rPr>
        <w:tab/>
        <w:t>36.</w:t>
      </w:r>
    </w:p>
  </w:footnote>
  <w:footnote w:id="787">
    <w:p w:rsidR="005E7922" w:rsidRPr="008E2B77" w:rsidRDefault="005E7922" w:rsidP="008E2B77">
      <w:pPr>
        <w:pStyle w:val="Funotentext"/>
        <w:spacing w:line="240" w:lineRule="auto"/>
        <w:contextualSpacing/>
        <w:jc w:val="both"/>
        <w:rPr>
          <w:rFonts w:ascii="Arial" w:hAnsi="Arial" w:cs="Arial"/>
        </w:rPr>
      </w:pPr>
      <w:r w:rsidRPr="008E2B77">
        <w:rPr>
          <w:rStyle w:val="Funotenzeichen"/>
          <w:rFonts w:ascii="Arial" w:hAnsi="Arial" w:cs="Arial"/>
        </w:rPr>
        <w:footnoteRef/>
      </w:r>
      <w:r w:rsidRPr="008E2B77">
        <w:rPr>
          <w:rFonts w:ascii="Arial" w:hAnsi="Arial" w:cs="Arial"/>
        </w:rPr>
        <w:t xml:space="preserve"> </w:t>
      </w:r>
      <w:r w:rsidRPr="008E2B77">
        <w:rPr>
          <w:rFonts w:ascii="Arial" w:hAnsi="Arial" w:cs="Arial"/>
        </w:rPr>
        <w:tab/>
        <w:t>Lipczynski 2009: 4; McConnel &amp; Brue 2008: 401.</w:t>
      </w:r>
      <w:r>
        <w:rPr>
          <w:rFonts w:ascii="Arial" w:hAnsi="Arial" w:cs="Arial"/>
        </w:rPr>
        <w:t xml:space="preserve"> When demand is perfectly elastic, it implies </w:t>
      </w:r>
      <w:r>
        <w:rPr>
          <w:rFonts w:ascii="Arial" w:hAnsi="Arial" w:cs="Arial"/>
        </w:rPr>
        <w:tab/>
        <w:t xml:space="preserve">that any increase in the price of the product, no </w:t>
      </w:r>
      <w:r>
        <w:rPr>
          <w:rFonts w:ascii="Arial" w:hAnsi="Arial" w:cs="Arial"/>
        </w:rPr>
        <w:tab/>
        <w:t xml:space="preserve">matter how small, will cause the demand for </w:t>
      </w:r>
      <w:r>
        <w:rPr>
          <w:rFonts w:ascii="Arial" w:hAnsi="Arial" w:cs="Arial"/>
        </w:rPr>
        <w:tab/>
        <w:t xml:space="preserve">that product to become zero i.e. a firm will not sell any output at any price higher than the </w:t>
      </w:r>
      <w:r>
        <w:rPr>
          <w:rFonts w:ascii="Arial" w:hAnsi="Arial" w:cs="Arial"/>
        </w:rPr>
        <w:tab/>
        <w:t xml:space="preserve">market price. For more information, see McConnel &amp; Brue 2008: 341. </w:t>
      </w:r>
    </w:p>
  </w:footnote>
  <w:footnote w:id="788">
    <w:p w:rsidR="005E7922" w:rsidRPr="008E2B77" w:rsidRDefault="005E7922" w:rsidP="008E2B77">
      <w:pPr>
        <w:pStyle w:val="Funotentext"/>
        <w:spacing w:line="240" w:lineRule="auto"/>
        <w:contextualSpacing/>
        <w:jc w:val="both"/>
        <w:rPr>
          <w:rFonts w:ascii="Arial" w:hAnsi="Arial" w:cs="Arial"/>
        </w:rPr>
      </w:pPr>
      <w:r w:rsidRPr="008E2B77">
        <w:rPr>
          <w:rStyle w:val="Funotenzeichen"/>
          <w:rFonts w:ascii="Arial" w:hAnsi="Arial" w:cs="Arial"/>
        </w:rPr>
        <w:footnoteRef/>
      </w:r>
      <w:r>
        <w:rPr>
          <w:rFonts w:ascii="Arial" w:hAnsi="Arial" w:cs="Arial"/>
        </w:rPr>
        <w:t xml:space="preserve">  </w:t>
      </w:r>
      <w:r>
        <w:rPr>
          <w:rFonts w:ascii="Arial" w:hAnsi="Arial" w:cs="Arial"/>
        </w:rPr>
        <w:tab/>
        <w:t>Refer to sections 2.4.5 and 3.3.4.1.</w:t>
      </w:r>
      <w:r w:rsidRPr="008E2B77">
        <w:rPr>
          <w:rFonts w:ascii="Arial" w:hAnsi="Arial" w:cs="Arial"/>
        </w:rPr>
        <w:t xml:space="preserve"> </w:t>
      </w:r>
    </w:p>
  </w:footnote>
  <w:footnote w:id="789">
    <w:p w:rsidR="005E7922" w:rsidRPr="008E2B77" w:rsidRDefault="005E7922" w:rsidP="008E2B77">
      <w:pPr>
        <w:pStyle w:val="Funotentext"/>
        <w:spacing w:line="240" w:lineRule="auto"/>
        <w:contextualSpacing/>
        <w:jc w:val="both"/>
        <w:rPr>
          <w:rFonts w:ascii="Arial" w:hAnsi="Arial" w:cs="Arial"/>
        </w:rPr>
      </w:pPr>
      <w:r w:rsidRPr="008E2B77">
        <w:rPr>
          <w:rStyle w:val="Funotenzeichen"/>
          <w:rFonts w:ascii="Arial" w:hAnsi="Arial" w:cs="Arial"/>
        </w:rPr>
        <w:footnoteRef/>
      </w:r>
      <w:r w:rsidRPr="008E2B77">
        <w:rPr>
          <w:rFonts w:ascii="Arial" w:hAnsi="Arial" w:cs="Arial"/>
        </w:rPr>
        <w:t xml:space="preserve">  </w:t>
      </w:r>
      <w:r w:rsidRPr="008E2B77">
        <w:rPr>
          <w:rFonts w:ascii="Arial" w:hAnsi="Arial" w:cs="Arial"/>
        </w:rPr>
        <w:tab/>
        <w:t xml:space="preserve">89/1998. Neuhoff </w:t>
      </w:r>
      <w:r w:rsidRPr="008E2B77">
        <w:rPr>
          <w:rFonts w:ascii="Arial" w:hAnsi="Arial" w:cs="Arial"/>
          <w:i/>
        </w:rPr>
        <w:t>et al</w:t>
      </w:r>
      <w:r w:rsidRPr="008E2B77">
        <w:rPr>
          <w:rFonts w:ascii="Arial" w:hAnsi="Arial" w:cs="Arial"/>
        </w:rPr>
        <w:t xml:space="preserve"> 2006: 36.</w:t>
      </w:r>
    </w:p>
  </w:footnote>
  <w:footnote w:id="790">
    <w:p w:rsidR="005E7922" w:rsidRPr="00AE5DF2" w:rsidRDefault="005E7922" w:rsidP="008E2B77">
      <w:pPr>
        <w:pStyle w:val="Funotentext"/>
        <w:spacing w:line="240" w:lineRule="auto"/>
        <w:contextualSpacing/>
        <w:jc w:val="both"/>
        <w:rPr>
          <w:lang w:val="af-ZA"/>
        </w:rPr>
      </w:pPr>
      <w:r w:rsidRPr="008E2B77">
        <w:rPr>
          <w:rStyle w:val="Funotenzeichen"/>
          <w:rFonts w:ascii="Arial" w:hAnsi="Arial" w:cs="Arial"/>
        </w:rPr>
        <w:footnoteRef/>
      </w:r>
      <w:r w:rsidRPr="008E2B77">
        <w:rPr>
          <w:rFonts w:ascii="Arial" w:hAnsi="Arial" w:cs="Arial"/>
        </w:rPr>
        <w:t xml:space="preserve">  </w:t>
      </w:r>
      <w:r w:rsidRPr="008E2B77">
        <w:rPr>
          <w:rFonts w:ascii="Arial" w:hAnsi="Arial" w:cs="Arial"/>
        </w:rPr>
        <w:tab/>
        <w:t>Competition Act 89/1998: section 2.</w:t>
      </w:r>
    </w:p>
  </w:footnote>
  <w:footnote w:id="791">
    <w:p w:rsidR="005E7922" w:rsidRPr="00565E6C" w:rsidRDefault="005E7922" w:rsidP="00565E6C">
      <w:pPr>
        <w:pStyle w:val="Funotentext"/>
        <w:spacing w:line="240" w:lineRule="auto"/>
        <w:contextualSpacing/>
        <w:jc w:val="both"/>
        <w:rPr>
          <w:rFonts w:ascii="Arial" w:hAnsi="Arial" w:cs="Arial"/>
        </w:rPr>
      </w:pPr>
      <w:r w:rsidRPr="00565E6C">
        <w:rPr>
          <w:rStyle w:val="Funotenzeichen"/>
          <w:rFonts w:ascii="Arial" w:hAnsi="Arial" w:cs="Arial"/>
        </w:rPr>
        <w:footnoteRef/>
      </w:r>
      <w:r w:rsidRPr="00565E6C">
        <w:rPr>
          <w:rFonts w:ascii="Arial" w:hAnsi="Arial" w:cs="Arial"/>
        </w:rPr>
        <w:t xml:space="preserve">  </w:t>
      </w:r>
      <w:r w:rsidRPr="00565E6C">
        <w:rPr>
          <w:rFonts w:ascii="Arial" w:hAnsi="Arial" w:cs="Arial"/>
        </w:rPr>
        <w:tab/>
        <w:t xml:space="preserve">Neuhoff </w:t>
      </w:r>
      <w:r w:rsidRPr="00565E6C">
        <w:rPr>
          <w:rFonts w:ascii="Arial" w:hAnsi="Arial" w:cs="Arial"/>
          <w:i/>
        </w:rPr>
        <w:t>et al</w:t>
      </w:r>
      <w:r w:rsidRPr="00565E6C">
        <w:rPr>
          <w:rFonts w:ascii="Arial" w:hAnsi="Arial" w:cs="Arial"/>
        </w:rPr>
        <w:t xml:space="preserve"> 2006: 36.</w:t>
      </w:r>
    </w:p>
  </w:footnote>
  <w:footnote w:id="792">
    <w:p w:rsidR="005E7922" w:rsidRPr="00565E6C" w:rsidRDefault="005E7922" w:rsidP="00565E6C">
      <w:pPr>
        <w:pStyle w:val="Funotentext"/>
        <w:spacing w:line="240" w:lineRule="auto"/>
        <w:contextualSpacing/>
        <w:jc w:val="both"/>
        <w:rPr>
          <w:rFonts w:ascii="Arial" w:hAnsi="Arial" w:cs="Arial"/>
        </w:rPr>
      </w:pPr>
      <w:r w:rsidRPr="00565E6C">
        <w:rPr>
          <w:rStyle w:val="Funotenzeichen"/>
          <w:rFonts w:ascii="Arial" w:hAnsi="Arial" w:cs="Arial"/>
        </w:rPr>
        <w:footnoteRef/>
      </w:r>
      <w:r w:rsidRPr="00565E6C">
        <w:rPr>
          <w:rFonts w:ascii="Arial" w:hAnsi="Arial" w:cs="Arial"/>
        </w:rPr>
        <w:t xml:space="preserve">  </w:t>
      </w:r>
      <w:r w:rsidRPr="00565E6C">
        <w:rPr>
          <w:rFonts w:ascii="Arial" w:hAnsi="Arial" w:cs="Arial"/>
        </w:rPr>
        <w:tab/>
        <w:t xml:space="preserve">Neuhoff </w:t>
      </w:r>
      <w:r w:rsidRPr="00565E6C">
        <w:rPr>
          <w:rFonts w:ascii="Arial" w:hAnsi="Arial" w:cs="Arial"/>
          <w:i/>
        </w:rPr>
        <w:t>et al</w:t>
      </w:r>
      <w:r w:rsidRPr="00565E6C">
        <w:rPr>
          <w:rFonts w:ascii="Arial" w:hAnsi="Arial" w:cs="Arial"/>
        </w:rPr>
        <w:t xml:space="preserve"> 2006: 36.</w:t>
      </w:r>
    </w:p>
  </w:footnote>
  <w:footnote w:id="793">
    <w:p w:rsidR="005E7922" w:rsidRPr="00565E6C" w:rsidRDefault="005E7922" w:rsidP="00565E6C">
      <w:pPr>
        <w:pStyle w:val="Funotentext"/>
        <w:spacing w:line="240" w:lineRule="auto"/>
        <w:contextualSpacing/>
        <w:jc w:val="both"/>
        <w:rPr>
          <w:rFonts w:ascii="Arial" w:hAnsi="Arial" w:cs="Arial"/>
        </w:rPr>
      </w:pPr>
      <w:r w:rsidRPr="00565E6C">
        <w:rPr>
          <w:rStyle w:val="Funotenzeichen"/>
          <w:rFonts w:ascii="Arial" w:hAnsi="Arial" w:cs="Arial"/>
        </w:rPr>
        <w:footnoteRef/>
      </w:r>
      <w:r w:rsidRPr="00565E6C">
        <w:rPr>
          <w:rFonts w:ascii="Arial" w:hAnsi="Arial" w:cs="Arial"/>
        </w:rPr>
        <w:t xml:space="preserve">  </w:t>
      </w:r>
      <w:r w:rsidRPr="00565E6C">
        <w:rPr>
          <w:rFonts w:ascii="Arial" w:hAnsi="Arial" w:cs="Arial"/>
        </w:rPr>
        <w:tab/>
        <w:t xml:space="preserve">Neuhoff </w:t>
      </w:r>
      <w:r w:rsidRPr="00565E6C">
        <w:rPr>
          <w:rFonts w:ascii="Arial" w:hAnsi="Arial" w:cs="Arial"/>
          <w:i/>
        </w:rPr>
        <w:t>et al</w:t>
      </w:r>
      <w:r w:rsidRPr="00565E6C">
        <w:rPr>
          <w:rFonts w:ascii="Arial" w:hAnsi="Arial" w:cs="Arial"/>
        </w:rPr>
        <w:t xml:space="preserve"> 2006: 35-36; McConnel &amp; Brue 400; Wetzstein 259.</w:t>
      </w:r>
    </w:p>
  </w:footnote>
  <w:footnote w:id="794">
    <w:p w:rsidR="005E7922" w:rsidRPr="00565E6C" w:rsidRDefault="005E7922" w:rsidP="00565E6C">
      <w:pPr>
        <w:pStyle w:val="Funotentext"/>
        <w:spacing w:line="240" w:lineRule="auto"/>
        <w:contextualSpacing/>
        <w:jc w:val="both"/>
        <w:rPr>
          <w:rFonts w:ascii="Arial" w:hAnsi="Arial" w:cs="Arial"/>
        </w:rPr>
      </w:pPr>
      <w:r w:rsidRPr="00565E6C">
        <w:rPr>
          <w:rStyle w:val="Funotenzeichen"/>
          <w:rFonts w:ascii="Arial" w:hAnsi="Arial" w:cs="Arial"/>
        </w:rPr>
        <w:footnoteRef/>
      </w:r>
      <w:r w:rsidRPr="00565E6C">
        <w:rPr>
          <w:rFonts w:ascii="Arial" w:hAnsi="Arial" w:cs="Arial"/>
        </w:rPr>
        <w:t xml:space="preserve">  </w:t>
      </w:r>
      <w:r w:rsidRPr="00565E6C">
        <w:rPr>
          <w:rFonts w:ascii="Arial" w:hAnsi="Arial" w:cs="Arial"/>
        </w:rPr>
        <w:tab/>
        <w:t xml:space="preserve">Martin 2005: 15; Chabane </w:t>
      </w:r>
      <w:r w:rsidRPr="00565E6C">
        <w:rPr>
          <w:rFonts w:ascii="Arial" w:hAnsi="Arial" w:cs="Arial"/>
          <w:i/>
        </w:rPr>
        <w:t>et al</w:t>
      </w:r>
      <w:r w:rsidRPr="00565E6C">
        <w:rPr>
          <w:rFonts w:ascii="Arial" w:hAnsi="Arial" w:cs="Arial"/>
        </w:rPr>
        <w:t xml:space="preserve">  2003: 2; Witztum 2010: 157; Roberts 2008: 2; Reekie 2000: </w:t>
      </w:r>
      <w:r w:rsidRPr="00565E6C">
        <w:rPr>
          <w:rFonts w:ascii="Arial" w:hAnsi="Arial" w:cs="Arial"/>
        </w:rPr>
        <w:tab/>
        <w:t xml:space="preserve">11; Neuhoff </w:t>
      </w:r>
      <w:r w:rsidRPr="00565E6C">
        <w:rPr>
          <w:rFonts w:ascii="Arial" w:hAnsi="Arial" w:cs="Arial"/>
          <w:i/>
        </w:rPr>
        <w:t>et al</w:t>
      </w:r>
      <w:r w:rsidRPr="00565E6C">
        <w:rPr>
          <w:rFonts w:ascii="Arial" w:hAnsi="Arial" w:cs="Arial"/>
        </w:rPr>
        <w:t xml:space="preserve"> 2006: 36; Fourie 2006: 335; McConnell &amp; Brue 2008: 400; Wetzstein 2005: </w:t>
      </w:r>
      <w:r w:rsidRPr="00565E6C">
        <w:rPr>
          <w:rFonts w:ascii="Arial" w:hAnsi="Arial" w:cs="Arial"/>
        </w:rPr>
        <w:tab/>
        <w:t>258-259.</w:t>
      </w:r>
    </w:p>
  </w:footnote>
  <w:footnote w:id="795">
    <w:p w:rsidR="005E7922" w:rsidRPr="00565E6C" w:rsidRDefault="005E7922" w:rsidP="00565E6C">
      <w:pPr>
        <w:pStyle w:val="Funotentext"/>
        <w:spacing w:line="240" w:lineRule="auto"/>
        <w:contextualSpacing/>
        <w:jc w:val="both"/>
        <w:rPr>
          <w:rFonts w:ascii="Arial" w:hAnsi="Arial" w:cs="Arial"/>
        </w:rPr>
      </w:pPr>
      <w:r w:rsidRPr="00565E6C">
        <w:rPr>
          <w:rStyle w:val="Funotenzeichen"/>
          <w:rFonts w:ascii="Arial" w:hAnsi="Arial" w:cs="Arial"/>
        </w:rPr>
        <w:footnoteRef/>
      </w:r>
      <w:r w:rsidRPr="00565E6C">
        <w:rPr>
          <w:rFonts w:ascii="Arial" w:hAnsi="Arial" w:cs="Arial"/>
        </w:rPr>
        <w:t xml:space="preserve">  </w:t>
      </w:r>
      <w:r w:rsidRPr="00565E6C">
        <w:rPr>
          <w:rFonts w:ascii="Arial" w:hAnsi="Arial" w:cs="Arial"/>
        </w:rPr>
        <w:tab/>
        <w:t xml:space="preserve">Reid 1987: 130; Wish 1993: 3; Wetzstein 2005: 273; McConnel &amp; Brue 400; Lipczynski 2009: </w:t>
      </w:r>
      <w:r w:rsidRPr="00565E6C">
        <w:rPr>
          <w:rFonts w:ascii="Arial" w:hAnsi="Arial" w:cs="Arial"/>
        </w:rPr>
        <w:tab/>
        <w:t xml:space="preserve">60; Neuhoff </w:t>
      </w:r>
      <w:r w:rsidRPr="00565E6C">
        <w:rPr>
          <w:rFonts w:ascii="Arial" w:hAnsi="Arial" w:cs="Arial"/>
          <w:i/>
        </w:rPr>
        <w:t>et al</w:t>
      </w:r>
      <w:r w:rsidRPr="00565E6C">
        <w:rPr>
          <w:rFonts w:ascii="Arial" w:hAnsi="Arial" w:cs="Arial"/>
        </w:rPr>
        <w:t xml:space="preserve"> 2006: 36.</w:t>
      </w:r>
    </w:p>
  </w:footnote>
  <w:footnote w:id="796">
    <w:p w:rsidR="005E7922" w:rsidRPr="00565E6C" w:rsidRDefault="005E7922" w:rsidP="00565E6C">
      <w:pPr>
        <w:pStyle w:val="Funotentext"/>
        <w:spacing w:line="240" w:lineRule="auto"/>
        <w:contextualSpacing/>
        <w:jc w:val="both"/>
        <w:rPr>
          <w:rFonts w:ascii="Arial" w:hAnsi="Arial" w:cs="Arial"/>
        </w:rPr>
      </w:pPr>
      <w:r w:rsidRPr="00565E6C">
        <w:rPr>
          <w:rStyle w:val="Funotenzeichen"/>
          <w:rFonts w:ascii="Arial" w:hAnsi="Arial" w:cs="Arial"/>
        </w:rPr>
        <w:footnoteRef/>
      </w:r>
      <w:r w:rsidRPr="00565E6C">
        <w:rPr>
          <w:rFonts w:ascii="Arial" w:hAnsi="Arial" w:cs="Arial"/>
        </w:rPr>
        <w:t xml:space="preserve">  </w:t>
      </w:r>
      <w:r w:rsidRPr="00565E6C">
        <w:rPr>
          <w:rFonts w:ascii="Arial" w:hAnsi="Arial" w:cs="Arial"/>
        </w:rPr>
        <w:tab/>
        <w:t xml:space="preserve">Wetzstein 2005: 273; McConnel &amp; Brue 400; Lipczynski 2009: 60; Neuhoff </w:t>
      </w:r>
      <w:r w:rsidRPr="00565E6C">
        <w:rPr>
          <w:rFonts w:ascii="Arial" w:hAnsi="Arial" w:cs="Arial"/>
          <w:i/>
        </w:rPr>
        <w:t>et al</w:t>
      </w:r>
      <w:r w:rsidRPr="00565E6C">
        <w:rPr>
          <w:rFonts w:ascii="Arial" w:hAnsi="Arial" w:cs="Arial"/>
        </w:rPr>
        <w:t xml:space="preserve"> 2006: 36.</w:t>
      </w:r>
    </w:p>
  </w:footnote>
  <w:footnote w:id="797">
    <w:p w:rsidR="005E7922" w:rsidRPr="00565E6C" w:rsidRDefault="005E7922" w:rsidP="00565E6C">
      <w:pPr>
        <w:pStyle w:val="Funotentext"/>
        <w:spacing w:line="240" w:lineRule="auto"/>
        <w:contextualSpacing/>
        <w:jc w:val="both"/>
        <w:rPr>
          <w:rFonts w:ascii="Arial" w:hAnsi="Arial" w:cs="Arial"/>
        </w:rPr>
      </w:pPr>
      <w:r w:rsidRPr="00565E6C">
        <w:rPr>
          <w:rStyle w:val="Funotenzeichen"/>
          <w:rFonts w:ascii="Arial" w:hAnsi="Arial" w:cs="Arial"/>
        </w:rPr>
        <w:footnoteRef/>
      </w:r>
      <w:r w:rsidRPr="00565E6C">
        <w:rPr>
          <w:rFonts w:ascii="Arial" w:hAnsi="Arial" w:cs="Arial"/>
        </w:rPr>
        <w:t xml:space="preserve">  </w:t>
      </w:r>
      <w:r w:rsidRPr="00565E6C">
        <w:rPr>
          <w:rFonts w:ascii="Arial" w:hAnsi="Arial" w:cs="Arial"/>
        </w:rPr>
        <w:tab/>
        <w:t xml:space="preserve">Wetzstein 2005: 273; McConnel &amp; Brue 400; Lipczynski 2009: 60; Neuhoff </w:t>
      </w:r>
      <w:r w:rsidRPr="00565E6C">
        <w:rPr>
          <w:rFonts w:ascii="Arial" w:hAnsi="Arial" w:cs="Arial"/>
          <w:i/>
        </w:rPr>
        <w:t>et al</w:t>
      </w:r>
      <w:r w:rsidRPr="00565E6C">
        <w:rPr>
          <w:rFonts w:ascii="Arial" w:hAnsi="Arial" w:cs="Arial"/>
        </w:rPr>
        <w:t xml:space="preserve"> 2006: 36.</w:t>
      </w:r>
    </w:p>
  </w:footnote>
  <w:footnote w:id="798">
    <w:p w:rsidR="005E7922" w:rsidRPr="00565E6C" w:rsidRDefault="005E7922" w:rsidP="00565E6C">
      <w:pPr>
        <w:pStyle w:val="Funotentext"/>
        <w:spacing w:line="240" w:lineRule="auto"/>
        <w:contextualSpacing/>
        <w:jc w:val="both"/>
        <w:rPr>
          <w:rFonts w:ascii="Arial" w:hAnsi="Arial" w:cs="Arial"/>
        </w:rPr>
      </w:pPr>
      <w:r w:rsidRPr="00565E6C">
        <w:rPr>
          <w:rStyle w:val="Funotenzeichen"/>
          <w:rFonts w:ascii="Arial" w:hAnsi="Arial" w:cs="Arial"/>
        </w:rPr>
        <w:footnoteRef/>
      </w:r>
      <w:r w:rsidRPr="00565E6C">
        <w:rPr>
          <w:rFonts w:ascii="Arial" w:hAnsi="Arial" w:cs="Arial"/>
        </w:rPr>
        <w:t xml:space="preserve"> </w:t>
      </w:r>
      <w:r w:rsidRPr="00565E6C">
        <w:rPr>
          <w:rFonts w:ascii="Arial" w:hAnsi="Arial" w:cs="Arial"/>
        </w:rPr>
        <w:tab/>
        <w:t xml:space="preserve">Wetzstein 2005: 273; McConnel &amp; Brue 400; Lipczynski 2009: 60; Neuhoff </w:t>
      </w:r>
      <w:r w:rsidRPr="00565E6C">
        <w:rPr>
          <w:rFonts w:ascii="Arial" w:hAnsi="Arial" w:cs="Arial"/>
          <w:i/>
        </w:rPr>
        <w:t>et al</w:t>
      </w:r>
      <w:r w:rsidRPr="00565E6C">
        <w:rPr>
          <w:rFonts w:ascii="Arial" w:hAnsi="Arial" w:cs="Arial"/>
        </w:rPr>
        <w:t xml:space="preserve"> 2006: 36.</w:t>
      </w:r>
    </w:p>
  </w:footnote>
  <w:footnote w:id="799">
    <w:p w:rsidR="005E7922" w:rsidRPr="00565E6C" w:rsidRDefault="005E7922" w:rsidP="00565E6C">
      <w:pPr>
        <w:pStyle w:val="Funotentext"/>
        <w:spacing w:line="240" w:lineRule="auto"/>
        <w:contextualSpacing/>
        <w:jc w:val="both"/>
        <w:rPr>
          <w:rFonts w:ascii="Arial" w:hAnsi="Arial" w:cs="Arial"/>
        </w:rPr>
      </w:pPr>
      <w:r w:rsidRPr="00565E6C">
        <w:rPr>
          <w:rStyle w:val="Funotenzeichen"/>
          <w:rFonts w:ascii="Arial" w:hAnsi="Arial" w:cs="Arial"/>
        </w:rPr>
        <w:footnoteRef/>
      </w:r>
      <w:r w:rsidRPr="00565E6C">
        <w:rPr>
          <w:rFonts w:ascii="Arial" w:hAnsi="Arial" w:cs="Arial"/>
        </w:rPr>
        <w:t xml:space="preserve">  </w:t>
      </w:r>
      <w:r w:rsidRPr="00565E6C">
        <w:rPr>
          <w:rFonts w:ascii="Arial" w:hAnsi="Arial" w:cs="Arial"/>
        </w:rPr>
        <w:tab/>
        <w:t xml:space="preserve">Walker 2006: 4; Wish 1993: 3; Neuhoff </w:t>
      </w:r>
      <w:r w:rsidRPr="00565E6C">
        <w:rPr>
          <w:rFonts w:ascii="Arial" w:hAnsi="Arial" w:cs="Arial"/>
          <w:i/>
        </w:rPr>
        <w:t>et al</w:t>
      </w:r>
      <w:r w:rsidRPr="00565E6C">
        <w:rPr>
          <w:rFonts w:ascii="Arial" w:hAnsi="Arial" w:cs="Arial"/>
        </w:rPr>
        <w:t xml:space="preserve"> 2006: 37.</w:t>
      </w:r>
    </w:p>
  </w:footnote>
  <w:footnote w:id="800">
    <w:p w:rsidR="005E7922" w:rsidRPr="00565E6C" w:rsidRDefault="005E7922" w:rsidP="00565E6C">
      <w:pPr>
        <w:pStyle w:val="Funotentext"/>
        <w:spacing w:line="240" w:lineRule="auto"/>
        <w:contextualSpacing/>
        <w:jc w:val="both"/>
        <w:rPr>
          <w:rFonts w:ascii="Arial" w:hAnsi="Arial" w:cs="Arial"/>
        </w:rPr>
      </w:pPr>
      <w:r w:rsidRPr="00565E6C">
        <w:rPr>
          <w:rStyle w:val="Funotenzeichen"/>
          <w:rFonts w:ascii="Arial" w:hAnsi="Arial" w:cs="Arial"/>
        </w:rPr>
        <w:footnoteRef/>
      </w:r>
      <w:r w:rsidRPr="00565E6C">
        <w:rPr>
          <w:rFonts w:ascii="Arial" w:hAnsi="Arial" w:cs="Arial"/>
        </w:rPr>
        <w:t xml:space="preserve">  </w:t>
      </w:r>
      <w:r w:rsidRPr="00565E6C">
        <w:rPr>
          <w:rFonts w:ascii="Arial" w:hAnsi="Arial" w:cs="Arial"/>
        </w:rPr>
        <w:tab/>
        <w:t xml:space="preserve">Wish 1993: 3; Lipczynski 2009: 61; Wetzstein 2005: 378; McConnel &amp; Brue 2008: 446-448; </w:t>
      </w:r>
      <w:r w:rsidRPr="00565E6C">
        <w:rPr>
          <w:rFonts w:ascii="Arial" w:hAnsi="Arial" w:cs="Arial"/>
        </w:rPr>
        <w:tab/>
        <w:t xml:space="preserve">Neuhoff </w:t>
      </w:r>
      <w:r w:rsidRPr="00565E6C">
        <w:rPr>
          <w:rFonts w:ascii="Arial" w:hAnsi="Arial" w:cs="Arial"/>
          <w:i/>
        </w:rPr>
        <w:t>et al</w:t>
      </w:r>
      <w:r w:rsidRPr="00565E6C">
        <w:rPr>
          <w:rFonts w:ascii="Arial" w:hAnsi="Arial" w:cs="Arial"/>
        </w:rPr>
        <w:t xml:space="preserve"> 2006: 37.</w:t>
      </w:r>
    </w:p>
  </w:footnote>
  <w:footnote w:id="801">
    <w:p w:rsidR="005E7922" w:rsidRPr="00565E6C" w:rsidRDefault="005E7922" w:rsidP="00565E6C">
      <w:pPr>
        <w:pStyle w:val="Funotentext"/>
        <w:spacing w:line="240" w:lineRule="auto"/>
        <w:contextualSpacing/>
        <w:jc w:val="both"/>
      </w:pPr>
      <w:r w:rsidRPr="00565E6C">
        <w:rPr>
          <w:rStyle w:val="Funotenzeichen"/>
          <w:rFonts w:ascii="Arial" w:hAnsi="Arial" w:cs="Arial"/>
        </w:rPr>
        <w:footnoteRef/>
      </w:r>
      <w:r w:rsidRPr="00565E6C">
        <w:rPr>
          <w:rFonts w:ascii="Arial" w:hAnsi="Arial" w:cs="Arial"/>
        </w:rPr>
        <w:t xml:space="preserve">  </w:t>
      </w:r>
      <w:r w:rsidRPr="00565E6C">
        <w:rPr>
          <w:rFonts w:ascii="Arial" w:hAnsi="Arial" w:cs="Arial"/>
        </w:rPr>
        <w:tab/>
        <w:t xml:space="preserve">Wish 1993: 3; Reekie 1989: 21; Lipczynski 2009: 61; Wetzstein 2005: 378; McConnel &amp; Brue </w:t>
      </w:r>
      <w:r w:rsidRPr="00565E6C">
        <w:rPr>
          <w:rFonts w:ascii="Arial" w:hAnsi="Arial" w:cs="Arial"/>
        </w:rPr>
        <w:tab/>
        <w:t xml:space="preserve">2008: 446-448; </w:t>
      </w:r>
      <w:r w:rsidRPr="00565E6C">
        <w:rPr>
          <w:rFonts w:ascii="Arial" w:hAnsi="Arial" w:cs="Arial"/>
        </w:rPr>
        <w:tab/>
        <w:t xml:space="preserve">Neuhoff </w:t>
      </w:r>
      <w:r w:rsidRPr="00565E6C">
        <w:rPr>
          <w:rFonts w:ascii="Arial" w:hAnsi="Arial" w:cs="Arial"/>
          <w:i/>
        </w:rPr>
        <w:t>et al</w:t>
      </w:r>
      <w:r w:rsidRPr="00565E6C">
        <w:rPr>
          <w:rFonts w:ascii="Arial" w:hAnsi="Arial" w:cs="Arial"/>
        </w:rPr>
        <w:t xml:space="preserve">  2006: 37.</w:t>
      </w:r>
    </w:p>
  </w:footnote>
  <w:footnote w:id="802">
    <w:p w:rsidR="005E7922" w:rsidRPr="00565E6C" w:rsidRDefault="005E7922" w:rsidP="00565E6C">
      <w:pPr>
        <w:pStyle w:val="Funotentext"/>
        <w:spacing w:line="240" w:lineRule="auto"/>
        <w:contextualSpacing/>
        <w:jc w:val="both"/>
        <w:rPr>
          <w:rFonts w:ascii="Arial" w:hAnsi="Arial" w:cs="Arial"/>
        </w:rPr>
      </w:pPr>
      <w:r w:rsidRPr="00565E6C">
        <w:rPr>
          <w:rStyle w:val="Funotenzeichen"/>
          <w:rFonts w:ascii="Arial" w:hAnsi="Arial" w:cs="Arial"/>
        </w:rPr>
        <w:footnoteRef/>
      </w:r>
      <w:r w:rsidRPr="00565E6C">
        <w:rPr>
          <w:rFonts w:ascii="Arial" w:hAnsi="Arial" w:cs="Arial"/>
        </w:rPr>
        <w:t xml:space="preserve">  </w:t>
      </w:r>
      <w:r w:rsidRPr="00565E6C">
        <w:rPr>
          <w:rFonts w:ascii="Arial" w:hAnsi="Arial" w:cs="Arial"/>
        </w:rPr>
        <w:tab/>
        <w:t xml:space="preserve">Walker 2006: 4-5; Wish 1993: 3; Reekie 1989: 21; Lipczynski 2009: 61; Wetzstein 2005: 378; </w:t>
      </w:r>
      <w:r w:rsidRPr="00565E6C">
        <w:rPr>
          <w:rFonts w:ascii="Arial" w:hAnsi="Arial" w:cs="Arial"/>
        </w:rPr>
        <w:tab/>
        <w:t xml:space="preserve">McConnel &amp; Brue 2008: 446-448; Neuhoff </w:t>
      </w:r>
      <w:r w:rsidRPr="00565E6C">
        <w:rPr>
          <w:rFonts w:ascii="Arial" w:hAnsi="Arial" w:cs="Arial"/>
          <w:i/>
        </w:rPr>
        <w:t>et al</w:t>
      </w:r>
      <w:r w:rsidRPr="00565E6C">
        <w:rPr>
          <w:rFonts w:ascii="Arial" w:hAnsi="Arial" w:cs="Arial"/>
        </w:rPr>
        <w:t xml:space="preserve">  2006: 37.</w:t>
      </w:r>
    </w:p>
  </w:footnote>
  <w:footnote w:id="803">
    <w:p w:rsidR="005E7922" w:rsidRPr="00E40021" w:rsidRDefault="005E7922" w:rsidP="00E40021">
      <w:pPr>
        <w:pStyle w:val="Funotentext"/>
        <w:spacing w:line="240" w:lineRule="auto"/>
        <w:contextualSpacing/>
        <w:jc w:val="both"/>
        <w:rPr>
          <w:rFonts w:ascii="Arial" w:hAnsi="Arial" w:cs="Arial"/>
        </w:rPr>
      </w:pPr>
      <w:r w:rsidRPr="00E40021">
        <w:rPr>
          <w:rStyle w:val="Funotenzeichen"/>
          <w:rFonts w:ascii="Arial" w:hAnsi="Arial" w:cs="Arial"/>
        </w:rPr>
        <w:footnoteRef/>
      </w:r>
      <w:r w:rsidRPr="00E40021">
        <w:rPr>
          <w:rFonts w:ascii="Arial" w:hAnsi="Arial" w:cs="Arial"/>
        </w:rPr>
        <w:t xml:space="preserve">  </w:t>
      </w:r>
      <w:r w:rsidRPr="00E40021">
        <w:rPr>
          <w:rFonts w:ascii="Arial" w:hAnsi="Arial" w:cs="Arial"/>
        </w:rPr>
        <w:tab/>
        <w:t xml:space="preserve">Reid 1987: 131; Walker 20006: 4-6; Wish 1993: 3; Reekie 1989: 21; Wetzstein 2005: 387. </w:t>
      </w:r>
    </w:p>
  </w:footnote>
  <w:footnote w:id="804">
    <w:p w:rsidR="005E7922" w:rsidRPr="00E40021" w:rsidRDefault="005E7922" w:rsidP="00E40021">
      <w:pPr>
        <w:pStyle w:val="Funotentext"/>
        <w:spacing w:line="240" w:lineRule="auto"/>
        <w:contextualSpacing/>
        <w:jc w:val="both"/>
        <w:rPr>
          <w:rFonts w:ascii="Arial" w:hAnsi="Arial" w:cs="Arial"/>
        </w:rPr>
      </w:pPr>
      <w:r w:rsidRPr="00E40021">
        <w:rPr>
          <w:rStyle w:val="Funotenzeichen"/>
          <w:rFonts w:ascii="Arial" w:hAnsi="Arial" w:cs="Arial"/>
        </w:rPr>
        <w:footnoteRef/>
      </w:r>
      <w:r w:rsidRPr="00E40021">
        <w:rPr>
          <w:rFonts w:ascii="Arial" w:hAnsi="Arial" w:cs="Arial"/>
        </w:rPr>
        <w:t xml:space="preserve">  </w:t>
      </w:r>
      <w:r w:rsidRPr="00E40021">
        <w:rPr>
          <w:rFonts w:ascii="Arial" w:hAnsi="Arial" w:cs="Arial"/>
        </w:rPr>
        <w:tab/>
        <w:t xml:space="preserve">Inferred from Wish 1993: 3; Reekie 1989: 21; Lipczynski 2009: 61; Wetzstein 2005: 378; </w:t>
      </w:r>
      <w:r w:rsidRPr="00E40021">
        <w:rPr>
          <w:rFonts w:ascii="Arial" w:hAnsi="Arial" w:cs="Arial"/>
        </w:rPr>
        <w:tab/>
        <w:t xml:space="preserve">McConnel &amp; Brue 2008: 449-450; Neuhoff </w:t>
      </w:r>
      <w:r w:rsidRPr="00E40021">
        <w:rPr>
          <w:rFonts w:ascii="Arial" w:hAnsi="Arial" w:cs="Arial"/>
          <w:i/>
        </w:rPr>
        <w:t>et al</w:t>
      </w:r>
      <w:r w:rsidRPr="00E40021">
        <w:rPr>
          <w:rFonts w:ascii="Arial" w:hAnsi="Arial" w:cs="Arial"/>
        </w:rPr>
        <w:t xml:space="preserve">  2006: 37.</w:t>
      </w:r>
    </w:p>
  </w:footnote>
  <w:footnote w:id="805">
    <w:p w:rsidR="005E7922" w:rsidRPr="00E40021" w:rsidRDefault="005E7922" w:rsidP="00E40021">
      <w:pPr>
        <w:pStyle w:val="Funotentext"/>
        <w:spacing w:line="240" w:lineRule="auto"/>
        <w:contextualSpacing/>
        <w:jc w:val="both"/>
        <w:rPr>
          <w:rFonts w:ascii="Arial" w:hAnsi="Arial" w:cs="Arial"/>
        </w:rPr>
      </w:pPr>
      <w:r w:rsidRPr="00E40021">
        <w:rPr>
          <w:rStyle w:val="Funotenzeichen"/>
          <w:rFonts w:ascii="Arial" w:hAnsi="Arial" w:cs="Arial"/>
        </w:rPr>
        <w:footnoteRef/>
      </w:r>
      <w:r w:rsidRPr="00E40021">
        <w:rPr>
          <w:rFonts w:ascii="Arial" w:hAnsi="Arial" w:cs="Arial"/>
        </w:rPr>
        <w:t xml:space="preserve">  </w:t>
      </w:r>
      <w:r w:rsidRPr="00E40021">
        <w:rPr>
          <w:rFonts w:ascii="Arial" w:hAnsi="Arial" w:cs="Arial"/>
        </w:rPr>
        <w:tab/>
        <w:t xml:space="preserve">Inferred from Wish 1993: 3; Reekie 1989: 21; Lipczynski 2009: 61; Wetzstein 2005: 378; </w:t>
      </w:r>
      <w:r w:rsidRPr="00E40021">
        <w:rPr>
          <w:rFonts w:ascii="Arial" w:hAnsi="Arial" w:cs="Arial"/>
        </w:rPr>
        <w:tab/>
        <w:t xml:space="preserve">McConnel &amp; Brue 2008: 449-450; Neuhoff </w:t>
      </w:r>
      <w:r w:rsidRPr="00E40021">
        <w:rPr>
          <w:rFonts w:ascii="Arial" w:hAnsi="Arial" w:cs="Arial"/>
          <w:i/>
        </w:rPr>
        <w:t>et al</w:t>
      </w:r>
      <w:r w:rsidRPr="00E40021">
        <w:rPr>
          <w:rFonts w:ascii="Arial" w:hAnsi="Arial" w:cs="Arial"/>
        </w:rPr>
        <w:t xml:space="preserve">  2006: 37.</w:t>
      </w:r>
    </w:p>
  </w:footnote>
  <w:footnote w:id="806">
    <w:p w:rsidR="005E7922" w:rsidRPr="00E40021" w:rsidRDefault="005E7922" w:rsidP="00E40021">
      <w:pPr>
        <w:pStyle w:val="Funotentext"/>
        <w:spacing w:line="240" w:lineRule="auto"/>
        <w:contextualSpacing/>
        <w:jc w:val="both"/>
        <w:rPr>
          <w:rFonts w:ascii="Arial" w:hAnsi="Arial" w:cs="Arial"/>
        </w:rPr>
      </w:pPr>
      <w:r w:rsidRPr="00E40021">
        <w:rPr>
          <w:rStyle w:val="Funotenzeichen"/>
          <w:rFonts w:ascii="Arial" w:hAnsi="Arial" w:cs="Arial"/>
        </w:rPr>
        <w:footnoteRef/>
      </w:r>
      <w:r w:rsidRPr="00E40021">
        <w:rPr>
          <w:rFonts w:ascii="Arial" w:hAnsi="Arial" w:cs="Arial"/>
        </w:rPr>
        <w:t xml:space="preserve">  </w:t>
      </w:r>
      <w:r w:rsidRPr="00E40021">
        <w:rPr>
          <w:rFonts w:ascii="Arial" w:hAnsi="Arial" w:cs="Arial"/>
        </w:rPr>
        <w:tab/>
        <w:t xml:space="preserve">Lipczynski 2009: 251-252; Wetzstein 2005: 377; </w:t>
      </w:r>
    </w:p>
  </w:footnote>
  <w:footnote w:id="807">
    <w:p w:rsidR="005E7922" w:rsidRPr="00E40021" w:rsidRDefault="005E7922" w:rsidP="00E40021">
      <w:pPr>
        <w:pStyle w:val="Funotentext"/>
        <w:spacing w:line="240" w:lineRule="auto"/>
        <w:contextualSpacing/>
        <w:jc w:val="both"/>
        <w:rPr>
          <w:rFonts w:ascii="Arial" w:hAnsi="Arial" w:cs="Arial"/>
        </w:rPr>
      </w:pPr>
      <w:r w:rsidRPr="00E40021">
        <w:rPr>
          <w:rStyle w:val="Funotenzeichen"/>
          <w:rFonts w:ascii="Arial" w:hAnsi="Arial" w:cs="Arial"/>
        </w:rPr>
        <w:footnoteRef/>
      </w:r>
      <w:r w:rsidRPr="00E40021">
        <w:rPr>
          <w:rFonts w:ascii="Arial" w:hAnsi="Arial" w:cs="Arial"/>
        </w:rPr>
        <w:t xml:space="preserve">  </w:t>
      </w:r>
      <w:r w:rsidRPr="00E40021">
        <w:rPr>
          <w:rFonts w:ascii="Arial" w:hAnsi="Arial" w:cs="Arial"/>
        </w:rPr>
        <w:tab/>
        <w:t xml:space="preserve">Competition Act 89/1998: section 2; Neuhoff </w:t>
      </w:r>
      <w:r w:rsidRPr="00E40021">
        <w:rPr>
          <w:rFonts w:ascii="Arial" w:hAnsi="Arial" w:cs="Arial"/>
          <w:i/>
        </w:rPr>
        <w:t>et al</w:t>
      </w:r>
      <w:r w:rsidRPr="00E40021">
        <w:rPr>
          <w:rFonts w:ascii="Arial" w:hAnsi="Arial" w:cs="Arial"/>
        </w:rPr>
        <w:t xml:space="preserve"> 2006: 37.</w:t>
      </w:r>
    </w:p>
  </w:footnote>
  <w:footnote w:id="808">
    <w:p w:rsidR="005E7922" w:rsidRPr="00E40021" w:rsidRDefault="005E7922" w:rsidP="00E40021">
      <w:pPr>
        <w:pStyle w:val="Funotentext"/>
        <w:spacing w:line="240" w:lineRule="auto"/>
        <w:contextualSpacing/>
        <w:jc w:val="both"/>
        <w:rPr>
          <w:rFonts w:ascii="Arial" w:hAnsi="Arial" w:cs="Arial"/>
        </w:rPr>
      </w:pPr>
      <w:r w:rsidRPr="00E40021">
        <w:rPr>
          <w:rStyle w:val="Funotenzeichen"/>
          <w:rFonts w:ascii="Arial" w:hAnsi="Arial" w:cs="Arial"/>
        </w:rPr>
        <w:footnoteRef/>
      </w:r>
      <w:r w:rsidRPr="00E40021">
        <w:rPr>
          <w:rFonts w:ascii="Arial" w:hAnsi="Arial" w:cs="Arial"/>
        </w:rPr>
        <w:t xml:space="preserve">  </w:t>
      </w:r>
      <w:r w:rsidRPr="00E40021">
        <w:rPr>
          <w:rFonts w:ascii="Arial" w:hAnsi="Arial" w:cs="Arial"/>
        </w:rPr>
        <w:tab/>
        <w:t xml:space="preserve">Lerner 1934: 169; Rojas 2010: 1; US Federal Trade Commission 2007 on </w:t>
      </w:r>
    </w:p>
    <w:p w:rsidR="005E7922" w:rsidRPr="00E40021" w:rsidRDefault="005E7922" w:rsidP="00E40021">
      <w:pPr>
        <w:pStyle w:val="Funotentext"/>
        <w:spacing w:line="240" w:lineRule="auto"/>
        <w:contextualSpacing/>
        <w:jc w:val="both"/>
        <w:rPr>
          <w:rFonts w:ascii="Arial" w:hAnsi="Arial" w:cs="Arial"/>
        </w:rPr>
      </w:pPr>
      <w:r w:rsidRPr="00E40021">
        <w:rPr>
          <w:rFonts w:ascii="Arial" w:hAnsi="Arial" w:cs="Arial"/>
        </w:rPr>
        <w:tab/>
        <w:t xml:space="preserve">http://www.ftc.gov/opp/jointvent/classic3.shtm (accessed on 13 Mei 2011); Wetzstein 2005: </w:t>
      </w:r>
      <w:r w:rsidRPr="00E40021">
        <w:rPr>
          <w:rFonts w:ascii="Arial" w:hAnsi="Arial" w:cs="Arial"/>
        </w:rPr>
        <w:tab/>
        <w:t>384.</w:t>
      </w:r>
    </w:p>
  </w:footnote>
  <w:footnote w:id="809">
    <w:p w:rsidR="005E7922" w:rsidRPr="00E40021" w:rsidRDefault="005E7922" w:rsidP="00E40021">
      <w:pPr>
        <w:pStyle w:val="Funotentext"/>
        <w:spacing w:line="240" w:lineRule="auto"/>
        <w:contextualSpacing/>
        <w:jc w:val="both"/>
        <w:rPr>
          <w:rFonts w:ascii="Arial" w:hAnsi="Arial" w:cs="Arial"/>
        </w:rPr>
      </w:pPr>
      <w:r w:rsidRPr="00E40021">
        <w:rPr>
          <w:rStyle w:val="Funotenzeichen"/>
          <w:rFonts w:ascii="Arial" w:hAnsi="Arial" w:cs="Arial"/>
        </w:rPr>
        <w:footnoteRef/>
      </w:r>
      <w:r w:rsidRPr="00E40021">
        <w:rPr>
          <w:rFonts w:ascii="Arial" w:hAnsi="Arial" w:cs="Arial"/>
        </w:rPr>
        <w:t xml:space="preserve">  </w:t>
      </w:r>
      <w:r w:rsidRPr="00E40021">
        <w:rPr>
          <w:rFonts w:ascii="Arial" w:hAnsi="Arial" w:cs="Arial"/>
        </w:rPr>
        <w:tab/>
        <w:t xml:space="preserve">Wetzstein 2005: 392; Neuhoff </w:t>
      </w:r>
      <w:r w:rsidRPr="00E40021">
        <w:rPr>
          <w:rFonts w:ascii="Arial" w:hAnsi="Arial" w:cs="Arial"/>
          <w:i/>
        </w:rPr>
        <w:t>et al</w:t>
      </w:r>
      <w:r w:rsidRPr="00E40021">
        <w:rPr>
          <w:rFonts w:ascii="Arial" w:hAnsi="Arial" w:cs="Arial"/>
        </w:rPr>
        <w:t xml:space="preserve"> 2006: 36.</w:t>
      </w:r>
    </w:p>
  </w:footnote>
  <w:footnote w:id="810">
    <w:p w:rsidR="005E7922" w:rsidRPr="00E40021" w:rsidRDefault="005E7922" w:rsidP="00E40021">
      <w:pPr>
        <w:pStyle w:val="Funotentext"/>
        <w:spacing w:line="240" w:lineRule="auto"/>
        <w:contextualSpacing/>
        <w:jc w:val="both"/>
        <w:rPr>
          <w:rFonts w:ascii="Arial" w:hAnsi="Arial" w:cs="Arial"/>
        </w:rPr>
      </w:pPr>
      <w:r w:rsidRPr="00E40021">
        <w:rPr>
          <w:rStyle w:val="Funotenzeichen"/>
          <w:rFonts w:ascii="Arial" w:hAnsi="Arial" w:cs="Arial"/>
        </w:rPr>
        <w:footnoteRef/>
      </w:r>
      <w:r w:rsidRPr="00E40021">
        <w:rPr>
          <w:rFonts w:ascii="Arial" w:hAnsi="Arial" w:cs="Arial"/>
        </w:rPr>
        <w:t xml:space="preserve">  </w:t>
      </w:r>
      <w:r w:rsidRPr="00E40021">
        <w:rPr>
          <w:rFonts w:ascii="Arial" w:hAnsi="Arial" w:cs="Arial"/>
        </w:rPr>
        <w:tab/>
        <w:t xml:space="preserve">Inferred from Walker 2006: 4; Wish 1993: 3; Reekie 1989: 38; Neuhoff </w:t>
      </w:r>
      <w:r w:rsidRPr="00E40021">
        <w:rPr>
          <w:rFonts w:ascii="Arial" w:hAnsi="Arial" w:cs="Arial"/>
          <w:i/>
        </w:rPr>
        <w:t>et al</w:t>
      </w:r>
      <w:r w:rsidRPr="00E40021">
        <w:rPr>
          <w:rFonts w:ascii="Arial" w:hAnsi="Arial" w:cs="Arial"/>
        </w:rPr>
        <w:t xml:space="preserve"> 2006: 36.</w:t>
      </w:r>
    </w:p>
  </w:footnote>
  <w:footnote w:id="811">
    <w:p w:rsidR="005E7922" w:rsidRPr="00953F25" w:rsidRDefault="005E7922" w:rsidP="00E67EFD">
      <w:pPr>
        <w:pStyle w:val="Funotentext"/>
        <w:spacing w:line="240" w:lineRule="auto"/>
        <w:contextualSpacing/>
        <w:jc w:val="both"/>
        <w:rPr>
          <w:rFonts w:ascii="Arial" w:hAnsi="Arial" w:cs="Arial"/>
        </w:rPr>
      </w:pPr>
      <w:r w:rsidRPr="00953F25">
        <w:rPr>
          <w:rStyle w:val="Funotenzeichen"/>
          <w:rFonts w:ascii="Arial" w:hAnsi="Arial" w:cs="Arial"/>
        </w:rPr>
        <w:footnoteRef/>
      </w:r>
      <w:r w:rsidRPr="00953F25">
        <w:rPr>
          <w:rFonts w:ascii="Arial" w:hAnsi="Arial" w:cs="Arial"/>
        </w:rPr>
        <w:t xml:space="preserve"> </w:t>
      </w:r>
      <w:r w:rsidRPr="00953F25">
        <w:rPr>
          <w:rFonts w:ascii="Arial" w:hAnsi="Arial" w:cs="Arial"/>
        </w:rPr>
        <w:tab/>
        <w:t>Refer to section 2.5.2.</w:t>
      </w:r>
    </w:p>
  </w:footnote>
  <w:footnote w:id="812">
    <w:p w:rsidR="005E7922" w:rsidRPr="00953F25" w:rsidRDefault="005E7922" w:rsidP="00E67EFD">
      <w:pPr>
        <w:pStyle w:val="Funotentext"/>
        <w:spacing w:line="240" w:lineRule="auto"/>
        <w:contextualSpacing/>
        <w:jc w:val="both"/>
        <w:rPr>
          <w:rFonts w:ascii="Arial" w:hAnsi="Arial" w:cs="Arial"/>
        </w:rPr>
      </w:pPr>
      <w:r w:rsidRPr="00953F25">
        <w:rPr>
          <w:rStyle w:val="Funotenzeichen"/>
          <w:rFonts w:ascii="Arial" w:hAnsi="Arial" w:cs="Arial"/>
        </w:rPr>
        <w:footnoteRef/>
      </w:r>
      <w:r w:rsidRPr="00953F25">
        <w:rPr>
          <w:rFonts w:ascii="Arial" w:hAnsi="Arial" w:cs="Arial"/>
        </w:rPr>
        <w:t xml:space="preserve"> </w:t>
      </w:r>
      <w:r w:rsidRPr="00953F25">
        <w:rPr>
          <w:rFonts w:ascii="Arial" w:hAnsi="Arial" w:cs="Arial"/>
        </w:rPr>
        <w:tab/>
        <w:t>Refer to section 2.5.2.</w:t>
      </w:r>
    </w:p>
  </w:footnote>
  <w:footnote w:id="813">
    <w:p w:rsidR="005E7922" w:rsidRPr="00953F25" w:rsidRDefault="005E7922" w:rsidP="00E67EFD">
      <w:pPr>
        <w:pStyle w:val="Funotentext"/>
        <w:spacing w:line="240" w:lineRule="auto"/>
        <w:contextualSpacing/>
        <w:jc w:val="both"/>
        <w:rPr>
          <w:rFonts w:ascii="Arial" w:hAnsi="Arial" w:cs="Arial"/>
        </w:rPr>
      </w:pPr>
      <w:r w:rsidRPr="00953F25">
        <w:rPr>
          <w:rStyle w:val="Funotenzeichen"/>
          <w:rFonts w:ascii="Arial" w:hAnsi="Arial" w:cs="Arial"/>
        </w:rPr>
        <w:footnoteRef/>
      </w:r>
      <w:r w:rsidRPr="00953F25">
        <w:rPr>
          <w:rFonts w:ascii="Arial" w:hAnsi="Arial" w:cs="Arial"/>
        </w:rPr>
        <w:t xml:space="preserve">  </w:t>
      </w:r>
      <w:r w:rsidRPr="00953F25">
        <w:rPr>
          <w:rFonts w:ascii="Arial" w:hAnsi="Arial" w:cs="Arial"/>
        </w:rPr>
        <w:tab/>
        <w:t>Refer to section 2.5.2.</w:t>
      </w:r>
    </w:p>
  </w:footnote>
  <w:footnote w:id="814">
    <w:p w:rsidR="005E7922" w:rsidRPr="00953F25" w:rsidRDefault="005E7922" w:rsidP="00E67EFD">
      <w:pPr>
        <w:pStyle w:val="Funotentext"/>
        <w:spacing w:line="240" w:lineRule="auto"/>
        <w:contextualSpacing/>
        <w:jc w:val="both"/>
        <w:rPr>
          <w:rFonts w:ascii="Arial" w:hAnsi="Arial" w:cs="Arial"/>
        </w:rPr>
      </w:pPr>
      <w:r w:rsidRPr="00953F25">
        <w:rPr>
          <w:rStyle w:val="Funotenzeichen"/>
          <w:rFonts w:ascii="Arial" w:hAnsi="Arial" w:cs="Arial"/>
        </w:rPr>
        <w:footnoteRef/>
      </w:r>
      <w:r w:rsidRPr="00953F25">
        <w:rPr>
          <w:rFonts w:ascii="Arial" w:hAnsi="Arial" w:cs="Arial"/>
        </w:rPr>
        <w:t xml:space="preserve">  </w:t>
      </w:r>
      <w:r w:rsidRPr="00953F25">
        <w:rPr>
          <w:rFonts w:ascii="Arial" w:hAnsi="Arial" w:cs="Arial"/>
        </w:rPr>
        <w:tab/>
        <w:t>Lipczynski 2009: 17. Refer to section 2.5.3.2.1.</w:t>
      </w:r>
    </w:p>
  </w:footnote>
  <w:footnote w:id="815">
    <w:p w:rsidR="005E7922" w:rsidRPr="00953F25" w:rsidRDefault="005E7922" w:rsidP="00E67EFD">
      <w:pPr>
        <w:pStyle w:val="Funotentext"/>
        <w:spacing w:line="240" w:lineRule="auto"/>
        <w:contextualSpacing/>
        <w:jc w:val="both"/>
        <w:rPr>
          <w:rFonts w:ascii="Arial" w:hAnsi="Arial" w:cs="Arial"/>
        </w:rPr>
      </w:pPr>
      <w:r w:rsidRPr="00953F25">
        <w:rPr>
          <w:rStyle w:val="Funotenzeichen"/>
          <w:rFonts w:ascii="Arial" w:hAnsi="Arial" w:cs="Arial"/>
        </w:rPr>
        <w:footnoteRef/>
      </w:r>
      <w:r w:rsidRPr="00953F25">
        <w:rPr>
          <w:rFonts w:ascii="Arial" w:hAnsi="Arial" w:cs="Arial"/>
        </w:rPr>
        <w:t xml:space="preserve">  </w:t>
      </w:r>
      <w:r w:rsidRPr="00953F25">
        <w:rPr>
          <w:rFonts w:ascii="Arial" w:hAnsi="Arial" w:cs="Arial"/>
        </w:rPr>
        <w:tab/>
        <w:t xml:space="preserve">Inferred from Lipczynski 2009: 17; Du Plessis &amp; Gilbert 2008: 2; Smith 2005: 8; Audretsch </w:t>
      </w:r>
      <w:r w:rsidRPr="00953F25">
        <w:rPr>
          <w:rFonts w:ascii="Arial" w:hAnsi="Arial" w:cs="Arial"/>
          <w:i/>
        </w:rPr>
        <w:t xml:space="preserve">et </w:t>
      </w:r>
      <w:r w:rsidRPr="00953F25">
        <w:rPr>
          <w:rFonts w:ascii="Arial" w:hAnsi="Arial" w:cs="Arial"/>
          <w:i/>
        </w:rPr>
        <w:tab/>
        <w:t>al</w:t>
      </w:r>
      <w:r w:rsidRPr="00953F25">
        <w:rPr>
          <w:rFonts w:ascii="Arial" w:hAnsi="Arial" w:cs="Arial"/>
        </w:rPr>
        <w:t xml:space="preserve"> 2001: 615.</w:t>
      </w:r>
    </w:p>
  </w:footnote>
  <w:footnote w:id="816">
    <w:p w:rsidR="005E7922" w:rsidRPr="00953F25" w:rsidRDefault="005E7922" w:rsidP="00E67EFD">
      <w:pPr>
        <w:pStyle w:val="Funotentext"/>
        <w:spacing w:line="240" w:lineRule="auto"/>
        <w:contextualSpacing/>
        <w:jc w:val="both"/>
        <w:rPr>
          <w:rFonts w:ascii="Arial" w:hAnsi="Arial" w:cs="Arial"/>
        </w:rPr>
      </w:pPr>
      <w:r w:rsidRPr="00953F25">
        <w:rPr>
          <w:rStyle w:val="Funotenzeichen"/>
          <w:rFonts w:ascii="Arial" w:hAnsi="Arial" w:cs="Arial"/>
        </w:rPr>
        <w:footnoteRef/>
      </w:r>
      <w:r w:rsidRPr="00953F25">
        <w:rPr>
          <w:rFonts w:ascii="Arial" w:hAnsi="Arial" w:cs="Arial"/>
        </w:rPr>
        <w:t xml:space="preserve">  </w:t>
      </w:r>
      <w:r w:rsidRPr="00953F25">
        <w:rPr>
          <w:rFonts w:ascii="Arial" w:hAnsi="Arial" w:cs="Arial"/>
        </w:rPr>
        <w:tab/>
        <w:t>Refer to section 2.5.3.2.1.</w:t>
      </w:r>
    </w:p>
  </w:footnote>
  <w:footnote w:id="817">
    <w:p w:rsidR="005E7922" w:rsidRPr="00953F25" w:rsidRDefault="005E7922" w:rsidP="00E67EFD">
      <w:pPr>
        <w:pStyle w:val="Funotentext"/>
        <w:spacing w:line="240" w:lineRule="auto"/>
        <w:contextualSpacing/>
        <w:jc w:val="both"/>
        <w:rPr>
          <w:rFonts w:ascii="Arial" w:hAnsi="Arial" w:cs="Arial"/>
        </w:rPr>
      </w:pPr>
      <w:r w:rsidRPr="00953F25">
        <w:rPr>
          <w:rStyle w:val="Funotenzeichen"/>
          <w:rFonts w:ascii="Arial" w:hAnsi="Arial" w:cs="Arial"/>
        </w:rPr>
        <w:footnoteRef/>
      </w:r>
      <w:r w:rsidRPr="00953F25">
        <w:rPr>
          <w:rFonts w:ascii="Arial" w:hAnsi="Arial" w:cs="Arial"/>
        </w:rPr>
        <w:t xml:space="preserve">  </w:t>
      </w:r>
      <w:r w:rsidRPr="00953F25">
        <w:rPr>
          <w:rFonts w:ascii="Arial" w:hAnsi="Arial" w:cs="Arial"/>
        </w:rPr>
        <w:tab/>
        <w:t xml:space="preserve">Cook 2001: 15; Theron 2001: 636; Neuhoff </w:t>
      </w:r>
      <w:r w:rsidRPr="00953F25">
        <w:rPr>
          <w:rFonts w:ascii="Arial" w:hAnsi="Arial" w:cs="Arial"/>
          <w:i/>
        </w:rPr>
        <w:t>et al</w:t>
      </w:r>
      <w:r w:rsidRPr="00953F25">
        <w:rPr>
          <w:rFonts w:ascii="Arial" w:hAnsi="Arial" w:cs="Arial"/>
        </w:rPr>
        <w:t xml:space="preserve">  2006: 40.</w:t>
      </w:r>
    </w:p>
  </w:footnote>
  <w:footnote w:id="818">
    <w:p w:rsidR="005E7922" w:rsidRPr="00953F25" w:rsidRDefault="005E7922" w:rsidP="00E67EFD">
      <w:pPr>
        <w:pStyle w:val="Funotentext"/>
        <w:spacing w:line="240" w:lineRule="auto"/>
        <w:contextualSpacing/>
        <w:jc w:val="both"/>
        <w:rPr>
          <w:rFonts w:ascii="Arial" w:hAnsi="Arial" w:cs="Arial"/>
        </w:rPr>
      </w:pPr>
      <w:r w:rsidRPr="00953F25">
        <w:rPr>
          <w:rStyle w:val="Funotenzeichen"/>
          <w:rFonts w:ascii="Arial" w:hAnsi="Arial" w:cs="Arial"/>
        </w:rPr>
        <w:footnoteRef/>
      </w:r>
      <w:r w:rsidRPr="00953F25">
        <w:rPr>
          <w:rFonts w:ascii="Arial" w:hAnsi="Arial" w:cs="Arial"/>
        </w:rPr>
        <w:t xml:space="preserve">  </w:t>
      </w:r>
      <w:r w:rsidRPr="00953F25">
        <w:rPr>
          <w:rFonts w:ascii="Arial" w:hAnsi="Arial" w:cs="Arial"/>
        </w:rPr>
        <w:tab/>
      </w:r>
      <w:r>
        <w:rPr>
          <w:rFonts w:ascii="Arial" w:hAnsi="Arial" w:cs="Arial"/>
        </w:rPr>
        <w:t xml:space="preserve">OECD on </w:t>
      </w:r>
      <w:r w:rsidRPr="00953F25">
        <w:rPr>
          <w:rStyle w:val="HTMLZitat"/>
          <w:rFonts w:ascii="Arial" w:hAnsi="Arial" w:cs="Arial"/>
          <w:i w:val="0"/>
        </w:rPr>
        <w:t>www.oecd.org/dataoecd/8/61/2376087.pdf (accessed on 31 Mei 2011)</w:t>
      </w:r>
    </w:p>
  </w:footnote>
  <w:footnote w:id="819">
    <w:p w:rsidR="005E7922" w:rsidRPr="00953F25" w:rsidRDefault="005E7922" w:rsidP="00E67EFD">
      <w:pPr>
        <w:pStyle w:val="Funotentext"/>
        <w:spacing w:line="240" w:lineRule="auto"/>
        <w:contextualSpacing/>
        <w:jc w:val="both"/>
        <w:rPr>
          <w:rFonts w:ascii="Arial" w:hAnsi="Arial" w:cs="Arial"/>
        </w:rPr>
      </w:pPr>
      <w:r w:rsidRPr="00953F25">
        <w:rPr>
          <w:rStyle w:val="Funotenzeichen"/>
          <w:rFonts w:ascii="Arial" w:hAnsi="Arial" w:cs="Arial"/>
        </w:rPr>
        <w:footnoteRef/>
      </w:r>
      <w:r w:rsidRPr="00953F25">
        <w:rPr>
          <w:rFonts w:ascii="Arial" w:hAnsi="Arial" w:cs="Arial"/>
        </w:rPr>
        <w:t xml:space="preserve">  </w:t>
      </w:r>
      <w:r w:rsidRPr="00953F25">
        <w:rPr>
          <w:rFonts w:ascii="Arial" w:hAnsi="Arial" w:cs="Arial"/>
        </w:rPr>
        <w:tab/>
        <w:t>Applied by various authors as cited in Fedderke &amp; Simbanegavi 2008: 2.</w:t>
      </w:r>
    </w:p>
  </w:footnote>
  <w:footnote w:id="820">
    <w:p w:rsidR="005E7922" w:rsidRPr="00D50A04" w:rsidRDefault="005E7922" w:rsidP="00D50A04">
      <w:pPr>
        <w:pStyle w:val="Funotentext"/>
        <w:spacing w:line="240" w:lineRule="auto"/>
        <w:contextualSpacing/>
        <w:jc w:val="both"/>
        <w:rPr>
          <w:rFonts w:ascii="Arial" w:hAnsi="Arial" w:cs="Arial"/>
        </w:rPr>
      </w:pPr>
      <w:r w:rsidRPr="00D50A04">
        <w:rPr>
          <w:rStyle w:val="Funotenzeichen"/>
          <w:rFonts w:ascii="Arial" w:hAnsi="Arial" w:cs="Arial"/>
        </w:rPr>
        <w:footnoteRef/>
      </w:r>
      <w:r w:rsidRPr="00D50A04">
        <w:rPr>
          <w:rFonts w:ascii="Arial" w:hAnsi="Arial" w:cs="Arial"/>
        </w:rPr>
        <w:t xml:space="preserve">  </w:t>
      </w:r>
      <w:r w:rsidRPr="00D50A04">
        <w:rPr>
          <w:rFonts w:ascii="Arial" w:hAnsi="Arial" w:cs="Arial"/>
        </w:rPr>
        <w:tab/>
        <w:t xml:space="preserve">Fourie 1996: 116; Fedderke &amp; Simbanegavi 2008: 2; Walker 2006: 13; Liebenberg &amp; </w:t>
      </w:r>
      <w:r w:rsidRPr="00D50A04">
        <w:rPr>
          <w:rFonts w:ascii="Arial" w:hAnsi="Arial" w:cs="Arial"/>
        </w:rPr>
        <w:tab/>
        <w:t xml:space="preserve">kamerschen 2008: 230-231; Competition Commission 2002: 23; OECD on </w:t>
      </w:r>
      <w:r w:rsidRPr="00D50A04">
        <w:rPr>
          <w:rFonts w:ascii="Arial" w:hAnsi="Arial" w:cs="Arial"/>
        </w:rPr>
        <w:tab/>
      </w:r>
      <w:r w:rsidRPr="00D50A04">
        <w:rPr>
          <w:rStyle w:val="HTMLZitat"/>
          <w:rFonts w:ascii="Arial" w:hAnsi="Arial" w:cs="Arial"/>
          <w:i w:val="0"/>
        </w:rPr>
        <w:t>www.oecd.org/dataoecd/8/61/2376087.pdf (accessed on 31 Mei 2011)</w:t>
      </w:r>
    </w:p>
  </w:footnote>
  <w:footnote w:id="821">
    <w:p w:rsidR="005E7922" w:rsidRPr="00D50A04" w:rsidRDefault="005E7922" w:rsidP="00D50A04">
      <w:pPr>
        <w:pStyle w:val="Funotentext"/>
        <w:spacing w:line="240" w:lineRule="auto"/>
        <w:contextualSpacing/>
        <w:jc w:val="both"/>
        <w:rPr>
          <w:rFonts w:ascii="Arial" w:hAnsi="Arial" w:cs="Arial"/>
          <w:lang w:val="af-ZA"/>
        </w:rPr>
      </w:pPr>
      <w:r w:rsidRPr="00D50A04">
        <w:rPr>
          <w:rStyle w:val="Funotenzeichen"/>
          <w:rFonts w:ascii="Arial" w:hAnsi="Arial" w:cs="Arial"/>
        </w:rPr>
        <w:footnoteRef/>
      </w:r>
      <w:r w:rsidRPr="00D50A04">
        <w:rPr>
          <w:rFonts w:ascii="Arial" w:hAnsi="Arial" w:cs="Arial"/>
        </w:rPr>
        <w:t xml:space="preserve"> </w:t>
      </w:r>
      <w:r w:rsidRPr="00D50A04">
        <w:rPr>
          <w:rFonts w:ascii="Arial" w:hAnsi="Arial" w:cs="Arial"/>
          <w:lang w:val="af-ZA"/>
        </w:rPr>
        <w:t xml:space="preserve"> </w:t>
      </w:r>
      <w:r w:rsidRPr="00D50A04">
        <w:rPr>
          <w:rFonts w:ascii="Arial" w:hAnsi="Arial" w:cs="Arial"/>
          <w:lang w:val="af-ZA"/>
        </w:rPr>
        <w:tab/>
      </w:r>
      <w:r w:rsidRPr="00D50A04">
        <w:rPr>
          <w:rFonts w:ascii="Arial" w:hAnsi="Arial" w:cs="Arial"/>
        </w:rPr>
        <w:t>Liebenberg &amp; kamerschen 2008: 231.</w:t>
      </w:r>
    </w:p>
  </w:footnote>
  <w:footnote w:id="822">
    <w:p w:rsidR="005E7922" w:rsidRPr="00D50A04" w:rsidRDefault="005E7922" w:rsidP="00D50A04">
      <w:pPr>
        <w:pStyle w:val="Funotentext"/>
        <w:spacing w:line="240" w:lineRule="auto"/>
        <w:contextualSpacing/>
        <w:jc w:val="both"/>
        <w:rPr>
          <w:rFonts w:ascii="Arial" w:hAnsi="Arial" w:cs="Arial"/>
          <w:lang w:val="af-ZA"/>
        </w:rPr>
      </w:pPr>
      <w:r w:rsidRPr="00D50A04">
        <w:rPr>
          <w:rStyle w:val="Funotenzeichen"/>
          <w:rFonts w:ascii="Arial" w:hAnsi="Arial" w:cs="Arial"/>
        </w:rPr>
        <w:footnoteRef/>
      </w:r>
      <w:r w:rsidRPr="00D50A04">
        <w:rPr>
          <w:rFonts w:ascii="Arial" w:hAnsi="Arial" w:cs="Arial"/>
        </w:rPr>
        <w:t xml:space="preserve"> </w:t>
      </w:r>
      <w:r w:rsidRPr="00D50A04">
        <w:rPr>
          <w:rFonts w:ascii="Arial" w:hAnsi="Arial" w:cs="Arial"/>
          <w:lang w:val="af-ZA"/>
        </w:rPr>
        <w:t xml:space="preserve"> </w:t>
      </w:r>
      <w:r w:rsidRPr="00D50A04">
        <w:rPr>
          <w:rFonts w:ascii="Arial" w:hAnsi="Arial" w:cs="Arial"/>
          <w:lang w:val="af-ZA"/>
        </w:rPr>
        <w:tab/>
      </w:r>
      <w:r w:rsidRPr="00D50A04">
        <w:rPr>
          <w:rFonts w:ascii="Arial" w:hAnsi="Arial" w:cs="Arial"/>
        </w:rPr>
        <w:t>Liebenberg &amp; kamerschen 2008: 231</w:t>
      </w:r>
      <w:r>
        <w:rPr>
          <w:rFonts w:ascii="Arial" w:hAnsi="Arial" w:cs="Arial"/>
        </w:rPr>
        <w:t>; Theron 2001: 637.</w:t>
      </w:r>
    </w:p>
  </w:footnote>
  <w:footnote w:id="823">
    <w:p w:rsidR="005E7922" w:rsidRPr="00D50A04" w:rsidRDefault="005E7922" w:rsidP="00D50A04">
      <w:pPr>
        <w:pStyle w:val="Funotentext"/>
        <w:spacing w:line="240" w:lineRule="auto"/>
        <w:contextualSpacing/>
        <w:jc w:val="both"/>
        <w:rPr>
          <w:rFonts w:ascii="Arial" w:hAnsi="Arial" w:cs="Arial"/>
        </w:rPr>
      </w:pPr>
      <w:r w:rsidRPr="00D50A04">
        <w:rPr>
          <w:rStyle w:val="Funotenzeichen"/>
          <w:rFonts w:ascii="Arial" w:hAnsi="Arial" w:cs="Arial"/>
        </w:rPr>
        <w:footnoteRef/>
      </w:r>
      <w:r w:rsidRPr="00D50A04">
        <w:rPr>
          <w:rFonts w:ascii="Arial" w:hAnsi="Arial" w:cs="Arial"/>
        </w:rPr>
        <w:t xml:space="preserve">  </w:t>
      </w:r>
      <w:r w:rsidRPr="00D50A04">
        <w:rPr>
          <w:rFonts w:ascii="Arial" w:hAnsi="Arial" w:cs="Arial"/>
        </w:rPr>
        <w:tab/>
        <w:t xml:space="preserve">Neuhoff </w:t>
      </w:r>
      <w:r w:rsidRPr="00D50A04">
        <w:rPr>
          <w:rFonts w:ascii="Arial" w:hAnsi="Arial" w:cs="Arial"/>
          <w:i/>
        </w:rPr>
        <w:t>et al</w:t>
      </w:r>
      <w:r w:rsidRPr="00D50A04">
        <w:rPr>
          <w:rFonts w:ascii="Arial" w:hAnsi="Arial" w:cs="Arial"/>
        </w:rPr>
        <w:t xml:space="preserve"> 2006: 40.</w:t>
      </w:r>
    </w:p>
  </w:footnote>
  <w:footnote w:id="824">
    <w:p w:rsidR="005E7922" w:rsidRPr="00D50A04" w:rsidRDefault="005E7922" w:rsidP="00D50A04">
      <w:pPr>
        <w:pStyle w:val="Funotentext"/>
        <w:spacing w:line="240" w:lineRule="auto"/>
        <w:contextualSpacing/>
        <w:jc w:val="both"/>
        <w:rPr>
          <w:rFonts w:ascii="Arial" w:hAnsi="Arial" w:cs="Arial"/>
        </w:rPr>
      </w:pPr>
      <w:r w:rsidRPr="00D50A04">
        <w:rPr>
          <w:rStyle w:val="Funotenzeichen"/>
          <w:rFonts w:ascii="Arial" w:hAnsi="Arial" w:cs="Arial"/>
        </w:rPr>
        <w:footnoteRef/>
      </w:r>
      <w:r w:rsidRPr="00D50A04">
        <w:rPr>
          <w:rFonts w:ascii="Arial" w:hAnsi="Arial" w:cs="Arial"/>
        </w:rPr>
        <w:t xml:space="preserve">  </w:t>
      </w:r>
      <w:r w:rsidRPr="00D50A04">
        <w:rPr>
          <w:rFonts w:ascii="Arial" w:hAnsi="Arial" w:cs="Arial"/>
        </w:rPr>
        <w:tab/>
        <w:t>Neven 1998: 11; Competition Commission 2002: 23; Office of Fair Trading 2004: 13.</w:t>
      </w:r>
    </w:p>
  </w:footnote>
  <w:footnote w:id="825">
    <w:p w:rsidR="005E7922" w:rsidRPr="00D50A04" w:rsidRDefault="005E7922" w:rsidP="00D50A04">
      <w:pPr>
        <w:pStyle w:val="Funotentext"/>
        <w:spacing w:line="240" w:lineRule="auto"/>
        <w:contextualSpacing/>
        <w:jc w:val="both"/>
        <w:rPr>
          <w:rFonts w:ascii="Arial" w:hAnsi="Arial" w:cs="Arial"/>
        </w:rPr>
      </w:pPr>
      <w:r w:rsidRPr="00D50A04">
        <w:rPr>
          <w:rStyle w:val="Funotenzeichen"/>
          <w:rFonts w:ascii="Arial" w:hAnsi="Arial" w:cs="Arial"/>
        </w:rPr>
        <w:footnoteRef/>
      </w:r>
      <w:r w:rsidRPr="00D50A04">
        <w:rPr>
          <w:rFonts w:ascii="Arial" w:hAnsi="Arial" w:cs="Arial"/>
        </w:rPr>
        <w:t xml:space="preserve">  </w:t>
      </w:r>
      <w:r w:rsidRPr="00D50A04">
        <w:rPr>
          <w:rFonts w:ascii="Arial" w:hAnsi="Arial" w:cs="Arial"/>
        </w:rPr>
        <w:tab/>
        <w:t xml:space="preserve">Neuhoff </w:t>
      </w:r>
      <w:r w:rsidRPr="00D50A04">
        <w:rPr>
          <w:rFonts w:ascii="Arial" w:hAnsi="Arial" w:cs="Arial"/>
          <w:i/>
        </w:rPr>
        <w:t>et al</w:t>
      </w:r>
      <w:r w:rsidRPr="00D50A04">
        <w:rPr>
          <w:rFonts w:ascii="Arial" w:hAnsi="Arial" w:cs="Arial"/>
        </w:rPr>
        <w:t xml:space="preserve"> 2006: 40.</w:t>
      </w:r>
    </w:p>
  </w:footnote>
  <w:footnote w:id="826">
    <w:p w:rsidR="005E7922" w:rsidRPr="00D50A04" w:rsidRDefault="005E7922" w:rsidP="00D50A04">
      <w:pPr>
        <w:pStyle w:val="Funotentext"/>
        <w:spacing w:line="240" w:lineRule="auto"/>
        <w:contextualSpacing/>
        <w:jc w:val="both"/>
        <w:rPr>
          <w:rFonts w:ascii="Arial" w:hAnsi="Arial" w:cs="Arial"/>
        </w:rPr>
      </w:pPr>
      <w:r w:rsidRPr="00D50A04">
        <w:rPr>
          <w:rStyle w:val="Funotenzeichen"/>
          <w:rFonts w:ascii="Arial" w:hAnsi="Arial" w:cs="Arial"/>
        </w:rPr>
        <w:footnoteRef/>
      </w:r>
      <w:r w:rsidRPr="00D50A04">
        <w:rPr>
          <w:rFonts w:ascii="Arial" w:hAnsi="Arial" w:cs="Arial"/>
        </w:rPr>
        <w:t xml:space="preserve">  </w:t>
      </w:r>
      <w:r w:rsidRPr="00D50A04">
        <w:rPr>
          <w:rFonts w:ascii="Arial" w:hAnsi="Arial" w:cs="Arial"/>
        </w:rPr>
        <w:tab/>
        <w:t>Competition Act 89/1998: section 7(a).</w:t>
      </w:r>
    </w:p>
  </w:footnote>
  <w:footnote w:id="827">
    <w:p w:rsidR="005E7922" w:rsidRPr="00D50A04" w:rsidRDefault="005E7922" w:rsidP="00D50A04">
      <w:pPr>
        <w:pStyle w:val="Funotentext"/>
        <w:spacing w:line="240" w:lineRule="auto"/>
        <w:contextualSpacing/>
        <w:jc w:val="both"/>
        <w:rPr>
          <w:rFonts w:ascii="Arial" w:hAnsi="Arial" w:cs="Arial"/>
        </w:rPr>
      </w:pPr>
      <w:r w:rsidRPr="00D50A04">
        <w:rPr>
          <w:rStyle w:val="Funotenzeichen"/>
          <w:rFonts w:ascii="Arial" w:hAnsi="Arial" w:cs="Arial"/>
        </w:rPr>
        <w:footnoteRef/>
      </w:r>
      <w:r w:rsidRPr="00D50A04">
        <w:rPr>
          <w:rFonts w:ascii="Arial" w:hAnsi="Arial" w:cs="Arial"/>
        </w:rPr>
        <w:t xml:space="preserve">  </w:t>
      </w:r>
      <w:r w:rsidRPr="00D50A04">
        <w:rPr>
          <w:rFonts w:ascii="Arial" w:hAnsi="Arial" w:cs="Arial"/>
        </w:rPr>
        <w:tab/>
        <w:t>Refer to section 2.5.2.1.</w:t>
      </w:r>
    </w:p>
  </w:footnote>
  <w:footnote w:id="828">
    <w:p w:rsidR="005E7922" w:rsidRPr="00D50A04" w:rsidRDefault="005E7922" w:rsidP="00D50A04">
      <w:pPr>
        <w:pStyle w:val="Funotentext"/>
        <w:spacing w:line="240" w:lineRule="auto"/>
        <w:contextualSpacing/>
        <w:jc w:val="both"/>
        <w:rPr>
          <w:rFonts w:ascii="Arial" w:hAnsi="Arial" w:cs="Arial"/>
        </w:rPr>
      </w:pPr>
      <w:r w:rsidRPr="00D50A04">
        <w:rPr>
          <w:rStyle w:val="Funotenzeichen"/>
          <w:rFonts w:ascii="Arial" w:hAnsi="Arial" w:cs="Arial"/>
        </w:rPr>
        <w:footnoteRef/>
      </w:r>
      <w:r w:rsidRPr="00D50A04">
        <w:rPr>
          <w:rFonts w:ascii="Arial" w:hAnsi="Arial" w:cs="Arial"/>
        </w:rPr>
        <w:t xml:space="preserve">  </w:t>
      </w:r>
      <w:r w:rsidRPr="00D50A04">
        <w:rPr>
          <w:rFonts w:ascii="Arial" w:hAnsi="Arial" w:cs="Arial"/>
        </w:rPr>
        <w:tab/>
        <w:t>Refer to section 2.5.2.1. Also, see Theron 2001: 623.</w:t>
      </w:r>
    </w:p>
  </w:footnote>
  <w:footnote w:id="829">
    <w:p w:rsidR="005E7922" w:rsidRPr="00D50A04" w:rsidRDefault="005E7922" w:rsidP="00D50A04">
      <w:pPr>
        <w:pStyle w:val="Funotentext"/>
        <w:spacing w:line="240" w:lineRule="auto"/>
        <w:contextualSpacing/>
        <w:jc w:val="both"/>
        <w:rPr>
          <w:rFonts w:ascii="Arial" w:hAnsi="Arial" w:cs="Arial"/>
        </w:rPr>
      </w:pPr>
      <w:r w:rsidRPr="00D50A04">
        <w:rPr>
          <w:rStyle w:val="Funotenzeichen"/>
          <w:rFonts w:ascii="Arial" w:hAnsi="Arial" w:cs="Arial"/>
        </w:rPr>
        <w:footnoteRef/>
      </w:r>
      <w:r w:rsidRPr="00D50A04">
        <w:rPr>
          <w:rFonts w:ascii="Arial" w:hAnsi="Arial" w:cs="Arial"/>
        </w:rPr>
        <w:t xml:space="preserve">  </w:t>
      </w:r>
      <w:r w:rsidRPr="00D50A04">
        <w:rPr>
          <w:rFonts w:ascii="Arial" w:hAnsi="Arial" w:cs="Arial"/>
        </w:rPr>
        <w:tab/>
        <w:t>Walker 2006: 12.</w:t>
      </w:r>
    </w:p>
  </w:footnote>
  <w:footnote w:id="830">
    <w:p w:rsidR="005E7922" w:rsidRPr="00766C6D" w:rsidRDefault="005E7922" w:rsidP="00766C6D">
      <w:pPr>
        <w:pStyle w:val="Funotentext"/>
        <w:spacing w:line="240" w:lineRule="auto"/>
        <w:contextualSpacing/>
        <w:jc w:val="both"/>
        <w:rPr>
          <w:rFonts w:ascii="Arial" w:hAnsi="Arial" w:cs="Arial"/>
        </w:rPr>
      </w:pPr>
      <w:r w:rsidRPr="00766C6D">
        <w:rPr>
          <w:rStyle w:val="Funotenzeichen"/>
          <w:rFonts w:ascii="Arial" w:hAnsi="Arial" w:cs="Arial"/>
        </w:rPr>
        <w:footnoteRef/>
      </w:r>
      <w:r w:rsidRPr="00766C6D">
        <w:rPr>
          <w:rFonts w:ascii="Arial" w:hAnsi="Arial" w:cs="Arial"/>
        </w:rPr>
        <w:t xml:space="preserve">  </w:t>
      </w:r>
      <w:r w:rsidRPr="00766C6D">
        <w:rPr>
          <w:rFonts w:ascii="Arial" w:hAnsi="Arial" w:cs="Arial"/>
        </w:rPr>
        <w:tab/>
        <w:t xml:space="preserve">Walker 2006: 13. </w:t>
      </w:r>
    </w:p>
  </w:footnote>
  <w:footnote w:id="831">
    <w:p w:rsidR="005E7922" w:rsidRPr="00766C6D" w:rsidRDefault="005E7922" w:rsidP="00766C6D">
      <w:pPr>
        <w:pStyle w:val="Funotentext"/>
        <w:spacing w:line="240" w:lineRule="auto"/>
        <w:contextualSpacing/>
        <w:jc w:val="both"/>
        <w:rPr>
          <w:rFonts w:ascii="Arial" w:hAnsi="Arial" w:cs="Arial"/>
        </w:rPr>
      </w:pPr>
      <w:r w:rsidRPr="00766C6D">
        <w:rPr>
          <w:rStyle w:val="Funotenzeichen"/>
          <w:rFonts w:ascii="Arial" w:hAnsi="Arial" w:cs="Arial"/>
        </w:rPr>
        <w:footnoteRef/>
      </w:r>
      <w:r w:rsidRPr="00766C6D">
        <w:rPr>
          <w:rFonts w:ascii="Arial" w:hAnsi="Arial" w:cs="Arial"/>
        </w:rPr>
        <w:t xml:space="preserve">  </w:t>
      </w:r>
      <w:r w:rsidRPr="00766C6D">
        <w:rPr>
          <w:rFonts w:ascii="Arial" w:hAnsi="Arial" w:cs="Arial"/>
        </w:rPr>
        <w:tab/>
        <w:t>Competition Commission Annual Report 2001: 49.</w:t>
      </w:r>
    </w:p>
  </w:footnote>
  <w:footnote w:id="832">
    <w:p w:rsidR="005E7922" w:rsidRPr="00766C6D" w:rsidRDefault="005E7922" w:rsidP="00766C6D">
      <w:pPr>
        <w:pStyle w:val="Funotentext"/>
        <w:spacing w:line="240" w:lineRule="auto"/>
        <w:contextualSpacing/>
        <w:jc w:val="both"/>
        <w:rPr>
          <w:rFonts w:ascii="Arial" w:hAnsi="Arial" w:cs="Arial"/>
        </w:rPr>
      </w:pPr>
      <w:r w:rsidRPr="00766C6D">
        <w:rPr>
          <w:rStyle w:val="Funotenzeichen"/>
          <w:rFonts w:ascii="Arial" w:hAnsi="Arial" w:cs="Arial"/>
        </w:rPr>
        <w:footnoteRef/>
      </w:r>
      <w:r w:rsidRPr="00766C6D">
        <w:rPr>
          <w:rFonts w:ascii="Arial" w:hAnsi="Arial" w:cs="Arial"/>
        </w:rPr>
        <w:t xml:space="preserve">  </w:t>
      </w:r>
      <w:r w:rsidRPr="00766C6D">
        <w:rPr>
          <w:rFonts w:ascii="Arial" w:hAnsi="Arial" w:cs="Arial"/>
        </w:rPr>
        <w:tab/>
        <w:t>Smith 2005: 7.</w:t>
      </w:r>
    </w:p>
  </w:footnote>
  <w:footnote w:id="833">
    <w:p w:rsidR="005E7922" w:rsidRPr="00766C6D" w:rsidRDefault="005E7922" w:rsidP="00766C6D">
      <w:pPr>
        <w:pStyle w:val="Funotentext"/>
        <w:spacing w:line="240" w:lineRule="auto"/>
        <w:contextualSpacing/>
        <w:jc w:val="both"/>
        <w:rPr>
          <w:rFonts w:ascii="Arial" w:hAnsi="Arial" w:cs="Arial"/>
          <w:lang w:val="af-ZA"/>
        </w:rPr>
      </w:pPr>
      <w:r w:rsidRPr="00766C6D">
        <w:rPr>
          <w:rStyle w:val="Funotenzeichen"/>
          <w:rFonts w:ascii="Arial" w:hAnsi="Arial" w:cs="Arial"/>
        </w:rPr>
        <w:footnoteRef/>
      </w:r>
      <w:r w:rsidRPr="00766C6D">
        <w:rPr>
          <w:rFonts w:ascii="Arial" w:hAnsi="Arial" w:cs="Arial"/>
        </w:rPr>
        <w:t xml:space="preserve"> </w:t>
      </w:r>
      <w:r w:rsidRPr="00766C6D">
        <w:rPr>
          <w:rFonts w:ascii="Arial" w:hAnsi="Arial" w:cs="Arial"/>
        </w:rPr>
        <w:tab/>
        <w:t xml:space="preserve">Remember, market shares can be expressed in various metrics such as total sales, total </w:t>
      </w:r>
      <w:r w:rsidRPr="00766C6D">
        <w:rPr>
          <w:rFonts w:ascii="Arial" w:hAnsi="Arial" w:cs="Arial"/>
        </w:rPr>
        <w:tab/>
        <w:t>revenues, total output, total production capacity, total value and total inputs.</w:t>
      </w:r>
    </w:p>
  </w:footnote>
  <w:footnote w:id="834">
    <w:p w:rsidR="005E7922" w:rsidRPr="00766C6D" w:rsidRDefault="005E7922" w:rsidP="00766C6D">
      <w:pPr>
        <w:pStyle w:val="Funotentext"/>
        <w:spacing w:line="240" w:lineRule="auto"/>
        <w:contextualSpacing/>
        <w:jc w:val="both"/>
        <w:rPr>
          <w:rFonts w:ascii="Arial" w:hAnsi="Arial" w:cs="Arial"/>
        </w:rPr>
      </w:pPr>
      <w:r w:rsidRPr="00766C6D">
        <w:rPr>
          <w:rStyle w:val="Funotenzeichen"/>
          <w:rFonts w:ascii="Arial" w:hAnsi="Arial" w:cs="Arial"/>
        </w:rPr>
        <w:footnoteRef/>
      </w:r>
      <w:r w:rsidRPr="00766C6D">
        <w:rPr>
          <w:rFonts w:ascii="Arial" w:hAnsi="Arial" w:cs="Arial"/>
        </w:rPr>
        <w:t xml:space="preserve">  </w:t>
      </w:r>
      <w:r w:rsidRPr="00766C6D">
        <w:rPr>
          <w:rFonts w:ascii="Arial" w:hAnsi="Arial" w:cs="Arial"/>
        </w:rPr>
        <w:tab/>
        <w:t xml:space="preserve">López 2001: 360; Liebenberg </w:t>
      </w:r>
      <w:r w:rsidRPr="00D50A04">
        <w:rPr>
          <w:rFonts w:ascii="Arial" w:hAnsi="Arial" w:cs="Arial"/>
        </w:rPr>
        <w:t xml:space="preserve">&amp; kamerschen </w:t>
      </w:r>
      <w:r w:rsidRPr="00766C6D">
        <w:rPr>
          <w:rFonts w:ascii="Arial" w:hAnsi="Arial" w:cs="Arial"/>
        </w:rPr>
        <w:t xml:space="preserve">2008: 230-231; Theron 2001: 637; Walker 2006: </w:t>
      </w:r>
      <w:r>
        <w:rPr>
          <w:rFonts w:ascii="Arial" w:hAnsi="Arial" w:cs="Arial"/>
        </w:rPr>
        <w:tab/>
      </w:r>
      <w:r w:rsidRPr="00766C6D">
        <w:rPr>
          <w:rFonts w:ascii="Arial" w:hAnsi="Arial" w:cs="Arial"/>
        </w:rPr>
        <w:t>13;</w:t>
      </w:r>
      <w:r>
        <w:rPr>
          <w:rFonts w:ascii="Arial" w:hAnsi="Arial" w:cs="Arial"/>
        </w:rPr>
        <w:t xml:space="preserve"> </w:t>
      </w:r>
      <w:r w:rsidRPr="00766C6D">
        <w:rPr>
          <w:rFonts w:ascii="Arial" w:hAnsi="Arial" w:cs="Arial"/>
        </w:rPr>
        <w:t>Competition Commission Annual Report 2001: 49; Competition Commission 2002: 23.</w:t>
      </w:r>
    </w:p>
  </w:footnote>
  <w:footnote w:id="835">
    <w:p w:rsidR="005E7922" w:rsidRPr="00766C6D" w:rsidRDefault="005E7922" w:rsidP="00766C6D">
      <w:pPr>
        <w:pStyle w:val="Funotentext"/>
        <w:spacing w:line="240" w:lineRule="auto"/>
        <w:contextualSpacing/>
        <w:jc w:val="both"/>
        <w:rPr>
          <w:rFonts w:ascii="Arial" w:hAnsi="Arial" w:cs="Arial"/>
          <w:lang w:val="af-ZA"/>
        </w:rPr>
      </w:pPr>
      <w:r w:rsidRPr="00766C6D">
        <w:rPr>
          <w:rStyle w:val="Funotenzeichen"/>
          <w:rFonts w:ascii="Arial" w:hAnsi="Arial" w:cs="Arial"/>
        </w:rPr>
        <w:footnoteRef/>
      </w:r>
      <w:r w:rsidRPr="00766C6D">
        <w:rPr>
          <w:rFonts w:ascii="Arial" w:hAnsi="Arial" w:cs="Arial"/>
        </w:rPr>
        <w:t xml:space="preserve"> </w:t>
      </w:r>
      <w:r w:rsidRPr="00766C6D">
        <w:rPr>
          <w:rFonts w:ascii="Arial" w:hAnsi="Arial" w:cs="Arial"/>
        </w:rPr>
        <w:tab/>
        <w:t xml:space="preserve">López 2001: 360; Liebenberg </w:t>
      </w:r>
      <w:r w:rsidRPr="00BC6CB6">
        <w:rPr>
          <w:rFonts w:ascii="Arial" w:hAnsi="Arial" w:cs="Arial"/>
        </w:rPr>
        <w:t xml:space="preserve">&amp; kamerschen </w:t>
      </w:r>
      <w:r w:rsidRPr="00766C6D">
        <w:rPr>
          <w:rFonts w:ascii="Arial" w:hAnsi="Arial" w:cs="Arial"/>
        </w:rPr>
        <w:t xml:space="preserve">2008: 230-231; Smith 2005: 7; Theron 2001: </w:t>
      </w:r>
      <w:r>
        <w:rPr>
          <w:rFonts w:ascii="Arial" w:hAnsi="Arial" w:cs="Arial"/>
        </w:rPr>
        <w:tab/>
      </w:r>
      <w:r w:rsidRPr="00766C6D">
        <w:rPr>
          <w:rFonts w:ascii="Arial" w:hAnsi="Arial" w:cs="Arial"/>
        </w:rPr>
        <w:t xml:space="preserve">637; Walker 2006: 13; Competition Commission Annual Report 2001: 49; Competition </w:t>
      </w:r>
      <w:r>
        <w:rPr>
          <w:rFonts w:ascii="Arial" w:hAnsi="Arial" w:cs="Arial"/>
        </w:rPr>
        <w:tab/>
      </w:r>
      <w:r w:rsidRPr="00766C6D">
        <w:rPr>
          <w:rFonts w:ascii="Arial" w:hAnsi="Arial" w:cs="Arial"/>
        </w:rPr>
        <w:t>Commission 2002: 23.</w:t>
      </w:r>
    </w:p>
  </w:footnote>
  <w:footnote w:id="836">
    <w:p w:rsidR="005E7922" w:rsidRPr="00BC6CB6" w:rsidRDefault="005E7922" w:rsidP="00766C6D">
      <w:pPr>
        <w:pStyle w:val="Funotentext"/>
        <w:spacing w:line="240" w:lineRule="auto"/>
        <w:contextualSpacing/>
        <w:jc w:val="both"/>
        <w:rPr>
          <w:rFonts w:ascii="Arial" w:hAnsi="Arial" w:cs="Arial"/>
        </w:rPr>
      </w:pPr>
      <w:r w:rsidRPr="00BC6CB6">
        <w:rPr>
          <w:rStyle w:val="Funotenzeichen"/>
          <w:rFonts w:ascii="Arial" w:hAnsi="Arial" w:cs="Arial"/>
        </w:rPr>
        <w:footnoteRef/>
      </w:r>
      <w:r w:rsidRPr="00BC6CB6">
        <w:rPr>
          <w:rFonts w:ascii="Arial" w:hAnsi="Arial" w:cs="Arial"/>
        </w:rPr>
        <w:t xml:space="preserve">  </w:t>
      </w:r>
      <w:r w:rsidRPr="00BC6CB6">
        <w:rPr>
          <w:rFonts w:ascii="Arial" w:hAnsi="Arial" w:cs="Arial"/>
        </w:rPr>
        <w:tab/>
        <w:t xml:space="preserve">López 2001: 360; Smith 2005: 7; Liebenberg </w:t>
      </w:r>
      <w:r w:rsidRPr="00BC6CB6">
        <w:rPr>
          <w:rFonts w:ascii="Arial" w:hAnsi="Arial" w:cs="Arial"/>
          <w:i/>
        </w:rPr>
        <w:t xml:space="preserve">et al </w:t>
      </w:r>
      <w:r w:rsidRPr="00BC6CB6">
        <w:rPr>
          <w:rFonts w:ascii="Arial" w:hAnsi="Arial" w:cs="Arial"/>
        </w:rPr>
        <w:t xml:space="preserve"> 2008: 230-231; Competition Commission </w:t>
      </w:r>
      <w:r w:rsidRPr="00BC6CB6">
        <w:rPr>
          <w:rFonts w:ascii="Arial" w:hAnsi="Arial" w:cs="Arial"/>
        </w:rPr>
        <w:tab/>
        <w:t xml:space="preserve">Annual Report 2001: 49; Walker 2006: 13. </w:t>
      </w:r>
    </w:p>
  </w:footnote>
  <w:footnote w:id="837">
    <w:p w:rsidR="005E7922" w:rsidRPr="00BC6CB6" w:rsidRDefault="005E7922" w:rsidP="00766C6D">
      <w:pPr>
        <w:pStyle w:val="Funotentext"/>
        <w:spacing w:line="240" w:lineRule="auto"/>
        <w:contextualSpacing/>
        <w:jc w:val="both"/>
        <w:rPr>
          <w:rFonts w:ascii="Arial" w:hAnsi="Arial" w:cs="Arial"/>
        </w:rPr>
      </w:pPr>
      <w:r w:rsidRPr="00BC6CB6">
        <w:rPr>
          <w:rStyle w:val="Funotenzeichen"/>
          <w:rFonts w:ascii="Arial" w:hAnsi="Arial" w:cs="Arial"/>
        </w:rPr>
        <w:footnoteRef/>
      </w:r>
      <w:r w:rsidRPr="00BC6CB6">
        <w:rPr>
          <w:rFonts w:ascii="Arial" w:hAnsi="Arial" w:cs="Arial"/>
        </w:rPr>
        <w:t xml:space="preserve">  </w:t>
      </w:r>
      <w:r w:rsidRPr="00BC6CB6">
        <w:rPr>
          <w:rFonts w:ascii="Arial" w:hAnsi="Arial" w:cs="Arial"/>
        </w:rPr>
        <w:tab/>
        <w:t>López 2001: 360; Liebenberg &amp; kamerschen 2008: 230-231; Walker 2006: 13.</w:t>
      </w:r>
    </w:p>
  </w:footnote>
  <w:footnote w:id="838">
    <w:p w:rsidR="005E7922" w:rsidRPr="00BC6CB6" w:rsidRDefault="005E7922" w:rsidP="00766C6D">
      <w:pPr>
        <w:pStyle w:val="Funotentext"/>
        <w:spacing w:line="240" w:lineRule="auto"/>
        <w:contextualSpacing/>
        <w:jc w:val="both"/>
        <w:rPr>
          <w:rFonts w:ascii="Arial" w:hAnsi="Arial" w:cs="Arial"/>
        </w:rPr>
      </w:pPr>
      <w:r w:rsidRPr="00BC6CB6">
        <w:rPr>
          <w:rStyle w:val="Funotenzeichen"/>
          <w:rFonts w:ascii="Arial" w:hAnsi="Arial" w:cs="Arial"/>
        </w:rPr>
        <w:footnoteRef/>
      </w:r>
      <w:r w:rsidRPr="00BC6CB6">
        <w:rPr>
          <w:rFonts w:ascii="Arial" w:hAnsi="Arial" w:cs="Arial"/>
        </w:rPr>
        <w:t xml:space="preserve"> </w:t>
      </w:r>
      <w:r w:rsidRPr="00BC6CB6">
        <w:rPr>
          <w:rFonts w:ascii="Arial" w:hAnsi="Arial" w:cs="Arial"/>
        </w:rPr>
        <w:tab/>
        <w:t xml:space="preserve">Liebenberg &amp; kamerschen 2008: 231; Walker 2006: 13. </w:t>
      </w:r>
    </w:p>
  </w:footnote>
  <w:footnote w:id="839">
    <w:p w:rsidR="005E7922" w:rsidRPr="00BC6CB6" w:rsidRDefault="005E7922" w:rsidP="00766C6D">
      <w:pPr>
        <w:pStyle w:val="Funotentext"/>
        <w:spacing w:line="240" w:lineRule="auto"/>
        <w:contextualSpacing/>
        <w:jc w:val="both"/>
        <w:rPr>
          <w:rFonts w:ascii="Arial" w:hAnsi="Arial" w:cs="Arial"/>
        </w:rPr>
      </w:pPr>
      <w:r w:rsidRPr="00BC6CB6">
        <w:rPr>
          <w:rStyle w:val="Funotenzeichen"/>
          <w:rFonts w:ascii="Arial" w:hAnsi="Arial" w:cs="Arial"/>
        </w:rPr>
        <w:footnoteRef/>
      </w:r>
      <w:r w:rsidRPr="00BC6CB6">
        <w:rPr>
          <w:rFonts w:ascii="Arial" w:hAnsi="Arial" w:cs="Arial"/>
        </w:rPr>
        <w:t xml:space="preserve">  </w:t>
      </w:r>
      <w:r w:rsidRPr="00BC6CB6">
        <w:rPr>
          <w:rFonts w:ascii="Arial" w:hAnsi="Arial" w:cs="Arial"/>
        </w:rPr>
        <w:tab/>
        <w:t xml:space="preserve">Liebenberg &amp; kamerschen 2008: 231; Walker 2006: 13; Neuhoff </w:t>
      </w:r>
      <w:r w:rsidRPr="00BC6CB6">
        <w:rPr>
          <w:rFonts w:ascii="Arial" w:hAnsi="Arial" w:cs="Arial"/>
          <w:i/>
        </w:rPr>
        <w:t>et al</w:t>
      </w:r>
      <w:r w:rsidRPr="00BC6CB6">
        <w:rPr>
          <w:rFonts w:ascii="Arial" w:hAnsi="Arial" w:cs="Arial"/>
        </w:rPr>
        <w:t xml:space="preserve"> 2006: 41. </w:t>
      </w:r>
    </w:p>
  </w:footnote>
  <w:footnote w:id="840">
    <w:p w:rsidR="005E7922" w:rsidRPr="00BC6CB6" w:rsidRDefault="005E7922" w:rsidP="00F20DED">
      <w:pPr>
        <w:pStyle w:val="Funotentext"/>
        <w:spacing w:line="240" w:lineRule="auto"/>
        <w:contextualSpacing/>
        <w:jc w:val="both"/>
        <w:rPr>
          <w:rFonts w:ascii="Arial" w:hAnsi="Arial" w:cs="Arial"/>
        </w:rPr>
      </w:pPr>
      <w:r w:rsidRPr="00BC6CB6">
        <w:rPr>
          <w:rStyle w:val="Funotenzeichen"/>
          <w:rFonts w:ascii="Arial" w:hAnsi="Arial" w:cs="Arial"/>
        </w:rPr>
        <w:footnoteRef/>
      </w:r>
      <w:r w:rsidRPr="00BC6CB6">
        <w:rPr>
          <w:rFonts w:ascii="Arial" w:hAnsi="Arial" w:cs="Arial"/>
        </w:rPr>
        <w:t xml:space="preserve">  </w:t>
      </w:r>
      <w:r w:rsidRPr="00BC6CB6">
        <w:rPr>
          <w:rFonts w:ascii="Arial" w:hAnsi="Arial" w:cs="Arial"/>
        </w:rPr>
        <w:tab/>
        <w:t xml:space="preserve">Fedderke &amp; Simbanegavi 2008: 3; López 2001: 361; Liebenberg &amp; kamerschen 2008: 231; </w:t>
      </w:r>
      <w:r w:rsidRPr="00BC6CB6">
        <w:rPr>
          <w:rFonts w:ascii="Arial" w:hAnsi="Arial" w:cs="Arial"/>
        </w:rPr>
        <w:tab/>
        <w:t xml:space="preserve">OECD on </w:t>
      </w:r>
      <w:r w:rsidRPr="00BC6CB6">
        <w:rPr>
          <w:rStyle w:val="HTMLZitat"/>
          <w:rFonts w:ascii="Arial" w:hAnsi="Arial" w:cs="Arial"/>
          <w:i w:val="0"/>
        </w:rPr>
        <w:t xml:space="preserve">www.oecd.org/dataoecd/8/61/2376087.pdf (accessed on 31 Mei 2011); </w:t>
      </w:r>
      <w:r w:rsidRPr="00BC6CB6">
        <w:rPr>
          <w:rFonts w:ascii="Arial" w:hAnsi="Arial" w:cs="Arial"/>
        </w:rPr>
        <w:t xml:space="preserve">US Federal </w:t>
      </w:r>
      <w:r w:rsidRPr="00BC6CB6">
        <w:rPr>
          <w:rFonts w:ascii="Arial" w:hAnsi="Arial" w:cs="Arial"/>
        </w:rPr>
        <w:tab/>
        <w:t xml:space="preserve">Trade </w:t>
      </w:r>
      <w:r w:rsidRPr="00BC6CB6">
        <w:rPr>
          <w:rFonts w:ascii="Arial" w:hAnsi="Arial" w:cs="Arial"/>
        </w:rPr>
        <w:tab/>
        <w:t xml:space="preserve">Commission 1992 on http://www.ftc.gov/bc/docs/horizmer.shtm </w:t>
      </w:r>
      <w:r w:rsidRPr="00BC6CB6">
        <w:rPr>
          <w:rFonts w:ascii="Arial" w:hAnsi="Arial" w:cs="Arial"/>
        </w:rPr>
        <w:tab/>
        <w:t xml:space="preserve">(accessed 19 Mei </w:t>
      </w:r>
      <w:r w:rsidRPr="00BC6CB6">
        <w:rPr>
          <w:rFonts w:ascii="Arial" w:hAnsi="Arial" w:cs="Arial"/>
        </w:rPr>
        <w:tab/>
        <w:t>2011)</w:t>
      </w:r>
    </w:p>
  </w:footnote>
  <w:footnote w:id="841">
    <w:p w:rsidR="005E7922" w:rsidRPr="00BC6CB6" w:rsidRDefault="005E7922" w:rsidP="00F20DED">
      <w:pPr>
        <w:pStyle w:val="Funotentext"/>
        <w:spacing w:line="240" w:lineRule="auto"/>
        <w:contextualSpacing/>
        <w:jc w:val="both"/>
        <w:rPr>
          <w:rFonts w:ascii="Arial" w:hAnsi="Arial" w:cs="Arial"/>
        </w:rPr>
      </w:pPr>
      <w:r w:rsidRPr="00BC6CB6">
        <w:rPr>
          <w:rStyle w:val="Funotenzeichen"/>
          <w:rFonts w:ascii="Arial" w:hAnsi="Arial" w:cs="Arial"/>
        </w:rPr>
        <w:footnoteRef/>
      </w:r>
      <w:r w:rsidRPr="00BC6CB6">
        <w:rPr>
          <w:rFonts w:ascii="Arial" w:hAnsi="Arial" w:cs="Arial"/>
        </w:rPr>
        <w:t xml:space="preserve">  </w:t>
      </w:r>
      <w:r w:rsidRPr="00BC6CB6">
        <w:rPr>
          <w:rFonts w:ascii="Arial" w:hAnsi="Arial" w:cs="Arial"/>
        </w:rPr>
        <w:tab/>
        <w:t xml:space="preserve">Fedderke &amp; Simbanegavi 2008: 3; López 2001: 361; Liebenberg &amp; kamerschen </w:t>
      </w:r>
    </w:p>
    <w:p w:rsidR="005E7922" w:rsidRDefault="005E7922" w:rsidP="00F20DED">
      <w:pPr>
        <w:pStyle w:val="Funotentext"/>
        <w:spacing w:line="240" w:lineRule="auto"/>
        <w:contextualSpacing/>
        <w:jc w:val="both"/>
        <w:rPr>
          <w:rFonts w:ascii="Arial" w:hAnsi="Arial" w:cs="Arial"/>
        </w:rPr>
      </w:pPr>
      <w:r w:rsidRPr="00BC6CB6">
        <w:rPr>
          <w:rFonts w:ascii="Arial" w:hAnsi="Arial" w:cs="Arial"/>
        </w:rPr>
        <w:tab/>
        <w:t xml:space="preserve">2008: 231; Competition Commission Annual Report2001: 49; </w:t>
      </w:r>
    </w:p>
    <w:p w:rsidR="005E7922" w:rsidRPr="00BC6CB6" w:rsidRDefault="005E7922" w:rsidP="00F20DED">
      <w:pPr>
        <w:pStyle w:val="Funotentext"/>
        <w:spacing w:line="240" w:lineRule="auto"/>
        <w:contextualSpacing/>
        <w:jc w:val="both"/>
        <w:rPr>
          <w:rStyle w:val="HTMLZitat"/>
          <w:rFonts w:ascii="Arial" w:hAnsi="Arial" w:cs="Arial"/>
          <w:i w:val="0"/>
        </w:rPr>
      </w:pPr>
      <w:r>
        <w:rPr>
          <w:rFonts w:ascii="Arial" w:hAnsi="Arial" w:cs="Arial"/>
        </w:rPr>
        <w:tab/>
      </w:r>
      <w:r w:rsidRPr="00BC6CB6">
        <w:rPr>
          <w:rFonts w:ascii="Arial" w:hAnsi="Arial" w:cs="Arial"/>
        </w:rPr>
        <w:t xml:space="preserve">OECD on </w:t>
      </w:r>
      <w:r w:rsidRPr="00BC6CB6">
        <w:rPr>
          <w:rStyle w:val="HTMLZitat"/>
          <w:rFonts w:ascii="Arial" w:hAnsi="Arial" w:cs="Arial"/>
          <w:i w:val="0"/>
        </w:rPr>
        <w:t xml:space="preserve">www.oecd.org/dataoecd/8/61/2376087.pdf (accessed on 31 Mei 2011); </w:t>
      </w:r>
    </w:p>
    <w:p w:rsidR="005E7922" w:rsidRPr="00BC6CB6" w:rsidRDefault="005E7922" w:rsidP="00F20DED">
      <w:pPr>
        <w:pStyle w:val="Funotentext"/>
        <w:spacing w:line="240" w:lineRule="auto"/>
        <w:contextualSpacing/>
        <w:jc w:val="both"/>
        <w:rPr>
          <w:rFonts w:ascii="Arial" w:hAnsi="Arial" w:cs="Arial"/>
        </w:rPr>
      </w:pPr>
      <w:r w:rsidRPr="00BC6CB6">
        <w:rPr>
          <w:rStyle w:val="HTMLZitat"/>
          <w:rFonts w:ascii="Arial" w:hAnsi="Arial" w:cs="Arial"/>
          <w:i w:val="0"/>
        </w:rPr>
        <w:tab/>
      </w:r>
      <w:r w:rsidRPr="00BC6CB6">
        <w:rPr>
          <w:rFonts w:ascii="Arial" w:hAnsi="Arial" w:cs="Arial"/>
        </w:rPr>
        <w:t xml:space="preserve">US Federal Trade Commission 1992 on </w:t>
      </w:r>
      <w:r w:rsidRPr="00BC6CB6">
        <w:rPr>
          <w:rFonts w:ascii="Arial" w:hAnsi="Arial" w:cs="Arial"/>
        </w:rPr>
        <w:tab/>
        <w:t xml:space="preserve">http://www.ftc.gov/bc/docs/horizmer.shtm (accessed </w:t>
      </w:r>
      <w:r w:rsidRPr="00BC6CB6">
        <w:rPr>
          <w:rFonts w:ascii="Arial" w:hAnsi="Arial" w:cs="Arial"/>
        </w:rPr>
        <w:tab/>
        <w:t>19 Mei 2011)</w:t>
      </w:r>
    </w:p>
  </w:footnote>
  <w:footnote w:id="842">
    <w:p w:rsidR="005E7922" w:rsidRDefault="005E7922" w:rsidP="00F20DED">
      <w:pPr>
        <w:pStyle w:val="Funotentext"/>
        <w:spacing w:line="240" w:lineRule="auto"/>
        <w:contextualSpacing/>
        <w:jc w:val="both"/>
        <w:rPr>
          <w:rFonts w:ascii="Arial" w:hAnsi="Arial" w:cs="Arial"/>
        </w:rPr>
      </w:pPr>
      <w:r w:rsidRPr="00BC6CB6">
        <w:rPr>
          <w:rStyle w:val="Funotenzeichen"/>
          <w:rFonts w:ascii="Arial" w:hAnsi="Arial" w:cs="Arial"/>
        </w:rPr>
        <w:footnoteRef/>
      </w:r>
      <w:r w:rsidRPr="00BC6CB6">
        <w:rPr>
          <w:rFonts w:ascii="Arial" w:hAnsi="Arial" w:cs="Arial"/>
        </w:rPr>
        <w:t xml:space="preserve">  </w:t>
      </w:r>
      <w:r w:rsidRPr="00BC6CB6">
        <w:rPr>
          <w:rFonts w:ascii="Arial" w:hAnsi="Arial" w:cs="Arial"/>
        </w:rPr>
        <w:tab/>
        <w:t xml:space="preserve">Leach 1992: 154; Fedderke &amp; Simbanegavi 2008: 3; </w:t>
      </w:r>
    </w:p>
    <w:p w:rsidR="005E7922" w:rsidRPr="00BC6CB6" w:rsidRDefault="005E7922" w:rsidP="00F20DED">
      <w:pPr>
        <w:pStyle w:val="Funotentext"/>
        <w:spacing w:line="240" w:lineRule="auto"/>
        <w:contextualSpacing/>
        <w:jc w:val="both"/>
        <w:rPr>
          <w:rFonts w:ascii="Arial" w:hAnsi="Arial" w:cs="Arial"/>
        </w:rPr>
      </w:pPr>
      <w:r>
        <w:rPr>
          <w:rFonts w:ascii="Arial" w:hAnsi="Arial" w:cs="Arial"/>
        </w:rPr>
        <w:tab/>
      </w:r>
      <w:r w:rsidRPr="00BC6CB6">
        <w:rPr>
          <w:rFonts w:ascii="Arial" w:hAnsi="Arial" w:cs="Arial"/>
        </w:rPr>
        <w:t xml:space="preserve">OECD on </w:t>
      </w:r>
      <w:r w:rsidRPr="00BC6CB6">
        <w:rPr>
          <w:rStyle w:val="HTMLZitat"/>
          <w:rFonts w:ascii="Arial" w:hAnsi="Arial" w:cs="Arial"/>
          <w:i w:val="0"/>
        </w:rPr>
        <w:t>www.oecd.org/dataoecd/8/61/2376087.pdf (accessed on 31 Mei 2011)</w:t>
      </w:r>
    </w:p>
  </w:footnote>
  <w:footnote w:id="843">
    <w:p w:rsidR="005E7922" w:rsidRPr="00BC6CB6" w:rsidRDefault="005E7922" w:rsidP="00F20DED">
      <w:pPr>
        <w:pStyle w:val="Funotentext"/>
        <w:spacing w:line="240" w:lineRule="auto"/>
        <w:contextualSpacing/>
        <w:jc w:val="both"/>
        <w:rPr>
          <w:rFonts w:ascii="Arial" w:hAnsi="Arial" w:cs="Arial"/>
        </w:rPr>
      </w:pPr>
      <w:r w:rsidRPr="00BC6CB6">
        <w:rPr>
          <w:rStyle w:val="Funotenzeichen"/>
          <w:rFonts w:ascii="Arial" w:hAnsi="Arial" w:cs="Arial"/>
        </w:rPr>
        <w:footnoteRef/>
      </w:r>
      <w:r w:rsidRPr="00BC6CB6">
        <w:rPr>
          <w:rFonts w:ascii="Arial" w:hAnsi="Arial" w:cs="Arial"/>
        </w:rPr>
        <w:t xml:space="preserve"> </w:t>
      </w:r>
      <w:r w:rsidRPr="00BC6CB6">
        <w:rPr>
          <w:rFonts w:ascii="Arial" w:hAnsi="Arial" w:cs="Arial"/>
        </w:rPr>
        <w:tab/>
        <w:t xml:space="preserve">Remember, market shares can be expressed in various metrics such as total sales, total </w:t>
      </w:r>
      <w:r w:rsidRPr="00BC6CB6">
        <w:rPr>
          <w:rFonts w:ascii="Arial" w:hAnsi="Arial" w:cs="Arial"/>
        </w:rPr>
        <w:tab/>
        <w:t>revenues, total output, total production capacity, total value and total inputs.</w:t>
      </w:r>
    </w:p>
  </w:footnote>
  <w:footnote w:id="844">
    <w:p w:rsidR="005E7922" w:rsidRPr="00BC6CB6" w:rsidRDefault="005E7922" w:rsidP="00F20DED">
      <w:pPr>
        <w:pStyle w:val="Funotentext"/>
        <w:spacing w:line="240" w:lineRule="auto"/>
        <w:contextualSpacing/>
        <w:jc w:val="both"/>
        <w:rPr>
          <w:rFonts w:ascii="Arial" w:hAnsi="Arial" w:cs="Arial"/>
        </w:rPr>
      </w:pPr>
      <w:r w:rsidRPr="00BC6CB6">
        <w:rPr>
          <w:rStyle w:val="Funotenzeichen"/>
          <w:rFonts w:ascii="Arial" w:hAnsi="Arial" w:cs="Arial"/>
        </w:rPr>
        <w:footnoteRef/>
      </w:r>
      <w:r w:rsidRPr="00BC6CB6">
        <w:rPr>
          <w:rFonts w:ascii="Arial" w:hAnsi="Arial" w:cs="Arial"/>
        </w:rPr>
        <w:t xml:space="preserve"> </w:t>
      </w:r>
      <w:r w:rsidRPr="00BC6CB6">
        <w:rPr>
          <w:rFonts w:ascii="Arial" w:hAnsi="Arial" w:cs="Arial"/>
        </w:rPr>
        <w:tab/>
        <w:t>López 2001: 361; Liebenberg &amp; kamerschen</w:t>
      </w:r>
      <w:r w:rsidRPr="00BC6CB6">
        <w:rPr>
          <w:rFonts w:ascii="Arial" w:hAnsi="Arial" w:cs="Arial"/>
          <w:i/>
        </w:rPr>
        <w:t xml:space="preserve"> </w:t>
      </w:r>
      <w:r w:rsidRPr="00BC6CB6">
        <w:rPr>
          <w:rFonts w:ascii="Arial" w:hAnsi="Arial" w:cs="Arial"/>
        </w:rPr>
        <w:t>2008: 231.</w:t>
      </w:r>
    </w:p>
  </w:footnote>
  <w:footnote w:id="845">
    <w:p w:rsidR="005E7922" w:rsidRPr="00F20DED" w:rsidRDefault="005E7922" w:rsidP="00F20DED">
      <w:pPr>
        <w:pStyle w:val="Funotentext"/>
        <w:spacing w:line="240" w:lineRule="auto"/>
        <w:contextualSpacing/>
        <w:jc w:val="both"/>
        <w:rPr>
          <w:rFonts w:ascii="Arial" w:hAnsi="Arial" w:cs="Arial"/>
          <w:lang w:val="af-ZA"/>
        </w:rPr>
      </w:pPr>
      <w:r w:rsidRPr="00F20DED">
        <w:rPr>
          <w:rStyle w:val="Funotenzeichen"/>
          <w:rFonts w:ascii="Arial" w:hAnsi="Arial" w:cs="Arial"/>
        </w:rPr>
        <w:footnoteRef/>
      </w:r>
      <w:r w:rsidRPr="00F20DED">
        <w:rPr>
          <w:rFonts w:ascii="Arial" w:hAnsi="Arial" w:cs="Arial"/>
        </w:rPr>
        <w:t xml:space="preserve"> </w:t>
      </w:r>
      <w:r w:rsidRPr="00F20DED">
        <w:rPr>
          <w:rFonts w:ascii="Arial" w:hAnsi="Arial" w:cs="Arial"/>
          <w:lang w:val="af-ZA"/>
        </w:rPr>
        <w:t xml:space="preserve"> </w:t>
      </w:r>
      <w:r w:rsidRPr="00F20DED">
        <w:rPr>
          <w:rFonts w:ascii="Arial" w:hAnsi="Arial" w:cs="Arial"/>
          <w:lang w:val="af-ZA"/>
        </w:rPr>
        <w:tab/>
      </w:r>
      <w:r w:rsidRPr="00F20DED">
        <w:rPr>
          <w:rFonts w:ascii="Arial" w:hAnsi="Arial" w:cs="Arial"/>
        </w:rPr>
        <w:t xml:space="preserve">López 2001: 361; Liebenberg </w:t>
      </w:r>
      <w:r w:rsidRPr="00BC6CB6">
        <w:rPr>
          <w:rFonts w:ascii="Arial" w:hAnsi="Arial" w:cs="Arial"/>
        </w:rPr>
        <w:t xml:space="preserve">&amp; kamerschen </w:t>
      </w:r>
      <w:r w:rsidRPr="00F20DED">
        <w:rPr>
          <w:rFonts w:ascii="Arial" w:hAnsi="Arial" w:cs="Arial"/>
        </w:rPr>
        <w:t>2008: 231.</w:t>
      </w:r>
    </w:p>
  </w:footnote>
  <w:footnote w:id="846">
    <w:p w:rsidR="005E7922" w:rsidRPr="00F20DED" w:rsidRDefault="005E7922" w:rsidP="00F20DED">
      <w:pPr>
        <w:pStyle w:val="Funotentext"/>
        <w:spacing w:line="240" w:lineRule="auto"/>
        <w:contextualSpacing/>
        <w:jc w:val="both"/>
        <w:rPr>
          <w:rFonts w:ascii="Arial" w:hAnsi="Arial" w:cs="Arial"/>
          <w:lang w:val="af-ZA"/>
        </w:rPr>
      </w:pPr>
      <w:r w:rsidRPr="00F20DED">
        <w:rPr>
          <w:rStyle w:val="Funotenzeichen"/>
          <w:rFonts w:ascii="Arial" w:hAnsi="Arial" w:cs="Arial"/>
        </w:rPr>
        <w:footnoteRef/>
      </w:r>
      <w:r w:rsidRPr="00F20DED">
        <w:rPr>
          <w:rFonts w:ascii="Arial" w:hAnsi="Arial" w:cs="Arial"/>
        </w:rPr>
        <w:t xml:space="preserve"> </w:t>
      </w:r>
      <w:r w:rsidRPr="00F20DED">
        <w:rPr>
          <w:rFonts w:ascii="Arial" w:hAnsi="Arial" w:cs="Arial"/>
        </w:rPr>
        <w:tab/>
        <w:t xml:space="preserve">López 2001: 361; Liebenberg </w:t>
      </w:r>
      <w:r w:rsidRPr="00BC6CB6">
        <w:rPr>
          <w:rFonts w:ascii="Arial" w:hAnsi="Arial" w:cs="Arial"/>
        </w:rPr>
        <w:t xml:space="preserve">&amp; kamerschen </w:t>
      </w:r>
      <w:r w:rsidRPr="00F20DED">
        <w:rPr>
          <w:rFonts w:ascii="Arial" w:hAnsi="Arial" w:cs="Arial"/>
        </w:rPr>
        <w:t>2008: 231.</w:t>
      </w:r>
    </w:p>
  </w:footnote>
  <w:footnote w:id="847">
    <w:p w:rsidR="005E7922" w:rsidRPr="00F20DED" w:rsidRDefault="005E7922" w:rsidP="00F20DED">
      <w:pPr>
        <w:pStyle w:val="Funotentext"/>
        <w:spacing w:line="240" w:lineRule="auto"/>
        <w:contextualSpacing/>
        <w:jc w:val="both"/>
        <w:rPr>
          <w:rFonts w:ascii="Arial" w:hAnsi="Arial" w:cs="Arial"/>
          <w:lang w:val="af-ZA"/>
        </w:rPr>
      </w:pPr>
      <w:r w:rsidRPr="00F20DED">
        <w:rPr>
          <w:rStyle w:val="Funotenzeichen"/>
          <w:rFonts w:ascii="Arial" w:hAnsi="Arial" w:cs="Arial"/>
        </w:rPr>
        <w:footnoteRef/>
      </w:r>
      <w:r w:rsidRPr="00F20DED">
        <w:rPr>
          <w:rFonts w:ascii="Arial" w:hAnsi="Arial" w:cs="Arial"/>
        </w:rPr>
        <w:t xml:space="preserve"> </w:t>
      </w:r>
      <w:r w:rsidRPr="00F20DED">
        <w:rPr>
          <w:rFonts w:ascii="Arial" w:hAnsi="Arial" w:cs="Arial"/>
        </w:rPr>
        <w:tab/>
        <w:t xml:space="preserve">López 2001: 361; Liebenberg </w:t>
      </w:r>
      <w:r w:rsidRPr="00BC6CB6">
        <w:rPr>
          <w:rFonts w:ascii="Arial" w:hAnsi="Arial" w:cs="Arial"/>
        </w:rPr>
        <w:t xml:space="preserve">&amp; kamerschen </w:t>
      </w:r>
      <w:r w:rsidRPr="00F20DED">
        <w:rPr>
          <w:rFonts w:ascii="Arial" w:hAnsi="Arial" w:cs="Arial"/>
        </w:rPr>
        <w:t>2008: 231.</w:t>
      </w:r>
    </w:p>
  </w:footnote>
  <w:footnote w:id="848">
    <w:p w:rsidR="005E7922" w:rsidRPr="00F20DED" w:rsidRDefault="005E7922" w:rsidP="00F20DED">
      <w:pPr>
        <w:pStyle w:val="Funotentext"/>
        <w:spacing w:line="240" w:lineRule="auto"/>
        <w:contextualSpacing/>
        <w:jc w:val="both"/>
        <w:rPr>
          <w:rFonts w:ascii="Arial" w:hAnsi="Arial" w:cs="Arial"/>
          <w:lang w:val="af-ZA"/>
        </w:rPr>
      </w:pPr>
      <w:r w:rsidRPr="00F20DED">
        <w:rPr>
          <w:rStyle w:val="Funotenzeichen"/>
          <w:rFonts w:ascii="Arial" w:hAnsi="Arial" w:cs="Arial"/>
        </w:rPr>
        <w:footnoteRef/>
      </w:r>
      <w:r w:rsidRPr="00F20DED">
        <w:rPr>
          <w:rFonts w:ascii="Arial" w:hAnsi="Arial" w:cs="Arial"/>
        </w:rPr>
        <w:t xml:space="preserve"> </w:t>
      </w:r>
      <w:r w:rsidRPr="00F20DED">
        <w:rPr>
          <w:rFonts w:ascii="Arial" w:hAnsi="Arial" w:cs="Arial"/>
        </w:rPr>
        <w:tab/>
        <w:t xml:space="preserve">López 2001: 361; Liebenberg </w:t>
      </w:r>
      <w:r w:rsidRPr="00BC6CB6">
        <w:rPr>
          <w:rFonts w:ascii="Arial" w:hAnsi="Arial" w:cs="Arial"/>
        </w:rPr>
        <w:t xml:space="preserve">&amp; kamerschen </w:t>
      </w:r>
      <w:r w:rsidRPr="00F20DED">
        <w:rPr>
          <w:rFonts w:ascii="Arial" w:hAnsi="Arial" w:cs="Arial"/>
        </w:rPr>
        <w:t>2008: 231.</w:t>
      </w:r>
    </w:p>
  </w:footnote>
  <w:footnote w:id="849">
    <w:p w:rsidR="005E7922" w:rsidRPr="00F20DED" w:rsidRDefault="005E7922" w:rsidP="00F20DED">
      <w:pPr>
        <w:pStyle w:val="Funotentext"/>
        <w:spacing w:line="240" w:lineRule="auto"/>
        <w:contextualSpacing/>
        <w:jc w:val="both"/>
        <w:rPr>
          <w:rFonts w:ascii="Arial" w:hAnsi="Arial" w:cs="Arial"/>
          <w:lang w:val="af-ZA"/>
        </w:rPr>
      </w:pPr>
      <w:r w:rsidRPr="00F20DED">
        <w:rPr>
          <w:rStyle w:val="Funotenzeichen"/>
          <w:rFonts w:ascii="Arial" w:hAnsi="Arial" w:cs="Arial"/>
        </w:rPr>
        <w:footnoteRef/>
      </w:r>
      <w:r w:rsidRPr="00F20DED">
        <w:rPr>
          <w:rFonts w:ascii="Arial" w:hAnsi="Arial" w:cs="Arial"/>
        </w:rPr>
        <w:t xml:space="preserve"> </w:t>
      </w:r>
      <w:r w:rsidRPr="00F20DED">
        <w:rPr>
          <w:rFonts w:ascii="Arial" w:hAnsi="Arial" w:cs="Arial"/>
          <w:lang w:val="af-ZA"/>
        </w:rPr>
        <w:t xml:space="preserve"> </w:t>
      </w:r>
      <w:r w:rsidRPr="00F20DED">
        <w:rPr>
          <w:rFonts w:ascii="Arial" w:hAnsi="Arial" w:cs="Arial"/>
          <w:lang w:val="af-ZA"/>
        </w:rPr>
        <w:tab/>
      </w:r>
      <w:r w:rsidRPr="00F20DED">
        <w:rPr>
          <w:rFonts w:ascii="Arial" w:hAnsi="Arial" w:cs="Arial"/>
        </w:rPr>
        <w:t xml:space="preserve">US Federal Trade Commission 1992 on http://www.ftc.gov/bc/docs/horizmer.shtm (accessed </w:t>
      </w:r>
      <w:r w:rsidRPr="00F20DED">
        <w:rPr>
          <w:rFonts w:ascii="Arial" w:hAnsi="Arial" w:cs="Arial"/>
        </w:rPr>
        <w:tab/>
        <w:t>19 Mei 2011); Fedderke &amp; Simbanegavi 2008: 3.</w:t>
      </w:r>
    </w:p>
  </w:footnote>
  <w:footnote w:id="850">
    <w:p w:rsidR="005E7922" w:rsidRPr="00F20DED" w:rsidRDefault="005E7922" w:rsidP="00F20DED">
      <w:pPr>
        <w:pStyle w:val="Funotentext"/>
        <w:spacing w:line="240" w:lineRule="auto"/>
        <w:contextualSpacing/>
        <w:jc w:val="both"/>
        <w:rPr>
          <w:rFonts w:ascii="Arial" w:hAnsi="Arial" w:cs="Arial"/>
          <w:lang w:val="af-ZA"/>
        </w:rPr>
      </w:pPr>
      <w:r w:rsidRPr="00F20DED">
        <w:rPr>
          <w:rStyle w:val="Funotenzeichen"/>
          <w:rFonts w:ascii="Arial" w:hAnsi="Arial" w:cs="Arial"/>
        </w:rPr>
        <w:footnoteRef/>
      </w:r>
      <w:r w:rsidRPr="00F20DED">
        <w:rPr>
          <w:rFonts w:ascii="Arial" w:hAnsi="Arial" w:cs="Arial"/>
        </w:rPr>
        <w:t xml:space="preserve"> </w:t>
      </w:r>
      <w:r w:rsidRPr="00F20DED">
        <w:rPr>
          <w:rFonts w:ascii="Arial" w:hAnsi="Arial" w:cs="Arial"/>
        </w:rPr>
        <w:tab/>
        <w:t xml:space="preserve">US Federal Trade Commission 1992 on http://www.ftc.gov/bc/docs/horizmer.shtm (accessed </w:t>
      </w:r>
      <w:r w:rsidRPr="00F20DED">
        <w:rPr>
          <w:rFonts w:ascii="Arial" w:hAnsi="Arial" w:cs="Arial"/>
        </w:rPr>
        <w:tab/>
        <w:t>19 Mei 2011); Fedderke &amp; Simbanegavi 2008: 3.</w:t>
      </w:r>
    </w:p>
  </w:footnote>
  <w:footnote w:id="851">
    <w:p w:rsidR="005E7922" w:rsidRPr="00BF4FA4" w:rsidRDefault="005E7922" w:rsidP="00BF4FA4">
      <w:pPr>
        <w:pStyle w:val="Funotentext"/>
        <w:spacing w:line="240" w:lineRule="auto"/>
        <w:contextualSpacing/>
        <w:jc w:val="both"/>
        <w:rPr>
          <w:rFonts w:ascii="Arial" w:hAnsi="Arial" w:cs="Arial"/>
        </w:rPr>
      </w:pPr>
      <w:r w:rsidRPr="00BF4FA4">
        <w:rPr>
          <w:rStyle w:val="Funotenzeichen"/>
          <w:rFonts w:ascii="Arial" w:hAnsi="Arial" w:cs="Arial"/>
        </w:rPr>
        <w:footnoteRef/>
      </w:r>
      <w:r w:rsidRPr="00BF4FA4">
        <w:rPr>
          <w:rFonts w:ascii="Arial" w:hAnsi="Arial" w:cs="Arial"/>
        </w:rPr>
        <w:t xml:space="preserve"> </w:t>
      </w:r>
      <w:r w:rsidRPr="00BF4FA4">
        <w:rPr>
          <w:rFonts w:ascii="Arial" w:hAnsi="Arial" w:cs="Arial"/>
        </w:rPr>
        <w:tab/>
        <w:t xml:space="preserve">US Federal Trade Commission 1992 on http://www.ftc.gov/bc/docs/horizmer.shtm (accessed </w:t>
      </w:r>
      <w:r w:rsidRPr="00BF4FA4">
        <w:rPr>
          <w:rFonts w:ascii="Arial" w:hAnsi="Arial" w:cs="Arial"/>
        </w:rPr>
        <w:tab/>
        <w:t>19 Mei 2011); Fedderke &amp; Simbanegavi 2008: 3; López 2001: 361; Theron 2001: 637.</w:t>
      </w:r>
    </w:p>
  </w:footnote>
  <w:footnote w:id="852">
    <w:p w:rsidR="005E7922" w:rsidRPr="003742F2" w:rsidRDefault="005E7922" w:rsidP="003742F2">
      <w:pPr>
        <w:pStyle w:val="Funotentext"/>
        <w:spacing w:line="240" w:lineRule="auto"/>
        <w:contextualSpacing/>
        <w:jc w:val="both"/>
        <w:rPr>
          <w:rFonts w:ascii="Arial" w:hAnsi="Arial" w:cs="Arial"/>
        </w:rPr>
      </w:pPr>
      <w:r w:rsidRPr="003742F2">
        <w:rPr>
          <w:rStyle w:val="Funotenzeichen"/>
          <w:rFonts w:ascii="Arial" w:hAnsi="Arial" w:cs="Arial"/>
        </w:rPr>
        <w:footnoteRef/>
      </w:r>
      <w:r w:rsidRPr="003742F2">
        <w:rPr>
          <w:rFonts w:ascii="Arial" w:hAnsi="Arial" w:cs="Arial"/>
        </w:rPr>
        <w:t xml:space="preserve">  </w:t>
      </w:r>
      <w:r w:rsidRPr="003742F2">
        <w:rPr>
          <w:rFonts w:ascii="Arial" w:hAnsi="Arial" w:cs="Arial"/>
        </w:rPr>
        <w:tab/>
        <w:t xml:space="preserve">OECD on </w:t>
      </w:r>
      <w:r w:rsidRPr="003742F2">
        <w:rPr>
          <w:rStyle w:val="HTMLZitat"/>
          <w:rFonts w:ascii="Arial" w:hAnsi="Arial" w:cs="Arial"/>
          <w:i w:val="0"/>
        </w:rPr>
        <w:t>www.oecd.org/dataoecd/8/61/2376087.pdf (accessed on 31 Mei 2011)</w:t>
      </w:r>
    </w:p>
  </w:footnote>
  <w:footnote w:id="853">
    <w:p w:rsidR="005E7922" w:rsidRPr="003742F2" w:rsidRDefault="005E7922" w:rsidP="003742F2">
      <w:pPr>
        <w:pStyle w:val="Funotentext"/>
        <w:spacing w:line="240" w:lineRule="auto"/>
        <w:contextualSpacing/>
        <w:jc w:val="both"/>
        <w:rPr>
          <w:rFonts w:ascii="Arial" w:hAnsi="Arial" w:cs="Arial"/>
        </w:rPr>
      </w:pPr>
      <w:r w:rsidRPr="003742F2">
        <w:rPr>
          <w:rStyle w:val="Funotenzeichen"/>
          <w:rFonts w:ascii="Arial" w:hAnsi="Arial" w:cs="Arial"/>
        </w:rPr>
        <w:footnoteRef/>
      </w:r>
      <w:r w:rsidRPr="003742F2">
        <w:rPr>
          <w:rFonts w:ascii="Arial" w:hAnsi="Arial" w:cs="Arial"/>
        </w:rPr>
        <w:t xml:space="preserve"> </w:t>
      </w:r>
      <w:r w:rsidRPr="003742F2">
        <w:rPr>
          <w:rFonts w:ascii="Arial" w:hAnsi="Arial" w:cs="Arial"/>
        </w:rPr>
        <w:tab/>
        <w:t>Fedderke &amp; Simbanegavi 2008: 3.</w:t>
      </w:r>
    </w:p>
  </w:footnote>
  <w:footnote w:id="854">
    <w:p w:rsidR="005E7922" w:rsidRPr="003742F2" w:rsidRDefault="005E7922" w:rsidP="003742F2">
      <w:pPr>
        <w:pStyle w:val="Funotentext"/>
        <w:spacing w:line="240" w:lineRule="auto"/>
        <w:contextualSpacing/>
        <w:jc w:val="both"/>
        <w:rPr>
          <w:rFonts w:ascii="Arial" w:hAnsi="Arial" w:cs="Arial"/>
        </w:rPr>
      </w:pPr>
      <w:r w:rsidRPr="003742F2">
        <w:rPr>
          <w:rStyle w:val="Funotenzeichen"/>
          <w:rFonts w:ascii="Arial" w:hAnsi="Arial" w:cs="Arial"/>
        </w:rPr>
        <w:footnoteRef/>
      </w:r>
      <w:r w:rsidRPr="003742F2">
        <w:rPr>
          <w:rFonts w:ascii="Arial" w:hAnsi="Arial" w:cs="Arial"/>
        </w:rPr>
        <w:t xml:space="preserve">  </w:t>
      </w:r>
      <w:r w:rsidRPr="003742F2">
        <w:rPr>
          <w:rFonts w:ascii="Arial" w:hAnsi="Arial" w:cs="Arial"/>
        </w:rPr>
        <w:tab/>
        <w:t>Fourie 1996: 114; Theron 2001: 637.</w:t>
      </w:r>
    </w:p>
  </w:footnote>
  <w:footnote w:id="855">
    <w:p w:rsidR="005E7922" w:rsidRPr="003742F2" w:rsidRDefault="005E7922" w:rsidP="003742F2">
      <w:pPr>
        <w:pStyle w:val="Funotentext"/>
        <w:spacing w:line="240" w:lineRule="auto"/>
        <w:contextualSpacing/>
        <w:jc w:val="both"/>
        <w:rPr>
          <w:rFonts w:ascii="Arial" w:hAnsi="Arial" w:cs="Arial"/>
        </w:rPr>
      </w:pPr>
      <w:r w:rsidRPr="003742F2">
        <w:rPr>
          <w:rStyle w:val="Funotenzeichen"/>
          <w:rFonts w:ascii="Arial" w:hAnsi="Arial" w:cs="Arial"/>
        </w:rPr>
        <w:footnoteRef/>
      </w:r>
      <w:r w:rsidRPr="003742F2">
        <w:rPr>
          <w:rFonts w:ascii="Arial" w:hAnsi="Arial" w:cs="Arial"/>
        </w:rPr>
        <w:t xml:space="preserve">  </w:t>
      </w:r>
      <w:r w:rsidRPr="003742F2">
        <w:rPr>
          <w:rFonts w:ascii="Arial" w:hAnsi="Arial" w:cs="Arial"/>
        </w:rPr>
        <w:tab/>
        <w:t>Theron 2001: 637.</w:t>
      </w:r>
    </w:p>
  </w:footnote>
  <w:footnote w:id="856">
    <w:p w:rsidR="005E7922" w:rsidRPr="003742F2" w:rsidRDefault="005E7922" w:rsidP="003742F2">
      <w:pPr>
        <w:pStyle w:val="Funotentext"/>
        <w:spacing w:line="240" w:lineRule="auto"/>
        <w:contextualSpacing/>
        <w:jc w:val="both"/>
        <w:rPr>
          <w:rFonts w:ascii="Arial" w:hAnsi="Arial" w:cs="Arial"/>
        </w:rPr>
      </w:pPr>
      <w:r w:rsidRPr="003742F2">
        <w:rPr>
          <w:rStyle w:val="Funotenzeichen"/>
          <w:rFonts w:ascii="Arial" w:hAnsi="Arial" w:cs="Arial"/>
        </w:rPr>
        <w:footnoteRef/>
      </w:r>
      <w:r w:rsidRPr="003742F2">
        <w:rPr>
          <w:rFonts w:ascii="Arial" w:hAnsi="Arial" w:cs="Arial"/>
        </w:rPr>
        <w:t xml:space="preserve">  </w:t>
      </w:r>
      <w:r w:rsidRPr="003742F2">
        <w:rPr>
          <w:rFonts w:ascii="Arial" w:hAnsi="Arial" w:cs="Arial"/>
        </w:rPr>
        <w:tab/>
        <w:t>Case No: 14/LM/Feb00.</w:t>
      </w:r>
    </w:p>
  </w:footnote>
  <w:footnote w:id="857">
    <w:p w:rsidR="005E7922" w:rsidRPr="003742F2" w:rsidRDefault="005E7922" w:rsidP="003742F2">
      <w:pPr>
        <w:pStyle w:val="Funotentext"/>
        <w:spacing w:line="240" w:lineRule="auto"/>
        <w:contextualSpacing/>
        <w:jc w:val="both"/>
        <w:rPr>
          <w:rFonts w:ascii="Arial" w:hAnsi="Arial" w:cs="Arial"/>
        </w:rPr>
      </w:pPr>
      <w:r w:rsidRPr="003742F2">
        <w:rPr>
          <w:rStyle w:val="Funotenzeichen"/>
          <w:rFonts w:ascii="Arial" w:hAnsi="Arial" w:cs="Arial"/>
        </w:rPr>
        <w:footnoteRef/>
      </w:r>
      <w:r w:rsidRPr="003742F2">
        <w:rPr>
          <w:rFonts w:ascii="Arial" w:hAnsi="Arial" w:cs="Arial"/>
        </w:rPr>
        <w:t xml:space="preserve">  </w:t>
      </w:r>
      <w:r w:rsidRPr="003742F2">
        <w:rPr>
          <w:rFonts w:ascii="Arial" w:hAnsi="Arial" w:cs="Arial"/>
        </w:rPr>
        <w:tab/>
        <w:t>Case no. 78/LM/Jul00.</w:t>
      </w:r>
    </w:p>
  </w:footnote>
  <w:footnote w:id="858">
    <w:p w:rsidR="005E7922" w:rsidRPr="003742F2" w:rsidRDefault="005E7922" w:rsidP="003742F2">
      <w:pPr>
        <w:pStyle w:val="Funotentext"/>
        <w:spacing w:line="240" w:lineRule="auto"/>
        <w:contextualSpacing/>
        <w:jc w:val="both"/>
        <w:rPr>
          <w:rFonts w:ascii="Arial" w:hAnsi="Arial" w:cs="Arial"/>
        </w:rPr>
      </w:pPr>
      <w:r w:rsidRPr="003742F2">
        <w:rPr>
          <w:rStyle w:val="Funotenzeichen"/>
          <w:rFonts w:ascii="Arial" w:hAnsi="Arial" w:cs="Arial"/>
        </w:rPr>
        <w:footnoteRef/>
      </w:r>
      <w:r w:rsidRPr="003742F2">
        <w:rPr>
          <w:rFonts w:ascii="Arial" w:hAnsi="Arial" w:cs="Arial"/>
        </w:rPr>
        <w:t xml:space="preserve">  </w:t>
      </w:r>
      <w:r w:rsidRPr="003742F2">
        <w:rPr>
          <w:rFonts w:ascii="Arial" w:hAnsi="Arial" w:cs="Arial"/>
        </w:rPr>
        <w:tab/>
        <w:t>Case no: 83/LM/Jul00.</w:t>
      </w:r>
    </w:p>
  </w:footnote>
  <w:footnote w:id="859">
    <w:p w:rsidR="005E7922" w:rsidRPr="003742F2" w:rsidRDefault="005E7922" w:rsidP="003742F2">
      <w:pPr>
        <w:pStyle w:val="Funotentext"/>
        <w:spacing w:line="240" w:lineRule="auto"/>
        <w:contextualSpacing/>
        <w:jc w:val="both"/>
        <w:rPr>
          <w:rFonts w:ascii="Arial" w:hAnsi="Arial" w:cs="Arial"/>
        </w:rPr>
      </w:pPr>
      <w:r w:rsidRPr="003742F2">
        <w:rPr>
          <w:rStyle w:val="Funotenzeichen"/>
          <w:rFonts w:ascii="Arial" w:hAnsi="Arial" w:cs="Arial"/>
        </w:rPr>
        <w:footnoteRef/>
      </w:r>
      <w:r w:rsidRPr="003742F2">
        <w:rPr>
          <w:rFonts w:ascii="Arial" w:hAnsi="Arial" w:cs="Arial"/>
        </w:rPr>
        <w:t xml:space="preserve">  </w:t>
      </w:r>
      <w:r w:rsidRPr="003742F2">
        <w:rPr>
          <w:rFonts w:ascii="Arial" w:hAnsi="Arial" w:cs="Arial"/>
        </w:rPr>
        <w:tab/>
        <w:t xml:space="preserve">Fourie &amp; Smit 1989; Fourie 1996. </w:t>
      </w:r>
    </w:p>
  </w:footnote>
  <w:footnote w:id="860">
    <w:p w:rsidR="005E7922" w:rsidRPr="003742F2" w:rsidRDefault="005E7922" w:rsidP="003742F2">
      <w:pPr>
        <w:pStyle w:val="Funotentext"/>
        <w:spacing w:line="240" w:lineRule="auto"/>
        <w:contextualSpacing/>
        <w:jc w:val="both"/>
        <w:rPr>
          <w:rFonts w:ascii="Arial" w:hAnsi="Arial" w:cs="Arial"/>
        </w:rPr>
      </w:pPr>
      <w:r w:rsidRPr="003742F2">
        <w:rPr>
          <w:rStyle w:val="Funotenzeichen"/>
          <w:rFonts w:ascii="Arial" w:hAnsi="Arial" w:cs="Arial"/>
        </w:rPr>
        <w:footnoteRef/>
      </w:r>
      <w:r w:rsidRPr="003742F2">
        <w:rPr>
          <w:rFonts w:ascii="Arial" w:hAnsi="Arial" w:cs="Arial"/>
        </w:rPr>
        <w:t xml:space="preserve">  </w:t>
      </w:r>
      <w:r w:rsidRPr="003742F2">
        <w:rPr>
          <w:rFonts w:ascii="Arial" w:hAnsi="Arial" w:cs="Arial"/>
        </w:rPr>
        <w:tab/>
        <w:t>Fedderke &amp; Simbanegavi 2008: 1.</w:t>
      </w:r>
    </w:p>
  </w:footnote>
  <w:footnote w:id="861">
    <w:p w:rsidR="005E7922" w:rsidRPr="003742F2" w:rsidRDefault="005E7922" w:rsidP="003742F2">
      <w:pPr>
        <w:pStyle w:val="Funotentext"/>
        <w:spacing w:line="240" w:lineRule="auto"/>
        <w:contextualSpacing/>
        <w:jc w:val="both"/>
        <w:rPr>
          <w:rFonts w:ascii="Arial" w:hAnsi="Arial" w:cs="Arial"/>
        </w:rPr>
      </w:pPr>
      <w:r w:rsidRPr="003742F2">
        <w:rPr>
          <w:rStyle w:val="Funotenzeichen"/>
          <w:rFonts w:ascii="Arial" w:hAnsi="Arial" w:cs="Arial"/>
        </w:rPr>
        <w:footnoteRef/>
      </w:r>
      <w:r w:rsidRPr="003742F2">
        <w:rPr>
          <w:rFonts w:ascii="Arial" w:hAnsi="Arial" w:cs="Arial"/>
        </w:rPr>
        <w:t xml:space="preserve">  </w:t>
      </w:r>
      <w:r w:rsidRPr="003742F2">
        <w:rPr>
          <w:rFonts w:ascii="Arial" w:hAnsi="Arial" w:cs="Arial"/>
        </w:rPr>
        <w:tab/>
        <w:t>Fedderke &amp; Simbanegavi 2008: 1.</w:t>
      </w:r>
    </w:p>
  </w:footnote>
  <w:footnote w:id="862">
    <w:p w:rsidR="005E7922" w:rsidRPr="003742F2" w:rsidRDefault="005E7922" w:rsidP="003742F2">
      <w:pPr>
        <w:pStyle w:val="Funotentext"/>
        <w:spacing w:line="240" w:lineRule="auto"/>
        <w:contextualSpacing/>
        <w:jc w:val="both"/>
        <w:rPr>
          <w:rFonts w:ascii="Arial" w:hAnsi="Arial" w:cs="Arial"/>
        </w:rPr>
      </w:pPr>
      <w:r w:rsidRPr="003742F2">
        <w:rPr>
          <w:rStyle w:val="Funotenzeichen"/>
          <w:rFonts w:ascii="Arial" w:hAnsi="Arial" w:cs="Arial"/>
        </w:rPr>
        <w:footnoteRef/>
      </w:r>
      <w:r w:rsidRPr="003742F2">
        <w:rPr>
          <w:rFonts w:ascii="Arial" w:hAnsi="Arial" w:cs="Arial"/>
        </w:rPr>
        <w:t xml:space="preserve">  </w:t>
      </w:r>
      <w:r w:rsidRPr="003742F2">
        <w:rPr>
          <w:rFonts w:ascii="Arial" w:hAnsi="Arial" w:cs="Arial"/>
        </w:rPr>
        <w:tab/>
        <w:t>Wetzstein 2005: 377; Office of Fair Trading 2004: 15.</w:t>
      </w:r>
    </w:p>
  </w:footnote>
  <w:footnote w:id="863">
    <w:p w:rsidR="005E7922" w:rsidRPr="00BF00B8" w:rsidRDefault="005E7922" w:rsidP="00BF00B8">
      <w:pPr>
        <w:pStyle w:val="Funotentext"/>
        <w:spacing w:line="240" w:lineRule="auto"/>
        <w:contextualSpacing/>
        <w:jc w:val="both"/>
        <w:rPr>
          <w:rFonts w:ascii="Arial" w:hAnsi="Arial" w:cs="Arial"/>
        </w:rPr>
      </w:pPr>
      <w:r w:rsidRPr="00BF00B8">
        <w:rPr>
          <w:rStyle w:val="Funotenzeichen"/>
          <w:rFonts w:ascii="Arial" w:hAnsi="Arial" w:cs="Arial"/>
        </w:rPr>
        <w:footnoteRef/>
      </w:r>
      <w:r w:rsidRPr="00BF00B8">
        <w:rPr>
          <w:rFonts w:ascii="Arial" w:hAnsi="Arial" w:cs="Arial"/>
        </w:rPr>
        <w:t xml:space="preserve">  </w:t>
      </w:r>
      <w:r w:rsidRPr="00BF00B8">
        <w:rPr>
          <w:rFonts w:ascii="Arial" w:hAnsi="Arial" w:cs="Arial"/>
        </w:rPr>
        <w:tab/>
        <w:t>Stigler 1968: 67.</w:t>
      </w:r>
    </w:p>
  </w:footnote>
  <w:footnote w:id="864">
    <w:p w:rsidR="005E7922" w:rsidRPr="00BF00B8" w:rsidRDefault="005E7922" w:rsidP="00BF00B8">
      <w:pPr>
        <w:pStyle w:val="Funotentext"/>
        <w:spacing w:line="240" w:lineRule="auto"/>
        <w:contextualSpacing/>
        <w:jc w:val="both"/>
        <w:rPr>
          <w:rFonts w:ascii="Arial" w:hAnsi="Arial" w:cs="Arial"/>
        </w:rPr>
      </w:pPr>
      <w:r w:rsidRPr="00BF00B8">
        <w:rPr>
          <w:rStyle w:val="Funotenzeichen"/>
          <w:rFonts w:ascii="Arial" w:hAnsi="Arial" w:cs="Arial"/>
        </w:rPr>
        <w:footnoteRef/>
      </w:r>
      <w:r w:rsidRPr="00BF00B8">
        <w:rPr>
          <w:rFonts w:ascii="Arial" w:hAnsi="Arial" w:cs="Arial"/>
        </w:rPr>
        <w:t xml:space="preserve">  </w:t>
      </w:r>
      <w:r w:rsidRPr="00BF00B8">
        <w:rPr>
          <w:rFonts w:ascii="Arial" w:hAnsi="Arial" w:cs="Arial"/>
        </w:rPr>
        <w:tab/>
        <w:t>Spulber 2003: 55.</w:t>
      </w:r>
    </w:p>
  </w:footnote>
  <w:footnote w:id="865">
    <w:p w:rsidR="005E7922" w:rsidRPr="00BF00B8" w:rsidRDefault="005E7922" w:rsidP="00BF00B8">
      <w:pPr>
        <w:pStyle w:val="Funotentext"/>
        <w:spacing w:line="240" w:lineRule="auto"/>
        <w:contextualSpacing/>
        <w:jc w:val="both"/>
        <w:rPr>
          <w:rFonts w:ascii="Arial" w:hAnsi="Arial" w:cs="Arial"/>
        </w:rPr>
      </w:pPr>
      <w:r w:rsidRPr="00BF00B8">
        <w:rPr>
          <w:rStyle w:val="Funotenzeichen"/>
          <w:rFonts w:ascii="Arial" w:hAnsi="Arial" w:cs="Arial"/>
        </w:rPr>
        <w:footnoteRef/>
      </w:r>
      <w:r w:rsidRPr="00BF00B8">
        <w:rPr>
          <w:rFonts w:ascii="Arial" w:hAnsi="Arial" w:cs="Arial"/>
        </w:rPr>
        <w:t xml:space="preserve"> </w:t>
      </w:r>
      <w:r w:rsidRPr="00BF00B8">
        <w:rPr>
          <w:rFonts w:ascii="Arial" w:hAnsi="Arial" w:cs="Arial"/>
        </w:rPr>
        <w:tab/>
        <w:t xml:space="preserve">Neuhoff </w:t>
      </w:r>
      <w:r w:rsidRPr="00BF00B8">
        <w:rPr>
          <w:rFonts w:ascii="Arial" w:hAnsi="Arial" w:cs="Arial"/>
          <w:i/>
        </w:rPr>
        <w:t>et al</w:t>
      </w:r>
      <w:r w:rsidRPr="00BF00B8">
        <w:rPr>
          <w:rFonts w:ascii="Arial" w:hAnsi="Arial" w:cs="Arial"/>
        </w:rPr>
        <w:t xml:space="preserve"> 2006: 42.</w:t>
      </w:r>
    </w:p>
  </w:footnote>
  <w:footnote w:id="866">
    <w:p w:rsidR="005E7922" w:rsidRPr="00D305B5" w:rsidRDefault="005E7922" w:rsidP="00D305B5">
      <w:pPr>
        <w:pStyle w:val="Funotentext"/>
        <w:spacing w:line="240" w:lineRule="auto"/>
        <w:contextualSpacing/>
        <w:jc w:val="both"/>
        <w:rPr>
          <w:rFonts w:ascii="Arial" w:hAnsi="Arial" w:cs="Arial"/>
        </w:rPr>
      </w:pPr>
      <w:r w:rsidRPr="00D305B5">
        <w:rPr>
          <w:rStyle w:val="Funotenzeichen"/>
          <w:rFonts w:ascii="Arial" w:hAnsi="Arial" w:cs="Arial"/>
        </w:rPr>
        <w:footnoteRef/>
      </w:r>
      <w:r w:rsidRPr="00D305B5">
        <w:rPr>
          <w:rFonts w:ascii="Arial" w:hAnsi="Arial" w:cs="Arial"/>
        </w:rPr>
        <w:t xml:space="preserve">  </w:t>
      </w:r>
      <w:r w:rsidRPr="00D305B5">
        <w:rPr>
          <w:rFonts w:ascii="Arial" w:hAnsi="Arial" w:cs="Arial"/>
        </w:rPr>
        <w:tab/>
        <w:t>Lipczynski 2009: 8.</w:t>
      </w:r>
    </w:p>
  </w:footnote>
  <w:footnote w:id="867">
    <w:p w:rsidR="005E7922" w:rsidRPr="00D305B5" w:rsidRDefault="005E7922" w:rsidP="00D305B5">
      <w:pPr>
        <w:pStyle w:val="Funotentext"/>
        <w:spacing w:line="240" w:lineRule="auto"/>
        <w:contextualSpacing/>
        <w:jc w:val="both"/>
        <w:rPr>
          <w:rFonts w:ascii="Arial" w:hAnsi="Arial" w:cs="Arial"/>
        </w:rPr>
      </w:pPr>
      <w:r w:rsidRPr="00D305B5">
        <w:rPr>
          <w:rStyle w:val="Funotenzeichen"/>
          <w:rFonts w:ascii="Arial" w:hAnsi="Arial" w:cs="Arial"/>
        </w:rPr>
        <w:footnoteRef/>
      </w:r>
      <w:r w:rsidRPr="00D305B5">
        <w:rPr>
          <w:rFonts w:ascii="Arial" w:hAnsi="Arial" w:cs="Arial"/>
        </w:rPr>
        <w:t xml:space="preserve">  </w:t>
      </w:r>
      <w:r w:rsidRPr="00D305B5">
        <w:rPr>
          <w:rFonts w:ascii="Arial" w:hAnsi="Arial" w:cs="Arial"/>
        </w:rPr>
        <w:tab/>
        <w:t>Office of Fair Trading 2004: 15.</w:t>
      </w:r>
    </w:p>
  </w:footnote>
  <w:footnote w:id="868">
    <w:p w:rsidR="005E7922" w:rsidRPr="00D305B5" w:rsidRDefault="005E7922" w:rsidP="00D305B5">
      <w:pPr>
        <w:pStyle w:val="Funotentext"/>
        <w:spacing w:line="240" w:lineRule="auto"/>
        <w:contextualSpacing/>
        <w:jc w:val="both"/>
        <w:rPr>
          <w:rFonts w:ascii="Arial" w:hAnsi="Arial" w:cs="Arial"/>
        </w:rPr>
      </w:pPr>
      <w:r w:rsidRPr="00D305B5">
        <w:rPr>
          <w:rStyle w:val="Funotenzeichen"/>
          <w:rFonts w:ascii="Arial" w:hAnsi="Arial" w:cs="Arial"/>
        </w:rPr>
        <w:footnoteRef/>
      </w:r>
      <w:r w:rsidRPr="00D305B5">
        <w:rPr>
          <w:rFonts w:ascii="Arial" w:hAnsi="Arial" w:cs="Arial"/>
        </w:rPr>
        <w:t xml:space="preserve"> </w:t>
      </w:r>
      <w:r w:rsidRPr="00D305B5">
        <w:rPr>
          <w:rFonts w:ascii="Arial" w:hAnsi="Arial" w:cs="Arial"/>
        </w:rPr>
        <w:tab/>
        <w:t>Office of Fair Trading 2004: 15.</w:t>
      </w:r>
    </w:p>
  </w:footnote>
  <w:footnote w:id="869">
    <w:p w:rsidR="005E7922" w:rsidRPr="00D305B5" w:rsidRDefault="005E7922" w:rsidP="00D305B5">
      <w:pPr>
        <w:pStyle w:val="Funotentext"/>
        <w:spacing w:line="240" w:lineRule="auto"/>
        <w:contextualSpacing/>
        <w:jc w:val="both"/>
        <w:rPr>
          <w:rFonts w:ascii="Arial" w:hAnsi="Arial" w:cs="Arial"/>
        </w:rPr>
      </w:pPr>
      <w:r w:rsidRPr="00D305B5">
        <w:rPr>
          <w:rStyle w:val="Funotenzeichen"/>
          <w:rFonts w:ascii="Arial" w:hAnsi="Arial" w:cs="Arial"/>
        </w:rPr>
        <w:footnoteRef/>
      </w:r>
      <w:r w:rsidRPr="00D305B5">
        <w:rPr>
          <w:rFonts w:ascii="Arial" w:hAnsi="Arial" w:cs="Arial"/>
        </w:rPr>
        <w:t xml:space="preserve">  </w:t>
      </w:r>
      <w:r w:rsidRPr="00D305B5">
        <w:rPr>
          <w:rFonts w:ascii="Arial" w:hAnsi="Arial" w:cs="Arial"/>
        </w:rPr>
        <w:tab/>
        <w:t xml:space="preserve">Neuhoff </w:t>
      </w:r>
      <w:r w:rsidRPr="00D305B5">
        <w:rPr>
          <w:rFonts w:ascii="Arial" w:hAnsi="Arial" w:cs="Arial"/>
          <w:i/>
        </w:rPr>
        <w:t>et al</w:t>
      </w:r>
      <w:r w:rsidRPr="00D305B5">
        <w:rPr>
          <w:rFonts w:ascii="Arial" w:hAnsi="Arial" w:cs="Arial"/>
        </w:rPr>
        <w:t xml:space="preserve"> 2006: 42.</w:t>
      </w:r>
    </w:p>
  </w:footnote>
  <w:footnote w:id="870">
    <w:p w:rsidR="00606C04" w:rsidRPr="00D305B5" w:rsidRDefault="00606C04" w:rsidP="00D305B5">
      <w:pPr>
        <w:pStyle w:val="Funotentext"/>
        <w:spacing w:line="240" w:lineRule="auto"/>
        <w:contextualSpacing/>
        <w:jc w:val="both"/>
        <w:rPr>
          <w:rFonts w:ascii="Arial" w:hAnsi="Arial" w:cs="Arial"/>
          <w:lang w:val="af-ZA"/>
        </w:rPr>
      </w:pPr>
      <w:r w:rsidRPr="00D305B5">
        <w:rPr>
          <w:rStyle w:val="Funotenzeichen"/>
          <w:rFonts w:ascii="Arial" w:hAnsi="Arial" w:cs="Arial"/>
        </w:rPr>
        <w:footnoteRef/>
      </w:r>
      <w:r w:rsidRPr="00D305B5">
        <w:rPr>
          <w:rFonts w:ascii="Arial" w:hAnsi="Arial" w:cs="Arial"/>
        </w:rPr>
        <w:t xml:space="preserve"> </w:t>
      </w:r>
      <w:r w:rsidRPr="00D305B5">
        <w:rPr>
          <w:rFonts w:ascii="Arial" w:hAnsi="Arial" w:cs="Arial"/>
        </w:rPr>
        <w:tab/>
        <w:t xml:space="preserve">Neuhoff </w:t>
      </w:r>
      <w:r w:rsidRPr="00D305B5">
        <w:rPr>
          <w:rFonts w:ascii="Arial" w:hAnsi="Arial" w:cs="Arial"/>
          <w:i/>
        </w:rPr>
        <w:t>et al</w:t>
      </w:r>
      <w:r w:rsidRPr="00D305B5">
        <w:rPr>
          <w:rFonts w:ascii="Arial" w:hAnsi="Arial" w:cs="Arial"/>
        </w:rPr>
        <w:t xml:space="preserve"> 2006: 42.</w:t>
      </w:r>
    </w:p>
  </w:footnote>
  <w:footnote w:id="871">
    <w:p w:rsidR="005E7922" w:rsidRPr="00D305B5" w:rsidRDefault="005E7922" w:rsidP="00D305B5">
      <w:pPr>
        <w:pStyle w:val="Funotentext"/>
        <w:spacing w:line="240" w:lineRule="auto"/>
        <w:contextualSpacing/>
        <w:jc w:val="both"/>
        <w:rPr>
          <w:rFonts w:ascii="Arial" w:hAnsi="Arial" w:cs="Arial"/>
        </w:rPr>
      </w:pPr>
      <w:r w:rsidRPr="00D305B5">
        <w:rPr>
          <w:rStyle w:val="Funotenzeichen"/>
          <w:rFonts w:ascii="Arial" w:hAnsi="Arial" w:cs="Arial"/>
        </w:rPr>
        <w:footnoteRef/>
      </w:r>
      <w:r w:rsidRPr="00D305B5">
        <w:rPr>
          <w:rFonts w:ascii="Arial" w:hAnsi="Arial" w:cs="Arial"/>
        </w:rPr>
        <w:t xml:space="preserve">  </w:t>
      </w:r>
      <w:r w:rsidRPr="00D305B5">
        <w:rPr>
          <w:rFonts w:ascii="Arial" w:hAnsi="Arial" w:cs="Arial"/>
        </w:rPr>
        <w:tab/>
        <w:t xml:space="preserve">Economies of scale refer to the situation where the average cost of a firm decreases as it </w:t>
      </w:r>
      <w:r w:rsidRPr="00D305B5">
        <w:rPr>
          <w:rFonts w:ascii="Arial" w:hAnsi="Arial" w:cs="Arial"/>
        </w:rPr>
        <w:tab/>
        <w:t xml:space="preserve">produces more output. For more information, see Office of Fair Trading 2004: 17; Competition </w:t>
      </w:r>
      <w:r w:rsidRPr="00D305B5">
        <w:rPr>
          <w:rFonts w:ascii="Arial" w:hAnsi="Arial" w:cs="Arial"/>
        </w:rPr>
        <w:tab/>
        <w:t>Commission 2002: 30; Reid 1987: 15; McConnel en Brue 2008: 425; Lipczynski 2009: 253.</w:t>
      </w:r>
    </w:p>
  </w:footnote>
  <w:footnote w:id="872">
    <w:p w:rsidR="005E7922" w:rsidRPr="00D305B5" w:rsidRDefault="005E7922" w:rsidP="00D305B5">
      <w:pPr>
        <w:pStyle w:val="Funotentext"/>
        <w:spacing w:line="240" w:lineRule="auto"/>
        <w:contextualSpacing/>
        <w:jc w:val="both"/>
        <w:rPr>
          <w:rFonts w:ascii="Arial" w:hAnsi="Arial" w:cs="Arial"/>
        </w:rPr>
      </w:pPr>
      <w:r w:rsidRPr="00D305B5">
        <w:rPr>
          <w:rStyle w:val="Funotenzeichen"/>
          <w:rFonts w:ascii="Arial" w:hAnsi="Arial" w:cs="Arial"/>
        </w:rPr>
        <w:footnoteRef/>
      </w:r>
      <w:r w:rsidRPr="00D305B5">
        <w:rPr>
          <w:rFonts w:ascii="Arial" w:hAnsi="Arial" w:cs="Arial"/>
        </w:rPr>
        <w:t xml:space="preserve">  </w:t>
      </w:r>
      <w:r w:rsidRPr="00D305B5">
        <w:rPr>
          <w:rFonts w:ascii="Arial" w:hAnsi="Arial" w:cs="Arial"/>
        </w:rPr>
        <w:tab/>
        <w:t xml:space="preserve">Absolute cost advantage refers to any factor that contributes to decreasing the costs for a </w:t>
      </w:r>
      <w:r w:rsidRPr="00D305B5">
        <w:rPr>
          <w:rFonts w:ascii="Arial" w:hAnsi="Arial" w:cs="Arial"/>
        </w:rPr>
        <w:tab/>
        <w:t>firm. For more information, see Reid 1987: 15; Lipczynski 2009: 254-255.</w:t>
      </w:r>
    </w:p>
  </w:footnote>
  <w:footnote w:id="873">
    <w:p w:rsidR="005E7922" w:rsidRPr="00D305B5" w:rsidRDefault="005E7922" w:rsidP="00D305B5">
      <w:pPr>
        <w:pStyle w:val="Funotentext"/>
        <w:spacing w:line="240" w:lineRule="auto"/>
        <w:contextualSpacing/>
        <w:jc w:val="both"/>
        <w:rPr>
          <w:rFonts w:ascii="Arial" w:hAnsi="Arial" w:cs="Arial"/>
        </w:rPr>
      </w:pPr>
      <w:r w:rsidRPr="00D305B5">
        <w:rPr>
          <w:rStyle w:val="Funotenzeichen"/>
          <w:rFonts w:ascii="Arial" w:hAnsi="Arial" w:cs="Arial"/>
        </w:rPr>
        <w:footnoteRef/>
      </w:r>
      <w:r w:rsidRPr="00D305B5">
        <w:rPr>
          <w:rFonts w:ascii="Arial" w:hAnsi="Arial" w:cs="Arial"/>
        </w:rPr>
        <w:t xml:space="preserve"> </w:t>
      </w:r>
      <w:r w:rsidRPr="00D305B5">
        <w:rPr>
          <w:rFonts w:ascii="Arial" w:hAnsi="Arial" w:cs="Arial"/>
        </w:rPr>
        <w:tab/>
        <w:t xml:space="preserve">Product differentiation refers to the situation where a firm has differentiated its product from </w:t>
      </w:r>
      <w:r w:rsidRPr="00D305B5">
        <w:rPr>
          <w:rFonts w:ascii="Arial" w:hAnsi="Arial" w:cs="Arial"/>
        </w:rPr>
        <w:tab/>
        <w:t xml:space="preserve">the products of his competitors and accordingly the firm’s customers are loyal to it. Therefore, </w:t>
      </w:r>
      <w:r w:rsidRPr="00D305B5">
        <w:rPr>
          <w:rFonts w:ascii="Arial" w:hAnsi="Arial" w:cs="Arial"/>
        </w:rPr>
        <w:tab/>
        <w:t xml:space="preserve">a new entrant will have to, somehow entice the customers of the existing firm away from that </w:t>
      </w:r>
      <w:r w:rsidRPr="00D305B5">
        <w:rPr>
          <w:rFonts w:ascii="Arial" w:hAnsi="Arial" w:cs="Arial"/>
        </w:rPr>
        <w:tab/>
        <w:t>firm. For more information, see Wish 1993: 266; Reid 1987: 15; Lipczynski 2009: 256.</w:t>
      </w:r>
    </w:p>
  </w:footnote>
  <w:footnote w:id="874">
    <w:p w:rsidR="005E7922" w:rsidRPr="00D305B5" w:rsidRDefault="005E7922" w:rsidP="00D305B5">
      <w:pPr>
        <w:pStyle w:val="Funotentext"/>
        <w:spacing w:line="240" w:lineRule="auto"/>
        <w:contextualSpacing/>
        <w:jc w:val="both"/>
        <w:rPr>
          <w:rFonts w:ascii="Arial" w:hAnsi="Arial" w:cs="Arial"/>
        </w:rPr>
      </w:pPr>
      <w:r w:rsidRPr="00D305B5">
        <w:rPr>
          <w:rStyle w:val="Funotenzeichen"/>
          <w:rFonts w:ascii="Arial" w:hAnsi="Arial" w:cs="Arial"/>
        </w:rPr>
        <w:footnoteRef/>
      </w:r>
      <w:r w:rsidRPr="00D305B5">
        <w:rPr>
          <w:rFonts w:ascii="Arial" w:hAnsi="Arial" w:cs="Arial"/>
        </w:rPr>
        <w:t xml:space="preserve"> </w:t>
      </w:r>
      <w:r w:rsidRPr="00D305B5">
        <w:rPr>
          <w:rFonts w:ascii="Arial" w:hAnsi="Arial" w:cs="Arial"/>
        </w:rPr>
        <w:tab/>
        <w:t xml:space="preserve">Switching costs refer to the situation where consumers are faced with additional costs when </w:t>
      </w:r>
      <w:r w:rsidRPr="00D305B5">
        <w:rPr>
          <w:rFonts w:ascii="Arial" w:hAnsi="Arial" w:cs="Arial"/>
        </w:rPr>
        <w:tab/>
        <w:t>switching from one supplier to the other. For more information, see Lipczynski 2009: 257.</w:t>
      </w:r>
    </w:p>
  </w:footnote>
  <w:footnote w:id="875">
    <w:p w:rsidR="005E7922" w:rsidRPr="00D305B5" w:rsidRDefault="005E7922" w:rsidP="00D305B5">
      <w:pPr>
        <w:pStyle w:val="Funotentext"/>
        <w:spacing w:line="240" w:lineRule="auto"/>
        <w:contextualSpacing/>
        <w:jc w:val="both"/>
        <w:rPr>
          <w:rFonts w:ascii="Arial" w:hAnsi="Arial" w:cs="Arial"/>
        </w:rPr>
      </w:pPr>
      <w:r w:rsidRPr="00D305B5">
        <w:rPr>
          <w:rStyle w:val="Funotenzeichen"/>
          <w:rFonts w:ascii="Arial" w:hAnsi="Arial" w:cs="Arial"/>
        </w:rPr>
        <w:footnoteRef/>
      </w:r>
      <w:r w:rsidRPr="00D305B5">
        <w:rPr>
          <w:rFonts w:ascii="Arial" w:hAnsi="Arial" w:cs="Arial"/>
        </w:rPr>
        <w:t xml:space="preserve">  </w:t>
      </w:r>
      <w:r w:rsidRPr="00D305B5">
        <w:rPr>
          <w:rFonts w:ascii="Arial" w:hAnsi="Arial" w:cs="Arial"/>
        </w:rPr>
        <w:tab/>
        <w:t xml:space="preserve">Network externalities refer to the situation where consumers’ satisfaction </w:t>
      </w:r>
      <w:r w:rsidRPr="00D305B5">
        <w:rPr>
          <w:rFonts w:ascii="Arial" w:hAnsi="Arial" w:cs="Arial"/>
        </w:rPr>
        <w:tab/>
        <w:t xml:space="preserve">from consuming a </w:t>
      </w:r>
      <w:r w:rsidRPr="00D305B5">
        <w:rPr>
          <w:rFonts w:ascii="Arial" w:hAnsi="Arial" w:cs="Arial"/>
        </w:rPr>
        <w:tab/>
        <w:t xml:space="preserve">certain product or service increase as more consumers use that product or service. For more </w:t>
      </w:r>
      <w:r w:rsidRPr="00D305B5">
        <w:rPr>
          <w:rFonts w:ascii="Arial" w:hAnsi="Arial" w:cs="Arial"/>
        </w:rPr>
        <w:tab/>
        <w:t xml:space="preserve">information see Office of Fair Trading 2004: 19; Korah 2004: 20; Competition Commission </w:t>
      </w:r>
      <w:r w:rsidRPr="00D305B5">
        <w:rPr>
          <w:rFonts w:ascii="Arial" w:hAnsi="Arial" w:cs="Arial"/>
        </w:rPr>
        <w:tab/>
        <w:t>2002: 31; Lipczynski 2009: 257.</w:t>
      </w:r>
    </w:p>
  </w:footnote>
  <w:footnote w:id="876">
    <w:p w:rsidR="005E7922" w:rsidRPr="00D305B5" w:rsidRDefault="005E7922" w:rsidP="00D305B5">
      <w:pPr>
        <w:pStyle w:val="Funotentext"/>
        <w:spacing w:line="240" w:lineRule="auto"/>
        <w:contextualSpacing/>
        <w:jc w:val="both"/>
        <w:rPr>
          <w:rFonts w:ascii="Arial" w:hAnsi="Arial" w:cs="Arial"/>
        </w:rPr>
      </w:pPr>
      <w:r w:rsidRPr="00D305B5">
        <w:rPr>
          <w:rStyle w:val="Funotenzeichen"/>
          <w:rFonts w:ascii="Arial" w:hAnsi="Arial" w:cs="Arial"/>
        </w:rPr>
        <w:footnoteRef/>
      </w:r>
      <w:r w:rsidRPr="00D305B5">
        <w:rPr>
          <w:rFonts w:ascii="Arial" w:hAnsi="Arial" w:cs="Arial"/>
        </w:rPr>
        <w:t xml:space="preserve">  </w:t>
      </w:r>
      <w:r w:rsidRPr="00D305B5">
        <w:rPr>
          <w:rFonts w:ascii="Arial" w:hAnsi="Arial" w:cs="Arial"/>
        </w:rPr>
        <w:tab/>
        <w:t xml:space="preserve">Geographical barriers refer to barriers to entry that face </w:t>
      </w:r>
      <w:r w:rsidR="00D305B5" w:rsidRPr="00D305B5">
        <w:rPr>
          <w:rFonts w:ascii="Arial" w:hAnsi="Arial" w:cs="Arial"/>
        </w:rPr>
        <w:t>foreign</w:t>
      </w:r>
      <w:r w:rsidRPr="00D305B5">
        <w:rPr>
          <w:rFonts w:ascii="Arial" w:hAnsi="Arial" w:cs="Arial"/>
        </w:rPr>
        <w:t xml:space="preserve"> firms when they want to enter </w:t>
      </w:r>
      <w:r w:rsidRPr="00D305B5">
        <w:rPr>
          <w:rFonts w:ascii="Arial" w:hAnsi="Arial" w:cs="Arial"/>
        </w:rPr>
        <w:tab/>
        <w:t xml:space="preserve">into the </w:t>
      </w:r>
      <w:r w:rsidRPr="00D305B5">
        <w:rPr>
          <w:rFonts w:ascii="Arial" w:hAnsi="Arial" w:cs="Arial"/>
        </w:rPr>
        <w:tab/>
        <w:t>domestic market. For more information, see Lipczynski 2009: 259.</w:t>
      </w:r>
    </w:p>
  </w:footnote>
  <w:footnote w:id="877">
    <w:p w:rsidR="005E7922" w:rsidRPr="00B86231" w:rsidRDefault="005E7922" w:rsidP="00D305B5">
      <w:pPr>
        <w:pStyle w:val="Funotentext"/>
        <w:spacing w:line="240" w:lineRule="auto"/>
        <w:contextualSpacing/>
        <w:jc w:val="both"/>
        <w:rPr>
          <w:rFonts w:ascii="Arial" w:hAnsi="Arial" w:cs="Arial"/>
        </w:rPr>
      </w:pPr>
      <w:r w:rsidRPr="00D305B5">
        <w:rPr>
          <w:rStyle w:val="Funotenzeichen"/>
          <w:rFonts w:ascii="Arial" w:hAnsi="Arial" w:cs="Arial"/>
        </w:rPr>
        <w:footnoteRef/>
      </w:r>
      <w:r w:rsidRPr="00D305B5">
        <w:rPr>
          <w:rFonts w:ascii="Arial" w:hAnsi="Arial" w:cs="Arial"/>
        </w:rPr>
        <w:t xml:space="preserve">  </w:t>
      </w:r>
      <w:r w:rsidRPr="00D305B5">
        <w:rPr>
          <w:rFonts w:ascii="Arial" w:hAnsi="Arial" w:cs="Arial"/>
        </w:rPr>
        <w:tab/>
        <w:t xml:space="preserve">Legal barriers to entry is any barrier to entry that is placed on a new entrant by way of </w:t>
      </w:r>
      <w:r w:rsidRPr="00D305B5">
        <w:rPr>
          <w:rFonts w:ascii="Arial" w:hAnsi="Arial" w:cs="Arial"/>
        </w:rPr>
        <w:tab/>
        <w:t xml:space="preserve">legislation and other government regulations such as intellectual property rights, monopoly </w:t>
      </w:r>
      <w:r w:rsidRPr="00D305B5">
        <w:rPr>
          <w:rFonts w:ascii="Arial" w:hAnsi="Arial" w:cs="Arial"/>
        </w:rPr>
        <w:tab/>
        <w:t xml:space="preserve">rights, licenses. For more information see Office of Fair Trading 2004: 17; Competition </w:t>
      </w:r>
      <w:r w:rsidRPr="00D305B5">
        <w:rPr>
          <w:rFonts w:ascii="Arial" w:hAnsi="Arial" w:cs="Arial"/>
        </w:rPr>
        <w:tab/>
        <w:t xml:space="preserve">Commission 2002: 31; Wish 1993: 264; Korah 2004: 21; Wetzstein 2005: 377; McConnel &amp; </w:t>
      </w:r>
      <w:r w:rsidRPr="00D305B5">
        <w:rPr>
          <w:rFonts w:ascii="Arial" w:hAnsi="Arial" w:cs="Arial"/>
        </w:rPr>
        <w:tab/>
        <w:t>Brue 425-426; Lipczynski 2009: 258-</w:t>
      </w:r>
      <w:r w:rsidRPr="00D305B5">
        <w:rPr>
          <w:rFonts w:ascii="Arial" w:hAnsi="Arial" w:cs="Arial"/>
        </w:rPr>
        <w:tab/>
        <w:t>259.</w:t>
      </w:r>
    </w:p>
  </w:footnote>
  <w:footnote w:id="878">
    <w:p w:rsidR="005E7922" w:rsidRPr="00B86231" w:rsidRDefault="005E7922" w:rsidP="00B86231">
      <w:pPr>
        <w:pStyle w:val="Funotentext"/>
        <w:spacing w:line="240" w:lineRule="auto"/>
        <w:contextualSpacing/>
        <w:jc w:val="both"/>
        <w:rPr>
          <w:rFonts w:ascii="Arial" w:hAnsi="Arial" w:cs="Arial"/>
        </w:rPr>
      </w:pPr>
      <w:r w:rsidRPr="00B86231">
        <w:rPr>
          <w:rStyle w:val="Funotenzeichen"/>
          <w:rFonts w:ascii="Arial" w:hAnsi="Arial" w:cs="Arial"/>
        </w:rPr>
        <w:footnoteRef/>
      </w:r>
      <w:r w:rsidRPr="00B86231">
        <w:rPr>
          <w:rFonts w:ascii="Arial" w:hAnsi="Arial" w:cs="Arial"/>
        </w:rPr>
        <w:t xml:space="preserve">  </w:t>
      </w:r>
      <w:r w:rsidRPr="00B86231">
        <w:rPr>
          <w:rFonts w:ascii="Arial" w:hAnsi="Arial" w:cs="Arial"/>
        </w:rPr>
        <w:tab/>
        <w:t>Wish 1993: 267; Lipczynski 2009: 252.</w:t>
      </w:r>
    </w:p>
  </w:footnote>
  <w:footnote w:id="879">
    <w:p w:rsidR="005E7922" w:rsidRPr="00B86231" w:rsidRDefault="005E7922" w:rsidP="00B86231">
      <w:pPr>
        <w:pStyle w:val="Funotentext"/>
        <w:spacing w:line="240" w:lineRule="auto"/>
        <w:contextualSpacing/>
        <w:jc w:val="both"/>
        <w:rPr>
          <w:rFonts w:ascii="Arial" w:hAnsi="Arial" w:cs="Arial"/>
        </w:rPr>
      </w:pPr>
      <w:r w:rsidRPr="00B86231">
        <w:rPr>
          <w:rStyle w:val="Funotenzeichen"/>
          <w:rFonts w:ascii="Arial" w:hAnsi="Arial" w:cs="Arial"/>
        </w:rPr>
        <w:footnoteRef/>
      </w:r>
      <w:r w:rsidRPr="00B86231">
        <w:rPr>
          <w:rFonts w:ascii="Arial" w:hAnsi="Arial" w:cs="Arial"/>
        </w:rPr>
        <w:t xml:space="preserve"> </w:t>
      </w:r>
      <w:r w:rsidRPr="00B86231">
        <w:rPr>
          <w:rFonts w:ascii="Arial" w:hAnsi="Arial" w:cs="Arial"/>
        </w:rPr>
        <w:tab/>
      </w:r>
      <w:r>
        <w:rPr>
          <w:rFonts w:ascii="Arial" w:hAnsi="Arial" w:cs="Arial"/>
        </w:rPr>
        <w:t xml:space="preserve">Broder 2005: 100; </w:t>
      </w:r>
      <w:r w:rsidRPr="00B86231">
        <w:rPr>
          <w:rFonts w:ascii="Arial" w:hAnsi="Arial" w:cs="Arial"/>
        </w:rPr>
        <w:t xml:space="preserve">Office of Fair Trading 2004: 17; Lipczynski 2009: 262-265; McConnel &amp; </w:t>
      </w:r>
      <w:r>
        <w:rPr>
          <w:rFonts w:ascii="Arial" w:hAnsi="Arial" w:cs="Arial"/>
        </w:rPr>
        <w:tab/>
      </w:r>
      <w:r w:rsidRPr="00B86231">
        <w:rPr>
          <w:rFonts w:ascii="Arial" w:hAnsi="Arial" w:cs="Arial"/>
        </w:rPr>
        <w:t>Brue 2008: 426.</w:t>
      </w:r>
    </w:p>
  </w:footnote>
  <w:footnote w:id="880">
    <w:p w:rsidR="005E7922" w:rsidRPr="00D832B3" w:rsidRDefault="005E7922" w:rsidP="00D832B3">
      <w:pPr>
        <w:pStyle w:val="Funotentext"/>
        <w:spacing w:line="240" w:lineRule="auto"/>
        <w:contextualSpacing/>
        <w:jc w:val="both"/>
        <w:rPr>
          <w:rFonts w:ascii="Arial" w:hAnsi="Arial" w:cs="Arial"/>
        </w:rPr>
      </w:pPr>
      <w:r w:rsidRPr="00D832B3">
        <w:rPr>
          <w:rStyle w:val="Funotenzeichen"/>
          <w:rFonts w:ascii="Arial" w:hAnsi="Arial" w:cs="Arial"/>
        </w:rPr>
        <w:footnoteRef/>
      </w:r>
      <w:r w:rsidRPr="00D832B3">
        <w:rPr>
          <w:rFonts w:ascii="Arial" w:hAnsi="Arial" w:cs="Arial"/>
        </w:rPr>
        <w:t xml:space="preserve">  </w:t>
      </w:r>
      <w:r w:rsidRPr="00D832B3">
        <w:rPr>
          <w:rFonts w:ascii="Arial" w:hAnsi="Arial" w:cs="Arial"/>
        </w:rPr>
        <w:tab/>
        <w:t xml:space="preserve">Competition Commission 2002: 30; Office of Fair Trading 2004: 19; McConnel &amp; Brue 2008: </w:t>
      </w:r>
      <w:r w:rsidRPr="00D832B3">
        <w:rPr>
          <w:rFonts w:ascii="Arial" w:hAnsi="Arial" w:cs="Arial"/>
        </w:rPr>
        <w:tab/>
        <w:t>426.</w:t>
      </w:r>
    </w:p>
  </w:footnote>
  <w:footnote w:id="881">
    <w:p w:rsidR="005E7922" w:rsidRPr="00D832B3" w:rsidRDefault="005E7922" w:rsidP="00D832B3">
      <w:pPr>
        <w:pStyle w:val="Funotentext"/>
        <w:spacing w:line="240" w:lineRule="auto"/>
        <w:contextualSpacing/>
        <w:jc w:val="both"/>
        <w:rPr>
          <w:rFonts w:ascii="Arial" w:hAnsi="Arial" w:cs="Arial"/>
        </w:rPr>
      </w:pPr>
      <w:r w:rsidRPr="00D832B3">
        <w:rPr>
          <w:rStyle w:val="Funotenzeichen"/>
          <w:rFonts w:ascii="Arial" w:hAnsi="Arial" w:cs="Arial"/>
        </w:rPr>
        <w:footnoteRef/>
      </w:r>
      <w:r w:rsidRPr="00D832B3">
        <w:rPr>
          <w:rFonts w:ascii="Arial" w:hAnsi="Arial" w:cs="Arial"/>
        </w:rPr>
        <w:t xml:space="preserve">  </w:t>
      </w:r>
      <w:r w:rsidRPr="00D832B3">
        <w:rPr>
          <w:rFonts w:ascii="Arial" w:hAnsi="Arial" w:cs="Arial"/>
        </w:rPr>
        <w:tab/>
        <w:t>Office of Fair Trading 2004: 16; Competition Commission 2002: 29; Lipczynski 2009: 252.</w:t>
      </w:r>
    </w:p>
  </w:footnote>
  <w:footnote w:id="882">
    <w:p w:rsidR="005E7922" w:rsidRPr="00D832B3" w:rsidRDefault="005E7922" w:rsidP="00D832B3">
      <w:pPr>
        <w:pStyle w:val="Funotentext"/>
        <w:spacing w:line="240" w:lineRule="auto"/>
        <w:contextualSpacing/>
        <w:jc w:val="both"/>
        <w:rPr>
          <w:rFonts w:ascii="Arial" w:hAnsi="Arial" w:cs="Arial"/>
        </w:rPr>
      </w:pPr>
      <w:r w:rsidRPr="00D832B3">
        <w:rPr>
          <w:rStyle w:val="Funotenzeichen"/>
          <w:rFonts w:ascii="Arial" w:hAnsi="Arial" w:cs="Arial"/>
        </w:rPr>
        <w:footnoteRef/>
      </w:r>
      <w:r w:rsidRPr="00D832B3">
        <w:rPr>
          <w:rFonts w:ascii="Arial" w:hAnsi="Arial" w:cs="Arial"/>
        </w:rPr>
        <w:t xml:space="preserve"> </w:t>
      </w:r>
      <w:r w:rsidRPr="00D832B3">
        <w:rPr>
          <w:rFonts w:ascii="Arial" w:hAnsi="Arial" w:cs="Arial"/>
        </w:rPr>
        <w:tab/>
        <w:t>Office of Fair Trading 2004: 16; Competition Commission 2002: 29; Lipczynski 2009: 252.</w:t>
      </w:r>
    </w:p>
  </w:footnote>
  <w:footnote w:id="883">
    <w:p w:rsidR="005E7922" w:rsidRPr="00D832B3" w:rsidRDefault="005E7922" w:rsidP="00D832B3">
      <w:pPr>
        <w:pStyle w:val="Funotentext"/>
        <w:spacing w:line="240" w:lineRule="auto"/>
        <w:contextualSpacing/>
        <w:jc w:val="both"/>
        <w:rPr>
          <w:rFonts w:ascii="Arial" w:hAnsi="Arial" w:cs="Arial"/>
        </w:rPr>
      </w:pPr>
      <w:r w:rsidRPr="00D832B3">
        <w:rPr>
          <w:rStyle w:val="Funotenzeichen"/>
          <w:rFonts w:ascii="Arial" w:hAnsi="Arial" w:cs="Arial"/>
        </w:rPr>
        <w:footnoteRef/>
      </w:r>
      <w:r w:rsidRPr="00D832B3">
        <w:rPr>
          <w:rFonts w:ascii="Arial" w:hAnsi="Arial" w:cs="Arial"/>
        </w:rPr>
        <w:t xml:space="preserve"> </w:t>
      </w:r>
      <w:r w:rsidRPr="00D832B3">
        <w:rPr>
          <w:rFonts w:ascii="Arial" w:hAnsi="Arial" w:cs="Arial"/>
        </w:rPr>
        <w:tab/>
        <w:t xml:space="preserve">Cseres 2005:62; Office of Fair Trading 2004: 16; Competition Commission 2002: 29; </w:t>
      </w:r>
      <w:r w:rsidRPr="00D832B3">
        <w:rPr>
          <w:rFonts w:ascii="Arial" w:hAnsi="Arial" w:cs="Arial"/>
        </w:rPr>
        <w:tab/>
        <w:t>Lipczynski 2009: 252.</w:t>
      </w:r>
    </w:p>
  </w:footnote>
  <w:footnote w:id="884">
    <w:p w:rsidR="005E7922" w:rsidRPr="00D832B3" w:rsidRDefault="005E7922" w:rsidP="00D832B3">
      <w:pPr>
        <w:pStyle w:val="Funotentext"/>
        <w:spacing w:line="240" w:lineRule="auto"/>
        <w:contextualSpacing/>
        <w:jc w:val="both"/>
        <w:rPr>
          <w:rFonts w:ascii="Arial" w:hAnsi="Arial" w:cs="Arial"/>
        </w:rPr>
      </w:pPr>
      <w:r w:rsidRPr="00D832B3">
        <w:rPr>
          <w:rStyle w:val="Funotenzeichen"/>
          <w:rFonts w:ascii="Arial" w:hAnsi="Arial" w:cs="Arial"/>
        </w:rPr>
        <w:footnoteRef/>
      </w:r>
      <w:r w:rsidRPr="00D832B3">
        <w:rPr>
          <w:rFonts w:ascii="Arial" w:hAnsi="Arial" w:cs="Arial"/>
        </w:rPr>
        <w:t xml:space="preserve">  </w:t>
      </w:r>
      <w:r w:rsidRPr="00D832B3">
        <w:rPr>
          <w:rFonts w:ascii="Arial" w:hAnsi="Arial" w:cs="Arial"/>
        </w:rPr>
        <w:tab/>
        <w:t xml:space="preserve">Cseres 2005:62;Office of Fair Trading 2004: 16; Competition Commission 2002: 29; </w:t>
      </w:r>
      <w:r w:rsidRPr="00D832B3">
        <w:rPr>
          <w:rFonts w:ascii="Arial" w:hAnsi="Arial" w:cs="Arial"/>
        </w:rPr>
        <w:tab/>
        <w:t>Lipczynski 2009: 252.</w:t>
      </w:r>
    </w:p>
  </w:footnote>
  <w:footnote w:id="885">
    <w:p w:rsidR="005E7922" w:rsidRPr="00D832B3" w:rsidRDefault="005E7922" w:rsidP="00D832B3">
      <w:pPr>
        <w:pStyle w:val="Funotentext"/>
        <w:spacing w:line="240" w:lineRule="auto"/>
        <w:contextualSpacing/>
        <w:jc w:val="both"/>
        <w:rPr>
          <w:rFonts w:ascii="Arial" w:hAnsi="Arial" w:cs="Arial"/>
          <w:lang w:val="af-ZA"/>
        </w:rPr>
      </w:pPr>
      <w:r w:rsidRPr="00D832B3">
        <w:rPr>
          <w:rStyle w:val="Funotenzeichen"/>
          <w:rFonts w:ascii="Arial" w:hAnsi="Arial" w:cs="Arial"/>
        </w:rPr>
        <w:footnoteRef/>
      </w:r>
      <w:r w:rsidRPr="00D832B3">
        <w:rPr>
          <w:rFonts w:ascii="Arial" w:hAnsi="Arial" w:cs="Arial"/>
        </w:rPr>
        <w:t xml:space="preserve"> </w:t>
      </w:r>
      <w:r w:rsidRPr="00D832B3">
        <w:rPr>
          <w:rFonts w:ascii="Arial" w:hAnsi="Arial" w:cs="Arial"/>
        </w:rPr>
        <w:tab/>
        <w:t>Cseres 2005:62.</w:t>
      </w:r>
    </w:p>
  </w:footnote>
  <w:footnote w:id="886">
    <w:p w:rsidR="005E7922" w:rsidRPr="00D832B3" w:rsidRDefault="005E7922" w:rsidP="00D832B3">
      <w:pPr>
        <w:pStyle w:val="Funotentext"/>
        <w:spacing w:line="240" w:lineRule="auto"/>
        <w:contextualSpacing/>
        <w:jc w:val="both"/>
        <w:rPr>
          <w:rFonts w:ascii="Arial" w:hAnsi="Arial" w:cs="Arial"/>
        </w:rPr>
      </w:pPr>
      <w:r w:rsidRPr="00D832B3">
        <w:rPr>
          <w:rStyle w:val="Funotenzeichen"/>
          <w:rFonts w:ascii="Arial" w:hAnsi="Arial" w:cs="Arial"/>
        </w:rPr>
        <w:footnoteRef/>
      </w:r>
      <w:r w:rsidRPr="00D832B3">
        <w:rPr>
          <w:rFonts w:ascii="Arial" w:hAnsi="Arial" w:cs="Arial"/>
        </w:rPr>
        <w:t xml:space="preserve"> </w:t>
      </w:r>
      <w:r w:rsidRPr="00D832B3">
        <w:rPr>
          <w:rFonts w:ascii="Arial" w:hAnsi="Arial" w:cs="Arial"/>
        </w:rPr>
        <w:tab/>
        <w:t xml:space="preserve">Neuhoff </w:t>
      </w:r>
      <w:r w:rsidRPr="00D832B3">
        <w:rPr>
          <w:rFonts w:ascii="Arial" w:hAnsi="Arial" w:cs="Arial"/>
          <w:i/>
        </w:rPr>
        <w:t>et al</w:t>
      </w:r>
      <w:r w:rsidRPr="00D832B3">
        <w:rPr>
          <w:rFonts w:ascii="Arial" w:hAnsi="Arial" w:cs="Arial"/>
        </w:rPr>
        <w:t xml:space="preserve"> 2006: 42.</w:t>
      </w:r>
    </w:p>
  </w:footnote>
  <w:footnote w:id="887">
    <w:p w:rsidR="005E7922" w:rsidRPr="00D832B3" w:rsidRDefault="005E7922" w:rsidP="00D832B3">
      <w:pPr>
        <w:pStyle w:val="Funotentext"/>
        <w:spacing w:line="240" w:lineRule="auto"/>
        <w:contextualSpacing/>
        <w:jc w:val="both"/>
        <w:rPr>
          <w:rFonts w:ascii="Arial" w:hAnsi="Arial" w:cs="Arial"/>
        </w:rPr>
      </w:pPr>
      <w:r w:rsidRPr="00D832B3">
        <w:rPr>
          <w:rStyle w:val="Funotenzeichen"/>
          <w:rFonts w:ascii="Arial" w:hAnsi="Arial" w:cs="Arial"/>
        </w:rPr>
        <w:footnoteRef/>
      </w:r>
      <w:r w:rsidRPr="00D832B3">
        <w:rPr>
          <w:rFonts w:ascii="Arial" w:hAnsi="Arial" w:cs="Arial"/>
        </w:rPr>
        <w:t xml:space="preserve">  </w:t>
      </w:r>
      <w:r w:rsidRPr="00D832B3">
        <w:rPr>
          <w:rFonts w:ascii="Arial" w:hAnsi="Arial" w:cs="Arial"/>
        </w:rPr>
        <w:tab/>
        <w:t>Theron 2001: 621.</w:t>
      </w:r>
    </w:p>
  </w:footnote>
  <w:footnote w:id="888">
    <w:p w:rsidR="005E7922" w:rsidRPr="00D832B3" w:rsidRDefault="005E7922" w:rsidP="00D832B3">
      <w:pPr>
        <w:pStyle w:val="Funotentext"/>
        <w:spacing w:line="240" w:lineRule="auto"/>
        <w:contextualSpacing/>
        <w:jc w:val="both"/>
        <w:rPr>
          <w:rFonts w:ascii="Arial" w:hAnsi="Arial" w:cs="Arial"/>
        </w:rPr>
      </w:pPr>
      <w:r w:rsidRPr="00D832B3">
        <w:rPr>
          <w:rStyle w:val="Funotenzeichen"/>
          <w:rFonts w:ascii="Arial" w:hAnsi="Arial" w:cs="Arial"/>
        </w:rPr>
        <w:footnoteRef/>
      </w:r>
      <w:r w:rsidRPr="00D832B3">
        <w:rPr>
          <w:rFonts w:ascii="Arial" w:hAnsi="Arial" w:cs="Arial"/>
        </w:rPr>
        <w:t xml:space="preserve"> </w:t>
      </w:r>
      <w:r w:rsidRPr="00D832B3">
        <w:rPr>
          <w:rFonts w:ascii="Arial" w:hAnsi="Arial" w:cs="Arial"/>
        </w:rPr>
        <w:tab/>
        <w:t xml:space="preserve"> Audretsch </w:t>
      </w:r>
      <w:r w:rsidRPr="00D832B3">
        <w:rPr>
          <w:rFonts w:ascii="Arial" w:hAnsi="Arial" w:cs="Arial"/>
          <w:i/>
        </w:rPr>
        <w:t>et al</w:t>
      </w:r>
      <w:r w:rsidRPr="00D832B3">
        <w:rPr>
          <w:rFonts w:ascii="Arial" w:hAnsi="Arial" w:cs="Arial"/>
        </w:rPr>
        <w:t xml:space="preserve"> 2001: 615; Smith 2005: 8; Kahn 1981: 1.</w:t>
      </w:r>
    </w:p>
  </w:footnote>
  <w:footnote w:id="889">
    <w:p w:rsidR="005E7922" w:rsidRPr="00D832B3" w:rsidRDefault="005E7922" w:rsidP="00D832B3">
      <w:pPr>
        <w:pStyle w:val="Funotentext"/>
        <w:spacing w:line="240" w:lineRule="auto"/>
        <w:contextualSpacing/>
        <w:jc w:val="both"/>
        <w:rPr>
          <w:rFonts w:ascii="Arial" w:hAnsi="Arial" w:cs="Arial"/>
        </w:rPr>
      </w:pPr>
      <w:r w:rsidRPr="00D832B3">
        <w:rPr>
          <w:rStyle w:val="Funotenzeichen"/>
          <w:rFonts w:ascii="Arial" w:hAnsi="Arial" w:cs="Arial"/>
        </w:rPr>
        <w:footnoteRef/>
      </w:r>
      <w:r w:rsidRPr="00D832B3">
        <w:rPr>
          <w:rFonts w:ascii="Arial" w:hAnsi="Arial" w:cs="Arial"/>
        </w:rPr>
        <w:t xml:space="preserve">  </w:t>
      </w:r>
      <w:r w:rsidRPr="00D832B3">
        <w:rPr>
          <w:rFonts w:ascii="Arial" w:hAnsi="Arial" w:cs="Arial"/>
        </w:rPr>
        <w:tab/>
        <w:t xml:space="preserve">Neuhoff </w:t>
      </w:r>
      <w:r w:rsidRPr="00D832B3">
        <w:rPr>
          <w:rFonts w:ascii="Arial" w:hAnsi="Arial" w:cs="Arial"/>
          <w:i/>
        </w:rPr>
        <w:t>et al</w:t>
      </w:r>
      <w:r w:rsidRPr="00D832B3">
        <w:rPr>
          <w:rFonts w:ascii="Arial" w:hAnsi="Arial" w:cs="Arial"/>
        </w:rPr>
        <w:t xml:space="preserve"> 2006: 35 &amp; 43; Reekie 1999: 269; Du Plessis &amp; Gilbert 2008: 16; Theron </w:t>
      </w:r>
      <w:r w:rsidRPr="00D832B3">
        <w:rPr>
          <w:rFonts w:ascii="Arial" w:hAnsi="Arial" w:cs="Arial"/>
        </w:rPr>
        <w:tab/>
        <w:t>2001: 622.</w:t>
      </w:r>
    </w:p>
  </w:footnote>
  <w:footnote w:id="890">
    <w:p w:rsidR="005E7922" w:rsidRPr="00262610" w:rsidRDefault="005E7922" w:rsidP="00262610">
      <w:pPr>
        <w:pStyle w:val="Funotentext"/>
        <w:spacing w:line="240" w:lineRule="auto"/>
        <w:contextualSpacing/>
        <w:jc w:val="both"/>
        <w:rPr>
          <w:rFonts w:ascii="Arial" w:hAnsi="Arial" w:cs="Arial"/>
        </w:rPr>
      </w:pPr>
      <w:r w:rsidRPr="00262610">
        <w:rPr>
          <w:rStyle w:val="Funotenzeichen"/>
          <w:rFonts w:ascii="Arial" w:hAnsi="Arial" w:cs="Arial"/>
        </w:rPr>
        <w:footnoteRef/>
      </w:r>
      <w:r w:rsidRPr="00262610">
        <w:rPr>
          <w:rFonts w:ascii="Arial" w:hAnsi="Arial" w:cs="Arial"/>
        </w:rPr>
        <w:t xml:space="preserve">  </w:t>
      </w:r>
      <w:r w:rsidRPr="00262610">
        <w:rPr>
          <w:rFonts w:ascii="Arial" w:hAnsi="Arial" w:cs="Arial"/>
        </w:rPr>
        <w:tab/>
        <w:t>89/19998.</w:t>
      </w:r>
    </w:p>
  </w:footnote>
  <w:footnote w:id="891">
    <w:p w:rsidR="005E7922" w:rsidRPr="00262610" w:rsidRDefault="005E7922" w:rsidP="00262610">
      <w:pPr>
        <w:pStyle w:val="Funotentext"/>
        <w:spacing w:line="240" w:lineRule="auto"/>
        <w:contextualSpacing/>
        <w:jc w:val="both"/>
        <w:rPr>
          <w:rFonts w:ascii="Arial" w:hAnsi="Arial" w:cs="Arial"/>
        </w:rPr>
      </w:pPr>
      <w:r w:rsidRPr="00262610">
        <w:rPr>
          <w:rStyle w:val="Funotenzeichen"/>
          <w:rFonts w:ascii="Arial" w:hAnsi="Arial" w:cs="Arial"/>
        </w:rPr>
        <w:footnoteRef/>
      </w:r>
      <w:r w:rsidRPr="00262610">
        <w:rPr>
          <w:rFonts w:ascii="Arial" w:hAnsi="Arial" w:cs="Arial"/>
        </w:rPr>
        <w:t xml:space="preserve">  </w:t>
      </w:r>
      <w:r w:rsidRPr="00262610">
        <w:rPr>
          <w:rFonts w:ascii="Arial" w:hAnsi="Arial" w:cs="Arial"/>
        </w:rPr>
        <w:tab/>
        <w:t xml:space="preserve">Neuhoff </w:t>
      </w:r>
      <w:r w:rsidRPr="00262610">
        <w:rPr>
          <w:rFonts w:ascii="Arial" w:hAnsi="Arial" w:cs="Arial"/>
          <w:i/>
        </w:rPr>
        <w:t>et al</w:t>
      </w:r>
      <w:r w:rsidRPr="00262610">
        <w:rPr>
          <w:rFonts w:ascii="Arial" w:hAnsi="Arial" w:cs="Arial"/>
        </w:rPr>
        <w:t xml:space="preserve"> 2006: 43.</w:t>
      </w:r>
    </w:p>
  </w:footnote>
  <w:footnote w:id="892">
    <w:p w:rsidR="005E7922" w:rsidRPr="00262610" w:rsidRDefault="005E7922" w:rsidP="00262610">
      <w:pPr>
        <w:pStyle w:val="Funotentext"/>
        <w:spacing w:line="240" w:lineRule="auto"/>
        <w:contextualSpacing/>
        <w:jc w:val="both"/>
        <w:rPr>
          <w:rFonts w:ascii="Arial" w:hAnsi="Arial" w:cs="Arial"/>
        </w:rPr>
      </w:pPr>
      <w:r w:rsidRPr="00262610">
        <w:rPr>
          <w:rStyle w:val="Funotenzeichen"/>
          <w:rFonts w:ascii="Arial" w:hAnsi="Arial" w:cs="Arial"/>
        </w:rPr>
        <w:footnoteRef/>
      </w:r>
      <w:r w:rsidRPr="00262610">
        <w:rPr>
          <w:rFonts w:ascii="Arial" w:hAnsi="Arial" w:cs="Arial"/>
        </w:rPr>
        <w:t xml:space="preserve">  </w:t>
      </w:r>
      <w:r w:rsidRPr="00262610">
        <w:rPr>
          <w:rFonts w:ascii="Arial" w:hAnsi="Arial" w:cs="Arial"/>
        </w:rPr>
        <w:tab/>
        <w:t xml:space="preserve">Neuhoff </w:t>
      </w:r>
      <w:r w:rsidRPr="00262610">
        <w:rPr>
          <w:rFonts w:ascii="Arial" w:hAnsi="Arial" w:cs="Arial"/>
          <w:i/>
        </w:rPr>
        <w:t>et al</w:t>
      </w:r>
      <w:r w:rsidRPr="00262610">
        <w:rPr>
          <w:rFonts w:ascii="Arial" w:hAnsi="Arial" w:cs="Arial"/>
        </w:rPr>
        <w:t xml:space="preserve"> 2006: 43.</w:t>
      </w:r>
    </w:p>
  </w:footnote>
  <w:footnote w:id="893">
    <w:p w:rsidR="005E7922" w:rsidRPr="00262610" w:rsidRDefault="005E7922" w:rsidP="00262610">
      <w:pPr>
        <w:pStyle w:val="Funotentext"/>
        <w:spacing w:line="240" w:lineRule="auto"/>
        <w:contextualSpacing/>
        <w:jc w:val="both"/>
        <w:rPr>
          <w:rFonts w:ascii="Arial" w:hAnsi="Arial" w:cs="Arial"/>
        </w:rPr>
      </w:pPr>
      <w:r w:rsidRPr="00262610">
        <w:rPr>
          <w:rStyle w:val="Funotenzeichen"/>
          <w:rFonts w:ascii="Arial" w:hAnsi="Arial" w:cs="Arial"/>
        </w:rPr>
        <w:footnoteRef/>
      </w:r>
      <w:r w:rsidRPr="00262610">
        <w:rPr>
          <w:rFonts w:ascii="Arial" w:hAnsi="Arial" w:cs="Arial"/>
        </w:rPr>
        <w:t xml:space="preserve"> </w:t>
      </w:r>
      <w:r w:rsidRPr="00262610">
        <w:rPr>
          <w:rFonts w:ascii="Arial" w:hAnsi="Arial" w:cs="Arial"/>
        </w:rPr>
        <w:tab/>
        <w:t xml:space="preserve">Neuhoff </w:t>
      </w:r>
      <w:r w:rsidRPr="00262610">
        <w:rPr>
          <w:rFonts w:ascii="Arial" w:hAnsi="Arial" w:cs="Arial"/>
          <w:i/>
        </w:rPr>
        <w:t>et al</w:t>
      </w:r>
      <w:r w:rsidRPr="00262610">
        <w:rPr>
          <w:rFonts w:ascii="Arial" w:hAnsi="Arial" w:cs="Arial"/>
        </w:rPr>
        <w:t xml:space="preserve"> 2006: 43.</w:t>
      </w:r>
    </w:p>
  </w:footnote>
  <w:footnote w:id="894">
    <w:p w:rsidR="005E7922" w:rsidRPr="0070730B" w:rsidRDefault="005E7922" w:rsidP="0070730B">
      <w:pPr>
        <w:pStyle w:val="Funotentext"/>
        <w:spacing w:line="240" w:lineRule="auto"/>
        <w:contextualSpacing/>
        <w:jc w:val="both"/>
        <w:rPr>
          <w:rFonts w:ascii="Arial" w:hAnsi="Arial" w:cs="Arial"/>
          <w:lang w:val="af-ZA"/>
        </w:rPr>
      </w:pPr>
      <w:r w:rsidRPr="0070730B">
        <w:rPr>
          <w:rStyle w:val="Funotenzeichen"/>
          <w:rFonts w:ascii="Arial" w:hAnsi="Arial" w:cs="Arial"/>
        </w:rPr>
        <w:footnoteRef/>
      </w:r>
      <w:r w:rsidRPr="0070730B">
        <w:rPr>
          <w:rFonts w:ascii="Arial" w:hAnsi="Arial" w:cs="Arial"/>
        </w:rPr>
        <w:t xml:space="preserve"> </w:t>
      </w:r>
      <w:r w:rsidRPr="0070730B">
        <w:rPr>
          <w:rFonts w:ascii="Arial" w:hAnsi="Arial" w:cs="Arial"/>
        </w:rPr>
        <w:tab/>
        <w:t xml:space="preserve">Neuhoff </w:t>
      </w:r>
      <w:r w:rsidRPr="0070730B">
        <w:rPr>
          <w:rFonts w:ascii="Arial" w:hAnsi="Arial" w:cs="Arial"/>
          <w:i/>
        </w:rPr>
        <w:t>et al</w:t>
      </w:r>
      <w:r w:rsidRPr="0070730B">
        <w:rPr>
          <w:rFonts w:ascii="Arial" w:hAnsi="Arial" w:cs="Arial"/>
        </w:rPr>
        <w:t xml:space="preserve"> 2006: 43.</w:t>
      </w:r>
    </w:p>
  </w:footnote>
  <w:footnote w:id="895">
    <w:p w:rsidR="005E7922" w:rsidRPr="0070730B" w:rsidRDefault="005E7922" w:rsidP="0070730B">
      <w:pPr>
        <w:pStyle w:val="Funotentext"/>
        <w:spacing w:line="240" w:lineRule="auto"/>
        <w:contextualSpacing/>
        <w:jc w:val="both"/>
        <w:rPr>
          <w:rFonts w:ascii="Arial" w:hAnsi="Arial" w:cs="Arial"/>
          <w:lang w:val="af-ZA"/>
        </w:rPr>
      </w:pPr>
      <w:r w:rsidRPr="0070730B">
        <w:rPr>
          <w:rStyle w:val="Funotenzeichen"/>
          <w:rFonts w:ascii="Arial" w:hAnsi="Arial" w:cs="Arial"/>
        </w:rPr>
        <w:footnoteRef/>
      </w:r>
      <w:r w:rsidRPr="0070730B">
        <w:rPr>
          <w:rFonts w:ascii="Arial" w:hAnsi="Arial" w:cs="Arial"/>
        </w:rPr>
        <w:t xml:space="preserve"> </w:t>
      </w:r>
      <w:r w:rsidRPr="0070730B">
        <w:rPr>
          <w:rFonts w:ascii="Arial" w:hAnsi="Arial" w:cs="Arial"/>
        </w:rPr>
        <w:tab/>
        <w:t xml:space="preserve">Neuhoff </w:t>
      </w:r>
      <w:r w:rsidRPr="0070730B">
        <w:rPr>
          <w:rFonts w:ascii="Arial" w:hAnsi="Arial" w:cs="Arial"/>
          <w:i/>
        </w:rPr>
        <w:t>et al</w:t>
      </w:r>
      <w:r w:rsidRPr="0070730B">
        <w:rPr>
          <w:rFonts w:ascii="Arial" w:hAnsi="Arial" w:cs="Arial"/>
        </w:rPr>
        <w:t xml:space="preserve"> 2006: 43.</w:t>
      </w:r>
    </w:p>
  </w:footnote>
  <w:footnote w:id="896">
    <w:p w:rsidR="005E7922" w:rsidRPr="0070730B" w:rsidRDefault="005E7922" w:rsidP="0070730B">
      <w:pPr>
        <w:pStyle w:val="Funotentext"/>
        <w:spacing w:line="240" w:lineRule="auto"/>
        <w:contextualSpacing/>
        <w:jc w:val="both"/>
        <w:rPr>
          <w:rFonts w:ascii="Arial" w:hAnsi="Arial" w:cs="Arial"/>
          <w:lang w:val="af-ZA"/>
        </w:rPr>
      </w:pPr>
      <w:r w:rsidRPr="0070730B">
        <w:rPr>
          <w:rStyle w:val="Funotenzeichen"/>
          <w:rFonts w:ascii="Arial" w:hAnsi="Arial" w:cs="Arial"/>
        </w:rPr>
        <w:footnoteRef/>
      </w:r>
      <w:r w:rsidRPr="0070730B">
        <w:rPr>
          <w:rFonts w:ascii="Arial" w:hAnsi="Arial" w:cs="Arial"/>
        </w:rPr>
        <w:t xml:space="preserve"> </w:t>
      </w:r>
      <w:r w:rsidRPr="0070730B">
        <w:rPr>
          <w:rFonts w:ascii="Arial" w:hAnsi="Arial" w:cs="Arial"/>
        </w:rPr>
        <w:tab/>
        <w:t xml:space="preserve">Neuhoff </w:t>
      </w:r>
      <w:r w:rsidRPr="0070730B">
        <w:rPr>
          <w:rFonts w:ascii="Arial" w:hAnsi="Arial" w:cs="Arial"/>
          <w:i/>
        </w:rPr>
        <w:t>et al</w:t>
      </w:r>
      <w:r w:rsidRPr="0070730B">
        <w:rPr>
          <w:rFonts w:ascii="Arial" w:hAnsi="Arial" w:cs="Arial"/>
        </w:rPr>
        <w:t xml:space="preserve"> 2006: 43.</w:t>
      </w:r>
    </w:p>
  </w:footnote>
  <w:footnote w:id="897">
    <w:p w:rsidR="005E7922" w:rsidRPr="0070730B" w:rsidRDefault="005E7922" w:rsidP="0070730B">
      <w:pPr>
        <w:pStyle w:val="Funotentext"/>
        <w:spacing w:line="240" w:lineRule="auto"/>
        <w:contextualSpacing/>
        <w:jc w:val="both"/>
        <w:rPr>
          <w:rFonts w:ascii="Arial" w:hAnsi="Arial" w:cs="Arial"/>
          <w:lang w:val="af-ZA"/>
        </w:rPr>
      </w:pPr>
      <w:r w:rsidRPr="0070730B">
        <w:rPr>
          <w:rStyle w:val="Funotenzeichen"/>
          <w:rFonts w:ascii="Arial" w:hAnsi="Arial" w:cs="Arial"/>
        </w:rPr>
        <w:footnoteRef/>
      </w:r>
      <w:r w:rsidRPr="0070730B">
        <w:rPr>
          <w:rFonts w:ascii="Arial" w:hAnsi="Arial" w:cs="Arial"/>
        </w:rPr>
        <w:t xml:space="preserve"> </w:t>
      </w:r>
      <w:r w:rsidRPr="0070730B">
        <w:rPr>
          <w:rFonts w:ascii="Arial" w:hAnsi="Arial" w:cs="Arial"/>
          <w:lang w:val="af-ZA"/>
        </w:rPr>
        <w:t xml:space="preserve"> </w:t>
      </w:r>
      <w:r w:rsidRPr="0070730B">
        <w:rPr>
          <w:rFonts w:ascii="Arial" w:hAnsi="Arial" w:cs="Arial"/>
          <w:lang w:val="af-ZA"/>
        </w:rPr>
        <w:tab/>
      </w:r>
      <w:r w:rsidRPr="0070730B">
        <w:rPr>
          <w:rFonts w:ascii="Arial" w:hAnsi="Arial" w:cs="Arial"/>
        </w:rPr>
        <w:t>Office of Fair Trading 2004: 6.</w:t>
      </w:r>
    </w:p>
  </w:footnote>
  <w:footnote w:id="898">
    <w:p w:rsidR="005E7922" w:rsidRPr="0070730B" w:rsidRDefault="005E7922" w:rsidP="0070730B">
      <w:pPr>
        <w:pStyle w:val="Funotentext"/>
        <w:spacing w:line="240" w:lineRule="auto"/>
        <w:contextualSpacing/>
        <w:jc w:val="both"/>
        <w:rPr>
          <w:rFonts w:ascii="Arial" w:hAnsi="Arial" w:cs="Arial"/>
          <w:lang w:val="af-ZA"/>
        </w:rPr>
      </w:pPr>
      <w:r w:rsidRPr="0070730B">
        <w:rPr>
          <w:rStyle w:val="Funotenzeichen"/>
          <w:rFonts w:ascii="Arial" w:hAnsi="Arial" w:cs="Arial"/>
        </w:rPr>
        <w:footnoteRef/>
      </w:r>
      <w:r w:rsidRPr="0070730B">
        <w:rPr>
          <w:rFonts w:ascii="Arial" w:hAnsi="Arial" w:cs="Arial"/>
        </w:rPr>
        <w:t xml:space="preserve"> </w:t>
      </w:r>
      <w:r w:rsidRPr="0070730B">
        <w:rPr>
          <w:rFonts w:ascii="Arial" w:hAnsi="Arial" w:cs="Arial"/>
          <w:lang w:val="af-ZA"/>
        </w:rPr>
        <w:t xml:space="preserve"> </w:t>
      </w:r>
      <w:r w:rsidRPr="0070730B">
        <w:rPr>
          <w:rFonts w:ascii="Arial" w:hAnsi="Arial" w:cs="Arial"/>
          <w:lang w:val="af-ZA"/>
        </w:rPr>
        <w:tab/>
      </w:r>
      <w:r w:rsidRPr="0070730B">
        <w:rPr>
          <w:rFonts w:ascii="Arial" w:hAnsi="Arial" w:cs="Arial"/>
        </w:rPr>
        <w:t xml:space="preserve">Neuhoff </w:t>
      </w:r>
      <w:r w:rsidRPr="0070730B">
        <w:rPr>
          <w:rFonts w:ascii="Arial" w:hAnsi="Arial" w:cs="Arial"/>
          <w:i/>
        </w:rPr>
        <w:t>et al</w:t>
      </w:r>
      <w:r w:rsidRPr="0070730B">
        <w:rPr>
          <w:rFonts w:ascii="Arial" w:hAnsi="Arial" w:cs="Arial"/>
        </w:rPr>
        <w:t xml:space="preserve"> 2006: 43.</w:t>
      </w:r>
    </w:p>
  </w:footnote>
  <w:footnote w:id="899">
    <w:p w:rsidR="005E7922" w:rsidRPr="007769CF" w:rsidRDefault="005E7922" w:rsidP="007769CF">
      <w:pPr>
        <w:pStyle w:val="Funotentext"/>
        <w:spacing w:line="240" w:lineRule="auto"/>
        <w:contextualSpacing/>
        <w:jc w:val="both"/>
        <w:rPr>
          <w:rFonts w:ascii="Arial" w:hAnsi="Arial" w:cs="Arial"/>
          <w:lang w:val="af-ZA"/>
        </w:rPr>
      </w:pPr>
      <w:r w:rsidRPr="007769CF">
        <w:rPr>
          <w:rStyle w:val="Funotenzeichen"/>
          <w:rFonts w:ascii="Arial" w:hAnsi="Arial" w:cs="Arial"/>
        </w:rPr>
        <w:footnoteRef/>
      </w:r>
      <w:r w:rsidRPr="007769CF">
        <w:rPr>
          <w:rFonts w:ascii="Arial" w:hAnsi="Arial" w:cs="Arial"/>
        </w:rPr>
        <w:t xml:space="preserve"> </w:t>
      </w:r>
      <w:r w:rsidRPr="007769CF">
        <w:rPr>
          <w:rFonts w:ascii="Arial" w:hAnsi="Arial" w:cs="Arial"/>
          <w:lang w:val="af-ZA"/>
        </w:rPr>
        <w:t xml:space="preserve"> </w:t>
      </w:r>
      <w:r w:rsidRPr="007769CF">
        <w:rPr>
          <w:rFonts w:ascii="Arial" w:hAnsi="Arial" w:cs="Arial"/>
          <w:lang w:val="af-ZA"/>
        </w:rPr>
        <w:tab/>
      </w:r>
      <w:r w:rsidRPr="007769CF">
        <w:rPr>
          <w:rFonts w:ascii="Arial" w:hAnsi="Arial" w:cs="Arial"/>
        </w:rPr>
        <w:t xml:space="preserve">Neuhoff </w:t>
      </w:r>
      <w:r w:rsidRPr="007769CF">
        <w:rPr>
          <w:rFonts w:ascii="Arial" w:hAnsi="Arial" w:cs="Arial"/>
          <w:i/>
        </w:rPr>
        <w:t>et al</w:t>
      </w:r>
      <w:r w:rsidRPr="007769CF">
        <w:rPr>
          <w:rFonts w:ascii="Arial" w:hAnsi="Arial" w:cs="Arial"/>
        </w:rPr>
        <w:t xml:space="preserve"> 2006: 43.</w:t>
      </w:r>
    </w:p>
  </w:footnote>
  <w:footnote w:id="900">
    <w:p w:rsidR="005E7922" w:rsidRPr="00F46976" w:rsidRDefault="005E7922" w:rsidP="00F46976">
      <w:pPr>
        <w:pStyle w:val="Funotentext"/>
        <w:spacing w:line="240" w:lineRule="auto"/>
        <w:contextualSpacing/>
        <w:jc w:val="both"/>
        <w:rPr>
          <w:rFonts w:ascii="Arial" w:hAnsi="Arial" w:cs="Arial"/>
        </w:rPr>
      </w:pPr>
      <w:r w:rsidRPr="00F46976">
        <w:rPr>
          <w:rStyle w:val="Funotenzeichen"/>
          <w:rFonts w:ascii="Arial" w:hAnsi="Arial" w:cs="Arial"/>
        </w:rPr>
        <w:footnoteRef/>
      </w:r>
      <w:r w:rsidRPr="00F46976">
        <w:rPr>
          <w:rFonts w:ascii="Arial" w:hAnsi="Arial" w:cs="Arial"/>
        </w:rPr>
        <w:t xml:space="preserve"> </w:t>
      </w:r>
      <w:r w:rsidRPr="00F46976">
        <w:rPr>
          <w:rFonts w:ascii="Arial" w:hAnsi="Arial" w:cs="Arial"/>
        </w:rPr>
        <w:tab/>
        <w:t xml:space="preserve">Lipczynski 2009: 9; Neuhoff </w:t>
      </w:r>
      <w:r w:rsidRPr="00F46976">
        <w:rPr>
          <w:rFonts w:ascii="Arial" w:hAnsi="Arial" w:cs="Arial"/>
          <w:i/>
        </w:rPr>
        <w:t>et al</w:t>
      </w:r>
      <w:r w:rsidRPr="00F46976">
        <w:rPr>
          <w:rFonts w:ascii="Arial" w:hAnsi="Arial" w:cs="Arial"/>
        </w:rPr>
        <w:t xml:space="preserve"> 2006: 44.</w:t>
      </w:r>
    </w:p>
  </w:footnote>
  <w:footnote w:id="901">
    <w:p w:rsidR="005E7922" w:rsidRPr="00F46976" w:rsidRDefault="005E7922" w:rsidP="00F46976">
      <w:pPr>
        <w:pStyle w:val="Funotentext"/>
        <w:spacing w:line="240" w:lineRule="auto"/>
        <w:contextualSpacing/>
        <w:jc w:val="both"/>
        <w:rPr>
          <w:rFonts w:ascii="Arial" w:hAnsi="Arial" w:cs="Arial"/>
        </w:rPr>
      </w:pPr>
      <w:r w:rsidRPr="00F46976">
        <w:rPr>
          <w:rStyle w:val="Funotenzeichen"/>
          <w:rFonts w:ascii="Arial" w:hAnsi="Arial" w:cs="Arial"/>
        </w:rPr>
        <w:footnoteRef/>
      </w:r>
      <w:r w:rsidRPr="00F46976">
        <w:rPr>
          <w:rFonts w:ascii="Arial" w:hAnsi="Arial" w:cs="Arial"/>
        </w:rPr>
        <w:tab/>
        <w:t xml:space="preserve">Neuhoff </w:t>
      </w:r>
      <w:r w:rsidRPr="00F46976">
        <w:rPr>
          <w:rFonts w:ascii="Arial" w:hAnsi="Arial" w:cs="Arial"/>
          <w:i/>
        </w:rPr>
        <w:t>et al</w:t>
      </w:r>
      <w:r w:rsidRPr="00F46976">
        <w:rPr>
          <w:rFonts w:ascii="Arial" w:hAnsi="Arial" w:cs="Arial"/>
        </w:rPr>
        <w:t xml:space="preserve"> 2006: 44.</w:t>
      </w:r>
    </w:p>
  </w:footnote>
  <w:footnote w:id="902">
    <w:p w:rsidR="005E7922" w:rsidRPr="00F46976" w:rsidRDefault="005E7922" w:rsidP="00F46976">
      <w:pPr>
        <w:pStyle w:val="Funotentext"/>
        <w:spacing w:line="240" w:lineRule="auto"/>
        <w:contextualSpacing/>
        <w:jc w:val="both"/>
        <w:rPr>
          <w:rFonts w:ascii="Arial" w:hAnsi="Arial" w:cs="Arial"/>
        </w:rPr>
      </w:pPr>
      <w:r w:rsidRPr="00F46976">
        <w:rPr>
          <w:rStyle w:val="Funotenzeichen"/>
          <w:rFonts w:ascii="Arial" w:hAnsi="Arial" w:cs="Arial"/>
        </w:rPr>
        <w:footnoteRef/>
      </w:r>
      <w:r w:rsidRPr="00F46976">
        <w:rPr>
          <w:rFonts w:ascii="Arial" w:hAnsi="Arial" w:cs="Arial"/>
        </w:rPr>
        <w:t xml:space="preserve">  </w:t>
      </w:r>
      <w:r w:rsidRPr="00F46976">
        <w:rPr>
          <w:rFonts w:ascii="Arial" w:hAnsi="Arial" w:cs="Arial"/>
        </w:rPr>
        <w:tab/>
        <w:t>Lipczynski 2009: 9.</w:t>
      </w:r>
    </w:p>
  </w:footnote>
  <w:footnote w:id="903">
    <w:p w:rsidR="005E7922" w:rsidRPr="00F46976" w:rsidRDefault="005E7922" w:rsidP="00F46976">
      <w:pPr>
        <w:pStyle w:val="Funotentext"/>
        <w:spacing w:line="240" w:lineRule="auto"/>
        <w:contextualSpacing/>
        <w:jc w:val="both"/>
        <w:rPr>
          <w:rFonts w:ascii="Arial" w:hAnsi="Arial" w:cs="Arial"/>
        </w:rPr>
      </w:pPr>
      <w:r w:rsidRPr="00F46976">
        <w:rPr>
          <w:rStyle w:val="Funotenzeichen"/>
          <w:rFonts w:ascii="Arial" w:hAnsi="Arial" w:cs="Arial"/>
        </w:rPr>
        <w:footnoteRef/>
      </w:r>
      <w:r w:rsidRPr="00F46976">
        <w:rPr>
          <w:rFonts w:ascii="Arial" w:hAnsi="Arial" w:cs="Arial"/>
        </w:rPr>
        <w:t xml:space="preserve">  </w:t>
      </w:r>
      <w:r w:rsidRPr="00F46976">
        <w:rPr>
          <w:rFonts w:ascii="Arial" w:hAnsi="Arial" w:cs="Arial"/>
        </w:rPr>
        <w:tab/>
        <w:t>Reekie 2000: 16.</w:t>
      </w:r>
    </w:p>
  </w:footnote>
  <w:footnote w:id="904">
    <w:p w:rsidR="005E7922" w:rsidRPr="00F46976" w:rsidRDefault="005E7922" w:rsidP="00F46976">
      <w:pPr>
        <w:pStyle w:val="Funotentext"/>
        <w:spacing w:line="240" w:lineRule="auto"/>
        <w:contextualSpacing/>
        <w:jc w:val="both"/>
        <w:rPr>
          <w:rFonts w:ascii="Arial" w:hAnsi="Arial" w:cs="Arial"/>
        </w:rPr>
      </w:pPr>
      <w:r w:rsidRPr="00F46976">
        <w:rPr>
          <w:rStyle w:val="Funotenzeichen"/>
          <w:rFonts w:ascii="Arial" w:hAnsi="Arial" w:cs="Arial"/>
        </w:rPr>
        <w:footnoteRef/>
      </w:r>
      <w:r w:rsidRPr="00F46976">
        <w:rPr>
          <w:rFonts w:ascii="Arial" w:hAnsi="Arial" w:cs="Arial"/>
        </w:rPr>
        <w:t xml:space="preserve"> </w:t>
      </w:r>
      <w:r w:rsidRPr="00F46976">
        <w:rPr>
          <w:rFonts w:ascii="Arial" w:hAnsi="Arial" w:cs="Arial"/>
        </w:rPr>
        <w:tab/>
        <w:t>Reekie 2000: 16.</w:t>
      </w:r>
    </w:p>
  </w:footnote>
  <w:footnote w:id="905">
    <w:p w:rsidR="005E7922" w:rsidRPr="00F46976" w:rsidRDefault="005E7922" w:rsidP="00F46976">
      <w:pPr>
        <w:pStyle w:val="Funotentext"/>
        <w:spacing w:line="240" w:lineRule="auto"/>
        <w:contextualSpacing/>
        <w:jc w:val="both"/>
        <w:rPr>
          <w:rFonts w:ascii="Arial" w:hAnsi="Arial" w:cs="Arial"/>
        </w:rPr>
      </w:pPr>
      <w:r w:rsidRPr="00F46976">
        <w:rPr>
          <w:rStyle w:val="Funotenzeichen"/>
          <w:rFonts w:ascii="Arial" w:hAnsi="Arial" w:cs="Arial"/>
        </w:rPr>
        <w:footnoteRef/>
      </w:r>
      <w:r w:rsidRPr="00F46976">
        <w:rPr>
          <w:rFonts w:ascii="Arial" w:hAnsi="Arial" w:cs="Arial"/>
        </w:rPr>
        <w:t xml:space="preserve">  </w:t>
      </w:r>
      <w:r w:rsidRPr="00F46976">
        <w:rPr>
          <w:rFonts w:ascii="Arial" w:hAnsi="Arial" w:cs="Arial"/>
        </w:rPr>
        <w:tab/>
        <w:t xml:space="preserve">Theron 2001: 621. Refer to section 2.5.3.2.2 for a discussion on the SCP paradigms </w:t>
      </w:r>
      <w:r w:rsidRPr="00F46976">
        <w:rPr>
          <w:rFonts w:ascii="Arial" w:hAnsi="Arial" w:cs="Arial"/>
        </w:rPr>
        <w:tab/>
        <w:t>assumption of a unidirectional causality from structure, to conduct to performance.</w:t>
      </w:r>
    </w:p>
  </w:footnote>
  <w:footnote w:id="906">
    <w:p w:rsidR="005E7922" w:rsidRPr="00F46976" w:rsidRDefault="005E7922" w:rsidP="00F46976">
      <w:pPr>
        <w:pStyle w:val="Funotentext"/>
        <w:spacing w:line="240" w:lineRule="auto"/>
        <w:contextualSpacing/>
        <w:jc w:val="both"/>
        <w:rPr>
          <w:rFonts w:ascii="Arial" w:hAnsi="Arial" w:cs="Arial"/>
          <w:lang w:val="af-ZA"/>
        </w:rPr>
      </w:pPr>
      <w:r w:rsidRPr="00F46976">
        <w:rPr>
          <w:rStyle w:val="Funotenzeichen"/>
          <w:rFonts w:ascii="Arial" w:hAnsi="Arial" w:cs="Arial"/>
        </w:rPr>
        <w:footnoteRef/>
      </w:r>
      <w:r w:rsidRPr="00F46976">
        <w:rPr>
          <w:rFonts w:ascii="Arial" w:hAnsi="Arial" w:cs="Arial"/>
        </w:rPr>
        <w:t xml:space="preserve"> </w:t>
      </w:r>
      <w:r w:rsidRPr="00F46976">
        <w:rPr>
          <w:rFonts w:ascii="Arial" w:hAnsi="Arial" w:cs="Arial"/>
          <w:lang w:val="af-ZA"/>
        </w:rPr>
        <w:t xml:space="preserve"> </w:t>
      </w:r>
      <w:r w:rsidRPr="00F46976">
        <w:rPr>
          <w:rFonts w:ascii="Arial" w:hAnsi="Arial" w:cs="Arial"/>
          <w:lang w:val="af-ZA"/>
        </w:rPr>
        <w:tab/>
      </w:r>
      <w:r w:rsidRPr="00F46976">
        <w:rPr>
          <w:rFonts w:ascii="Arial" w:hAnsi="Arial" w:cs="Arial"/>
        </w:rPr>
        <w:t>Office of Fair Trading 2004: 25.</w:t>
      </w:r>
    </w:p>
  </w:footnote>
  <w:footnote w:id="907">
    <w:p w:rsidR="005E7922" w:rsidRPr="00C16F0B" w:rsidRDefault="005E7922" w:rsidP="00C16F0B">
      <w:pPr>
        <w:pStyle w:val="Funotentext"/>
        <w:spacing w:line="240" w:lineRule="auto"/>
        <w:contextualSpacing/>
        <w:jc w:val="both"/>
        <w:rPr>
          <w:rFonts w:ascii="Arial" w:hAnsi="Arial" w:cs="Arial"/>
        </w:rPr>
      </w:pPr>
      <w:r w:rsidRPr="00C16F0B">
        <w:rPr>
          <w:rStyle w:val="Funotenzeichen"/>
          <w:rFonts w:ascii="Arial" w:hAnsi="Arial" w:cs="Arial"/>
        </w:rPr>
        <w:footnoteRef/>
      </w:r>
      <w:r w:rsidRPr="00C16F0B">
        <w:rPr>
          <w:rFonts w:ascii="Arial" w:hAnsi="Arial" w:cs="Arial"/>
        </w:rPr>
        <w:t xml:space="preserve">  </w:t>
      </w:r>
      <w:r w:rsidRPr="00C16F0B">
        <w:rPr>
          <w:rFonts w:ascii="Arial" w:hAnsi="Arial" w:cs="Arial"/>
        </w:rPr>
        <w:tab/>
        <w:t xml:space="preserve">Neuhoff </w:t>
      </w:r>
      <w:r w:rsidRPr="00C16F0B">
        <w:rPr>
          <w:rFonts w:ascii="Arial" w:hAnsi="Arial" w:cs="Arial"/>
          <w:i/>
        </w:rPr>
        <w:t>et al</w:t>
      </w:r>
      <w:r w:rsidRPr="00C16F0B">
        <w:rPr>
          <w:rFonts w:ascii="Arial" w:hAnsi="Arial" w:cs="Arial"/>
        </w:rPr>
        <w:t xml:space="preserve"> 2006: 44.</w:t>
      </w:r>
    </w:p>
  </w:footnote>
  <w:footnote w:id="908">
    <w:p w:rsidR="005E7922" w:rsidRPr="00C16F0B" w:rsidRDefault="005E7922" w:rsidP="00C16F0B">
      <w:pPr>
        <w:pStyle w:val="Funotentext"/>
        <w:spacing w:line="240" w:lineRule="auto"/>
        <w:contextualSpacing/>
        <w:jc w:val="both"/>
        <w:rPr>
          <w:rFonts w:ascii="Arial" w:hAnsi="Arial" w:cs="Arial"/>
        </w:rPr>
      </w:pPr>
      <w:r w:rsidRPr="00C16F0B">
        <w:rPr>
          <w:rStyle w:val="Funotenzeichen"/>
          <w:rFonts w:ascii="Arial" w:hAnsi="Arial" w:cs="Arial"/>
        </w:rPr>
        <w:footnoteRef/>
      </w:r>
      <w:r w:rsidRPr="00C16F0B">
        <w:rPr>
          <w:rFonts w:ascii="Arial" w:hAnsi="Arial" w:cs="Arial"/>
        </w:rPr>
        <w:t xml:space="preserve"> </w:t>
      </w:r>
      <w:r w:rsidRPr="00C16F0B">
        <w:rPr>
          <w:rFonts w:ascii="Arial" w:hAnsi="Arial" w:cs="Arial"/>
        </w:rPr>
        <w:tab/>
        <w:t>Refer to sections 2.2.5 &amp; 2.5.1.</w:t>
      </w:r>
    </w:p>
  </w:footnote>
  <w:footnote w:id="909">
    <w:p w:rsidR="005E7922" w:rsidRPr="00C16F0B" w:rsidRDefault="005E7922" w:rsidP="00C16F0B">
      <w:pPr>
        <w:pStyle w:val="Funotentext"/>
        <w:spacing w:line="240" w:lineRule="auto"/>
        <w:contextualSpacing/>
        <w:jc w:val="both"/>
        <w:rPr>
          <w:rFonts w:ascii="Arial" w:hAnsi="Arial" w:cs="Arial"/>
        </w:rPr>
      </w:pPr>
      <w:r w:rsidRPr="00C16F0B">
        <w:rPr>
          <w:rStyle w:val="Funotenzeichen"/>
          <w:rFonts w:ascii="Arial" w:hAnsi="Arial" w:cs="Arial"/>
        </w:rPr>
        <w:footnoteRef/>
      </w:r>
      <w:r w:rsidRPr="00C16F0B">
        <w:rPr>
          <w:rFonts w:ascii="Arial" w:hAnsi="Arial" w:cs="Arial"/>
        </w:rPr>
        <w:t xml:space="preserve">  </w:t>
      </w:r>
      <w:r w:rsidRPr="00C16F0B">
        <w:rPr>
          <w:rFonts w:ascii="Arial" w:hAnsi="Arial" w:cs="Arial"/>
        </w:rPr>
        <w:tab/>
        <w:t>Agnew 1985: 67.</w:t>
      </w:r>
    </w:p>
  </w:footnote>
  <w:footnote w:id="910">
    <w:p w:rsidR="005E7922" w:rsidRPr="00C16F0B" w:rsidRDefault="005E7922" w:rsidP="00C16F0B">
      <w:pPr>
        <w:pStyle w:val="Funotentext"/>
        <w:spacing w:line="240" w:lineRule="auto"/>
        <w:contextualSpacing/>
        <w:jc w:val="both"/>
        <w:rPr>
          <w:rFonts w:ascii="Arial" w:hAnsi="Arial" w:cs="Arial"/>
        </w:rPr>
      </w:pPr>
      <w:r w:rsidRPr="00C16F0B">
        <w:rPr>
          <w:rStyle w:val="Funotenzeichen"/>
          <w:rFonts w:ascii="Arial" w:hAnsi="Arial" w:cs="Arial"/>
        </w:rPr>
        <w:footnoteRef/>
      </w:r>
      <w:r w:rsidRPr="00C16F0B">
        <w:rPr>
          <w:rFonts w:ascii="Arial" w:hAnsi="Arial" w:cs="Arial"/>
        </w:rPr>
        <w:t xml:space="preserve">  </w:t>
      </w:r>
      <w:r w:rsidRPr="00C16F0B">
        <w:rPr>
          <w:rFonts w:ascii="Arial" w:hAnsi="Arial" w:cs="Arial"/>
        </w:rPr>
        <w:tab/>
        <w:t>Competition Commission 2002: 40.</w:t>
      </w:r>
    </w:p>
  </w:footnote>
  <w:footnote w:id="911">
    <w:p w:rsidR="005E7922" w:rsidRPr="00C16F0B" w:rsidRDefault="005E7922" w:rsidP="00C16F0B">
      <w:pPr>
        <w:pStyle w:val="Funotentext"/>
        <w:spacing w:line="240" w:lineRule="auto"/>
        <w:contextualSpacing/>
        <w:jc w:val="both"/>
        <w:rPr>
          <w:rFonts w:ascii="Arial" w:hAnsi="Arial" w:cs="Arial"/>
          <w:lang w:val="af-ZA"/>
        </w:rPr>
      </w:pPr>
      <w:r w:rsidRPr="00C16F0B">
        <w:rPr>
          <w:rStyle w:val="Funotenzeichen"/>
          <w:rFonts w:ascii="Arial" w:hAnsi="Arial" w:cs="Arial"/>
        </w:rPr>
        <w:footnoteRef/>
      </w:r>
      <w:r w:rsidRPr="00C16F0B">
        <w:rPr>
          <w:rFonts w:ascii="Arial" w:hAnsi="Arial" w:cs="Arial"/>
        </w:rPr>
        <w:t xml:space="preserve"> </w:t>
      </w:r>
      <w:r w:rsidRPr="00C16F0B">
        <w:rPr>
          <w:rFonts w:ascii="Arial" w:hAnsi="Arial" w:cs="Arial"/>
          <w:lang w:val="af-ZA"/>
        </w:rPr>
        <w:t xml:space="preserve"> </w:t>
      </w:r>
      <w:r w:rsidRPr="00C16F0B">
        <w:rPr>
          <w:rFonts w:ascii="Arial" w:hAnsi="Arial" w:cs="Arial"/>
          <w:lang w:val="af-ZA"/>
        </w:rPr>
        <w:tab/>
      </w:r>
      <w:r w:rsidRPr="00C16F0B">
        <w:rPr>
          <w:rFonts w:ascii="Arial" w:hAnsi="Arial" w:cs="Arial"/>
        </w:rPr>
        <w:t>Competition Commission 2002: 40.</w:t>
      </w:r>
    </w:p>
  </w:footnote>
  <w:footnote w:id="912">
    <w:p w:rsidR="005E7922" w:rsidRPr="00C16F0B" w:rsidRDefault="005E7922" w:rsidP="00C16F0B">
      <w:pPr>
        <w:pStyle w:val="Funotentext"/>
        <w:spacing w:line="240" w:lineRule="auto"/>
        <w:contextualSpacing/>
        <w:jc w:val="both"/>
        <w:rPr>
          <w:rFonts w:ascii="Arial" w:hAnsi="Arial" w:cs="Arial"/>
        </w:rPr>
      </w:pPr>
      <w:r w:rsidRPr="00C16F0B">
        <w:rPr>
          <w:rStyle w:val="Funotenzeichen"/>
          <w:rFonts w:ascii="Arial" w:hAnsi="Arial" w:cs="Arial"/>
        </w:rPr>
        <w:footnoteRef/>
      </w:r>
      <w:r w:rsidRPr="00C16F0B">
        <w:rPr>
          <w:rFonts w:ascii="Arial" w:hAnsi="Arial" w:cs="Arial"/>
        </w:rPr>
        <w:t xml:space="preserve"> </w:t>
      </w:r>
      <w:r w:rsidRPr="00C16F0B">
        <w:rPr>
          <w:rFonts w:ascii="Arial" w:hAnsi="Arial" w:cs="Arial"/>
        </w:rPr>
        <w:tab/>
        <w:t>Competition Commission 2002: 40.</w:t>
      </w:r>
    </w:p>
  </w:footnote>
  <w:footnote w:id="913">
    <w:p w:rsidR="005E7922" w:rsidRPr="00C16F0B" w:rsidRDefault="005E7922" w:rsidP="00C16F0B">
      <w:pPr>
        <w:pStyle w:val="Funotentext"/>
        <w:spacing w:line="240" w:lineRule="auto"/>
        <w:contextualSpacing/>
        <w:jc w:val="both"/>
        <w:rPr>
          <w:rFonts w:ascii="Arial" w:hAnsi="Arial" w:cs="Arial"/>
        </w:rPr>
      </w:pPr>
      <w:r w:rsidRPr="00C16F0B">
        <w:rPr>
          <w:rStyle w:val="Funotenzeichen"/>
          <w:rFonts w:ascii="Arial" w:hAnsi="Arial" w:cs="Arial"/>
        </w:rPr>
        <w:footnoteRef/>
      </w:r>
      <w:r w:rsidRPr="00C16F0B">
        <w:rPr>
          <w:rFonts w:ascii="Arial" w:hAnsi="Arial" w:cs="Arial"/>
        </w:rPr>
        <w:t xml:space="preserve"> </w:t>
      </w:r>
      <w:r w:rsidRPr="00C16F0B">
        <w:rPr>
          <w:rFonts w:ascii="Arial" w:hAnsi="Arial" w:cs="Arial"/>
        </w:rPr>
        <w:tab/>
        <w:t>Competition Commission 2002: 40.</w:t>
      </w:r>
    </w:p>
  </w:footnote>
  <w:footnote w:id="914">
    <w:p w:rsidR="005E7922" w:rsidRPr="00C16F0B" w:rsidRDefault="005E7922" w:rsidP="00C16F0B">
      <w:pPr>
        <w:pStyle w:val="Funotentext"/>
        <w:spacing w:line="240" w:lineRule="auto"/>
        <w:contextualSpacing/>
        <w:jc w:val="both"/>
        <w:rPr>
          <w:rFonts w:ascii="Arial" w:hAnsi="Arial" w:cs="Arial"/>
          <w:b/>
        </w:rPr>
      </w:pPr>
      <w:r w:rsidRPr="00C16F0B">
        <w:rPr>
          <w:rStyle w:val="Funotenzeichen"/>
          <w:rFonts w:ascii="Arial" w:hAnsi="Arial" w:cs="Arial"/>
        </w:rPr>
        <w:footnoteRef/>
      </w:r>
      <w:r w:rsidRPr="00C16F0B">
        <w:rPr>
          <w:rFonts w:ascii="Arial" w:hAnsi="Arial" w:cs="Arial"/>
        </w:rPr>
        <w:t xml:space="preserve"> </w:t>
      </w:r>
      <w:r w:rsidRPr="00C16F0B">
        <w:rPr>
          <w:rFonts w:ascii="Arial" w:hAnsi="Arial" w:cs="Arial"/>
        </w:rPr>
        <w:tab/>
        <w:t xml:space="preserve">Reekie 1989: 54; Wish 1993; Liebenberg &amp; kamerschen 2008: 233; Reid 1987: 12; Lipczynski </w:t>
      </w:r>
      <w:r w:rsidRPr="00C16F0B">
        <w:rPr>
          <w:rFonts w:ascii="Arial" w:hAnsi="Arial" w:cs="Arial"/>
        </w:rPr>
        <w:tab/>
        <w:t>2009: 9; Competition Commission 2002: 40; Office of Fair Trading 2004: 25.</w:t>
      </w:r>
    </w:p>
  </w:footnote>
  <w:footnote w:id="915">
    <w:p w:rsidR="005E7922" w:rsidRPr="00C16F0B" w:rsidRDefault="005E7922" w:rsidP="00C16F0B">
      <w:pPr>
        <w:pStyle w:val="Funotentext"/>
        <w:spacing w:line="240" w:lineRule="auto"/>
        <w:contextualSpacing/>
        <w:jc w:val="both"/>
        <w:rPr>
          <w:rFonts w:ascii="Arial" w:hAnsi="Arial" w:cs="Arial"/>
          <w:lang w:val="af-ZA"/>
        </w:rPr>
      </w:pPr>
      <w:r w:rsidRPr="00C16F0B">
        <w:rPr>
          <w:rStyle w:val="Funotenzeichen"/>
          <w:rFonts w:ascii="Arial" w:hAnsi="Arial" w:cs="Arial"/>
        </w:rPr>
        <w:footnoteRef/>
      </w:r>
      <w:r w:rsidRPr="00C16F0B">
        <w:rPr>
          <w:rFonts w:ascii="Arial" w:hAnsi="Arial" w:cs="Arial"/>
        </w:rPr>
        <w:t xml:space="preserve"> </w:t>
      </w:r>
      <w:r w:rsidRPr="00C16F0B">
        <w:rPr>
          <w:rFonts w:ascii="Arial" w:hAnsi="Arial" w:cs="Arial"/>
          <w:lang w:val="af-ZA"/>
        </w:rPr>
        <w:t xml:space="preserve"> </w:t>
      </w:r>
      <w:r w:rsidRPr="00C16F0B">
        <w:rPr>
          <w:rFonts w:ascii="Arial" w:hAnsi="Arial" w:cs="Arial"/>
          <w:lang w:val="af-ZA"/>
        </w:rPr>
        <w:tab/>
      </w:r>
      <w:r w:rsidRPr="00C16F0B">
        <w:rPr>
          <w:rFonts w:ascii="Arial" w:hAnsi="Arial" w:cs="Arial"/>
        </w:rPr>
        <w:t xml:space="preserve">Liebenberg &amp; kamerschen 2008: 233; Reekie 1989: 54; Lipczynski 2009: 9; Competition </w:t>
      </w:r>
      <w:r w:rsidRPr="00C16F0B">
        <w:rPr>
          <w:rFonts w:ascii="Arial" w:hAnsi="Arial" w:cs="Arial"/>
        </w:rPr>
        <w:tab/>
        <w:t xml:space="preserve">Commission 2002: 40; Office of Fair Trading 2004: 25. </w:t>
      </w:r>
    </w:p>
  </w:footnote>
  <w:footnote w:id="916">
    <w:p w:rsidR="004C5288" w:rsidRPr="004C5288" w:rsidRDefault="004C5288">
      <w:pPr>
        <w:pStyle w:val="Funotentext"/>
        <w:rPr>
          <w:lang w:val="af-ZA"/>
        </w:rPr>
      </w:pPr>
      <w:r>
        <w:rPr>
          <w:rStyle w:val="Funotenzeichen"/>
        </w:rPr>
        <w:footnoteRef/>
      </w:r>
      <w:r>
        <w:t xml:space="preserve"> </w:t>
      </w:r>
      <w:r>
        <w:rPr>
          <w:lang w:val="af-ZA"/>
        </w:rPr>
        <w:tab/>
      </w:r>
      <w:r w:rsidRPr="00C16F0B">
        <w:rPr>
          <w:rFonts w:ascii="Arial" w:hAnsi="Arial" w:cs="Arial"/>
        </w:rPr>
        <w:t>Office of Fair Trading 2004: 15.</w:t>
      </w:r>
    </w:p>
  </w:footnote>
  <w:footnote w:id="917">
    <w:p w:rsidR="005E7922" w:rsidRPr="00C16F0B" w:rsidRDefault="005E7922" w:rsidP="00C16F0B">
      <w:pPr>
        <w:pStyle w:val="Funotentext"/>
        <w:spacing w:line="240" w:lineRule="auto"/>
        <w:contextualSpacing/>
        <w:jc w:val="both"/>
        <w:rPr>
          <w:rFonts w:ascii="Arial" w:hAnsi="Arial" w:cs="Arial"/>
          <w:lang w:val="af-ZA"/>
        </w:rPr>
      </w:pPr>
      <w:r w:rsidRPr="00C16F0B">
        <w:rPr>
          <w:rStyle w:val="Funotenzeichen"/>
          <w:rFonts w:ascii="Arial" w:hAnsi="Arial" w:cs="Arial"/>
        </w:rPr>
        <w:footnoteRef/>
      </w:r>
      <w:r w:rsidRPr="00C16F0B">
        <w:rPr>
          <w:rFonts w:ascii="Arial" w:hAnsi="Arial" w:cs="Arial"/>
        </w:rPr>
        <w:t xml:space="preserve"> </w:t>
      </w:r>
      <w:r w:rsidRPr="00C16F0B">
        <w:rPr>
          <w:rFonts w:ascii="Arial" w:hAnsi="Arial" w:cs="Arial"/>
        </w:rPr>
        <w:tab/>
        <w:t>Office of Fair Trading 2004: 15.</w:t>
      </w:r>
    </w:p>
  </w:footnote>
  <w:footnote w:id="918">
    <w:p w:rsidR="005E7922" w:rsidRPr="00C16F0B" w:rsidRDefault="005E7922" w:rsidP="00C16F0B">
      <w:pPr>
        <w:pStyle w:val="Funotentext"/>
        <w:spacing w:line="240" w:lineRule="auto"/>
        <w:contextualSpacing/>
        <w:jc w:val="both"/>
        <w:rPr>
          <w:rFonts w:ascii="Arial" w:hAnsi="Arial" w:cs="Arial"/>
        </w:rPr>
      </w:pPr>
      <w:r w:rsidRPr="00C16F0B">
        <w:rPr>
          <w:rStyle w:val="Funotenzeichen"/>
          <w:rFonts w:ascii="Arial" w:hAnsi="Arial" w:cs="Arial"/>
        </w:rPr>
        <w:footnoteRef/>
      </w:r>
      <w:r w:rsidRPr="00C16F0B">
        <w:rPr>
          <w:rFonts w:ascii="Arial" w:hAnsi="Arial" w:cs="Arial"/>
        </w:rPr>
        <w:t xml:space="preserve"> </w:t>
      </w:r>
      <w:r w:rsidRPr="00C16F0B">
        <w:rPr>
          <w:rFonts w:ascii="Arial" w:hAnsi="Arial" w:cs="Arial"/>
        </w:rPr>
        <w:tab/>
        <w:t xml:space="preserve">Reekie 1989: 54; Wish 271: 1993; Liebenberg &amp; kamerschen 2008: 233; Reid 1987: 12; </w:t>
      </w:r>
      <w:r w:rsidRPr="00C16F0B">
        <w:rPr>
          <w:rFonts w:ascii="Arial" w:hAnsi="Arial" w:cs="Arial"/>
        </w:rPr>
        <w:tab/>
        <w:t>Lipczynski 2009: 9; Competition Commission 2002: 40; Office of Fair Trading 2004: 25.</w:t>
      </w:r>
    </w:p>
  </w:footnote>
  <w:footnote w:id="919">
    <w:p w:rsidR="005E7922" w:rsidRPr="006D3FE8" w:rsidRDefault="005E7922" w:rsidP="006D3FE8">
      <w:pPr>
        <w:pStyle w:val="Funotentext"/>
        <w:spacing w:line="240" w:lineRule="auto"/>
        <w:contextualSpacing/>
        <w:jc w:val="both"/>
        <w:rPr>
          <w:rFonts w:ascii="Arial" w:hAnsi="Arial" w:cs="Arial"/>
          <w:lang w:val="af-ZA"/>
        </w:rPr>
      </w:pPr>
      <w:r w:rsidRPr="006D3FE8">
        <w:rPr>
          <w:rStyle w:val="Funotenzeichen"/>
          <w:rFonts w:ascii="Arial" w:hAnsi="Arial" w:cs="Arial"/>
        </w:rPr>
        <w:footnoteRef/>
      </w:r>
      <w:r w:rsidRPr="006D3FE8">
        <w:rPr>
          <w:rFonts w:ascii="Arial" w:hAnsi="Arial" w:cs="Arial"/>
        </w:rPr>
        <w:t xml:space="preserve"> </w:t>
      </w:r>
      <w:r w:rsidRPr="006D3FE8">
        <w:rPr>
          <w:rFonts w:ascii="Arial" w:hAnsi="Arial" w:cs="Arial"/>
        </w:rPr>
        <w:tab/>
        <w:t>Reid 1987: 12; Wish 1993: 272; Reekie 1989: 56; Lipczynski 2009: 9.</w:t>
      </w:r>
    </w:p>
  </w:footnote>
  <w:footnote w:id="920">
    <w:p w:rsidR="005E7922" w:rsidRPr="006D3FE8" w:rsidRDefault="005E7922" w:rsidP="006D3FE8">
      <w:pPr>
        <w:pStyle w:val="Funotentext"/>
        <w:spacing w:line="240" w:lineRule="auto"/>
        <w:contextualSpacing/>
        <w:jc w:val="both"/>
        <w:rPr>
          <w:rFonts w:ascii="Arial" w:hAnsi="Arial" w:cs="Arial"/>
          <w:lang w:val="af-ZA"/>
        </w:rPr>
      </w:pPr>
      <w:r w:rsidRPr="006D3FE8">
        <w:rPr>
          <w:rStyle w:val="Funotenzeichen"/>
          <w:rFonts w:ascii="Arial" w:hAnsi="Arial" w:cs="Arial"/>
        </w:rPr>
        <w:footnoteRef/>
      </w:r>
      <w:r w:rsidRPr="006D3FE8">
        <w:rPr>
          <w:rFonts w:ascii="Arial" w:hAnsi="Arial" w:cs="Arial"/>
        </w:rPr>
        <w:t xml:space="preserve"> </w:t>
      </w:r>
      <w:r w:rsidRPr="006D3FE8">
        <w:rPr>
          <w:rFonts w:ascii="Arial" w:hAnsi="Arial" w:cs="Arial"/>
          <w:lang w:val="af-ZA"/>
        </w:rPr>
        <w:t xml:space="preserve"> </w:t>
      </w:r>
      <w:r w:rsidRPr="006D3FE8">
        <w:rPr>
          <w:rFonts w:ascii="Arial" w:hAnsi="Arial" w:cs="Arial"/>
          <w:lang w:val="af-ZA"/>
        </w:rPr>
        <w:tab/>
      </w:r>
      <w:r w:rsidRPr="006D3FE8">
        <w:rPr>
          <w:rFonts w:ascii="Arial" w:hAnsi="Arial" w:cs="Arial"/>
        </w:rPr>
        <w:t>Reid 1987: 12; Wish 1993: 272; Reekie 1989: 56; Lipczynski 2009: 9.</w:t>
      </w:r>
    </w:p>
  </w:footnote>
  <w:footnote w:id="921">
    <w:p w:rsidR="005E7922" w:rsidRPr="00960771" w:rsidRDefault="005E7922" w:rsidP="00960771">
      <w:pPr>
        <w:pStyle w:val="Funotentext"/>
        <w:spacing w:line="240" w:lineRule="auto"/>
        <w:contextualSpacing/>
        <w:jc w:val="both"/>
        <w:rPr>
          <w:rFonts w:ascii="Arial" w:hAnsi="Arial" w:cs="Arial"/>
          <w:lang w:val="af-ZA"/>
        </w:rPr>
      </w:pPr>
      <w:r w:rsidRPr="00960771">
        <w:rPr>
          <w:rStyle w:val="Funotenzeichen"/>
          <w:rFonts w:ascii="Arial" w:hAnsi="Arial" w:cs="Arial"/>
        </w:rPr>
        <w:footnoteRef/>
      </w:r>
      <w:r w:rsidRPr="00960771">
        <w:rPr>
          <w:rFonts w:ascii="Arial" w:hAnsi="Arial" w:cs="Arial"/>
        </w:rPr>
        <w:t xml:space="preserve"> </w:t>
      </w:r>
      <w:r w:rsidRPr="00960771">
        <w:rPr>
          <w:rFonts w:ascii="Arial" w:hAnsi="Arial" w:cs="Arial"/>
          <w:lang w:val="af-ZA"/>
        </w:rPr>
        <w:t xml:space="preserve"> </w:t>
      </w:r>
      <w:r w:rsidRPr="00960771">
        <w:rPr>
          <w:rFonts w:ascii="Arial" w:hAnsi="Arial" w:cs="Arial"/>
          <w:lang w:val="af-ZA"/>
        </w:rPr>
        <w:tab/>
      </w:r>
      <w:r w:rsidRPr="00960771">
        <w:rPr>
          <w:rFonts w:ascii="Arial" w:hAnsi="Arial" w:cs="Arial"/>
        </w:rPr>
        <w:t>Reid 1987: 12; Wish 1993: 272; Reekie 1989: 56; Lipczynski 2009: 9.</w:t>
      </w:r>
    </w:p>
  </w:footnote>
  <w:footnote w:id="922">
    <w:p w:rsidR="005E7922" w:rsidRPr="00960771" w:rsidRDefault="005E7922" w:rsidP="00960771">
      <w:pPr>
        <w:pStyle w:val="Funotentext"/>
        <w:spacing w:line="240" w:lineRule="auto"/>
        <w:contextualSpacing/>
        <w:jc w:val="both"/>
        <w:rPr>
          <w:rFonts w:ascii="Arial" w:hAnsi="Arial" w:cs="Arial"/>
          <w:lang w:val="af-ZA"/>
        </w:rPr>
      </w:pPr>
      <w:r w:rsidRPr="00960771">
        <w:rPr>
          <w:rStyle w:val="Funotenzeichen"/>
          <w:rFonts w:ascii="Arial" w:hAnsi="Arial" w:cs="Arial"/>
        </w:rPr>
        <w:footnoteRef/>
      </w:r>
      <w:r w:rsidRPr="00960771">
        <w:rPr>
          <w:rFonts w:ascii="Arial" w:hAnsi="Arial" w:cs="Arial"/>
        </w:rPr>
        <w:t xml:space="preserve"> </w:t>
      </w:r>
      <w:r w:rsidRPr="00960771">
        <w:rPr>
          <w:rFonts w:ascii="Arial" w:hAnsi="Arial" w:cs="Arial"/>
          <w:lang w:val="af-ZA"/>
        </w:rPr>
        <w:t xml:space="preserve"> </w:t>
      </w:r>
      <w:r w:rsidRPr="00960771">
        <w:rPr>
          <w:rFonts w:ascii="Arial" w:hAnsi="Arial" w:cs="Arial"/>
          <w:lang w:val="af-ZA"/>
        </w:rPr>
        <w:tab/>
      </w:r>
      <w:r w:rsidRPr="00960771">
        <w:rPr>
          <w:rFonts w:ascii="Arial" w:hAnsi="Arial" w:cs="Arial"/>
        </w:rPr>
        <w:t>Lipczynski 2009: 9; Reid 1987: 12.</w:t>
      </w:r>
    </w:p>
  </w:footnote>
  <w:footnote w:id="923">
    <w:p w:rsidR="005E7922" w:rsidRPr="00960771" w:rsidRDefault="005E7922" w:rsidP="00960771">
      <w:pPr>
        <w:pStyle w:val="Funotentext"/>
        <w:spacing w:line="240" w:lineRule="auto"/>
        <w:contextualSpacing/>
        <w:jc w:val="both"/>
        <w:rPr>
          <w:rFonts w:ascii="Arial" w:hAnsi="Arial" w:cs="Arial"/>
          <w:lang w:val="af-ZA"/>
        </w:rPr>
      </w:pPr>
      <w:r w:rsidRPr="00960771">
        <w:rPr>
          <w:rStyle w:val="Funotenzeichen"/>
          <w:rFonts w:ascii="Arial" w:hAnsi="Arial" w:cs="Arial"/>
        </w:rPr>
        <w:footnoteRef/>
      </w:r>
      <w:r w:rsidRPr="00960771">
        <w:rPr>
          <w:rFonts w:ascii="Arial" w:hAnsi="Arial" w:cs="Arial"/>
        </w:rPr>
        <w:t xml:space="preserve"> </w:t>
      </w:r>
      <w:r w:rsidRPr="00960771">
        <w:rPr>
          <w:rFonts w:ascii="Arial" w:hAnsi="Arial" w:cs="Arial"/>
          <w:lang w:val="af-ZA"/>
        </w:rPr>
        <w:t xml:space="preserve"> </w:t>
      </w:r>
      <w:r w:rsidRPr="00960771">
        <w:rPr>
          <w:rFonts w:ascii="Arial" w:hAnsi="Arial" w:cs="Arial"/>
          <w:lang w:val="af-ZA"/>
        </w:rPr>
        <w:tab/>
      </w:r>
      <w:r w:rsidRPr="00960771">
        <w:rPr>
          <w:rFonts w:ascii="Arial" w:hAnsi="Arial" w:cs="Arial"/>
        </w:rPr>
        <w:t>Lipczynski 2009: 9; Reid 1987: 12.</w:t>
      </w:r>
    </w:p>
  </w:footnote>
  <w:footnote w:id="924">
    <w:p w:rsidR="005E7922" w:rsidRPr="00960771" w:rsidRDefault="005E7922" w:rsidP="00960771">
      <w:pPr>
        <w:pStyle w:val="Funotentext"/>
        <w:spacing w:line="240" w:lineRule="auto"/>
        <w:contextualSpacing/>
        <w:jc w:val="both"/>
        <w:rPr>
          <w:rFonts w:ascii="Arial" w:hAnsi="Arial" w:cs="Arial"/>
          <w:lang w:val="af-ZA"/>
        </w:rPr>
      </w:pPr>
      <w:r w:rsidRPr="00960771">
        <w:rPr>
          <w:rStyle w:val="Funotenzeichen"/>
          <w:rFonts w:ascii="Arial" w:hAnsi="Arial" w:cs="Arial"/>
        </w:rPr>
        <w:footnoteRef/>
      </w:r>
      <w:r w:rsidRPr="00960771">
        <w:rPr>
          <w:rFonts w:ascii="Arial" w:hAnsi="Arial" w:cs="Arial"/>
        </w:rPr>
        <w:t xml:space="preserve"> </w:t>
      </w:r>
      <w:r w:rsidRPr="00960771">
        <w:rPr>
          <w:rFonts w:ascii="Arial" w:hAnsi="Arial" w:cs="Arial"/>
          <w:lang w:val="af-ZA"/>
        </w:rPr>
        <w:t xml:space="preserve"> </w:t>
      </w:r>
      <w:r w:rsidRPr="00960771">
        <w:rPr>
          <w:rFonts w:ascii="Arial" w:hAnsi="Arial" w:cs="Arial"/>
          <w:lang w:val="af-ZA"/>
        </w:rPr>
        <w:tab/>
      </w:r>
      <w:r w:rsidRPr="00960771">
        <w:rPr>
          <w:rFonts w:ascii="Arial" w:hAnsi="Arial" w:cs="Arial"/>
        </w:rPr>
        <w:t>Competition Commission 2002: 42-47; Reekie 1989: 56; Lipczynski 2009: 9.</w:t>
      </w:r>
    </w:p>
  </w:footnote>
  <w:footnote w:id="925">
    <w:p w:rsidR="005E7922" w:rsidRPr="00960771" w:rsidRDefault="005E7922" w:rsidP="00960771">
      <w:pPr>
        <w:pStyle w:val="Funotentext"/>
        <w:spacing w:line="240" w:lineRule="auto"/>
        <w:contextualSpacing/>
        <w:jc w:val="both"/>
        <w:rPr>
          <w:rFonts w:ascii="Arial" w:hAnsi="Arial" w:cs="Arial"/>
          <w:lang w:val="af-ZA"/>
        </w:rPr>
      </w:pPr>
      <w:r w:rsidRPr="00960771">
        <w:rPr>
          <w:rStyle w:val="Funotenzeichen"/>
          <w:rFonts w:ascii="Arial" w:hAnsi="Arial" w:cs="Arial"/>
        </w:rPr>
        <w:footnoteRef/>
      </w:r>
      <w:r w:rsidRPr="00960771">
        <w:rPr>
          <w:rFonts w:ascii="Arial" w:hAnsi="Arial" w:cs="Arial"/>
        </w:rPr>
        <w:t xml:space="preserve"> </w:t>
      </w:r>
      <w:r w:rsidRPr="00960771">
        <w:rPr>
          <w:rFonts w:ascii="Arial" w:hAnsi="Arial" w:cs="Arial"/>
        </w:rPr>
        <w:tab/>
        <w:t>Competition Commission 2002: 42-47; Reekie 1989: 56; Lipczynski 2009: 9.</w:t>
      </w:r>
    </w:p>
  </w:footnote>
  <w:footnote w:id="926">
    <w:p w:rsidR="005E7922" w:rsidRPr="00960771" w:rsidRDefault="005E7922" w:rsidP="00960771">
      <w:pPr>
        <w:pStyle w:val="Funotentext"/>
        <w:spacing w:line="240" w:lineRule="auto"/>
        <w:contextualSpacing/>
        <w:jc w:val="both"/>
        <w:rPr>
          <w:rFonts w:ascii="Arial" w:hAnsi="Arial" w:cs="Arial"/>
          <w:lang w:val="af-ZA"/>
        </w:rPr>
      </w:pPr>
      <w:r w:rsidRPr="00960771">
        <w:rPr>
          <w:rStyle w:val="Funotenzeichen"/>
          <w:rFonts w:ascii="Arial" w:hAnsi="Arial" w:cs="Arial"/>
        </w:rPr>
        <w:footnoteRef/>
      </w:r>
      <w:r w:rsidRPr="00960771">
        <w:rPr>
          <w:rFonts w:ascii="Arial" w:hAnsi="Arial" w:cs="Arial"/>
        </w:rPr>
        <w:t xml:space="preserve"> </w:t>
      </w:r>
      <w:r w:rsidRPr="00960771">
        <w:rPr>
          <w:rFonts w:ascii="Arial" w:hAnsi="Arial" w:cs="Arial"/>
        </w:rPr>
        <w:tab/>
        <w:t>Competition Commission 2002: 42-47; Reekie 1989: 56; Lipczynski 2009: 9.</w:t>
      </w:r>
    </w:p>
  </w:footnote>
  <w:footnote w:id="927">
    <w:p w:rsidR="005E7922" w:rsidRPr="00960771" w:rsidRDefault="005E7922" w:rsidP="00960771">
      <w:pPr>
        <w:pStyle w:val="Funotentext"/>
        <w:spacing w:line="240" w:lineRule="auto"/>
        <w:contextualSpacing/>
        <w:jc w:val="both"/>
        <w:rPr>
          <w:rFonts w:ascii="Arial" w:hAnsi="Arial" w:cs="Arial"/>
          <w:lang w:val="af-ZA"/>
        </w:rPr>
      </w:pPr>
      <w:r w:rsidRPr="00960771">
        <w:rPr>
          <w:rStyle w:val="Funotenzeichen"/>
          <w:rFonts w:ascii="Arial" w:hAnsi="Arial" w:cs="Arial"/>
        </w:rPr>
        <w:footnoteRef/>
      </w:r>
      <w:r w:rsidRPr="00960771">
        <w:rPr>
          <w:rFonts w:ascii="Arial" w:hAnsi="Arial" w:cs="Arial"/>
        </w:rPr>
        <w:t xml:space="preserve"> </w:t>
      </w:r>
      <w:r w:rsidRPr="00960771">
        <w:rPr>
          <w:rFonts w:ascii="Arial" w:hAnsi="Arial" w:cs="Arial"/>
        </w:rPr>
        <w:tab/>
        <w:t>Competition Commission 2002: 42-47; Reekie 1989: 56; Lipczynski 2009: 9.</w:t>
      </w:r>
    </w:p>
  </w:footnote>
  <w:footnote w:id="928">
    <w:p w:rsidR="005E7922" w:rsidRPr="00960771" w:rsidRDefault="005E7922" w:rsidP="00960771">
      <w:pPr>
        <w:pStyle w:val="Funotentext"/>
        <w:spacing w:line="240" w:lineRule="auto"/>
        <w:contextualSpacing/>
        <w:jc w:val="both"/>
        <w:rPr>
          <w:rFonts w:ascii="Arial" w:hAnsi="Arial" w:cs="Arial"/>
          <w:lang w:val="af-ZA"/>
        </w:rPr>
      </w:pPr>
      <w:r w:rsidRPr="00960771">
        <w:rPr>
          <w:rStyle w:val="Funotenzeichen"/>
          <w:rFonts w:ascii="Arial" w:hAnsi="Arial" w:cs="Arial"/>
        </w:rPr>
        <w:footnoteRef/>
      </w:r>
      <w:r w:rsidRPr="00960771">
        <w:rPr>
          <w:rFonts w:ascii="Arial" w:hAnsi="Arial" w:cs="Arial"/>
        </w:rPr>
        <w:t xml:space="preserve"> </w:t>
      </w:r>
      <w:r w:rsidRPr="00960771">
        <w:rPr>
          <w:rFonts w:ascii="Arial" w:hAnsi="Arial" w:cs="Arial"/>
          <w:lang w:val="af-ZA"/>
        </w:rPr>
        <w:t xml:space="preserve"> </w:t>
      </w:r>
      <w:r w:rsidRPr="00960771">
        <w:rPr>
          <w:rFonts w:ascii="Arial" w:hAnsi="Arial" w:cs="Arial"/>
          <w:lang w:val="af-ZA"/>
        </w:rPr>
        <w:tab/>
      </w:r>
      <w:r w:rsidRPr="00960771">
        <w:rPr>
          <w:rFonts w:ascii="Arial" w:hAnsi="Arial" w:cs="Arial"/>
        </w:rPr>
        <w:t>Lipczynski 2009: 9.</w:t>
      </w:r>
    </w:p>
  </w:footnote>
  <w:footnote w:id="929">
    <w:p w:rsidR="005E7922" w:rsidRPr="00960771" w:rsidRDefault="005E7922" w:rsidP="00960771">
      <w:pPr>
        <w:pStyle w:val="Funotentext"/>
        <w:spacing w:line="240" w:lineRule="auto"/>
        <w:contextualSpacing/>
        <w:jc w:val="both"/>
        <w:rPr>
          <w:rFonts w:ascii="Arial" w:hAnsi="Arial" w:cs="Arial"/>
          <w:lang w:val="af-ZA"/>
        </w:rPr>
      </w:pPr>
      <w:r w:rsidRPr="00960771">
        <w:rPr>
          <w:rStyle w:val="Funotenzeichen"/>
          <w:rFonts w:ascii="Arial" w:hAnsi="Arial" w:cs="Arial"/>
        </w:rPr>
        <w:footnoteRef/>
      </w:r>
      <w:r w:rsidRPr="00960771">
        <w:rPr>
          <w:rFonts w:ascii="Arial" w:hAnsi="Arial" w:cs="Arial"/>
        </w:rPr>
        <w:t xml:space="preserve"> </w:t>
      </w:r>
      <w:r w:rsidRPr="00960771">
        <w:rPr>
          <w:rFonts w:ascii="Arial" w:hAnsi="Arial" w:cs="Arial"/>
          <w:lang w:val="af-ZA"/>
        </w:rPr>
        <w:t xml:space="preserve"> </w:t>
      </w:r>
      <w:r w:rsidRPr="00960771">
        <w:rPr>
          <w:rFonts w:ascii="Arial" w:hAnsi="Arial" w:cs="Arial"/>
          <w:lang w:val="af-ZA"/>
        </w:rPr>
        <w:tab/>
      </w:r>
      <w:r w:rsidRPr="00960771">
        <w:rPr>
          <w:rFonts w:ascii="Arial" w:hAnsi="Arial" w:cs="Arial"/>
        </w:rPr>
        <w:t>Lipczynski 2009: 9.</w:t>
      </w:r>
    </w:p>
  </w:footnote>
  <w:footnote w:id="930">
    <w:p w:rsidR="005E7922" w:rsidRPr="00960771" w:rsidRDefault="005E7922" w:rsidP="00960771">
      <w:pPr>
        <w:pStyle w:val="Funotentext"/>
        <w:spacing w:line="240" w:lineRule="auto"/>
        <w:contextualSpacing/>
        <w:jc w:val="both"/>
        <w:rPr>
          <w:rFonts w:ascii="Arial" w:hAnsi="Arial" w:cs="Arial"/>
          <w:lang w:val="af-ZA"/>
        </w:rPr>
      </w:pPr>
      <w:r w:rsidRPr="00960771">
        <w:rPr>
          <w:rStyle w:val="Funotenzeichen"/>
          <w:rFonts w:ascii="Arial" w:hAnsi="Arial" w:cs="Arial"/>
        </w:rPr>
        <w:footnoteRef/>
      </w:r>
      <w:r w:rsidRPr="00960771">
        <w:rPr>
          <w:rFonts w:ascii="Arial" w:hAnsi="Arial" w:cs="Arial"/>
        </w:rPr>
        <w:t xml:space="preserve"> </w:t>
      </w:r>
      <w:r w:rsidRPr="00960771">
        <w:rPr>
          <w:rFonts w:ascii="Arial" w:hAnsi="Arial" w:cs="Arial"/>
        </w:rPr>
        <w:tab/>
        <w:t>Lipczynski 2009: 9.</w:t>
      </w:r>
    </w:p>
  </w:footnote>
  <w:footnote w:id="931">
    <w:p w:rsidR="005E7922" w:rsidRPr="00960771" w:rsidRDefault="005E7922" w:rsidP="00960771">
      <w:pPr>
        <w:pStyle w:val="Funotentext"/>
        <w:spacing w:line="240" w:lineRule="auto"/>
        <w:contextualSpacing/>
        <w:jc w:val="both"/>
        <w:rPr>
          <w:rFonts w:ascii="Arial" w:hAnsi="Arial" w:cs="Arial"/>
          <w:lang w:val="af-ZA"/>
        </w:rPr>
      </w:pPr>
      <w:r w:rsidRPr="00960771">
        <w:rPr>
          <w:rStyle w:val="Funotenzeichen"/>
          <w:rFonts w:ascii="Arial" w:hAnsi="Arial" w:cs="Arial"/>
        </w:rPr>
        <w:footnoteRef/>
      </w:r>
      <w:r w:rsidRPr="00960771">
        <w:rPr>
          <w:rFonts w:ascii="Arial" w:hAnsi="Arial" w:cs="Arial"/>
        </w:rPr>
        <w:t xml:space="preserve"> </w:t>
      </w:r>
      <w:r w:rsidRPr="00960771">
        <w:rPr>
          <w:rFonts w:ascii="Arial" w:hAnsi="Arial" w:cs="Arial"/>
          <w:lang w:val="af-ZA"/>
        </w:rPr>
        <w:t xml:space="preserve"> </w:t>
      </w:r>
      <w:r w:rsidRPr="00960771">
        <w:rPr>
          <w:rFonts w:ascii="Arial" w:hAnsi="Arial" w:cs="Arial"/>
          <w:lang w:val="af-ZA"/>
        </w:rPr>
        <w:tab/>
        <w:t>Refer to section 2.2.5.</w:t>
      </w:r>
    </w:p>
  </w:footnote>
  <w:footnote w:id="932">
    <w:p w:rsidR="005E7922" w:rsidRPr="00960771" w:rsidRDefault="005E7922" w:rsidP="00960771">
      <w:pPr>
        <w:pStyle w:val="Funotentext"/>
        <w:spacing w:line="240" w:lineRule="auto"/>
        <w:contextualSpacing/>
        <w:jc w:val="both"/>
        <w:rPr>
          <w:rFonts w:ascii="Arial" w:hAnsi="Arial" w:cs="Arial"/>
          <w:lang w:val="af-ZA"/>
        </w:rPr>
      </w:pPr>
      <w:r w:rsidRPr="00960771">
        <w:rPr>
          <w:rStyle w:val="Funotenzeichen"/>
          <w:rFonts w:ascii="Arial" w:hAnsi="Arial" w:cs="Arial"/>
        </w:rPr>
        <w:footnoteRef/>
      </w:r>
      <w:r w:rsidRPr="00960771">
        <w:rPr>
          <w:rFonts w:ascii="Arial" w:hAnsi="Arial" w:cs="Arial"/>
        </w:rPr>
        <w:t xml:space="preserve"> </w:t>
      </w:r>
      <w:r w:rsidRPr="00960771">
        <w:rPr>
          <w:rFonts w:ascii="Arial" w:hAnsi="Arial" w:cs="Arial"/>
        </w:rPr>
        <w:tab/>
      </w:r>
      <w:r w:rsidRPr="00960771">
        <w:rPr>
          <w:rFonts w:ascii="Arial" w:hAnsi="Arial" w:cs="Arial"/>
          <w:lang w:val="af-ZA"/>
        </w:rPr>
        <w:t>Refer to section 2.2.5.</w:t>
      </w:r>
    </w:p>
  </w:footnote>
  <w:footnote w:id="933">
    <w:p w:rsidR="005E7922" w:rsidRPr="00960771" w:rsidRDefault="005E7922" w:rsidP="00960771">
      <w:pPr>
        <w:pStyle w:val="Funotentext"/>
        <w:spacing w:line="240" w:lineRule="auto"/>
        <w:contextualSpacing/>
        <w:jc w:val="both"/>
        <w:rPr>
          <w:rFonts w:ascii="Arial" w:hAnsi="Arial" w:cs="Arial"/>
          <w:lang w:val="af-ZA"/>
        </w:rPr>
      </w:pPr>
      <w:r w:rsidRPr="00960771">
        <w:rPr>
          <w:rStyle w:val="Funotenzeichen"/>
          <w:rFonts w:ascii="Arial" w:hAnsi="Arial" w:cs="Arial"/>
        </w:rPr>
        <w:footnoteRef/>
      </w:r>
      <w:r w:rsidRPr="00960771">
        <w:rPr>
          <w:rFonts w:ascii="Arial" w:hAnsi="Arial" w:cs="Arial"/>
        </w:rPr>
        <w:t xml:space="preserve"> </w:t>
      </w:r>
      <w:r w:rsidRPr="00960771">
        <w:rPr>
          <w:rFonts w:ascii="Arial" w:hAnsi="Arial" w:cs="Arial"/>
        </w:rPr>
        <w:tab/>
      </w:r>
      <w:r w:rsidRPr="00960771">
        <w:rPr>
          <w:rFonts w:ascii="Arial" w:hAnsi="Arial" w:cs="Arial"/>
          <w:lang w:val="af-ZA"/>
        </w:rPr>
        <w:t>Refer to section 2.2.5.</w:t>
      </w:r>
    </w:p>
  </w:footnote>
  <w:footnote w:id="934">
    <w:p w:rsidR="005E7922" w:rsidRPr="00267151" w:rsidRDefault="005E7922" w:rsidP="00E31A4A">
      <w:pPr>
        <w:pStyle w:val="Funotentext"/>
        <w:spacing w:line="240" w:lineRule="auto"/>
        <w:contextualSpacing/>
        <w:jc w:val="both"/>
        <w:rPr>
          <w:rFonts w:ascii="Arial" w:hAnsi="Arial" w:cs="Arial"/>
        </w:rPr>
      </w:pPr>
      <w:r w:rsidRPr="00267151">
        <w:rPr>
          <w:rStyle w:val="Funotenzeichen"/>
          <w:rFonts w:ascii="Arial" w:hAnsi="Arial" w:cs="Arial"/>
        </w:rPr>
        <w:footnoteRef/>
      </w:r>
      <w:r w:rsidRPr="00267151">
        <w:rPr>
          <w:rFonts w:ascii="Arial" w:hAnsi="Arial" w:cs="Arial"/>
        </w:rPr>
        <w:t xml:space="preserve">  </w:t>
      </w:r>
      <w:r w:rsidRPr="00267151">
        <w:rPr>
          <w:rFonts w:ascii="Arial" w:hAnsi="Arial" w:cs="Arial"/>
        </w:rPr>
        <w:tab/>
        <w:t>Refer to section 2.2.7.</w:t>
      </w:r>
    </w:p>
  </w:footnote>
  <w:footnote w:id="935">
    <w:p w:rsidR="005E7922" w:rsidRPr="00267151" w:rsidRDefault="005E7922" w:rsidP="00E31A4A">
      <w:pPr>
        <w:pStyle w:val="Funotentext"/>
        <w:spacing w:line="240" w:lineRule="auto"/>
        <w:contextualSpacing/>
        <w:jc w:val="both"/>
        <w:rPr>
          <w:rFonts w:ascii="Arial" w:hAnsi="Arial" w:cs="Arial"/>
        </w:rPr>
      </w:pPr>
      <w:r w:rsidRPr="00267151">
        <w:rPr>
          <w:rStyle w:val="Funotenzeichen"/>
          <w:rFonts w:ascii="Arial" w:hAnsi="Arial" w:cs="Arial"/>
        </w:rPr>
        <w:footnoteRef/>
      </w:r>
      <w:r w:rsidRPr="00267151">
        <w:rPr>
          <w:rFonts w:ascii="Arial" w:hAnsi="Arial" w:cs="Arial"/>
        </w:rPr>
        <w:t xml:space="preserve">  </w:t>
      </w:r>
      <w:r w:rsidRPr="00267151">
        <w:rPr>
          <w:rFonts w:ascii="Arial" w:hAnsi="Arial" w:cs="Arial"/>
        </w:rPr>
        <w:tab/>
        <w:t>89/1999.</w:t>
      </w:r>
    </w:p>
  </w:footnote>
  <w:footnote w:id="936">
    <w:p w:rsidR="005E7922" w:rsidRPr="00267151" w:rsidRDefault="005E7922" w:rsidP="00E31A4A">
      <w:pPr>
        <w:pStyle w:val="Funotentext"/>
        <w:spacing w:line="240" w:lineRule="auto"/>
        <w:contextualSpacing/>
        <w:jc w:val="both"/>
        <w:rPr>
          <w:rFonts w:ascii="Arial" w:hAnsi="Arial" w:cs="Arial"/>
        </w:rPr>
      </w:pPr>
      <w:r w:rsidRPr="00267151">
        <w:rPr>
          <w:rStyle w:val="Funotenzeichen"/>
          <w:rFonts w:ascii="Arial" w:hAnsi="Arial" w:cs="Arial"/>
        </w:rPr>
        <w:footnoteRef/>
      </w:r>
      <w:r w:rsidRPr="00267151">
        <w:rPr>
          <w:rFonts w:ascii="Arial" w:hAnsi="Arial" w:cs="Arial"/>
        </w:rPr>
        <w:t xml:space="preserve"> </w:t>
      </w:r>
      <w:r w:rsidRPr="00267151">
        <w:rPr>
          <w:rFonts w:ascii="Arial" w:hAnsi="Arial" w:cs="Arial"/>
        </w:rPr>
        <w:tab/>
        <w:t>89/1998. Refer to section 2.4.1.</w:t>
      </w:r>
    </w:p>
  </w:footnote>
  <w:footnote w:id="937">
    <w:p w:rsidR="005E7922" w:rsidRPr="00267151" w:rsidRDefault="005E7922" w:rsidP="00E31A4A">
      <w:pPr>
        <w:pStyle w:val="Funotentext"/>
        <w:spacing w:line="240" w:lineRule="auto"/>
        <w:contextualSpacing/>
        <w:jc w:val="both"/>
        <w:rPr>
          <w:rFonts w:ascii="Arial" w:hAnsi="Arial" w:cs="Arial"/>
        </w:rPr>
      </w:pPr>
      <w:r w:rsidRPr="00267151">
        <w:rPr>
          <w:rStyle w:val="Funotenzeichen"/>
          <w:rFonts w:ascii="Arial" w:hAnsi="Arial" w:cs="Arial"/>
        </w:rPr>
        <w:footnoteRef/>
      </w:r>
      <w:r w:rsidRPr="00267151">
        <w:rPr>
          <w:rFonts w:ascii="Arial" w:hAnsi="Arial" w:cs="Arial"/>
        </w:rPr>
        <w:t xml:space="preserve"> </w:t>
      </w:r>
      <w:r w:rsidRPr="00267151">
        <w:rPr>
          <w:rFonts w:ascii="Arial" w:hAnsi="Arial" w:cs="Arial"/>
        </w:rPr>
        <w:tab/>
        <w:t xml:space="preserve">Refer to section </w:t>
      </w:r>
      <w:r w:rsidR="00705D85">
        <w:rPr>
          <w:rFonts w:ascii="Arial" w:hAnsi="Arial" w:cs="Arial"/>
        </w:rPr>
        <w:t>3.3.4.1</w:t>
      </w:r>
    </w:p>
  </w:footnote>
  <w:footnote w:id="938">
    <w:p w:rsidR="005E7922" w:rsidRPr="00267151" w:rsidRDefault="005E7922" w:rsidP="00E31A4A">
      <w:pPr>
        <w:pStyle w:val="Funotentext"/>
        <w:spacing w:line="240" w:lineRule="auto"/>
        <w:contextualSpacing/>
        <w:jc w:val="both"/>
        <w:rPr>
          <w:rFonts w:ascii="Arial" w:hAnsi="Arial" w:cs="Arial"/>
        </w:rPr>
      </w:pPr>
      <w:r w:rsidRPr="00267151">
        <w:rPr>
          <w:rStyle w:val="Funotenzeichen"/>
          <w:rFonts w:ascii="Arial" w:hAnsi="Arial" w:cs="Arial"/>
        </w:rPr>
        <w:footnoteRef/>
      </w:r>
      <w:r w:rsidRPr="00267151">
        <w:rPr>
          <w:rFonts w:ascii="Arial" w:hAnsi="Arial" w:cs="Arial"/>
        </w:rPr>
        <w:t xml:space="preserve"> </w:t>
      </w:r>
      <w:r w:rsidRPr="00267151">
        <w:rPr>
          <w:rFonts w:ascii="Arial" w:hAnsi="Arial" w:cs="Arial"/>
        </w:rPr>
        <w:tab/>
        <w:t xml:space="preserve">Refer to section </w:t>
      </w:r>
      <w:r w:rsidR="00705D85">
        <w:rPr>
          <w:rFonts w:ascii="Arial" w:hAnsi="Arial" w:cs="Arial"/>
        </w:rPr>
        <w:t>3.3.4.1</w:t>
      </w:r>
      <w:r w:rsidRPr="00267151">
        <w:rPr>
          <w:rFonts w:ascii="Arial" w:hAnsi="Arial" w:cs="Arial"/>
        </w:rPr>
        <w:t>.</w:t>
      </w:r>
    </w:p>
  </w:footnote>
  <w:footnote w:id="939">
    <w:p w:rsidR="005E7922" w:rsidRPr="00267151" w:rsidRDefault="005E7922" w:rsidP="00E31A4A">
      <w:pPr>
        <w:pStyle w:val="Funotentext"/>
        <w:spacing w:line="240" w:lineRule="auto"/>
        <w:contextualSpacing/>
        <w:jc w:val="both"/>
        <w:rPr>
          <w:rFonts w:ascii="Arial" w:hAnsi="Arial" w:cs="Arial"/>
        </w:rPr>
      </w:pPr>
      <w:r w:rsidRPr="00267151">
        <w:rPr>
          <w:rStyle w:val="Funotenzeichen"/>
          <w:rFonts w:ascii="Arial" w:hAnsi="Arial" w:cs="Arial"/>
        </w:rPr>
        <w:footnoteRef/>
      </w:r>
      <w:r w:rsidRPr="00267151">
        <w:rPr>
          <w:rFonts w:ascii="Arial" w:hAnsi="Arial" w:cs="Arial"/>
        </w:rPr>
        <w:t xml:space="preserve">  </w:t>
      </w:r>
      <w:r w:rsidRPr="00267151">
        <w:rPr>
          <w:rFonts w:ascii="Arial" w:hAnsi="Arial" w:cs="Arial"/>
        </w:rPr>
        <w:tab/>
      </w:r>
      <w:r w:rsidR="00705D85">
        <w:rPr>
          <w:rFonts w:ascii="Arial" w:hAnsi="Arial" w:cs="Arial"/>
        </w:rPr>
        <w:t>Refer to section 3.3.4.1</w:t>
      </w:r>
      <w:r w:rsidRPr="00267151">
        <w:rPr>
          <w:rFonts w:ascii="Arial" w:hAnsi="Arial" w:cs="Arial"/>
        </w:rPr>
        <w:t>.</w:t>
      </w:r>
    </w:p>
  </w:footnote>
  <w:footnote w:id="940">
    <w:p w:rsidR="005E7922" w:rsidRPr="00267151" w:rsidRDefault="005E7922" w:rsidP="00E31A4A">
      <w:pPr>
        <w:pStyle w:val="Funotentext"/>
        <w:spacing w:line="240" w:lineRule="auto"/>
        <w:contextualSpacing/>
        <w:jc w:val="both"/>
        <w:rPr>
          <w:rFonts w:ascii="Arial" w:hAnsi="Arial" w:cs="Arial"/>
        </w:rPr>
      </w:pPr>
      <w:r w:rsidRPr="00267151">
        <w:rPr>
          <w:rStyle w:val="Funotenzeichen"/>
          <w:rFonts w:ascii="Arial" w:hAnsi="Arial" w:cs="Arial"/>
        </w:rPr>
        <w:footnoteRef/>
      </w:r>
      <w:r w:rsidRPr="00267151">
        <w:rPr>
          <w:rFonts w:ascii="Arial" w:hAnsi="Arial" w:cs="Arial"/>
        </w:rPr>
        <w:t xml:space="preserve"> </w:t>
      </w:r>
      <w:r w:rsidRPr="00267151">
        <w:rPr>
          <w:rFonts w:ascii="Arial" w:hAnsi="Arial" w:cs="Arial"/>
        </w:rPr>
        <w:tab/>
        <w:t>89/1998.</w:t>
      </w:r>
    </w:p>
  </w:footnote>
  <w:footnote w:id="941">
    <w:p w:rsidR="005E7922" w:rsidRPr="00267151" w:rsidRDefault="005E7922" w:rsidP="00E31A4A">
      <w:pPr>
        <w:pStyle w:val="Funotentext"/>
        <w:spacing w:line="240" w:lineRule="auto"/>
        <w:contextualSpacing/>
        <w:jc w:val="both"/>
        <w:rPr>
          <w:rFonts w:ascii="Arial" w:hAnsi="Arial" w:cs="Arial"/>
        </w:rPr>
      </w:pPr>
      <w:r w:rsidRPr="00267151">
        <w:rPr>
          <w:rStyle w:val="Funotenzeichen"/>
          <w:rFonts w:ascii="Arial" w:hAnsi="Arial" w:cs="Arial"/>
        </w:rPr>
        <w:footnoteRef/>
      </w:r>
      <w:r w:rsidRPr="00267151">
        <w:rPr>
          <w:rFonts w:ascii="Arial" w:hAnsi="Arial" w:cs="Arial"/>
        </w:rPr>
        <w:t xml:space="preserve">  </w:t>
      </w:r>
      <w:r w:rsidRPr="00267151">
        <w:rPr>
          <w:rFonts w:ascii="Arial" w:hAnsi="Arial" w:cs="Arial"/>
        </w:rPr>
        <w:tab/>
        <w:t xml:space="preserve">Refer to section </w:t>
      </w:r>
      <w:r w:rsidR="00C67BB0">
        <w:rPr>
          <w:rFonts w:ascii="Arial" w:hAnsi="Arial" w:cs="Arial"/>
        </w:rPr>
        <w:t>3.1.</w:t>
      </w:r>
    </w:p>
  </w:footnote>
  <w:footnote w:id="942">
    <w:p w:rsidR="005E7922" w:rsidRPr="00267151" w:rsidRDefault="005E7922" w:rsidP="00E31A4A">
      <w:pPr>
        <w:pStyle w:val="Funotentext"/>
        <w:spacing w:line="240" w:lineRule="auto"/>
        <w:contextualSpacing/>
        <w:jc w:val="both"/>
        <w:rPr>
          <w:rFonts w:ascii="Arial" w:hAnsi="Arial" w:cs="Arial"/>
        </w:rPr>
      </w:pPr>
      <w:r w:rsidRPr="00267151">
        <w:rPr>
          <w:rStyle w:val="Funotenzeichen"/>
          <w:rFonts w:ascii="Arial" w:hAnsi="Arial" w:cs="Arial"/>
        </w:rPr>
        <w:footnoteRef/>
      </w:r>
      <w:r w:rsidRPr="00267151">
        <w:rPr>
          <w:rFonts w:ascii="Arial" w:hAnsi="Arial" w:cs="Arial"/>
        </w:rPr>
        <w:t xml:space="preserve"> </w:t>
      </w:r>
      <w:r w:rsidRPr="00267151">
        <w:rPr>
          <w:rFonts w:ascii="Arial" w:hAnsi="Arial" w:cs="Arial"/>
        </w:rPr>
        <w:tab/>
        <w:t>89/1998.</w:t>
      </w:r>
    </w:p>
  </w:footnote>
  <w:footnote w:id="943">
    <w:p w:rsidR="005E7922" w:rsidRPr="00267151" w:rsidRDefault="005E7922" w:rsidP="00E31A4A">
      <w:pPr>
        <w:pStyle w:val="Funotentext"/>
        <w:spacing w:line="240" w:lineRule="auto"/>
        <w:contextualSpacing/>
        <w:jc w:val="both"/>
        <w:rPr>
          <w:rFonts w:ascii="Arial" w:hAnsi="Arial" w:cs="Arial"/>
        </w:rPr>
      </w:pPr>
      <w:r w:rsidRPr="00267151">
        <w:rPr>
          <w:rStyle w:val="Funotenzeichen"/>
          <w:rFonts w:ascii="Arial" w:hAnsi="Arial" w:cs="Arial"/>
        </w:rPr>
        <w:footnoteRef/>
      </w:r>
      <w:r w:rsidRPr="00267151">
        <w:rPr>
          <w:rFonts w:ascii="Arial" w:hAnsi="Arial" w:cs="Arial"/>
        </w:rPr>
        <w:t xml:space="preserve"> </w:t>
      </w:r>
      <w:r w:rsidRPr="00267151">
        <w:rPr>
          <w:rFonts w:ascii="Arial" w:hAnsi="Arial" w:cs="Arial"/>
        </w:rPr>
        <w:tab/>
        <w:t xml:space="preserve">Refer to section </w:t>
      </w:r>
      <w:r w:rsidR="00C67BB0">
        <w:rPr>
          <w:rFonts w:ascii="Arial" w:hAnsi="Arial" w:cs="Arial"/>
        </w:rPr>
        <w:t>3.1.</w:t>
      </w:r>
    </w:p>
  </w:footnote>
  <w:footnote w:id="944">
    <w:p w:rsidR="005E7922" w:rsidRPr="002C2701" w:rsidRDefault="005E7922" w:rsidP="002C2701">
      <w:pPr>
        <w:pStyle w:val="Funotentext"/>
        <w:spacing w:line="240" w:lineRule="auto"/>
        <w:contextualSpacing/>
        <w:jc w:val="both"/>
        <w:rPr>
          <w:rFonts w:ascii="Arial" w:hAnsi="Arial" w:cs="Arial"/>
        </w:rPr>
      </w:pPr>
      <w:r w:rsidRPr="002C2701">
        <w:rPr>
          <w:rStyle w:val="Funotenzeichen"/>
          <w:rFonts w:ascii="Arial" w:hAnsi="Arial" w:cs="Arial"/>
        </w:rPr>
        <w:footnoteRef/>
      </w:r>
      <w:r w:rsidRPr="002C2701">
        <w:rPr>
          <w:rFonts w:ascii="Arial" w:hAnsi="Arial" w:cs="Arial"/>
        </w:rPr>
        <w:t xml:space="preserve"> </w:t>
      </w:r>
      <w:r w:rsidRPr="002C2701">
        <w:rPr>
          <w:rFonts w:ascii="Arial" w:hAnsi="Arial" w:cs="Arial"/>
        </w:rPr>
        <w:tab/>
        <w:t xml:space="preserve">Neuhoff </w:t>
      </w:r>
      <w:r w:rsidRPr="002C2701">
        <w:rPr>
          <w:rFonts w:ascii="Arial" w:hAnsi="Arial" w:cs="Arial"/>
          <w:i/>
        </w:rPr>
        <w:t>et al</w:t>
      </w:r>
      <w:r w:rsidRPr="002C2701">
        <w:rPr>
          <w:rFonts w:ascii="Arial" w:hAnsi="Arial" w:cs="Arial"/>
        </w:rPr>
        <w:t xml:space="preserve"> 2006: 44.</w:t>
      </w:r>
    </w:p>
  </w:footnote>
  <w:footnote w:id="945">
    <w:p w:rsidR="005E7922" w:rsidRPr="002C2701" w:rsidRDefault="005E7922" w:rsidP="002C2701">
      <w:pPr>
        <w:pStyle w:val="Funotentext"/>
        <w:spacing w:line="240" w:lineRule="auto"/>
        <w:contextualSpacing/>
        <w:jc w:val="both"/>
        <w:rPr>
          <w:rFonts w:ascii="Arial" w:hAnsi="Arial" w:cs="Arial"/>
        </w:rPr>
      </w:pPr>
      <w:r w:rsidRPr="002C2701">
        <w:rPr>
          <w:rStyle w:val="Funotenzeichen"/>
          <w:rFonts w:ascii="Arial" w:hAnsi="Arial" w:cs="Arial"/>
        </w:rPr>
        <w:footnoteRef/>
      </w:r>
      <w:r w:rsidRPr="002C2701">
        <w:rPr>
          <w:rFonts w:ascii="Arial" w:hAnsi="Arial" w:cs="Arial"/>
        </w:rPr>
        <w:t xml:space="preserve">  </w:t>
      </w:r>
      <w:r w:rsidRPr="002C2701">
        <w:rPr>
          <w:rFonts w:ascii="Arial" w:hAnsi="Arial" w:cs="Arial"/>
        </w:rPr>
        <w:tab/>
        <w:t xml:space="preserve">Neuhoff </w:t>
      </w:r>
      <w:r w:rsidRPr="002C2701">
        <w:rPr>
          <w:rFonts w:ascii="Arial" w:hAnsi="Arial" w:cs="Arial"/>
          <w:i/>
        </w:rPr>
        <w:t>et al</w:t>
      </w:r>
      <w:r w:rsidRPr="002C2701">
        <w:rPr>
          <w:rFonts w:ascii="Arial" w:hAnsi="Arial" w:cs="Arial"/>
        </w:rPr>
        <w:t xml:space="preserve"> 2006: 44.</w:t>
      </w:r>
    </w:p>
  </w:footnote>
  <w:footnote w:id="946">
    <w:p w:rsidR="005E7922" w:rsidRPr="002C2701" w:rsidRDefault="005E7922" w:rsidP="002C2701">
      <w:pPr>
        <w:pStyle w:val="Funotentext"/>
        <w:spacing w:line="240" w:lineRule="auto"/>
        <w:contextualSpacing/>
        <w:jc w:val="both"/>
        <w:rPr>
          <w:rFonts w:ascii="Arial" w:hAnsi="Arial" w:cs="Arial"/>
        </w:rPr>
      </w:pPr>
      <w:r w:rsidRPr="002C2701">
        <w:rPr>
          <w:rStyle w:val="Funotenzeichen"/>
          <w:rFonts w:ascii="Arial" w:hAnsi="Arial" w:cs="Arial"/>
        </w:rPr>
        <w:footnoteRef/>
      </w:r>
      <w:r w:rsidRPr="002C2701">
        <w:rPr>
          <w:rFonts w:ascii="Arial" w:hAnsi="Arial" w:cs="Arial"/>
        </w:rPr>
        <w:t xml:space="preserve">  </w:t>
      </w:r>
      <w:r w:rsidRPr="002C2701">
        <w:rPr>
          <w:rFonts w:ascii="Arial" w:hAnsi="Arial" w:cs="Arial"/>
        </w:rPr>
        <w:tab/>
        <w:t>Lipczynski 2009: 11.</w:t>
      </w:r>
    </w:p>
  </w:footnote>
  <w:footnote w:id="947">
    <w:p w:rsidR="005E7922" w:rsidRPr="002C2701" w:rsidRDefault="005E7922" w:rsidP="002C2701">
      <w:pPr>
        <w:pStyle w:val="Funotentext"/>
        <w:spacing w:line="240" w:lineRule="auto"/>
        <w:contextualSpacing/>
        <w:jc w:val="both"/>
        <w:rPr>
          <w:rFonts w:ascii="Arial" w:hAnsi="Arial" w:cs="Arial"/>
        </w:rPr>
      </w:pPr>
      <w:r w:rsidRPr="002C2701">
        <w:rPr>
          <w:rStyle w:val="Funotenzeichen"/>
          <w:rFonts w:ascii="Arial" w:hAnsi="Arial" w:cs="Arial"/>
        </w:rPr>
        <w:footnoteRef/>
      </w:r>
      <w:r w:rsidRPr="002C2701">
        <w:rPr>
          <w:rFonts w:ascii="Arial" w:hAnsi="Arial" w:cs="Arial"/>
        </w:rPr>
        <w:t xml:space="preserve">  </w:t>
      </w:r>
      <w:r w:rsidRPr="002C2701">
        <w:rPr>
          <w:rFonts w:ascii="Arial" w:hAnsi="Arial" w:cs="Arial"/>
        </w:rPr>
        <w:tab/>
        <w:t xml:space="preserve">Refer to section </w:t>
      </w:r>
      <w:r w:rsidR="002D5254">
        <w:rPr>
          <w:rFonts w:ascii="Arial" w:hAnsi="Arial" w:cs="Arial"/>
        </w:rPr>
        <w:t>3.3.4.2.1</w:t>
      </w:r>
      <w:r w:rsidRPr="002C2701">
        <w:rPr>
          <w:rFonts w:ascii="Arial" w:hAnsi="Arial" w:cs="Arial"/>
        </w:rPr>
        <w:t xml:space="preserve"> for a discussion on this debate.</w:t>
      </w:r>
    </w:p>
  </w:footnote>
  <w:footnote w:id="948">
    <w:p w:rsidR="005E7922" w:rsidRPr="002C2701" w:rsidRDefault="005E7922" w:rsidP="002C2701">
      <w:pPr>
        <w:pStyle w:val="Funotentext"/>
        <w:spacing w:line="240" w:lineRule="auto"/>
        <w:contextualSpacing/>
        <w:jc w:val="both"/>
        <w:rPr>
          <w:rFonts w:ascii="Arial" w:hAnsi="Arial" w:cs="Arial"/>
        </w:rPr>
      </w:pPr>
      <w:r w:rsidRPr="002C2701">
        <w:rPr>
          <w:rStyle w:val="Funotenzeichen"/>
          <w:rFonts w:ascii="Arial" w:hAnsi="Arial" w:cs="Arial"/>
        </w:rPr>
        <w:footnoteRef/>
      </w:r>
      <w:r w:rsidRPr="002C2701">
        <w:rPr>
          <w:rFonts w:ascii="Arial" w:hAnsi="Arial" w:cs="Arial"/>
        </w:rPr>
        <w:t xml:space="preserve"> </w:t>
      </w:r>
      <w:r w:rsidRPr="002C2701">
        <w:rPr>
          <w:rFonts w:ascii="Arial" w:hAnsi="Arial" w:cs="Arial"/>
        </w:rPr>
        <w:tab/>
        <w:t>Lipczynski 2009: 10.</w:t>
      </w:r>
    </w:p>
  </w:footnote>
  <w:footnote w:id="949">
    <w:p w:rsidR="005E7922" w:rsidRPr="002C2701" w:rsidRDefault="005E7922" w:rsidP="002C2701">
      <w:pPr>
        <w:pStyle w:val="Funotentext"/>
        <w:spacing w:line="240" w:lineRule="auto"/>
        <w:contextualSpacing/>
        <w:jc w:val="both"/>
        <w:rPr>
          <w:rFonts w:ascii="Arial" w:hAnsi="Arial" w:cs="Arial"/>
        </w:rPr>
      </w:pPr>
      <w:r w:rsidRPr="002C2701">
        <w:rPr>
          <w:rStyle w:val="Funotenzeichen"/>
          <w:rFonts w:ascii="Arial" w:hAnsi="Arial" w:cs="Arial"/>
        </w:rPr>
        <w:footnoteRef/>
      </w:r>
      <w:r w:rsidRPr="002C2701">
        <w:rPr>
          <w:rFonts w:ascii="Arial" w:hAnsi="Arial" w:cs="Arial"/>
        </w:rPr>
        <w:t xml:space="preserve">  </w:t>
      </w:r>
      <w:r w:rsidRPr="002C2701">
        <w:rPr>
          <w:rFonts w:ascii="Arial" w:hAnsi="Arial" w:cs="Arial"/>
        </w:rPr>
        <w:tab/>
        <w:t>Lipczynski 2009: 10.</w:t>
      </w:r>
    </w:p>
  </w:footnote>
  <w:footnote w:id="950">
    <w:p w:rsidR="00782CDF" w:rsidRPr="00782CDF" w:rsidRDefault="00782CDF">
      <w:pPr>
        <w:pStyle w:val="Funotentext"/>
        <w:rPr>
          <w:lang w:val="af-ZA"/>
        </w:rPr>
      </w:pPr>
      <w:r>
        <w:rPr>
          <w:rStyle w:val="Funotenzeichen"/>
        </w:rPr>
        <w:footnoteRef/>
      </w:r>
      <w:r>
        <w:t xml:space="preserve"> </w:t>
      </w:r>
      <w:r>
        <w:tab/>
      </w:r>
      <w:r w:rsidRPr="002C2701">
        <w:rPr>
          <w:rFonts w:ascii="Arial" w:hAnsi="Arial" w:cs="Arial"/>
        </w:rPr>
        <w:t xml:space="preserve">Refer to section </w:t>
      </w:r>
      <w:r>
        <w:rPr>
          <w:rFonts w:ascii="Arial" w:hAnsi="Arial" w:cs="Arial"/>
        </w:rPr>
        <w:t>3.3.4.2.1</w:t>
      </w:r>
      <w:r w:rsidRPr="002C2701">
        <w:rPr>
          <w:rFonts w:ascii="Arial" w:hAnsi="Arial" w:cs="Arial"/>
        </w:rPr>
        <w:t xml:space="preserve"> for a discussion on this debate.</w:t>
      </w:r>
    </w:p>
  </w:footnote>
  <w:footnote w:id="951">
    <w:p w:rsidR="005E7922" w:rsidRPr="00981977" w:rsidRDefault="005E7922" w:rsidP="002C2701">
      <w:pPr>
        <w:pStyle w:val="Funotentext"/>
        <w:spacing w:line="240" w:lineRule="auto"/>
        <w:contextualSpacing/>
        <w:jc w:val="both"/>
        <w:rPr>
          <w:rFonts w:ascii="Arial" w:hAnsi="Arial" w:cs="Arial"/>
        </w:rPr>
      </w:pPr>
      <w:r w:rsidRPr="00981977">
        <w:rPr>
          <w:rStyle w:val="Funotenzeichen"/>
          <w:rFonts w:ascii="Arial" w:hAnsi="Arial" w:cs="Arial"/>
        </w:rPr>
        <w:footnoteRef/>
      </w:r>
      <w:r w:rsidRPr="00981977">
        <w:rPr>
          <w:rFonts w:ascii="Arial" w:hAnsi="Arial" w:cs="Arial"/>
        </w:rPr>
        <w:t xml:space="preserve"> </w:t>
      </w:r>
      <w:r w:rsidRPr="00981977">
        <w:rPr>
          <w:rFonts w:ascii="Arial" w:hAnsi="Arial" w:cs="Arial"/>
        </w:rPr>
        <w:tab/>
        <w:t>Reid 1987: 13; Lipczynski 2009: 10.</w:t>
      </w:r>
    </w:p>
  </w:footnote>
  <w:footnote w:id="952">
    <w:p w:rsidR="005E7922" w:rsidRPr="00981977" w:rsidRDefault="005E7922" w:rsidP="002C2701">
      <w:pPr>
        <w:pStyle w:val="Funotentext"/>
        <w:spacing w:line="240" w:lineRule="auto"/>
        <w:contextualSpacing/>
        <w:jc w:val="both"/>
        <w:rPr>
          <w:rFonts w:ascii="Arial" w:hAnsi="Arial" w:cs="Arial"/>
        </w:rPr>
      </w:pPr>
      <w:r w:rsidRPr="00981977">
        <w:rPr>
          <w:rStyle w:val="Funotenzeichen"/>
          <w:rFonts w:ascii="Arial" w:hAnsi="Arial" w:cs="Arial"/>
        </w:rPr>
        <w:footnoteRef/>
      </w:r>
      <w:r w:rsidRPr="00981977">
        <w:rPr>
          <w:rFonts w:ascii="Arial" w:hAnsi="Arial" w:cs="Arial"/>
        </w:rPr>
        <w:t xml:space="preserve"> </w:t>
      </w:r>
      <w:r w:rsidRPr="00981977">
        <w:rPr>
          <w:rFonts w:ascii="Arial" w:hAnsi="Arial" w:cs="Arial"/>
        </w:rPr>
        <w:tab/>
        <w:t>Inferred from Reid 1987: 13; Lipczynski 2009: 10.</w:t>
      </w:r>
    </w:p>
  </w:footnote>
  <w:footnote w:id="953">
    <w:p w:rsidR="005E7922" w:rsidRPr="00981977" w:rsidRDefault="005E7922" w:rsidP="002C2701">
      <w:pPr>
        <w:pStyle w:val="Funotentext"/>
        <w:spacing w:line="240" w:lineRule="auto"/>
        <w:contextualSpacing/>
        <w:jc w:val="both"/>
        <w:rPr>
          <w:rFonts w:ascii="Arial" w:hAnsi="Arial" w:cs="Arial"/>
        </w:rPr>
      </w:pPr>
      <w:r w:rsidRPr="00981977">
        <w:rPr>
          <w:rStyle w:val="Funotenzeichen"/>
          <w:rFonts w:ascii="Arial" w:hAnsi="Arial" w:cs="Arial"/>
        </w:rPr>
        <w:footnoteRef/>
      </w:r>
      <w:r w:rsidRPr="00981977">
        <w:rPr>
          <w:rFonts w:ascii="Arial" w:hAnsi="Arial" w:cs="Arial"/>
        </w:rPr>
        <w:t xml:space="preserve"> </w:t>
      </w:r>
      <w:r w:rsidRPr="00981977">
        <w:rPr>
          <w:rFonts w:ascii="Arial" w:hAnsi="Arial" w:cs="Arial"/>
        </w:rPr>
        <w:tab/>
        <w:t xml:space="preserve">Reid 1987: 13; Neuhoff </w:t>
      </w:r>
      <w:r w:rsidRPr="00981977">
        <w:rPr>
          <w:rFonts w:ascii="Arial" w:hAnsi="Arial" w:cs="Arial"/>
          <w:i/>
        </w:rPr>
        <w:t>et al</w:t>
      </w:r>
      <w:r w:rsidRPr="00981977">
        <w:rPr>
          <w:rFonts w:ascii="Arial" w:hAnsi="Arial" w:cs="Arial"/>
        </w:rPr>
        <w:t xml:space="preserve"> 2006: 44; Lipczynski 2009: 10.</w:t>
      </w:r>
    </w:p>
  </w:footnote>
  <w:footnote w:id="954">
    <w:p w:rsidR="005E7922" w:rsidRPr="00981977" w:rsidRDefault="005E7922" w:rsidP="005C592C">
      <w:pPr>
        <w:pStyle w:val="Funotentext"/>
        <w:spacing w:line="240" w:lineRule="auto"/>
        <w:contextualSpacing/>
        <w:jc w:val="both"/>
        <w:rPr>
          <w:rFonts w:ascii="Arial" w:hAnsi="Arial" w:cs="Arial"/>
        </w:rPr>
      </w:pPr>
      <w:r w:rsidRPr="00981977">
        <w:rPr>
          <w:rStyle w:val="Funotenzeichen"/>
          <w:rFonts w:ascii="Arial" w:hAnsi="Arial" w:cs="Arial"/>
        </w:rPr>
        <w:footnoteRef/>
      </w:r>
      <w:r w:rsidRPr="00981977">
        <w:rPr>
          <w:rFonts w:ascii="Arial" w:hAnsi="Arial" w:cs="Arial"/>
        </w:rPr>
        <w:t xml:space="preserve"> </w:t>
      </w:r>
      <w:r w:rsidRPr="00981977">
        <w:rPr>
          <w:rFonts w:ascii="Arial" w:hAnsi="Arial" w:cs="Arial"/>
        </w:rPr>
        <w:tab/>
        <w:t xml:space="preserve">Inferred from Neuhoff </w:t>
      </w:r>
      <w:r w:rsidRPr="00981977">
        <w:rPr>
          <w:rFonts w:ascii="Arial" w:hAnsi="Arial" w:cs="Arial"/>
          <w:i/>
        </w:rPr>
        <w:t>et al 2006</w:t>
      </w:r>
      <w:r w:rsidRPr="00981977">
        <w:rPr>
          <w:rFonts w:ascii="Arial" w:hAnsi="Arial" w:cs="Arial"/>
        </w:rPr>
        <w:t>: 44.</w:t>
      </w:r>
    </w:p>
  </w:footnote>
  <w:footnote w:id="955">
    <w:p w:rsidR="005E7922" w:rsidRPr="00981977" w:rsidRDefault="005E7922" w:rsidP="005C592C">
      <w:pPr>
        <w:pStyle w:val="Funotentext"/>
        <w:spacing w:line="240" w:lineRule="auto"/>
        <w:contextualSpacing/>
        <w:jc w:val="both"/>
        <w:rPr>
          <w:rFonts w:ascii="Arial" w:hAnsi="Arial" w:cs="Arial"/>
        </w:rPr>
      </w:pPr>
      <w:r w:rsidRPr="00981977">
        <w:rPr>
          <w:rStyle w:val="Funotenzeichen"/>
          <w:rFonts w:ascii="Arial" w:hAnsi="Arial" w:cs="Arial"/>
        </w:rPr>
        <w:footnoteRef/>
      </w:r>
      <w:r w:rsidRPr="00981977">
        <w:rPr>
          <w:rFonts w:ascii="Arial" w:hAnsi="Arial" w:cs="Arial"/>
        </w:rPr>
        <w:t xml:space="preserve"> </w:t>
      </w:r>
      <w:r w:rsidRPr="00981977">
        <w:rPr>
          <w:rFonts w:ascii="Arial" w:hAnsi="Arial" w:cs="Arial"/>
        </w:rPr>
        <w:tab/>
        <w:t>Reid 1987: 13; Lipczynski 2009: 11.</w:t>
      </w:r>
    </w:p>
  </w:footnote>
  <w:footnote w:id="956">
    <w:p w:rsidR="005E7922" w:rsidRPr="00981977" w:rsidRDefault="005E7922" w:rsidP="005C592C">
      <w:pPr>
        <w:pStyle w:val="Funotentext"/>
        <w:spacing w:line="240" w:lineRule="auto"/>
        <w:contextualSpacing/>
        <w:jc w:val="both"/>
        <w:rPr>
          <w:rFonts w:ascii="Arial" w:hAnsi="Arial" w:cs="Arial"/>
        </w:rPr>
      </w:pPr>
      <w:r w:rsidRPr="00981977">
        <w:rPr>
          <w:rStyle w:val="Funotenzeichen"/>
          <w:rFonts w:ascii="Arial" w:hAnsi="Arial" w:cs="Arial"/>
        </w:rPr>
        <w:footnoteRef/>
      </w:r>
      <w:r w:rsidRPr="00981977">
        <w:rPr>
          <w:rFonts w:ascii="Arial" w:hAnsi="Arial" w:cs="Arial"/>
        </w:rPr>
        <w:t xml:space="preserve"> </w:t>
      </w:r>
      <w:r w:rsidRPr="00981977">
        <w:rPr>
          <w:rFonts w:ascii="Arial" w:hAnsi="Arial" w:cs="Arial"/>
        </w:rPr>
        <w:tab/>
        <w:t>Lipczynski 2009: 11.</w:t>
      </w:r>
    </w:p>
  </w:footnote>
  <w:footnote w:id="957">
    <w:p w:rsidR="005E7922" w:rsidRPr="00981977" w:rsidRDefault="005E7922" w:rsidP="005C592C">
      <w:pPr>
        <w:pStyle w:val="Funotentext"/>
        <w:spacing w:line="240" w:lineRule="auto"/>
        <w:contextualSpacing/>
        <w:jc w:val="both"/>
        <w:rPr>
          <w:rFonts w:ascii="Arial" w:hAnsi="Arial" w:cs="Arial"/>
        </w:rPr>
      </w:pPr>
      <w:r w:rsidRPr="00981977">
        <w:rPr>
          <w:rStyle w:val="Funotenzeichen"/>
          <w:rFonts w:ascii="Arial" w:hAnsi="Arial" w:cs="Arial"/>
        </w:rPr>
        <w:footnoteRef/>
      </w:r>
      <w:r w:rsidRPr="00981977">
        <w:rPr>
          <w:rFonts w:ascii="Arial" w:hAnsi="Arial" w:cs="Arial"/>
        </w:rPr>
        <w:t xml:space="preserve">  </w:t>
      </w:r>
      <w:r w:rsidRPr="00981977">
        <w:rPr>
          <w:rFonts w:ascii="Arial" w:hAnsi="Arial" w:cs="Arial"/>
        </w:rPr>
        <w:tab/>
        <w:t>Inferred from Lipczynski 2009: 10.</w:t>
      </w:r>
    </w:p>
  </w:footnote>
  <w:footnote w:id="958">
    <w:p w:rsidR="00FA4B58" w:rsidRPr="00981977" w:rsidRDefault="00FA4B58" w:rsidP="00FA4B58">
      <w:pPr>
        <w:pStyle w:val="Funotentext"/>
        <w:spacing w:line="240" w:lineRule="auto"/>
        <w:contextualSpacing/>
        <w:jc w:val="both"/>
        <w:rPr>
          <w:rFonts w:ascii="Arial" w:hAnsi="Arial" w:cs="Arial"/>
        </w:rPr>
      </w:pPr>
      <w:r w:rsidRPr="00981977">
        <w:rPr>
          <w:rStyle w:val="Funotenzeichen"/>
          <w:rFonts w:ascii="Arial" w:hAnsi="Arial" w:cs="Arial"/>
        </w:rPr>
        <w:footnoteRef/>
      </w:r>
      <w:r w:rsidRPr="00981977">
        <w:rPr>
          <w:rFonts w:ascii="Arial" w:hAnsi="Arial" w:cs="Arial"/>
        </w:rPr>
        <w:t xml:space="preserve"> </w:t>
      </w:r>
      <w:r w:rsidRPr="00981977">
        <w:rPr>
          <w:rFonts w:ascii="Arial" w:hAnsi="Arial" w:cs="Arial"/>
        </w:rPr>
        <w:tab/>
        <w:t xml:space="preserve">Refer to section </w:t>
      </w:r>
      <w:r w:rsidR="0081089F">
        <w:rPr>
          <w:rFonts w:ascii="Arial" w:hAnsi="Arial" w:cs="Arial"/>
        </w:rPr>
        <w:t>2.2.6</w:t>
      </w:r>
      <w:r w:rsidRPr="00981977">
        <w:rPr>
          <w:rFonts w:ascii="Arial" w:hAnsi="Arial" w:cs="Arial"/>
        </w:rPr>
        <w:t>.</w:t>
      </w:r>
    </w:p>
  </w:footnote>
  <w:footnote w:id="959">
    <w:p w:rsidR="00FA4B58" w:rsidRPr="00981977" w:rsidRDefault="00FA4B58" w:rsidP="00FA4B58">
      <w:pPr>
        <w:pStyle w:val="Funotentext"/>
        <w:spacing w:line="240" w:lineRule="auto"/>
        <w:contextualSpacing/>
        <w:jc w:val="both"/>
        <w:rPr>
          <w:rFonts w:ascii="Arial" w:hAnsi="Arial" w:cs="Arial"/>
        </w:rPr>
      </w:pPr>
      <w:r w:rsidRPr="00981977">
        <w:rPr>
          <w:rStyle w:val="Funotenzeichen"/>
          <w:rFonts w:ascii="Arial" w:hAnsi="Arial" w:cs="Arial"/>
        </w:rPr>
        <w:footnoteRef/>
      </w:r>
      <w:r w:rsidRPr="00981977">
        <w:rPr>
          <w:rFonts w:ascii="Arial" w:hAnsi="Arial" w:cs="Arial"/>
        </w:rPr>
        <w:t xml:space="preserve">  </w:t>
      </w:r>
      <w:r w:rsidRPr="00981977">
        <w:rPr>
          <w:rFonts w:ascii="Arial" w:hAnsi="Arial" w:cs="Arial"/>
        </w:rPr>
        <w:tab/>
        <w:t>89/1998.</w:t>
      </w:r>
    </w:p>
  </w:footnote>
  <w:footnote w:id="960">
    <w:p w:rsidR="00FA4B58" w:rsidRPr="00981977" w:rsidRDefault="00FA4B58" w:rsidP="00FA4B58">
      <w:pPr>
        <w:pStyle w:val="Funotentext"/>
        <w:spacing w:line="240" w:lineRule="auto"/>
        <w:contextualSpacing/>
        <w:jc w:val="both"/>
        <w:rPr>
          <w:rFonts w:ascii="Arial" w:hAnsi="Arial" w:cs="Arial"/>
        </w:rPr>
      </w:pPr>
      <w:r w:rsidRPr="00981977">
        <w:rPr>
          <w:rStyle w:val="Funotenzeichen"/>
          <w:rFonts w:ascii="Arial" w:hAnsi="Arial" w:cs="Arial"/>
        </w:rPr>
        <w:footnoteRef/>
      </w:r>
      <w:r w:rsidRPr="00981977">
        <w:rPr>
          <w:rFonts w:ascii="Arial" w:hAnsi="Arial" w:cs="Arial"/>
        </w:rPr>
        <w:t xml:space="preserve">  </w:t>
      </w:r>
      <w:r w:rsidRPr="00981977">
        <w:rPr>
          <w:rFonts w:ascii="Arial" w:hAnsi="Arial" w:cs="Arial"/>
        </w:rPr>
        <w:tab/>
        <w:t>Competition Act 89/1998: section 2.</w:t>
      </w:r>
    </w:p>
  </w:footnote>
  <w:footnote w:id="961">
    <w:p w:rsidR="00FA4B58" w:rsidRPr="00981977" w:rsidRDefault="00FA4B58" w:rsidP="00FA4B58">
      <w:pPr>
        <w:pStyle w:val="Funotentext"/>
        <w:spacing w:line="240" w:lineRule="auto"/>
        <w:contextualSpacing/>
        <w:jc w:val="both"/>
        <w:rPr>
          <w:rFonts w:ascii="Arial" w:hAnsi="Arial" w:cs="Arial"/>
        </w:rPr>
      </w:pPr>
      <w:r w:rsidRPr="00981977">
        <w:rPr>
          <w:rStyle w:val="Funotenzeichen"/>
          <w:rFonts w:ascii="Arial" w:hAnsi="Arial" w:cs="Arial"/>
        </w:rPr>
        <w:footnoteRef/>
      </w:r>
      <w:r w:rsidRPr="00981977">
        <w:rPr>
          <w:rFonts w:ascii="Arial" w:hAnsi="Arial" w:cs="Arial"/>
        </w:rPr>
        <w:t xml:space="preserve">  </w:t>
      </w:r>
      <w:r w:rsidRPr="00981977">
        <w:rPr>
          <w:rFonts w:ascii="Arial" w:hAnsi="Arial" w:cs="Arial"/>
        </w:rPr>
        <w:tab/>
        <w:t>89/1998.</w:t>
      </w:r>
    </w:p>
  </w:footnote>
  <w:footnote w:id="962">
    <w:p w:rsidR="00FA4B58" w:rsidRPr="00981977" w:rsidRDefault="00FA4B58" w:rsidP="00FA4B58">
      <w:pPr>
        <w:pStyle w:val="Funotentext"/>
        <w:spacing w:line="240" w:lineRule="auto"/>
        <w:contextualSpacing/>
        <w:jc w:val="both"/>
        <w:rPr>
          <w:rFonts w:ascii="Arial" w:hAnsi="Arial" w:cs="Arial"/>
        </w:rPr>
      </w:pPr>
      <w:r w:rsidRPr="00981977">
        <w:rPr>
          <w:rStyle w:val="Funotenzeichen"/>
          <w:rFonts w:ascii="Arial" w:hAnsi="Arial" w:cs="Arial"/>
        </w:rPr>
        <w:footnoteRef/>
      </w:r>
      <w:r w:rsidRPr="00981977">
        <w:rPr>
          <w:rFonts w:ascii="Arial" w:hAnsi="Arial" w:cs="Arial"/>
        </w:rPr>
        <w:t xml:space="preserve">  </w:t>
      </w:r>
      <w:r w:rsidRPr="00981977">
        <w:rPr>
          <w:rFonts w:ascii="Arial" w:hAnsi="Arial" w:cs="Arial"/>
        </w:rPr>
        <w:tab/>
        <w:t>89/1998.</w:t>
      </w:r>
    </w:p>
  </w:footnote>
  <w:footnote w:id="963">
    <w:p w:rsidR="00FA4B58" w:rsidRPr="00981977" w:rsidRDefault="00FA4B58" w:rsidP="00FA4B58">
      <w:pPr>
        <w:pStyle w:val="Funotentext"/>
        <w:spacing w:line="240" w:lineRule="auto"/>
        <w:contextualSpacing/>
        <w:jc w:val="both"/>
        <w:rPr>
          <w:rFonts w:ascii="Arial" w:hAnsi="Arial" w:cs="Arial"/>
        </w:rPr>
      </w:pPr>
      <w:r w:rsidRPr="00981977">
        <w:rPr>
          <w:rStyle w:val="Funotenzeichen"/>
          <w:rFonts w:ascii="Arial" w:hAnsi="Arial" w:cs="Arial"/>
        </w:rPr>
        <w:footnoteRef/>
      </w:r>
      <w:r w:rsidRPr="00981977">
        <w:rPr>
          <w:rFonts w:ascii="Arial" w:hAnsi="Arial" w:cs="Arial"/>
        </w:rPr>
        <w:t xml:space="preserve">  </w:t>
      </w:r>
      <w:r w:rsidRPr="00981977">
        <w:rPr>
          <w:rFonts w:ascii="Arial" w:hAnsi="Arial" w:cs="Arial"/>
        </w:rPr>
        <w:tab/>
        <w:t>89/1998.</w:t>
      </w:r>
    </w:p>
  </w:footnote>
  <w:footnote w:id="964">
    <w:p w:rsidR="00FA4B58" w:rsidRPr="00981977" w:rsidRDefault="00FA4B58" w:rsidP="00FA4B58">
      <w:pPr>
        <w:pStyle w:val="Funotentext"/>
        <w:spacing w:line="240" w:lineRule="auto"/>
        <w:contextualSpacing/>
        <w:jc w:val="both"/>
        <w:rPr>
          <w:rFonts w:ascii="Arial" w:hAnsi="Arial" w:cs="Arial"/>
        </w:rPr>
      </w:pPr>
      <w:r w:rsidRPr="00981977">
        <w:rPr>
          <w:rStyle w:val="Funotenzeichen"/>
          <w:rFonts w:ascii="Arial" w:hAnsi="Arial" w:cs="Arial"/>
        </w:rPr>
        <w:footnoteRef/>
      </w:r>
      <w:r w:rsidRPr="00981977">
        <w:rPr>
          <w:rFonts w:ascii="Arial" w:hAnsi="Arial" w:cs="Arial"/>
        </w:rPr>
        <w:t xml:space="preserve">  </w:t>
      </w:r>
      <w:r w:rsidRPr="00981977">
        <w:rPr>
          <w:rFonts w:ascii="Arial" w:hAnsi="Arial" w:cs="Arial"/>
        </w:rPr>
        <w:tab/>
        <w:t>Competition Act 89/1998: section 1.</w:t>
      </w:r>
    </w:p>
  </w:footnote>
  <w:footnote w:id="965">
    <w:p w:rsidR="00FA4B58" w:rsidRPr="007769CF" w:rsidRDefault="00FA4B58" w:rsidP="00FA4B58">
      <w:pPr>
        <w:pStyle w:val="Funotentext"/>
        <w:spacing w:line="240" w:lineRule="auto"/>
        <w:contextualSpacing/>
        <w:jc w:val="both"/>
        <w:rPr>
          <w:rFonts w:ascii="Arial" w:hAnsi="Arial" w:cs="Arial"/>
        </w:rPr>
      </w:pPr>
      <w:r w:rsidRPr="007769CF">
        <w:rPr>
          <w:rStyle w:val="Funotenzeichen"/>
          <w:rFonts w:ascii="Arial" w:hAnsi="Arial" w:cs="Arial"/>
        </w:rPr>
        <w:footnoteRef/>
      </w:r>
      <w:r w:rsidRPr="007769CF">
        <w:rPr>
          <w:rFonts w:ascii="Arial" w:hAnsi="Arial" w:cs="Arial"/>
        </w:rPr>
        <w:t xml:space="preserve">  </w:t>
      </w:r>
      <w:r w:rsidRPr="007769CF">
        <w:rPr>
          <w:rFonts w:ascii="Arial" w:hAnsi="Arial" w:cs="Arial"/>
        </w:rPr>
        <w:tab/>
        <w:t xml:space="preserve">Land </w:t>
      </w:r>
      <w:r w:rsidRPr="007769CF">
        <w:rPr>
          <w:rFonts w:ascii="Arial" w:hAnsi="Arial" w:cs="Arial"/>
          <w:i/>
        </w:rPr>
        <w:t>et al</w:t>
      </w:r>
      <w:r w:rsidRPr="007769CF">
        <w:rPr>
          <w:rFonts w:ascii="Arial" w:hAnsi="Arial" w:cs="Arial"/>
        </w:rPr>
        <w:t xml:space="preserve"> 2010: 98.</w:t>
      </w:r>
    </w:p>
  </w:footnote>
  <w:footnote w:id="966">
    <w:p w:rsidR="00FA4B58" w:rsidRPr="007769CF" w:rsidRDefault="00FA4B58" w:rsidP="00FA4B58">
      <w:pPr>
        <w:pStyle w:val="Funotentext"/>
        <w:spacing w:line="240" w:lineRule="auto"/>
        <w:contextualSpacing/>
        <w:jc w:val="both"/>
        <w:rPr>
          <w:rFonts w:ascii="Arial" w:hAnsi="Arial" w:cs="Arial"/>
        </w:rPr>
      </w:pPr>
      <w:r w:rsidRPr="007769CF">
        <w:rPr>
          <w:rStyle w:val="Funotenzeichen"/>
          <w:rFonts w:ascii="Arial" w:hAnsi="Arial" w:cs="Arial"/>
        </w:rPr>
        <w:footnoteRef/>
      </w:r>
      <w:r w:rsidRPr="007769CF">
        <w:rPr>
          <w:rFonts w:ascii="Arial" w:hAnsi="Arial" w:cs="Arial"/>
        </w:rPr>
        <w:t xml:space="preserve">  </w:t>
      </w:r>
      <w:r w:rsidRPr="007769CF">
        <w:rPr>
          <w:rFonts w:ascii="Arial" w:hAnsi="Arial" w:cs="Arial"/>
        </w:rPr>
        <w:tab/>
        <w:t xml:space="preserve">Land </w:t>
      </w:r>
      <w:r w:rsidRPr="007769CF">
        <w:rPr>
          <w:rFonts w:ascii="Arial" w:hAnsi="Arial" w:cs="Arial"/>
          <w:i/>
        </w:rPr>
        <w:t>et al</w:t>
      </w:r>
      <w:r w:rsidRPr="007769CF">
        <w:rPr>
          <w:rFonts w:ascii="Arial" w:hAnsi="Arial" w:cs="Arial"/>
        </w:rPr>
        <w:t xml:space="preserve"> 2010: 99.</w:t>
      </w:r>
    </w:p>
  </w:footnote>
  <w:footnote w:id="967">
    <w:p w:rsidR="00FA4B58" w:rsidRPr="007769CF" w:rsidRDefault="00FA4B58" w:rsidP="00FA4B58">
      <w:pPr>
        <w:pStyle w:val="Funotentext"/>
        <w:spacing w:line="240" w:lineRule="auto"/>
        <w:contextualSpacing/>
        <w:jc w:val="both"/>
        <w:rPr>
          <w:rFonts w:ascii="Arial" w:hAnsi="Arial" w:cs="Arial"/>
        </w:rPr>
      </w:pPr>
      <w:r w:rsidRPr="007769CF">
        <w:rPr>
          <w:rStyle w:val="Funotenzeichen"/>
          <w:rFonts w:ascii="Arial" w:hAnsi="Arial" w:cs="Arial"/>
        </w:rPr>
        <w:footnoteRef/>
      </w:r>
      <w:r w:rsidRPr="007769CF">
        <w:rPr>
          <w:rFonts w:ascii="Arial" w:hAnsi="Arial" w:cs="Arial"/>
        </w:rPr>
        <w:t xml:space="preserve"> </w:t>
      </w:r>
      <w:r w:rsidRPr="007769CF">
        <w:rPr>
          <w:rFonts w:ascii="Arial" w:hAnsi="Arial" w:cs="Arial"/>
        </w:rPr>
        <w:tab/>
        <w:t xml:space="preserve">Lorimar v Sterling Clothing Manufacturers 1981 3 SA 1129 (T) 1141. Also, see Neethling &amp; </w:t>
      </w:r>
      <w:r w:rsidRPr="007769CF">
        <w:rPr>
          <w:rFonts w:ascii="Arial" w:hAnsi="Arial" w:cs="Arial"/>
        </w:rPr>
        <w:tab/>
        <w:t>Van Heerden 1995: 2-3 and Klopper &amp; Van Der Spuy 2008: 65.</w:t>
      </w:r>
    </w:p>
  </w:footnote>
  <w:footnote w:id="968">
    <w:p w:rsidR="00FA4B58" w:rsidRPr="007769CF" w:rsidRDefault="00FA4B58" w:rsidP="00FA4B58">
      <w:pPr>
        <w:pStyle w:val="Funotentext"/>
        <w:spacing w:line="240" w:lineRule="auto"/>
        <w:contextualSpacing/>
        <w:jc w:val="both"/>
        <w:rPr>
          <w:rFonts w:ascii="Arial" w:hAnsi="Arial" w:cs="Arial"/>
        </w:rPr>
      </w:pPr>
      <w:r w:rsidRPr="007769CF">
        <w:rPr>
          <w:rStyle w:val="Funotenzeichen"/>
          <w:rFonts w:ascii="Arial" w:hAnsi="Arial" w:cs="Arial"/>
        </w:rPr>
        <w:footnoteRef/>
      </w:r>
      <w:r w:rsidRPr="007769CF">
        <w:rPr>
          <w:rFonts w:ascii="Arial" w:hAnsi="Arial" w:cs="Arial"/>
        </w:rPr>
        <w:t xml:space="preserve">  </w:t>
      </w:r>
      <w:r w:rsidRPr="007769CF">
        <w:rPr>
          <w:rFonts w:ascii="Arial" w:hAnsi="Arial" w:cs="Arial"/>
        </w:rPr>
        <w:tab/>
        <w:t xml:space="preserve">Neuhoff </w:t>
      </w:r>
      <w:r w:rsidRPr="007769CF">
        <w:rPr>
          <w:rFonts w:ascii="Arial" w:hAnsi="Arial" w:cs="Arial"/>
          <w:i/>
        </w:rPr>
        <w:t>et al</w:t>
      </w:r>
      <w:r w:rsidRPr="007769CF">
        <w:rPr>
          <w:rFonts w:ascii="Arial" w:hAnsi="Arial" w:cs="Arial"/>
        </w:rPr>
        <w:t xml:space="preserve"> 2006: 26.</w:t>
      </w:r>
    </w:p>
  </w:footnote>
  <w:footnote w:id="969">
    <w:p w:rsidR="00FA4B58" w:rsidRPr="00F46976" w:rsidRDefault="00FA4B58" w:rsidP="00FA4B58">
      <w:pPr>
        <w:pStyle w:val="Funotentext"/>
        <w:spacing w:line="240" w:lineRule="auto"/>
        <w:contextualSpacing/>
        <w:jc w:val="both"/>
        <w:rPr>
          <w:rFonts w:ascii="Arial" w:hAnsi="Arial" w:cs="Arial"/>
        </w:rPr>
      </w:pPr>
      <w:r w:rsidRPr="00F46976">
        <w:rPr>
          <w:rStyle w:val="Funotenzeichen"/>
          <w:rFonts w:ascii="Arial" w:hAnsi="Arial" w:cs="Arial"/>
        </w:rPr>
        <w:footnoteRef/>
      </w:r>
      <w:r w:rsidRPr="00F46976">
        <w:rPr>
          <w:rFonts w:ascii="Arial" w:hAnsi="Arial" w:cs="Arial"/>
        </w:rPr>
        <w:t xml:space="preserve">  </w:t>
      </w:r>
      <w:r w:rsidRPr="00F46976">
        <w:rPr>
          <w:rFonts w:ascii="Arial" w:hAnsi="Arial" w:cs="Arial"/>
        </w:rPr>
        <w:tab/>
        <w:t>89/1998.</w:t>
      </w:r>
    </w:p>
  </w:footnote>
  <w:footnote w:id="970">
    <w:p w:rsidR="00FA4B58" w:rsidRPr="00F46976" w:rsidRDefault="00FA4B58" w:rsidP="00FA4B58">
      <w:pPr>
        <w:pStyle w:val="Funotentext"/>
        <w:spacing w:line="240" w:lineRule="auto"/>
        <w:contextualSpacing/>
        <w:jc w:val="both"/>
        <w:rPr>
          <w:rFonts w:ascii="Arial" w:hAnsi="Arial" w:cs="Arial"/>
        </w:rPr>
      </w:pPr>
      <w:r w:rsidRPr="00F46976">
        <w:rPr>
          <w:rStyle w:val="Funotenzeichen"/>
          <w:rFonts w:ascii="Arial" w:hAnsi="Arial" w:cs="Arial"/>
        </w:rPr>
        <w:footnoteRef/>
      </w:r>
      <w:r w:rsidRPr="00F46976">
        <w:rPr>
          <w:rFonts w:ascii="Arial" w:hAnsi="Arial" w:cs="Arial"/>
        </w:rPr>
        <w:t xml:space="preserve">  </w:t>
      </w:r>
      <w:r w:rsidRPr="00F46976">
        <w:rPr>
          <w:rFonts w:ascii="Arial" w:hAnsi="Arial" w:cs="Arial"/>
        </w:rPr>
        <w:tab/>
        <w:t>Competition Act 89/1998: section 1.</w:t>
      </w:r>
    </w:p>
  </w:footnote>
  <w:footnote w:id="971">
    <w:p w:rsidR="005E7922" w:rsidRPr="009B0BA1" w:rsidRDefault="005E7922" w:rsidP="0007157D">
      <w:pPr>
        <w:pStyle w:val="Funotentext"/>
        <w:rPr>
          <w:lang w:val="af-ZA"/>
        </w:rPr>
      </w:pPr>
      <w:r>
        <w:rPr>
          <w:rStyle w:val="Funotenzeichen"/>
        </w:rPr>
        <w:footnoteRef/>
      </w:r>
      <w:r>
        <w:t xml:space="preserve"> </w:t>
      </w:r>
      <w:r>
        <w:rPr>
          <w:lang w:val="af-ZA"/>
        </w:rPr>
        <w:t>Klopper bl 69.</w:t>
      </w:r>
    </w:p>
  </w:footnote>
  <w:footnote w:id="972">
    <w:p w:rsidR="005E7922" w:rsidRPr="00BA5018" w:rsidRDefault="005E7922" w:rsidP="009B487F">
      <w:pPr>
        <w:pStyle w:val="Funotentext"/>
        <w:spacing w:line="240" w:lineRule="auto"/>
        <w:contextualSpacing/>
        <w:rPr>
          <w:lang w:val="af-ZA"/>
        </w:rPr>
      </w:pPr>
      <w:r>
        <w:rPr>
          <w:rStyle w:val="Funotenzeichen"/>
        </w:rPr>
        <w:footnoteRef/>
      </w:r>
      <w:r>
        <w:t xml:space="preserve"> </w:t>
      </w:r>
      <w:r>
        <w:rPr>
          <w:lang w:val="af-ZA"/>
        </w:rPr>
        <w:t>Anti-trust and market law etc.</w:t>
      </w:r>
    </w:p>
  </w:footnote>
  <w:footnote w:id="973">
    <w:p w:rsidR="005E7922" w:rsidRPr="00292FDD" w:rsidRDefault="005E7922" w:rsidP="00292FDD">
      <w:pPr>
        <w:pStyle w:val="Funotentext"/>
        <w:spacing w:line="240" w:lineRule="auto"/>
        <w:contextualSpacing/>
      </w:pPr>
      <w:r w:rsidRPr="00292FDD">
        <w:rPr>
          <w:rStyle w:val="Funotenzeichen"/>
        </w:rPr>
        <w:footnoteRef/>
      </w:r>
      <w:r w:rsidRPr="00292FDD">
        <w:t xml:space="preserve"> For the purpose of this paper, all articles not included in one of the other categories are included in the working papers category.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ZA" w:vendorID="64" w:dllVersion="6" w:nlCheck="1" w:checkStyle="1"/>
  <w:activeWritingStyle w:appName="MSWord" w:lang="en-GB" w:vendorID="64" w:dllVersion="4096"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018"/>
    <w:rsid w:val="0000024A"/>
    <w:rsid w:val="00000409"/>
    <w:rsid w:val="0000201E"/>
    <w:rsid w:val="000020C6"/>
    <w:rsid w:val="00002131"/>
    <w:rsid w:val="00002BD2"/>
    <w:rsid w:val="00005B33"/>
    <w:rsid w:val="00006089"/>
    <w:rsid w:val="00006C92"/>
    <w:rsid w:val="0000757E"/>
    <w:rsid w:val="000105AE"/>
    <w:rsid w:val="000108A1"/>
    <w:rsid w:val="00010F43"/>
    <w:rsid w:val="00011073"/>
    <w:rsid w:val="00011F8B"/>
    <w:rsid w:val="00012543"/>
    <w:rsid w:val="00012B8F"/>
    <w:rsid w:val="00012D0C"/>
    <w:rsid w:val="00012FF3"/>
    <w:rsid w:val="000133B0"/>
    <w:rsid w:val="00014D40"/>
    <w:rsid w:val="0001564C"/>
    <w:rsid w:val="00015D77"/>
    <w:rsid w:val="00016088"/>
    <w:rsid w:val="00016B37"/>
    <w:rsid w:val="00020923"/>
    <w:rsid w:val="00022421"/>
    <w:rsid w:val="000227ED"/>
    <w:rsid w:val="00022952"/>
    <w:rsid w:val="00023ABB"/>
    <w:rsid w:val="000241F6"/>
    <w:rsid w:val="0002435D"/>
    <w:rsid w:val="0002587A"/>
    <w:rsid w:val="000258E4"/>
    <w:rsid w:val="00025C9E"/>
    <w:rsid w:val="00026C89"/>
    <w:rsid w:val="000278C4"/>
    <w:rsid w:val="000306E8"/>
    <w:rsid w:val="000319A1"/>
    <w:rsid w:val="00031ADF"/>
    <w:rsid w:val="00031E1B"/>
    <w:rsid w:val="000341CD"/>
    <w:rsid w:val="00034414"/>
    <w:rsid w:val="00034901"/>
    <w:rsid w:val="000350E0"/>
    <w:rsid w:val="000355E0"/>
    <w:rsid w:val="0003645B"/>
    <w:rsid w:val="0003664C"/>
    <w:rsid w:val="000372F1"/>
    <w:rsid w:val="000429DA"/>
    <w:rsid w:val="0004404B"/>
    <w:rsid w:val="00044460"/>
    <w:rsid w:val="000449E9"/>
    <w:rsid w:val="00044B8F"/>
    <w:rsid w:val="00047200"/>
    <w:rsid w:val="0004726A"/>
    <w:rsid w:val="0005083D"/>
    <w:rsid w:val="00051CBC"/>
    <w:rsid w:val="000526CA"/>
    <w:rsid w:val="00052894"/>
    <w:rsid w:val="00052D03"/>
    <w:rsid w:val="00054762"/>
    <w:rsid w:val="0005602A"/>
    <w:rsid w:val="00057910"/>
    <w:rsid w:val="00057C16"/>
    <w:rsid w:val="00060949"/>
    <w:rsid w:val="00061D19"/>
    <w:rsid w:val="00061E7F"/>
    <w:rsid w:val="00062151"/>
    <w:rsid w:val="00062BA0"/>
    <w:rsid w:val="00062F92"/>
    <w:rsid w:val="0006446D"/>
    <w:rsid w:val="00064C33"/>
    <w:rsid w:val="00064CE2"/>
    <w:rsid w:val="000650E4"/>
    <w:rsid w:val="000653CB"/>
    <w:rsid w:val="00065770"/>
    <w:rsid w:val="00066A55"/>
    <w:rsid w:val="0006745C"/>
    <w:rsid w:val="00070BBE"/>
    <w:rsid w:val="0007157D"/>
    <w:rsid w:val="000715C8"/>
    <w:rsid w:val="00071652"/>
    <w:rsid w:val="00072123"/>
    <w:rsid w:val="00072C4D"/>
    <w:rsid w:val="00073A51"/>
    <w:rsid w:val="00073E0D"/>
    <w:rsid w:val="00075DB1"/>
    <w:rsid w:val="00075F5F"/>
    <w:rsid w:val="00076505"/>
    <w:rsid w:val="000765AA"/>
    <w:rsid w:val="000768FC"/>
    <w:rsid w:val="000771C6"/>
    <w:rsid w:val="00077251"/>
    <w:rsid w:val="00077449"/>
    <w:rsid w:val="00080798"/>
    <w:rsid w:val="00080D4C"/>
    <w:rsid w:val="00080E0E"/>
    <w:rsid w:val="00081424"/>
    <w:rsid w:val="00081BFC"/>
    <w:rsid w:val="0008249C"/>
    <w:rsid w:val="0008275D"/>
    <w:rsid w:val="0008294C"/>
    <w:rsid w:val="00082F61"/>
    <w:rsid w:val="000838B0"/>
    <w:rsid w:val="00084C31"/>
    <w:rsid w:val="00085099"/>
    <w:rsid w:val="000853F9"/>
    <w:rsid w:val="00085EC8"/>
    <w:rsid w:val="00086291"/>
    <w:rsid w:val="0008783A"/>
    <w:rsid w:val="000878AE"/>
    <w:rsid w:val="00091034"/>
    <w:rsid w:val="00091CA6"/>
    <w:rsid w:val="0009210E"/>
    <w:rsid w:val="00092528"/>
    <w:rsid w:val="00092AAB"/>
    <w:rsid w:val="00092F50"/>
    <w:rsid w:val="00093251"/>
    <w:rsid w:val="000944D2"/>
    <w:rsid w:val="000946E9"/>
    <w:rsid w:val="00095614"/>
    <w:rsid w:val="00095DD3"/>
    <w:rsid w:val="000969A2"/>
    <w:rsid w:val="00096D03"/>
    <w:rsid w:val="00097515"/>
    <w:rsid w:val="0009771F"/>
    <w:rsid w:val="000977E0"/>
    <w:rsid w:val="00097D9F"/>
    <w:rsid w:val="00097EAF"/>
    <w:rsid w:val="000A2251"/>
    <w:rsid w:val="000A23BC"/>
    <w:rsid w:val="000A33B0"/>
    <w:rsid w:val="000A4FB6"/>
    <w:rsid w:val="000A54E7"/>
    <w:rsid w:val="000A5AE7"/>
    <w:rsid w:val="000A67A9"/>
    <w:rsid w:val="000A69FA"/>
    <w:rsid w:val="000A6CA2"/>
    <w:rsid w:val="000A7AC3"/>
    <w:rsid w:val="000B050A"/>
    <w:rsid w:val="000B0B27"/>
    <w:rsid w:val="000B1AAA"/>
    <w:rsid w:val="000B27A8"/>
    <w:rsid w:val="000B3B47"/>
    <w:rsid w:val="000B4F28"/>
    <w:rsid w:val="000B66A2"/>
    <w:rsid w:val="000B70E9"/>
    <w:rsid w:val="000B7305"/>
    <w:rsid w:val="000B7731"/>
    <w:rsid w:val="000B7772"/>
    <w:rsid w:val="000B7878"/>
    <w:rsid w:val="000C30EE"/>
    <w:rsid w:val="000C3B2F"/>
    <w:rsid w:val="000C434C"/>
    <w:rsid w:val="000C44D3"/>
    <w:rsid w:val="000C49C0"/>
    <w:rsid w:val="000C4DC0"/>
    <w:rsid w:val="000C53D2"/>
    <w:rsid w:val="000C5B87"/>
    <w:rsid w:val="000C6B11"/>
    <w:rsid w:val="000D03E1"/>
    <w:rsid w:val="000D0531"/>
    <w:rsid w:val="000D0F05"/>
    <w:rsid w:val="000D152F"/>
    <w:rsid w:val="000D1924"/>
    <w:rsid w:val="000D1B43"/>
    <w:rsid w:val="000D3B1D"/>
    <w:rsid w:val="000D3FF1"/>
    <w:rsid w:val="000D3FFF"/>
    <w:rsid w:val="000D5CD6"/>
    <w:rsid w:val="000D699F"/>
    <w:rsid w:val="000D75B7"/>
    <w:rsid w:val="000E117F"/>
    <w:rsid w:val="000E1346"/>
    <w:rsid w:val="000E1A8D"/>
    <w:rsid w:val="000E1B05"/>
    <w:rsid w:val="000E1E74"/>
    <w:rsid w:val="000E39CE"/>
    <w:rsid w:val="000E4418"/>
    <w:rsid w:val="000E4DB8"/>
    <w:rsid w:val="000E6BBD"/>
    <w:rsid w:val="000E7FD1"/>
    <w:rsid w:val="000F01DD"/>
    <w:rsid w:val="000F0980"/>
    <w:rsid w:val="000F09A8"/>
    <w:rsid w:val="000F2FD0"/>
    <w:rsid w:val="000F45F6"/>
    <w:rsid w:val="000F4E27"/>
    <w:rsid w:val="000F5609"/>
    <w:rsid w:val="000F5862"/>
    <w:rsid w:val="000F6620"/>
    <w:rsid w:val="000F7347"/>
    <w:rsid w:val="000F7495"/>
    <w:rsid w:val="000F77C5"/>
    <w:rsid w:val="0010150C"/>
    <w:rsid w:val="00101B3B"/>
    <w:rsid w:val="00101B61"/>
    <w:rsid w:val="00101D2C"/>
    <w:rsid w:val="00102437"/>
    <w:rsid w:val="00103363"/>
    <w:rsid w:val="001038A1"/>
    <w:rsid w:val="00106479"/>
    <w:rsid w:val="00106BE5"/>
    <w:rsid w:val="0011050E"/>
    <w:rsid w:val="00112D6E"/>
    <w:rsid w:val="00113D36"/>
    <w:rsid w:val="00114153"/>
    <w:rsid w:val="001141EE"/>
    <w:rsid w:val="00114BD6"/>
    <w:rsid w:val="001153D6"/>
    <w:rsid w:val="001158F2"/>
    <w:rsid w:val="00115F45"/>
    <w:rsid w:val="001170EF"/>
    <w:rsid w:val="00117624"/>
    <w:rsid w:val="001202BE"/>
    <w:rsid w:val="00121BE8"/>
    <w:rsid w:val="00122ABC"/>
    <w:rsid w:val="001237AA"/>
    <w:rsid w:val="00123D82"/>
    <w:rsid w:val="001247FE"/>
    <w:rsid w:val="001252AC"/>
    <w:rsid w:val="00126DBB"/>
    <w:rsid w:val="00130D30"/>
    <w:rsid w:val="0013163F"/>
    <w:rsid w:val="001322FB"/>
    <w:rsid w:val="00133B5D"/>
    <w:rsid w:val="00133D25"/>
    <w:rsid w:val="001343C5"/>
    <w:rsid w:val="00134566"/>
    <w:rsid w:val="00135F28"/>
    <w:rsid w:val="001373D9"/>
    <w:rsid w:val="00140160"/>
    <w:rsid w:val="001403BA"/>
    <w:rsid w:val="00140702"/>
    <w:rsid w:val="00140764"/>
    <w:rsid w:val="00141D81"/>
    <w:rsid w:val="00142969"/>
    <w:rsid w:val="00143F8B"/>
    <w:rsid w:val="001442DD"/>
    <w:rsid w:val="0014540F"/>
    <w:rsid w:val="001461BA"/>
    <w:rsid w:val="00147029"/>
    <w:rsid w:val="001515C2"/>
    <w:rsid w:val="001516B8"/>
    <w:rsid w:val="00151B02"/>
    <w:rsid w:val="001524CF"/>
    <w:rsid w:val="001524FE"/>
    <w:rsid w:val="001537E3"/>
    <w:rsid w:val="00155962"/>
    <w:rsid w:val="00156E3F"/>
    <w:rsid w:val="001609ED"/>
    <w:rsid w:val="00162E35"/>
    <w:rsid w:val="00163A66"/>
    <w:rsid w:val="00163C33"/>
    <w:rsid w:val="001649CF"/>
    <w:rsid w:val="00165A5A"/>
    <w:rsid w:val="0016719C"/>
    <w:rsid w:val="00167871"/>
    <w:rsid w:val="00167A9E"/>
    <w:rsid w:val="00167C60"/>
    <w:rsid w:val="0017068E"/>
    <w:rsid w:val="00170D27"/>
    <w:rsid w:val="0017158C"/>
    <w:rsid w:val="001723B9"/>
    <w:rsid w:val="00172538"/>
    <w:rsid w:val="0017278C"/>
    <w:rsid w:val="00172881"/>
    <w:rsid w:val="00173868"/>
    <w:rsid w:val="00173ACB"/>
    <w:rsid w:val="0017468A"/>
    <w:rsid w:val="00180636"/>
    <w:rsid w:val="001808F5"/>
    <w:rsid w:val="00180BF2"/>
    <w:rsid w:val="0018131E"/>
    <w:rsid w:val="0018259C"/>
    <w:rsid w:val="00184F2F"/>
    <w:rsid w:val="001854EE"/>
    <w:rsid w:val="0018570C"/>
    <w:rsid w:val="0018577B"/>
    <w:rsid w:val="00185BD2"/>
    <w:rsid w:val="00185FDA"/>
    <w:rsid w:val="00186DF6"/>
    <w:rsid w:val="001870AD"/>
    <w:rsid w:val="00187225"/>
    <w:rsid w:val="001900DB"/>
    <w:rsid w:val="001919BF"/>
    <w:rsid w:val="00193A86"/>
    <w:rsid w:val="00194C74"/>
    <w:rsid w:val="00195641"/>
    <w:rsid w:val="00195E55"/>
    <w:rsid w:val="00196516"/>
    <w:rsid w:val="0019799F"/>
    <w:rsid w:val="001A25BC"/>
    <w:rsid w:val="001A5624"/>
    <w:rsid w:val="001A5AE3"/>
    <w:rsid w:val="001A6CBF"/>
    <w:rsid w:val="001A70DC"/>
    <w:rsid w:val="001B11DE"/>
    <w:rsid w:val="001B1EEA"/>
    <w:rsid w:val="001B3AA6"/>
    <w:rsid w:val="001B3D07"/>
    <w:rsid w:val="001B4687"/>
    <w:rsid w:val="001B48FB"/>
    <w:rsid w:val="001B51E9"/>
    <w:rsid w:val="001B6882"/>
    <w:rsid w:val="001B6ADB"/>
    <w:rsid w:val="001B6C95"/>
    <w:rsid w:val="001B7086"/>
    <w:rsid w:val="001B7B52"/>
    <w:rsid w:val="001C0457"/>
    <w:rsid w:val="001C046B"/>
    <w:rsid w:val="001C0B72"/>
    <w:rsid w:val="001C2B53"/>
    <w:rsid w:val="001C3FDE"/>
    <w:rsid w:val="001C5705"/>
    <w:rsid w:val="001C6FFD"/>
    <w:rsid w:val="001C75A5"/>
    <w:rsid w:val="001D041F"/>
    <w:rsid w:val="001D14CF"/>
    <w:rsid w:val="001D1741"/>
    <w:rsid w:val="001D2A3E"/>
    <w:rsid w:val="001D2C78"/>
    <w:rsid w:val="001D3012"/>
    <w:rsid w:val="001D30E9"/>
    <w:rsid w:val="001D31CC"/>
    <w:rsid w:val="001D4EF5"/>
    <w:rsid w:val="001D5988"/>
    <w:rsid w:val="001D70B5"/>
    <w:rsid w:val="001E020A"/>
    <w:rsid w:val="001E0B92"/>
    <w:rsid w:val="001E26A2"/>
    <w:rsid w:val="001E2C49"/>
    <w:rsid w:val="001E2FA8"/>
    <w:rsid w:val="001E3732"/>
    <w:rsid w:val="001E3DBE"/>
    <w:rsid w:val="001E3F65"/>
    <w:rsid w:val="001E4217"/>
    <w:rsid w:val="001E42A0"/>
    <w:rsid w:val="001E47B6"/>
    <w:rsid w:val="001E749C"/>
    <w:rsid w:val="001F09C3"/>
    <w:rsid w:val="001F0B16"/>
    <w:rsid w:val="001F0C3C"/>
    <w:rsid w:val="001F26EB"/>
    <w:rsid w:val="001F2A7F"/>
    <w:rsid w:val="001F30F0"/>
    <w:rsid w:val="001F47F1"/>
    <w:rsid w:val="001F4C7A"/>
    <w:rsid w:val="001F4CE8"/>
    <w:rsid w:val="001F50A7"/>
    <w:rsid w:val="001F5126"/>
    <w:rsid w:val="001F5A0C"/>
    <w:rsid w:val="001F6794"/>
    <w:rsid w:val="001F683F"/>
    <w:rsid w:val="001F6BDC"/>
    <w:rsid w:val="001F6DF9"/>
    <w:rsid w:val="001F78A3"/>
    <w:rsid w:val="001F7FEC"/>
    <w:rsid w:val="002001FA"/>
    <w:rsid w:val="002020B4"/>
    <w:rsid w:val="00202579"/>
    <w:rsid w:val="00204642"/>
    <w:rsid w:val="00204778"/>
    <w:rsid w:val="00205AC9"/>
    <w:rsid w:val="002068AA"/>
    <w:rsid w:val="00206BA6"/>
    <w:rsid w:val="00207249"/>
    <w:rsid w:val="0021003A"/>
    <w:rsid w:val="00210CF7"/>
    <w:rsid w:val="00211922"/>
    <w:rsid w:val="00212505"/>
    <w:rsid w:val="00212F64"/>
    <w:rsid w:val="0021346E"/>
    <w:rsid w:val="0021387D"/>
    <w:rsid w:val="002151C6"/>
    <w:rsid w:val="0021565B"/>
    <w:rsid w:val="00216981"/>
    <w:rsid w:val="00217D82"/>
    <w:rsid w:val="0022122E"/>
    <w:rsid w:val="002213DA"/>
    <w:rsid w:val="00221572"/>
    <w:rsid w:val="0022186B"/>
    <w:rsid w:val="002219FA"/>
    <w:rsid w:val="00222ACC"/>
    <w:rsid w:val="00223AF9"/>
    <w:rsid w:val="00224C43"/>
    <w:rsid w:val="00224C5C"/>
    <w:rsid w:val="00224EDA"/>
    <w:rsid w:val="0022571D"/>
    <w:rsid w:val="00225C73"/>
    <w:rsid w:val="0023203B"/>
    <w:rsid w:val="00232C80"/>
    <w:rsid w:val="002331E0"/>
    <w:rsid w:val="00233532"/>
    <w:rsid w:val="00234055"/>
    <w:rsid w:val="0023418E"/>
    <w:rsid w:val="002342AA"/>
    <w:rsid w:val="0023554B"/>
    <w:rsid w:val="002372FA"/>
    <w:rsid w:val="0024052E"/>
    <w:rsid w:val="00240931"/>
    <w:rsid w:val="0024102A"/>
    <w:rsid w:val="00241115"/>
    <w:rsid w:val="00241522"/>
    <w:rsid w:val="0024235C"/>
    <w:rsid w:val="00242FBB"/>
    <w:rsid w:val="00243418"/>
    <w:rsid w:val="00244112"/>
    <w:rsid w:val="002457D6"/>
    <w:rsid w:val="00246CA3"/>
    <w:rsid w:val="002476F2"/>
    <w:rsid w:val="00251424"/>
    <w:rsid w:val="002524D8"/>
    <w:rsid w:val="00252C76"/>
    <w:rsid w:val="00252D74"/>
    <w:rsid w:val="002536C8"/>
    <w:rsid w:val="00253B71"/>
    <w:rsid w:val="00254AF9"/>
    <w:rsid w:val="00255694"/>
    <w:rsid w:val="00255D76"/>
    <w:rsid w:val="002563E6"/>
    <w:rsid w:val="00256A93"/>
    <w:rsid w:val="00257098"/>
    <w:rsid w:val="00257564"/>
    <w:rsid w:val="002609DB"/>
    <w:rsid w:val="00260A2B"/>
    <w:rsid w:val="00261E2C"/>
    <w:rsid w:val="0026246D"/>
    <w:rsid w:val="00262610"/>
    <w:rsid w:val="00262946"/>
    <w:rsid w:val="002651FC"/>
    <w:rsid w:val="002653F7"/>
    <w:rsid w:val="00265686"/>
    <w:rsid w:val="00266866"/>
    <w:rsid w:val="002669A2"/>
    <w:rsid w:val="00266DBA"/>
    <w:rsid w:val="00267151"/>
    <w:rsid w:val="00267206"/>
    <w:rsid w:val="00267B66"/>
    <w:rsid w:val="00267BC3"/>
    <w:rsid w:val="0027069C"/>
    <w:rsid w:val="00271B7F"/>
    <w:rsid w:val="00272453"/>
    <w:rsid w:val="00272DDC"/>
    <w:rsid w:val="00273657"/>
    <w:rsid w:val="00275C49"/>
    <w:rsid w:val="00276089"/>
    <w:rsid w:val="002762B1"/>
    <w:rsid w:val="0027657C"/>
    <w:rsid w:val="00276B8A"/>
    <w:rsid w:val="00277F80"/>
    <w:rsid w:val="0028113A"/>
    <w:rsid w:val="002812E4"/>
    <w:rsid w:val="002820B6"/>
    <w:rsid w:val="00282298"/>
    <w:rsid w:val="002851C6"/>
    <w:rsid w:val="00285204"/>
    <w:rsid w:val="002858B3"/>
    <w:rsid w:val="0028761F"/>
    <w:rsid w:val="00290541"/>
    <w:rsid w:val="00290747"/>
    <w:rsid w:val="0029117F"/>
    <w:rsid w:val="0029124F"/>
    <w:rsid w:val="002915DE"/>
    <w:rsid w:val="00291BBA"/>
    <w:rsid w:val="00291C94"/>
    <w:rsid w:val="00291D78"/>
    <w:rsid w:val="002920C8"/>
    <w:rsid w:val="00292FDD"/>
    <w:rsid w:val="0029319E"/>
    <w:rsid w:val="0029561F"/>
    <w:rsid w:val="002959E1"/>
    <w:rsid w:val="00296C58"/>
    <w:rsid w:val="002A2B36"/>
    <w:rsid w:val="002A33BA"/>
    <w:rsid w:val="002A43B4"/>
    <w:rsid w:val="002A47C5"/>
    <w:rsid w:val="002A5152"/>
    <w:rsid w:val="002A59F4"/>
    <w:rsid w:val="002A5A1F"/>
    <w:rsid w:val="002A629A"/>
    <w:rsid w:val="002A6400"/>
    <w:rsid w:val="002A6F60"/>
    <w:rsid w:val="002A7465"/>
    <w:rsid w:val="002A7F36"/>
    <w:rsid w:val="002B043F"/>
    <w:rsid w:val="002B15B5"/>
    <w:rsid w:val="002B4BA3"/>
    <w:rsid w:val="002B52C4"/>
    <w:rsid w:val="002B6402"/>
    <w:rsid w:val="002B70DE"/>
    <w:rsid w:val="002B7D5A"/>
    <w:rsid w:val="002C05B4"/>
    <w:rsid w:val="002C1180"/>
    <w:rsid w:val="002C1543"/>
    <w:rsid w:val="002C2701"/>
    <w:rsid w:val="002C2709"/>
    <w:rsid w:val="002C5B50"/>
    <w:rsid w:val="002C6343"/>
    <w:rsid w:val="002C6E6D"/>
    <w:rsid w:val="002C7063"/>
    <w:rsid w:val="002C7476"/>
    <w:rsid w:val="002C77BF"/>
    <w:rsid w:val="002C7D05"/>
    <w:rsid w:val="002D032A"/>
    <w:rsid w:val="002D04A9"/>
    <w:rsid w:val="002D08F1"/>
    <w:rsid w:val="002D0903"/>
    <w:rsid w:val="002D11CE"/>
    <w:rsid w:val="002D1F10"/>
    <w:rsid w:val="002D5080"/>
    <w:rsid w:val="002D5163"/>
    <w:rsid w:val="002D5254"/>
    <w:rsid w:val="002D5433"/>
    <w:rsid w:val="002D6142"/>
    <w:rsid w:val="002D630D"/>
    <w:rsid w:val="002D671B"/>
    <w:rsid w:val="002D79FD"/>
    <w:rsid w:val="002D7F99"/>
    <w:rsid w:val="002E251F"/>
    <w:rsid w:val="002E2C53"/>
    <w:rsid w:val="002E30FD"/>
    <w:rsid w:val="002E37B7"/>
    <w:rsid w:val="002E41FB"/>
    <w:rsid w:val="002E4676"/>
    <w:rsid w:val="002E5650"/>
    <w:rsid w:val="002E5679"/>
    <w:rsid w:val="002E6208"/>
    <w:rsid w:val="002F0621"/>
    <w:rsid w:val="002F0960"/>
    <w:rsid w:val="002F116F"/>
    <w:rsid w:val="002F1217"/>
    <w:rsid w:val="002F1D20"/>
    <w:rsid w:val="002F1F74"/>
    <w:rsid w:val="002F2999"/>
    <w:rsid w:val="002F2C51"/>
    <w:rsid w:val="002F4B8D"/>
    <w:rsid w:val="002F5709"/>
    <w:rsid w:val="002F5763"/>
    <w:rsid w:val="002F5FC4"/>
    <w:rsid w:val="002F7B24"/>
    <w:rsid w:val="002F7C11"/>
    <w:rsid w:val="003003B7"/>
    <w:rsid w:val="00300B21"/>
    <w:rsid w:val="00300BF4"/>
    <w:rsid w:val="003022F4"/>
    <w:rsid w:val="0030258B"/>
    <w:rsid w:val="003033B9"/>
    <w:rsid w:val="003053D5"/>
    <w:rsid w:val="00306409"/>
    <w:rsid w:val="003065D1"/>
    <w:rsid w:val="003069CF"/>
    <w:rsid w:val="00306A6F"/>
    <w:rsid w:val="00307067"/>
    <w:rsid w:val="00307548"/>
    <w:rsid w:val="003076C3"/>
    <w:rsid w:val="0030797E"/>
    <w:rsid w:val="00310102"/>
    <w:rsid w:val="00310169"/>
    <w:rsid w:val="00310213"/>
    <w:rsid w:val="00310295"/>
    <w:rsid w:val="003109D7"/>
    <w:rsid w:val="00311168"/>
    <w:rsid w:val="003127B2"/>
    <w:rsid w:val="00313597"/>
    <w:rsid w:val="0031366B"/>
    <w:rsid w:val="00314F0A"/>
    <w:rsid w:val="003150B8"/>
    <w:rsid w:val="003151A7"/>
    <w:rsid w:val="003165AA"/>
    <w:rsid w:val="003170C6"/>
    <w:rsid w:val="00317947"/>
    <w:rsid w:val="00320278"/>
    <w:rsid w:val="00320DC8"/>
    <w:rsid w:val="00321225"/>
    <w:rsid w:val="00321E7D"/>
    <w:rsid w:val="00322F10"/>
    <w:rsid w:val="0032349C"/>
    <w:rsid w:val="003269CE"/>
    <w:rsid w:val="00327E96"/>
    <w:rsid w:val="00330097"/>
    <w:rsid w:val="00330B9D"/>
    <w:rsid w:val="00330CE5"/>
    <w:rsid w:val="003338AA"/>
    <w:rsid w:val="00333A20"/>
    <w:rsid w:val="00333F9F"/>
    <w:rsid w:val="003341ED"/>
    <w:rsid w:val="003354D4"/>
    <w:rsid w:val="00335A7B"/>
    <w:rsid w:val="00336FF3"/>
    <w:rsid w:val="00337FAB"/>
    <w:rsid w:val="00340F5D"/>
    <w:rsid w:val="00341C29"/>
    <w:rsid w:val="003426C1"/>
    <w:rsid w:val="00344B9D"/>
    <w:rsid w:val="00344BF7"/>
    <w:rsid w:val="00345028"/>
    <w:rsid w:val="00347BA6"/>
    <w:rsid w:val="003552C1"/>
    <w:rsid w:val="00355F80"/>
    <w:rsid w:val="003611E9"/>
    <w:rsid w:val="00361923"/>
    <w:rsid w:val="003637B7"/>
    <w:rsid w:val="003637FC"/>
    <w:rsid w:val="00363F72"/>
    <w:rsid w:val="00364D3D"/>
    <w:rsid w:val="0037058E"/>
    <w:rsid w:val="00370795"/>
    <w:rsid w:val="00372A16"/>
    <w:rsid w:val="003742F2"/>
    <w:rsid w:val="00374B15"/>
    <w:rsid w:val="00374B37"/>
    <w:rsid w:val="00375852"/>
    <w:rsid w:val="003770F2"/>
    <w:rsid w:val="00380550"/>
    <w:rsid w:val="00381210"/>
    <w:rsid w:val="0038228D"/>
    <w:rsid w:val="00382586"/>
    <w:rsid w:val="003834F7"/>
    <w:rsid w:val="003835DB"/>
    <w:rsid w:val="003853FA"/>
    <w:rsid w:val="0038572E"/>
    <w:rsid w:val="0038627A"/>
    <w:rsid w:val="00386D8C"/>
    <w:rsid w:val="003870D9"/>
    <w:rsid w:val="003900AE"/>
    <w:rsid w:val="00390DE1"/>
    <w:rsid w:val="00392A13"/>
    <w:rsid w:val="0039408F"/>
    <w:rsid w:val="003958E4"/>
    <w:rsid w:val="00397071"/>
    <w:rsid w:val="003A00E2"/>
    <w:rsid w:val="003A05BD"/>
    <w:rsid w:val="003A1581"/>
    <w:rsid w:val="003A2BEF"/>
    <w:rsid w:val="003A2F60"/>
    <w:rsid w:val="003A3635"/>
    <w:rsid w:val="003A36BC"/>
    <w:rsid w:val="003A3975"/>
    <w:rsid w:val="003A514D"/>
    <w:rsid w:val="003A674C"/>
    <w:rsid w:val="003A7811"/>
    <w:rsid w:val="003A78B2"/>
    <w:rsid w:val="003B0000"/>
    <w:rsid w:val="003B29C4"/>
    <w:rsid w:val="003B2C7D"/>
    <w:rsid w:val="003B2D48"/>
    <w:rsid w:val="003B2D6E"/>
    <w:rsid w:val="003B2ECF"/>
    <w:rsid w:val="003B3098"/>
    <w:rsid w:val="003B40CF"/>
    <w:rsid w:val="003B45CA"/>
    <w:rsid w:val="003B51D8"/>
    <w:rsid w:val="003B642C"/>
    <w:rsid w:val="003B6512"/>
    <w:rsid w:val="003B78A7"/>
    <w:rsid w:val="003B7DA4"/>
    <w:rsid w:val="003C0556"/>
    <w:rsid w:val="003C1D84"/>
    <w:rsid w:val="003C3A31"/>
    <w:rsid w:val="003C4921"/>
    <w:rsid w:val="003C56D5"/>
    <w:rsid w:val="003C67E2"/>
    <w:rsid w:val="003C6A62"/>
    <w:rsid w:val="003C75CB"/>
    <w:rsid w:val="003C7754"/>
    <w:rsid w:val="003C77E8"/>
    <w:rsid w:val="003C7C42"/>
    <w:rsid w:val="003D1DB8"/>
    <w:rsid w:val="003D226B"/>
    <w:rsid w:val="003D30F9"/>
    <w:rsid w:val="003D322E"/>
    <w:rsid w:val="003D4C86"/>
    <w:rsid w:val="003D53A0"/>
    <w:rsid w:val="003D55AC"/>
    <w:rsid w:val="003D56E0"/>
    <w:rsid w:val="003D5BDB"/>
    <w:rsid w:val="003D65B0"/>
    <w:rsid w:val="003D71A0"/>
    <w:rsid w:val="003D7757"/>
    <w:rsid w:val="003E048E"/>
    <w:rsid w:val="003E1559"/>
    <w:rsid w:val="003E1A11"/>
    <w:rsid w:val="003E1E93"/>
    <w:rsid w:val="003E2180"/>
    <w:rsid w:val="003E27F0"/>
    <w:rsid w:val="003E2EAD"/>
    <w:rsid w:val="003E31BB"/>
    <w:rsid w:val="003E3836"/>
    <w:rsid w:val="003E3877"/>
    <w:rsid w:val="003E3E69"/>
    <w:rsid w:val="003E3FEA"/>
    <w:rsid w:val="003E4520"/>
    <w:rsid w:val="003E45AB"/>
    <w:rsid w:val="003E4F14"/>
    <w:rsid w:val="003E6AE5"/>
    <w:rsid w:val="003E6CD1"/>
    <w:rsid w:val="003F0DE0"/>
    <w:rsid w:val="003F21FD"/>
    <w:rsid w:val="003F239E"/>
    <w:rsid w:val="003F2428"/>
    <w:rsid w:val="003F28EA"/>
    <w:rsid w:val="003F3A4D"/>
    <w:rsid w:val="003F48C5"/>
    <w:rsid w:val="003F4DA6"/>
    <w:rsid w:val="003F55C1"/>
    <w:rsid w:val="00400356"/>
    <w:rsid w:val="004004B6"/>
    <w:rsid w:val="00400519"/>
    <w:rsid w:val="0040155D"/>
    <w:rsid w:val="00402E52"/>
    <w:rsid w:val="0040338E"/>
    <w:rsid w:val="00403DBF"/>
    <w:rsid w:val="00405711"/>
    <w:rsid w:val="00406254"/>
    <w:rsid w:val="00407661"/>
    <w:rsid w:val="00407F94"/>
    <w:rsid w:val="00410331"/>
    <w:rsid w:val="00410CB6"/>
    <w:rsid w:val="00411142"/>
    <w:rsid w:val="00411932"/>
    <w:rsid w:val="004119F8"/>
    <w:rsid w:val="00411BE6"/>
    <w:rsid w:val="00412B9A"/>
    <w:rsid w:val="0041449E"/>
    <w:rsid w:val="00414B21"/>
    <w:rsid w:val="00415AEB"/>
    <w:rsid w:val="00415C0B"/>
    <w:rsid w:val="00415C56"/>
    <w:rsid w:val="00417106"/>
    <w:rsid w:val="004171A1"/>
    <w:rsid w:val="00420278"/>
    <w:rsid w:val="00420E3B"/>
    <w:rsid w:val="00420F94"/>
    <w:rsid w:val="0042107C"/>
    <w:rsid w:val="00421C9A"/>
    <w:rsid w:val="00422A07"/>
    <w:rsid w:val="004233C6"/>
    <w:rsid w:val="00423E88"/>
    <w:rsid w:val="00424034"/>
    <w:rsid w:val="004253B7"/>
    <w:rsid w:val="004261F6"/>
    <w:rsid w:val="00427472"/>
    <w:rsid w:val="004275A2"/>
    <w:rsid w:val="0042783B"/>
    <w:rsid w:val="00427986"/>
    <w:rsid w:val="00432305"/>
    <w:rsid w:val="0043238C"/>
    <w:rsid w:val="004326EA"/>
    <w:rsid w:val="0043295E"/>
    <w:rsid w:val="00433767"/>
    <w:rsid w:val="004344AF"/>
    <w:rsid w:val="00434B6D"/>
    <w:rsid w:val="00435F1E"/>
    <w:rsid w:val="0043617C"/>
    <w:rsid w:val="004362FB"/>
    <w:rsid w:val="00437352"/>
    <w:rsid w:val="00441054"/>
    <w:rsid w:val="00441598"/>
    <w:rsid w:val="00441FF5"/>
    <w:rsid w:val="00442585"/>
    <w:rsid w:val="004431BB"/>
    <w:rsid w:val="00443586"/>
    <w:rsid w:val="00443DB3"/>
    <w:rsid w:val="00444D35"/>
    <w:rsid w:val="00445A10"/>
    <w:rsid w:val="004465BF"/>
    <w:rsid w:val="00446A10"/>
    <w:rsid w:val="00447ED5"/>
    <w:rsid w:val="004501F8"/>
    <w:rsid w:val="00450CCC"/>
    <w:rsid w:val="00450D07"/>
    <w:rsid w:val="004518EB"/>
    <w:rsid w:val="0045196F"/>
    <w:rsid w:val="0045229E"/>
    <w:rsid w:val="004527B0"/>
    <w:rsid w:val="0045298A"/>
    <w:rsid w:val="00454BAA"/>
    <w:rsid w:val="0045544A"/>
    <w:rsid w:val="00455C5A"/>
    <w:rsid w:val="0045632B"/>
    <w:rsid w:val="00457410"/>
    <w:rsid w:val="00457918"/>
    <w:rsid w:val="00457B34"/>
    <w:rsid w:val="00460AE4"/>
    <w:rsid w:val="00462C11"/>
    <w:rsid w:val="0046373F"/>
    <w:rsid w:val="00464920"/>
    <w:rsid w:val="00465033"/>
    <w:rsid w:val="00465302"/>
    <w:rsid w:val="004664F9"/>
    <w:rsid w:val="00467C83"/>
    <w:rsid w:val="00472866"/>
    <w:rsid w:val="00472B42"/>
    <w:rsid w:val="004732B1"/>
    <w:rsid w:val="0047332F"/>
    <w:rsid w:val="004734F8"/>
    <w:rsid w:val="0047378C"/>
    <w:rsid w:val="00474B14"/>
    <w:rsid w:val="00474DFC"/>
    <w:rsid w:val="00475340"/>
    <w:rsid w:val="004774ED"/>
    <w:rsid w:val="00477530"/>
    <w:rsid w:val="0048182C"/>
    <w:rsid w:val="004821FE"/>
    <w:rsid w:val="00482AC9"/>
    <w:rsid w:val="00483869"/>
    <w:rsid w:val="00483B98"/>
    <w:rsid w:val="00483E00"/>
    <w:rsid w:val="004849C4"/>
    <w:rsid w:val="00485BC7"/>
    <w:rsid w:val="00486567"/>
    <w:rsid w:val="0048684F"/>
    <w:rsid w:val="00491C75"/>
    <w:rsid w:val="004920DD"/>
    <w:rsid w:val="0049451C"/>
    <w:rsid w:val="004945DF"/>
    <w:rsid w:val="0049564E"/>
    <w:rsid w:val="00495AC6"/>
    <w:rsid w:val="0049607D"/>
    <w:rsid w:val="004963D0"/>
    <w:rsid w:val="0049655B"/>
    <w:rsid w:val="00496CD5"/>
    <w:rsid w:val="00497D34"/>
    <w:rsid w:val="004A11C3"/>
    <w:rsid w:val="004A1B97"/>
    <w:rsid w:val="004A2247"/>
    <w:rsid w:val="004A26A9"/>
    <w:rsid w:val="004A33A8"/>
    <w:rsid w:val="004A361B"/>
    <w:rsid w:val="004A3DA8"/>
    <w:rsid w:val="004A3E08"/>
    <w:rsid w:val="004A5380"/>
    <w:rsid w:val="004A576F"/>
    <w:rsid w:val="004A60A3"/>
    <w:rsid w:val="004A6650"/>
    <w:rsid w:val="004A6E32"/>
    <w:rsid w:val="004A7612"/>
    <w:rsid w:val="004A76E8"/>
    <w:rsid w:val="004B0A58"/>
    <w:rsid w:val="004B0C86"/>
    <w:rsid w:val="004B3A59"/>
    <w:rsid w:val="004B48C3"/>
    <w:rsid w:val="004B4E01"/>
    <w:rsid w:val="004B4EFA"/>
    <w:rsid w:val="004B7F5D"/>
    <w:rsid w:val="004C0295"/>
    <w:rsid w:val="004C07B6"/>
    <w:rsid w:val="004C0EA3"/>
    <w:rsid w:val="004C13C3"/>
    <w:rsid w:val="004C3159"/>
    <w:rsid w:val="004C5288"/>
    <w:rsid w:val="004C5CBF"/>
    <w:rsid w:val="004C684D"/>
    <w:rsid w:val="004C71F1"/>
    <w:rsid w:val="004C794E"/>
    <w:rsid w:val="004D019C"/>
    <w:rsid w:val="004D1202"/>
    <w:rsid w:val="004D1390"/>
    <w:rsid w:val="004D1A6C"/>
    <w:rsid w:val="004D2258"/>
    <w:rsid w:val="004D25C4"/>
    <w:rsid w:val="004D32F9"/>
    <w:rsid w:val="004D3F5B"/>
    <w:rsid w:val="004D5259"/>
    <w:rsid w:val="004D5577"/>
    <w:rsid w:val="004D5F76"/>
    <w:rsid w:val="004D6912"/>
    <w:rsid w:val="004D6BD6"/>
    <w:rsid w:val="004D6CD1"/>
    <w:rsid w:val="004D71CE"/>
    <w:rsid w:val="004D792B"/>
    <w:rsid w:val="004D7D0C"/>
    <w:rsid w:val="004E07A2"/>
    <w:rsid w:val="004E111C"/>
    <w:rsid w:val="004E21E9"/>
    <w:rsid w:val="004E22B2"/>
    <w:rsid w:val="004E2A8C"/>
    <w:rsid w:val="004E3292"/>
    <w:rsid w:val="004E33D3"/>
    <w:rsid w:val="004E4DE6"/>
    <w:rsid w:val="004E5F0D"/>
    <w:rsid w:val="004E6F8F"/>
    <w:rsid w:val="004F0556"/>
    <w:rsid w:val="004F245B"/>
    <w:rsid w:val="004F2B49"/>
    <w:rsid w:val="004F2F58"/>
    <w:rsid w:val="004F3800"/>
    <w:rsid w:val="004F7E47"/>
    <w:rsid w:val="005014CC"/>
    <w:rsid w:val="00501607"/>
    <w:rsid w:val="00501AA4"/>
    <w:rsid w:val="00501BC3"/>
    <w:rsid w:val="00502B8E"/>
    <w:rsid w:val="00502C82"/>
    <w:rsid w:val="005046DE"/>
    <w:rsid w:val="00505F2D"/>
    <w:rsid w:val="00506210"/>
    <w:rsid w:val="00506928"/>
    <w:rsid w:val="0050712B"/>
    <w:rsid w:val="005107B5"/>
    <w:rsid w:val="00511B2D"/>
    <w:rsid w:val="00511D97"/>
    <w:rsid w:val="00511DE7"/>
    <w:rsid w:val="00512452"/>
    <w:rsid w:val="005136B4"/>
    <w:rsid w:val="00514374"/>
    <w:rsid w:val="00515138"/>
    <w:rsid w:val="0051542F"/>
    <w:rsid w:val="00516639"/>
    <w:rsid w:val="00517FDB"/>
    <w:rsid w:val="00521711"/>
    <w:rsid w:val="005218C0"/>
    <w:rsid w:val="00521F5F"/>
    <w:rsid w:val="005220D3"/>
    <w:rsid w:val="00522444"/>
    <w:rsid w:val="005225D2"/>
    <w:rsid w:val="00522D14"/>
    <w:rsid w:val="005240B5"/>
    <w:rsid w:val="00524703"/>
    <w:rsid w:val="00524835"/>
    <w:rsid w:val="00525D86"/>
    <w:rsid w:val="00527174"/>
    <w:rsid w:val="005279F0"/>
    <w:rsid w:val="005301B4"/>
    <w:rsid w:val="0053046A"/>
    <w:rsid w:val="00530DBF"/>
    <w:rsid w:val="00531423"/>
    <w:rsid w:val="00531B73"/>
    <w:rsid w:val="00532DC2"/>
    <w:rsid w:val="00533CED"/>
    <w:rsid w:val="005350CB"/>
    <w:rsid w:val="005355DC"/>
    <w:rsid w:val="005358E1"/>
    <w:rsid w:val="00536180"/>
    <w:rsid w:val="00536A9A"/>
    <w:rsid w:val="00536B64"/>
    <w:rsid w:val="00536C86"/>
    <w:rsid w:val="005370AF"/>
    <w:rsid w:val="005375F1"/>
    <w:rsid w:val="0054048C"/>
    <w:rsid w:val="0054050F"/>
    <w:rsid w:val="00540D8F"/>
    <w:rsid w:val="00544B80"/>
    <w:rsid w:val="005451F9"/>
    <w:rsid w:val="0055303D"/>
    <w:rsid w:val="00554553"/>
    <w:rsid w:val="00554A9F"/>
    <w:rsid w:val="00556288"/>
    <w:rsid w:val="005566CE"/>
    <w:rsid w:val="00557C54"/>
    <w:rsid w:val="005617E9"/>
    <w:rsid w:val="00561DA6"/>
    <w:rsid w:val="00562DAD"/>
    <w:rsid w:val="00563BC6"/>
    <w:rsid w:val="00564189"/>
    <w:rsid w:val="005643A3"/>
    <w:rsid w:val="00564F7F"/>
    <w:rsid w:val="00565D73"/>
    <w:rsid w:val="00565E6C"/>
    <w:rsid w:val="00566908"/>
    <w:rsid w:val="0056761C"/>
    <w:rsid w:val="00567D9C"/>
    <w:rsid w:val="005703CB"/>
    <w:rsid w:val="00570EF8"/>
    <w:rsid w:val="00570F15"/>
    <w:rsid w:val="00571561"/>
    <w:rsid w:val="005719B5"/>
    <w:rsid w:val="00572098"/>
    <w:rsid w:val="00572767"/>
    <w:rsid w:val="00572930"/>
    <w:rsid w:val="00572F88"/>
    <w:rsid w:val="00573C82"/>
    <w:rsid w:val="00574AF6"/>
    <w:rsid w:val="00574CD2"/>
    <w:rsid w:val="00575EF2"/>
    <w:rsid w:val="00576D83"/>
    <w:rsid w:val="005770A4"/>
    <w:rsid w:val="00577D90"/>
    <w:rsid w:val="005800F3"/>
    <w:rsid w:val="005828BF"/>
    <w:rsid w:val="00582BF6"/>
    <w:rsid w:val="00582E90"/>
    <w:rsid w:val="0058397E"/>
    <w:rsid w:val="00583D48"/>
    <w:rsid w:val="005849B7"/>
    <w:rsid w:val="0058521A"/>
    <w:rsid w:val="00586B3F"/>
    <w:rsid w:val="00591298"/>
    <w:rsid w:val="005912D4"/>
    <w:rsid w:val="00591415"/>
    <w:rsid w:val="00591494"/>
    <w:rsid w:val="005915C7"/>
    <w:rsid w:val="0059356E"/>
    <w:rsid w:val="00593E7B"/>
    <w:rsid w:val="005949F6"/>
    <w:rsid w:val="00595905"/>
    <w:rsid w:val="00597B69"/>
    <w:rsid w:val="00597CDD"/>
    <w:rsid w:val="005A0AFE"/>
    <w:rsid w:val="005A1B04"/>
    <w:rsid w:val="005A2595"/>
    <w:rsid w:val="005A263D"/>
    <w:rsid w:val="005A2C60"/>
    <w:rsid w:val="005A2DA8"/>
    <w:rsid w:val="005A3B67"/>
    <w:rsid w:val="005A41D1"/>
    <w:rsid w:val="005A4626"/>
    <w:rsid w:val="005A54C3"/>
    <w:rsid w:val="005A5711"/>
    <w:rsid w:val="005A5C3E"/>
    <w:rsid w:val="005A7097"/>
    <w:rsid w:val="005B0324"/>
    <w:rsid w:val="005B0855"/>
    <w:rsid w:val="005B1F67"/>
    <w:rsid w:val="005B27F0"/>
    <w:rsid w:val="005B4191"/>
    <w:rsid w:val="005B4306"/>
    <w:rsid w:val="005B53E4"/>
    <w:rsid w:val="005B5E0B"/>
    <w:rsid w:val="005B6625"/>
    <w:rsid w:val="005B78D0"/>
    <w:rsid w:val="005B7F2D"/>
    <w:rsid w:val="005C0846"/>
    <w:rsid w:val="005C14EB"/>
    <w:rsid w:val="005C4A54"/>
    <w:rsid w:val="005C546A"/>
    <w:rsid w:val="005C592C"/>
    <w:rsid w:val="005C656A"/>
    <w:rsid w:val="005D1F6B"/>
    <w:rsid w:val="005D2A5C"/>
    <w:rsid w:val="005D44A8"/>
    <w:rsid w:val="005D470A"/>
    <w:rsid w:val="005D4732"/>
    <w:rsid w:val="005D4787"/>
    <w:rsid w:val="005D4E98"/>
    <w:rsid w:val="005D4F42"/>
    <w:rsid w:val="005D5004"/>
    <w:rsid w:val="005D54D1"/>
    <w:rsid w:val="005D6229"/>
    <w:rsid w:val="005D790A"/>
    <w:rsid w:val="005E0980"/>
    <w:rsid w:val="005E2920"/>
    <w:rsid w:val="005E2F4C"/>
    <w:rsid w:val="005E4D8B"/>
    <w:rsid w:val="005E5C68"/>
    <w:rsid w:val="005E6AC6"/>
    <w:rsid w:val="005E7922"/>
    <w:rsid w:val="005E7EEE"/>
    <w:rsid w:val="005F0156"/>
    <w:rsid w:val="005F01B3"/>
    <w:rsid w:val="005F043F"/>
    <w:rsid w:val="005F0785"/>
    <w:rsid w:val="005F191C"/>
    <w:rsid w:val="005F1929"/>
    <w:rsid w:val="005F5A3C"/>
    <w:rsid w:val="005F605B"/>
    <w:rsid w:val="005F6A16"/>
    <w:rsid w:val="005F76A2"/>
    <w:rsid w:val="005F7A71"/>
    <w:rsid w:val="006005EF"/>
    <w:rsid w:val="00601904"/>
    <w:rsid w:val="006037A8"/>
    <w:rsid w:val="00603DEF"/>
    <w:rsid w:val="006051EC"/>
    <w:rsid w:val="00605D7D"/>
    <w:rsid w:val="00605DCD"/>
    <w:rsid w:val="00605F90"/>
    <w:rsid w:val="00606934"/>
    <w:rsid w:val="00606C04"/>
    <w:rsid w:val="00606CA8"/>
    <w:rsid w:val="0060708A"/>
    <w:rsid w:val="00607548"/>
    <w:rsid w:val="00610625"/>
    <w:rsid w:val="006109BF"/>
    <w:rsid w:val="00610ACF"/>
    <w:rsid w:val="00612131"/>
    <w:rsid w:val="0061392F"/>
    <w:rsid w:val="00614076"/>
    <w:rsid w:val="00614E79"/>
    <w:rsid w:val="00614F80"/>
    <w:rsid w:val="006154F6"/>
    <w:rsid w:val="00615506"/>
    <w:rsid w:val="006159DF"/>
    <w:rsid w:val="00615AAC"/>
    <w:rsid w:val="00616ADF"/>
    <w:rsid w:val="006205DC"/>
    <w:rsid w:val="0062162E"/>
    <w:rsid w:val="0062170E"/>
    <w:rsid w:val="00621854"/>
    <w:rsid w:val="00621C8E"/>
    <w:rsid w:val="006222A8"/>
    <w:rsid w:val="0062261F"/>
    <w:rsid w:val="00622629"/>
    <w:rsid w:val="00622BA9"/>
    <w:rsid w:val="00623764"/>
    <w:rsid w:val="00623B30"/>
    <w:rsid w:val="00623BFE"/>
    <w:rsid w:val="006246E9"/>
    <w:rsid w:val="00624BD0"/>
    <w:rsid w:val="00624FDB"/>
    <w:rsid w:val="00625C83"/>
    <w:rsid w:val="00625CF5"/>
    <w:rsid w:val="00626559"/>
    <w:rsid w:val="00627437"/>
    <w:rsid w:val="00630731"/>
    <w:rsid w:val="00631F10"/>
    <w:rsid w:val="006328C8"/>
    <w:rsid w:val="00632D8F"/>
    <w:rsid w:val="00633558"/>
    <w:rsid w:val="00633711"/>
    <w:rsid w:val="00633FF3"/>
    <w:rsid w:val="006341E3"/>
    <w:rsid w:val="00634DCC"/>
    <w:rsid w:val="00635CEA"/>
    <w:rsid w:val="00636E8A"/>
    <w:rsid w:val="00637193"/>
    <w:rsid w:val="00640370"/>
    <w:rsid w:val="0064058C"/>
    <w:rsid w:val="00640FED"/>
    <w:rsid w:val="0064106E"/>
    <w:rsid w:val="00641C09"/>
    <w:rsid w:val="0064284C"/>
    <w:rsid w:val="00642996"/>
    <w:rsid w:val="00643B36"/>
    <w:rsid w:val="00644509"/>
    <w:rsid w:val="00644C6E"/>
    <w:rsid w:val="0064504F"/>
    <w:rsid w:val="006465CC"/>
    <w:rsid w:val="00646870"/>
    <w:rsid w:val="006469CB"/>
    <w:rsid w:val="006508B4"/>
    <w:rsid w:val="00653FC4"/>
    <w:rsid w:val="0065458A"/>
    <w:rsid w:val="00654A76"/>
    <w:rsid w:val="00656447"/>
    <w:rsid w:val="00656668"/>
    <w:rsid w:val="00657072"/>
    <w:rsid w:val="006578A8"/>
    <w:rsid w:val="00657EAB"/>
    <w:rsid w:val="00657F28"/>
    <w:rsid w:val="006626C0"/>
    <w:rsid w:val="0066356A"/>
    <w:rsid w:val="00663C04"/>
    <w:rsid w:val="00663FE8"/>
    <w:rsid w:val="00665625"/>
    <w:rsid w:val="0066575B"/>
    <w:rsid w:val="006658BA"/>
    <w:rsid w:val="0066590E"/>
    <w:rsid w:val="00667851"/>
    <w:rsid w:val="00670495"/>
    <w:rsid w:val="00670CD1"/>
    <w:rsid w:val="00670CE3"/>
    <w:rsid w:val="00670F9A"/>
    <w:rsid w:val="00671302"/>
    <w:rsid w:val="00671BD0"/>
    <w:rsid w:val="0067239A"/>
    <w:rsid w:val="006734BA"/>
    <w:rsid w:val="00673919"/>
    <w:rsid w:val="00673A4B"/>
    <w:rsid w:val="00674D91"/>
    <w:rsid w:val="00674F3F"/>
    <w:rsid w:val="00675223"/>
    <w:rsid w:val="00676300"/>
    <w:rsid w:val="006804CC"/>
    <w:rsid w:val="006806BC"/>
    <w:rsid w:val="00681078"/>
    <w:rsid w:val="00681246"/>
    <w:rsid w:val="00682662"/>
    <w:rsid w:val="00682922"/>
    <w:rsid w:val="00682B4B"/>
    <w:rsid w:val="00683055"/>
    <w:rsid w:val="006830F1"/>
    <w:rsid w:val="00683AF2"/>
    <w:rsid w:val="006872F0"/>
    <w:rsid w:val="00687448"/>
    <w:rsid w:val="00687A7C"/>
    <w:rsid w:val="00690B79"/>
    <w:rsid w:val="0069165E"/>
    <w:rsid w:val="00691688"/>
    <w:rsid w:val="006921C9"/>
    <w:rsid w:val="006927FB"/>
    <w:rsid w:val="0069487E"/>
    <w:rsid w:val="006953F2"/>
    <w:rsid w:val="00696C96"/>
    <w:rsid w:val="00696ECA"/>
    <w:rsid w:val="00697746"/>
    <w:rsid w:val="006A05E6"/>
    <w:rsid w:val="006A0BAA"/>
    <w:rsid w:val="006A1CAC"/>
    <w:rsid w:val="006A2019"/>
    <w:rsid w:val="006A29E0"/>
    <w:rsid w:val="006A2FCC"/>
    <w:rsid w:val="006A34D0"/>
    <w:rsid w:val="006A3CD8"/>
    <w:rsid w:val="006A4C72"/>
    <w:rsid w:val="006A56B3"/>
    <w:rsid w:val="006A5C5B"/>
    <w:rsid w:val="006A65EF"/>
    <w:rsid w:val="006A6C02"/>
    <w:rsid w:val="006A74A4"/>
    <w:rsid w:val="006A7F4F"/>
    <w:rsid w:val="006B2208"/>
    <w:rsid w:val="006B2AB1"/>
    <w:rsid w:val="006B34E5"/>
    <w:rsid w:val="006B41A4"/>
    <w:rsid w:val="006B41DF"/>
    <w:rsid w:val="006B48BC"/>
    <w:rsid w:val="006B577C"/>
    <w:rsid w:val="006B5CA2"/>
    <w:rsid w:val="006B6074"/>
    <w:rsid w:val="006B6C2F"/>
    <w:rsid w:val="006B7B4A"/>
    <w:rsid w:val="006B7C12"/>
    <w:rsid w:val="006C08AD"/>
    <w:rsid w:val="006C08DB"/>
    <w:rsid w:val="006C1BE2"/>
    <w:rsid w:val="006C1BEE"/>
    <w:rsid w:val="006C1FB4"/>
    <w:rsid w:val="006C240F"/>
    <w:rsid w:val="006C38E3"/>
    <w:rsid w:val="006C47BA"/>
    <w:rsid w:val="006C4C23"/>
    <w:rsid w:val="006C56FB"/>
    <w:rsid w:val="006C7AC5"/>
    <w:rsid w:val="006D0480"/>
    <w:rsid w:val="006D2E50"/>
    <w:rsid w:val="006D3142"/>
    <w:rsid w:val="006D3160"/>
    <w:rsid w:val="006D3505"/>
    <w:rsid w:val="006D3A21"/>
    <w:rsid w:val="006D3A76"/>
    <w:rsid w:val="006D3FE8"/>
    <w:rsid w:val="006D4503"/>
    <w:rsid w:val="006D46D5"/>
    <w:rsid w:val="006D5C03"/>
    <w:rsid w:val="006D5E9D"/>
    <w:rsid w:val="006E26DE"/>
    <w:rsid w:val="006E4E7D"/>
    <w:rsid w:val="006E54BC"/>
    <w:rsid w:val="006E65B9"/>
    <w:rsid w:val="006E6D31"/>
    <w:rsid w:val="006E706C"/>
    <w:rsid w:val="006E774F"/>
    <w:rsid w:val="006E7E91"/>
    <w:rsid w:val="006F02D2"/>
    <w:rsid w:val="006F0CC6"/>
    <w:rsid w:val="006F0F51"/>
    <w:rsid w:val="006F1F01"/>
    <w:rsid w:val="006F203E"/>
    <w:rsid w:val="006F21A1"/>
    <w:rsid w:val="006F311B"/>
    <w:rsid w:val="006F34F8"/>
    <w:rsid w:val="006F3763"/>
    <w:rsid w:val="006F3A2F"/>
    <w:rsid w:val="006F3EAC"/>
    <w:rsid w:val="006F3F3C"/>
    <w:rsid w:val="006F44B1"/>
    <w:rsid w:val="006F5042"/>
    <w:rsid w:val="006F5800"/>
    <w:rsid w:val="006F5DCC"/>
    <w:rsid w:val="006F742D"/>
    <w:rsid w:val="0070002E"/>
    <w:rsid w:val="00700EE8"/>
    <w:rsid w:val="00701A2A"/>
    <w:rsid w:val="00701CEC"/>
    <w:rsid w:val="00701F76"/>
    <w:rsid w:val="00702607"/>
    <w:rsid w:val="00703253"/>
    <w:rsid w:val="00703636"/>
    <w:rsid w:val="00703C63"/>
    <w:rsid w:val="00704923"/>
    <w:rsid w:val="00704F36"/>
    <w:rsid w:val="007056C0"/>
    <w:rsid w:val="007058AC"/>
    <w:rsid w:val="00705D85"/>
    <w:rsid w:val="00706DBC"/>
    <w:rsid w:val="00707227"/>
    <w:rsid w:val="0070730B"/>
    <w:rsid w:val="00710D98"/>
    <w:rsid w:val="00710DAB"/>
    <w:rsid w:val="00710E7D"/>
    <w:rsid w:val="007115C3"/>
    <w:rsid w:val="00711B68"/>
    <w:rsid w:val="00712643"/>
    <w:rsid w:val="00714253"/>
    <w:rsid w:val="0071485D"/>
    <w:rsid w:val="0071501D"/>
    <w:rsid w:val="0071665E"/>
    <w:rsid w:val="0071747E"/>
    <w:rsid w:val="00721377"/>
    <w:rsid w:val="007220A9"/>
    <w:rsid w:val="00722295"/>
    <w:rsid w:val="00722CEA"/>
    <w:rsid w:val="00723C13"/>
    <w:rsid w:val="0072486A"/>
    <w:rsid w:val="00725E0A"/>
    <w:rsid w:val="00726391"/>
    <w:rsid w:val="00726451"/>
    <w:rsid w:val="007264D6"/>
    <w:rsid w:val="0072737A"/>
    <w:rsid w:val="00727490"/>
    <w:rsid w:val="00727765"/>
    <w:rsid w:val="007310D0"/>
    <w:rsid w:val="007313BD"/>
    <w:rsid w:val="00731467"/>
    <w:rsid w:val="00731FDE"/>
    <w:rsid w:val="0073230B"/>
    <w:rsid w:val="00732740"/>
    <w:rsid w:val="00732A99"/>
    <w:rsid w:val="00734F4E"/>
    <w:rsid w:val="00735624"/>
    <w:rsid w:val="0073651B"/>
    <w:rsid w:val="007375E8"/>
    <w:rsid w:val="00737F01"/>
    <w:rsid w:val="00740894"/>
    <w:rsid w:val="00741FBD"/>
    <w:rsid w:val="0074373B"/>
    <w:rsid w:val="0074608D"/>
    <w:rsid w:val="0075018B"/>
    <w:rsid w:val="0075116F"/>
    <w:rsid w:val="007518D8"/>
    <w:rsid w:val="00752C46"/>
    <w:rsid w:val="00753190"/>
    <w:rsid w:val="007533B0"/>
    <w:rsid w:val="00753690"/>
    <w:rsid w:val="00753EFA"/>
    <w:rsid w:val="00754583"/>
    <w:rsid w:val="00754BCC"/>
    <w:rsid w:val="007567B0"/>
    <w:rsid w:val="00756924"/>
    <w:rsid w:val="00756C72"/>
    <w:rsid w:val="00757166"/>
    <w:rsid w:val="00757E6A"/>
    <w:rsid w:val="0076142F"/>
    <w:rsid w:val="00761692"/>
    <w:rsid w:val="007617B6"/>
    <w:rsid w:val="007618C7"/>
    <w:rsid w:val="00762195"/>
    <w:rsid w:val="0076392C"/>
    <w:rsid w:val="0076466C"/>
    <w:rsid w:val="00765C33"/>
    <w:rsid w:val="00766C6D"/>
    <w:rsid w:val="00767F02"/>
    <w:rsid w:val="00767F3E"/>
    <w:rsid w:val="007701C5"/>
    <w:rsid w:val="00770244"/>
    <w:rsid w:val="007705FC"/>
    <w:rsid w:val="00770626"/>
    <w:rsid w:val="00771795"/>
    <w:rsid w:val="00771868"/>
    <w:rsid w:val="00771EDB"/>
    <w:rsid w:val="00772A18"/>
    <w:rsid w:val="00773DEB"/>
    <w:rsid w:val="007743F6"/>
    <w:rsid w:val="007747FA"/>
    <w:rsid w:val="0077644E"/>
    <w:rsid w:val="0077668D"/>
    <w:rsid w:val="007767D1"/>
    <w:rsid w:val="007769CF"/>
    <w:rsid w:val="007805F9"/>
    <w:rsid w:val="00780E16"/>
    <w:rsid w:val="0078157F"/>
    <w:rsid w:val="0078197F"/>
    <w:rsid w:val="00782466"/>
    <w:rsid w:val="00782CDF"/>
    <w:rsid w:val="007840B3"/>
    <w:rsid w:val="007848E3"/>
    <w:rsid w:val="00784B3E"/>
    <w:rsid w:val="00785D41"/>
    <w:rsid w:val="00787521"/>
    <w:rsid w:val="00787611"/>
    <w:rsid w:val="00790076"/>
    <w:rsid w:val="00796479"/>
    <w:rsid w:val="00796AA0"/>
    <w:rsid w:val="007975D7"/>
    <w:rsid w:val="00797798"/>
    <w:rsid w:val="007A1C57"/>
    <w:rsid w:val="007A27A0"/>
    <w:rsid w:val="007A32A5"/>
    <w:rsid w:val="007A33A8"/>
    <w:rsid w:val="007A42A7"/>
    <w:rsid w:val="007A461B"/>
    <w:rsid w:val="007A60B8"/>
    <w:rsid w:val="007A7492"/>
    <w:rsid w:val="007A76BE"/>
    <w:rsid w:val="007A772B"/>
    <w:rsid w:val="007A7800"/>
    <w:rsid w:val="007B11A5"/>
    <w:rsid w:val="007B11A6"/>
    <w:rsid w:val="007B129B"/>
    <w:rsid w:val="007B138B"/>
    <w:rsid w:val="007B1E97"/>
    <w:rsid w:val="007B1F87"/>
    <w:rsid w:val="007B20DC"/>
    <w:rsid w:val="007B2415"/>
    <w:rsid w:val="007B24A8"/>
    <w:rsid w:val="007B29E8"/>
    <w:rsid w:val="007B2A3D"/>
    <w:rsid w:val="007B2BAA"/>
    <w:rsid w:val="007B4B2A"/>
    <w:rsid w:val="007C022B"/>
    <w:rsid w:val="007C1592"/>
    <w:rsid w:val="007C24D2"/>
    <w:rsid w:val="007C3700"/>
    <w:rsid w:val="007C4187"/>
    <w:rsid w:val="007C6257"/>
    <w:rsid w:val="007C725D"/>
    <w:rsid w:val="007C7947"/>
    <w:rsid w:val="007D0AFF"/>
    <w:rsid w:val="007D0B1A"/>
    <w:rsid w:val="007D1600"/>
    <w:rsid w:val="007D2339"/>
    <w:rsid w:val="007D287A"/>
    <w:rsid w:val="007D4B88"/>
    <w:rsid w:val="007D4FA8"/>
    <w:rsid w:val="007D5DAE"/>
    <w:rsid w:val="007D6A28"/>
    <w:rsid w:val="007E053F"/>
    <w:rsid w:val="007E1FBA"/>
    <w:rsid w:val="007E4ED4"/>
    <w:rsid w:val="007E598D"/>
    <w:rsid w:val="007E616E"/>
    <w:rsid w:val="007F066F"/>
    <w:rsid w:val="007F12FA"/>
    <w:rsid w:val="007F22DD"/>
    <w:rsid w:val="007F2545"/>
    <w:rsid w:val="007F27B1"/>
    <w:rsid w:val="007F3588"/>
    <w:rsid w:val="007F3B93"/>
    <w:rsid w:val="007F4A84"/>
    <w:rsid w:val="007F5112"/>
    <w:rsid w:val="007F56D1"/>
    <w:rsid w:val="007F64AC"/>
    <w:rsid w:val="007F7795"/>
    <w:rsid w:val="007F791F"/>
    <w:rsid w:val="007F7EC6"/>
    <w:rsid w:val="0080082A"/>
    <w:rsid w:val="008030DB"/>
    <w:rsid w:val="00804824"/>
    <w:rsid w:val="008063C1"/>
    <w:rsid w:val="00807393"/>
    <w:rsid w:val="0081089F"/>
    <w:rsid w:val="008109F9"/>
    <w:rsid w:val="0081127C"/>
    <w:rsid w:val="008115D3"/>
    <w:rsid w:val="00811AEB"/>
    <w:rsid w:val="00813657"/>
    <w:rsid w:val="00813FAB"/>
    <w:rsid w:val="008141EF"/>
    <w:rsid w:val="0081626C"/>
    <w:rsid w:val="00820763"/>
    <w:rsid w:val="0082096B"/>
    <w:rsid w:val="008209D1"/>
    <w:rsid w:val="008218C7"/>
    <w:rsid w:val="00822574"/>
    <w:rsid w:val="00822994"/>
    <w:rsid w:val="00822CC8"/>
    <w:rsid w:val="00822D5C"/>
    <w:rsid w:val="008232F4"/>
    <w:rsid w:val="00823EE2"/>
    <w:rsid w:val="0082416F"/>
    <w:rsid w:val="00826849"/>
    <w:rsid w:val="008272F3"/>
    <w:rsid w:val="00830476"/>
    <w:rsid w:val="00830783"/>
    <w:rsid w:val="008329F1"/>
    <w:rsid w:val="00833F10"/>
    <w:rsid w:val="00835D2A"/>
    <w:rsid w:val="00836F71"/>
    <w:rsid w:val="00840F4B"/>
    <w:rsid w:val="00841653"/>
    <w:rsid w:val="00841E97"/>
    <w:rsid w:val="008429ED"/>
    <w:rsid w:val="00843507"/>
    <w:rsid w:val="00843D8E"/>
    <w:rsid w:val="0084467A"/>
    <w:rsid w:val="00844A44"/>
    <w:rsid w:val="00844BE5"/>
    <w:rsid w:val="008450B7"/>
    <w:rsid w:val="00850079"/>
    <w:rsid w:val="0085014F"/>
    <w:rsid w:val="008509B5"/>
    <w:rsid w:val="0085145E"/>
    <w:rsid w:val="00854C14"/>
    <w:rsid w:val="00855760"/>
    <w:rsid w:val="00856EEE"/>
    <w:rsid w:val="008570B6"/>
    <w:rsid w:val="00857348"/>
    <w:rsid w:val="00857706"/>
    <w:rsid w:val="00860380"/>
    <w:rsid w:val="00860CE4"/>
    <w:rsid w:val="0086250C"/>
    <w:rsid w:val="0086284A"/>
    <w:rsid w:val="008633C5"/>
    <w:rsid w:val="00863A38"/>
    <w:rsid w:val="00865431"/>
    <w:rsid w:val="00865583"/>
    <w:rsid w:val="00865764"/>
    <w:rsid w:val="00865859"/>
    <w:rsid w:val="0086795C"/>
    <w:rsid w:val="00870F7E"/>
    <w:rsid w:val="00871250"/>
    <w:rsid w:val="00871A2D"/>
    <w:rsid w:val="00872A60"/>
    <w:rsid w:val="0087338A"/>
    <w:rsid w:val="0087432E"/>
    <w:rsid w:val="0087573B"/>
    <w:rsid w:val="008758CB"/>
    <w:rsid w:val="00875DB1"/>
    <w:rsid w:val="00876123"/>
    <w:rsid w:val="00880A82"/>
    <w:rsid w:val="00880F39"/>
    <w:rsid w:val="00881076"/>
    <w:rsid w:val="0088107F"/>
    <w:rsid w:val="008811C0"/>
    <w:rsid w:val="0088259C"/>
    <w:rsid w:val="00884C77"/>
    <w:rsid w:val="00885143"/>
    <w:rsid w:val="00885659"/>
    <w:rsid w:val="008911BA"/>
    <w:rsid w:val="00892721"/>
    <w:rsid w:val="00892C3A"/>
    <w:rsid w:val="008968D7"/>
    <w:rsid w:val="0089697B"/>
    <w:rsid w:val="00897410"/>
    <w:rsid w:val="008A2019"/>
    <w:rsid w:val="008A2ADE"/>
    <w:rsid w:val="008A3EFE"/>
    <w:rsid w:val="008A6F73"/>
    <w:rsid w:val="008A73D8"/>
    <w:rsid w:val="008B014B"/>
    <w:rsid w:val="008B02F6"/>
    <w:rsid w:val="008B0B6C"/>
    <w:rsid w:val="008B11A8"/>
    <w:rsid w:val="008B19B3"/>
    <w:rsid w:val="008B2693"/>
    <w:rsid w:val="008B3BE6"/>
    <w:rsid w:val="008B3E15"/>
    <w:rsid w:val="008B40F8"/>
    <w:rsid w:val="008B411A"/>
    <w:rsid w:val="008B585A"/>
    <w:rsid w:val="008B59A4"/>
    <w:rsid w:val="008B5CBB"/>
    <w:rsid w:val="008B6E00"/>
    <w:rsid w:val="008B734B"/>
    <w:rsid w:val="008B7DF8"/>
    <w:rsid w:val="008C0982"/>
    <w:rsid w:val="008C27C6"/>
    <w:rsid w:val="008C28B7"/>
    <w:rsid w:val="008C2F44"/>
    <w:rsid w:val="008C3A08"/>
    <w:rsid w:val="008C3E22"/>
    <w:rsid w:val="008C3EDB"/>
    <w:rsid w:val="008C4221"/>
    <w:rsid w:val="008C4F4E"/>
    <w:rsid w:val="008C4F8A"/>
    <w:rsid w:val="008C5B49"/>
    <w:rsid w:val="008C66AD"/>
    <w:rsid w:val="008C67D6"/>
    <w:rsid w:val="008C7044"/>
    <w:rsid w:val="008C73B1"/>
    <w:rsid w:val="008D2B23"/>
    <w:rsid w:val="008D37EC"/>
    <w:rsid w:val="008D3B94"/>
    <w:rsid w:val="008D3FE3"/>
    <w:rsid w:val="008D4BBF"/>
    <w:rsid w:val="008D4FEA"/>
    <w:rsid w:val="008D59F7"/>
    <w:rsid w:val="008D5B0E"/>
    <w:rsid w:val="008D7037"/>
    <w:rsid w:val="008D7234"/>
    <w:rsid w:val="008D7786"/>
    <w:rsid w:val="008E2B77"/>
    <w:rsid w:val="008E4003"/>
    <w:rsid w:val="008E44F2"/>
    <w:rsid w:val="008E5C8E"/>
    <w:rsid w:val="008E6098"/>
    <w:rsid w:val="008E76AD"/>
    <w:rsid w:val="008F0882"/>
    <w:rsid w:val="008F134E"/>
    <w:rsid w:val="008F1533"/>
    <w:rsid w:val="008F22E0"/>
    <w:rsid w:val="008F315E"/>
    <w:rsid w:val="008F338B"/>
    <w:rsid w:val="008F5479"/>
    <w:rsid w:val="008F5D73"/>
    <w:rsid w:val="008F5E40"/>
    <w:rsid w:val="008F648A"/>
    <w:rsid w:val="0090144D"/>
    <w:rsid w:val="00902675"/>
    <w:rsid w:val="00902ABC"/>
    <w:rsid w:val="009030E7"/>
    <w:rsid w:val="0090320D"/>
    <w:rsid w:val="009032C8"/>
    <w:rsid w:val="00903DC0"/>
    <w:rsid w:val="00905BC6"/>
    <w:rsid w:val="00913060"/>
    <w:rsid w:val="009130E3"/>
    <w:rsid w:val="009135D8"/>
    <w:rsid w:val="009139B0"/>
    <w:rsid w:val="00914085"/>
    <w:rsid w:val="0091419C"/>
    <w:rsid w:val="009145CC"/>
    <w:rsid w:val="00914D6E"/>
    <w:rsid w:val="00914F56"/>
    <w:rsid w:val="0091529F"/>
    <w:rsid w:val="00916B4A"/>
    <w:rsid w:val="00920A93"/>
    <w:rsid w:val="009210C3"/>
    <w:rsid w:val="00922164"/>
    <w:rsid w:val="00922B28"/>
    <w:rsid w:val="00922F19"/>
    <w:rsid w:val="00923032"/>
    <w:rsid w:val="0092389A"/>
    <w:rsid w:val="00923951"/>
    <w:rsid w:val="009239CA"/>
    <w:rsid w:val="00924BCC"/>
    <w:rsid w:val="00926D62"/>
    <w:rsid w:val="00927C98"/>
    <w:rsid w:val="00930BA8"/>
    <w:rsid w:val="00932038"/>
    <w:rsid w:val="009323AC"/>
    <w:rsid w:val="00932F5C"/>
    <w:rsid w:val="009331C7"/>
    <w:rsid w:val="009337BD"/>
    <w:rsid w:val="00934421"/>
    <w:rsid w:val="0093521B"/>
    <w:rsid w:val="0093631A"/>
    <w:rsid w:val="009366DA"/>
    <w:rsid w:val="00937686"/>
    <w:rsid w:val="00937E8A"/>
    <w:rsid w:val="00940189"/>
    <w:rsid w:val="00940A23"/>
    <w:rsid w:val="00942331"/>
    <w:rsid w:val="00942403"/>
    <w:rsid w:val="00942D62"/>
    <w:rsid w:val="0094307C"/>
    <w:rsid w:val="0094384C"/>
    <w:rsid w:val="00943BD1"/>
    <w:rsid w:val="0094480C"/>
    <w:rsid w:val="00945BC1"/>
    <w:rsid w:val="009465E4"/>
    <w:rsid w:val="00950B02"/>
    <w:rsid w:val="00951E6E"/>
    <w:rsid w:val="009528F4"/>
    <w:rsid w:val="00952C36"/>
    <w:rsid w:val="00953883"/>
    <w:rsid w:val="00953F25"/>
    <w:rsid w:val="00953FD0"/>
    <w:rsid w:val="00955457"/>
    <w:rsid w:val="0095667C"/>
    <w:rsid w:val="00956DB4"/>
    <w:rsid w:val="00956E38"/>
    <w:rsid w:val="00957826"/>
    <w:rsid w:val="00957E6E"/>
    <w:rsid w:val="00960771"/>
    <w:rsid w:val="00960B70"/>
    <w:rsid w:val="00962CF4"/>
    <w:rsid w:val="00963140"/>
    <w:rsid w:val="00964B51"/>
    <w:rsid w:val="00965270"/>
    <w:rsid w:val="0096589A"/>
    <w:rsid w:val="00965E9A"/>
    <w:rsid w:val="009663BB"/>
    <w:rsid w:val="00966665"/>
    <w:rsid w:val="009669ED"/>
    <w:rsid w:val="00966DD5"/>
    <w:rsid w:val="00967B12"/>
    <w:rsid w:val="00971E76"/>
    <w:rsid w:val="00972573"/>
    <w:rsid w:val="00972FEE"/>
    <w:rsid w:val="00973155"/>
    <w:rsid w:val="0097356C"/>
    <w:rsid w:val="0097391C"/>
    <w:rsid w:val="00974C8A"/>
    <w:rsid w:val="009750C8"/>
    <w:rsid w:val="00975CAC"/>
    <w:rsid w:val="0097615F"/>
    <w:rsid w:val="009763C2"/>
    <w:rsid w:val="0097664A"/>
    <w:rsid w:val="009775F5"/>
    <w:rsid w:val="00977626"/>
    <w:rsid w:val="00977D67"/>
    <w:rsid w:val="00980663"/>
    <w:rsid w:val="00980B38"/>
    <w:rsid w:val="009818A3"/>
    <w:rsid w:val="00981915"/>
    <w:rsid w:val="00981977"/>
    <w:rsid w:val="00982ADD"/>
    <w:rsid w:val="00984CD8"/>
    <w:rsid w:val="0098600E"/>
    <w:rsid w:val="009868DB"/>
    <w:rsid w:val="009872F5"/>
    <w:rsid w:val="0098762E"/>
    <w:rsid w:val="009906D6"/>
    <w:rsid w:val="00992A45"/>
    <w:rsid w:val="0099380A"/>
    <w:rsid w:val="00994376"/>
    <w:rsid w:val="00994906"/>
    <w:rsid w:val="00995CDC"/>
    <w:rsid w:val="0099627A"/>
    <w:rsid w:val="00996894"/>
    <w:rsid w:val="00996D6C"/>
    <w:rsid w:val="009974D8"/>
    <w:rsid w:val="009A18C2"/>
    <w:rsid w:val="009A280A"/>
    <w:rsid w:val="009A34D7"/>
    <w:rsid w:val="009A36E9"/>
    <w:rsid w:val="009A4FA7"/>
    <w:rsid w:val="009A5705"/>
    <w:rsid w:val="009A5A02"/>
    <w:rsid w:val="009A5CF9"/>
    <w:rsid w:val="009A5F2C"/>
    <w:rsid w:val="009A791A"/>
    <w:rsid w:val="009B0B89"/>
    <w:rsid w:val="009B0BA1"/>
    <w:rsid w:val="009B1BCC"/>
    <w:rsid w:val="009B2684"/>
    <w:rsid w:val="009B2767"/>
    <w:rsid w:val="009B2D35"/>
    <w:rsid w:val="009B32FC"/>
    <w:rsid w:val="009B3624"/>
    <w:rsid w:val="009B37FE"/>
    <w:rsid w:val="009B3868"/>
    <w:rsid w:val="009B487F"/>
    <w:rsid w:val="009B53D4"/>
    <w:rsid w:val="009B5677"/>
    <w:rsid w:val="009B5AE8"/>
    <w:rsid w:val="009B6467"/>
    <w:rsid w:val="009B6981"/>
    <w:rsid w:val="009B6A3A"/>
    <w:rsid w:val="009B70C8"/>
    <w:rsid w:val="009B7D42"/>
    <w:rsid w:val="009B7F9B"/>
    <w:rsid w:val="009C0565"/>
    <w:rsid w:val="009C06A1"/>
    <w:rsid w:val="009C0886"/>
    <w:rsid w:val="009C0913"/>
    <w:rsid w:val="009C36C4"/>
    <w:rsid w:val="009C427D"/>
    <w:rsid w:val="009C5A76"/>
    <w:rsid w:val="009C6388"/>
    <w:rsid w:val="009C64F2"/>
    <w:rsid w:val="009C6EB6"/>
    <w:rsid w:val="009D02EE"/>
    <w:rsid w:val="009D0A64"/>
    <w:rsid w:val="009D19C4"/>
    <w:rsid w:val="009D20EB"/>
    <w:rsid w:val="009D2312"/>
    <w:rsid w:val="009D2B60"/>
    <w:rsid w:val="009D384E"/>
    <w:rsid w:val="009D42DE"/>
    <w:rsid w:val="009D5DC4"/>
    <w:rsid w:val="009D6985"/>
    <w:rsid w:val="009D781C"/>
    <w:rsid w:val="009D787F"/>
    <w:rsid w:val="009E0B85"/>
    <w:rsid w:val="009E0CE1"/>
    <w:rsid w:val="009E0E3D"/>
    <w:rsid w:val="009E17CC"/>
    <w:rsid w:val="009E1DDD"/>
    <w:rsid w:val="009E1E2D"/>
    <w:rsid w:val="009E2557"/>
    <w:rsid w:val="009E2F94"/>
    <w:rsid w:val="009E3211"/>
    <w:rsid w:val="009E32A1"/>
    <w:rsid w:val="009E4BD2"/>
    <w:rsid w:val="009E598A"/>
    <w:rsid w:val="009E5DEF"/>
    <w:rsid w:val="009E71FC"/>
    <w:rsid w:val="009E738E"/>
    <w:rsid w:val="009E7476"/>
    <w:rsid w:val="009E7B63"/>
    <w:rsid w:val="009F002F"/>
    <w:rsid w:val="009F1DEC"/>
    <w:rsid w:val="009F2AA3"/>
    <w:rsid w:val="009F2B3B"/>
    <w:rsid w:val="009F2C16"/>
    <w:rsid w:val="009F38CE"/>
    <w:rsid w:val="009F45DC"/>
    <w:rsid w:val="009F488E"/>
    <w:rsid w:val="009F4BC1"/>
    <w:rsid w:val="009F5297"/>
    <w:rsid w:val="009F5543"/>
    <w:rsid w:val="009F55F9"/>
    <w:rsid w:val="009F5884"/>
    <w:rsid w:val="009F5EE5"/>
    <w:rsid w:val="009F64DA"/>
    <w:rsid w:val="009F7349"/>
    <w:rsid w:val="009F7B23"/>
    <w:rsid w:val="009F7B71"/>
    <w:rsid w:val="00A003AA"/>
    <w:rsid w:val="00A004C6"/>
    <w:rsid w:val="00A02874"/>
    <w:rsid w:val="00A02DF0"/>
    <w:rsid w:val="00A02FC3"/>
    <w:rsid w:val="00A0336E"/>
    <w:rsid w:val="00A0362B"/>
    <w:rsid w:val="00A03812"/>
    <w:rsid w:val="00A03E11"/>
    <w:rsid w:val="00A054CC"/>
    <w:rsid w:val="00A0737B"/>
    <w:rsid w:val="00A07966"/>
    <w:rsid w:val="00A07AB1"/>
    <w:rsid w:val="00A07D53"/>
    <w:rsid w:val="00A13083"/>
    <w:rsid w:val="00A13868"/>
    <w:rsid w:val="00A13E01"/>
    <w:rsid w:val="00A1411E"/>
    <w:rsid w:val="00A154D0"/>
    <w:rsid w:val="00A15702"/>
    <w:rsid w:val="00A16668"/>
    <w:rsid w:val="00A17FDF"/>
    <w:rsid w:val="00A211D8"/>
    <w:rsid w:val="00A219F5"/>
    <w:rsid w:val="00A21F5C"/>
    <w:rsid w:val="00A22A4B"/>
    <w:rsid w:val="00A22FC4"/>
    <w:rsid w:val="00A23154"/>
    <w:rsid w:val="00A23484"/>
    <w:rsid w:val="00A25E9A"/>
    <w:rsid w:val="00A2632F"/>
    <w:rsid w:val="00A263CC"/>
    <w:rsid w:val="00A26954"/>
    <w:rsid w:val="00A26F2F"/>
    <w:rsid w:val="00A27104"/>
    <w:rsid w:val="00A275FF"/>
    <w:rsid w:val="00A3008F"/>
    <w:rsid w:val="00A31048"/>
    <w:rsid w:val="00A3119A"/>
    <w:rsid w:val="00A312FC"/>
    <w:rsid w:val="00A3152E"/>
    <w:rsid w:val="00A32132"/>
    <w:rsid w:val="00A32F78"/>
    <w:rsid w:val="00A33001"/>
    <w:rsid w:val="00A3322D"/>
    <w:rsid w:val="00A34915"/>
    <w:rsid w:val="00A35696"/>
    <w:rsid w:val="00A369A5"/>
    <w:rsid w:val="00A37BD9"/>
    <w:rsid w:val="00A40AC5"/>
    <w:rsid w:val="00A41953"/>
    <w:rsid w:val="00A41F2C"/>
    <w:rsid w:val="00A432DB"/>
    <w:rsid w:val="00A43ADA"/>
    <w:rsid w:val="00A46FDF"/>
    <w:rsid w:val="00A4771F"/>
    <w:rsid w:val="00A479D5"/>
    <w:rsid w:val="00A50232"/>
    <w:rsid w:val="00A50B01"/>
    <w:rsid w:val="00A51485"/>
    <w:rsid w:val="00A53265"/>
    <w:rsid w:val="00A53799"/>
    <w:rsid w:val="00A53A20"/>
    <w:rsid w:val="00A54321"/>
    <w:rsid w:val="00A5502B"/>
    <w:rsid w:val="00A55DBD"/>
    <w:rsid w:val="00A5608B"/>
    <w:rsid w:val="00A57330"/>
    <w:rsid w:val="00A601E6"/>
    <w:rsid w:val="00A605BF"/>
    <w:rsid w:val="00A60911"/>
    <w:rsid w:val="00A63725"/>
    <w:rsid w:val="00A66411"/>
    <w:rsid w:val="00A66CE4"/>
    <w:rsid w:val="00A70B61"/>
    <w:rsid w:val="00A716F8"/>
    <w:rsid w:val="00A72308"/>
    <w:rsid w:val="00A72FE0"/>
    <w:rsid w:val="00A73371"/>
    <w:rsid w:val="00A741F2"/>
    <w:rsid w:val="00A74FDA"/>
    <w:rsid w:val="00A75C94"/>
    <w:rsid w:val="00A763F5"/>
    <w:rsid w:val="00A764E4"/>
    <w:rsid w:val="00A81399"/>
    <w:rsid w:val="00A8176D"/>
    <w:rsid w:val="00A83E87"/>
    <w:rsid w:val="00A83FB4"/>
    <w:rsid w:val="00A84064"/>
    <w:rsid w:val="00A842E7"/>
    <w:rsid w:val="00A84CCE"/>
    <w:rsid w:val="00A84DC5"/>
    <w:rsid w:val="00A85399"/>
    <w:rsid w:val="00A866AF"/>
    <w:rsid w:val="00A867ED"/>
    <w:rsid w:val="00A8769B"/>
    <w:rsid w:val="00A87A6A"/>
    <w:rsid w:val="00A87DEF"/>
    <w:rsid w:val="00A90D83"/>
    <w:rsid w:val="00A91E42"/>
    <w:rsid w:val="00A92097"/>
    <w:rsid w:val="00A924FF"/>
    <w:rsid w:val="00A92758"/>
    <w:rsid w:val="00A93BDD"/>
    <w:rsid w:val="00A946D2"/>
    <w:rsid w:val="00A94AEF"/>
    <w:rsid w:val="00A94C49"/>
    <w:rsid w:val="00A95AE6"/>
    <w:rsid w:val="00A963DB"/>
    <w:rsid w:val="00A96A44"/>
    <w:rsid w:val="00A97189"/>
    <w:rsid w:val="00A9732D"/>
    <w:rsid w:val="00A97404"/>
    <w:rsid w:val="00A97F46"/>
    <w:rsid w:val="00AA17D0"/>
    <w:rsid w:val="00AA2285"/>
    <w:rsid w:val="00AA2402"/>
    <w:rsid w:val="00AA2DE8"/>
    <w:rsid w:val="00AA4422"/>
    <w:rsid w:val="00AA4A04"/>
    <w:rsid w:val="00AA4DF2"/>
    <w:rsid w:val="00AA56D4"/>
    <w:rsid w:val="00AA617D"/>
    <w:rsid w:val="00AA77A4"/>
    <w:rsid w:val="00AA7FF3"/>
    <w:rsid w:val="00AB2957"/>
    <w:rsid w:val="00AB3928"/>
    <w:rsid w:val="00AB393C"/>
    <w:rsid w:val="00AB401F"/>
    <w:rsid w:val="00AB58DD"/>
    <w:rsid w:val="00AB6CC2"/>
    <w:rsid w:val="00AB759A"/>
    <w:rsid w:val="00AC0D96"/>
    <w:rsid w:val="00AC15DE"/>
    <w:rsid w:val="00AC224A"/>
    <w:rsid w:val="00AC2B70"/>
    <w:rsid w:val="00AC3644"/>
    <w:rsid w:val="00AC4153"/>
    <w:rsid w:val="00AC421B"/>
    <w:rsid w:val="00AC6D4F"/>
    <w:rsid w:val="00AC6E1E"/>
    <w:rsid w:val="00AC77DB"/>
    <w:rsid w:val="00AC7947"/>
    <w:rsid w:val="00AC79F0"/>
    <w:rsid w:val="00AC79F6"/>
    <w:rsid w:val="00AD081C"/>
    <w:rsid w:val="00AD112C"/>
    <w:rsid w:val="00AD1611"/>
    <w:rsid w:val="00AD1A40"/>
    <w:rsid w:val="00AD2FF3"/>
    <w:rsid w:val="00AD3075"/>
    <w:rsid w:val="00AD321D"/>
    <w:rsid w:val="00AD41F1"/>
    <w:rsid w:val="00AD43B6"/>
    <w:rsid w:val="00AD4698"/>
    <w:rsid w:val="00AD4A33"/>
    <w:rsid w:val="00AD5164"/>
    <w:rsid w:val="00AD5276"/>
    <w:rsid w:val="00AD5ECB"/>
    <w:rsid w:val="00AD656C"/>
    <w:rsid w:val="00AE0E40"/>
    <w:rsid w:val="00AE1165"/>
    <w:rsid w:val="00AE30B1"/>
    <w:rsid w:val="00AE4E09"/>
    <w:rsid w:val="00AE5DF2"/>
    <w:rsid w:val="00AE5E82"/>
    <w:rsid w:val="00AE6B7C"/>
    <w:rsid w:val="00AF00A3"/>
    <w:rsid w:val="00AF1C49"/>
    <w:rsid w:val="00AF1CEB"/>
    <w:rsid w:val="00AF206C"/>
    <w:rsid w:val="00AF2164"/>
    <w:rsid w:val="00AF5CFC"/>
    <w:rsid w:val="00AF5F63"/>
    <w:rsid w:val="00AF6009"/>
    <w:rsid w:val="00AF61A1"/>
    <w:rsid w:val="00AF7468"/>
    <w:rsid w:val="00B005D7"/>
    <w:rsid w:val="00B00D30"/>
    <w:rsid w:val="00B029BE"/>
    <w:rsid w:val="00B02F87"/>
    <w:rsid w:val="00B03A7F"/>
    <w:rsid w:val="00B04B3F"/>
    <w:rsid w:val="00B050C1"/>
    <w:rsid w:val="00B05352"/>
    <w:rsid w:val="00B07A89"/>
    <w:rsid w:val="00B11018"/>
    <w:rsid w:val="00B1148C"/>
    <w:rsid w:val="00B11E71"/>
    <w:rsid w:val="00B12494"/>
    <w:rsid w:val="00B129DB"/>
    <w:rsid w:val="00B132C6"/>
    <w:rsid w:val="00B13398"/>
    <w:rsid w:val="00B13CBB"/>
    <w:rsid w:val="00B1452E"/>
    <w:rsid w:val="00B14682"/>
    <w:rsid w:val="00B1493C"/>
    <w:rsid w:val="00B16382"/>
    <w:rsid w:val="00B16A87"/>
    <w:rsid w:val="00B178BF"/>
    <w:rsid w:val="00B200D0"/>
    <w:rsid w:val="00B21521"/>
    <w:rsid w:val="00B21529"/>
    <w:rsid w:val="00B25473"/>
    <w:rsid w:val="00B26A20"/>
    <w:rsid w:val="00B26AE0"/>
    <w:rsid w:val="00B27BE0"/>
    <w:rsid w:val="00B30608"/>
    <w:rsid w:val="00B30694"/>
    <w:rsid w:val="00B31B20"/>
    <w:rsid w:val="00B31D27"/>
    <w:rsid w:val="00B321BE"/>
    <w:rsid w:val="00B32454"/>
    <w:rsid w:val="00B32A38"/>
    <w:rsid w:val="00B33006"/>
    <w:rsid w:val="00B332E2"/>
    <w:rsid w:val="00B336CD"/>
    <w:rsid w:val="00B33D45"/>
    <w:rsid w:val="00B34067"/>
    <w:rsid w:val="00B34C09"/>
    <w:rsid w:val="00B357DA"/>
    <w:rsid w:val="00B35A38"/>
    <w:rsid w:val="00B40116"/>
    <w:rsid w:val="00B40C1B"/>
    <w:rsid w:val="00B42079"/>
    <w:rsid w:val="00B4218A"/>
    <w:rsid w:val="00B422EA"/>
    <w:rsid w:val="00B43609"/>
    <w:rsid w:val="00B438AE"/>
    <w:rsid w:val="00B43E4E"/>
    <w:rsid w:val="00B44E0D"/>
    <w:rsid w:val="00B456C8"/>
    <w:rsid w:val="00B45C3A"/>
    <w:rsid w:val="00B461DF"/>
    <w:rsid w:val="00B47188"/>
    <w:rsid w:val="00B474F1"/>
    <w:rsid w:val="00B47E72"/>
    <w:rsid w:val="00B51DA0"/>
    <w:rsid w:val="00B524B9"/>
    <w:rsid w:val="00B52699"/>
    <w:rsid w:val="00B52D1C"/>
    <w:rsid w:val="00B53B85"/>
    <w:rsid w:val="00B53BB0"/>
    <w:rsid w:val="00B554EB"/>
    <w:rsid w:val="00B55ABE"/>
    <w:rsid w:val="00B55E12"/>
    <w:rsid w:val="00B567C0"/>
    <w:rsid w:val="00B56861"/>
    <w:rsid w:val="00B5709D"/>
    <w:rsid w:val="00B602EA"/>
    <w:rsid w:val="00B608F2"/>
    <w:rsid w:val="00B60A9B"/>
    <w:rsid w:val="00B6187F"/>
    <w:rsid w:val="00B62DFA"/>
    <w:rsid w:val="00B64022"/>
    <w:rsid w:val="00B64D4E"/>
    <w:rsid w:val="00B65039"/>
    <w:rsid w:val="00B664C4"/>
    <w:rsid w:val="00B66845"/>
    <w:rsid w:val="00B67485"/>
    <w:rsid w:val="00B679EE"/>
    <w:rsid w:val="00B67B3A"/>
    <w:rsid w:val="00B70637"/>
    <w:rsid w:val="00B70F1B"/>
    <w:rsid w:val="00B73307"/>
    <w:rsid w:val="00B73790"/>
    <w:rsid w:val="00B747B6"/>
    <w:rsid w:val="00B7544C"/>
    <w:rsid w:val="00B77AA9"/>
    <w:rsid w:val="00B80211"/>
    <w:rsid w:val="00B80449"/>
    <w:rsid w:val="00B818B7"/>
    <w:rsid w:val="00B81DFA"/>
    <w:rsid w:val="00B82E3E"/>
    <w:rsid w:val="00B83DCE"/>
    <w:rsid w:val="00B85492"/>
    <w:rsid w:val="00B85B98"/>
    <w:rsid w:val="00B86231"/>
    <w:rsid w:val="00B87D66"/>
    <w:rsid w:val="00B90981"/>
    <w:rsid w:val="00B90A62"/>
    <w:rsid w:val="00B90D18"/>
    <w:rsid w:val="00B90EB9"/>
    <w:rsid w:val="00B92937"/>
    <w:rsid w:val="00B92B2A"/>
    <w:rsid w:val="00B93530"/>
    <w:rsid w:val="00B94173"/>
    <w:rsid w:val="00B9478D"/>
    <w:rsid w:val="00B94B5D"/>
    <w:rsid w:val="00B95650"/>
    <w:rsid w:val="00B957B0"/>
    <w:rsid w:val="00B97934"/>
    <w:rsid w:val="00B97C4E"/>
    <w:rsid w:val="00BA1A78"/>
    <w:rsid w:val="00BA2332"/>
    <w:rsid w:val="00BA3D05"/>
    <w:rsid w:val="00BA3D9E"/>
    <w:rsid w:val="00BA418E"/>
    <w:rsid w:val="00BA4FF0"/>
    <w:rsid w:val="00BA5018"/>
    <w:rsid w:val="00BA549F"/>
    <w:rsid w:val="00BA607A"/>
    <w:rsid w:val="00BA62A4"/>
    <w:rsid w:val="00BA6EDD"/>
    <w:rsid w:val="00BA72E6"/>
    <w:rsid w:val="00BA7F3C"/>
    <w:rsid w:val="00BA7FBA"/>
    <w:rsid w:val="00BB00CC"/>
    <w:rsid w:val="00BB0A78"/>
    <w:rsid w:val="00BB0C8E"/>
    <w:rsid w:val="00BB0DCB"/>
    <w:rsid w:val="00BB2015"/>
    <w:rsid w:val="00BB39CA"/>
    <w:rsid w:val="00BB400E"/>
    <w:rsid w:val="00BB4046"/>
    <w:rsid w:val="00BB4576"/>
    <w:rsid w:val="00BB529B"/>
    <w:rsid w:val="00BB53AB"/>
    <w:rsid w:val="00BB5A67"/>
    <w:rsid w:val="00BB639C"/>
    <w:rsid w:val="00BB685E"/>
    <w:rsid w:val="00BB7ED7"/>
    <w:rsid w:val="00BC05A1"/>
    <w:rsid w:val="00BC1300"/>
    <w:rsid w:val="00BC1820"/>
    <w:rsid w:val="00BC2175"/>
    <w:rsid w:val="00BC33FA"/>
    <w:rsid w:val="00BC35F0"/>
    <w:rsid w:val="00BC3650"/>
    <w:rsid w:val="00BC5146"/>
    <w:rsid w:val="00BC54C3"/>
    <w:rsid w:val="00BC5D74"/>
    <w:rsid w:val="00BC6B19"/>
    <w:rsid w:val="00BC6CB6"/>
    <w:rsid w:val="00BC769C"/>
    <w:rsid w:val="00BC7F68"/>
    <w:rsid w:val="00BD0905"/>
    <w:rsid w:val="00BD0EAD"/>
    <w:rsid w:val="00BD1F7C"/>
    <w:rsid w:val="00BD3DCE"/>
    <w:rsid w:val="00BD3F04"/>
    <w:rsid w:val="00BD444A"/>
    <w:rsid w:val="00BD48EC"/>
    <w:rsid w:val="00BD5472"/>
    <w:rsid w:val="00BD5D6D"/>
    <w:rsid w:val="00BD6665"/>
    <w:rsid w:val="00BD68A9"/>
    <w:rsid w:val="00BD6D25"/>
    <w:rsid w:val="00BD6F20"/>
    <w:rsid w:val="00BE0B54"/>
    <w:rsid w:val="00BE0F04"/>
    <w:rsid w:val="00BE1451"/>
    <w:rsid w:val="00BE16C7"/>
    <w:rsid w:val="00BE255B"/>
    <w:rsid w:val="00BE255F"/>
    <w:rsid w:val="00BE2E51"/>
    <w:rsid w:val="00BE3360"/>
    <w:rsid w:val="00BE4BE0"/>
    <w:rsid w:val="00BE4D7F"/>
    <w:rsid w:val="00BE4DE5"/>
    <w:rsid w:val="00BE4F5A"/>
    <w:rsid w:val="00BE4FFF"/>
    <w:rsid w:val="00BE67EA"/>
    <w:rsid w:val="00BE687A"/>
    <w:rsid w:val="00BE687F"/>
    <w:rsid w:val="00BE68B0"/>
    <w:rsid w:val="00BE7AF4"/>
    <w:rsid w:val="00BF00B8"/>
    <w:rsid w:val="00BF06B8"/>
    <w:rsid w:val="00BF1536"/>
    <w:rsid w:val="00BF1A58"/>
    <w:rsid w:val="00BF1CFC"/>
    <w:rsid w:val="00BF3DC8"/>
    <w:rsid w:val="00BF4486"/>
    <w:rsid w:val="00BF4FA4"/>
    <w:rsid w:val="00BF7132"/>
    <w:rsid w:val="00BF71FF"/>
    <w:rsid w:val="00C010F7"/>
    <w:rsid w:val="00C016C3"/>
    <w:rsid w:val="00C01805"/>
    <w:rsid w:val="00C01C5C"/>
    <w:rsid w:val="00C01F6A"/>
    <w:rsid w:val="00C02903"/>
    <w:rsid w:val="00C033F4"/>
    <w:rsid w:val="00C03F59"/>
    <w:rsid w:val="00C041D5"/>
    <w:rsid w:val="00C042A5"/>
    <w:rsid w:val="00C042B3"/>
    <w:rsid w:val="00C05848"/>
    <w:rsid w:val="00C05CA6"/>
    <w:rsid w:val="00C0674A"/>
    <w:rsid w:val="00C06D75"/>
    <w:rsid w:val="00C107B9"/>
    <w:rsid w:val="00C10A57"/>
    <w:rsid w:val="00C10C55"/>
    <w:rsid w:val="00C121A8"/>
    <w:rsid w:val="00C13AAD"/>
    <w:rsid w:val="00C1606C"/>
    <w:rsid w:val="00C16AA8"/>
    <w:rsid w:val="00C16F0B"/>
    <w:rsid w:val="00C17D73"/>
    <w:rsid w:val="00C20770"/>
    <w:rsid w:val="00C20FD8"/>
    <w:rsid w:val="00C21366"/>
    <w:rsid w:val="00C218F5"/>
    <w:rsid w:val="00C21C25"/>
    <w:rsid w:val="00C23169"/>
    <w:rsid w:val="00C24467"/>
    <w:rsid w:val="00C24552"/>
    <w:rsid w:val="00C24B17"/>
    <w:rsid w:val="00C24C3F"/>
    <w:rsid w:val="00C254C8"/>
    <w:rsid w:val="00C26299"/>
    <w:rsid w:val="00C2638C"/>
    <w:rsid w:val="00C2742E"/>
    <w:rsid w:val="00C30B4C"/>
    <w:rsid w:val="00C312DE"/>
    <w:rsid w:val="00C31963"/>
    <w:rsid w:val="00C325D7"/>
    <w:rsid w:val="00C32B8A"/>
    <w:rsid w:val="00C32E57"/>
    <w:rsid w:val="00C334AA"/>
    <w:rsid w:val="00C34589"/>
    <w:rsid w:val="00C36185"/>
    <w:rsid w:val="00C4059B"/>
    <w:rsid w:val="00C40AC8"/>
    <w:rsid w:val="00C40CA1"/>
    <w:rsid w:val="00C40D42"/>
    <w:rsid w:val="00C40FCB"/>
    <w:rsid w:val="00C415A2"/>
    <w:rsid w:val="00C428CB"/>
    <w:rsid w:val="00C429F2"/>
    <w:rsid w:val="00C46090"/>
    <w:rsid w:val="00C465E2"/>
    <w:rsid w:val="00C46A0B"/>
    <w:rsid w:val="00C46D8E"/>
    <w:rsid w:val="00C47308"/>
    <w:rsid w:val="00C47916"/>
    <w:rsid w:val="00C47A4D"/>
    <w:rsid w:val="00C47EBA"/>
    <w:rsid w:val="00C50025"/>
    <w:rsid w:val="00C50471"/>
    <w:rsid w:val="00C51237"/>
    <w:rsid w:val="00C514C1"/>
    <w:rsid w:val="00C51A89"/>
    <w:rsid w:val="00C51C42"/>
    <w:rsid w:val="00C5301A"/>
    <w:rsid w:val="00C546C4"/>
    <w:rsid w:val="00C54A8D"/>
    <w:rsid w:val="00C55420"/>
    <w:rsid w:val="00C55BE9"/>
    <w:rsid w:val="00C56888"/>
    <w:rsid w:val="00C56D51"/>
    <w:rsid w:val="00C6012E"/>
    <w:rsid w:val="00C60646"/>
    <w:rsid w:val="00C60AAB"/>
    <w:rsid w:val="00C61189"/>
    <w:rsid w:val="00C615EC"/>
    <w:rsid w:val="00C6203C"/>
    <w:rsid w:val="00C63DCE"/>
    <w:rsid w:val="00C63F8A"/>
    <w:rsid w:val="00C65CD5"/>
    <w:rsid w:val="00C665E3"/>
    <w:rsid w:val="00C66755"/>
    <w:rsid w:val="00C66C6E"/>
    <w:rsid w:val="00C67BB0"/>
    <w:rsid w:val="00C67C33"/>
    <w:rsid w:val="00C70C69"/>
    <w:rsid w:val="00C714C8"/>
    <w:rsid w:val="00C718EB"/>
    <w:rsid w:val="00C72EBE"/>
    <w:rsid w:val="00C73409"/>
    <w:rsid w:val="00C7361A"/>
    <w:rsid w:val="00C738E1"/>
    <w:rsid w:val="00C745BA"/>
    <w:rsid w:val="00C745DA"/>
    <w:rsid w:val="00C7496F"/>
    <w:rsid w:val="00C75100"/>
    <w:rsid w:val="00C7536F"/>
    <w:rsid w:val="00C75B62"/>
    <w:rsid w:val="00C75D6D"/>
    <w:rsid w:val="00C75EAC"/>
    <w:rsid w:val="00C762B5"/>
    <w:rsid w:val="00C769FA"/>
    <w:rsid w:val="00C7727F"/>
    <w:rsid w:val="00C775C2"/>
    <w:rsid w:val="00C7789A"/>
    <w:rsid w:val="00C77FD0"/>
    <w:rsid w:val="00C804B4"/>
    <w:rsid w:val="00C80B81"/>
    <w:rsid w:val="00C80E2F"/>
    <w:rsid w:val="00C8194F"/>
    <w:rsid w:val="00C819A1"/>
    <w:rsid w:val="00C822B1"/>
    <w:rsid w:val="00C8387F"/>
    <w:rsid w:val="00C84621"/>
    <w:rsid w:val="00C847D9"/>
    <w:rsid w:val="00C84E74"/>
    <w:rsid w:val="00C84F44"/>
    <w:rsid w:val="00C851ED"/>
    <w:rsid w:val="00C8569F"/>
    <w:rsid w:val="00C9047A"/>
    <w:rsid w:val="00C90482"/>
    <w:rsid w:val="00C908A8"/>
    <w:rsid w:val="00C90B37"/>
    <w:rsid w:val="00C9117D"/>
    <w:rsid w:val="00C930DB"/>
    <w:rsid w:val="00C93E66"/>
    <w:rsid w:val="00C94C74"/>
    <w:rsid w:val="00C95E41"/>
    <w:rsid w:val="00C967B8"/>
    <w:rsid w:val="00C970B7"/>
    <w:rsid w:val="00C97436"/>
    <w:rsid w:val="00CA0897"/>
    <w:rsid w:val="00CA1055"/>
    <w:rsid w:val="00CA3798"/>
    <w:rsid w:val="00CA4161"/>
    <w:rsid w:val="00CA48C0"/>
    <w:rsid w:val="00CA51CE"/>
    <w:rsid w:val="00CA611C"/>
    <w:rsid w:val="00CA6581"/>
    <w:rsid w:val="00CA65B6"/>
    <w:rsid w:val="00CA7872"/>
    <w:rsid w:val="00CA7C25"/>
    <w:rsid w:val="00CB0F52"/>
    <w:rsid w:val="00CB1BE9"/>
    <w:rsid w:val="00CB4F0B"/>
    <w:rsid w:val="00CB543A"/>
    <w:rsid w:val="00CB5BA5"/>
    <w:rsid w:val="00CB6687"/>
    <w:rsid w:val="00CB6E10"/>
    <w:rsid w:val="00CB77A9"/>
    <w:rsid w:val="00CC02F9"/>
    <w:rsid w:val="00CC0CC5"/>
    <w:rsid w:val="00CC12B6"/>
    <w:rsid w:val="00CC1A1A"/>
    <w:rsid w:val="00CC2449"/>
    <w:rsid w:val="00CC2682"/>
    <w:rsid w:val="00CC4EB9"/>
    <w:rsid w:val="00CC51FE"/>
    <w:rsid w:val="00CC56A8"/>
    <w:rsid w:val="00CC69DE"/>
    <w:rsid w:val="00CD04F0"/>
    <w:rsid w:val="00CD0BA7"/>
    <w:rsid w:val="00CD0E7D"/>
    <w:rsid w:val="00CD1159"/>
    <w:rsid w:val="00CD17C9"/>
    <w:rsid w:val="00CD26B3"/>
    <w:rsid w:val="00CD31E6"/>
    <w:rsid w:val="00CD3D42"/>
    <w:rsid w:val="00CD43A4"/>
    <w:rsid w:val="00CD581F"/>
    <w:rsid w:val="00CD64A2"/>
    <w:rsid w:val="00CD65D3"/>
    <w:rsid w:val="00CD66E2"/>
    <w:rsid w:val="00CD69C8"/>
    <w:rsid w:val="00CE151F"/>
    <w:rsid w:val="00CE1584"/>
    <w:rsid w:val="00CE2592"/>
    <w:rsid w:val="00CE2C74"/>
    <w:rsid w:val="00CE2F51"/>
    <w:rsid w:val="00CE2F88"/>
    <w:rsid w:val="00CE45CD"/>
    <w:rsid w:val="00CE5BD5"/>
    <w:rsid w:val="00CE76F0"/>
    <w:rsid w:val="00CE7C20"/>
    <w:rsid w:val="00CE7DDB"/>
    <w:rsid w:val="00CF0FE9"/>
    <w:rsid w:val="00CF2C15"/>
    <w:rsid w:val="00CF344C"/>
    <w:rsid w:val="00CF51F2"/>
    <w:rsid w:val="00CF5919"/>
    <w:rsid w:val="00D00ADD"/>
    <w:rsid w:val="00D01491"/>
    <w:rsid w:val="00D0242D"/>
    <w:rsid w:val="00D02F21"/>
    <w:rsid w:val="00D04F65"/>
    <w:rsid w:val="00D05EE0"/>
    <w:rsid w:val="00D06D39"/>
    <w:rsid w:val="00D06DEA"/>
    <w:rsid w:val="00D06F8B"/>
    <w:rsid w:val="00D07D68"/>
    <w:rsid w:val="00D100F8"/>
    <w:rsid w:val="00D109CD"/>
    <w:rsid w:val="00D11A9E"/>
    <w:rsid w:val="00D126BF"/>
    <w:rsid w:val="00D128D7"/>
    <w:rsid w:val="00D12BBD"/>
    <w:rsid w:val="00D132CC"/>
    <w:rsid w:val="00D14702"/>
    <w:rsid w:val="00D15F5D"/>
    <w:rsid w:val="00D16B20"/>
    <w:rsid w:val="00D17507"/>
    <w:rsid w:val="00D1784B"/>
    <w:rsid w:val="00D200DC"/>
    <w:rsid w:val="00D203D9"/>
    <w:rsid w:val="00D206E4"/>
    <w:rsid w:val="00D21334"/>
    <w:rsid w:val="00D21E3C"/>
    <w:rsid w:val="00D23CFC"/>
    <w:rsid w:val="00D23FC4"/>
    <w:rsid w:val="00D25DD5"/>
    <w:rsid w:val="00D30001"/>
    <w:rsid w:val="00D30542"/>
    <w:rsid w:val="00D305B5"/>
    <w:rsid w:val="00D30976"/>
    <w:rsid w:val="00D3118B"/>
    <w:rsid w:val="00D32540"/>
    <w:rsid w:val="00D328C8"/>
    <w:rsid w:val="00D3319C"/>
    <w:rsid w:val="00D338BE"/>
    <w:rsid w:val="00D340C8"/>
    <w:rsid w:val="00D35C60"/>
    <w:rsid w:val="00D36A26"/>
    <w:rsid w:val="00D3731D"/>
    <w:rsid w:val="00D37C0B"/>
    <w:rsid w:val="00D41A11"/>
    <w:rsid w:val="00D441D6"/>
    <w:rsid w:val="00D45478"/>
    <w:rsid w:val="00D454F8"/>
    <w:rsid w:val="00D45634"/>
    <w:rsid w:val="00D50A04"/>
    <w:rsid w:val="00D53A99"/>
    <w:rsid w:val="00D54691"/>
    <w:rsid w:val="00D548B3"/>
    <w:rsid w:val="00D553AB"/>
    <w:rsid w:val="00D55B21"/>
    <w:rsid w:val="00D562F9"/>
    <w:rsid w:val="00D56619"/>
    <w:rsid w:val="00D60115"/>
    <w:rsid w:val="00D61D7B"/>
    <w:rsid w:val="00D6243F"/>
    <w:rsid w:val="00D6265C"/>
    <w:rsid w:val="00D639A1"/>
    <w:rsid w:val="00D63B42"/>
    <w:rsid w:val="00D63EC8"/>
    <w:rsid w:val="00D642C3"/>
    <w:rsid w:val="00D64E46"/>
    <w:rsid w:val="00D653D2"/>
    <w:rsid w:val="00D658AE"/>
    <w:rsid w:val="00D659FC"/>
    <w:rsid w:val="00D6657C"/>
    <w:rsid w:val="00D66B66"/>
    <w:rsid w:val="00D67594"/>
    <w:rsid w:val="00D676E5"/>
    <w:rsid w:val="00D6796D"/>
    <w:rsid w:val="00D70B4C"/>
    <w:rsid w:val="00D71365"/>
    <w:rsid w:val="00D7139F"/>
    <w:rsid w:val="00D7181E"/>
    <w:rsid w:val="00D7586B"/>
    <w:rsid w:val="00D76E00"/>
    <w:rsid w:val="00D80138"/>
    <w:rsid w:val="00D8066F"/>
    <w:rsid w:val="00D80863"/>
    <w:rsid w:val="00D80D7F"/>
    <w:rsid w:val="00D80F42"/>
    <w:rsid w:val="00D8104A"/>
    <w:rsid w:val="00D832B3"/>
    <w:rsid w:val="00D8366F"/>
    <w:rsid w:val="00D83829"/>
    <w:rsid w:val="00D83FB5"/>
    <w:rsid w:val="00D84101"/>
    <w:rsid w:val="00D85E02"/>
    <w:rsid w:val="00D86FE0"/>
    <w:rsid w:val="00D875B5"/>
    <w:rsid w:val="00D879FC"/>
    <w:rsid w:val="00D905B3"/>
    <w:rsid w:val="00D90AED"/>
    <w:rsid w:val="00D90CD4"/>
    <w:rsid w:val="00D91D1A"/>
    <w:rsid w:val="00D920B0"/>
    <w:rsid w:val="00D923EF"/>
    <w:rsid w:val="00D935CD"/>
    <w:rsid w:val="00D94CD9"/>
    <w:rsid w:val="00D95545"/>
    <w:rsid w:val="00D95ADC"/>
    <w:rsid w:val="00D95F7F"/>
    <w:rsid w:val="00D975F1"/>
    <w:rsid w:val="00DA01F3"/>
    <w:rsid w:val="00DA0B0B"/>
    <w:rsid w:val="00DA2482"/>
    <w:rsid w:val="00DA25A6"/>
    <w:rsid w:val="00DA25AB"/>
    <w:rsid w:val="00DA29A6"/>
    <w:rsid w:val="00DA32A0"/>
    <w:rsid w:val="00DA36FB"/>
    <w:rsid w:val="00DA3DA8"/>
    <w:rsid w:val="00DA41BF"/>
    <w:rsid w:val="00DA48BF"/>
    <w:rsid w:val="00DA4C57"/>
    <w:rsid w:val="00DA4CF4"/>
    <w:rsid w:val="00DA4D36"/>
    <w:rsid w:val="00DA62B9"/>
    <w:rsid w:val="00DA780A"/>
    <w:rsid w:val="00DA7D9D"/>
    <w:rsid w:val="00DA7E68"/>
    <w:rsid w:val="00DB0889"/>
    <w:rsid w:val="00DB17C6"/>
    <w:rsid w:val="00DB19B8"/>
    <w:rsid w:val="00DB1B39"/>
    <w:rsid w:val="00DB2833"/>
    <w:rsid w:val="00DB598A"/>
    <w:rsid w:val="00DB5EB8"/>
    <w:rsid w:val="00DB77F4"/>
    <w:rsid w:val="00DB7D85"/>
    <w:rsid w:val="00DC0DA1"/>
    <w:rsid w:val="00DC164C"/>
    <w:rsid w:val="00DC1DD4"/>
    <w:rsid w:val="00DC214C"/>
    <w:rsid w:val="00DC2554"/>
    <w:rsid w:val="00DC278B"/>
    <w:rsid w:val="00DC397A"/>
    <w:rsid w:val="00DC3BEC"/>
    <w:rsid w:val="00DC4BF3"/>
    <w:rsid w:val="00DC5427"/>
    <w:rsid w:val="00DC5B47"/>
    <w:rsid w:val="00DC613D"/>
    <w:rsid w:val="00DC62B7"/>
    <w:rsid w:val="00DC6628"/>
    <w:rsid w:val="00DC6B5D"/>
    <w:rsid w:val="00DC79D3"/>
    <w:rsid w:val="00DC7B71"/>
    <w:rsid w:val="00DD06DE"/>
    <w:rsid w:val="00DD13BF"/>
    <w:rsid w:val="00DD1D71"/>
    <w:rsid w:val="00DD1E8B"/>
    <w:rsid w:val="00DD285C"/>
    <w:rsid w:val="00DD28ED"/>
    <w:rsid w:val="00DD37CA"/>
    <w:rsid w:val="00DD3D4A"/>
    <w:rsid w:val="00DD3ED5"/>
    <w:rsid w:val="00DD443B"/>
    <w:rsid w:val="00DD4C45"/>
    <w:rsid w:val="00DD642E"/>
    <w:rsid w:val="00DD6646"/>
    <w:rsid w:val="00DD71E5"/>
    <w:rsid w:val="00DE0724"/>
    <w:rsid w:val="00DE117D"/>
    <w:rsid w:val="00DE24CC"/>
    <w:rsid w:val="00DE3842"/>
    <w:rsid w:val="00DE3FBD"/>
    <w:rsid w:val="00DE47C0"/>
    <w:rsid w:val="00DE4949"/>
    <w:rsid w:val="00DE4E5F"/>
    <w:rsid w:val="00DE50B2"/>
    <w:rsid w:val="00DE61EF"/>
    <w:rsid w:val="00DE691C"/>
    <w:rsid w:val="00DE6EE2"/>
    <w:rsid w:val="00DE7B2A"/>
    <w:rsid w:val="00DF0374"/>
    <w:rsid w:val="00DF0C96"/>
    <w:rsid w:val="00DF0F9C"/>
    <w:rsid w:val="00DF39B4"/>
    <w:rsid w:val="00DF3A05"/>
    <w:rsid w:val="00DF4363"/>
    <w:rsid w:val="00DF4CC1"/>
    <w:rsid w:val="00DF76B2"/>
    <w:rsid w:val="00DF79ED"/>
    <w:rsid w:val="00DF7D09"/>
    <w:rsid w:val="00E008B7"/>
    <w:rsid w:val="00E011A7"/>
    <w:rsid w:val="00E0121D"/>
    <w:rsid w:val="00E01868"/>
    <w:rsid w:val="00E018AB"/>
    <w:rsid w:val="00E01D19"/>
    <w:rsid w:val="00E01DFD"/>
    <w:rsid w:val="00E02173"/>
    <w:rsid w:val="00E03BD0"/>
    <w:rsid w:val="00E03E7A"/>
    <w:rsid w:val="00E03F47"/>
    <w:rsid w:val="00E040D3"/>
    <w:rsid w:val="00E047AF"/>
    <w:rsid w:val="00E076F7"/>
    <w:rsid w:val="00E0793F"/>
    <w:rsid w:val="00E10380"/>
    <w:rsid w:val="00E103FB"/>
    <w:rsid w:val="00E10567"/>
    <w:rsid w:val="00E106FE"/>
    <w:rsid w:val="00E10C75"/>
    <w:rsid w:val="00E10E17"/>
    <w:rsid w:val="00E11EAD"/>
    <w:rsid w:val="00E120CA"/>
    <w:rsid w:val="00E1456C"/>
    <w:rsid w:val="00E14FC6"/>
    <w:rsid w:val="00E1632E"/>
    <w:rsid w:val="00E16347"/>
    <w:rsid w:val="00E166EE"/>
    <w:rsid w:val="00E20C14"/>
    <w:rsid w:val="00E21D12"/>
    <w:rsid w:val="00E228A9"/>
    <w:rsid w:val="00E22B84"/>
    <w:rsid w:val="00E23655"/>
    <w:rsid w:val="00E23830"/>
    <w:rsid w:val="00E2489B"/>
    <w:rsid w:val="00E249F3"/>
    <w:rsid w:val="00E25654"/>
    <w:rsid w:val="00E26114"/>
    <w:rsid w:val="00E26A35"/>
    <w:rsid w:val="00E26E62"/>
    <w:rsid w:val="00E26F97"/>
    <w:rsid w:val="00E2762C"/>
    <w:rsid w:val="00E276F0"/>
    <w:rsid w:val="00E27900"/>
    <w:rsid w:val="00E31708"/>
    <w:rsid w:val="00E31A4A"/>
    <w:rsid w:val="00E35C3C"/>
    <w:rsid w:val="00E361CA"/>
    <w:rsid w:val="00E36313"/>
    <w:rsid w:val="00E36AED"/>
    <w:rsid w:val="00E40021"/>
    <w:rsid w:val="00E41093"/>
    <w:rsid w:val="00E42DF3"/>
    <w:rsid w:val="00E42F77"/>
    <w:rsid w:val="00E434C7"/>
    <w:rsid w:val="00E45387"/>
    <w:rsid w:val="00E45BF2"/>
    <w:rsid w:val="00E462E6"/>
    <w:rsid w:val="00E46A14"/>
    <w:rsid w:val="00E51195"/>
    <w:rsid w:val="00E5176A"/>
    <w:rsid w:val="00E54AD5"/>
    <w:rsid w:val="00E54D05"/>
    <w:rsid w:val="00E5560D"/>
    <w:rsid w:val="00E556D2"/>
    <w:rsid w:val="00E5574E"/>
    <w:rsid w:val="00E56E90"/>
    <w:rsid w:val="00E576C3"/>
    <w:rsid w:val="00E5789B"/>
    <w:rsid w:val="00E608C4"/>
    <w:rsid w:val="00E60FA7"/>
    <w:rsid w:val="00E6121F"/>
    <w:rsid w:val="00E616B4"/>
    <w:rsid w:val="00E62568"/>
    <w:rsid w:val="00E6391C"/>
    <w:rsid w:val="00E63CDB"/>
    <w:rsid w:val="00E646F0"/>
    <w:rsid w:val="00E64C15"/>
    <w:rsid w:val="00E64E08"/>
    <w:rsid w:val="00E64F48"/>
    <w:rsid w:val="00E65590"/>
    <w:rsid w:val="00E65C6B"/>
    <w:rsid w:val="00E65E41"/>
    <w:rsid w:val="00E668D5"/>
    <w:rsid w:val="00E66982"/>
    <w:rsid w:val="00E67EFD"/>
    <w:rsid w:val="00E717B1"/>
    <w:rsid w:val="00E71C4A"/>
    <w:rsid w:val="00E73366"/>
    <w:rsid w:val="00E769F4"/>
    <w:rsid w:val="00E770D5"/>
    <w:rsid w:val="00E77F71"/>
    <w:rsid w:val="00E82A19"/>
    <w:rsid w:val="00E834F9"/>
    <w:rsid w:val="00E83737"/>
    <w:rsid w:val="00E8498D"/>
    <w:rsid w:val="00E849CA"/>
    <w:rsid w:val="00E84D49"/>
    <w:rsid w:val="00E8573F"/>
    <w:rsid w:val="00E85A8F"/>
    <w:rsid w:val="00E862E6"/>
    <w:rsid w:val="00E8709D"/>
    <w:rsid w:val="00E87BFA"/>
    <w:rsid w:val="00E87D2F"/>
    <w:rsid w:val="00E90D91"/>
    <w:rsid w:val="00E92465"/>
    <w:rsid w:val="00E92D91"/>
    <w:rsid w:val="00E93234"/>
    <w:rsid w:val="00E93DEB"/>
    <w:rsid w:val="00E9417D"/>
    <w:rsid w:val="00E95ABF"/>
    <w:rsid w:val="00E96E59"/>
    <w:rsid w:val="00E96E96"/>
    <w:rsid w:val="00E96FE4"/>
    <w:rsid w:val="00E9752A"/>
    <w:rsid w:val="00E97D38"/>
    <w:rsid w:val="00EA198E"/>
    <w:rsid w:val="00EA399C"/>
    <w:rsid w:val="00EA5FEC"/>
    <w:rsid w:val="00EA6097"/>
    <w:rsid w:val="00EB1212"/>
    <w:rsid w:val="00EB13C3"/>
    <w:rsid w:val="00EB1870"/>
    <w:rsid w:val="00EB2AF8"/>
    <w:rsid w:val="00EB2F4C"/>
    <w:rsid w:val="00EB3B98"/>
    <w:rsid w:val="00EB3BCD"/>
    <w:rsid w:val="00EB3F2F"/>
    <w:rsid w:val="00EB550A"/>
    <w:rsid w:val="00EB566C"/>
    <w:rsid w:val="00EB576C"/>
    <w:rsid w:val="00EB637A"/>
    <w:rsid w:val="00EB6C77"/>
    <w:rsid w:val="00EC0EAD"/>
    <w:rsid w:val="00EC14F3"/>
    <w:rsid w:val="00EC198E"/>
    <w:rsid w:val="00EC262E"/>
    <w:rsid w:val="00EC46FF"/>
    <w:rsid w:val="00EC4768"/>
    <w:rsid w:val="00EC5739"/>
    <w:rsid w:val="00EC5E18"/>
    <w:rsid w:val="00EC629F"/>
    <w:rsid w:val="00EC7109"/>
    <w:rsid w:val="00EC76AB"/>
    <w:rsid w:val="00ED1A2B"/>
    <w:rsid w:val="00ED3A0B"/>
    <w:rsid w:val="00ED3FEC"/>
    <w:rsid w:val="00ED4BEF"/>
    <w:rsid w:val="00ED5099"/>
    <w:rsid w:val="00ED52C3"/>
    <w:rsid w:val="00ED535F"/>
    <w:rsid w:val="00ED729C"/>
    <w:rsid w:val="00ED7432"/>
    <w:rsid w:val="00EE11EC"/>
    <w:rsid w:val="00EE1E29"/>
    <w:rsid w:val="00EE3689"/>
    <w:rsid w:val="00EE44B9"/>
    <w:rsid w:val="00EE4813"/>
    <w:rsid w:val="00EE6468"/>
    <w:rsid w:val="00EE733F"/>
    <w:rsid w:val="00EE741D"/>
    <w:rsid w:val="00EE7A54"/>
    <w:rsid w:val="00EF07CB"/>
    <w:rsid w:val="00EF0A5F"/>
    <w:rsid w:val="00EF0CA7"/>
    <w:rsid w:val="00EF1088"/>
    <w:rsid w:val="00EF1459"/>
    <w:rsid w:val="00EF3587"/>
    <w:rsid w:val="00EF37E0"/>
    <w:rsid w:val="00EF3D50"/>
    <w:rsid w:val="00EF3F3B"/>
    <w:rsid w:val="00EF53B0"/>
    <w:rsid w:val="00EF5437"/>
    <w:rsid w:val="00EF568E"/>
    <w:rsid w:val="00EF5CFA"/>
    <w:rsid w:val="00EF6512"/>
    <w:rsid w:val="00EF6F83"/>
    <w:rsid w:val="00EF7235"/>
    <w:rsid w:val="00EF72BF"/>
    <w:rsid w:val="00F01672"/>
    <w:rsid w:val="00F025B8"/>
    <w:rsid w:val="00F02D08"/>
    <w:rsid w:val="00F03C4F"/>
    <w:rsid w:val="00F0449F"/>
    <w:rsid w:val="00F05A27"/>
    <w:rsid w:val="00F0666B"/>
    <w:rsid w:val="00F0782A"/>
    <w:rsid w:val="00F10D23"/>
    <w:rsid w:val="00F11893"/>
    <w:rsid w:val="00F11D42"/>
    <w:rsid w:val="00F11E5F"/>
    <w:rsid w:val="00F126AF"/>
    <w:rsid w:val="00F1299D"/>
    <w:rsid w:val="00F13A83"/>
    <w:rsid w:val="00F142CC"/>
    <w:rsid w:val="00F14FC1"/>
    <w:rsid w:val="00F15015"/>
    <w:rsid w:val="00F154A8"/>
    <w:rsid w:val="00F16F9F"/>
    <w:rsid w:val="00F1745F"/>
    <w:rsid w:val="00F17E66"/>
    <w:rsid w:val="00F20DED"/>
    <w:rsid w:val="00F2161A"/>
    <w:rsid w:val="00F21A3D"/>
    <w:rsid w:val="00F21BE5"/>
    <w:rsid w:val="00F21F84"/>
    <w:rsid w:val="00F226C3"/>
    <w:rsid w:val="00F243AB"/>
    <w:rsid w:val="00F2441A"/>
    <w:rsid w:val="00F24A18"/>
    <w:rsid w:val="00F24D4D"/>
    <w:rsid w:val="00F251D2"/>
    <w:rsid w:val="00F25228"/>
    <w:rsid w:val="00F264A3"/>
    <w:rsid w:val="00F26575"/>
    <w:rsid w:val="00F30B03"/>
    <w:rsid w:val="00F32E9F"/>
    <w:rsid w:val="00F33586"/>
    <w:rsid w:val="00F3418F"/>
    <w:rsid w:val="00F34A19"/>
    <w:rsid w:val="00F36359"/>
    <w:rsid w:val="00F369B3"/>
    <w:rsid w:val="00F37525"/>
    <w:rsid w:val="00F37924"/>
    <w:rsid w:val="00F37990"/>
    <w:rsid w:val="00F37C51"/>
    <w:rsid w:val="00F400D3"/>
    <w:rsid w:val="00F40580"/>
    <w:rsid w:val="00F41DB1"/>
    <w:rsid w:val="00F4219E"/>
    <w:rsid w:val="00F42F07"/>
    <w:rsid w:val="00F43251"/>
    <w:rsid w:val="00F445C7"/>
    <w:rsid w:val="00F44C23"/>
    <w:rsid w:val="00F46976"/>
    <w:rsid w:val="00F50CC3"/>
    <w:rsid w:val="00F51191"/>
    <w:rsid w:val="00F5147A"/>
    <w:rsid w:val="00F5194E"/>
    <w:rsid w:val="00F523E3"/>
    <w:rsid w:val="00F52CF8"/>
    <w:rsid w:val="00F54BC7"/>
    <w:rsid w:val="00F553E6"/>
    <w:rsid w:val="00F55465"/>
    <w:rsid w:val="00F559C3"/>
    <w:rsid w:val="00F571F3"/>
    <w:rsid w:val="00F57829"/>
    <w:rsid w:val="00F578E3"/>
    <w:rsid w:val="00F57C0F"/>
    <w:rsid w:val="00F61281"/>
    <w:rsid w:val="00F61ED5"/>
    <w:rsid w:val="00F626F6"/>
    <w:rsid w:val="00F62CDC"/>
    <w:rsid w:val="00F62F82"/>
    <w:rsid w:val="00F6373E"/>
    <w:rsid w:val="00F64656"/>
    <w:rsid w:val="00F65028"/>
    <w:rsid w:val="00F659A3"/>
    <w:rsid w:val="00F65E77"/>
    <w:rsid w:val="00F66B8E"/>
    <w:rsid w:val="00F70C0B"/>
    <w:rsid w:val="00F72FC6"/>
    <w:rsid w:val="00F73844"/>
    <w:rsid w:val="00F73D97"/>
    <w:rsid w:val="00F740FC"/>
    <w:rsid w:val="00F7422B"/>
    <w:rsid w:val="00F74246"/>
    <w:rsid w:val="00F7562B"/>
    <w:rsid w:val="00F76506"/>
    <w:rsid w:val="00F76E78"/>
    <w:rsid w:val="00F77362"/>
    <w:rsid w:val="00F80A82"/>
    <w:rsid w:val="00F80FF8"/>
    <w:rsid w:val="00F810DC"/>
    <w:rsid w:val="00F81186"/>
    <w:rsid w:val="00F81CFE"/>
    <w:rsid w:val="00F82397"/>
    <w:rsid w:val="00F82660"/>
    <w:rsid w:val="00F82C42"/>
    <w:rsid w:val="00F82ED3"/>
    <w:rsid w:val="00F834AF"/>
    <w:rsid w:val="00F84158"/>
    <w:rsid w:val="00F851EB"/>
    <w:rsid w:val="00F85BDC"/>
    <w:rsid w:val="00F86320"/>
    <w:rsid w:val="00F8667E"/>
    <w:rsid w:val="00F869A3"/>
    <w:rsid w:val="00F86EC4"/>
    <w:rsid w:val="00F903FF"/>
    <w:rsid w:val="00F90F6A"/>
    <w:rsid w:val="00F922B9"/>
    <w:rsid w:val="00F92F8B"/>
    <w:rsid w:val="00F95F0F"/>
    <w:rsid w:val="00F97A00"/>
    <w:rsid w:val="00FA00A6"/>
    <w:rsid w:val="00FA0248"/>
    <w:rsid w:val="00FA0AEC"/>
    <w:rsid w:val="00FA0B4F"/>
    <w:rsid w:val="00FA4506"/>
    <w:rsid w:val="00FA4B58"/>
    <w:rsid w:val="00FA5CFC"/>
    <w:rsid w:val="00FA5DEF"/>
    <w:rsid w:val="00FB22CE"/>
    <w:rsid w:val="00FB2FE8"/>
    <w:rsid w:val="00FB38F4"/>
    <w:rsid w:val="00FB3EC9"/>
    <w:rsid w:val="00FB482B"/>
    <w:rsid w:val="00FB6421"/>
    <w:rsid w:val="00FC00CF"/>
    <w:rsid w:val="00FC0E6A"/>
    <w:rsid w:val="00FC16EF"/>
    <w:rsid w:val="00FC19DB"/>
    <w:rsid w:val="00FC2007"/>
    <w:rsid w:val="00FC50CE"/>
    <w:rsid w:val="00FC558A"/>
    <w:rsid w:val="00FC5792"/>
    <w:rsid w:val="00FC5951"/>
    <w:rsid w:val="00FC7807"/>
    <w:rsid w:val="00FC7B28"/>
    <w:rsid w:val="00FC7B4E"/>
    <w:rsid w:val="00FD0F3F"/>
    <w:rsid w:val="00FD180F"/>
    <w:rsid w:val="00FD1F21"/>
    <w:rsid w:val="00FD2C07"/>
    <w:rsid w:val="00FD34AB"/>
    <w:rsid w:val="00FD3963"/>
    <w:rsid w:val="00FD4F61"/>
    <w:rsid w:val="00FD6C28"/>
    <w:rsid w:val="00FD77CD"/>
    <w:rsid w:val="00FE18B0"/>
    <w:rsid w:val="00FE1AFD"/>
    <w:rsid w:val="00FE1E17"/>
    <w:rsid w:val="00FE293A"/>
    <w:rsid w:val="00FE3AC8"/>
    <w:rsid w:val="00FE45B8"/>
    <w:rsid w:val="00FE5B62"/>
    <w:rsid w:val="00FE6587"/>
    <w:rsid w:val="00FE6E87"/>
    <w:rsid w:val="00FE7AC8"/>
    <w:rsid w:val="00FE7BCD"/>
    <w:rsid w:val="00FF093E"/>
    <w:rsid w:val="00FF12C9"/>
    <w:rsid w:val="00FF14FD"/>
    <w:rsid w:val="00FF1784"/>
    <w:rsid w:val="00FF18DD"/>
    <w:rsid w:val="00FF193B"/>
    <w:rsid w:val="00FF5668"/>
    <w:rsid w:val="00FF59A1"/>
    <w:rsid w:val="00FF60CC"/>
    <w:rsid w:val="00FF6F9E"/>
    <w:rsid w:val="00FF7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4E95FA-0749-44DD-B4F7-19B80347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12BBD"/>
  </w:style>
  <w:style w:type="paragraph" w:styleId="berschrift1">
    <w:name w:val="heading 1"/>
    <w:basedOn w:val="Standard"/>
    <w:next w:val="Standard"/>
    <w:link w:val="berschrift1Zchn"/>
    <w:uiPriority w:val="9"/>
    <w:qFormat/>
    <w:rsid w:val="00A300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0829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C40CA1"/>
    <w:pPr>
      <w:spacing w:before="100" w:beforeAutospacing="1" w:after="100" w:afterAutospacing="1" w:line="240" w:lineRule="auto"/>
      <w:outlineLvl w:val="2"/>
    </w:pPr>
    <w:rPr>
      <w:rFonts w:eastAsia="Times New Roman"/>
      <w:b/>
      <w:bCs/>
      <w:sz w:val="27"/>
      <w:szCs w:val="27"/>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BA5018"/>
    <w:rPr>
      <w:sz w:val="20"/>
      <w:szCs w:val="20"/>
    </w:rPr>
  </w:style>
  <w:style w:type="character" w:customStyle="1" w:styleId="FunotentextZchn">
    <w:name w:val="Fußnotentext Zchn"/>
    <w:basedOn w:val="Absatz-Standardschriftart"/>
    <w:link w:val="Funotentext"/>
    <w:uiPriority w:val="99"/>
    <w:rsid w:val="00BA5018"/>
    <w:rPr>
      <w:sz w:val="20"/>
      <w:szCs w:val="20"/>
    </w:rPr>
  </w:style>
  <w:style w:type="character" w:styleId="Funotenzeichen">
    <w:name w:val="footnote reference"/>
    <w:basedOn w:val="Absatz-Standardschriftart"/>
    <w:uiPriority w:val="99"/>
    <w:semiHidden/>
    <w:unhideWhenUsed/>
    <w:rsid w:val="00BA5018"/>
    <w:rPr>
      <w:vertAlign w:val="superscript"/>
    </w:rPr>
  </w:style>
  <w:style w:type="character" w:customStyle="1" w:styleId="berschrift1Zchn">
    <w:name w:val="Überschrift 1 Zchn"/>
    <w:basedOn w:val="Absatz-Standardschriftart"/>
    <w:link w:val="berschrift1"/>
    <w:uiPriority w:val="9"/>
    <w:rsid w:val="00A3008F"/>
    <w:rPr>
      <w:rFonts w:asciiTheme="majorHAnsi" w:eastAsiaTheme="majorEastAsia" w:hAnsiTheme="majorHAnsi" w:cstheme="majorBidi"/>
      <w:b/>
      <w:bCs/>
      <w:color w:val="365F91" w:themeColor="accent1" w:themeShade="BF"/>
      <w:sz w:val="28"/>
      <w:szCs w:val="28"/>
    </w:rPr>
  </w:style>
  <w:style w:type="paragraph" w:customStyle="1" w:styleId="western">
    <w:name w:val="western"/>
    <w:basedOn w:val="Standard"/>
    <w:rsid w:val="005B0324"/>
    <w:pPr>
      <w:spacing w:before="100" w:beforeAutospacing="1" w:after="119" w:line="240" w:lineRule="auto"/>
    </w:pPr>
    <w:rPr>
      <w:rFonts w:eastAsia="Times New Roman"/>
      <w:lang w:eastAsia="en-GB"/>
    </w:rPr>
  </w:style>
  <w:style w:type="character" w:customStyle="1" w:styleId="berschrift3Zchn">
    <w:name w:val="Überschrift 3 Zchn"/>
    <w:basedOn w:val="Absatz-Standardschriftart"/>
    <w:link w:val="berschrift3"/>
    <w:uiPriority w:val="9"/>
    <w:rsid w:val="00C40CA1"/>
    <w:rPr>
      <w:rFonts w:eastAsia="Times New Roman"/>
      <w:b/>
      <w:bCs/>
      <w:sz w:val="27"/>
      <w:szCs w:val="27"/>
      <w:lang w:eastAsia="en-GB"/>
    </w:rPr>
  </w:style>
  <w:style w:type="character" w:customStyle="1" w:styleId="berschrift2Zchn">
    <w:name w:val="Überschrift 2 Zchn"/>
    <w:basedOn w:val="Absatz-Standardschriftart"/>
    <w:link w:val="berschrift2"/>
    <w:uiPriority w:val="9"/>
    <w:semiHidden/>
    <w:rsid w:val="0008294C"/>
    <w:rPr>
      <w:rFonts w:asciiTheme="majorHAnsi" w:eastAsiaTheme="majorEastAsia" w:hAnsiTheme="majorHAnsi" w:cstheme="majorBidi"/>
      <w:b/>
      <w:bCs/>
      <w:color w:val="4F81BD" w:themeColor="accent1"/>
      <w:sz w:val="26"/>
      <w:szCs w:val="26"/>
    </w:rPr>
  </w:style>
  <w:style w:type="paragraph" w:styleId="Textkrper">
    <w:name w:val="Body Text"/>
    <w:basedOn w:val="Standard"/>
    <w:link w:val="TextkrperZchn"/>
    <w:rsid w:val="004B0C86"/>
    <w:pPr>
      <w:widowControl w:val="0"/>
      <w:suppressAutoHyphens/>
      <w:spacing w:after="120" w:line="240" w:lineRule="auto"/>
    </w:pPr>
    <w:rPr>
      <w:rFonts w:eastAsia="SimSun" w:cs="Mangal"/>
      <w:kern w:val="1"/>
      <w:lang w:val="af-ZA" w:eastAsia="hi-IN" w:bidi="hi-IN"/>
    </w:rPr>
  </w:style>
  <w:style w:type="character" w:customStyle="1" w:styleId="TextkrperZchn">
    <w:name w:val="Textkörper Zchn"/>
    <w:basedOn w:val="Absatz-Standardschriftart"/>
    <w:link w:val="Textkrper"/>
    <w:rsid w:val="004B0C86"/>
    <w:rPr>
      <w:rFonts w:eastAsia="SimSun" w:cs="Mangal"/>
      <w:kern w:val="1"/>
      <w:lang w:val="af-ZA" w:eastAsia="hi-IN" w:bidi="hi-IN"/>
    </w:rPr>
  </w:style>
  <w:style w:type="paragraph" w:customStyle="1" w:styleId="TableContents">
    <w:name w:val="Table Contents"/>
    <w:basedOn w:val="Standard"/>
    <w:rsid w:val="004B0C86"/>
    <w:pPr>
      <w:widowControl w:val="0"/>
      <w:suppressLineNumbers/>
      <w:suppressAutoHyphens/>
      <w:spacing w:line="240" w:lineRule="auto"/>
    </w:pPr>
    <w:rPr>
      <w:rFonts w:eastAsia="SimSun" w:cs="Mangal"/>
      <w:kern w:val="1"/>
      <w:lang w:val="af-ZA" w:eastAsia="hi-IN" w:bidi="hi-IN"/>
    </w:rPr>
  </w:style>
  <w:style w:type="character" w:styleId="Hyperlink">
    <w:name w:val="Hyperlink"/>
    <w:rsid w:val="002F1217"/>
    <w:rPr>
      <w:color w:val="000080"/>
      <w:u w:val="single"/>
    </w:rPr>
  </w:style>
  <w:style w:type="character" w:styleId="HTMLZitat">
    <w:name w:val="HTML Cite"/>
    <w:basedOn w:val="Absatz-Standardschriftart"/>
    <w:uiPriority w:val="99"/>
    <w:semiHidden/>
    <w:unhideWhenUsed/>
    <w:rsid w:val="00527174"/>
    <w:rPr>
      <w:i/>
      <w:iCs/>
    </w:rPr>
  </w:style>
  <w:style w:type="character" w:styleId="Platzhaltertext">
    <w:name w:val="Placeholder Text"/>
    <w:basedOn w:val="Absatz-Standardschriftart"/>
    <w:uiPriority w:val="99"/>
    <w:semiHidden/>
    <w:rsid w:val="008D7037"/>
    <w:rPr>
      <w:color w:val="808080"/>
    </w:rPr>
  </w:style>
  <w:style w:type="paragraph" w:styleId="Sprechblasentext">
    <w:name w:val="Balloon Text"/>
    <w:basedOn w:val="Standard"/>
    <w:link w:val="SprechblasentextZchn"/>
    <w:uiPriority w:val="99"/>
    <w:semiHidden/>
    <w:unhideWhenUsed/>
    <w:rsid w:val="008D703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7037"/>
    <w:rPr>
      <w:rFonts w:ascii="Tahoma" w:hAnsi="Tahoma" w:cs="Tahoma"/>
      <w:sz w:val="16"/>
      <w:szCs w:val="16"/>
    </w:rPr>
  </w:style>
  <w:style w:type="character" w:styleId="Hervorhebung">
    <w:name w:val="Emphasis"/>
    <w:basedOn w:val="Absatz-Standardschriftart"/>
    <w:uiPriority w:val="20"/>
    <w:qFormat/>
    <w:rsid w:val="00B7544C"/>
    <w:rPr>
      <w:i/>
      <w:iCs/>
    </w:rPr>
  </w:style>
  <w:style w:type="table" w:styleId="Tabellenraster">
    <w:name w:val="Table Grid"/>
    <w:basedOn w:val="NormaleTabelle"/>
    <w:uiPriority w:val="59"/>
    <w:rsid w:val="007B11A5"/>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0155D"/>
    <w:pPr>
      <w:autoSpaceDE w:val="0"/>
      <w:autoSpaceDN w:val="0"/>
      <w:adjustRightInd w:val="0"/>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91016">
      <w:bodyDiv w:val="1"/>
      <w:marLeft w:val="0"/>
      <w:marRight w:val="0"/>
      <w:marTop w:val="0"/>
      <w:marBottom w:val="0"/>
      <w:divBdr>
        <w:top w:val="none" w:sz="0" w:space="0" w:color="auto"/>
        <w:left w:val="none" w:sz="0" w:space="0" w:color="auto"/>
        <w:bottom w:val="none" w:sz="0" w:space="0" w:color="auto"/>
        <w:right w:val="none" w:sz="0" w:space="0" w:color="auto"/>
      </w:divBdr>
    </w:div>
    <w:div w:id="201670796">
      <w:bodyDiv w:val="1"/>
      <w:marLeft w:val="0"/>
      <w:marRight w:val="0"/>
      <w:marTop w:val="0"/>
      <w:marBottom w:val="0"/>
      <w:divBdr>
        <w:top w:val="none" w:sz="0" w:space="0" w:color="auto"/>
        <w:left w:val="none" w:sz="0" w:space="0" w:color="auto"/>
        <w:bottom w:val="none" w:sz="0" w:space="0" w:color="auto"/>
        <w:right w:val="none" w:sz="0" w:space="0" w:color="auto"/>
      </w:divBdr>
    </w:div>
    <w:div w:id="703791491">
      <w:bodyDiv w:val="1"/>
      <w:marLeft w:val="0"/>
      <w:marRight w:val="0"/>
      <w:marTop w:val="0"/>
      <w:marBottom w:val="0"/>
      <w:divBdr>
        <w:top w:val="none" w:sz="0" w:space="0" w:color="auto"/>
        <w:left w:val="none" w:sz="0" w:space="0" w:color="auto"/>
        <w:bottom w:val="none" w:sz="0" w:space="0" w:color="auto"/>
        <w:right w:val="none" w:sz="0" w:space="0" w:color="auto"/>
      </w:divBdr>
    </w:div>
    <w:div w:id="722950445">
      <w:bodyDiv w:val="1"/>
      <w:marLeft w:val="0"/>
      <w:marRight w:val="0"/>
      <w:marTop w:val="0"/>
      <w:marBottom w:val="0"/>
      <w:divBdr>
        <w:top w:val="none" w:sz="0" w:space="0" w:color="auto"/>
        <w:left w:val="none" w:sz="0" w:space="0" w:color="auto"/>
        <w:bottom w:val="none" w:sz="0" w:space="0" w:color="auto"/>
        <w:right w:val="none" w:sz="0" w:space="0" w:color="auto"/>
      </w:divBdr>
    </w:div>
    <w:div w:id="769472780">
      <w:bodyDiv w:val="1"/>
      <w:marLeft w:val="0"/>
      <w:marRight w:val="0"/>
      <w:marTop w:val="0"/>
      <w:marBottom w:val="0"/>
      <w:divBdr>
        <w:top w:val="none" w:sz="0" w:space="0" w:color="auto"/>
        <w:left w:val="none" w:sz="0" w:space="0" w:color="auto"/>
        <w:bottom w:val="none" w:sz="0" w:space="0" w:color="auto"/>
        <w:right w:val="none" w:sz="0" w:space="0" w:color="auto"/>
      </w:divBdr>
    </w:div>
    <w:div w:id="811100823">
      <w:bodyDiv w:val="1"/>
      <w:marLeft w:val="0"/>
      <w:marRight w:val="0"/>
      <w:marTop w:val="0"/>
      <w:marBottom w:val="0"/>
      <w:divBdr>
        <w:top w:val="none" w:sz="0" w:space="0" w:color="auto"/>
        <w:left w:val="none" w:sz="0" w:space="0" w:color="auto"/>
        <w:bottom w:val="none" w:sz="0" w:space="0" w:color="auto"/>
        <w:right w:val="none" w:sz="0" w:space="0" w:color="auto"/>
      </w:divBdr>
    </w:div>
    <w:div w:id="902642916">
      <w:bodyDiv w:val="1"/>
      <w:marLeft w:val="0"/>
      <w:marRight w:val="0"/>
      <w:marTop w:val="0"/>
      <w:marBottom w:val="0"/>
      <w:divBdr>
        <w:top w:val="none" w:sz="0" w:space="0" w:color="auto"/>
        <w:left w:val="none" w:sz="0" w:space="0" w:color="auto"/>
        <w:bottom w:val="none" w:sz="0" w:space="0" w:color="auto"/>
        <w:right w:val="none" w:sz="0" w:space="0" w:color="auto"/>
      </w:divBdr>
    </w:div>
    <w:div w:id="1268006404">
      <w:bodyDiv w:val="1"/>
      <w:marLeft w:val="0"/>
      <w:marRight w:val="0"/>
      <w:marTop w:val="0"/>
      <w:marBottom w:val="0"/>
      <w:divBdr>
        <w:top w:val="none" w:sz="0" w:space="0" w:color="auto"/>
        <w:left w:val="none" w:sz="0" w:space="0" w:color="auto"/>
        <w:bottom w:val="none" w:sz="0" w:space="0" w:color="auto"/>
        <w:right w:val="none" w:sz="0" w:space="0" w:color="auto"/>
      </w:divBdr>
    </w:div>
    <w:div w:id="1283999902">
      <w:bodyDiv w:val="1"/>
      <w:marLeft w:val="0"/>
      <w:marRight w:val="0"/>
      <w:marTop w:val="0"/>
      <w:marBottom w:val="0"/>
      <w:divBdr>
        <w:top w:val="none" w:sz="0" w:space="0" w:color="auto"/>
        <w:left w:val="none" w:sz="0" w:space="0" w:color="auto"/>
        <w:bottom w:val="none" w:sz="0" w:space="0" w:color="auto"/>
        <w:right w:val="none" w:sz="0" w:space="0" w:color="auto"/>
      </w:divBdr>
    </w:div>
    <w:div w:id="1503424751">
      <w:bodyDiv w:val="1"/>
      <w:marLeft w:val="0"/>
      <w:marRight w:val="0"/>
      <w:marTop w:val="0"/>
      <w:marBottom w:val="0"/>
      <w:divBdr>
        <w:top w:val="none" w:sz="0" w:space="0" w:color="auto"/>
        <w:left w:val="none" w:sz="0" w:space="0" w:color="auto"/>
        <w:bottom w:val="none" w:sz="0" w:space="0" w:color="auto"/>
        <w:right w:val="none" w:sz="0" w:space="0" w:color="auto"/>
      </w:divBdr>
    </w:div>
    <w:div w:id="1632781795">
      <w:bodyDiv w:val="1"/>
      <w:marLeft w:val="0"/>
      <w:marRight w:val="0"/>
      <w:marTop w:val="0"/>
      <w:marBottom w:val="0"/>
      <w:divBdr>
        <w:top w:val="none" w:sz="0" w:space="0" w:color="auto"/>
        <w:left w:val="none" w:sz="0" w:space="0" w:color="auto"/>
        <w:bottom w:val="none" w:sz="0" w:space="0" w:color="auto"/>
        <w:right w:val="none" w:sz="0" w:space="0" w:color="auto"/>
      </w:divBdr>
    </w:div>
    <w:div w:id="1688169948">
      <w:bodyDiv w:val="1"/>
      <w:marLeft w:val="0"/>
      <w:marRight w:val="0"/>
      <w:marTop w:val="0"/>
      <w:marBottom w:val="0"/>
      <w:divBdr>
        <w:top w:val="none" w:sz="0" w:space="0" w:color="auto"/>
        <w:left w:val="none" w:sz="0" w:space="0" w:color="auto"/>
        <w:bottom w:val="none" w:sz="0" w:space="0" w:color="auto"/>
        <w:right w:val="none" w:sz="0" w:space="0" w:color="auto"/>
      </w:divBdr>
    </w:div>
    <w:div w:id="188844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EFC66-9661-4A5D-988E-9B669288A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25322</Words>
  <Characters>159534</Characters>
  <Application>Microsoft Office Word</Application>
  <DocSecurity>0</DocSecurity>
  <Lines>1329</Lines>
  <Paragraphs>368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Hannes</dc:creator>
  <cp:keywords/>
  <dc:description/>
  <cp:lastModifiedBy>stefan</cp:lastModifiedBy>
  <cp:revision>2</cp:revision>
  <cp:lastPrinted>2011-05-31T17:51:00Z</cp:lastPrinted>
  <dcterms:created xsi:type="dcterms:W3CDTF">2020-03-16T01:03:00Z</dcterms:created>
  <dcterms:modified xsi:type="dcterms:W3CDTF">2020-03-16T01:03:00Z</dcterms:modified>
</cp:coreProperties>
</file>