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C0" w:rsidRDefault="001938C0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</w:p>
    <w:p w:rsidR="00305DF7" w:rsidRDefault="00305DF7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  <w:r>
        <w:rPr>
          <w:rFonts w:ascii="Arial" w:hAnsi="Arial" w:cs="Arial"/>
          <w:caps/>
          <w:color w:val="FF9900"/>
          <w:sz w:val="32"/>
          <w:szCs w:val="32"/>
        </w:rPr>
        <w:t>Datastream – 3</w:t>
      </w:r>
      <w:r w:rsidRPr="00305DF7">
        <w:rPr>
          <w:rFonts w:ascii="Arial" w:hAnsi="Arial" w:cs="Arial"/>
          <w:caps/>
          <w:color w:val="FF9900"/>
          <w:sz w:val="32"/>
          <w:szCs w:val="32"/>
          <w:vertAlign w:val="superscript"/>
        </w:rPr>
        <w:t>rd</w:t>
      </w:r>
      <w:r>
        <w:rPr>
          <w:rFonts w:ascii="Arial" w:hAnsi="Arial" w:cs="Arial"/>
          <w:caps/>
          <w:color w:val="FF9900"/>
          <w:sz w:val="32"/>
          <w:szCs w:val="32"/>
        </w:rPr>
        <w:t xml:space="preserve"> party DATA restrictions</w:t>
      </w:r>
    </w:p>
    <w:p w:rsidR="00305DF7" w:rsidRDefault="00841349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  <w:r w:rsidRPr="009C7BCE">
        <w:rPr>
          <w:rFonts w:ascii="Arial" w:hAnsi="Arial" w:cs="Arial"/>
          <w:caps/>
          <w:color w:val="FF9900"/>
          <w:sz w:val="32"/>
          <w:szCs w:val="32"/>
        </w:rPr>
        <w:t>equity index</w:t>
      </w:r>
      <w:r w:rsidR="00106556">
        <w:rPr>
          <w:rFonts w:ascii="Arial" w:hAnsi="Arial" w:cs="Arial"/>
          <w:caps/>
          <w:color w:val="FF9900"/>
          <w:sz w:val="32"/>
          <w:szCs w:val="32"/>
        </w:rPr>
        <w:t xml:space="preserve">, </w:t>
      </w:r>
      <w:r w:rsidR="00106556" w:rsidRPr="009C7BCE">
        <w:rPr>
          <w:rFonts w:ascii="Arial" w:hAnsi="Arial" w:cs="Arial"/>
          <w:caps/>
          <w:color w:val="FF9900"/>
          <w:sz w:val="32"/>
          <w:szCs w:val="32"/>
        </w:rPr>
        <w:t>CONSTITUENTS</w:t>
      </w:r>
      <w:r w:rsidR="00106556">
        <w:rPr>
          <w:rFonts w:ascii="Arial" w:hAnsi="Arial" w:cs="Arial"/>
          <w:caps/>
          <w:color w:val="FF9900"/>
          <w:sz w:val="32"/>
          <w:szCs w:val="32"/>
        </w:rPr>
        <w:t xml:space="preserve"> ICW, GICS &amp; ICB CLASSIFICATiON </w:t>
      </w:r>
      <w:r w:rsidRPr="009C7BCE">
        <w:rPr>
          <w:rFonts w:ascii="Arial" w:hAnsi="Arial" w:cs="Arial"/>
          <w:caps/>
          <w:color w:val="FF9900"/>
          <w:sz w:val="32"/>
          <w:szCs w:val="32"/>
        </w:rPr>
        <w:t xml:space="preserve">pass through modules on thomson reuters DATASTREAM </w:t>
      </w:r>
    </w:p>
    <w:p w:rsidR="00841349" w:rsidRDefault="0001200F" w:rsidP="00841349">
      <w:pPr>
        <w:tabs>
          <w:tab w:val="right" w:pos="9072"/>
        </w:tabs>
        <w:jc w:val="center"/>
        <w:rPr>
          <w:rFonts w:ascii="Arial" w:hAnsi="Arial" w:cs="Arial"/>
          <w:caps/>
          <w:color w:val="FF9900"/>
          <w:sz w:val="32"/>
          <w:szCs w:val="32"/>
        </w:rPr>
      </w:pPr>
      <w:r>
        <w:rPr>
          <w:rFonts w:ascii="Arial" w:hAnsi="Arial" w:cs="Arial"/>
          <w:caps/>
          <w:color w:val="FF9900"/>
          <w:sz w:val="32"/>
          <w:szCs w:val="32"/>
        </w:rPr>
        <w:t>SEPTEMBER</w:t>
      </w:r>
      <w:r w:rsidR="00B4089B">
        <w:rPr>
          <w:rFonts w:ascii="Arial" w:hAnsi="Arial" w:cs="Arial"/>
          <w:caps/>
          <w:color w:val="FF9900"/>
          <w:sz w:val="32"/>
          <w:szCs w:val="32"/>
        </w:rPr>
        <w:t xml:space="preserve"> 2012</w:t>
      </w:r>
    </w:p>
    <w:p w:rsidR="003B36D6" w:rsidRPr="009C7BCE" w:rsidRDefault="003B36D6" w:rsidP="00841349">
      <w:pPr>
        <w:tabs>
          <w:tab w:val="right" w:pos="9072"/>
        </w:tabs>
        <w:jc w:val="center"/>
        <w:rPr>
          <w:rFonts w:ascii="Arial" w:hAnsi="Arial" w:cs="Arial"/>
          <w:b/>
          <w:color w:val="333333"/>
        </w:rPr>
      </w:pPr>
    </w:p>
    <w:p w:rsidR="0080352E" w:rsidRDefault="00642933" w:rsidP="00841349">
      <w:pPr>
        <w:rPr>
          <w:rFonts w:ascii="Calibri" w:hAnsi="Calibri" w:cs="Arial"/>
          <w:color w:val="333333"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>This document provides details of the E</w:t>
      </w:r>
      <w:r w:rsidR="00E755F3" w:rsidRPr="00062700">
        <w:rPr>
          <w:rFonts w:ascii="Calibri" w:hAnsi="Calibri" w:cs="Arial"/>
          <w:color w:val="333333"/>
          <w:sz w:val="22"/>
          <w:szCs w:val="22"/>
        </w:rPr>
        <w:t>quity Index</w:t>
      </w:r>
      <w:r w:rsidR="00106556">
        <w:rPr>
          <w:rFonts w:ascii="Calibri" w:hAnsi="Calibri" w:cs="Arial"/>
          <w:color w:val="333333"/>
          <w:sz w:val="22"/>
          <w:szCs w:val="22"/>
        </w:rPr>
        <w:t>, E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quity </w:t>
      </w:r>
      <w:r w:rsidR="00106556" w:rsidRPr="00062700">
        <w:rPr>
          <w:rFonts w:ascii="Calibri" w:hAnsi="Calibri" w:cs="Arial"/>
          <w:color w:val="333333"/>
          <w:sz w:val="22"/>
          <w:szCs w:val="22"/>
        </w:rPr>
        <w:t>Constituent</w:t>
      </w:r>
      <w:r w:rsidR="00106556">
        <w:rPr>
          <w:rFonts w:ascii="Calibri" w:hAnsi="Calibri" w:cs="Arial"/>
          <w:color w:val="333333"/>
          <w:sz w:val="22"/>
          <w:szCs w:val="22"/>
        </w:rPr>
        <w:t>s</w:t>
      </w:r>
      <w:r w:rsidR="00106556" w:rsidRPr="00062700">
        <w:rPr>
          <w:rFonts w:ascii="Calibri" w:hAnsi="Calibri" w:cs="Arial"/>
          <w:color w:val="333333"/>
          <w:sz w:val="22"/>
          <w:szCs w:val="22"/>
        </w:rPr>
        <w:t xml:space="preserve"> </w:t>
      </w:r>
      <w:r w:rsidR="00106556">
        <w:rPr>
          <w:rFonts w:ascii="Calibri" w:hAnsi="Calibri" w:cs="Arial"/>
          <w:color w:val="333333"/>
          <w:sz w:val="22"/>
          <w:szCs w:val="22"/>
        </w:rPr>
        <w:t xml:space="preserve">and GICS/ICB classification data </w:t>
      </w:r>
      <w:r w:rsidR="00E755F3" w:rsidRPr="00062700">
        <w:rPr>
          <w:rFonts w:ascii="Calibri" w:hAnsi="Calibri" w:cs="Arial"/>
          <w:color w:val="333333"/>
          <w:sz w:val="22"/>
          <w:szCs w:val="22"/>
        </w:rPr>
        <w:t>p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>ass through or 3</w:t>
      </w:r>
      <w:r w:rsidR="00841349" w:rsidRPr="00062700">
        <w:rPr>
          <w:rFonts w:ascii="Calibri" w:hAnsi="Calibri" w:cs="Arial"/>
          <w:color w:val="333333"/>
          <w:sz w:val="22"/>
          <w:szCs w:val="22"/>
          <w:vertAlign w:val="superscript"/>
        </w:rPr>
        <w:t>rd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 party modules available on Datastream Advance, </w:t>
      </w:r>
      <w:r w:rsidR="00102F17" w:rsidRPr="00062700">
        <w:rPr>
          <w:rFonts w:ascii="Calibri" w:hAnsi="Calibri" w:cs="Arial"/>
          <w:color w:val="333333"/>
          <w:sz w:val="22"/>
          <w:szCs w:val="22"/>
        </w:rPr>
        <w:t xml:space="preserve">Datastream Professional and Datastream Data Feeds. 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  </w:t>
      </w:r>
      <w:r w:rsidR="0048035E" w:rsidRPr="00062700">
        <w:rPr>
          <w:rFonts w:ascii="Calibri" w:hAnsi="Calibri" w:cs="Arial"/>
          <w:color w:val="333333"/>
          <w:sz w:val="22"/>
          <w:szCs w:val="22"/>
        </w:rPr>
        <w:t xml:space="preserve">Clients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wishing to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access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any of these </w:t>
      </w:r>
      <w:r w:rsidR="00720442" w:rsidRPr="00062700">
        <w:rPr>
          <w:rFonts w:ascii="Calibri" w:hAnsi="Calibri" w:cs="Arial"/>
          <w:color w:val="333333"/>
          <w:sz w:val="22"/>
          <w:szCs w:val="22"/>
        </w:rPr>
        <w:t>modules on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 Datastream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 xml:space="preserve">will need to 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have a licence with the </w:t>
      </w:r>
      <w:r w:rsidR="00841349" w:rsidRPr="00062700">
        <w:rPr>
          <w:rFonts w:ascii="Calibri" w:hAnsi="Calibri" w:cs="Arial"/>
          <w:color w:val="333333"/>
          <w:sz w:val="22"/>
          <w:szCs w:val="22"/>
        </w:rPr>
        <w:t>relevant supplier</w:t>
      </w:r>
      <w:r w:rsidRPr="00062700">
        <w:rPr>
          <w:rFonts w:ascii="Calibri" w:hAnsi="Calibri" w:cs="Arial"/>
          <w:color w:val="333333"/>
          <w:sz w:val="22"/>
          <w:szCs w:val="22"/>
        </w:rPr>
        <w:t>.</w:t>
      </w:r>
      <w:r w:rsidR="004F5DDA" w:rsidRPr="00062700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062700">
        <w:rPr>
          <w:rFonts w:ascii="Calibri" w:hAnsi="Calibri" w:cs="Arial"/>
          <w:color w:val="333333"/>
          <w:sz w:val="22"/>
          <w:szCs w:val="22"/>
        </w:rPr>
        <w:t xml:space="preserve">  </w:t>
      </w:r>
      <w:r w:rsidR="00106556">
        <w:rPr>
          <w:rFonts w:ascii="Calibri" w:hAnsi="Calibri" w:cs="Arial"/>
          <w:color w:val="333333"/>
          <w:sz w:val="22"/>
          <w:szCs w:val="22"/>
        </w:rPr>
        <w:t xml:space="preserve">  </w:t>
      </w:r>
    </w:p>
    <w:p w:rsidR="00002B1B" w:rsidRDefault="00002B1B" w:rsidP="00841349">
      <w:pPr>
        <w:rPr>
          <w:rFonts w:ascii="Calibri" w:hAnsi="Calibri" w:cs="Arial"/>
          <w:color w:val="333333"/>
          <w:sz w:val="22"/>
          <w:szCs w:val="22"/>
        </w:rPr>
      </w:pPr>
    </w:p>
    <w:p w:rsidR="00002B1B" w:rsidRPr="00002B1B" w:rsidRDefault="00106556" w:rsidP="00841349">
      <w:pPr>
        <w:rPr>
          <w:rFonts w:ascii="Calibri" w:hAnsi="Calibri" w:cs="Arial"/>
          <w:color w:val="333333"/>
          <w:sz w:val="22"/>
          <w:szCs w:val="22"/>
          <w:u w:val="single"/>
        </w:rPr>
      </w:pPr>
      <w:r>
        <w:rPr>
          <w:rFonts w:ascii="Calibri" w:hAnsi="Calibri" w:cs="Arial"/>
          <w:color w:val="333333"/>
          <w:sz w:val="22"/>
          <w:szCs w:val="22"/>
          <w:u w:val="single"/>
        </w:rPr>
        <w:t xml:space="preserve">Contact Details and </w:t>
      </w:r>
      <w:r w:rsidR="00002B1B" w:rsidRPr="00002B1B">
        <w:rPr>
          <w:rFonts w:ascii="Calibri" w:hAnsi="Calibri" w:cs="Arial"/>
          <w:color w:val="333333"/>
          <w:sz w:val="22"/>
          <w:szCs w:val="22"/>
          <w:u w:val="single"/>
        </w:rPr>
        <w:t>Order Forms</w:t>
      </w:r>
    </w:p>
    <w:p w:rsidR="00002B1B" w:rsidRPr="00062700" w:rsidRDefault="00002B1B" w:rsidP="00841349">
      <w:pPr>
        <w:rPr>
          <w:rFonts w:ascii="Calibri" w:hAnsi="Calibri" w:cs="Arial"/>
          <w:color w:val="333333"/>
          <w:sz w:val="22"/>
          <w:szCs w:val="22"/>
        </w:rPr>
      </w:pPr>
    </w:p>
    <w:p w:rsidR="00383996" w:rsidRPr="00062700" w:rsidRDefault="00106556" w:rsidP="00383996">
      <w:pPr>
        <w:rPr>
          <w:rFonts w:ascii="Calibri" w:hAnsi="Calibri" w:cs="Arial"/>
          <w:color w:val="333333"/>
          <w:sz w:val="22"/>
          <w:szCs w:val="22"/>
        </w:rPr>
      </w:pPr>
      <w:r>
        <w:rPr>
          <w:rFonts w:ascii="Calibri" w:hAnsi="Calibri" w:cs="Arial"/>
          <w:color w:val="333333"/>
          <w:sz w:val="22"/>
          <w:szCs w:val="22"/>
        </w:rPr>
        <w:t xml:space="preserve">Contact details and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Order forms </w:t>
      </w:r>
      <w:r w:rsidR="00002B1B">
        <w:rPr>
          <w:rFonts w:ascii="Calibri" w:hAnsi="Calibri" w:cs="Arial"/>
          <w:color w:val="333333"/>
          <w:sz w:val="22"/>
          <w:szCs w:val="22"/>
        </w:rPr>
        <w:t xml:space="preserve">for each of the modules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are available on the equity index pages on the Datastream Extranet.    </w:t>
      </w:r>
    </w:p>
    <w:p w:rsidR="00383996" w:rsidRPr="00062700" w:rsidRDefault="00383996" w:rsidP="00383996">
      <w:pPr>
        <w:rPr>
          <w:rFonts w:ascii="Calibri" w:hAnsi="Calibri" w:cs="Arial"/>
          <w:color w:val="333333"/>
          <w:sz w:val="22"/>
          <w:szCs w:val="22"/>
        </w:rPr>
      </w:pPr>
    </w:p>
    <w:p w:rsidR="00383996" w:rsidRDefault="009616D4" w:rsidP="00383996">
      <w:hyperlink r:id="rId8" w:history="1">
        <w:r w:rsidR="00383996" w:rsidRPr="00062700">
          <w:rPr>
            <w:rStyle w:val="Hyperlink"/>
            <w:rFonts w:ascii="Calibri" w:hAnsi="Calibri" w:cs="Arial"/>
            <w:sz w:val="22"/>
            <w:szCs w:val="22"/>
          </w:rPr>
          <w:t>http://extranet.datastream.com/data/Equity%20indices/Index.htm</w:t>
        </w:r>
      </w:hyperlink>
    </w:p>
    <w:p w:rsidR="00383996" w:rsidRPr="00062700" w:rsidRDefault="00383996" w:rsidP="00383996">
      <w:pPr>
        <w:rPr>
          <w:rFonts w:ascii="Calibri" w:hAnsi="Calibri" w:cs="Arial"/>
          <w:color w:val="333333"/>
          <w:sz w:val="22"/>
          <w:szCs w:val="22"/>
        </w:rPr>
      </w:pPr>
    </w:p>
    <w:p w:rsidR="00383996" w:rsidRPr="00062700" w:rsidRDefault="00383996" w:rsidP="00841349">
      <w:pPr>
        <w:rPr>
          <w:rFonts w:ascii="Calibri" w:hAnsi="Calibri" w:cs="Arial"/>
          <w:b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>Please complete the form and send to the supplier</w:t>
      </w:r>
      <w:r w:rsidRPr="001A4E96">
        <w:rPr>
          <w:rFonts w:ascii="Calibri" w:hAnsi="Calibri" w:cs="Arial"/>
          <w:color w:val="FF0000"/>
          <w:sz w:val="22"/>
          <w:szCs w:val="22"/>
        </w:rPr>
        <w:t>, ensuring Datastream logon ids are provided as this ensure</w:t>
      </w:r>
      <w:r w:rsidR="00720442" w:rsidRPr="001A4E96">
        <w:rPr>
          <w:rFonts w:ascii="Calibri" w:hAnsi="Calibri" w:cs="Arial"/>
          <w:color w:val="FF0000"/>
          <w:sz w:val="22"/>
          <w:szCs w:val="22"/>
        </w:rPr>
        <w:t>s</w:t>
      </w:r>
      <w:r w:rsidRPr="001A4E96">
        <w:rPr>
          <w:rFonts w:ascii="Calibri" w:hAnsi="Calibri" w:cs="Arial"/>
          <w:color w:val="FF0000"/>
          <w:sz w:val="22"/>
          <w:szCs w:val="22"/>
        </w:rPr>
        <w:t xml:space="preserve"> the modules are added to the correct </w:t>
      </w:r>
      <w:r w:rsidR="00720442" w:rsidRPr="001A4E96">
        <w:rPr>
          <w:rFonts w:ascii="Calibri" w:hAnsi="Calibri" w:cs="Arial"/>
          <w:color w:val="FF0000"/>
          <w:sz w:val="22"/>
          <w:szCs w:val="22"/>
        </w:rPr>
        <w:t xml:space="preserve">Datastream </w:t>
      </w:r>
      <w:r w:rsidRPr="001A4E96">
        <w:rPr>
          <w:rFonts w:ascii="Calibri" w:hAnsi="Calibri" w:cs="Arial"/>
          <w:color w:val="FF0000"/>
          <w:sz w:val="22"/>
          <w:szCs w:val="22"/>
        </w:rPr>
        <w:t>ids</w:t>
      </w:r>
      <w:r w:rsidRPr="00062700">
        <w:rPr>
          <w:rFonts w:ascii="Calibri" w:hAnsi="Calibri" w:cs="Arial"/>
          <w:color w:val="333333"/>
          <w:sz w:val="22"/>
          <w:szCs w:val="22"/>
        </w:rPr>
        <w:t>.   The Datastream logon ids are in the format</w:t>
      </w:r>
      <w:r w:rsidR="00720442"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062700">
        <w:rPr>
          <w:rFonts w:ascii="Calibri" w:hAnsi="Calibri" w:cs="Arial"/>
          <w:b/>
          <w:sz w:val="22"/>
          <w:szCs w:val="22"/>
        </w:rPr>
        <w:t xml:space="preserve">XABC123.  </w:t>
      </w:r>
      <w:r w:rsidR="008A59A4" w:rsidRPr="00062700">
        <w:rPr>
          <w:rFonts w:ascii="Calibri" w:hAnsi="Calibri" w:cs="Arial"/>
          <w:sz w:val="22"/>
          <w:szCs w:val="22"/>
        </w:rPr>
        <w:t xml:space="preserve">If you unsure about your Datastream logon id, please </w:t>
      </w:r>
      <w:r w:rsidR="002A6DB0" w:rsidRPr="00062700">
        <w:rPr>
          <w:rFonts w:ascii="Calibri" w:hAnsi="Calibri" w:cs="Arial"/>
          <w:sz w:val="22"/>
          <w:szCs w:val="22"/>
        </w:rPr>
        <w:t xml:space="preserve">contact </w:t>
      </w:r>
      <w:r w:rsidR="008A59A4" w:rsidRPr="00062700">
        <w:rPr>
          <w:rFonts w:ascii="Calibri" w:hAnsi="Calibri" w:cs="Arial"/>
          <w:sz w:val="22"/>
          <w:szCs w:val="22"/>
        </w:rPr>
        <w:t xml:space="preserve">your </w:t>
      </w:r>
      <w:r w:rsidR="0030019F">
        <w:rPr>
          <w:rFonts w:ascii="Calibri" w:hAnsi="Calibri" w:cs="Arial"/>
          <w:sz w:val="22"/>
          <w:szCs w:val="22"/>
        </w:rPr>
        <w:t xml:space="preserve">Thomson Reuters </w:t>
      </w:r>
      <w:r w:rsidR="008A59A4" w:rsidRPr="00062700">
        <w:rPr>
          <w:rFonts w:ascii="Calibri" w:hAnsi="Calibri" w:cs="Arial"/>
          <w:sz w:val="22"/>
          <w:szCs w:val="22"/>
        </w:rPr>
        <w:t>account manager for confirmation.</w:t>
      </w:r>
      <w:r w:rsidR="008A59A4" w:rsidRPr="00062700">
        <w:rPr>
          <w:rFonts w:ascii="Calibri" w:hAnsi="Calibri" w:cs="Arial"/>
          <w:b/>
          <w:sz w:val="22"/>
          <w:szCs w:val="22"/>
        </w:rPr>
        <w:t xml:space="preserve">  </w:t>
      </w:r>
    </w:p>
    <w:p w:rsidR="00383996" w:rsidRPr="00062700" w:rsidRDefault="00383996" w:rsidP="00841349">
      <w:pPr>
        <w:rPr>
          <w:rFonts w:ascii="Calibri" w:hAnsi="Calibri" w:cs="Arial"/>
          <w:b/>
          <w:sz w:val="22"/>
          <w:szCs w:val="22"/>
        </w:rPr>
      </w:pPr>
    </w:p>
    <w:p w:rsidR="0080352E" w:rsidRPr="00062700" w:rsidRDefault="0080352E" w:rsidP="00841349">
      <w:pPr>
        <w:rPr>
          <w:rFonts w:ascii="Calibri" w:hAnsi="Calibri" w:cs="Arial"/>
          <w:color w:val="333333"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 xml:space="preserve">Once 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the licence has been confirmed, the supplier will send </w:t>
      </w:r>
      <w:r w:rsidRPr="00062700">
        <w:rPr>
          <w:rFonts w:ascii="Calibri" w:hAnsi="Calibri" w:cs="Arial"/>
          <w:color w:val="333333"/>
          <w:sz w:val="22"/>
          <w:szCs w:val="22"/>
        </w:rPr>
        <w:t>the author</w:t>
      </w:r>
      <w:r w:rsidR="00383996" w:rsidRPr="00062700">
        <w:rPr>
          <w:rFonts w:ascii="Calibri" w:hAnsi="Calibri" w:cs="Arial"/>
          <w:color w:val="333333"/>
          <w:sz w:val="22"/>
          <w:szCs w:val="22"/>
        </w:rPr>
        <w:t xml:space="preserve">ized order form to the Thomson Reuters Order Entitlement team who will arrange for the service(s) to be added to the Datastream logon ids listed in the order form.  </w:t>
      </w:r>
    </w:p>
    <w:p w:rsidR="00383996" w:rsidRPr="00062700" w:rsidRDefault="00383996" w:rsidP="00841349">
      <w:pPr>
        <w:rPr>
          <w:rFonts w:ascii="Calibri" w:hAnsi="Calibri" w:cs="Arial"/>
          <w:color w:val="333333"/>
          <w:sz w:val="22"/>
          <w:szCs w:val="22"/>
        </w:rPr>
      </w:pPr>
    </w:p>
    <w:p w:rsidR="00383996" w:rsidRPr="00062700" w:rsidRDefault="00383996" w:rsidP="00841349">
      <w:pPr>
        <w:rPr>
          <w:rFonts w:ascii="Calibri" w:hAnsi="Calibri" w:cs="Arial"/>
          <w:color w:val="333333"/>
          <w:sz w:val="22"/>
          <w:szCs w:val="22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 xml:space="preserve">Trials of the modules can be arranged subject to the discretion of each supplier.  </w:t>
      </w:r>
    </w:p>
    <w:p w:rsidR="0048035E" w:rsidRDefault="0048035E" w:rsidP="00841349">
      <w:pPr>
        <w:rPr>
          <w:rFonts w:ascii="Calibri" w:hAnsi="Calibri" w:cs="Arial"/>
          <w:color w:val="333333"/>
          <w:sz w:val="21"/>
          <w:szCs w:val="21"/>
        </w:rPr>
      </w:pPr>
    </w:p>
    <w:p w:rsidR="00383996" w:rsidRPr="006177E3" w:rsidRDefault="00383996" w:rsidP="00841349">
      <w:pPr>
        <w:rPr>
          <w:rFonts w:ascii="Calibri" w:hAnsi="Calibri" w:cs="Arial"/>
          <w:b/>
          <w:color w:val="333333"/>
          <w:sz w:val="24"/>
          <w:szCs w:val="24"/>
          <w:u w:val="single"/>
        </w:rPr>
      </w:pPr>
      <w:r w:rsidRPr="006177E3">
        <w:rPr>
          <w:rFonts w:ascii="Calibri" w:hAnsi="Calibri" w:cs="Arial"/>
          <w:b/>
          <w:color w:val="333333"/>
          <w:sz w:val="24"/>
          <w:szCs w:val="24"/>
          <w:u w:val="single"/>
        </w:rPr>
        <w:t>Modules available</w:t>
      </w:r>
    </w:p>
    <w:p w:rsidR="00383996" w:rsidRDefault="00383996" w:rsidP="00841349">
      <w:pPr>
        <w:rPr>
          <w:rFonts w:ascii="Calibri" w:hAnsi="Calibri" w:cs="Arial"/>
          <w:color w:val="333333"/>
          <w:sz w:val="21"/>
          <w:szCs w:val="21"/>
        </w:rPr>
      </w:pPr>
    </w:p>
    <w:p w:rsidR="009B2192" w:rsidRPr="009B2192" w:rsidRDefault="00841349" w:rsidP="00841349">
      <w:pPr>
        <w:pStyle w:val="BodyText"/>
        <w:rPr>
          <w:rFonts w:ascii="Calibri" w:hAnsi="Calibri" w:cs="Arial"/>
          <w:color w:val="333333"/>
          <w:sz w:val="24"/>
          <w:szCs w:val="24"/>
        </w:rPr>
      </w:pPr>
      <w:r w:rsidRPr="00062700">
        <w:rPr>
          <w:rFonts w:ascii="Calibri" w:hAnsi="Calibri" w:cs="Arial"/>
          <w:color w:val="333333"/>
          <w:sz w:val="22"/>
          <w:szCs w:val="22"/>
        </w:rPr>
        <w:t xml:space="preserve">The following modules are currently </w:t>
      </w:r>
      <w:r w:rsidR="00106556">
        <w:rPr>
          <w:rFonts w:ascii="Calibri" w:hAnsi="Calibri" w:cs="Arial"/>
          <w:color w:val="333333"/>
          <w:sz w:val="22"/>
          <w:szCs w:val="22"/>
        </w:rPr>
        <w:t xml:space="preserve">available on Datastream.  </w:t>
      </w:r>
      <w:r w:rsidR="009B2192">
        <w:rPr>
          <w:rFonts w:ascii="Calibri" w:hAnsi="Calibri" w:cs="Arial"/>
          <w:color w:val="333333"/>
          <w:sz w:val="24"/>
          <w:szCs w:val="24"/>
        </w:rPr>
        <w:t xml:space="preserve">Unless specified otherwise, index data for the indices </w:t>
      </w:r>
      <w:r w:rsidR="00106556">
        <w:rPr>
          <w:rFonts w:ascii="Calibri" w:hAnsi="Calibri" w:cs="Arial"/>
          <w:color w:val="333333"/>
          <w:sz w:val="24"/>
          <w:szCs w:val="24"/>
        </w:rPr>
        <w:t xml:space="preserve">below </w:t>
      </w:r>
      <w:r w:rsidR="009B2192">
        <w:rPr>
          <w:rFonts w:ascii="Calibri" w:hAnsi="Calibri" w:cs="Arial"/>
          <w:color w:val="333333"/>
          <w:sz w:val="24"/>
          <w:szCs w:val="24"/>
        </w:rPr>
        <w:t xml:space="preserve">is not restricted.  </w:t>
      </w:r>
    </w:p>
    <w:p w:rsidR="002574BB" w:rsidRPr="00F00F0C" w:rsidRDefault="002574BB" w:rsidP="00841349">
      <w:pPr>
        <w:pStyle w:val="BodyText"/>
        <w:rPr>
          <w:rFonts w:ascii="Calibri" w:hAnsi="Calibri" w:cs="Arial"/>
          <w:b/>
          <w:color w:val="333333"/>
          <w:sz w:val="21"/>
          <w:szCs w:val="21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4444"/>
        <w:gridCol w:w="5909"/>
        <w:gridCol w:w="1322"/>
        <w:gridCol w:w="1275"/>
      </w:tblGrid>
      <w:tr w:rsidR="00AF178C" w:rsidRPr="00F00F0C" w:rsidTr="002D0B07">
        <w:trPr>
          <w:tblHeader/>
        </w:trPr>
        <w:tc>
          <w:tcPr>
            <w:tcW w:w="1901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lastRenderedPageBreak/>
              <w:t>Supplier</w:t>
            </w:r>
          </w:p>
        </w:tc>
        <w:tc>
          <w:tcPr>
            <w:tcW w:w="4444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Details</w:t>
            </w:r>
          </w:p>
        </w:tc>
        <w:tc>
          <w:tcPr>
            <w:tcW w:w="5909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Restrictions</w:t>
            </w:r>
          </w:p>
        </w:tc>
        <w:tc>
          <w:tcPr>
            <w:tcW w:w="1322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Internal Service Code- Monthly</w:t>
            </w:r>
          </w:p>
        </w:tc>
        <w:tc>
          <w:tcPr>
            <w:tcW w:w="1275" w:type="dxa"/>
          </w:tcPr>
          <w:p w:rsidR="00562202" w:rsidRPr="00AF178C" w:rsidRDefault="00562202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Internal Service Code - Daily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 xml:space="preserve">BNY Mellon ADR </w:t>
            </w:r>
          </w:p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Constituent lists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BNY Mellon Emerging Markets 50 ADR Index list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BNYEM50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BNY Mellon Asia 50 ADR Index list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BNYA50M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 xml:space="preserve">BNY Mellon Latin America 35 ADR Index list  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BNYLM35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 xml:space="preserve">BNY Mellon BRIC ADR Index list   </w:t>
            </w:r>
          </w:p>
        </w:tc>
        <w:tc>
          <w:tcPr>
            <w:tcW w:w="5909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BNYBRIM</w:t>
            </w:r>
          </w:p>
        </w:tc>
      </w:tr>
      <w:tr w:rsidR="00AF178C" w:rsidTr="002D0B07">
        <w:tc>
          <w:tcPr>
            <w:tcW w:w="1901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Canada - BMO Small Cap Indices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BMO Small Cap indices and constituent lists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index and constituent data restricted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BMONES</w:t>
            </w:r>
          </w:p>
        </w:tc>
      </w:tr>
      <w:tr w:rsidR="00AF178C" w:rsidTr="002D0B07">
        <w:trPr>
          <w:trHeight w:val="557"/>
        </w:trPr>
        <w:tc>
          <w:tcPr>
            <w:tcW w:w="1901" w:type="dxa"/>
            <w:vMerge w:val="restart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Canada - S&amp;P/TSX Constituent data – includes weights, shares and free float data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S&amp;P/TSX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File Module 1 (</w:t>
            </w:r>
            <w:r w:rsidRPr="00AF178C">
              <w:rPr>
                <w:rFonts w:ascii="Calibri" w:hAnsi="Calibri" w:cs="Arial"/>
                <w:sz w:val="21"/>
                <w:szCs w:val="21"/>
              </w:rPr>
              <w:t>S&amp;P/TSX Composite index including GICS indices)</w:t>
            </w:r>
            <w:r w:rsidRPr="00AF178C">
              <w:rPr>
                <w:rFonts w:ascii="Calibri" w:hAnsi="Calibri"/>
                <w:sz w:val="21"/>
                <w:szCs w:val="21"/>
              </w:rPr>
              <w:t> </w:t>
            </w:r>
          </w:p>
        </w:tc>
        <w:tc>
          <w:tcPr>
            <w:tcW w:w="5909" w:type="dxa"/>
          </w:tcPr>
          <w:p w:rsidR="00AC462A" w:rsidRDefault="00AC462A" w:rsidP="000936C4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SPTSXC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S&amp;P/TSX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File Module 2 (S</w:t>
            </w:r>
            <w:r w:rsidRPr="00AF178C">
              <w:rPr>
                <w:rFonts w:ascii="Calibri" w:hAnsi="Calibri" w:cs="Arial"/>
                <w:sz w:val="21"/>
                <w:szCs w:val="21"/>
              </w:rPr>
              <w:t>&amp;P/TSX 60, S&amp;P/TSX Capped Sector indices, S&amp;P/TSX MidCap index, S&amp;P/TSX Small Cap index)</w:t>
            </w:r>
          </w:p>
        </w:tc>
        <w:tc>
          <w:tcPr>
            <w:tcW w:w="5909" w:type="dxa"/>
          </w:tcPr>
          <w:p w:rsidR="00AC462A" w:rsidRDefault="00AC462A" w:rsidP="000936C4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SPTSXS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bCs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S&amp;P/TSX All Files (1 and 2 above, plus </w:t>
            </w:r>
            <w:r w:rsidRPr="00AF178C">
              <w:rPr>
                <w:rFonts w:ascii="Calibri" w:hAnsi="Calibri" w:cs="Arial"/>
                <w:sz w:val="21"/>
                <w:szCs w:val="21"/>
              </w:rPr>
              <w:t>Capped Energy Trust, Income Trust, REIT indices and the Global and Mining indices)       </w:t>
            </w:r>
          </w:p>
        </w:tc>
        <w:tc>
          <w:tcPr>
            <w:tcW w:w="5909" w:type="dxa"/>
          </w:tcPr>
          <w:p w:rsidR="00AC462A" w:rsidRDefault="00AC462A" w:rsidP="000936C4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SPTSXA</w:t>
            </w:r>
          </w:p>
        </w:tc>
      </w:tr>
      <w:tr w:rsidR="00AF178C" w:rsidTr="002D0B07">
        <w:tc>
          <w:tcPr>
            <w:tcW w:w="1901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 xml:space="preserve">Germany – Deutsche Borse 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Deutsche Borse constituent data – includes weights, shares and free float data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sz w:val="21"/>
                <w:szCs w:val="21"/>
              </w:rPr>
              <w:t>GERDBC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Dow Jones – Islamic constituent data – includes weights, shares and free float data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bCs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>DJ Islamic All Constituent Lists Ex Titans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DJISLOMT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DJISLOTH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bCs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 xml:space="preserve">DJ Islamic Titans Constituent Lists 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DJISLTMT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DJISLTIT</w:t>
            </w:r>
          </w:p>
        </w:tc>
      </w:tr>
      <w:tr w:rsidR="00AF178C" w:rsidTr="002D0B07">
        <w:tc>
          <w:tcPr>
            <w:tcW w:w="1901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Dow Jones Sustainability</w:t>
            </w:r>
          </w:p>
        </w:tc>
        <w:tc>
          <w:tcPr>
            <w:tcW w:w="4444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Dow Jones Sustainability constituent data – includes weights, shares and free float data</w:t>
            </w:r>
          </w:p>
        </w:tc>
        <w:tc>
          <w:tcPr>
            <w:tcW w:w="5909" w:type="dxa"/>
          </w:tcPr>
          <w:p w:rsidR="00AC462A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/>
                <w:b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DJSUS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sz w:val="21"/>
                <w:szCs w:val="21"/>
              </w:rPr>
              <w:t>FTSE World/All World/GEIS</w:t>
            </w:r>
          </w:p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World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FTWLM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FTWLD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Europe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FTEUM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FTEUD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US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FTAMM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FTAMD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Pacific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FTPBM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FTPBD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Europe + Pacific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FTEPM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FTEPD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US + Pacific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FTAPM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FTAPD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World – US + Europe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FTAEM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FTAED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All World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FTAWMWIM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>FTAWWID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Global – All Cap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FTGALM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FTGALD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Global – Small Cap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FTGSCM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FTGSCD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Global Style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FTSTYLE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Gold Mines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FTGOLDM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FTGOLDD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Multinationals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FTMULTI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Default="00DF7C07" w:rsidP="000936C4">
            <w:pPr>
              <w:pStyle w:val="BodyText"/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All World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FTAWMWIM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Cs/>
                <w:color w:val="333333"/>
                <w:sz w:val="21"/>
                <w:szCs w:val="21"/>
              </w:rPr>
              <w:t>FTAWWID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rPr>
                <w:rFonts w:ascii="Calibri" w:hAnsi="Calibri" w:cs="Arial"/>
                <w:b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Responsible Investment Constituent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Europe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FT4GEUB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Global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FT4GGLB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Japan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FT4GJPB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UK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FT4GUKB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US Benchmark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FT4GUSB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EU50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FT4GEUT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Global 100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FT4GGLT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UK 50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FT4GUKT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FTSE4Good US 100 Tradable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FT4GUST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Local Market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Australia - FTSE Macquarie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FTMACQ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China - FTSE China Index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FTXICD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China - FTSE China B All Share Index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FTXIBAL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France - FTSE FRR French Pension Reserve Fund Indices &amp; Constituent lists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FTFRR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Hong Kong - FTSE Mandatory Provident Fund constituents (MPF)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FTMPF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Italy - FTSE Italia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FTMIB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Malaysia - FTSE Bursa Malaysia Index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FTSEBM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Malaysia - FTSE Bursa Malaysia Hijrah Shariah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FTSEBMS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Singapore - STI – Singapore Straits Times STI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lastRenderedPageBreak/>
              <w:t>constituents (no charge to end users)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lastRenderedPageBreak/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FTSTI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Singapore - FTSE ST (Singapore) all other constituent lists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FTSING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South Africa - FTSE/JSE Core Constituents 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FTJSECOR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South Africa -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FTSE/JSE Specialist Constituents (SRI, Style, Dividend+ &amp; Capped)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FTJSESPL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  <w:lang w:val="fr-FR"/>
              </w:rPr>
              <w:t xml:space="preserve">South Africa -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FTSE/JSE Strategic Constituents (RAFI &amp; Shariah)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 apart from security names/identifiers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FTJSESTR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Taiwan - FTSE Taiwan Index constituents 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All 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constituent data restricted 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(apart from TSEC Taiwan 50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– no restrictions</w:t>
            </w: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)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FTTSEC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UK - FTSE UK Constituent Weights and Free Float data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Constituent weights and free float data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restricted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FTUK</w:t>
            </w:r>
          </w:p>
        </w:tc>
      </w:tr>
      <w:tr w:rsidR="00AF178C" w:rsidTr="002D0B07">
        <w:tc>
          <w:tcPr>
            <w:tcW w:w="1901" w:type="dxa"/>
            <w:vMerge/>
          </w:tcPr>
          <w:p w:rsidR="00AC462A" w:rsidRPr="00AF178C" w:rsidRDefault="00AC462A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AC462A" w:rsidRPr="00AF178C" w:rsidRDefault="0030019F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UK - </w:t>
            </w:r>
            <w:r w:rsidR="00AC462A"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UK Dividend Plus Index constituent data</w:t>
            </w:r>
          </w:p>
        </w:tc>
        <w:tc>
          <w:tcPr>
            <w:tcW w:w="5909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Constituent weights and free float data</w:t>
            </w:r>
            <w:r w:rsidR="00E90FFE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restricted</w:t>
            </w:r>
          </w:p>
        </w:tc>
        <w:tc>
          <w:tcPr>
            <w:tcW w:w="1322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AC462A" w:rsidRPr="00AF178C" w:rsidRDefault="00AC462A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FTUKDP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Miscellaneous Constituent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Environmental Indices - FTSE ET 50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FTET50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Investment Strategy Indices - FTSE Global Wealth Allocation (GWA)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FTGWA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Investment Strategy Indices - FTSE RAFI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FTRAFI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Real Estate - FTSE EPRA/NAREIT constituents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FTEPRA</w:t>
            </w:r>
          </w:p>
        </w:tc>
      </w:tr>
      <w:tr w:rsidR="00AF178C" w:rsidTr="002D0B07">
        <w:tc>
          <w:tcPr>
            <w:tcW w:w="1901" w:type="dxa"/>
            <w:vMerge w:val="restart"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  <w:r w:rsidRPr="00AF178C">
              <w:rPr>
                <w:rFonts w:ascii="Calibri" w:hAnsi="Calibri" w:cs="Arial"/>
                <w:b/>
                <w:color w:val="333333"/>
                <w:sz w:val="21"/>
                <w:szCs w:val="21"/>
              </w:rPr>
              <w:t>FTSE - Advanced Index Modules</w:t>
            </w: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All World Advanced Indices</w:t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FTADVAW</w:t>
            </w:r>
          </w:p>
        </w:tc>
      </w:tr>
      <w:tr w:rsidR="00AF178C" w:rsidTr="002D0B07">
        <w:tc>
          <w:tcPr>
            <w:tcW w:w="1901" w:type="dxa"/>
            <w:vMerge/>
          </w:tcPr>
          <w:p w:rsidR="00DF7C07" w:rsidRPr="00AF178C" w:rsidRDefault="00DF7C07" w:rsidP="000936C4">
            <w:pPr>
              <w:pStyle w:val="BodyText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4444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FTSE UK Advanced Index module #</w:t>
            </w:r>
            <w:r w:rsidR="00AF178C" w:rsidRPr="00AF178C">
              <w:rPr>
                <w:rFonts w:ascii="Calibri" w:hAnsi="Calibri" w:cs="Arial"/>
                <w:color w:val="333333"/>
                <w:sz w:val="21"/>
                <w:szCs w:val="21"/>
              </w:rPr>
              <w:t xml:space="preserve">  </w:t>
            </w:r>
            <w:r w:rsidR="00AF178C" w:rsidRPr="00AF178C">
              <w:rPr>
                <w:rStyle w:val="FootnoteReference"/>
                <w:rFonts w:ascii="Calibri" w:hAnsi="Calibri" w:cs="Arial"/>
                <w:color w:val="333333"/>
                <w:sz w:val="21"/>
                <w:szCs w:val="21"/>
              </w:rPr>
              <w:footnoteReference w:id="1"/>
            </w:r>
          </w:p>
        </w:tc>
        <w:tc>
          <w:tcPr>
            <w:tcW w:w="5909" w:type="dxa"/>
          </w:tcPr>
          <w:p w:rsidR="00DF7C07" w:rsidRDefault="00DF7C07"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All constituent data restricted</w:t>
            </w:r>
          </w:p>
        </w:tc>
        <w:tc>
          <w:tcPr>
            <w:tcW w:w="1322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n/a</w:t>
            </w:r>
          </w:p>
        </w:tc>
        <w:tc>
          <w:tcPr>
            <w:tcW w:w="1275" w:type="dxa"/>
          </w:tcPr>
          <w:p w:rsidR="00DF7C07" w:rsidRPr="00AF178C" w:rsidRDefault="00DF7C07" w:rsidP="000936C4">
            <w:pPr>
              <w:rPr>
                <w:rFonts w:ascii="Calibri" w:hAnsi="Calibri" w:cs="Arial"/>
                <w:color w:val="333333"/>
                <w:sz w:val="21"/>
                <w:szCs w:val="21"/>
              </w:rPr>
            </w:pPr>
            <w:r w:rsidRPr="00AF178C">
              <w:rPr>
                <w:rFonts w:ascii="Calibri" w:hAnsi="Calibri" w:cs="Arial"/>
                <w:color w:val="333333"/>
                <w:sz w:val="21"/>
                <w:szCs w:val="21"/>
              </w:rPr>
              <w:t>FTADVUK</w:t>
            </w:r>
          </w:p>
        </w:tc>
      </w:tr>
    </w:tbl>
    <w:p w:rsidR="005663F2" w:rsidRDefault="005663F2" w:rsidP="00BF173D">
      <w:pPr>
        <w:jc w:val="both"/>
        <w:rPr>
          <w:b/>
        </w:rPr>
      </w:pPr>
    </w:p>
    <w:sectPr w:rsidR="005663F2" w:rsidSect="00E856BA">
      <w:headerReference w:type="default" r:id="rId9"/>
      <w:footerReference w:type="default" r:id="rId10"/>
      <w:pgSz w:w="15840" w:h="12240" w:orient="landscape"/>
      <w:pgMar w:top="1680" w:right="2160" w:bottom="1380" w:left="7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5" w:rsidRDefault="00BB5275">
      <w:r>
        <w:separator/>
      </w:r>
    </w:p>
  </w:endnote>
  <w:endnote w:type="continuationSeparator" w:id="0">
    <w:p w:rsidR="00BB5275" w:rsidRDefault="00BB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helve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5" w:rsidRDefault="00BB5275" w:rsidP="00113D8C">
    <w:pPr>
      <w:pStyle w:val="Footer"/>
      <w:jc w:val="center"/>
    </w:pPr>
    <w:r>
      <w:t xml:space="preserve">Page </w:t>
    </w:r>
    <w:r w:rsidR="00B54C3F">
      <w:fldChar w:fldCharType="begin"/>
    </w:r>
    <w:r w:rsidR="00B54C3F">
      <w:instrText xml:space="preserve"> PAGE </w:instrText>
    </w:r>
    <w:r w:rsidR="00B54C3F">
      <w:fldChar w:fldCharType="separate"/>
    </w:r>
    <w:r w:rsidR="009616D4">
      <w:rPr>
        <w:noProof/>
      </w:rPr>
      <w:t>5</w:t>
    </w:r>
    <w:r w:rsidR="00B54C3F">
      <w:rPr>
        <w:noProof/>
      </w:rPr>
      <w:fldChar w:fldCharType="end"/>
    </w:r>
    <w:r>
      <w:t xml:space="preserve"> of </w:t>
    </w:r>
    <w:r w:rsidR="009616D4">
      <w:fldChar w:fldCharType="begin"/>
    </w:r>
    <w:r w:rsidR="009616D4">
      <w:instrText xml:space="preserve"> NUMPAGES </w:instrText>
    </w:r>
    <w:r w:rsidR="009616D4">
      <w:fldChar w:fldCharType="separate"/>
    </w:r>
    <w:r w:rsidR="009616D4">
      <w:rPr>
        <w:noProof/>
      </w:rPr>
      <w:t>5</w:t>
    </w:r>
    <w:r w:rsidR="009616D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5" w:rsidRDefault="00BB5275">
      <w:r>
        <w:separator/>
      </w:r>
    </w:p>
  </w:footnote>
  <w:footnote w:type="continuationSeparator" w:id="0">
    <w:p w:rsidR="00BB5275" w:rsidRDefault="00BB5275">
      <w:r>
        <w:continuationSeparator/>
      </w:r>
    </w:p>
  </w:footnote>
  <w:footnote w:id="1">
    <w:p w:rsidR="00BB5275" w:rsidRPr="00AF178C" w:rsidRDefault="00BB5275" w:rsidP="009616D4">
      <w:pPr>
        <w:pStyle w:val="FootnoteText"/>
        <w:rPr>
          <w:rFonts w:ascii="Calibri" w:hAnsi="Calibri" w:cs="Arial"/>
          <w:b/>
          <w:color w:val="333333"/>
          <w:sz w:val="14"/>
          <w:szCs w:val="14"/>
        </w:rPr>
      </w:pPr>
      <w:r>
        <w:rPr>
          <w:rStyle w:val="FootnoteReference"/>
        </w:rPr>
        <w:footnoteRef/>
      </w:r>
      <w:bookmarkStart w:id="0" w:name="_GoBack"/>
      <w:bookmarkEnd w:id="0"/>
    </w:p>
    <w:tbl>
      <w:tblPr>
        <w:tblW w:w="9214" w:type="dxa"/>
        <w:tblInd w:w="-34" w:type="dxa"/>
        <w:tblLook w:val="0000" w:firstRow="0" w:lastRow="0" w:firstColumn="0" w:lastColumn="0" w:noHBand="0" w:noVBand="0"/>
      </w:tblPr>
      <w:tblGrid>
        <w:gridCol w:w="4678"/>
        <w:gridCol w:w="4536"/>
      </w:tblGrid>
      <w:tr w:rsidR="00BB5275" w:rsidRPr="00AF178C" w:rsidTr="006F6A54">
        <w:trPr>
          <w:trHeight w:val="255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275" w:rsidRPr="00AF178C" w:rsidRDefault="00BB5275" w:rsidP="006F6A54">
            <w:pPr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</w:pPr>
            <w:r w:rsidRPr="00AF178C"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  <w:t>Index family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B5275" w:rsidRPr="00AF178C" w:rsidRDefault="00BB5275" w:rsidP="006F6A54">
            <w:pPr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</w:pPr>
            <w:r w:rsidRPr="00AF178C">
              <w:rPr>
                <w:rFonts w:ascii="Calibri" w:eastAsia="MS Mincho" w:hAnsi="Calibri" w:cs="Arial"/>
                <w:b/>
                <w:bCs/>
                <w:color w:val="333333"/>
                <w:sz w:val="14"/>
                <w:szCs w:val="14"/>
                <w:lang w:eastAsia="ja-JP"/>
              </w:rPr>
              <w:t>ICB Classification</w:t>
            </w:r>
          </w:p>
        </w:tc>
      </w:tr>
      <w:tr w:rsidR="00BB5275" w:rsidRPr="00AF178C" w:rsidTr="006F6A5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1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All Share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and FTSE Small Cap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1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Sub sector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indices</w:t>
            </w:r>
          </w:p>
        </w:tc>
      </w:tr>
      <w:tr w:rsidR="00BB5275" w:rsidRPr="00AF178C" w:rsidTr="006F6A5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AF178C">
            <w:pPr>
              <w:pStyle w:val="BodyText1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100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,  FTSE 250, </w:t>
            </w: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350 high yield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and FTSE 350 low yield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1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Industry, sector and sub sector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indices</w:t>
            </w:r>
          </w:p>
        </w:tc>
      </w:tr>
      <w:tr w:rsidR="00BB5275" w:rsidRPr="00AF178C" w:rsidTr="006F6A54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1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FTSE 350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275" w:rsidRPr="00AF178C" w:rsidRDefault="00BB5275" w:rsidP="006F6A54">
            <w:pPr>
              <w:pStyle w:val="BodyText1"/>
              <w:ind w:left="0"/>
              <w:rPr>
                <w:rFonts w:ascii="Calibri" w:hAnsi="Calibri" w:cs="Arial"/>
                <w:color w:val="333333"/>
                <w:sz w:val="14"/>
                <w:szCs w:val="14"/>
              </w:rPr>
            </w:pPr>
            <w:r w:rsidRPr="00AF178C">
              <w:rPr>
                <w:rFonts w:ascii="Calibri" w:hAnsi="Calibri" w:cs="Arial"/>
                <w:color w:val="333333"/>
                <w:sz w:val="14"/>
                <w:szCs w:val="14"/>
              </w:rPr>
              <w:t>Industry and sub sector</w:t>
            </w:r>
            <w:r>
              <w:rPr>
                <w:rFonts w:ascii="Calibri" w:hAnsi="Calibri" w:cs="Arial"/>
                <w:color w:val="333333"/>
                <w:sz w:val="14"/>
                <w:szCs w:val="14"/>
              </w:rPr>
              <w:t xml:space="preserve"> indices</w:t>
            </w:r>
          </w:p>
        </w:tc>
      </w:tr>
    </w:tbl>
    <w:p w:rsidR="00BB5275" w:rsidRPr="00AF178C" w:rsidRDefault="00BB5275" w:rsidP="00AF178C">
      <w:pPr>
        <w:rPr>
          <w:rFonts w:ascii="Calibri" w:hAnsi="Calibri" w:cs="Arial"/>
          <w:color w:val="333333"/>
          <w:sz w:val="14"/>
          <w:szCs w:val="14"/>
        </w:rPr>
      </w:pPr>
    </w:p>
    <w:p w:rsidR="00BB5275" w:rsidRDefault="00BB527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5" w:rsidRDefault="009616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pt;margin-top:0;width:3in;height:49.05pt;z-index:251657728">
          <v:imagedata r:id="rId1" o:title="LH_logo600r1idx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90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206124"/>
    <w:multiLevelType w:val="hybridMultilevel"/>
    <w:tmpl w:val="448ACDCC"/>
    <w:lvl w:ilvl="0" w:tplc="000C1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C835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" w:hAnsi="Symbol" w:hint="default"/>
      </w:rPr>
    </w:lvl>
    <w:lvl w:ilvl="2" w:tplc="37E0F8B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674FE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2FC6C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D74A4D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D788E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A92F3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987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883C9F"/>
    <w:multiLevelType w:val="hybridMultilevel"/>
    <w:tmpl w:val="AA3EA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16639A"/>
    <w:multiLevelType w:val="hybridMultilevel"/>
    <w:tmpl w:val="C6ECC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9431C8"/>
    <w:multiLevelType w:val="hybridMultilevel"/>
    <w:tmpl w:val="ED0E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43A0E"/>
    <w:multiLevelType w:val="hybridMultilevel"/>
    <w:tmpl w:val="A644EE48"/>
    <w:lvl w:ilvl="0" w:tplc="8C5E93D4">
      <w:start w:val="1"/>
      <w:numFmt w:val="decimal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9936FFF"/>
    <w:multiLevelType w:val="hybridMultilevel"/>
    <w:tmpl w:val="8076B98A"/>
    <w:lvl w:ilvl="0" w:tplc="08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947262"/>
    <w:multiLevelType w:val="hybridMultilevel"/>
    <w:tmpl w:val="F6BE9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777E2"/>
    <w:multiLevelType w:val="hybridMultilevel"/>
    <w:tmpl w:val="7C6812E6"/>
    <w:lvl w:ilvl="0" w:tplc="46767EE4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B8475D"/>
    <w:multiLevelType w:val="hybridMultilevel"/>
    <w:tmpl w:val="3AFC2C34"/>
    <w:lvl w:ilvl="0" w:tplc="1D92E5C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988701D"/>
    <w:multiLevelType w:val="hybridMultilevel"/>
    <w:tmpl w:val="9A1474F8"/>
    <w:lvl w:ilvl="0" w:tplc="E3A28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33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5BF21342"/>
    <w:multiLevelType w:val="hybridMultilevel"/>
    <w:tmpl w:val="58865E86"/>
    <w:lvl w:ilvl="0" w:tplc="2B06E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4F4678"/>
    <w:multiLevelType w:val="hybridMultilevel"/>
    <w:tmpl w:val="4922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61749C"/>
    <w:multiLevelType w:val="multilevel"/>
    <w:tmpl w:val="94AAC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CA018A"/>
    <w:multiLevelType w:val="hybridMultilevel"/>
    <w:tmpl w:val="51361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6251FE"/>
    <w:multiLevelType w:val="hybridMultilevel"/>
    <w:tmpl w:val="7B26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B0BB2"/>
    <w:multiLevelType w:val="hybridMultilevel"/>
    <w:tmpl w:val="848C85DC"/>
    <w:lvl w:ilvl="0" w:tplc="649C27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11"/>
  </w:num>
  <w:num w:numId="6">
    <w:abstractNumId w:val="13"/>
  </w:num>
  <w:num w:numId="7">
    <w:abstractNumId w:val="5"/>
  </w:num>
  <w:num w:numId="8">
    <w:abstractNumId w:val="10"/>
  </w:num>
  <w:num w:numId="9">
    <w:abstractNumId w:val="16"/>
  </w:num>
  <w:num w:numId="10">
    <w:abstractNumId w:val="8"/>
  </w:num>
  <w:num w:numId="11">
    <w:abstractNumId w:val="6"/>
  </w:num>
  <w:num w:numId="12">
    <w:abstractNumId w:val="3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878"/>
    <w:rsid w:val="00000056"/>
    <w:rsid w:val="000003F4"/>
    <w:rsid w:val="00000EA9"/>
    <w:rsid w:val="00001268"/>
    <w:rsid w:val="00002013"/>
    <w:rsid w:val="0000236A"/>
    <w:rsid w:val="000027AB"/>
    <w:rsid w:val="000029BF"/>
    <w:rsid w:val="00002B1B"/>
    <w:rsid w:val="0000444E"/>
    <w:rsid w:val="000051DB"/>
    <w:rsid w:val="00005283"/>
    <w:rsid w:val="00010AA6"/>
    <w:rsid w:val="0001200F"/>
    <w:rsid w:val="000161B0"/>
    <w:rsid w:val="0001705D"/>
    <w:rsid w:val="00021C14"/>
    <w:rsid w:val="0002355D"/>
    <w:rsid w:val="0002642D"/>
    <w:rsid w:val="00027C11"/>
    <w:rsid w:val="000328B8"/>
    <w:rsid w:val="000377FD"/>
    <w:rsid w:val="0004108F"/>
    <w:rsid w:val="00042791"/>
    <w:rsid w:val="00046F89"/>
    <w:rsid w:val="000478D2"/>
    <w:rsid w:val="00054272"/>
    <w:rsid w:val="00054D82"/>
    <w:rsid w:val="00061180"/>
    <w:rsid w:val="00061D3A"/>
    <w:rsid w:val="00062700"/>
    <w:rsid w:val="00063A0A"/>
    <w:rsid w:val="00073A6C"/>
    <w:rsid w:val="000759CC"/>
    <w:rsid w:val="000769FA"/>
    <w:rsid w:val="00083AF4"/>
    <w:rsid w:val="0008444B"/>
    <w:rsid w:val="00084F85"/>
    <w:rsid w:val="00085878"/>
    <w:rsid w:val="00086090"/>
    <w:rsid w:val="00086345"/>
    <w:rsid w:val="00087306"/>
    <w:rsid w:val="000874D4"/>
    <w:rsid w:val="00087BB0"/>
    <w:rsid w:val="00091061"/>
    <w:rsid w:val="000930B5"/>
    <w:rsid w:val="000934C0"/>
    <w:rsid w:val="000936C4"/>
    <w:rsid w:val="00097A87"/>
    <w:rsid w:val="000A26DD"/>
    <w:rsid w:val="000A2929"/>
    <w:rsid w:val="000A2A87"/>
    <w:rsid w:val="000A4266"/>
    <w:rsid w:val="000A6406"/>
    <w:rsid w:val="000A66E9"/>
    <w:rsid w:val="000A6E1C"/>
    <w:rsid w:val="000B1043"/>
    <w:rsid w:val="000B3A05"/>
    <w:rsid w:val="000B50AE"/>
    <w:rsid w:val="000B5281"/>
    <w:rsid w:val="000C12FB"/>
    <w:rsid w:val="000C21D3"/>
    <w:rsid w:val="000C2F0B"/>
    <w:rsid w:val="000C4BCD"/>
    <w:rsid w:val="000C57BF"/>
    <w:rsid w:val="000C6B7C"/>
    <w:rsid w:val="000C7675"/>
    <w:rsid w:val="000C76B8"/>
    <w:rsid w:val="000C78A4"/>
    <w:rsid w:val="000D2267"/>
    <w:rsid w:val="000D38ED"/>
    <w:rsid w:val="000E3125"/>
    <w:rsid w:val="000E6096"/>
    <w:rsid w:val="000F0680"/>
    <w:rsid w:val="000F1216"/>
    <w:rsid w:val="000F17DA"/>
    <w:rsid w:val="000F5C53"/>
    <w:rsid w:val="000F640B"/>
    <w:rsid w:val="000F69E9"/>
    <w:rsid w:val="00100182"/>
    <w:rsid w:val="00101161"/>
    <w:rsid w:val="00102F17"/>
    <w:rsid w:val="00104A58"/>
    <w:rsid w:val="00104CCD"/>
    <w:rsid w:val="00104EB7"/>
    <w:rsid w:val="00106556"/>
    <w:rsid w:val="00110125"/>
    <w:rsid w:val="0011231D"/>
    <w:rsid w:val="00113D8C"/>
    <w:rsid w:val="00117E6A"/>
    <w:rsid w:val="00121586"/>
    <w:rsid w:val="00122C4D"/>
    <w:rsid w:val="00125EDD"/>
    <w:rsid w:val="00130C4A"/>
    <w:rsid w:val="0013293B"/>
    <w:rsid w:val="001416C8"/>
    <w:rsid w:val="00141DD3"/>
    <w:rsid w:val="00143F98"/>
    <w:rsid w:val="00145708"/>
    <w:rsid w:val="00151A2E"/>
    <w:rsid w:val="00152975"/>
    <w:rsid w:val="00153D0C"/>
    <w:rsid w:val="00157CAE"/>
    <w:rsid w:val="00157F9F"/>
    <w:rsid w:val="00160C2E"/>
    <w:rsid w:val="001625AF"/>
    <w:rsid w:val="001667B5"/>
    <w:rsid w:val="00170DDA"/>
    <w:rsid w:val="0017373C"/>
    <w:rsid w:val="00176F39"/>
    <w:rsid w:val="00177465"/>
    <w:rsid w:val="001827BD"/>
    <w:rsid w:val="00184A04"/>
    <w:rsid w:val="0018544C"/>
    <w:rsid w:val="00185AA5"/>
    <w:rsid w:val="00190B1D"/>
    <w:rsid w:val="00191962"/>
    <w:rsid w:val="00191B2B"/>
    <w:rsid w:val="001924D7"/>
    <w:rsid w:val="00192A53"/>
    <w:rsid w:val="001938C0"/>
    <w:rsid w:val="00194C84"/>
    <w:rsid w:val="00195D4D"/>
    <w:rsid w:val="0019615B"/>
    <w:rsid w:val="001A1A09"/>
    <w:rsid w:val="001A20A6"/>
    <w:rsid w:val="001A22D2"/>
    <w:rsid w:val="001A4E96"/>
    <w:rsid w:val="001A513F"/>
    <w:rsid w:val="001B1467"/>
    <w:rsid w:val="001B3121"/>
    <w:rsid w:val="001C0EBB"/>
    <w:rsid w:val="001C13A4"/>
    <w:rsid w:val="001C2DE9"/>
    <w:rsid w:val="001C3098"/>
    <w:rsid w:val="001C46ED"/>
    <w:rsid w:val="001C5FE5"/>
    <w:rsid w:val="001D1719"/>
    <w:rsid w:val="001D1F91"/>
    <w:rsid w:val="001D25A1"/>
    <w:rsid w:val="001D4CC0"/>
    <w:rsid w:val="001D542E"/>
    <w:rsid w:val="001D5862"/>
    <w:rsid w:val="001D73E3"/>
    <w:rsid w:val="001E03D6"/>
    <w:rsid w:val="001E131A"/>
    <w:rsid w:val="001E2715"/>
    <w:rsid w:val="001E7096"/>
    <w:rsid w:val="001F2E12"/>
    <w:rsid w:val="001F3534"/>
    <w:rsid w:val="001F42AA"/>
    <w:rsid w:val="001F42C4"/>
    <w:rsid w:val="001F4F8D"/>
    <w:rsid w:val="002024CF"/>
    <w:rsid w:val="00203CBD"/>
    <w:rsid w:val="00205701"/>
    <w:rsid w:val="00207048"/>
    <w:rsid w:val="00216375"/>
    <w:rsid w:val="002208EC"/>
    <w:rsid w:val="002209C2"/>
    <w:rsid w:val="00220DBD"/>
    <w:rsid w:val="00220EAB"/>
    <w:rsid w:val="00222517"/>
    <w:rsid w:val="00225295"/>
    <w:rsid w:val="002252AD"/>
    <w:rsid w:val="002253F6"/>
    <w:rsid w:val="00230893"/>
    <w:rsid w:val="00230E2E"/>
    <w:rsid w:val="00230E91"/>
    <w:rsid w:val="00235A85"/>
    <w:rsid w:val="00236FA1"/>
    <w:rsid w:val="002375D7"/>
    <w:rsid w:val="00241B31"/>
    <w:rsid w:val="00244D57"/>
    <w:rsid w:val="002467E7"/>
    <w:rsid w:val="00250B2A"/>
    <w:rsid w:val="00250F94"/>
    <w:rsid w:val="00252ECF"/>
    <w:rsid w:val="00253B4F"/>
    <w:rsid w:val="00254BDA"/>
    <w:rsid w:val="00254E2E"/>
    <w:rsid w:val="00255FA8"/>
    <w:rsid w:val="00256427"/>
    <w:rsid w:val="002574BB"/>
    <w:rsid w:val="00257EFD"/>
    <w:rsid w:val="00261A46"/>
    <w:rsid w:val="00263C8B"/>
    <w:rsid w:val="00263D0A"/>
    <w:rsid w:val="00266260"/>
    <w:rsid w:val="00267BD3"/>
    <w:rsid w:val="0027070C"/>
    <w:rsid w:val="002715E3"/>
    <w:rsid w:val="00273CC6"/>
    <w:rsid w:val="00275074"/>
    <w:rsid w:val="002806DD"/>
    <w:rsid w:val="00281AF4"/>
    <w:rsid w:val="00283283"/>
    <w:rsid w:val="00290666"/>
    <w:rsid w:val="00291CE5"/>
    <w:rsid w:val="002933A3"/>
    <w:rsid w:val="002938FD"/>
    <w:rsid w:val="0029731F"/>
    <w:rsid w:val="002A1076"/>
    <w:rsid w:val="002A26F6"/>
    <w:rsid w:val="002A6DB0"/>
    <w:rsid w:val="002B0EC7"/>
    <w:rsid w:val="002B302B"/>
    <w:rsid w:val="002B3665"/>
    <w:rsid w:val="002B5049"/>
    <w:rsid w:val="002C12CA"/>
    <w:rsid w:val="002C1861"/>
    <w:rsid w:val="002C5560"/>
    <w:rsid w:val="002D0B07"/>
    <w:rsid w:val="002D11F8"/>
    <w:rsid w:val="002D20D3"/>
    <w:rsid w:val="002D59BC"/>
    <w:rsid w:val="002D5B98"/>
    <w:rsid w:val="002D64C5"/>
    <w:rsid w:val="002D74C1"/>
    <w:rsid w:val="002E17EA"/>
    <w:rsid w:val="002E1BF1"/>
    <w:rsid w:val="002E2A8A"/>
    <w:rsid w:val="002E34C1"/>
    <w:rsid w:val="002E3FBA"/>
    <w:rsid w:val="002F0583"/>
    <w:rsid w:val="002F0DD1"/>
    <w:rsid w:val="002F1498"/>
    <w:rsid w:val="002F1959"/>
    <w:rsid w:val="002F4309"/>
    <w:rsid w:val="002F4933"/>
    <w:rsid w:val="002F4CA4"/>
    <w:rsid w:val="002F63AA"/>
    <w:rsid w:val="002F6DE0"/>
    <w:rsid w:val="0030019F"/>
    <w:rsid w:val="00300B19"/>
    <w:rsid w:val="00302EEF"/>
    <w:rsid w:val="00303081"/>
    <w:rsid w:val="00304550"/>
    <w:rsid w:val="00305DF7"/>
    <w:rsid w:val="003136BD"/>
    <w:rsid w:val="003143CA"/>
    <w:rsid w:val="003225F8"/>
    <w:rsid w:val="00325991"/>
    <w:rsid w:val="00327F2D"/>
    <w:rsid w:val="003316F5"/>
    <w:rsid w:val="00332A93"/>
    <w:rsid w:val="0033361D"/>
    <w:rsid w:val="00336651"/>
    <w:rsid w:val="00344308"/>
    <w:rsid w:val="00344A1A"/>
    <w:rsid w:val="00345F2F"/>
    <w:rsid w:val="00346C21"/>
    <w:rsid w:val="003474FE"/>
    <w:rsid w:val="0035194D"/>
    <w:rsid w:val="003521A3"/>
    <w:rsid w:val="00355A24"/>
    <w:rsid w:val="00356150"/>
    <w:rsid w:val="003606F7"/>
    <w:rsid w:val="00366E97"/>
    <w:rsid w:val="0037165F"/>
    <w:rsid w:val="00372067"/>
    <w:rsid w:val="00374900"/>
    <w:rsid w:val="0037672D"/>
    <w:rsid w:val="003778B5"/>
    <w:rsid w:val="00383996"/>
    <w:rsid w:val="00385CF8"/>
    <w:rsid w:val="003871B9"/>
    <w:rsid w:val="003876BC"/>
    <w:rsid w:val="00390DDF"/>
    <w:rsid w:val="003911BB"/>
    <w:rsid w:val="003916F7"/>
    <w:rsid w:val="003A307D"/>
    <w:rsid w:val="003A4D4A"/>
    <w:rsid w:val="003B1125"/>
    <w:rsid w:val="003B36D6"/>
    <w:rsid w:val="003B3810"/>
    <w:rsid w:val="003B590A"/>
    <w:rsid w:val="003B667D"/>
    <w:rsid w:val="003B75A4"/>
    <w:rsid w:val="003B78B0"/>
    <w:rsid w:val="003C2C7F"/>
    <w:rsid w:val="003C35BA"/>
    <w:rsid w:val="003C3CA0"/>
    <w:rsid w:val="003C4B35"/>
    <w:rsid w:val="003C68DB"/>
    <w:rsid w:val="003D7607"/>
    <w:rsid w:val="003E0DE9"/>
    <w:rsid w:val="003E1C95"/>
    <w:rsid w:val="003E3D7D"/>
    <w:rsid w:val="003F20C5"/>
    <w:rsid w:val="003F2496"/>
    <w:rsid w:val="003F29DE"/>
    <w:rsid w:val="003F312C"/>
    <w:rsid w:val="003F7892"/>
    <w:rsid w:val="004005B0"/>
    <w:rsid w:val="004009A5"/>
    <w:rsid w:val="00400EBB"/>
    <w:rsid w:val="00400F25"/>
    <w:rsid w:val="004013FA"/>
    <w:rsid w:val="00401590"/>
    <w:rsid w:val="00403A95"/>
    <w:rsid w:val="00405417"/>
    <w:rsid w:val="004060CA"/>
    <w:rsid w:val="00410B69"/>
    <w:rsid w:val="00410DB4"/>
    <w:rsid w:val="00412AD0"/>
    <w:rsid w:val="004139BA"/>
    <w:rsid w:val="00414F84"/>
    <w:rsid w:val="00416C3D"/>
    <w:rsid w:val="00423331"/>
    <w:rsid w:val="0042647D"/>
    <w:rsid w:val="00426E4B"/>
    <w:rsid w:val="0042774E"/>
    <w:rsid w:val="004326B7"/>
    <w:rsid w:val="00433AF1"/>
    <w:rsid w:val="00434598"/>
    <w:rsid w:val="00435AFE"/>
    <w:rsid w:val="00441763"/>
    <w:rsid w:val="00441CCD"/>
    <w:rsid w:val="00446433"/>
    <w:rsid w:val="00447AE2"/>
    <w:rsid w:val="00454394"/>
    <w:rsid w:val="00455EC2"/>
    <w:rsid w:val="0046049D"/>
    <w:rsid w:val="00465179"/>
    <w:rsid w:val="00466855"/>
    <w:rsid w:val="00466AC0"/>
    <w:rsid w:val="0047258A"/>
    <w:rsid w:val="00473D55"/>
    <w:rsid w:val="004746FD"/>
    <w:rsid w:val="0047574F"/>
    <w:rsid w:val="00476A14"/>
    <w:rsid w:val="004772B5"/>
    <w:rsid w:val="004775B0"/>
    <w:rsid w:val="0048035E"/>
    <w:rsid w:val="00480D75"/>
    <w:rsid w:val="0048737C"/>
    <w:rsid w:val="004904E6"/>
    <w:rsid w:val="0049397D"/>
    <w:rsid w:val="00493A14"/>
    <w:rsid w:val="00497FF4"/>
    <w:rsid w:val="004A2770"/>
    <w:rsid w:val="004A7BFD"/>
    <w:rsid w:val="004A7E65"/>
    <w:rsid w:val="004B2BB5"/>
    <w:rsid w:val="004B58F6"/>
    <w:rsid w:val="004B7E54"/>
    <w:rsid w:val="004C029F"/>
    <w:rsid w:val="004C1A3A"/>
    <w:rsid w:val="004C5915"/>
    <w:rsid w:val="004C60EA"/>
    <w:rsid w:val="004D0622"/>
    <w:rsid w:val="004D0E6F"/>
    <w:rsid w:val="004D1093"/>
    <w:rsid w:val="004D1F03"/>
    <w:rsid w:val="004D503F"/>
    <w:rsid w:val="004D598E"/>
    <w:rsid w:val="004D6B54"/>
    <w:rsid w:val="004D7679"/>
    <w:rsid w:val="004E1F8A"/>
    <w:rsid w:val="004E2C5A"/>
    <w:rsid w:val="004E3D2A"/>
    <w:rsid w:val="004F28EF"/>
    <w:rsid w:val="004F367B"/>
    <w:rsid w:val="004F5DDA"/>
    <w:rsid w:val="005106E2"/>
    <w:rsid w:val="0051110E"/>
    <w:rsid w:val="00512311"/>
    <w:rsid w:val="00514000"/>
    <w:rsid w:val="00515A2E"/>
    <w:rsid w:val="00516349"/>
    <w:rsid w:val="00517129"/>
    <w:rsid w:val="0051748B"/>
    <w:rsid w:val="00520717"/>
    <w:rsid w:val="005261DA"/>
    <w:rsid w:val="005268D1"/>
    <w:rsid w:val="0053055E"/>
    <w:rsid w:val="00534661"/>
    <w:rsid w:val="00534F52"/>
    <w:rsid w:val="005378EB"/>
    <w:rsid w:val="0054034F"/>
    <w:rsid w:val="00540BE9"/>
    <w:rsid w:val="00540EB6"/>
    <w:rsid w:val="005410CD"/>
    <w:rsid w:val="005419A9"/>
    <w:rsid w:val="00541A87"/>
    <w:rsid w:val="00541C1A"/>
    <w:rsid w:val="00542CC5"/>
    <w:rsid w:val="00544B56"/>
    <w:rsid w:val="005468D7"/>
    <w:rsid w:val="0055080C"/>
    <w:rsid w:val="0055153D"/>
    <w:rsid w:val="00551595"/>
    <w:rsid w:val="00552616"/>
    <w:rsid w:val="00552AD4"/>
    <w:rsid w:val="00553A16"/>
    <w:rsid w:val="00555720"/>
    <w:rsid w:val="00555A88"/>
    <w:rsid w:val="00555C9F"/>
    <w:rsid w:val="00556902"/>
    <w:rsid w:val="00557FA6"/>
    <w:rsid w:val="00562202"/>
    <w:rsid w:val="00564627"/>
    <w:rsid w:val="005651E3"/>
    <w:rsid w:val="005655B3"/>
    <w:rsid w:val="005663F2"/>
    <w:rsid w:val="005669D7"/>
    <w:rsid w:val="00567E85"/>
    <w:rsid w:val="005700EA"/>
    <w:rsid w:val="00571183"/>
    <w:rsid w:val="005713C1"/>
    <w:rsid w:val="00573A69"/>
    <w:rsid w:val="005774D8"/>
    <w:rsid w:val="005839EE"/>
    <w:rsid w:val="00585606"/>
    <w:rsid w:val="00586E17"/>
    <w:rsid w:val="00590FFF"/>
    <w:rsid w:val="005924A3"/>
    <w:rsid w:val="00592942"/>
    <w:rsid w:val="00592A66"/>
    <w:rsid w:val="00595A59"/>
    <w:rsid w:val="00595FCA"/>
    <w:rsid w:val="00597459"/>
    <w:rsid w:val="005A1DD7"/>
    <w:rsid w:val="005A2583"/>
    <w:rsid w:val="005A6076"/>
    <w:rsid w:val="005A70DB"/>
    <w:rsid w:val="005A71C4"/>
    <w:rsid w:val="005B1C61"/>
    <w:rsid w:val="005B1F0D"/>
    <w:rsid w:val="005B3719"/>
    <w:rsid w:val="005B5638"/>
    <w:rsid w:val="005B63BD"/>
    <w:rsid w:val="005B7AD1"/>
    <w:rsid w:val="005C1559"/>
    <w:rsid w:val="005C6D97"/>
    <w:rsid w:val="005C6E3A"/>
    <w:rsid w:val="005C75AA"/>
    <w:rsid w:val="005C7DF1"/>
    <w:rsid w:val="005D02DE"/>
    <w:rsid w:val="005D0524"/>
    <w:rsid w:val="005D13A6"/>
    <w:rsid w:val="005D207D"/>
    <w:rsid w:val="005D30BD"/>
    <w:rsid w:val="005D66CE"/>
    <w:rsid w:val="005D700D"/>
    <w:rsid w:val="005E1C0C"/>
    <w:rsid w:val="005E224A"/>
    <w:rsid w:val="005E25D5"/>
    <w:rsid w:val="005E2A84"/>
    <w:rsid w:val="005E361B"/>
    <w:rsid w:val="005E4EC4"/>
    <w:rsid w:val="005E6DF4"/>
    <w:rsid w:val="005E7280"/>
    <w:rsid w:val="005E7AEE"/>
    <w:rsid w:val="005F00BE"/>
    <w:rsid w:val="005F0C23"/>
    <w:rsid w:val="005F50AE"/>
    <w:rsid w:val="005F746D"/>
    <w:rsid w:val="00603704"/>
    <w:rsid w:val="006056EB"/>
    <w:rsid w:val="006121E0"/>
    <w:rsid w:val="0061247A"/>
    <w:rsid w:val="0061659B"/>
    <w:rsid w:val="006177E3"/>
    <w:rsid w:val="00621F2B"/>
    <w:rsid w:val="00622A97"/>
    <w:rsid w:val="00625CAA"/>
    <w:rsid w:val="00626EF6"/>
    <w:rsid w:val="00630F82"/>
    <w:rsid w:val="00636864"/>
    <w:rsid w:val="00637894"/>
    <w:rsid w:val="00641B7F"/>
    <w:rsid w:val="006422B6"/>
    <w:rsid w:val="00642933"/>
    <w:rsid w:val="00642ABC"/>
    <w:rsid w:val="00647AC5"/>
    <w:rsid w:val="00653EBE"/>
    <w:rsid w:val="006541D1"/>
    <w:rsid w:val="00656CEC"/>
    <w:rsid w:val="00657C6C"/>
    <w:rsid w:val="006612E2"/>
    <w:rsid w:val="0066290C"/>
    <w:rsid w:val="006638BC"/>
    <w:rsid w:val="00664372"/>
    <w:rsid w:val="00670E5D"/>
    <w:rsid w:val="006716C9"/>
    <w:rsid w:val="00677E6E"/>
    <w:rsid w:val="006817E3"/>
    <w:rsid w:val="0068191C"/>
    <w:rsid w:val="00681AD0"/>
    <w:rsid w:val="00681D70"/>
    <w:rsid w:val="00681F88"/>
    <w:rsid w:val="0068203E"/>
    <w:rsid w:val="00685B5B"/>
    <w:rsid w:val="00686200"/>
    <w:rsid w:val="006873BF"/>
    <w:rsid w:val="00690839"/>
    <w:rsid w:val="00691048"/>
    <w:rsid w:val="0069258E"/>
    <w:rsid w:val="0069470A"/>
    <w:rsid w:val="006A34D9"/>
    <w:rsid w:val="006B612E"/>
    <w:rsid w:val="006B774F"/>
    <w:rsid w:val="006C31FD"/>
    <w:rsid w:val="006C5CA3"/>
    <w:rsid w:val="006D1943"/>
    <w:rsid w:val="006D4151"/>
    <w:rsid w:val="006D45BD"/>
    <w:rsid w:val="006D5772"/>
    <w:rsid w:val="006D70F9"/>
    <w:rsid w:val="006D7770"/>
    <w:rsid w:val="006E024B"/>
    <w:rsid w:val="006E0A81"/>
    <w:rsid w:val="006E1D89"/>
    <w:rsid w:val="006E49DA"/>
    <w:rsid w:val="006E4F93"/>
    <w:rsid w:val="006E61A2"/>
    <w:rsid w:val="006E724B"/>
    <w:rsid w:val="006F1016"/>
    <w:rsid w:val="006F24F5"/>
    <w:rsid w:val="006F29D8"/>
    <w:rsid w:val="006F43AB"/>
    <w:rsid w:val="006F4DEB"/>
    <w:rsid w:val="006F53B9"/>
    <w:rsid w:val="006F6163"/>
    <w:rsid w:val="006F6A54"/>
    <w:rsid w:val="006F7B66"/>
    <w:rsid w:val="007001A3"/>
    <w:rsid w:val="00701D60"/>
    <w:rsid w:val="00704616"/>
    <w:rsid w:val="0070461F"/>
    <w:rsid w:val="00705A6D"/>
    <w:rsid w:val="00705BD1"/>
    <w:rsid w:val="007105CF"/>
    <w:rsid w:val="00712B7F"/>
    <w:rsid w:val="00712BB3"/>
    <w:rsid w:val="00713D9E"/>
    <w:rsid w:val="00714BDC"/>
    <w:rsid w:val="0071574A"/>
    <w:rsid w:val="00720442"/>
    <w:rsid w:val="007206D9"/>
    <w:rsid w:val="0072089F"/>
    <w:rsid w:val="00720AB9"/>
    <w:rsid w:val="00722149"/>
    <w:rsid w:val="0072250D"/>
    <w:rsid w:val="007278CE"/>
    <w:rsid w:val="00734A50"/>
    <w:rsid w:val="00734DC2"/>
    <w:rsid w:val="00735A1D"/>
    <w:rsid w:val="007368BF"/>
    <w:rsid w:val="00736AF2"/>
    <w:rsid w:val="00744969"/>
    <w:rsid w:val="0074641C"/>
    <w:rsid w:val="007543A1"/>
    <w:rsid w:val="007548F6"/>
    <w:rsid w:val="00754ECF"/>
    <w:rsid w:val="007638CD"/>
    <w:rsid w:val="00763A73"/>
    <w:rsid w:val="00763C98"/>
    <w:rsid w:val="007676C5"/>
    <w:rsid w:val="00767A6E"/>
    <w:rsid w:val="00771570"/>
    <w:rsid w:val="007724F7"/>
    <w:rsid w:val="007733E9"/>
    <w:rsid w:val="007738CE"/>
    <w:rsid w:val="00774DC0"/>
    <w:rsid w:val="00776BC7"/>
    <w:rsid w:val="007828BB"/>
    <w:rsid w:val="007873F7"/>
    <w:rsid w:val="007922CA"/>
    <w:rsid w:val="00795FAC"/>
    <w:rsid w:val="00796623"/>
    <w:rsid w:val="00797009"/>
    <w:rsid w:val="007A2239"/>
    <w:rsid w:val="007A31EB"/>
    <w:rsid w:val="007A3628"/>
    <w:rsid w:val="007A4084"/>
    <w:rsid w:val="007B185A"/>
    <w:rsid w:val="007B4859"/>
    <w:rsid w:val="007B5A02"/>
    <w:rsid w:val="007B63D6"/>
    <w:rsid w:val="007B66B1"/>
    <w:rsid w:val="007B6E80"/>
    <w:rsid w:val="007C0946"/>
    <w:rsid w:val="007C0B1A"/>
    <w:rsid w:val="007C289B"/>
    <w:rsid w:val="007C486A"/>
    <w:rsid w:val="007C5BD6"/>
    <w:rsid w:val="007C5CC5"/>
    <w:rsid w:val="007C6660"/>
    <w:rsid w:val="007D2EDF"/>
    <w:rsid w:val="007D3D0F"/>
    <w:rsid w:val="007D5679"/>
    <w:rsid w:val="007D6066"/>
    <w:rsid w:val="007D73B3"/>
    <w:rsid w:val="007E4DDB"/>
    <w:rsid w:val="007E56E2"/>
    <w:rsid w:val="007F0128"/>
    <w:rsid w:val="007F0739"/>
    <w:rsid w:val="007F0BAF"/>
    <w:rsid w:val="007F15A5"/>
    <w:rsid w:val="007F2A4B"/>
    <w:rsid w:val="007F395C"/>
    <w:rsid w:val="007F41B6"/>
    <w:rsid w:val="007F47D1"/>
    <w:rsid w:val="007F4AE2"/>
    <w:rsid w:val="008029A0"/>
    <w:rsid w:val="0080352E"/>
    <w:rsid w:val="00803609"/>
    <w:rsid w:val="0080518E"/>
    <w:rsid w:val="00806C83"/>
    <w:rsid w:val="00807BC8"/>
    <w:rsid w:val="00811B0B"/>
    <w:rsid w:val="00816541"/>
    <w:rsid w:val="00817568"/>
    <w:rsid w:val="00820670"/>
    <w:rsid w:val="00820D32"/>
    <w:rsid w:val="008238EE"/>
    <w:rsid w:val="00823BC5"/>
    <w:rsid w:val="0082493C"/>
    <w:rsid w:val="00825385"/>
    <w:rsid w:val="00825D4F"/>
    <w:rsid w:val="00827681"/>
    <w:rsid w:val="00827BCC"/>
    <w:rsid w:val="00831124"/>
    <w:rsid w:val="00831D27"/>
    <w:rsid w:val="00837232"/>
    <w:rsid w:val="0084003F"/>
    <w:rsid w:val="0084077D"/>
    <w:rsid w:val="00840D96"/>
    <w:rsid w:val="00841349"/>
    <w:rsid w:val="00842707"/>
    <w:rsid w:val="00843C61"/>
    <w:rsid w:val="00844040"/>
    <w:rsid w:val="00844D44"/>
    <w:rsid w:val="0084637F"/>
    <w:rsid w:val="00847BE3"/>
    <w:rsid w:val="008504A1"/>
    <w:rsid w:val="008504E6"/>
    <w:rsid w:val="00855173"/>
    <w:rsid w:val="008563D6"/>
    <w:rsid w:val="00857B59"/>
    <w:rsid w:val="008602FA"/>
    <w:rsid w:val="008625F2"/>
    <w:rsid w:val="00864828"/>
    <w:rsid w:val="00870C46"/>
    <w:rsid w:val="0087765A"/>
    <w:rsid w:val="00877E3F"/>
    <w:rsid w:val="00881714"/>
    <w:rsid w:val="008819AF"/>
    <w:rsid w:val="008835CF"/>
    <w:rsid w:val="00884A0F"/>
    <w:rsid w:val="00884A51"/>
    <w:rsid w:val="00884F7F"/>
    <w:rsid w:val="00885616"/>
    <w:rsid w:val="00886091"/>
    <w:rsid w:val="008868ED"/>
    <w:rsid w:val="00887020"/>
    <w:rsid w:val="00887FB7"/>
    <w:rsid w:val="00890E32"/>
    <w:rsid w:val="00893997"/>
    <w:rsid w:val="00893CEC"/>
    <w:rsid w:val="00896D58"/>
    <w:rsid w:val="00896FD4"/>
    <w:rsid w:val="008979CA"/>
    <w:rsid w:val="008A331B"/>
    <w:rsid w:val="008A4491"/>
    <w:rsid w:val="008A4D35"/>
    <w:rsid w:val="008A59A4"/>
    <w:rsid w:val="008A7AE5"/>
    <w:rsid w:val="008B2B75"/>
    <w:rsid w:val="008B555F"/>
    <w:rsid w:val="008C3E19"/>
    <w:rsid w:val="008C7C0F"/>
    <w:rsid w:val="008D2A82"/>
    <w:rsid w:val="008D2B51"/>
    <w:rsid w:val="008D46E3"/>
    <w:rsid w:val="008D771A"/>
    <w:rsid w:val="008D7BAB"/>
    <w:rsid w:val="008E099C"/>
    <w:rsid w:val="008E2E05"/>
    <w:rsid w:val="008E3A91"/>
    <w:rsid w:val="008E3EFE"/>
    <w:rsid w:val="008E73C3"/>
    <w:rsid w:val="008F02D5"/>
    <w:rsid w:val="008F4694"/>
    <w:rsid w:val="008F5649"/>
    <w:rsid w:val="008F5E79"/>
    <w:rsid w:val="00902F98"/>
    <w:rsid w:val="009063AF"/>
    <w:rsid w:val="00906C8A"/>
    <w:rsid w:val="00910558"/>
    <w:rsid w:val="009116EB"/>
    <w:rsid w:val="009136F8"/>
    <w:rsid w:val="009146F2"/>
    <w:rsid w:val="00917E59"/>
    <w:rsid w:val="00920B66"/>
    <w:rsid w:val="00931112"/>
    <w:rsid w:val="00933614"/>
    <w:rsid w:val="00941A6B"/>
    <w:rsid w:val="00943578"/>
    <w:rsid w:val="00950CA4"/>
    <w:rsid w:val="00952EF4"/>
    <w:rsid w:val="00953298"/>
    <w:rsid w:val="00957A55"/>
    <w:rsid w:val="009616D4"/>
    <w:rsid w:val="009618DE"/>
    <w:rsid w:val="00961CBA"/>
    <w:rsid w:val="00962FEA"/>
    <w:rsid w:val="00964805"/>
    <w:rsid w:val="00966C1E"/>
    <w:rsid w:val="00972254"/>
    <w:rsid w:val="00974B85"/>
    <w:rsid w:val="00984D7E"/>
    <w:rsid w:val="0099233D"/>
    <w:rsid w:val="009A5245"/>
    <w:rsid w:val="009A56F8"/>
    <w:rsid w:val="009A6730"/>
    <w:rsid w:val="009A7343"/>
    <w:rsid w:val="009A751F"/>
    <w:rsid w:val="009B199A"/>
    <w:rsid w:val="009B1CA5"/>
    <w:rsid w:val="009B2192"/>
    <w:rsid w:val="009B5E17"/>
    <w:rsid w:val="009B648A"/>
    <w:rsid w:val="009C24F6"/>
    <w:rsid w:val="009C5B23"/>
    <w:rsid w:val="009C5CB2"/>
    <w:rsid w:val="009C5ED8"/>
    <w:rsid w:val="009C68F3"/>
    <w:rsid w:val="009C7BCE"/>
    <w:rsid w:val="009D0BB2"/>
    <w:rsid w:val="009D2123"/>
    <w:rsid w:val="009D48F2"/>
    <w:rsid w:val="009D4923"/>
    <w:rsid w:val="009D7966"/>
    <w:rsid w:val="009D7E28"/>
    <w:rsid w:val="009E0ADB"/>
    <w:rsid w:val="009E18F8"/>
    <w:rsid w:val="009E1F85"/>
    <w:rsid w:val="009E628B"/>
    <w:rsid w:val="009F0C91"/>
    <w:rsid w:val="009F14D6"/>
    <w:rsid w:val="009F1795"/>
    <w:rsid w:val="009F2B99"/>
    <w:rsid w:val="009F40E8"/>
    <w:rsid w:val="009F5606"/>
    <w:rsid w:val="009F606D"/>
    <w:rsid w:val="009F6569"/>
    <w:rsid w:val="009F7214"/>
    <w:rsid w:val="009F739E"/>
    <w:rsid w:val="00A0087F"/>
    <w:rsid w:val="00A01C3B"/>
    <w:rsid w:val="00A07F2A"/>
    <w:rsid w:val="00A121CD"/>
    <w:rsid w:val="00A149D2"/>
    <w:rsid w:val="00A14BA6"/>
    <w:rsid w:val="00A14FCF"/>
    <w:rsid w:val="00A166FB"/>
    <w:rsid w:val="00A17C8A"/>
    <w:rsid w:val="00A2233A"/>
    <w:rsid w:val="00A23F03"/>
    <w:rsid w:val="00A2701E"/>
    <w:rsid w:val="00A277E4"/>
    <w:rsid w:val="00A30506"/>
    <w:rsid w:val="00A3152B"/>
    <w:rsid w:val="00A31681"/>
    <w:rsid w:val="00A317A2"/>
    <w:rsid w:val="00A32428"/>
    <w:rsid w:val="00A37D9B"/>
    <w:rsid w:val="00A40040"/>
    <w:rsid w:val="00A4281B"/>
    <w:rsid w:val="00A445B2"/>
    <w:rsid w:val="00A45882"/>
    <w:rsid w:val="00A463B2"/>
    <w:rsid w:val="00A5125D"/>
    <w:rsid w:val="00A51309"/>
    <w:rsid w:val="00A52D17"/>
    <w:rsid w:val="00A53C56"/>
    <w:rsid w:val="00A56467"/>
    <w:rsid w:val="00A56B6B"/>
    <w:rsid w:val="00A61AA4"/>
    <w:rsid w:val="00A62192"/>
    <w:rsid w:val="00A6535F"/>
    <w:rsid w:val="00A70363"/>
    <w:rsid w:val="00A72F69"/>
    <w:rsid w:val="00A82792"/>
    <w:rsid w:val="00A83291"/>
    <w:rsid w:val="00A85089"/>
    <w:rsid w:val="00A85639"/>
    <w:rsid w:val="00A9140F"/>
    <w:rsid w:val="00A95776"/>
    <w:rsid w:val="00A966CE"/>
    <w:rsid w:val="00AA3F59"/>
    <w:rsid w:val="00AA4527"/>
    <w:rsid w:val="00AB0A38"/>
    <w:rsid w:val="00AB3C53"/>
    <w:rsid w:val="00AB4C0F"/>
    <w:rsid w:val="00AB5FF1"/>
    <w:rsid w:val="00AB62E3"/>
    <w:rsid w:val="00AC0EB1"/>
    <w:rsid w:val="00AC331D"/>
    <w:rsid w:val="00AC462A"/>
    <w:rsid w:val="00AD1746"/>
    <w:rsid w:val="00AD493A"/>
    <w:rsid w:val="00AD7C8A"/>
    <w:rsid w:val="00AE1A57"/>
    <w:rsid w:val="00AE7B7D"/>
    <w:rsid w:val="00AF161B"/>
    <w:rsid w:val="00AF178C"/>
    <w:rsid w:val="00AF1D01"/>
    <w:rsid w:val="00AF75F2"/>
    <w:rsid w:val="00B0060B"/>
    <w:rsid w:val="00B0136C"/>
    <w:rsid w:val="00B020AA"/>
    <w:rsid w:val="00B04391"/>
    <w:rsid w:val="00B048C9"/>
    <w:rsid w:val="00B05CE5"/>
    <w:rsid w:val="00B0740E"/>
    <w:rsid w:val="00B1030E"/>
    <w:rsid w:val="00B112C5"/>
    <w:rsid w:val="00B11FA6"/>
    <w:rsid w:val="00B12893"/>
    <w:rsid w:val="00B14773"/>
    <w:rsid w:val="00B159EA"/>
    <w:rsid w:val="00B15CE0"/>
    <w:rsid w:val="00B1650C"/>
    <w:rsid w:val="00B214E8"/>
    <w:rsid w:val="00B228B1"/>
    <w:rsid w:val="00B23757"/>
    <w:rsid w:val="00B23B3D"/>
    <w:rsid w:val="00B259B7"/>
    <w:rsid w:val="00B265FD"/>
    <w:rsid w:val="00B27DA7"/>
    <w:rsid w:val="00B3039A"/>
    <w:rsid w:val="00B30ABA"/>
    <w:rsid w:val="00B36E26"/>
    <w:rsid w:val="00B37CFB"/>
    <w:rsid w:val="00B4089B"/>
    <w:rsid w:val="00B43C4A"/>
    <w:rsid w:val="00B454D7"/>
    <w:rsid w:val="00B46986"/>
    <w:rsid w:val="00B47E25"/>
    <w:rsid w:val="00B52C85"/>
    <w:rsid w:val="00B52CBE"/>
    <w:rsid w:val="00B54C3F"/>
    <w:rsid w:val="00B56229"/>
    <w:rsid w:val="00B57379"/>
    <w:rsid w:val="00B57E01"/>
    <w:rsid w:val="00B609B4"/>
    <w:rsid w:val="00B66985"/>
    <w:rsid w:val="00B67055"/>
    <w:rsid w:val="00B7295F"/>
    <w:rsid w:val="00B729AC"/>
    <w:rsid w:val="00B757FE"/>
    <w:rsid w:val="00B82804"/>
    <w:rsid w:val="00B86874"/>
    <w:rsid w:val="00B87517"/>
    <w:rsid w:val="00B936F7"/>
    <w:rsid w:val="00B95E6C"/>
    <w:rsid w:val="00B96EDA"/>
    <w:rsid w:val="00B97D24"/>
    <w:rsid w:val="00BA174D"/>
    <w:rsid w:val="00BA1A41"/>
    <w:rsid w:val="00BA3799"/>
    <w:rsid w:val="00BA392E"/>
    <w:rsid w:val="00BA41D0"/>
    <w:rsid w:val="00BA4423"/>
    <w:rsid w:val="00BA4A72"/>
    <w:rsid w:val="00BA54E4"/>
    <w:rsid w:val="00BA68CF"/>
    <w:rsid w:val="00BB333D"/>
    <w:rsid w:val="00BB5275"/>
    <w:rsid w:val="00BB548B"/>
    <w:rsid w:val="00BB56A6"/>
    <w:rsid w:val="00BC26BD"/>
    <w:rsid w:val="00BC3984"/>
    <w:rsid w:val="00BC52A6"/>
    <w:rsid w:val="00BC7731"/>
    <w:rsid w:val="00BD07BE"/>
    <w:rsid w:val="00BD1782"/>
    <w:rsid w:val="00BD1BA9"/>
    <w:rsid w:val="00BD1DED"/>
    <w:rsid w:val="00BD6C49"/>
    <w:rsid w:val="00BD6F46"/>
    <w:rsid w:val="00BE1C77"/>
    <w:rsid w:val="00BE210F"/>
    <w:rsid w:val="00BE2F25"/>
    <w:rsid w:val="00BF173D"/>
    <w:rsid w:val="00BF685E"/>
    <w:rsid w:val="00BF6C00"/>
    <w:rsid w:val="00BF7DBA"/>
    <w:rsid w:val="00C0174A"/>
    <w:rsid w:val="00C05E68"/>
    <w:rsid w:val="00C125D3"/>
    <w:rsid w:val="00C14A0D"/>
    <w:rsid w:val="00C15EEC"/>
    <w:rsid w:val="00C1760F"/>
    <w:rsid w:val="00C20DE1"/>
    <w:rsid w:val="00C23045"/>
    <w:rsid w:val="00C24FDF"/>
    <w:rsid w:val="00C2580C"/>
    <w:rsid w:val="00C26728"/>
    <w:rsid w:val="00C26F2E"/>
    <w:rsid w:val="00C27619"/>
    <w:rsid w:val="00C30696"/>
    <w:rsid w:val="00C33289"/>
    <w:rsid w:val="00C33F9D"/>
    <w:rsid w:val="00C34807"/>
    <w:rsid w:val="00C355C0"/>
    <w:rsid w:val="00C4067D"/>
    <w:rsid w:val="00C414E8"/>
    <w:rsid w:val="00C477E2"/>
    <w:rsid w:val="00C47A7B"/>
    <w:rsid w:val="00C52FF3"/>
    <w:rsid w:val="00C544A5"/>
    <w:rsid w:val="00C5744E"/>
    <w:rsid w:val="00C6010A"/>
    <w:rsid w:val="00C60737"/>
    <w:rsid w:val="00C6092C"/>
    <w:rsid w:val="00C6499A"/>
    <w:rsid w:val="00C65050"/>
    <w:rsid w:val="00C65968"/>
    <w:rsid w:val="00C65D75"/>
    <w:rsid w:val="00C66275"/>
    <w:rsid w:val="00C66EEC"/>
    <w:rsid w:val="00C7093D"/>
    <w:rsid w:val="00C70C86"/>
    <w:rsid w:val="00C74D04"/>
    <w:rsid w:val="00C76ECA"/>
    <w:rsid w:val="00C8059E"/>
    <w:rsid w:val="00C807C0"/>
    <w:rsid w:val="00C822CA"/>
    <w:rsid w:val="00C83170"/>
    <w:rsid w:val="00C85269"/>
    <w:rsid w:val="00C855F2"/>
    <w:rsid w:val="00C86D41"/>
    <w:rsid w:val="00C873DC"/>
    <w:rsid w:val="00C875FB"/>
    <w:rsid w:val="00C876A4"/>
    <w:rsid w:val="00C945C3"/>
    <w:rsid w:val="00C96948"/>
    <w:rsid w:val="00C97E1F"/>
    <w:rsid w:val="00CA0DE1"/>
    <w:rsid w:val="00CA2BB0"/>
    <w:rsid w:val="00CA3189"/>
    <w:rsid w:val="00CA4311"/>
    <w:rsid w:val="00CA45F2"/>
    <w:rsid w:val="00CA46BC"/>
    <w:rsid w:val="00CA58A8"/>
    <w:rsid w:val="00CB2027"/>
    <w:rsid w:val="00CB3A90"/>
    <w:rsid w:val="00CB662C"/>
    <w:rsid w:val="00CC0802"/>
    <w:rsid w:val="00CC3C8A"/>
    <w:rsid w:val="00CC40AA"/>
    <w:rsid w:val="00CC5F5C"/>
    <w:rsid w:val="00CC6991"/>
    <w:rsid w:val="00CC6F02"/>
    <w:rsid w:val="00CC7074"/>
    <w:rsid w:val="00CC7E3F"/>
    <w:rsid w:val="00CD17B0"/>
    <w:rsid w:val="00CD3DD6"/>
    <w:rsid w:val="00CD509A"/>
    <w:rsid w:val="00CD70ED"/>
    <w:rsid w:val="00CE317A"/>
    <w:rsid w:val="00CE4723"/>
    <w:rsid w:val="00CE4CB0"/>
    <w:rsid w:val="00CE6D0D"/>
    <w:rsid w:val="00CF0402"/>
    <w:rsid w:val="00CF054A"/>
    <w:rsid w:val="00CF2208"/>
    <w:rsid w:val="00CF2914"/>
    <w:rsid w:val="00CF2A55"/>
    <w:rsid w:val="00CF4A77"/>
    <w:rsid w:val="00CF6A50"/>
    <w:rsid w:val="00D01C92"/>
    <w:rsid w:val="00D03C77"/>
    <w:rsid w:val="00D12B17"/>
    <w:rsid w:val="00D149A7"/>
    <w:rsid w:val="00D1661D"/>
    <w:rsid w:val="00D21946"/>
    <w:rsid w:val="00D2311E"/>
    <w:rsid w:val="00D23BF0"/>
    <w:rsid w:val="00D40FCB"/>
    <w:rsid w:val="00D42F42"/>
    <w:rsid w:val="00D43543"/>
    <w:rsid w:val="00D435BD"/>
    <w:rsid w:val="00D43C97"/>
    <w:rsid w:val="00D44FA3"/>
    <w:rsid w:val="00D45E9B"/>
    <w:rsid w:val="00D46F08"/>
    <w:rsid w:val="00D50D14"/>
    <w:rsid w:val="00D510D4"/>
    <w:rsid w:val="00D52C22"/>
    <w:rsid w:val="00D54227"/>
    <w:rsid w:val="00D55897"/>
    <w:rsid w:val="00D647FA"/>
    <w:rsid w:val="00D701B4"/>
    <w:rsid w:val="00D72D9C"/>
    <w:rsid w:val="00D751F4"/>
    <w:rsid w:val="00D774D3"/>
    <w:rsid w:val="00D77B10"/>
    <w:rsid w:val="00D83F31"/>
    <w:rsid w:val="00D85727"/>
    <w:rsid w:val="00D8597C"/>
    <w:rsid w:val="00D91390"/>
    <w:rsid w:val="00D934BE"/>
    <w:rsid w:val="00D939D3"/>
    <w:rsid w:val="00D9716A"/>
    <w:rsid w:val="00D97DED"/>
    <w:rsid w:val="00DA1699"/>
    <w:rsid w:val="00DA422A"/>
    <w:rsid w:val="00DB4F6E"/>
    <w:rsid w:val="00DB7152"/>
    <w:rsid w:val="00DC4E52"/>
    <w:rsid w:val="00DC5307"/>
    <w:rsid w:val="00DC7079"/>
    <w:rsid w:val="00DD01C0"/>
    <w:rsid w:val="00DD0639"/>
    <w:rsid w:val="00DD1BF2"/>
    <w:rsid w:val="00DD1E26"/>
    <w:rsid w:val="00DD3910"/>
    <w:rsid w:val="00DD7F7D"/>
    <w:rsid w:val="00DE024F"/>
    <w:rsid w:val="00DE376A"/>
    <w:rsid w:val="00DE699E"/>
    <w:rsid w:val="00DF1C9D"/>
    <w:rsid w:val="00DF2454"/>
    <w:rsid w:val="00DF306F"/>
    <w:rsid w:val="00DF385E"/>
    <w:rsid w:val="00DF3954"/>
    <w:rsid w:val="00DF7C07"/>
    <w:rsid w:val="00E00D7B"/>
    <w:rsid w:val="00E00F1E"/>
    <w:rsid w:val="00E01766"/>
    <w:rsid w:val="00E05E81"/>
    <w:rsid w:val="00E06570"/>
    <w:rsid w:val="00E07D31"/>
    <w:rsid w:val="00E1248F"/>
    <w:rsid w:val="00E1309B"/>
    <w:rsid w:val="00E1676E"/>
    <w:rsid w:val="00E2029F"/>
    <w:rsid w:val="00E22226"/>
    <w:rsid w:val="00E22D8F"/>
    <w:rsid w:val="00E238A1"/>
    <w:rsid w:val="00E2571A"/>
    <w:rsid w:val="00E31BCF"/>
    <w:rsid w:val="00E32521"/>
    <w:rsid w:val="00E328A7"/>
    <w:rsid w:val="00E342E3"/>
    <w:rsid w:val="00E35448"/>
    <w:rsid w:val="00E35A6E"/>
    <w:rsid w:val="00E36AC4"/>
    <w:rsid w:val="00E36C8C"/>
    <w:rsid w:val="00E37946"/>
    <w:rsid w:val="00E41A7C"/>
    <w:rsid w:val="00E41D78"/>
    <w:rsid w:val="00E42E9C"/>
    <w:rsid w:val="00E43392"/>
    <w:rsid w:val="00E43A73"/>
    <w:rsid w:val="00E43ECC"/>
    <w:rsid w:val="00E524E7"/>
    <w:rsid w:val="00E530CC"/>
    <w:rsid w:val="00E56C33"/>
    <w:rsid w:val="00E6124B"/>
    <w:rsid w:val="00E668A2"/>
    <w:rsid w:val="00E66925"/>
    <w:rsid w:val="00E66A9B"/>
    <w:rsid w:val="00E72646"/>
    <w:rsid w:val="00E755F3"/>
    <w:rsid w:val="00E856BA"/>
    <w:rsid w:val="00E86843"/>
    <w:rsid w:val="00E86F9F"/>
    <w:rsid w:val="00E90FFE"/>
    <w:rsid w:val="00E924FB"/>
    <w:rsid w:val="00E94DB8"/>
    <w:rsid w:val="00E954F8"/>
    <w:rsid w:val="00E9766C"/>
    <w:rsid w:val="00E97AF9"/>
    <w:rsid w:val="00EA54D1"/>
    <w:rsid w:val="00EA56A4"/>
    <w:rsid w:val="00EA5DDD"/>
    <w:rsid w:val="00EA62D0"/>
    <w:rsid w:val="00EB0183"/>
    <w:rsid w:val="00EB0F67"/>
    <w:rsid w:val="00EB1749"/>
    <w:rsid w:val="00EB2667"/>
    <w:rsid w:val="00EC08B0"/>
    <w:rsid w:val="00EC0AC4"/>
    <w:rsid w:val="00EC763E"/>
    <w:rsid w:val="00EC77B5"/>
    <w:rsid w:val="00ED4AC5"/>
    <w:rsid w:val="00ED75E8"/>
    <w:rsid w:val="00ED78EC"/>
    <w:rsid w:val="00EE0B30"/>
    <w:rsid w:val="00EE767F"/>
    <w:rsid w:val="00EE7BFA"/>
    <w:rsid w:val="00EF13EF"/>
    <w:rsid w:val="00EF1E87"/>
    <w:rsid w:val="00EF3620"/>
    <w:rsid w:val="00EF4041"/>
    <w:rsid w:val="00F00C1F"/>
    <w:rsid w:val="00F00F0C"/>
    <w:rsid w:val="00F01322"/>
    <w:rsid w:val="00F0263D"/>
    <w:rsid w:val="00F03D27"/>
    <w:rsid w:val="00F0496F"/>
    <w:rsid w:val="00F05F69"/>
    <w:rsid w:val="00F07DB9"/>
    <w:rsid w:val="00F13594"/>
    <w:rsid w:val="00F13647"/>
    <w:rsid w:val="00F1408E"/>
    <w:rsid w:val="00F17151"/>
    <w:rsid w:val="00F17F04"/>
    <w:rsid w:val="00F25AD1"/>
    <w:rsid w:val="00F26EA3"/>
    <w:rsid w:val="00F27B09"/>
    <w:rsid w:val="00F31884"/>
    <w:rsid w:val="00F324E2"/>
    <w:rsid w:val="00F33707"/>
    <w:rsid w:val="00F34F8A"/>
    <w:rsid w:val="00F35560"/>
    <w:rsid w:val="00F37F86"/>
    <w:rsid w:val="00F41BE1"/>
    <w:rsid w:val="00F44BD1"/>
    <w:rsid w:val="00F46BEF"/>
    <w:rsid w:val="00F515CF"/>
    <w:rsid w:val="00F55CA8"/>
    <w:rsid w:val="00F631E8"/>
    <w:rsid w:val="00F64237"/>
    <w:rsid w:val="00F661CC"/>
    <w:rsid w:val="00F72C44"/>
    <w:rsid w:val="00F73F2D"/>
    <w:rsid w:val="00F75878"/>
    <w:rsid w:val="00F77DA4"/>
    <w:rsid w:val="00F85FE8"/>
    <w:rsid w:val="00F92151"/>
    <w:rsid w:val="00F97756"/>
    <w:rsid w:val="00F97C95"/>
    <w:rsid w:val="00F97E75"/>
    <w:rsid w:val="00FA213A"/>
    <w:rsid w:val="00FA325F"/>
    <w:rsid w:val="00FA32C3"/>
    <w:rsid w:val="00FA35A5"/>
    <w:rsid w:val="00FA4250"/>
    <w:rsid w:val="00FA44A9"/>
    <w:rsid w:val="00FA45B6"/>
    <w:rsid w:val="00FA4D33"/>
    <w:rsid w:val="00FA635D"/>
    <w:rsid w:val="00FA67EE"/>
    <w:rsid w:val="00FA6DA4"/>
    <w:rsid w:val="00FB31B3"/>
    <w:rsid w:val="00FB56AC"/>
    <w:rsid w:val="00FB60F7"/>
    <w:rsid w:val="00FC0293"/>
    <w:rsid w:val="00FD1705"/>
    <w:rsid w:val="00FD388C"/>
    <w:rsid w:val="00FD7B4C"/>
    <w:rsid w:val="00FE0B08"/>
    <w:rsid w:val="00FE4B84"/>
    <w:rsid w:val="00FE59F0"/>
    <w:rsid w:val="00FF2032"/>
    <w:rsid w:val="00FF3D3B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F03"/>
    <w:rPr>
      <w:lang w:eastAsia="en-US"/>
    </w:rPr>
  </w:style>
  <w:style w:type="paragraph" w:styleId="Heading2">
    <w:name w:val="heading 2"/>
    <w:basedOn w:val="Normal"/>
    <w:next w:val="Normal"/>
    <w:qFormat/>
    <w:rsid w:val="005839EE"/>
    <w:pPr>
      <w:keepNext/>
      <w:spacing w:line="360" w:lineRule="auto"/>
      <w:jc w:val="right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41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839EE"/>
    <w:pPr>
      <w:keepNext/>
      <w:tabs>
        <w:tab w:val="left" w:pos="4170"/>
        <w:tab w:val="left" w:pos="4320"/>
        <w:tab w:val="left" w:pos="5805"/>
      </w:tabs>
      <w:spacing w:line="360" w:lineRule="auto"/>
      <w:outlineLvl w:val="3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4134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41349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Bullt-Arial">
    <w:name w:val="List Bullt - Arial"/>
    <w:basedOn w:val="ListBullet"/>
    <w:rsid w:val="00E72646"/>
    <w:pPr>
      <w:numPr>
        <w:numId w:val="0"/>
      </w:numPr>
    </w:pPr>
    <w:rPr>
      <w:rFonts w:ascii="Arial" w:hAnsi="Arial" w:cs="Arial"/>
    </w:rPr>
  </w:style>
  <w:style w:type="paragraph" w:styleId="ListBullet">
    <w:name w:val="List Bullet"/>
    <w:basedOn w:val="Normal"/>
    <w:rsid w:val="00E72646"/>
    <w:pPr>
      <w:numPr>
        <w:numId w:val="2"/>
      </w:numPr>
    </w:pPr>
  </w:style>
  <w:style w:type="paragraph" w:styleId="BodyText">
    <w:name w:val="Body Text"/>
    <w:basedOn w:val="Normal"/>
    <w:rsid w:val="00864828"/>
    <w:rPr>
      <w:rFonts w:ascii="Arial" w:eastAsia="Times" w:hAnsi="Arial"/>
    </w:rPr>
  </w:style>
  <w:style w:type="paragraph" w:styleId="Header">
    <w:name w:val="header"/>
    <w:basedOn w:val="Normal"/>
    <w:rsid w:val="00864828"/>
    <w:pPr>
      <w:tabs>
        <w:tab w:val="center" w:pos="4320"/>
        <w:tab w:val="right" w:pos="8640"/>
      </w:tabs>
    </w:pPr>
    <w:rPr>
      <w:rFonts w:ascii="Arial" w:eastAsia="Times" w:hAnsi="Arial"/>
    </w:rPr>
  </w:style>
  <w:style w:type="character" w:styleId="Hyperlink">
    <w:name w:val="Hyperlink"/>
    <w:basedOn w:val="DefaultParagraphFont"/>
    <w:rsid w:val="00864828"/>
    <w:rPr>
      <w:color w:val="0000FF"/>
      <w:u w:val="single"/>
    </w:rPr>
  </w:style>
  <w:style w:type="paragraph" w:styleId="BalloonText">
    <w:name w:val="Balloon Text"/>
    <w:basedOn w:val="Normal"/>
    <w:semiHidden/>
    <w:rsid w:val="00864828"/>
    <w:rPr>
      <w:rFonts w:ascii="Tahoma" w:eastAsia="Times" w:hAnsi="Tahoma" w:cs="Tahoma"/>
      <w:sz w:val="16"/>
      <w:szCs w:val="16"/>
    </w:rPr>
  </w:style>
  <w:style w:type="paragraph" w:styleId="Footer">
    <w:name w:val="footer"/>
    <w:basedOn w:val="Normal"/>
    <w:rsid w:val="0086482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BF685E"/>
    <w:pPr>
      <w:shd w:val="clear" w:color="auto" w:fill="000080"/>
    </w:pPr>
    <w:rPr>
      <w:rFonts w:ascii="Tahoma" w:hAnsi="Tahoma" w:cs="Tahoma"/>
    </w:rPr>
  </w:style>
  <w:style w:type="character" w:customStyle="1" w:styleId="EmailStyle23">
    <w:name w:val="EmailStyle23"/>
    <w:basedOn w:val="DefaultParagraphFont"/>
    <w:semiHidden/>
    <w:rsid w:val="00222517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1"/>
    <w:rsid w:val="000C57BF"/>
    <w:rPr>
      <w:rFonts w:ascii="Arial" w:hAnsi="Arial"/>
      <w:lang w:val="en-US" w:eastAsia="en-US" w:bidi="ar-SA"/>
    </w:rPr>
  </w:style>
  <w:style w:type="paragraph" w:customStyle="1" w:styleId="BodyText1">
    <w:name w:val="Body Text1"/>
    <w:link w:val="bodytextChar"/>
    <w:rsid w:val="000C57BF"/>
    <w:pPr>
      <w:spacing w:line="264" w:lineRule="auto"/>
      <w:ind w:left="1440"/>
    </w:pPr>
    <w:rPr>
      <w:rFonts w:ascii="Arial" w:hAnsi="Arial"/>
      <w:lang w:val="en-US" w:eastAsia="en-US"/>
    </w:rPr>
  </w:style>
  <w:style w:type="paragraph" w:customStyle="1" w:styleId="Text">
    <w:name w:val="Text"/>
    <w:basedOn w:val="Normal"/>
    <w:rsid w:val="000C57BF"/>
    <w:pPr>
      <w:spacing w:after="160" w:line="260" w:lineRule="exact"/>
    </w:pPr>
    <w:rPr>
      <w:rFonts w:ascii="Arial" w:hAnsi="Arial"/>
    </w:rPr>
  </w:style>
  <w:style w:type="character" w:styleId="FollowedHyperlink">
    <w:name w:val="FollowedHyperlink"/>
    <w:basedOn w:val="DefaultParagraphFont"/>
    <w:rsid w:val="006056EB"/>
    <w:rPr>
      <w:color w:val="800080"/>
      <w:u w:val="single"/>
    </w:rPr>
  </w:style>
  <w:style w:type="paragraph" w:customStyle="1" w:styleId="DocumentName">
    <w:name w:val="Document Name"/>
    <w:basedOn w:val="Normal"/>
    <w:link w:val="DocumentNameChar"/>
    <w:rsid w:val="00953298"/>
    <w:pPr>
      <w:tabs>
        <w:tab w:val="left" w:pos="540"/>
      </w:tabs>
      <w:spacing w:after="80"/>
    </w:pPr>
    <w:rPr>
      <w:rFonts w:ascii="Arial" w:hAnsi="Arial"/>
      <w:b/>
      <w:color w:val="191B7B"/>
      <w:sz w:val="40"/>
    </w:rPr>
  </w:style>
  <w:style w:type="character" w:customStyle="1" w:styleId="DocumentNameChar">
    <w:name w:val="Document Name Char"/>
    <w:basedOn w:val="DefaultParagraphFont"/>
    <w:link w:val="DocumentName"/>
    <w:rsid w:val="00953298"/>
    <w:rPr>
      <w:rFonts w:ascii="Arial" w:hAnsi="Arial"/>
      <w:b/>
      <w:color w:val="191B7B"/>
      <w:sz w:val="40"/>
      <w:lang w:val="en-GB" w:eastAsia="en-US" w:bidi="ar-SA"/>
    </w:rPr>
  </w:style>
  <w:style w:type="paragraph" w:styleId="BodyTextIndent">
    <w:name w:val="Body Text Indent"/>
    <w:basedOn w:val="Normal"/>
    <w:rsid w:val="00253B4F"/>
    <w:pPr>
      <w:spacing w:after="120"/>
      <w:ind w:left="283"/>
    </w:pPr>
  </w:style>
  <w:style w:type="table" w:styleId="TableGrid">
    <w:name w:val="Table Grid"/>
    <w:basedOn w:val="TableNormal"/>
    <w:rsid w:val="00253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1F4F8D"/>
    <w:pPr>
      <w:jc w:val="center"/>
    </w:pPr>
    <w:rPr>
      <w:b/>
      <w:bCs/>
    </w:rPr>
  </w:style>
  <w:style w:type="paragraph" w:styleId="PlainText">
    <w:name w:val="Plain Text"/>
    <w:basedOn w:val="Normal"/>
    <w:rsid w:val="004C5915"/>
    <w:rPr>
      <w:rFonts w:ascii="Arial" w:hAnsi="Arial" w:cs="Arial"/>
      <w:lang w:eastAsia="en-GB"/>
    </w:rPr>
  </w:style>
  <w:style w:type="paragraph" w:styleId="NormalWeb">
    <w:name w:val="Normal (Web)"/>
    <w:basedOn w:val="Normal"/>
    <w:rsid w:val="00841349"/>
    <w:pPr>
      <w:spacing w:before="90" w:after="100" w:afterAutospacing="1"/>
    </w:pPr>
    <w:rPr>
      <w:rFonts w:ascii="arial helvetica" w:eastAsia="Arial Unicode MS" w:hAnsi="arial helvetica" w:cs="Arial Unicode MS"/>
      <w:color w:val="000000"/>
      <w:sz w:val="18"/>
      <w:szCs w:val="18"/>
    </w:rPr>
  </w:style>
  <w:style w:type="paragraph" w:styleId="TOC1">
    <w:name w:val="toc 1"/>
    <w:basedOn w:val="Normal"/>
    <w:next w:val="Normal"/>
    <w:autoRedefine/>
    <w:semiHidden/>
    <w:rsid w:val="00E86F9F"/>
    <w:rPr>
      <w:rFonts w:ascii="Arial" w:hAnsi="Arial" w:cs="Arial"/>
      <w:bCs/>
      <w:color w:val="333333"/>
      <w:lang w:val="en-US"/>
    </w:rPr>
  </w:style>
  <w:style w:type="paragraph" w:styleId="ListParagraph">
    <w:name w:val="List Paragraph"/>
    <w:basedOn w:val="Normal"/>
    <w:uiPriority w:val="34"/>
    <w:qFormat/>
    <w:rsid w:val="00CF0402"/>
    <w:pPr>
      <w:ind w:left="720"/>
    </w:pPr>
  </w:style>
  <w:style w:type="paragraph" w:styleId="FootnoteText">
    <w:name w:val="footnote text"/>
    <w:basedOn w:val="Normal"/>
    <w:link w:val="FootnoteTextChar"/>
    <w:rsid w:val="00AF178C"/>
  </w:style>
  <w:style w:type="character" w:customStyle="1" w:styleId="FootnoteTextChar">
    <w:name w:val="Footnote Text Char"/>
    <w:basedOn w:val="DefaultParagraphFont"/>
    <w:link w:val="FootnoteText"/>
    <w:rsid w:val="00AF178C"/>
    <w:rPr>
      <w:lang w:eastAsia="en-US"/>
    </w:rPr>
  </w:style>
  <w:style w:type="character" w:styleId="FootnoteReference">
    <w:name w:val="footnote reference"/>
    <w:basedOn w:val="DefaultParagraphFont"/>
    <w:rsid w:val="00AF17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75007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8955">
                              <w:marLeft w:val="39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9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7338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datastream.com/data/Equity%20indices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Benefits:</vt:lpstr>
    </vt:vector>
  </TitlesOfParts>
  <Company>Thomson Financial</Company>
  <LinksUpToDate>false</LinksUpToDate>
  <CharactersWithSpaces>8136</CharactersWithSpaces>
  <SharedDoc>false</SharedDoc>
  <HLinks>
    <vt:vector size="378" baseType="variant">
      <vt:variant>
        <vt:i4>2031673</vt:i4>
      </vt:variant>
      <vt:variant>
        <vt:i4>186</vt:i4>
      </vt:variant>
      <vt:variant>
        <vt:i4>0</vt:i4>
      </vt:variant>
      <vt:variant>
        <vt:i4>5</vt:i4>
      </vt:variant>
      <vt:variant>
        <vt:lpwstr>http://extranet.datastream.com/data/Equity indices/documents/Stoxxorderform_000.doc</vt:lpwstr>
      </vt:variant>
      <vt:variant>
        <vt:lpwstr/>
      </vt:variant>
      <vt:variant>
        <vt:i4>6815835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1507398</vt:i4>
      </vt:variant>
      <vt:variant>
        <vt:i4>180</vt:i4>
      </vt:variant>
      <vt:variant>
        <vt:i4>0</vt:i4>
      </vt:variant>
      <vt:variant>
        <vt:i4>5</vt:i4>
      </vt:variant>
      <vt:variant>
        <vt:lpwstr>http://extranet.datastream.com/data/Equity indices/documents/SIXConstituentListorderformeffectiveFebruary2010.doc</vt:lpwstr>
      </vt:variant>
      <vt:variant>
        <vt:lpwstr/>
      </vt:variant>
      <vt:variant>
        <vt:i4>6815835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6946883</vt:i4>
      </vt:variant>
      <vt:variant>
        <vt:i4>174</vt:i4>
      </vt:variant>
      <vt:variant>
        <vt:i4>0</vt:i4>
      </vt:variant>
      <vt:variant>
        <vt:i4>5</vt:i4>
      </vt:variant>
      <vt:variant>
        <vt:lpwstr>http://extranet.datastream.com/data/Equity indices/documents/SPOrderFormApril2010_001.doc</vt:lpwstr>
      </vt:variant>
      <vt:variant>
        <vt:lpwstr/>
      </vt:variant>
      <vt:variant>
        <vt:i4>6815835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7536720</vt:i4>
      </vt:variant>
      <vt:variant>
        <vt:i4>168</vt:i4>
      </vt:variant>
      <vt:variant>
        <vt:i4>0</vt:i4>
      </vt:variant>
      <vt:variant>
        <vt:i4>5</vt:i4>
      </vt:variant>
      <vt:variant>
        <vt:lpwstr>http://extranet.datastream.com/data/Equity indices/documents/RussellOrderFormFebruary2010_000.doc</vt:lpwstr>
      </vt:variant>
      <vt:variant>
        <vt:lpwstr/>
      </vt:variant>
      <vt:variant>
        <vt:i4>6815835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196695</vt:i4>
      </vt:variant>
      <vt:variant>
        <vt:i4>162</vt:i4>
      </vt:variant>
      <vt:variant>
        <vt:i4>0</vt:i4>
      </vt:variant>
      <vt:variant>
        <vt:i4>5</vt:i4>
      </vt:variant>
      <vt:variant>
        <vt:lpwstr>http://extranet.datastream.com/data/Equity indices/documents/OMXOrderFormFebruary2010.doc</vt:lpwstr>
      </vt:variant>
      <vt:variant>
        <vt:lpwstr/>
      </vt:variant>
      <vt:variant>
        <vt:i4>6815835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7995471</vt:i4>
      </vt:variant>
      <vt:variant>
        <vt:i4>156</vt:i4>
      </vt:variant>
      <vt:variant>
        <vt:i4>0</vt:i4>
      </vt:variant>
      <vt:variant>
        <vt:i4>5</vt:i4>
      </vt:variant>
      <vt:variant>
        <vt:lpwstr>mailto:Clientservice@mscibarra.com</vt:lpwstr>
      </vt:variant>
      <vt:variant>
        <vt:lpwstr/>
      </vt:variant>
      <vt:variant>
        <vt:i4>2818162</vt:i4>
      </vt:variant>
      <vt:variant>
        <vt:i4>153</vt:i4>
      </vt:variant>
      <vt:variant>
        <vt:i4>0</vt:i4>
      </vt:variant>
      <vt:variant>
        <vt:i4>5</vt:i4>
      </vt:variant>
      <vt:variant>
        <vt:lpwstr>http://extranet.datastream.com/data/Equity indices/documents/MSCIOrderFormFebruary2010.doc</vt:lpwstr>
      </vt:variant>
      <vt:variant>
        <vt:lpwstr/>
      </vt:variant>
      <vt:variant>
        <vt:i4>393260</vt:i4>
      </vt:variant>
      <vt:variant>
        <vt:i4>150</vt:i4>
      </vt:variant>
      <vt:variant>
        <vt:i4>0</vt:i4>
      </vt:variant>
      <vt:variant>
        <vt:i4>5</vt:i4>
      </vt:variant>
      <vt:variant>
        <vt:lpwstr>mailto:msciapprove@mscibarra.com</vt:lpwstr>
      </vt:variant>
      <vt:variant>
        <vt:lpwstr/>
      </vt:variant>
      <vt:variant>
        <vt:i4>4325482</vt:i4>
      </vt:variant>
      <vt:variant>
        <vt:i4>147</vt:i4>
      </vt:variant>
      <vt:variant>
        <vt:i4>0</vt:i4>
      </vt:variant>
      <vt:variant>
        <vt:i4>5</vt:i4>
      </vt:variant>
      <vt:variant>
        <vt:lpwstr>http://extranet.datastream.com/data/Equity indices/documents/LPXandNMXIndexorderformFebruary2010_000.doc</vt:lpwstr>
      </vt:variant>
      <vt:variant>
        <vt:lpwstr/>
      </vt:variant>
      <vt:variant>
        <vt:i4>6815835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3080312</vt:i4>
      </vt:variant>
      <vt:variant>
        <vt:i4>141</vt:i4>
      </vt:variant>
      <vt:variant>
        <vt:i4>0</vt:i4>
      </vt:variant>
      <vt:variant>
        <vt:i4>5</vt:i4>
      </vt:variant>
      <vt:variant>
        <vt:lpwstr>http://extranet.datastream.com/data/Equity indices/documents/HSBCOrderFormFebruary2010.doc</vt:lpwstr>
      </vt:variant>
      <vt:variant>
        <vt:lpwstr/>
      </vt:variant>
      <vt:variant>
        <vt:i4>3014728</vt:i4>
      </vt:variant>
      <vt:variant>
        <vt:i4>138</vt:i4>
      </vt:variant>
      <vt:variant>
        <vt:i4>0</vt:i4>
      </vt:variant>
      <vt:variant>
        <vt:i4>5</vt:i4>
      </vt:variant>
      <vt:variant>
        <vt:lpwstr>mailto:Scott.Thomson@hsbcib.com</vt:lpwstr>
      </vt:variant>
      <vt:variant>
        <vt:lpwstr/>
      </vt:variant>
      <vt:variant>
        <vt:i4>1900671</vt:i4>
      </vt:variant>
      <vt:variant>
        <vt:i4>135</vt:i4>
      </vt:variant>
      <vt:variant>
        <vt:i4>0</vt:i4>
      </vt:variant>
      <vt:variant>
        <vt:i4>5</vt:i4>
      </vt:variant>
      <vt:variant>
        <vt:lpwstr>http://extranet.datastream.com/data/Equity indices/documents/SouthAfricanCustomers-JSEOrderFormFebruary2010_000.doc</vt:lpwstr>
      </vt:variant>
      <vt:variant>
        <vt:lpwstr/>
      </vt:variant>
      <vt:variant>
        <vt:i4>6815835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4653164</vt:i4>
      </vt:variant>
      <vt:variant>
        <vt:i4>129</vt:i4>
      </vt:variant>
      <vt:variant>
        <vt:i4>0</vt:i4>
      </vt:variant>
      <vt:variant>
        <vt:i4>5</vt:i4>
      </vt:variant>
      <vt:variant>
        <vt:lpwstr>mailto:Infous@ftse.com</vt:lpwstr>
      </vt:variant>
      <vt:variant>
        <vt:lpwstr/>
      </vt:variant>
      <vt:variant>
        <vt:i4>3276831</vt:i4>
      </vt:variant>
      <vt:variant>
        <vt:i4>126</vt:i4>
      </vt:variant>
      <vt:variant>
        <vt:i4>0</vt:i4>
      </vt:variant>
      <vt:variant>
        <vt:i4>5</vt:i4>
      </vt:variant>
      <vt:variant>
        <vt:lpwstr>mailto:Info@FTSE.com</vt:lpwstr>
      </vt:variant>
      <vt:variant>
        <vt:lpwstr/>
      </vt:variant>
      <vt:variant>
        <vt:i4>8126464</vt:i4>
      </vt:variant>
      <vt:variant>
        <vt:i4>123</vt:i4>
      </vt:variant>
      <vt:variant>
        <vt:i4>0</vt:i4>
      </vt:variant>
      <vt:variant>
        <vt:i4>5</vt:i4>
      </vt:variant>
      <vt:variant>
        <vt:lpwstr>mailto:Daphne.stead@ftse.com</vt:lpwstr>
      </vt:variant>
      <vt:variant>
        <vt:lpwstr/>
      </vt:variant>
      <vt:variant>
        <vt:i4>3997790</vt:i4>
      </vt:variant>
      <vt:variant>
        <vt:i4>120</vt:i4>
      </vt:variant>
      <vt:variant>
        <vt:i4>0</vt:i4>
      </vt:variant>
      <vt:variant>
        <vt:i4>5</vt:i4>
      </vt:variant>
      <vt:variant>
        <vt:lpwstr>mailto:Kristen.mierzwa@ftse.com</vt:lpwstr>
      </vt:variant>
      <vt:variant>
        <vt:lpwstr/>
      </vt:variant>
      <vt:variant>
        <vt:i4>6553625</vt:i4>
      </vt:variant>
      <vt:variant>
        <vt:i4>117</vt:i4>
      </vt:variant>
      <vt:variant>
        <vt:i4>0</vt:i4>
      </vt:variant>
      <vt:variant>
        <vt:i4>5</vt:i4>
      </vt:variant>
      <vt:variant>
        <vt:lpwstr>mailto:jonathan.cooper@ftse.com</vt:lpwstr>
      </vt:variant>
      <vt:variant>
        <vt:lpwstr/>
      </vt:variant>
      <vt:variant>
        <vt:i4>119</vt:i4>
      </vt:variant>
      <vt:variant>
        <vt:i4>114</vt:i4>
      </vt:variant>
      <vt:variant>
        <vt:i4>0</vt:i4>
      </vt:variant>
      <vt:variant>
        <vt:i4>5</vt:i4>
      </vt:variant>
      <vt:variant>
        <vt:lpwstr>mailto:Sean.wasserman@ftse.com</vt:lpwstr>
      </vt:variant>
      <vt:variant>
        <vt:lpwstr/>
      </vt:variant>
      <vt:variant>
        <vt:i4>8323075</vt:i4>
      </vt:variant>
      <vt:variant>
        <vt:i4>111</vt:i4>
      </vt:variant>
      <vt:variant>
        <vt:i4>0</vt:i4>
      </vt:variant>
      <vt:variant>
        <vt:i4>5</vt:i4>
      </vt:variant>
      <vt:variant>
        <vt:lpwstr>mailto:Joanna.wolff@ftse.com</vt:lpwstr>
      </vt:variant>
      <vt:variant>
        <vt:lpwstr/>
      </vt:variant>
      <vt:variant>
        <vt:i4>4325417</vt:i4>
      </vt:variant>
      <vt:variant>
        <vt:i4>108</vt:i4>
      </vt:variant>
      <vt:variant>
        <vt:i4>0</vt:i4>
      </vt:variant>
      <vt:variant>
        <vt:i4>5</vt:i4>
      </vt:variant>
      <vt:variant>
        <vt:lpwstr>mailto:Bob.ebert@ftse.com</vt:lpwstr>
      </vt:variant>
      <vt:variant>
        <vt:lpwstr/>
      </vt:variant>
      <vt:variant>
        <vt:i4>3473478</vt:i4>
      </vt:variant>
      <vt:variant>
        <vt:i4>105</vt:i4>
      </vt:variant>
      <vt:variant>
        <vt:i4>0</vt:i4>
      </vt:variant>
      <vt:variant>
        <vt:i4>5</vt:i4>
      </vt:variant>
      <vt:variant>
        <vt:lpwstr>mailto:jerry.moskowitz@ftse.com</vt:lpwstr>
      </vt:variant>
      <vt:variant>
        <vt:lpwstr/>
      </vt:variant>
      <vt:variant>
        <vt:i4>6357004</vt:i4>
      </vt:variant>
      <vt:variant>
        <vt:i4>102</vt:i4>
      </vt:variant>
      <vt:variant>
        <vt:i4>0</vt:i4>
      </vt:variant>
      <vt:variant>
        <vt:i4>5</vt:i4>
      </vt:variant>
      <vt:variant>
        <vt:lpwstr>mailto:Jack.glazebrook@ftse.com</vt:lpwstr>
      </vt:variant>
      <vt:variant>
        <vt:lpwstr/>
      </vt:variant>
      <vt:variant>
        <vt:i4>4653116</vt:i4>
      </vt:variant>
      <vt:variant>
        <vt:i4>99</vt:i4>
      </vt:variant>
      <vt:variant>
        <vt:i4>0</vt:i4>
      </vt:variant>
      <vt:variant>
        <vt:i4>5</vt:i4>
      </vt:variant>
      <vt:variant>
        <vt:lpwstr>mailto:Kenneth.sebuganda@ftse.com</vt:lpwstr>
      </vt:variant>
      <vt:variant>
        <vt:lpwstr/>
      </vt:variant>
      <vt:variant>
        <vt:i4>8323083</vt:i4>
      </vt:variant>
      <vt:variant>
        <vt:i4>96</vt:i4>
      </vt:variant>
      <vt:variant>
        <vt:i4>0</vt:i4>
      </vt:variant>
      <vt:variant>
        <vt:i4>5</vt:i4>
      </vt:variant>
      <vt:variant>
        <vt:lpwstr>mailto:Nicole.Serrette@ftse.com</vt:lpwstr>
      </vt:variant>
      <vt:variant>
        <vt:lpwstr/>
      </vt:variant>
      <vt:variant>
        <vt:i4>4325437</vt:i4>
      </vt:variant>
      <vt:variant>
        <vt:i4>93</vt:i4>
      </vt:variant>
      <vt:variant>
        <vt:i4>0</vt:i4>
      </vt:variant>
      <vt:variant>
        <vt:i4>5</vt:i4>
      </vt:variant>
      <vt:variant>
        <vt:lpwstr>mailto:Naoko.shimada@ftse.com</vt:lpwstr>
      </vt:variant>
      <vt:variant>
        <vt:lpwstr/>
      </vt:variant>
      <vt:variant>
        <vt:i4>5505080</vt:i4>
      </vt:variant>
      <vt:variant>
        <vt:i4>90</vt:i4>
      </vt:variant>
      <vt:variant>
        <vt:i4>0</vt:i4>
      </vt:variant>
      <vt:variant>
        <vt:i4>5</vt:i4>
      </vt:variant>
      <vt:variant>
        <vt:lpwstr>mailto:Linda.chim@ftse.com</vt:lpwstr>
      </vt:variant>
      <vt:variant>
        <vt:lpwstr/>
      </vt:variant>
      <vt:variant>
        <vt:i4>4587553</vt:i4>
      </vt:variant>
      <vt:variant>
        <vt:i4>87</vt:i4>
      </vt:variant>
      <vt:variant>
        <vt:i4>0</vt:i4>
      </vt:variant>
      <vt:variant>
        <vt:i4>5</vt:i4>
      </vt:variant>
      <vt:variant>
        <vt:lpwstr>mailto:julie.Andrews@ftse.com</vt:lpwstr>
      </vt:variant>
      <vt:variant>
        <vt:lpwstr/>
      </vt:variant>
      <vt:variant>
        <vt:i4>6946832</vt:i4>
      </vt:variant>
      <vt:variant>
        <vt:i4>84</vt:i4>
      </vt:variant>
      <vt:variant>
        <vt:i4>0</vt:i4>
      </vt:variant>
      <vt:variant>
        <vt:i4>5</vt:i4>
      </vt:variant>
      <vt:variant>
        <vt:lpwstr>mailto:Takuma.karasawa@ftse.com</vt:lpwstr>
      </vt:variant>
      <vt:variant>
        <vt:lpwstr/>
      </vt:variant>
      <vt:variant>
        <vt:i4>8126495</vt:i4>
      </vt:variant>
      <vt:variant>
        <vt:i4>81</vt:i4>
      </vt:variant>
      <vt:variant>
        <vt:i4>0</vt:i4>
      </vt:variant>
      <vt:variant>
        <vt:i4>5</vt:i4>
      </vt:variant>
      <vt:variant>
        <vt:lpwstr>mailto:Charlene.Low@ftse.com</vt:lpwstr>
      </vt:variant>
      <vt:variant>
        <vt:lpwstr/>
      </vt:variant>
      <vt:variant>
        <vt:i4>1310843</vt:i4>
      </vt:variant>
      <vt:variant>
        <vt:i4>78</vt:i4>
      </vt:variant>
      <vt:variant>
        <vt:i4>0</vt:i4>
      </vt:variant>
      <vt:variant>
        <vt:i4>5</vt:i4>
      </vt:variant>
      <vt:variant>
        <vt:lpwstr>mailto:Paul.Hoff@ftse.com</vt:lpwstr>
      </vt:variant>
      <vt:variant>
        <vt:lpwstr/>
      </vt:variant>
      <vt:variant>
        <vt:i4>1507443</vt:i4>
      </vt:variant>
      <vt:variant>
        <vt:i4>75</vt:i4>
      </vt:variant>
      <vt:variant>
        <vt:i4>0</vt:i4>
      </vt:variant>
      <vt:variant>
        <vt:i4>5</vt:i4>
      </vt:variant>
      <vt:variant>
        <vt:lpwstr>mailto:theodore.apostolov@ftse.com</vt:lpwstr>
      </vt:variant>
      <vt:variant>
        <vt:lpwstr/>
      </vt:variant>
      <vt:variant>
        <vt:i4>7208965</vt:i4>
      </vt:variant>
      <vt:variant>
        <vt:i4>72</vt:i4>
      </vt:variant>
      <vt:variant>
        <vt:i4>0</vt:i4>
      </vt:variant>
      <vt:variant>
        <vt:i4>5</vt:i4>
      </vt:variant>
      <vt:variant>
        <vt:lpwstr>mailto:Martin.Kirby@ftse.com</vt:lpwstr>
      </vt:variant>
      <vt:variant>
        <vt:lpwstr/>
      </vt:variant>
      <vt:variant>
        <vt:i4>6684703</vt:i4>
      </vt:variant>
      <vt:variant>
        <vt:i4>69</vt:i4>
      </vt:variant>
      <vt:variant>
        <vt:i4>0</vt:i4>
      </vt:variant>
      <vt:variant>
        <vt:i4>5</vt:i4>
      </vt:variant>
      <vt:variant>
        <vt:lpwstr>mailto:gregor.stolz@ftse.com</vt:lpwstr>
      </vt:variant>
      <vt:variant>
        <vt:lpwstr/>
      </vt:variant>
      <vt:variant>
        <vt:i4>1507454</vt:i4>
      </vt:variant>
      <vt:variant>
        <vt:i4>66</vt:i4>
      </vt:variant>
      <vt:variant>
        <vt:i4>0</vt:i4>
      </vt:variant>
      <vt:variant>
        <vt:i4>5</vt:i4>
      </vt:variant>
      <vt:variant>
        <vt:lpwstr>mailto:Pito.Nadal@ftse.com</vt:lpwstr>
      </vt:variant>
      <vt:variant>
        <vt:lpwstr/>
      </vt:variant>
      <vt:variant>
        <vt:i4>1900661</vt:i4>
      </vt:variant>
      <vt:variant>
        <vt:i4>63</vt:i4>
      </vt:variant>
      <vt:variant>
        <vt:i4>0</vt:i4>
      </vt:variant>
      <vt:variant>
        <vt:i4>5</vt:i4>
      </vt:variant>
      <vt:variant>
        <vt:lpwstr>mailto:anne.veysseyre@ftse.com</vt:lpwstr>
      </vt:variant>
      <vt:variant>
        <vt:lpwstr/>
      </vt:variant>
      <vt:variant>
        <vt:i4>4849709</vt:i4>
      </vt:variant>
      <vt:variant>
        <vt:i4>60</vt:i4>
      </vt:variant>
      <vt:variant>
        <vt:i4>0</vt:i4>
      </vt:variant>
      <vt:variant>
        <vt:i4>5</vt:i4>
      </vt:variant>
      <vt:variant>
        <vt:lpwstr>mailto:anthony.camilotti@ftse.com</vt:lpwstr>
      </vt:variant>
      <vt:variant>
        <vt:lpwstr/>
      </vt:variant>
      <vt:variant>
        <vt:i4>3145849</vt:i4>
      </vt:variant>
      <vt:variant>
        <vt:i4>57</vt:i4>
      </vt:variant>
      <vt:variant>
        <vt:i4>0</vt:i4>
      </vt:variant>
      <vt:variant>
        <vt:i4>5</vt:i4>
      </vt:variant>
      <vt:variant>
        <vt:lpwstr>http://extranet.datastream.com/data/Equity indices/documents/FTSEOrderFormFebruary2010.doc</vt:lpwstr>
      </vt:variant>
      <vt:variant>
        <vt:lpwstr/>
      </vt:variant>
      <vt:variant>
        <vt:i4>131171</vt:i4>
      </vt:variant>
      <vt:variant>
        <vt:i4>54</vt:i4>
      </vt:variant>
      <vt:variant>
        <vt:i4>0</vt:i4>
      </vt:variant>
      <vt:variant>
        <vt:i4>5</vt:i4>
      </vt:variant>
      <vt:variant>
        <vt:lpwstr>mailto:ftse.sales@ftse.com</vt:lpwstr>
      </vt:variant>
      <vt:variant>
        <vt:lpwstr/>
      </vt:variant>
      <vt:variant>
        <vt:i4>6815835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4718701</vt:i4>
      </vt:variant>
      <vt:variant>
        <vt:i4>48</vt:i4>
      </vt:variant>
      <vt:variant>
        <vt:i4>0</vt:i4>
      </vt:variant>
      <vt:variant>
        <vt:i4>5</vt:i4>
      </vt:variant>
      <vt:variant>
        <vt:lpwstr>http://extranet.datastream.com/data/Equity indices/documents/DowJonesSustainabilityConstituentlistsorderformFebruary2010_000.doc</vt:lpwstr>
      </vt:variant>
      <vt:variant>
        <vt:lpwstr/>
      </vt:variant>
      <vt:variant>
        <vt:i4>3211267</vt:i4>
      </vt:variant>
      <vt:variant>
        <vt:i4>45</vt:i4>
      </vt:variant>
      <vt:variant>
        <vt:i4>0</vt:i4>
      </vt:variant>
      <vt:variant>
        <vt:i4>5</vt:i4>
      </vt:variant>
      <vt:variant>
        <vt:lpwstr>mailto:Claudia.wais@sam-group.com</vt:lpwstr>
      </vt:variant>
      <vt:variant>
        <vt:lpwstr/>
      </vt:variant>
      <vt:variant>
        <vt:i4>6815835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_Pass_through_index</vt:lpwstr>
      </vt:variant>
      <vt:variant>
        <vt:i4>6881364</vt:i4>
      </vt:variant>
      <vt:variant>
        <vt:i4>39</vt:i4>
      </vt:variant>
      <vt:variant>
        <vt:i4>0</vt:i4>
      </vt:variant>
      <vt:variant>
        <vt:i4>5</vt:i4>
      </vt:variant>
      <vt:variant>
        <vt:lpwstr>http://extranet.datastream.com/data/Equity indices/documents/DowJonesIslamicorderform_002.doc</vt:lpwstr>
      </vt:variant>
      <vt:variant>
        <vt:lpwstr/>
      </vt:variant>
      <vt:variant>
        <vt:i4>7536684</vt:i4>
      </vt:variant>
      <vt:variant>
        <vt:i4>36</vt:i4>
      </vt:variant>
      <vt:variant>
        <vt:i4>0</vt:i4>
      </vt:variant>
      <vt:variant>
        <vt:i4>5</vt:i4>
      </vt:variant>
      <vt:variant>
        <vt:lpwstr>http://extranet.datastream.com/data/Equity indices/documents/DB.doc</vt:lpwstr>
      </vt:variant>
      <vt:variant>
        <vt:lpwstr/>
      </vt:variant>
      <vt:variant>
        <vt:i4>6094872</vt:i4>
      </vt:variant>
      <vt:variant>
        <vt:i4>33</vt:i4>
      </vt:variant>
      <vt:variant>
        <vt:i4>0</vt:i4>
      </vt:variant>
      <vt:variant>
        <vt:i4>5</vt:i4>
      </vt:variant>
      <vt:variant>
        <vt:lpwstr>http://extranet.datastream.com/data/Equity indices/documents/TSX.doc</vt:lpwstr>
      </vt:variant>
      <vt:variant>
        <vt:lpwstr/>
      </vt:variant>
      <vt:variant>
        <vt:i4>8257548</vt:i4>
      </vt:variant>
      <vt:variant>
        <vt:i4>30</vt:i4>
      </vt:variant>
      <vt:variant>
        <vt:i4>0</vt:i4>
      </vt:variant>
      <vt:variant>
        <vt:i4>5</vt:i4>
      </vt:variant>
      <vt:variant>
        <vt:lpwstr>mailto:andreka.lapchinski@bmo.com</vt:lpwstr>
      </vt:variant>
      <vt:variant>
        <vt:lpwstr/>
      </vt:variant>
      <vt:variant>
        <vt:i4>720950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_SIX</vt:lpwstr>
      </vt:variant>
      <vt:variant>
        <vt:i4>1835126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_S&amp;P_Constituent_Pass</vt:lpwstr>
      </vt:variant>
      <vt:variant>
        <vt:i4>544079925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_Russell_–_US</vt:lpwstr>
      </vt:variant>
      <vt:variant>
        <vt:i4>1777757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_OMX–_Indices_and</vt:lpwstr>
      </vt:variant>
      <vt:variant>
        <vt:i4>917608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_MSCI_-_</vt:lpwstr>
      </vt:variant>
      <vt:variant>
        <vt:i4>543686726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_BMO_Nesbitt_Burns_– Indices and Con</vt:lpwstr>
      </vt:variant>
      <vt:variant>
        <vt:i4>3145807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_HSBC:</vt:lpwstr>
      </vt:variant>
      <vt:variant>
        <vt:i4>3080270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_FTSE:</vt:lpwstr>
      </vt:variant>
      <vt:variant>
        <vt:i4>1048631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_Daily_Dow_Jones</vt:lpwstr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_BMO_Nesbitt_Burns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Benefits:</dc:title>
  <dc:creator>Tom Brien</dc:creator>
  <cp:lastModifiedBy>synerzip</cp:lastModifiedBy>
  <cp:revision>2</cp:revision>
  <cp:lastPrinted>2012-09-24T15:09:00Z</cp:lastPrinted>
  <dcterms:created xsi:type="dcterms:W3CDTF">2014-03-12T11:32:00Z</dcterms:created>
  <dcterms:modified xsi:type="dcterms:W3CDTF">2014-03-12T11:32:00Z</dcterms:modified>
</cp:coreProperties>
</file>