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C0" w:rsidRDefault="001938C0" w:rsidP="00841349">
      <w:pPr>
        <w:tabs>
          <w:tab w:val="right" w:pos="9072"/>
        </w:tabs>
        <w:jc w:val="center"/>
        <w:rPr>
          <w:rFonts w:ascii="Arial" w:hAnsi="Arial" w:cs="Arial"/>
          <w:caps/>
          <w:color w:val="FF9900"/>
          <w:sz w:val="32"/>
          <w:szCs w:val="32"/>
        </w:rPr>
      </w:pPr>
    </w:p>
    <w:p w:rsidR="00305DF7" w:rsidRDefault="00305DF7" w:rsidP="00841349">
      <w:pPr>
        <w:tabs>
          <w:tab w:val="right" w:pos="9072"/>
        </w:tabs>
        <w:jc w:val="center"/>
        <w:rPr>
          <w:rFonts w:ascii="Arial" w:hAnsi="Arial" w:cs="Arial"/>
          <w:caps/>
          <w:color w:val="FF9900"/>
          <w:sz w:val="32"/>
          <w:szCs w:val="32"/>
        </w:rPr>
      </w:pPr>
      <w:r>
        <w:rPr>
          <w:rFonts w:ascii="Arial" w:hAnsi="Arial" w:cs="Arial"/>
          <w:caps/>
          <w:color w:val="FF9900"/>
          <w:sz w:val="32"/>
          <w:szCs w:val="32"/>
        </w:rPr>
        <w:t>Datastream – 3</w:t>
      </w:r>
      <w:r w:rsidRPr="00305DF7">
        <w:rPr>
          <w:rFonts w:ascii="Arial" w:hAnsi="Arial" w:cs="Arial"/>
          <w:caps/>
          <w:color w:val="FF9900"/>
          <w:sz w:val="32"/>
          <w:szCs w:val="32"/>
          <w:vertAlign w:val="superscript"/>
        </w:rPr>
        <w:t>rd</w:t>
      </w:r>
      <w:r>
        <w:rPr>
          <w:rFonts w:ascii="Arial" w:hAnsi="Arial" w:cs="Arial"/>
          <w:caps/>
          <w:color w:val="FF9900"/>
          <w:sz w:val="32"/>
          <w:szCs w:val="32"/>
        </w:rPr>
        <w:t xml:space="preserve"> party DATA restrictions</w:t>
      </w:r>
    </w:p>
    <w:p w:rsidR="00305DF7" w:rsidRDefault="00841349" w:rsidP="00841349">
      <w:pPr>
        <w:tabs>
          <w:tab w:val="right" w:pos="9072"/>
        </w:tabs>
        <w:jc w:val="center"/>
        <w:rPr>
          <w:rFonts w:ascii="Arial" w:hAnsi="Arial" w:cs="Arial"/>
          <w:caps/>
          <w:color w:val="FF9900"/>
          <w:sz w:val="32"/>
          <w:szCs w:val="32"/>
        </w:rPr>
      </w:pPr>
      <w:r w:rsidRPr="009C7BCE">
        <w:rPr>
          <w:rFonts w:ascii="Arial" w:hAnsi="Arial" w:cs="Arial"/>
          <w:caps/>
          <w:color w:val="FF9900"/>
          <w:sz w:val="32"/>
          <w:szCs w:val="32"/>
        </w:rPr>
        <w:t>equity index</w:t>
      </w:r>
      <w:r w:rsidR="00106556">
        <w:rPr>
          <w:rFonts w:ascii="Arial" w:hAnsi="Arial" w:cs="Arial"/>
          <w:caps/>
          <w:color w:val="FF9900"/>
          <w:sz w:val="32"/>
          <w:szCs w:val="32"/>
        </w:rPr>
        <w:t xml:space="preserve">, </w:t>
      </w:r>
      <w:r w:rsidR="00106556" w:rsidRPr="009C7BCE">
        <w:rPr>
          <w:rFonts w:ascii="Arial" w:hAnsi="Arial" w:cs="Arial"/>
          <w:caps/>
          <w:color w:val="FF9900"/>
          <w:sz w:val="32"/>
          <w:szCs w:val="32"/>
        </w:rPr>
        <w:t>CONSTITUENTS</w:t>
      </w:r>
      <w:r w:rsidR="00106556">
        <w:rPr>
          <w:rFonts w:ascii="Arial" w:hAnsi="Arial" w:cs="Arial"/>
          <w:caps/>
          <w:color w:val="FF9900"/>
          <w:sz w:val="32"/>
          <w:szCs w:val="32"/>
        </w:rPr>
        <w:t xml:space="preserve"> ICW, GICS &amp; ICB CLASSIFICATiON </w:t>
      </w:r>
      <w:r w:rsidRPr="009C7BCE">
        <w:rPr>
          <w:rFonts w:ascii="Arial" w:hAnsi="Arial" w:cs="Arial"/>
          <w:caps/>
          <w:color w:val="FF9900"/>
          <w:sz w:val="32"/>
          <w:szCs w:val="32"/>
        </w:rPr>
        <w:t xml:space="preserve">pass through modules on thomson reuters DATASTREAM </w:t>
      </w:r>
    </w:p>
    <w:p w:rsidR="00841349" w:rsidRDefault="0001200F" w:rsidP="00841349">
      <w:pPr>
        <w:tabs>
          <w:tab w:val="right" w:pos="9072"/>
        </w:tabs>
        <w:jc w:val="center"/>
        <w:rPr>
          <w:rFonts w:ascii="Arial" w:hAnsi="Arial" w:cs="Arial"/>
          <w:caps/>
          <w:color w:val="FF9900"/>
          <w:sz w:val="32"/>
          <w:szCs w:val="32"/>
        </w:rPr>
      </w:pPr>
      <w:r>
        <w:rPr>
          <w:rFonts w:ascii="Arial" w:hAnsi="Arial" w:cs="Arial"/>
          <w:caps/>
          <w:color w:val="FF9900"/>
          <w:sz w:val="32"/>
          <w:szCs w:val="32"/>
        </w:rPr>
        <w:t>SEPTEMBER</w:t>
      </w:r>
      <w:r w:rsidR="00B4089B">
        <w:rPr>
          <w:rFonts w:ascii="Arial" w:hAnsi="Arial" w:cs="Arial"/>
          <w:caps/>
          <w:color w:val="FF9900"/>
          <w:sz w:val="32"/>
          <w:szCs w:val="32"/>
        </w:rPr>
        <w:t xml:space="preserve"> 2012</w:t>
      </w:r>
    </w:p>
    <w:p w:rsidR="003B36D6" w:rsidRPr="009C7BCE" w:rsidRDefault="003B36D6" w:rsidP="00841349">
      <w:pPr>
        <w:tabs>
          <w:tab w:val="right" w:pos="9072"/>
        </w:tabs>
        <w:jc w:val="center"/>
        <w:rPr>
          <w:rFonts w:ascii="Arial" w:hAnsi="Arial" w:cs="Arial"/>
          <w:b/>
          <w:color w:val="333333"/>
        </w:rPr>
      </w:pPr>
    </w:p>
    <w:p w:rsidR="0080352E" w:rsidRDefault="00642933" w:rsidP="00841349">
      <w:pPr>
        <w:rPr>
          <w:rFonts w:ascii="Calibri" w:hAnsi="Calibri" w:cs="Arial"/>
          <w:color w:val="333333"/>
          <w:sz w:val="22"/>
          <w:szCs w:val="22"/>
        </w:rPr>
      </w:pPr>
      <w:r w:rsidRPr="00062700">
        <w:rPr>
          <w:rFonts w:ascii="Calibri" w:hAnsi="Calibri" w:cs="Arial"/>
          <w:color w:val="333333"/>
          <w:sz w:val="22"/>
          <w:szCs w:val="22"/>
        </w:rPr>
        <w:t>This document provides details of the E</w:t>
      </w:r>
      <w:r w:rsidR="00E755F3" w:rsidRPr="00062700">
        <w:rPr>
          <w:rFonts w:ascii="Calibri" w:hAnsi="Calibri" w:cs="Arial"/>
          <w:color w:val="333333"/>
          <w:sz w:val="22"/>
          <w:szCs w:val="22"/>
        </w:rPr>
        <w:t>quity Index</w:t>
      </w:r>
      <w:r w:rsidR="00106556">
        <w:rPr>
          <w:rFonts w:ascii="Calibri" w:hAnsi="Calibri" w:cs="Arial"/>
          <w:color w:val="333333"/>
          <w:sz w:val="22"/>
          <w:szCs w:val="22"/>
        </w:rPr>
        <w:t>, E</w:t>
      </w:r>
      <w:r w:rsidRPr="00062700">
        <w:rPr>
          <w:rFonts w:ascii="Calibri" w:hAnsi="Calibri" w:cs="Arial"/>
          <w:color w:val="333333"/>
          <w:sz w:val="22"/>
          <w:szCs w:val="22"/>
        </w:rPr>
        <w:t xml:space="preserve">quity </w:t>
      </w:r>
      <w:r w:rsidR="00106556" w:rsidRPr="00062700">
        <w:rPr>
          <w:rFonts w:ascii="Calibri" w:hAnsi="Calibri" w:cs="Arial"/>
          <w:color w:val="333333"/>
          <w:sz w:val="22"/>
          <w:szCs w:val="22"/>
        </w:rPr>
        <w:t>Constituent</w:t>
      </w:r>
      <w:r w:rsidR="00106556">
        <w:rPr>
          <w:rFonts w:ascii="Calibri" w:hAnsi="Calibri" w:cs="Arial"/>
          <w:color w:val="333333"/>
          <w:sz w:val="22"/>
          <w:szCs w:val="22"/>
        </w:rPr>
        <w:t>s</w:t>
      </w:r>
      <w:r w:rsidR="00106556" w:rsidRPr="00062700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106556">
        <w:rPr>
          <w:rFonts w:ascii="Calibri" w:hAnsi="Calibri" w:cs="Arial"/>
          <w:color w:val="333333"/>
          <w:sz w:val="22"/>
          <w:szCs w:val="22"/>
        </w:rPr>
        <w:t xml:space="preserve">and GICS/ICB classification data </w:t>
      </w:r>
      <w:r w:rsidR="00E755F3" w:rsidRPr="00062700">
        <w:rPr>
          <w:rFonts w:ascii="Calibri" w:hAnsi="Calibri" w:cs="Arial"/>
          <w:color w:val="333333"/>
          <w:sz w:val="22"/>
          <w:szCs w:val="22"/>
        </w:rPr>
        <w:t>p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>ass through or 3</w:t>
      </w:r>
      <w:r w:rsidR="00841349" w:rsidRPr="00062700">
        <w:rPr>
          <w:rFonts w:ascii="Calibri" w:hAnsi="Calibri" w:cs="Arial"/>
          <w:color w:val="333333"/>
          <w:sz w:val="22"/>
          <w:szCs w:val="22"/>
          <w:vertAlign w:val="superscript"/>
        </w:rPr>
        <w:t>rd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 xml:space="preserve"> party modules available on </w:t>
      </w:r>
      <w:proofErr w:type="spellStart"/>
      <w:r w:rsidR="00841349" w:rsidRPr="00062700">
        <w:rPr>
          <w:rFonts w:ascii="Calibri" w:hAnsi="Calibri" w:cs="Arial"/>
          <w:color w:val="333333"/>
          <w:sz w:val="22"/>
          <w:szCs w:val="22"/>
        </w:rPr>
        <w:t>Datastream</w:t>
      </w:r>
      <w:proofErr w:type="spellEnd"/>
      <w:r w:rsidR="00841349" w:rsidRPr="00062700">
        <w:rPr>
          <w:rFonts w:ascii="Calibri" w:hAnsi="Calibri" w:cs="Arial"/>
          <w:color w:val="333333"/>
          <w:sz w:val="22"/>
          <w:szCs w:val="22"/>
        </w:rPr>
        <w:t xml:space="preserve"> Advance, </w:t>
      </w:r>
      <w:proofErr w:type="spellStart"/>
      <w:r w:rsidR="00102F17" w:rsidRPr="00062700">
        <w:rPr>
          <w:rFonts w:ascii="Calibri" w:hAnsi="Calibri" w:cs="Arial"/>
          <w:color w:val="333333"/>
          <w:sz w:val="22"/>
          <w:szCs w:val="22"/>
        </w:rPr>
        <w:t>Datastream</w:t>
      </w:r>
      <w:proofErr w:type="spellEnd"/>
      <w:r w:rsidR="00102F17" w:rsidRPr="00062700">
        <w:rPr>
          <w:rFonts w:ascii="Calibri" w:hAnsi="Calibri" w:cs="Arial"/>
          <w:color w:val="333333"/>
          <w:sz w:val="22"/>
          <w:szCs w:val="22"/>
        </w:rPr>
        <w:t xml:space="preserve"> Professional and </w:t>
      </w:r>
      <w:proofErr w:type="spellStart"/>
      <w:r w:rsidR="00102F17" w:rsidRPr="00062700">
        <w:rPr>
          <w:rFonts w:ascii="Calibri" w:hAnsi="Calibri" w:cs="Arial"/>
          <w:color w:val="333333"/>
          <w:sz w:val="22"/>
          <w:szCs w:val="22"/>
        </w:rPr>
        <w:t>Datastream</w:t>
      </w:r>
      <w:proofErr w:type="spellEnd"/>
      <w:r w:rsidR="00102F17" w:rsidRPr="00062700">
        <w:rPr>
          <w:rFonts w:ascii="Calibri" w:hAnsi="Calibri" w:cs="Arial"/>
          <w:color w:val="333333"/>
          <w:sz w:val="22"/>
          <w:szCs w:val="22"/>
        </w:rPr>
        <w:t xml:space="preserve"> Data Feeds.  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 xml:space="preserve">  </w:t>
      </w:r>
      <w:r w:rsidR="0048035E" w:rsidRPr="00062700">
        <w:rPr>
          <w:rFonts w:ascii="Calibri" w:hAnsi="Calibri" w:cs="Arial"/>
          <w:color w:val="333333"/>
          <w:sz w:val="22"/>
          <w:szCs w:val="22"/>
        </w:rPr>
        <w:t xml:space="preserve">Clients 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 xml:space="preserve">wishing to </w:t>
      </w:r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access 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 xml:space="preserve">any of these </w:t>
      </w:r>
      <w:r w:rsidR="00720442" w:rsidRPr="00062700">
        <w:rPr>
          <w:rFonts w:ascii="Calibri" w:hAnsi="Calibri" w:cs="Arial"/>
          <w:color w:val="333333"/>
          <w:sz w:val="22"/>
          <w:szCs w:val="22"/>
        </w:rPr>
        <w:t>modules on</w:t>
      </w:r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 </w:t>
      </w:r>
      <w:proofErr w:type="spellStart"/>
      <w:r w:rsidR="00383996" w:rsidRPr="00062700">
        <w:rPr>
          <w:rFonts w:ascii="Calibri" w:hAnsi="Calibri" w:cs="Arial"/>
          <w:color w:val="333333"/>
          <w:sz w:val="22"/>
          <w:szCs w:val="22"/>
        </w:rPr>
        <w:t>Datastream</w:t>
      </w:r>
      <w:proofErr w:type="spellEnd"/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 xml:space="preserve">will need to </w:t>
      </w:r>
      <w:r w:rsidRPr="00062700">
        <w:rPr>
          <w:rFonts w:ascii="Calibri" w:hAnsi="Calibri" w:cs="Arial"/>
          <w:color w:val="333333"/>
          <w:sz w:val="22"/>
          <w:szCs w:val="22"/>
        </w:rPr>
        <w:t xml:space="preserve">have a licence with the 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>relevant supplier</w:t>
      </w:r>
      <w:r w:rsidRPr="00062700">
        <w:rPr>
          <w:rFonts w:ascii="Calibri" w:hAnsi="Calibri" w:cs="Arial"/>
          <w:color w:val="333333"/>
          <w:sz w:val="22"/>
          <w:szCs w:val="22"/>
        </w:rPr>
        <w:t>.</w:t>
      </w:r>
      <w:r w:rsidR="004F5DDA" w:rsidRPr="00062700"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062700">
        <w:rPr>
          <w:rFonts w:ascii="Calibri" w:hAnsi="Calibri" w:cs="Arial"/>
          <w:color w:val="333333"/>
          <w:sz w:val="22"/>
          <w:szCs w:val="22"/>
        </w:rPr>
        <w:t xml:space="preserve">  </w:t>
      </w:r>
      <w:r w:rsidR="00106556">
        <w:rPr>
          <w:rFonts w:ascii="Calibri" w:hAnsi="Calibri" w:cs="Arial"/>
          <w:color w:val="333333"/>
          <w:sz w:val="22"/>
          <w:szCs w:val="22"/>
        </w:rPr>
        <w:t xml:space="preserve">  </w:t>
      </w:r>
    </w:p>
    <w:p w:rsidR="00002B1B" w:rsidRDefault="00002B1B" w:rsidP="00841349">
      <w:pPr>
        <w:rPr>
          <w:rFonts w:ascii="Calibri" w:hAnsi="Calibri" w:cs="Arial"/>
          <w:color w:val="333333"/>
          <w:sz w:val="22"/>
          <w:szCs w:val="22"/>
        </w:rPr>
      </w:pPr>
    </w:p>
    <w:p w:rsidR="00002B1B" w:rsidRPr="00002B1B" w:rsidRDefault="00106556" w:rsidP="00841349">
      <w:pPr>
        <w:rPr>
          <w:rFonts w:ascii="Calibri" w:hAnsi="Calibri" w:cs="Arial"/>
          <w:color w:val="333333"/>
          <w:sz w:val="22"/>
          <w:szCs w:val="22"/>
          <w:u w:val="single"/>
        </w:rPr>
      </w:pPr>
      <w:r>
        <w:rPr>
          <w:rFonts w:ascii="Calibri" w:hAnsi="Calibri" w:cs="Arial"/>
          <w:color w:val="333333"/>
          <w:sz w:val="22"/>
          <w:szCs w:val="22"/>
          <w:u w:val="single"/>
        </w:rPr>
        <w:t xml:space="preserve">Contact Details and </w:t>
      </w:r>
      <w:r w:rsidR="00002B1B" w:rsidRPr="00002B1B">
        <w:rPr>
          <w:rFonts w:ascii="Calibri" w:hAnsi="Calibri" w:cs="Arial"/>
          <w:color w:val="333333"/>
          <w:sz w:val="22"/>
          <w:szCs w:val="22"/>
          <w:u w:val="single"/>
        </w:rPr>
        <w:t>Order Forms</w:t>
      </w:r>
    </w:p>
    <w:p w:rsidR="00002B1B" w:rsidRPr="00062700" w:rsidRDefault="00002B1B" w:rsidP="00841349">
      <w:pPr>
        <w:rPr>
          <w:rFonts w:ascii="Calibri" w:hAnsi="Calibri" w:cs="Arial"/>
          <w:color w:val="333333"/>
          <w:sz w:val="22"/>
          <w:szCs w:val="22"/>
        </w:rPr>
      </w:pPr>
    </w:p>
    <w:p w:rsidR="00383996" w:rsidRPr="00062700" w:rsidRDefault="00106556" w:rsidP="00383996">
      <w:pPr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Contact details and </w:t>
      </w:r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Order forms </w:t>
      </w:r>
      <w:r w:rsidR="00002B1B">
        <w:rPr>
          <w:rFonts w:ascii="Calibri" w:hAnsi="Calibri" w:cs="Arial"/>
          <w:color w:val="333333"/>
          <w:sz w:val="22"/>
          <w:szCs w:val="22"/>
        </w:rPr>
        <w:t xml:space="preserve">for each of the modules </w:t>
      </w:r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are available on the equity index pages on the </w:t>
      </w:r>
      <w:proofErr w:type="spellStart"/>
      <w:r w:rsidR="00383996" w:rsidRPr="00062700">
        <w:rPr>
          <w:rFonts w:ascii="Calibri" w:hAnsi="Calibri" w:cs="Arial"/>
          <w:color w:val="333333"/>
          <w:sz w:val="22"/>
          <w:szCs w:val="22"/>
        </w:rPr>
        <w:t>Datastream</w:t>
      </w:r>
      <w:proofErr w:type="spellEnd"/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 Extranet.    </w:t>
      </w:r>
    </w:p>
    <w:p w:rsidR="00383996" w:rsidRPr="00062700" w:rsidRDefault="00383996" w:rsidP="00383996">
      <w:pPr>
        <w:rPr>
          <w:rFonts w:ascii="Calibri" w:hAnsi="Calibri" w:cs="Arial"/>
          <w:color w:val="333333"/>
          <w:sz w:val="22"/>
          <w:szCs w:val="22"/>
        </w:rPr>
      </w:pPr>
    </w:p>
    <w:p w:rsidR="00383996" w:rsidRDefault="00827BCC" w:rsidP="00383996">
      <w:hyperlink r:id="rId7" w:history="1">
        <w:r w:rsidR="00383996" w:rsidRPr="00062700">
          <w:rPr>
            <w:rStyle w:val="Hyperlink"/>
            <w:rFonts w:ascii="Calibri" w:hAnsi="Calibri" w:cs="Arial"/>
            <w:sz w:val="22"/>
            <w:szCs w:val="22"/>
          </w:rPr>
          <w:t>http://extranet.datastream.com/data/Equity%20indices/Index.htm</w:t>
        </w:r>
      </w:hyperlink>
    </w:p>
    <w:p w:rsidR="00383996" w:rsidRPr="00062700" w:rsidRDefault="00383996" w:rsidP="00383996">
      <w:pPr>
        <w:rPr>
          <w:rFonts w:ascii="Calibri" w:hAnsi="Calibri" w:cs="Arial"/>
          <w:color w:val="333333"/>
          <w:sz w:val="22"/>
          <w:szCs w:val="22"/>
        </w:rPr>
      </w:pPr>
    </w:p>
    <w:p w:rsidR="00383996" w:rsidRPr="00062700" w:rsidRDefault="00383996" w:rsidP="00841349">
      <w:pPr>
        <w:rPr>
          <w:rFonts w:ascii="Calibri" w:hAnsi="Calibri" w:cs="Arial"/>
          <w:b/>
          <w:sz w:val="22"/>
          <w:szCs w:val="22"/>
        </w:rPr>
      </w:pPr>
      <w:r w:rsidRPr="00062700">
        <w:rPr>
          <w:rFonts w:ascii="Calibri" w:hAnsi="Calibri" w:cs="Arial"/>
          <w:color w:val="333333"/>
          <w:sz w:val="22"/>
          <w:szCs w:val="22"/>
        </w:rPr>
        <w:t>Please complete the form and send to the supplier</w:t>
      </w:r>
      <w:r w:rsidRPr="001A4E96">
        <w:rPr>
          <w:rFonts w:ascii="Calibri" w:hAnsi="Calibri" w:cs="Arial"/>
          <w:color w:val="FF0000"/>
          <w:sz w:val="22"/>
          <w:szCs w:val="22"/>
        </w:rPr>
        <w:t xml:space="preserve">, ensuring </w:t>
      </w:r>
      <w:proofErr w:type="spellStart"/>
      <w:r w:rsidRPr="001A4E96">
        <w:rPr>
          <w:rFonts w:ascii="Calibri" w:hAnsi="Calibri" w:cs="Arial"/>
          <w:color w:val="FF0000"/>
          <w:sz w:val="22"/>
          <w:szCs w:val="22"/>
        </w:rPr>
        <w:t>Datastream</w:t>
      </w:r>
      <w:proofErr w:type="spellEnd"/>
      <w:r w:rsidRPr="001A4E96">
        <w:rPr>
          <w:rFonts w:ascii="Calibri" w:hAnsi="Calibri" w:cs="Arial"/>
          <w:color w:val="FF0000"/>
          <w:sz w:val="22"/>
          <w:szCs w:val="22"/>
        </w:rPr>
        <w:t xml:space="preserve"> logon ids are provided as this ensure</w:t>
      </w:r>
      <w:r w:rsidR="00720442" w:rsidRPr="001A4E96">
        <w:rPr>
          <w:rFonts w:ascii="Calibri" w:hAnsi="Calibri" w:cs="Arial"/>
          <w:color w:val="FF0000"/>
          <w:sz w:val="22"/>
          <w:szCs w:val="22"/>
        </w:rPr>
        <w:t>s</w:t>
      </w:r>
      <w:r w:rsidRPr="001A4E96">
        <w:rPr>
          <w:rFonts w:ascii="Calibri" w:hAnsi="Calibri" w:cs="Arial"/>
          <w:color w:val="FF0000"/>
          <w:sz w:val="22"/>
          <w:szCs w:val="22"/>
        </w:rPr>
        <w:t xml:space="preserve"> the modules are added to the correct </w:t>
      </w:r>
      <w:proofErr w:type="spellStart"/>
      <w:r w:rsidR="00720442" w:rsidRPr="001A4E96">
        <w:rPr>
          <w:rFonts w:ascii="Calibri" w:hAnsi="Calibri" w:cs="Arial"/>
          <w:color w:val="FF0000"/>
          <w:sz w:val="22"/>
          <w:szCs w:val="22"/>
        </w:rPr>
        <w:t>Datastream</w:t>
      </w:r>
      <w:proofErr w:type="spellEnd"/>
      <w:r w:rsidR="00720442" w:rsidRPr="001A4E96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A4E96">
        <w:rPr>
          <w:rFonts w:ascii="Calibri" w:hAnsi="Calibri" w:cs="Arial"/>
          <w:color w:val="FF0000"/>
          <w:sz w:val="22"/>
          <w:szCs w:val="22"/>
        </w:rPr>
        <w:t>ids</w:t>
      </w:r>
      <w:r w:rsidRPr="00062700">
        <w:rPr>
          <w:rFonts w:ascii="Calibri" w:hAnsi="Calibri" w:cs="Arial"/>
          <w:color w:val="333333"/>
          <w:sz w:val="22"/>
          <w:szCs w:val="22"/>
        </w:rPr>
        <w:t xml:space="preserve">.   The </w:t>
      </w:r>
      <w:proofErr w:type="spellStart"/>
      <w:r w:rsidRPr="00062700">
        <w:rPr>
          <w:rFonts w:ascii="Calibri" w:hAnsi="Calibri" w:cs="Arial"/>
          <w:color w:val="333333"/>
          <w:sz w:val="22"/>
          <w:szCs w:val="22"/>
        </w:rPr>
        <w:t>Datastream</w:t>
      </w:r>
      <w:proofErr w:type="spellEnd"/>
      <w:r w:rsidRPr="00062700">
        <w:rPr>
          <w:rFonts w:ascii="Calibri" w:hAnsi="Calibri" w:cs="Arial"/>
          <w:color w:val="333333"/>
          <w:sz w:val="22"/>
          <w:szCs w:val="22"/>
        </w:rPr>
        <w:t xml:space="preserve"> logon ids are in the format</w:t>
      </w:r>
      <w:r w:rsidR="00720442"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062700">
        <w:rPr>
          <w:rFonts w:ascii="Calibri" w:hAnsi="Calibri" w:cs="Arial"/>
          <w:b/>
          <w:sz w:val="22"/>
          <w:szCs w:val="22"/>
        </w:rPr>
        <w:t xml:space="preserve">XABC123.  </w:t>
      </w:r>
      <w:r w:rsidR="008A59A4" w:rsidRPr="00062700">
        <w:rPr>
          <w:rFonts w:ascii="Calibri" w:hAnsi="Calibri" w:cs="Arial"/>
          <w:sz w:val="22"/>
          <w:szCs w:val="22"/>
        </w:rPr>
        <w:t xml:space="preserve">If you unsure about your </w:t>
      </w:r>
      <w:proofErr w:type="spellStart"/>
      <w:r w:rsidR="008A59A4" w:rsidRPr="00062700">
        <w:rPr>
          <w:rFonts w:ascii="Calibri" w:hAnsi="Calibri" w:cs="Arial"/>
          <w:sz w:val="22"/>
          <w:szCs w:val="22"/>
        </w:rPr>
        <w:t>Datastream</w:t>
      </w:r>
      <w:proofErr w:type="spellEnd"/>
      <w:r w:rsidR="008A59A4" w:rsidRPr="00062700">
        <w:rPr>
          <w:rFonts w:ascii="Calibri" w:hAnsi="Calibri" w:cs="Arial"/>
          <w:sz w:val="22"/>
          <w:szCs w:val="22"/>
        </w:rPr>
        <w:t xml:space="preserve"> logon </w:t>
      </w:r>
      <w:proofErr w:type="gramStart"/>
      <w:r w:rsidR="008A59A4" w:rsidRPr="00062700">
        <w:rPr>
          <w:rFonts w:ascii="Calibri" w:hAnsi="Calibri" w:cs="Arial"/>
          <w:sz w:val="22"/>
          <w:szCs w:val="22"/>
        </w:rPr>
        <w:t>id,</w:t>
      </w:r>
      <w:proofErr w:type="gramEnd"/>
      <w:r w:rsidR="008A59A4" w:rsidRPr="00062700">
        <w:rPr>
          <w:rFonts w:ascii="Calibri" w:hAnsi="Calibri" w:cs="Arial"/>
          <w:sz w:val="22"/>
          <w:szCs w:val="22"/>
        </w:rPr>
        <w:t xml:space="preserve"> please </w:t>
      </w:r>
      <w:r w:rsidR="002A6DB0" w:rsidRPr="00062700">
        <w:rPr>
          <w:rFonts w:ascii="Calibri" w:hAnsi="Calibri" w:cs="Arial"/>
          <w:sz w:val="22"/>
          <w:szCs w:val="22"/>
        </w:rPr>
        <w:t xml:space="preserve">contact </w:t>
      </w:r>
      <w:r w:rsidR="008A59A4" w:rsidRPr="00062700">
        <w:rPr>
          <w:rFonts w:ascii="Calibri" w:hAnsi="Calibri" w:cs="Arial"/>
          <w:sz w:val="22"/>
          <w:szCs w:val="22"/>
        </w:rPr>
        <w:t xml:space="preserve">your </w:t>
      </w:r>
      <w:r w:rsidR="0030019F">
        <w:rPr>
          <w:rFonts w:ascii="Calibri" w:hAnsi="Calibri" w:cs="Arial"/>
          <w:sz w:val="22"/>
          <w:szCs w:val="22"/>
        </w:rPr>
        <w:t xml:space="preserve">Thomson Reuters </w:t>
      </w:r>
      <w:r w:rsidR="008A59A4" w:rsidRPr="00062700">
        <w:rPr>
          <w:rFonts w:ascii="Calibri" w:hAnsi="Calibri" w:cs="Arial"/>
          <w:sz w:val="22"/>
          <w:szCs w:val="22"/>
        </w:rPr>
        <w:t>account manager for confirmation.</w:t>
      </w:r>
      <w:r w:rsidR="008A59A4" w:rsidRPr="00062700">
        <w:rPr>
          <w:rFonts w:ascii="Calibri" w:hAnsi="Calibri" w:cs="Arial"/>
          <w:b/>
          <w:sz w:val="22"/>
          <w:szCs w:val="22"/>
        </w:rPr>
        <w:t xml:space="preserve">  </w:t>
      </w:r>
    </w:p>
    <w:p w:rsidR="00383996" w:rsidRPr="00062700" w:rsidRDefault="00383996" w:rsidP="00841349">
      <w:pPr>
        <w:rPr>
          <w:rFonts w:ascii="Calibri" w:hAnsi="Calibri" w:cs="Arial"/>
          <w:b/>
          <w:sz w:val="22"/>
          <w:szCs w:val="22"/>
        </w:rPr>
      </w:pPr>
    </w:p>
    <w:p w:rsidR="0080352E" w:rsidRPr="00062700" w:rsidRDefault="0080352E" w:rsidP="00841349">
      <w:pPr>
        <w:rPr>
          <w:rFonts w:ascii="Calibri" w:hAnsi="Calibri" w:cs="Arial"/>
          <w:color w:val="333333"/>
          <w:sz w:val="22"/>
          <w:szCs w:val="22"/>
        </w:rPr>
      </w:pPr>
      <w:r w:rsidRPr="00062700">
        <w:rPr>
          <w:rFonts w:ascii="Calibri" w:hAnsi="Calibri" w:cs="Arial"/>
          <w:color w:val="333333"/>
          <w:sz w:val="22"/>
          <w:szCs w:val="22"/>
        </w:rPr>
        <w:t xml:space="preserve">Once </w:t>
      </w:r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the licence has been confirmed, the supplier will send </w:t>
      </w:r>
      <w:r w:rsidRPr="00062700">
        <w:rPr>
          <w:rFonts w:ascii="Calibri" w:hAnsi="Calibri" w:cs="Arial"/>
          <w:color w:val="333333"/>
          <w:sz w:val="22"/>
          <w:szCs w:val="22"/>
        </w:rPr>
        <w:t>the author</w:t>
      </w:r>
      <w:r w:rsidR="00383996" w:rsidRPr="00062700">
        <w:rPr>
          <w:rFonts w:ascii="Calibri" w:hAnsi="Calibri" w:cs="Arial"/>
          <w:color w:val="333333"/>
          <w:sz w:val="22"/>
          <w:szCs w:val="22"/>
        </w:rPr>
        <w:t>ized order form to the Thomson Reuters Order Entitlement team who will arrange for the service(</w:t>
      </w:r>
      <w:proofErr w:type="spellStart"/>
      <w:r w:rsidR="00383996" w:rsidRPr="00062700">
        <w:rPr>
          <w:rFonts w:ascii="Calibri" w:hAnsi="Calibri" w:cs="Arial"/>
          <w:color w:val="333333"/>
          <w:sz w:val="22"/>
          <w:szCs w:val="22"/>
        </w:rPr>
        <w:t>s</w:t>
      </w:r>
      <w:proofErr w:type="spellEnd"/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) to be added to the </w:t>
      </w:r>
      <w:proofErr w:type="spellStart"/>
      <w:r w:rsidR="00383996" w:rsidRPr="00062700">
        <w:rPr>
          <w:rFonts w:ascii="Calibri" w:hAnsi="Calibri" w:cs="Arial"/>
          <w:color w:val="333333"/>
          <w:sz w:val="22"/>
          <w:szCs w:val="22"/>
        </w:rPr>
        <w:t>Datastream</w:t>
      </w:r>
      <w:proofErr w:type="spellEnd"/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 logon ids listed in the order form.  </w:t>
      </w:r>
    </w:p>
    <w:p w:rsidR="00383996" w:rsidRPr="00062700" w:rsidRDefault="00383996" w:rsidP="00841349">
      <w:pPr>
        <w:rPr>
          <w:rFonts w:ascii="Calibri" w:hAnsi="Calibri" w:cs="Arial"/>
          <w:color w:val="333333"/>
          <w:sz w:val="22"/>
          <w:szCs w:val="22"/>
        </w:rPr>
      </w:pPr>
    </w:p>
    <w:p w:rsidR="00383996" w:rsidRPr="00062700" w:rsidRDefault="00383996" w:rsidP="00841349">
      <w:pPr>
        <w:rPr>
          <w:rFonts w:ascii="Calibri" w:hAnsi="Calibri" w:cs="Arial"/>
          <w:color w:val="333333"/>
          <w:sz w:val="22"/>
          <w:szCs w:val="22"/>
        </w:rPr>
      </w:pPr>
      <w:r w:rsidRPr="00062700">
        <w:rPr>
          <w:rFonts w:ascii="Calibri" w:hAnsi="Calibri" w:cs="Arial"/>
          <w:color w:val="333333"/>
          <w:sz w:val="22"/>
          <w:szCs w:val="22"/>
        </w:rPr>
        <w:t xml:space="preserve">Trials of the modules can be arranged subject to the discretion of each supplier.  </w:t>
      </w:r>
    </w:p>
    <w:p w:rsidR="0048035E" w:rsidRDefault="0048035E" w:rsidP="00841349">
      <w:pPr>
        <w:rPr>
          <w:rFonts w:ascii="Calibri" w:hAnsi="Calibri" w:cs="Arial"/>
          <w:color w:val="333333"/>
          <w:sz w:val="21"/>
          <w:szCs w:val="21"/>
        </w:rPr>
      </w:pPr>
    </w:p>
    <w:p w:rsidR="00383996" w:rsidRPr="006177E3" w:rsidRDefault="00383996" w:rsidP="00841349">
      <w:pPr>
        <w:rPr>
          <w:rFonts w:ascii="Calibri" w:hAnsi="Calibri" w:cs="Arial"/>
          <w:b/>
          <w:color w:val="333333"/>
          <w:sz w:val="24"/>
          <w:szCs w:val="24"/>
          <w:u w:val="single"/>
        </w:rPr>
      </w:pPr>
      <w:r w:rsidRPr="006177E3">
        <w:rPr>
          <w:rFonts w:ascii="Calibri" w:hAnsi="Calibri" w:cs="Arial"/>
          <w:b/>
          <w:color w:val="333333"/>
          <w:sz w:val="24"/>
          <w:szCs w:val="24"/>
          <w:u w:val="single"/>
        </w:rPr>
        <w:t>Modules available</w:t>
      </w:r>
    </w:p>
    <w:p w:rsidR="00383996" w:rsidRDefault="00383996" w:rsidP="00841349">
      <w:pPr>
        <w:rPr>
          <w:rFonts w:ascii="Calibri" w:hAnsi="Calibri" w:cs="Arial"/>
          <w:color w:val="333333"/>
          <w:sz w:val="21"/>
          <w:szCs w:val="21"/>
        </w:rPr>
      </w:pPr>
    </w:p>
    <w:p w:rsidR="009B2192" w:rsidRPr="009B2192" w:rsidRDefault="00841349" w:rsidP="00841349">
      <w:pPr>
        <w:pStyle w:val="BodyText"/>
        <w:rPr>
          <w:rFonts w:ascii="Calibri" w:hAnsi="Calibri" w:cs="Arial"/>
          <w:color w:val="333333"/>
          <w:sz w:val="24"/>
          <w:szCs w:val="24"/>
        </w:rPr>
      </w:pPr>
      <w:r w:rsidRPr="00062700">
        <w:rPr>
          <w:rFonts w:ascii="Calibri" w:hAnsi="Calibri" w:cs="Arial"/>
          <w:color w:val="333333"/>
          <w:sz w:val="22"/>
          <w:szCs w:val="22"/>
        </w:rPr>
        <w:t xml:space="preserve">The following modules are currently </w:t>
      </w:r>
      <w:r w:rsidR="00106556">
        <w:rPr>
          <w:rFonts w:ascii="Calibri" w:hAnsi="Calibri" w:cs="Arial"/>
          <w:color w:val="333333"/>
          <w:sz w:val="22"/>
          <w:szCs w:val="22"/>
        </w:rPr>
        <w:t xml:space="preserve">available on </w:t>
      </w:r>
      <w:proofErr w:type="spellStart"/>
      <w:r w:rsidR="00106556">
        <w:rPr>
          <w:rFonts w:ascii="Calibri" w:hAnsi="Calibri" w:cs="Arial"/>
          <w:color w:val="333333"/>
          <w:sz w:val="22"/>
          <w:szCs w:val="22"/>
        </w:rPr>
        <w:t>Datastream</w:t>
      </w:r>
      <w:proofErr w:type="spellEnd"/>
      <w:r w:rsidR="00106556">
        <w:rPr>
          <w:rFonts w:ascii="Calibri" w:hAnsi="Calibri" w:cs="Arial"/>
          <w:color w:val="333333"/>
          <w:sz w:val="22"/>
          <w:szCs w:val="22"/>
        </w:rPr>
        <w:t xml:space="preserve">.  </w:t>
      </w:r>
      <w:r w:rsidR="009B2192">
        <w:rPr>
          <w:rFonts w:ascii="Calibri" w:hAnsi="Calibri" w:cs="Arial"/>
          <w:color w:val="333333"/>
          <w:sz w:val="24"/>
          <w:szCs w:val="24"/>
        </w:rPr>
        <w:t xml:space="preserve">Unless specified otherwise, index data for the indices </w:t>
      </w:r>
      <w:r w:rsidR="00106556">
        <w:rPr>
          <w:rFonts w:ascii="Calibri" w:hAnsi="Calibri" w:cs="Arial"/>
          <w:color w:val="333333"/>
          <w:sz w:val="24"/>
          <w:szCs w:val="24"/>
        </w:rPr>
        <w:t xml:space="preserve">below </w:t>
      </w:r>
      <w:r w:rsidR="009B2192">
        <w:rPr>
          <w:rFonts w:ascii="Calibri" w:hAnsi="Calibri" w:cs="Arial"/>
          <w:color w:val="333333"/>
          <w:sz w:val="24"/>
          <w:szCs w:val="24"/>
        </w:rPr>
        <w:t xml:space="preserve">is not restricted.  </w:t>
      </w:r>
    </w:p>
    <w:p w:rsidR="002574BB" w:rsidRPr="00F00F0C" w:rsidRDefault="002574BB" w:rsidP="00841349">
      <w:pPr>
        <w:pStyle w:val="BodyText"/>
        <w:rPr>
          <w:rFonts w:ascii="Calibri" w:hAnsi="Calibri" w:cs="Arial"/>
          <w:b/>
          <w:color w:val="333333"/>
          <w:sz w:val="21"/>
          <w:szCs w:val="21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4444"/>
        <w:gridCol w:w="5909"/>
        <w:gridCol w:w="1322"/>
        <w:gridCol w:w="1275"/>
      </w:tblGrid>
      <w:tr w:rsidR="00AF178C" w:rsidRPr="00F00F0C" w:rsidTr="002D0B07">
        <w:trPr>
          <w:tblHeader/>
        </w:trPr>
        <w:tc>
          <w:tcPr>
            <w:tcW w:w="1901" w:type="dxa"/>
          </w:tcPr>
          <w:p w:rsidR="00562202" w:rsidRPr="00AF178C" w:rsidRDefault="00562202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lastRenderedPageBreak/>
              <w:t>Supplier</w:t>
            </w:r>
          </w:p>
        </w:tc>
        <w:tc>
          <w:tcPr>
            <w:tcW w:w="4444" w:type="dxa"/>
          </w:tcPr>
          <w:p w:rsidR="00562202" w:rsidRPr="00AF178C" w:rsidRDefault="00562202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Details</w:t>
            </w:r>
          </w:p>
        </w:tc>
        <w:tc>
          <w:tcPr>
            <w:tcW w:w="5909" w:type="dxa"/>
          </w:tcPr>
          <w:p w:rsidR="00562202" w:rsidRPr="00AF178C" w:rsidRDefault="00562202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Restrictions</w:t>
            </w:r>
          </w:p>
        </w:tc>
        <w:tc>
          <w:tcPr>
            <w:tcW w:w="1322" w:type="dxa"/>
          </w:tcPr>
          <w:p w:rsidR="00562202" w:rsidRPr="00AF178C" w:rsidRDefault="00562202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Internal Service Code- Monthly</w:t>
            </w:r>
          </w:p>
        </w:tc>
        <w:tc>
          <w:tcPr>
            <w:tcW w:w="1275" w:type="dxa"/>
          </w:tcPr>
          <w:p w:rsidR="00562202" w:rsidRPr="00AF178C" w:rsidRDefault="00562202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Internal Service Code - Daily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 xml:space="preserve">BNY Mellon ADR </w:t>
            </w:r>
          </w:p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>Constituent lists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sz w:val="21"/>
                <w:szCs w:val="21"/>
              </w:rPr>
            </w:pPr>
            <w:r w:rsidRPr="00AF178C">
              <w:rPr>
                <w:rFonts w:ascii="Calibri" w:hAnsi="Calibri" w:cs="Arial"/>
                <w:sz w:val="21"/>
                <w:szCs w:val="21"/>
              </w:rPr>
              <w:t>BNY Mellon Emerging Markets 50 ADR Index list</w:t>
            </w:r>
          </w:p>
        </w:tc>
        <w:tc>
          <w:tcPr>
            <w:tcW w:w="5909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BNYEM50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sz w:val="21"/>
                <w:szCs w:val="21"/>
              </w:rPr>
            </w:pPr>
            <w:r w:rsidRPr="00AF178C">
              <w:rPr>
                <w:rFonts w:ascii="Calibri" w:hAnsi="Calibri" w:cs="Arial"/>
                <w:sz w:val="21"/>
                <w:szCs w:val="21"/>
              </w:rPr>
              <w:t>BNY Mellon Asia 50 ADR Index list</w:t>
            </w:r>
          </w:p>
        </w:tc>
        <w:tc>
          <w:tcPr>
            <w:tcW w:w="5909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BNYA50M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sz w:val="21"/>
                <w:szCs w:val="21"/>
              </w:rPr>
            </w:pPr>
            <w:r w:rsidRPr="00AF178C">
              <w:rPr>
                <w:rFonts w:ascii="Calibri" w:hAnsi="Calibri" w:cs="Arial"/>
                <w:sz w:val="21"/>
                <w:szCs w:val="21"/>
              </w:rPr>
              <w:t xml:space="preserve">BNY Mellon Latin America 35 ADR Index list  </w:t>
            </w:r>
          </w:p>
        </w:tc>
        <w:tc>
          <w:tcPr>
            <w:tcW w:w="5909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BNYLM35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sz w:val="21"/>
                <w:szCs w:val="21"/>
              </w:rPr>
            </w:pPr>
            <w:r w:rsidRPr="00AF178C">
              <w:rPr>
                <w:rFonts w:ascii="Calibri" w:hAnsi="Calibri" w:cs="Arial"/>
                <w:sz w:val="21"/>
                <w:szCs w:val="21"/>
              </w:rPr>
              <w:t xml:space="preserve">BNY Mellon BRIC ADR Index list   </w:t>
            </w:r>
          </w:p>
        </w:tc>
        <w:tc>
          <w:tcPr>
            <w:tcW w:w="5909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BNYBRIM</w:t>
            </w:r>
          </w:p>
        </w:tc>
      </w:tr>
      <w:tr w:rsidR="00AF178C" w:rsidTr="002D0B07">
        <w:tc>
          <w:tcPr>
            <w:tcW w:w="1901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>Canada - BMO Small Cap Indices</w:t>
            </w:r>
          </w:p>
        </w:tc>
        <w:tc>
          <w:tcPr>
            <w:tcW w:w="4444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BMO Small Cap indices and constituent lists</w:t>
            </w:r>
          </w:p>
        </w:tc>
        <w:tc>
          <w:tcPr>
            <w:tcW w:w="5909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index and constituent data restricted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BMONES</w:t>
            </w:r>
          </w:p>
        </w:tc>
      </w:tr>
      <w:tr w:rsidR="00AF178C" w:rsidTr="002D0B07">
        <w:trPr>
          <w:trHeight w:val="557"/>
        </w:trPr>
        <w:tc>
          <w:tcPr>
            <w:tcW w:w="1901" w:type="dxa"/>
            <w:vMerge w:val="restart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Canada - S&amp;P/TSX Constituent data – includes weights, shares and free float data</w:t>
            </w:r>
          </w:p>
        </w:tc>
        <w:tc>
          <w:tcPr>
            <w:tcW w:w="4444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 xml:space="preserve">S&amp;P/TSX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File Module 1 (</w:t>
            </w:r>
            <w:r w:rsidRPr="00AF178C">
              <w:rPr>
                <w:rFonts w:ascii="Calibri" w:hAnsi="Calibri" w:cs="Arial"/>
                <w:sz w:val="21"/>
                <w:szCs w:val="21"/>
              </w:rPr>
              <w:t>S&amp;P/TSX Composite index including GICS indices)</w:t>
            </w:r>
            <w:r w:rsidRPr="00AF178C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5909" w:type="dxa"/>
          </w:tcPr>
          <w:p w:rsidR="00AC462A" w:rsidRDefault="00AC462A" w:rsidP="000936C4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SPTSXC</w:t>
            </w:r>
          </w:p>
        </w:tc>
      </w:tr>
      <w:tr w:rsidR="00AF178C" w:rsidTr="002D0B07">
        <w:tc>
          <w:tcPr>
            <w:tcW w:w="1901" w:type="dxa"/>
            <w:vMerge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</w:p>
        </w:tc>
        <w:tc>
          <w:tcPr>
            <w:tcW w:w="4444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 xml:space="preserve">S&amp;P/TSX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File Module 2 (S</w:t>
            </w:r>
            <w:r w:rsidRPr="00AF178C">
              <w:rPr>
                <w:rFonts w:ascii="Calibri" w:hAnsi="Calibri" w:cs="Arial"/>
                <w:sz w:val="21"/>
                <w:szCs w:val="21"/>
              </w:rPr>
              <w:t xml:space="preserve">&amp;P/TSX 60, S&amp;P/TSX Capped Sector indices, S&amp;P/TSX </w:t>
            </w:r>
            <w:proofErr w:type="spellStart"/>
            <w:r w:rsidRPr="00AF178C">
              <w:rPr>
                <w:rFonts w:ascii="Calibri" w:hAnsi="Calibri" w:cs="Arial"/>
                <w:sz w:val="21"/>
                <w:szCs w:val="21"/>
              </w:rPr>
              <w:t>MidCap</w:t>
            </w:r>
            <w:proofErr w:type="spellEnd"/>
            <w:r w:rsidRPr="00AF178C">
              <w:rPr>
                <w:rFonts w:ascii="Calibri" w:hAnsi="Calibri" w:cs="Arial"/>
                <w:sz w:val="21"/>
                <w:szCs w:val="21"/>
              </w:rPr>
              <w:t xml:space="preserve"> index, S&amp;P/TSX Small Cap index)</w:t>
            </w:r>
          </w:p>
        </w:tc>
        <w:tc>
          <w:tcPr>
            <w:tcW w:w="5909" w:type="dxa"/>
          </w:tcPr>
          <w:p w:rsidR="00AC462A" w:rsidRDefault="00AC462A" w:rsidP="000936C4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SPTSXS</w:t>
            </w:r>
          </w:p>
        </w:tc>
      </w:tr>
      <w:tr w:rsidR="00AF178C" w:rsidTr="002D0B07">
        <w:tc>
          <w:tcPr>
            <w:tcW w:w="1901" w:type="dxa"/>
            <w:vMerge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</w:p>
        </w:tc>
        <w:tc>
          <w:tcPr>
            <w:tcW w:w="4444" w:type="dxa"/>
          </w:tcPr>
          <w:p w:rsidR="00AC462A" w:rsidRPr="00AF178C" w:rsidRDefault="00AC462A" w:rsidP="000936C4">
            <w:pPr>
              <w:rPr>
                <w:rFonts w:ascii="Calibri" w:hAnsi="Calibri" w:cs="Arial"/>
                <w:bCs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 xml:space="preserve">S&amp;P/TSX All Files (1 and 2 above, plus </w:t>
            </w:r>
            <w:r w:rsidRPr="00AF178C">
              <w:rPr>
                <w:rFonts w:ascii="Calibri" w:hAnsi="Calibri" w:cs="Arial"/>
                <w:sz w:val="21"/>
                <w:szCs w:val="21"/>
              </w:rPr>
              <w:t>Capped Energy Trust, Income Trust, REIT indices and the Global and Mining indices)       </w:t>
            </w:r>
          </w:p>
        </w:tc>
        <w:tc>
          <w:tcPr>
            <w:tcW w:w="5909" w:type="dxa"/>
          </w:tcPr>
          <w:p w:rsidR="00AC462A" w:rsidRDefault="00AC462A" w:rsidP="000936C4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SPTSXA</w:t>
            </w:r>
          </w:p>
        </w:tc>
      </w:tr>
      <w:tr w:rsidR="00AF178C" w:rsidTr="002D0B07">
        <w:tc>
          <w:tcPr>
            <w:tcW w:w="1901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 xml:space="preserve">Germany – Deutsche </w:t>
            </w:r>
            <w:proofErr w:type="spellStart"/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Borse</w:t>
            </w:r>
            <w:proofErr w:type="spellEnd"/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Deutsche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Borse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constituent data – includes weights, shares and free float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sz w:val="21"/>
                <w:szCs w:val="21"/>
              </w:rPr>
              <w:t>GERDBC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Dow Jones – Islamic constituent data – includes weights, shares and free float data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bCs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>DJ Islamic All Constituent Lists Ex Titans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DJISLOMT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DJISLOTH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bCs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 xml:space="preserve">DJ Islamic Titans Constituent Lists 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DJISLTMT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DJISLTIT</w:t>
            </w:r>
          </w:p>
        </w:tc>
      </w:tr>
      <w:tr w:rsidR="00AF178C" w:rsidTr="002D0B07">
        <w:tc>
          <w:tcPr>
            <w:tcW w:w="1901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>Dow Jones Sustainability</w:t>
            </w:r>
          </w:p>
        </w:tc>
        <w:tc>
          <w:tcPr>
            <w:tcW w:w="4444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Dow Jones Sustainability constituent data – includes weights, shares and free float data</w:t>
            </w:r>
          </w:p>
        </w:tc>
        <w:tc>
          <w:tcPr>
            <w:tcW w:w="5909" w:type="dxa"/>
          </w:tcPr>
          <w:p w:rsidR="00AC462A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DJSUS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>FTSE World/All World/GEIS</w:t>
            </w:r>
          </w:p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World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FTWLM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FTWLD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Europe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FTEUM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FTEUD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US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FTAMM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FTAMD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Pacific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FTPBM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FTPBD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Europe + Pacific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FTEPM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FTEPD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US + Pacific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FTAPM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FTAPD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US + Europe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FTAEM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FTAED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All World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FTAWMWIM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>FTAWWID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Global – All Cap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FTGALM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FTGALD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Global – Small Cap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FTGSCM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FTGSCD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Global Style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FTSTYLE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Gold Mines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FTGOLDM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FTGOLDD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Multinationals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FTMULTI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All World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FTAWMWIM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>FTAWWID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FTSE - Responsible Investment Constituent Modules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Europe Benchmark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FT4GEUB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Global Benchmark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FT4GGLB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Japan Benchmark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FT4GJPB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UK Benchmark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FT4GUKB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US Benchmark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FT4GUSB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EU50 Tradable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FT4GEUT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Global 100 Tradable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FT4GGLT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UK 50 Tradable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FT4GUKT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US 100 Tradable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FT4GUST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FTSE - Local Market Modules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Australia - FTSE Macquarie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FTMACQ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China - FTSE China Index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FTXICD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China - FTSE China B All Share Index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FTXIBAL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France - FTSE FRR French Pension Reserve Fund Indices &amp; Constituent lists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FTFRR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Hong Kong - FTSE Mandatory Provident Fund constituents (MPF)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FTMPF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Italy - FTSE Italia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FTMIB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Malaysia - FTSE Bursa Malaysia Index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FTSEBM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Malaysia - FTSE Bursa Malaysia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Hijrah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Shariah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FTSEBMS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Singapore - STI – Singapore Straits Times STI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lastRenderedPageBreak/>
              <w:t>constituents (no charge to end users)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lastRenderedPageBreak/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FTSTI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Singapore - FTSE ST (Singapore) all other constituent lists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FTSING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 xml:space="preserve">South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>Africa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 xml:space="preserve"> - FTSE/JSE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>Core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>Constituents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FTJSECOR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 xml:space="preserve">South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>Africa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 xml:space="preserve"> -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FTSE/JSE Specialist Constituents (SRI, Style, Dividend+ &amp; Capped)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FTJSESPL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 xml:space="preserve">South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>Africa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 xml:space="preserve"> -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FTSE/JSE Strategic Constituents (RAFI &amp;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Shariah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FTJSESTR</w:t>
            </w:r>
          </w:p>
        </w:tc>
      </w:tr>
      <w:tr w:rsidR="00AF178C" w:rsidTr="002D0B07">
        <w:tc>
          <w:tcPr>
            <w:tcW w:w="1901" w:type="dxa"/>
            <w:vMerge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Taiwan - FTSE Taiwan Index constituents </w:t>
            </w:r>
          </w:p>
        </w:tc>
        <w:tc>
          <w:tcPr>
            <w:tcW w:w="5909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</w:t>
            </w:r>
            <w:r w:rsidR="00E90FFE">
              <w:rPr>
                <w:rFonts w:ascii="Calibri" w:hAnsi="Calibri" w:cs="Arial"/>
                <w:color w:val="333333"/>
                <w:sz w:val="21"/>
                <w:szCs w:val="21"/>
              </w:rPr>
              <w:t xml:space="preserve">constituent data 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(apart from TSEC Taiwan 50</w:t>
            </w:r>
            <w:r w:rsidR="00E90FFE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– no restrictions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FTTSEC</w:t>
            </w:r>
          </w:p>
        </w:tc>
      </w:tr>
      <w:tr w:rsidR="00AF178C" w:rsidTr="002D0B07">
        <w:tc>
          <w:tcPr>
            <w:tcW w:w="1901" w:type="dxa"/>
            <w:vMerge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UK - FTSE UK Constituent Weights and Free Float data</w:t>
            </w:r>
          </w:p>
        </w:tc>
        <w:tc>
          <w:tcPr>
            <w:tcW w:w="5909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Constituent weights and free float data</w:t>
            </w:r>
            <w:r w:rsidR="00E90FFE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restricted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FTUK</w:t>
            </w:r>
          </w:p>
        </w:tc>
      </w:tr>
      <w:tr w:rsidR="00AF178C" w:rsidTr="002D0B07">
        <w:tc>
          <w:tcPr>
            <w:tcW w:w="1901" w:type="dxa"/>
            <w:vMerge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AC462A" w:rsidRPr="00AF178C" w:rsidRDefault="0030019F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UK - </w:t>
            </w:r>
            <w:r w:rsidR="00AC462A"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UK Dividend Plus Index constituent data</w:t>
            </w:r>
          </w:p>
        </w:tc>
        <w:tc>
          <w:tcPr>
            <w:tcW w:w="5909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Constituent weights and free float data</w:t>
            </w:r>
            <w:r w:rsidR="00E90FFE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restricted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FTUKDP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FTSE - Miscellaneous Constituent Modules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Environmental Indices - FTSE ET 50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FTET50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Investment Strategy Indices - FTSE Global Wealth Allocation (GWA)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FTGWA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Investment Strategy Indices - FTSE RAFI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FTRAFI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Real Estate - FTSE EPRA/NAREIT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FTEPRA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FTSE - Advanced Index Modules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All World Advanced Indices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FTADVAW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UK Advanced Index module #</w:t>
            </w:r>
            <w:r w:rsidR="00AF178C"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 </w:t>
            </w:r>
            <w:r w:rsidR="00AF178C" w:rsidRPr="00AF178C">
              <w:rPr>
                <w:rStyle w:val="FootnoteReference"/>
                <w:rFonts w:ascii="Calibri" w:hAnsi="Calibri" w:cs="Arial"/>
                <w:color w:val="333333"/>
                <w:sz w:val="21"/>
                <w:szCs w:val="21"/>
              </w:rPr>
              <w:footnoteReference w:id="1"/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FTADVUK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lastRenderedPageBreak/>
              <w:t>HSBC Indices- constituent data including weights and shares data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HSBC Smaller European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Cos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&amp;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Trixie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lists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HSBSS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HSBSSD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HSBC Dragon 300 Index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HSBSG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HSBC Global Mining Index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HSBSM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HSBC Latin America 100 Index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HSBSL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HSBC Small Japanese Companies Index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HSBSJ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HSBC India Subcontinent 200 Index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HSBSI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HSBC South East Asia Smaller Companies Index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HSBSA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HSBC World excluding US Smaller Companies Index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HSBSX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HSBC World including US Smaller Companies Index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HSBSW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HSBC Emerging Europe 220 Index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HSBSE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</w:tr>
      <w:tr w:rsidR="00AF178C" w:rsidTr="002D0B07">
        <w:tc>
          <w:tcPr>
            <w:tcW w:w="1901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>LPX</w:t>
            </w:r>
            <w:r w:rsidR="006F6A54">
              <w:rPr>
                <w:rFonts w:ascii="Calibri" w:hAnsi="Calibri" w:cs="Arial"/>
                <w:b/>
                <w:sz w:val="21"/>
                <w:szCs w:val="21"/>
              </w:rPr>
              <w:t xml:space="preserve"> Indices</w:t>
            </w:r>
          </w:p>
        </w:tc>
        <w:tc>
          <w:tcPr>
            <w:tcW w:w="4444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LPX Private Equity &amp; NMX Infrastructure Indices</w:t>
            </w:r>
          </w:p>
        </w:tc>
        <w:tc>
          <w:tcPr>
            <w:tcW w:w="5909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index values restricted.  Constituent data not provided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LPXIND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0C78A4" w:rsidRPr="00AF178C" w:rsidRDefault="000C78A4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>MSCI – index only modules</w:t>
            </w:r>
          </w:p>
        </w:tc>
        <w:tc>
          <w:tcPr>
            <w:tcW w:w="4444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Sectors Asia Pacific indices</w:t>
            </w:r>
          </w:p>
        </w:tc>
        <w:tc>
          <w:tcPr>
            <w:tcW w:w="5909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</w:t>
            </w:r>
            <w:r w:rsidR="00E90FFE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index values restricted, constituents not included in module</w:t>
            </w:r>
          </w:p>
        </w:tc>
        <w:tc>
          <w:tcPr>
            <w:tcW w:w="1322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MSAPCII</w:t>
            </w:r>
          </w:p>
        </w:tc>
        <w:tc>
          <w:tcPr>
            <w:tcW w:w="1275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MSAPCIID</w:t>
            </w:r>
          </w:p>
        </w:tc>
      </w:tr>
      <w:tr w:rsidR="00AF178C" w:rsidTr="002D0B07">
        <w:tc>
          <w:tcPr>
            <w:tcW w:w="1901" w:type="dxa"/>
            <w:vMerge/>
          </w:tcPr>
          <w:p w:rsidR="000C78A4" w:rsidRPr="00AF178C" w:rsidRDefault="000C78A4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Sectors Developed Markets indices</w:t>
            </w:r>
          </w:p>
        </w:tc>
        <w:tc>
          <w:tcPr>
            <w:tcW w:w="5909" w:type="dxa"/>
          </w:tcPr>
          <w:p w:rsidR="000C78A4" w:rsidRPr="00AF178C" w:rsidRDefault="00E90FFE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 index values restricted, constituents not included in module</w:t>
            </w:r>
          </w:p>
        </w:tc>
        <w:tc>
          <w:tcPr>
            <w:tcW w:w="1322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MSDMCII</w:t>
            </w:r>
          </w:p>
        </w:tc>
        <w:tc>
          <w:tcPr>
            <w:tcW w:w="1275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MSDMCIID</w:t>
            </w:r>
          </w:p>
        </w:tc>
      </w:tr>
      <w:tr w:rsidR="00AF178C" w:rsidTr="002D0B07">
        <w:tc>
          <w:tcPr>
            <w:tcW w:w="1901" w:type="dxa"/>
            <w:vMerge/>
          </w:tcPr>
          <w:p w:rsidR="000C78A4" w:rsidRPr="00AF178C" w:rsidRDefault="000C78A4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Sectors Emerging Markets indices</w:t>
            </w:r>
          </w:p>
        </w:tc>
        <w:tc>
          <w:tcPr>
            <w:tcW w:w="5909" w:type="dxa"/>
          </w:tcPr>
          <w:p w:rsidR="000C78A4" w:rsidRPr="00AF178C" w:rsidRDefault="00E90FFE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 index values restricted, constituents not included in module</w:t>
            </w:r>
          </w:p>
        </w:tc>
        <w:tc>
          <w:tcPr>
            <w:tcW w:w="1322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MSEMCII</w:t>
            </w:r>
          </w:p>
        </w:tc>
        <w:tc>
          <w:tcPr>
            <w:tcW w:w="1275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MSEMCIID</w:t>
            </w:r>
          </w:p>
        </w:tc>
      </w:tr>
      <w:tr w:rsidR="00AF178C" w:rsidTr="002D0B07">
        <w:tc>
          <w:tcPr>
            <w:tcW w:w="1901" w:type="dxa"/>
            <w:vMerge/>
          </w:tcPr>
          <w:p w:rsidR="000C78A4" w:rsidRPr="00AF178C" w:rsidRDefault="000C78A4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Enhanced Index Module</w:t>
            </w:r>
          </w:p>
        </w:tc>
        <w:tc>
          <w:tcPr>
            <w:tcW w:w="5909" w:type="dxa"/>
          </w:tcPr>
          <w:p w:rsidR="000C78A4" w:rsidRPr="00AF178C" w:rsidRDefault="00E90FFE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 index values restricted, constituents not included in module</w:t>
            </w:r>
          </w:p>
        </w:tc>
        <w:tc>
          <w:tcPr>
            <w:tcW w:w="1322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MSDENH &amp; MSEENH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0C78A4" w:rsidRPr="00AF178C" w:rsidRDefault="000C78A4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 xml:space="preserve">MSCI </w:t>
            </w:r>
            <w:r w:rsidR="00054272"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 xml:space="preserve">- </w:t>
            </w: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Index &amp; Constituent Modules</w:t>
            </w:r>
          </w:p>
        </w:tc>
        <w:tc>
          <w:tcPr>
            <w:tcW w:w="4444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Core Developed Markets </w:t>
            </w:r>
          </w:p>
        </w:tc>
        <w:tc>
          <w:tcPr>
            <w:tcW w:w="5909" w:type="dxa"/>
          </w:tcPr>
          <w:p w:rsidR="000C78A4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MSCORD</w:t>
            </w:r>
          </w:p>
        </w:tc>
        <w:tc>
          <w:tcPr>
            <w:tcW w:w="1275" w:type="dxa"/>
          </w:tcPr>
          <w:p w:rsidR="000C78A4" w:rsidRPr="00AF178C" w:rsidRDefault="000C78A4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MSDD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Core Emerging Markets </w:t>
            </w:r>
          </w:p>
        </w:tc>
        <w:tc>
          <w:tcPr>
            <w:tcW w:w="5909" w:type="dxa"/>
          </w:tcPr>
          <w:p w:rsidR="00BB5275" w:rsidRDefault="00BB5275">
            <w:r w:rsidRPr="00933E6B"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MSCORE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MSDE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Core Asia Pacific </w:t>
            </w:r>
          </w:p>
        </w:tc>
        <w:tc>
          <w:tcPr>
            <w:tcW w:w="5909" w:type="dxa"/>
          </w:tcPr>
          <w:p w:rsidR="00BB5275" w:rsidRDefault="00BB5275">
            <w:r w:rsidRPr="00933E6B"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MSAPACM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MSAPAC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Small Cap Developed Markets </w:t>
            </w:r>
          </w:p>
        </w:tc>
        <w:tc>
          <w:tcPr>
            <w:tcW w:w="5909" w:type="dxa"/>
          </w:tcPr>
          <w:p w:rsidR="00BB5275" w:rsidRDefault="00BB5275">
            <w:r w:rsidRPr="00933E6B"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MSCISC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MSCISCD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Small Cap Emerging Markets </w:t>
            </w:r>
          </w:p>
        </w:tc>
        <w:tc>
          <w:tcPr>
            <w:tcW w:w="5909" w:type="dxa"/>
          </w:tcPr>
          <w:p w:rsidR="00BB5275" w:rsidRDefault="00BB5275">
            <w:r w:rsidRPr="00933E6B"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MSCEMM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MSSCEMD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Small Cap Asia Pacific </w:t>
            </w:r>
          </w:p>
        </w:tc>
        <w:tc>
          <w:tcPr>
            <w:tcW w:w="5909" w:type="dxa"/>
          </w:tcPr>
          <w:p w:rsidR="00BB5275" w:rsidRDefault="00BB5275">
            <w:r w:rsidRPr="00933E6B"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MSSCAPM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MSSCAPD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Core Developed Markets Value and Growth </w:t>
            </w:r>
          </w:p>
        </w:tc>
        <w:tc>
          <w:tcPr>
            <w:tcW w:w="5909" w:type="dxa"/>
          </w:tcPr>
          <w:p w:rsidR="00BB5275" w:rsidRDefault="00BB5275">
            <w:r w:rsidRPr="00933E6B"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MSVGDM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MSVGDMD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Core Emerging Markets Value and Growth </w:t>
            </w:r>
          </w:p>
        </w:tc>
        <w:tc>
          <w:tcPr>
            <w:tcW w:w="5909" w:type="dxa"/>
          </w:tcPr>
          <w:p w:rsidR="00BB5275" w:rsidRDefault="00BB5275">
            <w:r w:rsidRPr="00933E6B"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MSVGEM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MSVGEMD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Core Asia Pacific Value and Growth </w:t>
            </w:r>
          </w:p>
        </w:tc>
        <w:tc>
          <w:tcPr>
            <w:tcW w:w="5909" w:type="dxa"/>
          </w:tcPr>
          <w:p w:rsidR="00BB5275" w:rsidRDefault="00BB5275">
            <w:r w:rsidRPr="00933E6B"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MSVGAP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MSVGAPD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Islamic Core Plus Developed Markets </w:t>
            </w:r>
          </w:p>
        </w:tc>
        <w:tc>
          <w:tcPr>
            <w:tcW w:w="5909" w:type="dxa"/>
          </w:tcPr>
          <w:p w:rsidR="00BB5275" w:rsidRDefault="00BB5275">
            <w:r w:rsidRPr="00254F0A"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MSISDMM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MSISDMD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Islamic Core Plus Emerging Markets </w:t>
            </w:r>
          </w:p>
        </w:tc>
        <w:tc>
          <w:tcPr>
            <w:tcW w:w="5909" w:type="dxa"/>
          </w:tcPr>
          <w:p w:rsidR="00BB5275" w:rsidRDefault="00BB5275">
            <w:r w:rsidRPr="00254F0A"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MSISEMM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MSISEMD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Islamic Core Plus Asia Pacific Markets </w:t>
            </w:r>
          </w:p>
        </w:tc>
        <w:tc>
          <w:tcPr>
            <w:tcW w:w="5909" w:type="dxa"/>
          </w:tcPr>
          <w:p w:rsidR="00BB5275" w:rsidRDefault="00BB5275">
            <w:r w:rsidRPr="00254F0A"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MSISAPM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MSISAPD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Islamic Small Cap Plus Emerging Markets </w:t>
            </w:r>
          </w:p>
        </w:tc>
        <w:tc>
          <w:tcPr>
            <w:tcW w:w="5909" w:type="dxa"/>
          </w:tcPr>
          <w:p w:rsidR="00BB5275" w:rsidRDefault="00BB5275">
            <w:r w:rsidRPr="00254F0A"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MSISSEMM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MSISSEMD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US REIT </w:t>
            </w:r>
          </w:p>
        </w:tc>
        <w:tc>
          <w:tcPr>
            <w:tcW w:w="5909" w:type="dxa"/>
          </w:tcPr>
          <w:p w:rsidR="00BB5275" w:rsidRDefault="00BB5275">
            <w:r w:rsidRPr="00254F0A">
              <w:rPr>
                <w:rFonts w:ascii="Calibri" w:hAnsi="Calibri" w:cs="Arial"/>
                <w:color w:val="333333"/>
                <w:sz w:val="21"/>
                <w:szCs w:val="21"/>
              </w:rPr>
              <w:t>Index valuation ratios and MV restricted.  All constituent data restricted</w:t>
            </w:r>
          </w:p>
        </w:tc>
        <w:tc>
          <w:tcPr>
            <w:tcW w:w="1322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MSUREITM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MSUREITD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D1BF2" w:rsidRPr="00AF178C" w:rsidRDefault="00DD1BF2" w:rsidP="000936C4">
            <w:pPr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MSCI 10/40 and MSCI 10-40 Indices and Constituents</w:t>
            </w:r>
          </w:p>
          <w:p w:rsidR="00DD1BF2" w:rsidRPr="00AF178C" w:rsidRDefault="00DD1BF2" w:rsidP="000936C4">
            <w:pPr>
              <w:rPr>
                <w:rFonts w:ascii="Calibri" w:hAnsi="Calibri" w:cs="Arial"/>
                <w:b/>
                <w:color w:val="333333"/>
                <w:sz w:val="21"/>
                <w:szCs w:val="21"/>
                <w:u w:val="single"/>
              </w:rPr>
            </w:pPr>
          </w:p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D1BF2" w:rsidRPr="00AF178C" w:rsidRDefault="00DD1BF2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ACWI Metals and Mining 10-40</w:t>
            </w:r>
          </w:p>
        </w:tc>
        <w:tc>
          <w:tcPr>
            <w:tcW w:w="5909" w:type="dxa"/>
          </w:tcPr>
          <w:p w:rsidR="00DD1BF2" w:rsidRPr="00AF178C" w:rsidRDefault="00DD1BF2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 w:rsidR="00BB5275"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D1BF2" w:rsidRPr="00AF178C" w:rsidRDefault="00DD1BF2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MSACEMM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ACWI Paper and Forest Products 10/40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MSCACPF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All Country Asia Pacific excluding Japan Energy and Materials 10-40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MSCXJEM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Australia 10-40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MSCAUST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Brazil 10/40 and 10-40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MSCBRAZ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China 10/40 and 10-40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MSCCHIN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EM Asia 10/40 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MSCEMAS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EM Eastern Europe 10/40 and 10-40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MSCEMEE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EM Europe 10-40 and 10/40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MSCEMEU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EM Latin America 10/40 and 10-40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MSCEMLA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EM European and Middle East 10-40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MSCEMEM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EM East European Excluding Russ 10-40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MSCEEXR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EM Eastern Euro IMI 10-40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MSCEMEEI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EM Telecommunications Services 10-40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MSCEMTS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Europe Consumer Staples 10/40 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MSCEUCS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Europe Discretionary 10/40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MSCEUDS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Europe Financials 10/40 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MSCEUFN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Europe Health Care 10/40 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MSCEUHC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Europe Industrials 10/40 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MSCEUID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Europe Information Technology 10/40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MSCEUIT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Europe Materials 10/40 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MSCEUMT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Europe Telecom 10/40 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MSCEUTL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Europe Utilities 10/40 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MSCEUUT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France 10/40 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MSCFRAN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Germany 10/40 and 10-40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MSCGERM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Hong Kong 10-40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MSCHOKO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India 10/40 and 10-40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MSCINDI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Italy 10/40 and 10-40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MSCITAL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Netherlands 10/40 and 10-40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MSCNETH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Nordic 10/40 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MSCNORD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Russia 10-40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MSCRUSS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Spain 10/40 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MSCSPAIN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Switzerland 10/40 and 10-40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MSCSWIS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Thailand 10/40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MSCTHAI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Turkey 10/40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MSCTURK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UK 10/40 and 10-40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MSCUTKG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World Capital Goods 10/40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MSCWCAG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World Consumer Staples 10/40 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MSCWDCS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World Energy &amp; Materials 10/40 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MSCWDEM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World Energy 10/40 and 10-40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MSCWDEC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World Health Care 10/40 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MSCWDHC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World Industrials 10/40 and 10-40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MSCWDID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World Information Technology 10/40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MSCWDIT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World Material 10/40 and 10-40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MSCWOMA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World Media 10/40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MSCWOME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World Pharmaceuticals &amp; Biotechnology 10/40 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MSCWDPH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MSCI World Telecom 10/40 and 10-40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MSCWDTL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World Utilities 10/40 </w:t>
            </w:r>
          </w:p>
        </w:tc>
        <w:tc>
          <w:tcPr>
            <w:tcW w:w="5909" w:type="dxa"/>
          </w:tcPr>
          <w:p w:rsidR="00BB5275" w:rsidRPr="00AF178C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&amp; index values </w:t>
            </w:r>
            <w:r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apart from L,$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MSCZHHA</w:t>
            </w:r>
          </w:p>
        </w:tc>
      </w:tr>
      <w:tr w:rsidR="00BB5275" w:rsidTr="002D0B07">
        <w:tc>
          <w:tcPr>
            <w:tcW w:w="1901" w:type="dxa"/>
            <w:vMerge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MSCI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Zhong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Hua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10/40 </w:t>
            </w:r>
          </w:p>
        </w:tc>
        <w:tc>
          <w:tcPr>
            <w:tcW w:w="5909" w:type="dxa"/>
          </w:tcPr>
          <w:p w:rsidR="00BB5275" w:rsidRPr="00520064" w:rsidRDefault="00BB5275" w:rsidP="00BB5275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520064">
              <w:rPr>
                <w:rFonts w:ascii="Calibri" w:hAnsi="Calibri" w:cs="Arial"/>
                <w:color w:val="333333"/>
                <w:sz w:val="21"/>
                <w:szCs w:val="21"/>
              </w:rPr>
              <w:t>All constituent data &amp; index values restricted apart from L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,$ &amp; €</w:t>
            </w:r>
          </w:p>
        </w:tc>
        <w:tc>
          <w:tcPr>
            <w:tcW w:w="1322" w:type="dxa"/>
          </w:tcPr>
          <w:p w:rsidR="00BB5275" w:rsidRPr="00AF178C" w:rsidRDefault="00BB5275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MSCWDUT</w:t>
            </w:r>
          </w:p>
        </w:tc>
      </w:tr>
      <w:tr w:rsidR="00AF178C" w:rsidTr="002D0B07">
        <w:tc>
          <w:tcPr>
            <w:tcW w:w="1901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proofErr w:type="spellStart"/>
            <w:r w:rsidRPr="00AF178C">
              <w:rPr>
                <w:rFonts w:ascii="Calibri" w:hAnsi="Calibri" w:cs="Arial"/>
                <w:b/>
                <w:sz w:val="21"/>
                <w:szCs w:val="21"/>
              </w:rPr>
              <w:t>Nasdaq</w:t>
            </w:r>
            <w:proofErr w:type="spellEnd"/>
            <w:r w:rsidRPr="00AF178C">
              <w:rPr>
                <w:rFonts w:ascii="Calibri" w:hAnsi="Calibri" w:cs="Arial"/>
                <w:b/>
                <w:sz w:val="21"/>
                <w:szCs w:val="21"/>
              </w:rPr>
              <w:t xml:space="preserve"> OMX</w:t>
            </w:r>
            <w:r w:rsidR="00840D96" w:rsidRPr="00AF178C">
              <w:rPr>
                <w:rFonts w:ascii="Calibri" w:hAnsi="Calibri" w:cs="Arial"/>
                <w:b/>
                <w:sz w:val="21"/>
                <w:szCs w:val="21"/>
              </w:rPr>
              <w:t xml:space="preserve"> US </w:t>
            </w:r>
            <w:r w:rsidR="00054272" w:rsidRPr="00AF178C">
              <w:rPr>
                <w:rFonts w:ascii="Calibri" w:hAnsi="Calibri" w:cs="Arial"/>
                <w:b/>
                <w:sz w:val="21"/>
                <w:szCs w:val="21"/>
              </w:rPr>
              <w:t>constituent data</w:t>
            </w:r>
          </w:p>
        </w:tc>
        <w:tc>
          <w:tcPr>
            <w:tcW w:w="4444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Nasdaq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OMX – US indices – constituent data – includes weights, shares and free float data</w:t>
            </w:r>
          </w:p>
        </w:tc>
        <w:tc>
          <w:tcPr>
            <w:tcW w:w="5909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D1BF2" w:rsidRPr="00AF178C" w:rsidRDefault="00DD1BF2" w:rsidP="00AF178C">
            <w:pPr>
              <w:pStyle w:val="bodytext0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AF178C">
              <w:rPr>
                <w:rFonts w:ascii="Calibri" w:hAnsi="Calibri" w:cs="Arial"/>
                <w:sz w:val="21"/>
                <w:szCs w:val="21"/>
              </w:rPr>
              <w:t>NASOMX</w:t>
            </w:r>
          </w:p>
        </w:tc>
      </w:tr>
      <w:tr w:rsidR="00AF178C" w:rsidTr="002D0B07">
        <w:tc>
          <w:tcPr>
            <w:tcW w:w="1901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proofErr w:type="spellStart"/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Nasdaq</w:t>
            </w:r>
            <w:proofErr w:type="spellEnd"/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 xml:space="preserve"> OMX Nordic/Baltic</w:t>
            </w:r>
            <w:r w:rsidR="00840D96"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 xml:space="preserve"> </w:t>
            </w:r>
            <w:r w:rsidR="00054272"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 xml:space="preserve"> constituent data</w:t>
            </w:r>
          </w:p>
        </w:tc>
        <w:tc>
          <w:tcPr>
            <w:tcW w:w="4444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Nasdaq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OMX Nordic/Baltic indices - constituent data – includes weights, shares and free float data</w:t>
            </w:r>
          </w:p>
        </w:tc>
        <w:tc>
          <w:tcPr>
            <w:tcW w:w="5909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D1BF2" w:rsidRPr="00AF178C" w:rsidRDefault="00DD1BF2" w:rsidP="00AF178C">
            <w:pPr>
              <w:pStyle w:val="bodytext0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AF178C">
              <w:rPr>
                <w:rFonts w:ascii="Calibri" w:hAnsi="Calibri" w:cs="Arial"/>
                <w:sz w:val="21"/>
                <w:szCs w:val="21"/>
              </w:rPr>
              <w:t>OMXLST</w:t>
            </w:r>
          </w:p>
        </w:tc>
      </w:tr>
      <w:tr w:rsidR="00AF178C" w:rsidTr="002D0B07">
        <w:tc>
          <w:tcPr>
            <w:tcW w:w="1901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 xml:space="preserve">UK – </w:t>
            </w:r>
            <w:proofErr w:type="spellStart"/>
            <w:r w:rsidRPr="00AF178C">
              <w:rPr>
                <w:rFonts w:ascii="Calibri" w:hAnsi="Calibri" w:cs="Arial"/>
                <w:b/>
                <w:sz w:val="21"/>
                <w:szCs w:val="21"/>
              </w:rPr>
              <w:t>Numis</w:t>
            </w:r>
            <w:proofErr w:type="spellEnd"/>
            <w:r w:rsidRPr="00AF178C">
              <w:rPr>
                <w:rFonts w:ascii="Calibri" w:hAnsi="Calibri" w:cs="Arial"/>
                <w:b/>
                <w:sz w:val="21"/>
                <w:szCs w:val="21"/>
              </w:rPr>
              <w:t xml:space="preserve"> Smaller Companies </w:t>
            </w:r>
          </w:p>
        </w:tc>
        <w:tc>
          <w:tcPr>
            <w:tcW w:w="4444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Numis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Smaller Companies Indices – constituent data includes weights and shares data</w:t>
            </w:r>
          </w:p>
        </w:tc>
        <w:tc>
          <w:tcPr>
            <w:tcW w:w="5909" w:type="dxa"/>
          </w:tcPr>
          <w:p w:rsidR="00DD1BF2" w:rsidRPr="00AF178C" w:rsidRDefault="00DF7C07" w:rsidP="00F44BD1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HGSCC</w:t>
            </w:r>
          </w:p>
        </w:tc>
        <w:tc>
          <w:tcPr>
            <w:tcW w:w="1275" w:type="dxa"/>
          </w:tcPr>
          <w:p w:rsidR="00DD1BF2" w:rsidRPr="00AF178C" w:rsidRDefault="00DD1BF2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</w:tr>
      <w:tr w:rsidR="00AF178C" w:rsidTr="002D0B07">
        <w:trPr>
          <w:trHeight w:val="1153"/>
        </w:trPr>
        <w:tc>
          <w:tcPr>
            <w:tcW w:w="1901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 xml:space="preserve">Russell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</w:t>
            </w: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- US – constituent lists for Russell US indices, Sector indices and valuation ratios for benchmark indices</w:t>
            </w:r>
          </w:p>
        </w:tc>
        <w:tc>
          <w:tcPr>
            <w:tcW w:w="4444" w:type="dxa"/>
          </w:tcPr>
          <w:p w:rsidR="00DD1BF2" w:rsidRPr="00AF178C" w:rsidRDefault="00DD1BF2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Russell Standard Module Constituent data and Monthly Sector Indices</w:t>
            </w:r>
          </w:p>
        </w:tc>
        <w:tc>
          <w:tcPr>
            <w:tcW w:w="5909" w:type="dxa"/>
          </w:tcPr>
          <w:p w:rsidR="00DD1BF2" w:rsidRPr="00AF178C" w:rsidRDefault="00DD1BF2" w:rsidP="003C4B35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  <w:r w:rsidR="00A51309"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.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Monthly</w:t>
            </w:r>
            <w:r w:rsidR="00B1030E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and daily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sector indices </w:t>
            </w:r>
            <w:r w:rsidR="003C4B35">
              <w:rPr>
                <w:rFonts w:ascii="Calibri" w:hAnsi="Calibri" w:cs="Arial"/>
                <w:color w:val="333333"/>
                <w:sz w:val="21"/>
                <w:szCs w:val="21"/>
              </w:rPr>
              <w:t xml:space="preserve">restricted and some index </w:t>
            </w:r>
            <w:proofErr w:type="spellStart"/>
            <w:r w:rsidR="003C4B35">
              <w:rPr>
                <w:rFonts w:ascii="Calibri" w:hAnsi="Calibri" w:cs="Arial"/>
                <w:color w:val="333333"/>
                <w:sz w:val="21"/>
                <w:szCs w:val="21"/>
              </w:rPr>
              <w:t>datatypes</w:t>
            </w:r>
            <w:proofErr w:type="spellEnd"/>
            <w:r w:rsidR="003C4B35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for the benchmark indices restricted  </w:t>
            </w:r>
          </w:p>
        </w:tc>
        <w:tc>
          <w:tcPr>
            <w:tcW w:w="1322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D1BF2" w:rsidRPr="00AF178C" w:rsidRDefault="00DD1BF2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RUSDLY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 xml:space="preserve">S&amp;P </w:t>
            </w: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Miscellaneous Constituent data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Australia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SPASX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S&amp;P BRIC 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SNPBRIC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High Yield Dividend Aristocrats Constituents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SPHYDA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Hong Kong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SPHKEX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Japan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SPTOPIX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US Indices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SPDOMM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Global 1200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SPGLOBAL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Global Thematic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SPGBTHM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Listed Private Equity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SPLPE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Target Date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SPTARDT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Target Risk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SPTARRK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0D0D0D"/>
                <w:sz w:val="21"/>
                <w:szCs w:val="21"/>
              </w:rPr>
              <w:t>S&amp;P Global BMI (Broad Market Index) Constituent Modules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Global BMI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SPCIGBM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Developed BMI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SPCIDBM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Emerging BMI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SPCIEBM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EPAC BMI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SPCIEPBM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Pan Europe BMI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SPCIPEBM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Pan Asia BMI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constituent data restricted apart from security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lastRenderedPageBreak/>
              <w:t>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lastRenderedPageBreak/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SPCIPABM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Global Large Mid Cap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SPCIGLM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eastAsia="MS Mincho" w:hAnsi="Calibri" w:cs="Arial"/>
                <w:sz w:val="21"/>
                <w:szCs w:val="21"/>
                <w:lang w:eastAsia="ja-JP"/>
              </w:rPr>
              <w:t>S&amp;P Global Mid Small Cap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SPCIGMS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Global Small Cap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SPCIGSC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S&amp;P Global Property/REIT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SPCIGPR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S&amp;P Pan Arab Constituent Modules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S&amp;P Pan Arab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SPPANARB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S&amp;P Pan Arab GCC &amp; SA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SPPANGCS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S&amp;P Pan Arab Saudi Arabia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SPPANSAR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S&amp;P Pan Arab </w:t>
            </w:r>
            <w:proofErr w:type="spellStart"/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Shariah</w:t>
            </w:r>
            <w:proofErr w:type="spellEnd"/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SPPANARS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S&amp;P Pan Arab GCC &amp; SA </w:t>
            </w:r>
            <w:proofErr w:type="spellStart"/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Shariah</w:t>
            </w:r>
            <w:proofErr w:type="spellEnd"/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SPPAGCSS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S&amp;P Pan Arab Saudi Arabia </w:t>
            </w:r>
            <w:proofErr w:type="spellStart"/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Shariah</w:t>
            </w:r>
            <w:proofErr w:type="spellEnd"/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SPPANSAS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S&amp;P Pan Arab GCC Domestic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SPPAGCCD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S&amp;P Pan Arab GCC Domestic </w:t>
            </w:r>
            <w:proofErr w:type="spellStart"/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>Shariah</w:t>
            </w:r>
            <w:proofErr w:type="spellEnd"/>
            <w:r w:rsidRPr="00AF17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Constituent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sz w:val="21"/>
                <w:szCs w:val="21"/>
              </w:rPr>
            </w:pPr>
            <w:r w:rsidRPr="00AF178C">
              <w:rPr>
                <w:rFonts w:ascii="Calibri" w:hAnsi="Calibri" w:cs="Arial"/>
                <w:sz w:val="21"/>
                <w:szCs w:val="21"/>
              </w:rPr>
              <w:t>SPPAGSCD</w:t>
            </w:r>
          </w:p>
        </w:tc>
      </w:tr>
      <w:tr w:rsidR="00AF178C" w:rsidTr="002D0B07">
        <w:tc>
          <w:tcPr>
            <w:tcW w:w="1901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  <w:u w:val="single"/>
              </w:rPr>
            </w:pPr>
            <w:proofErr w:type="spellStart"/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  <w:u w:val="single"/>
              </w:rPr>
              <w:t>Stoxx</w:t>
            </w:r>
            <w:proofErr w:type="spellEnd"/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  <w:u w:val="single"/>
              </w:rPr>
              <w:t xml:space="preserve">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  <w:u w:val="single"/>
              </w:rPr>
              <w:t xml:space="preserve">- </w:t>
            </w: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constituent data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Stoxx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indices - </w:t>
            </w:r>
            <w:proofErr w:type="spellStart"/>
            <w:r w:rsidRPr="00AF178C">
              <w:rPr>
                <w:rFonts w:ascii="Calibri" w:hAnsi="Calibri" w:cs="Arial"/>
                <w:sz w:val="21"/>
                <w:szCs w:val="21"/>
              </w:rPr>
              <w:t>Stoxx</w:t>
            </w:r>
            <w:proofErr w:type="spellEnd"/>
            <w:r w:rsidRPr="00AF178C">
              <w:rPr>
                <w:rFonts w:ascii="Calibri" w:hAnsi="Calibri" w:cs="Arial"/>
                <w:sz w:val="21"/>
                <w:szCs w:val="21"/>
              </w:rPr>
              <w:t xml:space="preserve"> 400, </w:t>
            </w:r>
            <w:proofErr w:type="spellStart"/>
            <w:r w:rsidRPr="00AF178C">
              <w:rPr>
                <w:rFonts w:ascii="Calibri" w:hAnsi="Calibri" w:cs="Arial"/>
                <w:sz w:val="21"/>
                <w:szCs w:val="21"/>
              </w:rPr>
              <w:t>Stoxx</w:t>
            </w:r>
            <w:proofErr w:type="spellEnd"/>
            <w:r w:rsidRPr="00AF178C">
              <w:rPr>
                <w:rFonts w:ascii="Calibri" w:hAnsi="Calibri" w:cs="Arial"/>
                <w:sz w:val="21"/>
                <w:szCs w:val="21"/>
              </w:rPr>
              <w:t xml:space="preserve"> 600, </w:t>
            </w:r>
            <w:proofErr w:type="spellStart"/>
            <w:r w:rsidRPr="00AF178C">
              <w:rPr>
                <w:rFonts w:ascii="Calibri" w:hAnsi="Calibri" w:cs="Arial"/>
                <w:sz w:val="21"/>
                <w:szCs w:val="21"/>
              </w:rPr>
              <w:t>Stoxx</w:t>
            </w:r>
            <w:proofErr w:type="spellEnd"/>
            <w:r w:rsidRPr="00AF178C">
              <w:rPr>
                <w:rFonts w:ascii="Calibri" w:hAnsi="Calibri" w:cs="Arial"/>
                <w:sz w:val="21"/>
                <w:szCs w:val="21"/>
              </w:rPr>
              <w:t xml:space="preserve"> 1800, Euro </w:t>
            </w:r>
            <w:proofErr w:type="spellStart"/>
            <w:r w:rsidRPr="00AF178C">
              <w:rPr>
                <w:rFonts w:ascii="Calibri" w:hAnsi="Calibri" w:cs="Arial"/>
                <w:sz w:val="21"/>
                <w:szCs w:val="21"/>
              </w:rPr>
              <w:t>Stoxx</w:t>
            </w:r>
            <w:proofErr w:type="spellEnd"/>
            <w:r w:rsidRPr="00AF178C">
              <w:rPr>
                <w:rFonts w:ascii="Calibri" w:hAnsi="Calibri" w:cs="Arial"/>
                <w:sz w:val="21"/>
                <w:szCs w:val="21"/>
              </w:rPr>
              <w:t xml:space="preserve">, </w:t>
            </w:r>
            <w:proofErr w:type="spellStart"/>
            <w:r w:rsidRPr="00AF178C">
              <w:rPr>
                <w:rFonts w:ascii="Calibri" w:hAnsi="Calibri" w:cs="Arial"/>
                <w:sz w:val="21"/>
                <w:szCs w:val="21"/>
              </w:rPr>
              <w:t>Stoxx</w:t>
            </w:r>
            <w:proofErr w:type="spellEnd"/>
            <w:r w:rsidRPr="00AF178C">
              <w:rPr>
                <w:rFonts w:ascii="Calibri" w:hAnsi="Calibri" w:cs="Arial"/>
                <w:sz w:val="21"/>
                <w:szCs w:val="21"/>
              </w:rPr>
              <w:t xml:space="preserve"> TMI, Nordic, Sectors, size and style lists.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STOXX</w:t>
            </w:r>
          </w:p>
        </w:tc>
      </w:tr>
      <w:tr w:rsidR="000936C4" w:rsidTr="00AF178C">
        <w:tc>
          <w:tcPr>
            <w:tcW w:w="14851" w:type="dxa"/>
            <w:gridSpan w:val="5"/>
          </w:tcPr>
          <w:p w:rsidR="000936C4" w:rsidRPr="00106556" w:rsidRDefault="000936C4" w:rsidP="000936C4">
            <w:pPr>
              <w:pStyle w:val="BodyText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106556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Classification Data</w:t>
            </w:r>
          </w:p>
        </w:tc>
      </w:tr>
      <w:tr w:rsidR="00AF178C" w:rsidTr="002D0B07">
        <w:trPr>
          <w:trHeight w:val="1400"/>
        </w:trPr>
        <w:tc>
          <w:tcPr>
            <w:tcW w:w="1901" w:type="dxa"/>
          </w:tcPr>
          <w:p w:rsidR="00DD1BF2" w:rsidRPr="00AF178C" w:rsidRDefault="00DD1BF2" w:rsidP="000936C4">
            <w:pPr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sz w:val="21"/>
                <w:szCs w:val="21"/>
              </w:rPr>
              <w:lastRenderedPageBreak/>
              <w:t xml:space="preserve">GICS Direct - Global Industry Classification Standard </w:t>
            </w: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 xml:space="preserve">Direct classification data </w:t>
            </w:r>
          </w:p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  <w:u w:val="single"/>
              </w:rPr>
            </w:pPr>
          </w:p>
        </w:tc>
        <w:tc>
          <w:tcPr>
            <w:tcW w:w="4444" w:type="dxa"/>
          </w:tcPr>
          <w:p w:rsidR="00DD1BF2" w:rsidRPr="00AF178C" w:rsidRDefault="00DD1BF2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GICS Direct provides classification data for 40,000 companies and 45,000 securities worldwide, enabling the comparison of companies across four levels of classification.</w:t>
            </w:r>
          </w:p>
        </w:tc>
        <w:tc>
          <w:tcPr>
            <w:tcW w:w="5909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GICS Direct data restricted</w:t>
            </w:r>
          </w:p>
        </w:tc>
        <w:tc>
          <w:tcPr>
            <w:tcW w:w="1322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2"/>
                <w:szCs w:val="22"/>
              </w:rPr>
              <w:t>MSGICSDT</w:t>
            </w:r>
          </w:p>
        </w:tc>
      </w:tr>
      <w:tr w:rsidR="00AF178C" w:rsidTr="002D0B07">
        <w:tc>
          <w:tcPr>
            <w:tcW w:w="1901" w:type="dxa"/>
          </w:tcPr>
          <w:p w:rsidR="00DD1BF2" w:rsidRPr="00AF178C" w:rsidRDefault="00DD1BF2" w:rsidP="000936C4">
            <w:pPr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 xml:space="preserve">ICB - Industrial Classification Benchmark </w:t>
            </w:r>
          </w:p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  <w:u w:val="single"/>
              </w:rPr>
            </w:pPr>
          </w:p>
        </w:tc>
        <w:tc>
          <w:tcPr>
            <w:tcW w:w="4444" w:type="dxa"/>
          </w:tcPr>
          <w:p w:rsidR="00DD1BF2" w:rsidRPr="00AF178C" w:rsidRDefault="00DD1BF2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232323"/>
                <w:sz w:val="21"/>
                <w:szCs w:val="21"/>
              </w:rPr>
              <w:t>ICB provides classification data for over 70,000 companies and 75,000 securities worldwide, enabling the comparison of companies across four levels of classification.</w:t>
            </w:r>
          </w:p>
        </w:tc>
        <w:tc>
          <w:tcPr>
            <w:tcW w:w="5909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Data restricted for </w:t>
            </w:r>
            <w:proofErr w:type="spellStart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Datastream</w:t>
            </w:r>
            <w:proofErr w:type="spellEnd"/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Data Feed clients</w:t>
            </w:r>
          </w:p>
        </w:tc>
        <w:tc>
          <w:tcPr>
            <w:tcW w:w="1322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D1BF2" w:rsidRPr="00AF178C" w:rsidRDefault="00DD1BF2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ICBDDL</w:t>
            </w:r>
          </w:p>
        </w:tc>
      </w:tr>
    </w:tbl>
    <w:p w:rsidR="00121586" w:rsidRDefault="00121586" w:rsidP="00B43C4A">
      <w:pPr>
        <w:jc w:val="both"/>
        <w:rPr>
          <w:rFonts w:ascii="Calibri" w:hAnsi="Calibri" w:cs="Arial"/>
          <w:color w:val="333333"/>
          <w:sz w:val="21"/>
          <w:szCs w:val="21"/>
        </w:rPr>
      </w:pPr>
    </w:p>
    <w:p w:rsidR="00E856BA" w:rsidRDefault="00E856BA" w:rsidP="00B43C4A">
      <w:pPr>
        <w:jc w:val="both"/>
        <w:rPr>
          <w:rFonts w:ascii="Calibri" w:hAnsi="Calibri" w:cs="Arial"/>
          <w:color w:val="333333"/>
          <w:sz w:val="21"/>
          <w:szCs w:val="21"/>
        </w:rPr>
      </w:pPr>
    </w:p>
    <w:p w:rsidR="00AF178C" w:rsidRDefault="00AF178C" w:rsidP="00AF178C">
      <w:pPr>
        <w:rPr>
          <w:rFonts w:ascii="Calibri" w:hAnsi="Calibri" w:cs="Arial"/>
          <w:color w:val="333333"/>
          <w:sz w:val="21"/>
          <w:szCs w:val="21"/>
        </w:rPr>
      </w:pPr>
    </w:p>
    <w:p w:rsidR="000769FA" w:rsidRPr="00C97E1F" w:rsidRDefault="006177E3" w:rsidP="00B43C4A">
      <w:pPr>
        <w:jc w:val="both"/>
        <w:rPr>
          <w:rFonts w:ascii="Calibri" w:hAnsi="Calibri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1"/>
          <w:szCs w:val="21"/>
        </w:rPr>
        <w:br w:type="page"/>
      </w:r>
    </w:p>
    <w:p w:rsidR="00410B69" w:rsidRPr="00C97E1F" w:rsidRDefault="00410B69" w:rsidP="00410B69">
      <w:pPr>
        <w:pStyle w:val="bodytext0"/>
        <w:ind w:left="0"/>
        <w:rPr>
          <w:rFonts w:ascii="Calibri" w:hAnsi="Calibri" w:cs="Arial"/>
          <w:color w:val="333333"/>
          <w:sz w:val="21"/>
          <w:szCs w:val="21"/>
        </w:rPr>
      </w:pPr>
    </w:p>
    <w:p w:rsidR="004A7BFD" w:rsidRDefault="004A7BFD" w:rsidP="004A2770">
      <w:pPr>
        <w:rPr>
          <w:rFonts w:ascii="Calibri" w:hAnsi="Calibri" w:cs="Arial"/>
          <w:color w:val="333333"/>
          <w:sz w:val="21"/>
          <w:szCs w:val="21"/>
        </w:rPr>
      </w:pPr>
      <w:bookmarkStart w:id="0" w:name="_FTSE:"/>
      <w:bookmarkStart w:id="1" w:name="_HSBC:"/>
      <w:bookmarkStart w:id="2" w:name="_BMO_Nesbitt_Burns_–_Indices_and_Con"/>
      <w:bookmarkStart w:id="3" w:name="_Russell_–_US"/>
      <w:bookmarkStart w:id="4" w:name="_BMO_Nesbitt_Burns"/>
      <w:bookmarkStart w:id="5" w:name="_SIX"/>
      <w:bookmarkEnd w:id="0"/>
      <w:bookmarkEnd w:id="1"/>
      <w:bookmarkEnd w:id="2"/>
      <w:bookmarkEnd w:id="3"/>
      <w:bookmarkEnd w:id="4"/>
      <w:bookmarkEnd w:id="5"/>
    </w:p>
    <w:p w:rsidR="004A7BFD" w:rsidRPr="00534F52" w:rsidRDefault="004A7BFD" w:rsidP="004A2770">
      <w:pPr>
        <w:rPr>
          <w:rFonts w:ascii="Calibri" w:hAnsi="Calibri" w:cs="Arial"/>
          <w:b/>
          <w:color w:val="333333"/>
          <w:sz w:val="24"/>
          <w:szCs w:val="24"/>
          <w:u w:val="single"/>
        </w:rPr>
      </w:pPr>
      <w:r w:rsidRPr="00534F52">
        <w:rPr>
          <w:rFonts w:ascii="Calibri" w:hAnsi="Calibri" w:cs="Arial"/>
          <w:b/>
          <w:color w:val="333333"/>
          <w:sz w:val="24"/>
          <w:szCs w:val="24"/>
          <w:u w:val="single"/>
        </w:rPr>
        <w:t>Appendix A</w:t>
      </w:r>
      <w:r w:rsidR="00534F52">
        <w:rPr>
          <w:rFonts w:ascii="Calibri" w:hAnsi="Calibri" w:cs="Arial"/>
          <w:b/>
          <w:color w:val="333333"/>
          <w:sz w:val="24"/>
          <w:szCs w:val="24"/>
          <w:u w:val="single"/>
        </w:rPr>
        <w:t xml:space="preserve"> constituent list </w:t>
      </w:r>
      <w:proofErr w:type="spellStart"/>
      <w:r w:rsidR="00534F52">
        <w:rPr>
          <w:rFonts w:ascii="Calibri" w:hAnsi="Calibri" w:cs="Arial"/>
          <w:b/>
          <w:color w:val="333333"/>
          <w:sz w:val="24"/>
          <w:szCs w:val="24"/>
          <w:u w:val="single"/>
        </w:rPr>
        <w:t>datatypes</w:t>
      </w:r>
      <w:proofErr w:type="spellEnd"/>
    </w:p>
    <w:p w:rsidR="004A7BFD" w:rsidRDefault="004A7BFD" w:rsidP="004A2770">
      <w:pPr>
        <w:rPr>
          <w:rFonts w:ascii="Calibri" w:hAnsi="Calibri" w:cs="Arial"/>
          <w:color w:val="333333"/>
          <w:sz w:val="21"/>
          <w:szCs w:val="21"/>
        </w:rPr>
      </w:pPr>
    </w:p>
    <w:p w:rsidR="005663F2" w:rsidRDefault="005663F2" w:rsidP="005663F2">
      <w:pPr>
        <w:pStyle w:val="bodytext0"/>
        <w:ind w:left="0"/>
        <w:rPr>
          <w:rFonts w:ascii="Calibri" w:hAnsi="Calibri" w:cs="Arial"/>
          <w:b/>
          <w:sz w:val="22"/>
          <w:szCs w:val="22"/>
        </w:rPr>
      </w:pPr>
    </w:p>
    <w:p w:rsidR="005663F2" w:rsidRPr="00C97E1F" w:rsidRDefault="005663F2" w:rsidP="005663F2">
      <w:pPr>
        <w:pStyle w:val="bodytext0"/>
        <w:ind w:left="0"/>
        <w:rPr>
          <w:rFonts w:ascii="Calibri" w:hAnsi="Calibri" w:cs="Arial"/>
          <w:b/>
          <w:color w:val="333333"/>
          <w:sz w:val="21"/>
          <w:szCs w:val="21"/>
        </w:rPr>
      </w:pPr>
      <w:r w:rsidRPr="00534F52">
        <w:rPr>
          <w:rFonts w:ascii="Calibri" w:hAnsi="Calibri" w:cs="Arial"/>
          <w:color w:val="333333"/>
          <w:sz w:val="21"/>
          <w:szCs w:val="21"/>
        </w:rPr>
        <w:t xml:space="preserve">Restricted Constituent List </w:t>
      </w:r>
      <w:proofErr w:type="spellStart"/>
      <w:r w:rsidRPr="00534F52">
        <w:rPr>
          <w:rFonts w:ascii="Calibri" w:hAnsi="Calibri" w:cs="Arial"/>
          <w:color w:val="333333"/>
          <w:sz w:val="21"/>
          <w:szCs w:val="21"/>
        </w:rPr>
        <w:t>Datatypes</w:t>
      </w:r>
      <w:proofErr w:type="spellEnd"/>
      <w:r w:rsidRPr="00534F52">
        <w:rPr>
          <w:rFonts w:ascii="Calibri" w:hAnsi="Calibri" w:cs="Arial"/>
          <w:color w:val="333333"/>
          <w:sz w:val="21"/>
          <w:szCs w:val="21"/>
        </w:rPr>
        <w:t xml:space="preserve">  - the </w:t>
      </w:r>
      <w:r w:rsidR="003C4B35">
        <w:rPr>
          <w:rFonts w:ascii="Calibri" w:hAnsi="Calibri" w:cs="Arial"/>
          <w:color w:val="333333"/>
          <w:sz w:val="21"/>
          <w:szCs w:val="21"/>
        </w:rPr>
        <w:t xml:space="preserve">table </w:t>
      </w:r>
      <w:r w:rsidRPr="00534F52">
        <w:rPr>
          <w:rFonts w:ascii="Calibri" w:hAnsi="Calibri" w:cs="Arial"/>
          <w:color w:val="333333"/>
          <w:sz w:val="21"/>
          <w:szCs w:val="21"/>
        </w:rPr>
        <w:t xml:space="preserve">below details </w:t>
      </w:r>
      <w:r w:rsidR="003C4B35">
        <w:rPr>
          <w:rFonts w:ascii="Calibri" w:hAnsi="Calibri" w:cs="Arial"/>
          <w:color w:val="333333"/>
          <w:sz w:val="21"/>
          <w:szCs w:val="21"/>
        </w:rPr>
        <w:t xml:space="preserve">generic </w:t>
      </w:r>
      <w:r w:rsidRPr="00534F52">
        <w:rPr>
          <w:rFonts w:ascii="Calibri" w:hAnsi="Calibri" w:cs="Arial"/>
          <w:color w:val="333333"/>
          <w:sz w:val="21"/>
          <w:szCs w:val="21"/>
        </w:rPr>
        <w:t xml:space="preserve">constituent list </w:t>
      </w:r>
      <w:proofErr w:type="spellStart"/>
      <w:r w:rsidRPr="00534F52">
        <w:rPr>
          <w:rFonts w:ascii="Calibri" w:hAnsi="Calibri" w:cs="Arial"/>
          <w:color w:val="333333"/>
          <w:sz w:val="21"/>
          <w:szCs w:val="21"/>
        </w:rPr>
        <w:t>datatypes</w:t>
      </w:r>
      <w:proofErr w:type="spellEnd"/>
      <w:r w:rsidR="003C4B35">
        <w:rPr>
          <w:rFonts w:ascii="Calibri" w:hAnsi="Calibri" w:cs="Arial"/>
          <w:color w:val="333333"/>
          <w:sz w:val="21"/>
          <w:szCs w:val="21"/>
        </w:rPr>
        <w:t xml:space="preserve"> included within many of the constituent pass through modules (apart from MSCI</w:t>
      </w:r>
      <w:r w:rsidR="002D0B07">
        <w:rPr>
          <w:rFonts w:ascii="Calibri" w:hAnsi="Calibri" w:cs="Arial"/>
          <w:color w:val="333333"/>
          <w:sz w:val="21"/>
          <w:szCs w:val="21"/>
        </w:rPr>
        <w:t xml:space="preserve">, </w:t>
      </w:r>
      <w:r w:rsidR="003C4B35">
        <w:rPr>
          <w:rFonts w:ascii="Calibri" w:hAnsi="Calibri" w:cs="Arial"/>
          <w:color w:val="333333"/>
          <w:sz w:val="21"/>
          <w:szCs w:val="21"/>
        </w:rPr>
        <w:t>FTSE World/All World</w:t>
      </w:r>
      <w:r w:rsidR="002D0B07">
        <w:rPr>
          <w:rFonts w:ascii="Calibri" w:hAnsi="Calibri" w:cs="Arial"/>
          <w:color w:val="333333"/>
          <w:sz w:val="21"/>
          <w:szCs w:val="21"/>
        </w:rPr>
        <w:t xml:space="preserve">, and some </w:t>
      </w:r>
      <w:proofErr w:type="spellStart"/>
      <w:r w:rsidR="002D0B07">
        <w:rPr>
          <w:rFonts w:ascii="Calibri" w:hAnsi="Calibri" w:cs="Arial"/>
          <w:color w:val="333333"/>
          <w:sz w:val="21"/>
          <w:szCs w:val="21"/>
        </w:rPr>
        <w:t>Stoxx</w:t>
      </w:r>
      <w:proofErr w:type="spellEnd"/>
      <w:r w:rsidR="002D0B07">
        <w:rPr>
          <w:rFonts w:ascii="Calibri" w:hAnsi="Calibri" w:cs="Arial"/>
          <w:color w:val="333333"/>
          <w:sz w:val="21"/>
          <w:szCs w:val="21"/>
        </w:rPr>
        <w:t xml:space="preserve"> lists </w:t>
      </w:r>
      <w:r w:rsidR="003C4B35">
        <w:rPr>
          <w:rFonts w:ascii="Calibri" w:hAnsi="Calibri" w:cs="Arial"/>
          <w:color w:val="333333"/>
          <w:sz w:val="21"/>
          <w:szCs w:val="21"/>
        </w:rPr>
        <w:t xml:space="preserve"> which have their own set of </w:t>
      </w:r>
      <w:proofErr w:type="spellStart"/>
      <w:r w:rsidR="003C4B35">
        <w:rPr>
          <w:rFonts w:ascii="Calibri" w:hAnsi="Calibri" w:cs="Arial"/>
          <w:color w:val="333333"/>
          <w:sz w:val="21"/>
          <w:szCs w:val="21"/>
        </w:rPr>
        <w:t>datatypes</w:t>
      </w:r>
      <w:proofErr w:type="spellEnd"/>
      <w:r w:rsidR="003C4B35">
        <w:rPr>
          <w:rFonts w:ascii="Calibri" w:hAnsi="Calibri" w:cs="Arial"/>
          <w:color w:val="333333"/>
          <w:sz w:val="21"/>
          <w:szCs w:val="21"/>
        </w:rPr>
        <w:t xml:space="preserve"> including WTIDX).    N</w:t>
      </w:r>
      <w:r w:rsidRPr="00534F52">
        <w:rPr>
          <w:rFonts w:ascii="Calibri" w:hAnsi="Calibri" w:cs="Arial"/>
          <w:color w:val="333333"/>
          <w:sz w:val="21"/>
          <w:szCs w:val="21"/>
        </w:rPr>
        <w:t xml:space="preserve">ote not all </w:t>
      </w:r>
      <w:proofErr w:type="spellStart"/>
      <w:r w:rsidRPr="00534F52">
        <w:rPr>
          <w:rFonts w:ascii="Calibri" w:hAnsi="Calibri" w:cs="Arial"/>
          <w:color w:val="333333"/>
          <w:sz w:val="21"/>
          <w:szCs w:val="21"/>
        </w:rPr>
        <w:t>datatypes</w:t>
      </w:r>
      <w:proofErr w:type="spellEnd"/>
      <w:r w:rsidRPr="00534F52">
        <w:rPr>
          <w:rFonts w:ascii="Calibri" w:hAnsi="Calibri" w:cs="Arial"/>
          <w:color w:val="333333"/>
          <w:sz w:val="21"/>
          <w:szCs w:val="21"/>
        </w:rPr>
        <w:t xml:space="preserve"> may be available or relevant for each constituent list</w:t>
      </w:r>
      <w:r>
        <w:rPr>
          <w:rFonts w:ascii="Calibri" w:hAnsi="Calibri" w:cs="Arial"/>
          <w:b/>
          <w:color w:val="333333"/>
          <w:sz w:val="21"/>
          <w:szCs w:val="21"/>
        </w:rPr>
        <w:t>.</w:t>
      </w:r>
    </w:p>
    <w:p w:rsidR="005663F2" w:rsidRDefault="005663F2" w:rsidP="005663F2">
      <w:pPr>
        <w:pStyle w:val="bodytext0"/>
        <w:ind w:left="0"/>
        <w:rPr>
          <w:b/>
        </w:rPr>
      </w:pPr>
    </w:p>
    <w:tbl>
      <w:tblPr>
        <w:tblW w:w="7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1"/>
        <w:gridCol w:w="1170"/>
      </w:tblGrid>
      <w:tr w:rsidR="005663F2" w:rsidRPr="004A2770" w:rsidTr="00106556">
        <w:trPr>
          <w:tblHeader/>
        </w:trPr>
        <w:tc>
          <w:tcPr>
            <w:tcW w:w="5841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106556">
              <w:rPr>
                <w:rFonts w:ascii="Calibri" w:hAnsi="Calibri"/>
                <w:b/>
                <w:sz w:val="21"/>
                <w:szCs w:val="21"/>
              </w:rPr>
              <w:t>Description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b/>
                <w:sz w:val="21"/>
                <w:szCs w:val="21"/>
              </w:rPr>
            </w:pPr>
            <w:proofErr w:type="spellStart"/>
            <w:r w:rsidRPr="00106556">
              <w:rPr>
                <w:rFonts w:ascii="Calibri" w:hAnsi="Calibri"/>
                <w:b/>
                <w:sz w:val="21"/>
                <w:szCs w:val="21"/>
              </w:rPr>
              <w:t>Datatype</w:t>
            </w:r>
            <w:proofErr w:type="spellEnd"/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sz w:val="21"/>
                <w:szCs w:val="21"/>
              </w:rPr>
            </w:pPr>
            <w:r w:rsidRPr="00106556">
              <w:rPr>
                <w:rFonts w:ascii="Calibri" w:hAnsi="Calibri"/>
                <w:sz w:val="21"/>
                <w:szCs w:val="21"/>
              </w:rPr>
              <w:t>Constituent weight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sz w:val="21"/>
                <w:szCs w:val="21"/>
              </w:rPr>
            </w:pPr>
            <w:r w:rsidRPr="00106556">
              <w:rPr>
                <w:rFonts w:ascii="Calibri" w:hAnsi="Calibri"/>
                <w:sz w:val="21"/>
                <w:szCs w:val="21"/>
              </w:rPr>
              <w:t xml:space="preserve">WTIDX 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sz w:val="21"/>
                <w:szCs w:val="21"/>
              </w:rPr>
            </w:pPr>
            <w:r w:rsidRPr="00106556">
              <w:rPr>
                <w:rFonts w:ascii="Calibri" w:hAnsi="Calibri"/>
                <w:sz w:val="21"/>
                <w:szCs w:val="21"/>
              </w:rPr>
              <w:t xml:space="preserve">Price of each constituent in the index 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sz w:val="21"/>
                <w:szCs w:val="21"/>
              </w:rPr>
            </w:pPr>
            <w:r w:rsidRPr="00106556">
              <w:rPr>
                <w:rFonts w:ascii="Calibri" w:hAnsi="Calibri"/>
                <w:sz w:val="21"/>
                <w:szCs w:val="21"/>
              </w:rPr>
              <w:t>PIDX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sz w:val="21"/>
                <w:szCs w:val="21"/>
              </w:rPr>
            </w:pPr>
            <w:r w:rsidRPr="00106556">
              <w:rPr>
                <w:rFonts w:ascii="Calibri" w:eastAsia="MS Mincho" w:hAnsi="Calibri" w:cs="Arial"/>
                <w:sz w:val="21"/>
                <w:szCs w:val="21"/>
                <w:lang w:eastAsia="ja-JP"/>
              </w:rPr>
              <w:t>Number of shares of each constituent in the index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sz w:val="21"/>
                <w:szCs w:val="21"/>
              </w:rPr>
            </w:pPr>
            <w:r w:rsidRPr="00106556">
              <w:rPr>
                <w:rFonts w:ascii="Calibri" w:hAnsi="Calibri"/>
                <w:sz w:val="21"/>
                <w:szCs w:val="21"/>
              </w:rPr>
              <w:t>NSIDX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sz w:val="21"/>
                <w:szCs w:val="21"/>
              </w:rPr>
            </w:pPr>
            <w:r w:rsidRPr="00106556">
              <w:rPr>
                <w:rFonts w:ascii="Calibri" w:hAnsi="Calibri"/>
                <w:sz w:val="21"/>
                <w:szCs w:val="21"/>
              </w:rPr>
              <w:t>Adjusted shares included in the index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sz w:val="21"/>
                <w:szCs w:val="21"/>
              </w:rPr>
            </w:pPr>
            <w:r w:rsidRPr="00106556">
              <w:rPr>
                <w:rFonts w:ascii="Calibri" w:hAnsi="Calibri"/>
                <w:sz w:val="21"/>
                <w:szCs w:val="21"/>
              </w:rPr>
              <w:t>FNSIDX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sz w:val="21"/>
                <w:szCs w:val="21"/>
              </w:rPr>
            </w:pPr>
            <w:r w:rsidRPr="00106556">
              <w:rPr>
                <w:rFonts w:ascii="Calibri" w:hAnsi="Calibri"/>
                <w:sz w:val="21"/>
                <w:szCs w:val="21"/>
              </w:rPr>
              <w:t xml:space="preserve">Free float factor of each constituent in the index 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sz w:val="21"/>
                <w:szCs w:val="21"/>
              </w:rPr>
            </w:pPr>
            <w:r w:rsidRPr="00106556">
              <w:rPr>
                <w:rFonts w:ascii="Calibri" w:hAnsi="Calibri"/>
                <w:sz w:val="21"/>
                <w:szCs w:val="21"/>
              </w:rPr>
              <w:t>FFIDX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sz w:val="21"/>
                <w:szCs w:val="21"/>
              </w:rPr>
            </w:pPr>
            <w:r w:rsidRPr="00106556">
              <w:rPr>
                <w:rFonts w:ascii="Calibri" w:hAnsi="Calibri"/>
                <w:sz w:val="21"/>
                <w:szCs w:val="21"/>
              </w:rPr>
              <w:t xml:space="preserve">Market value of each constituent in the index 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/>
                <w:sz w:val="21"/>
                <w:szCs w:val="21"/>
              </w:rPr>
            </w:pPr>
            <w:r w:rsidRPr="00106556">
              <w:rPr>
                <w:rFonts w:ascii="Calibri" w:hAnsi="Calibri"/>
                <w:sz w:val="21"/>
                <w:szCs w:val="21"/>
              </w:rPr>
              <w:t>MVIDX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>Free float adjusted market value of each constituent in the index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>FMVIDX</w:t>
            </w:r>
          </w:p>
        </w:tc>
      </w:tr>
      <w:tr w:rsidR="005663F2" w:rsidRPr="004A2770" w:rsidTr="00106556">
        <w:tc>
          <w:tcPr>
            <w:tcW w:w="5841" w:type="dxa"/>
            <w:vAlign w:val="center"/>
          </w:tcPr>
          <w:p w:rsidR="005663F2" w:rsidRPr="00106556" w:rsidRDefault="005663F2" w:rsidP="005663F2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333333"/>
                <w:sz w:val="21"/>
                <w:szCs w:val="21"/>
              </w:rPr>
              <w:t>Capping factor</w:t>
            </w:r>
          </w:p>
        </w:tc>
        <w:tc>
          <w:tcPr>
            <w:tcW w:w="1170" w:type="dxa"/>
            <w:vAlign w:val="center"/>
          </w:tcPr>
          <w:p w:rsidR="005663F2" w:rsidRPr="00106556" w:rsidRDefault="005663F2" w:rsidP="005663F2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333333"/>
                <w:sz w:val="21"/>
                <w:szCs w:val="21"/>
              </w:rPr>
              <w:t>CFIDX</w:t>
            </w:r>
          </w:p>
        </w:tc>
      </w:tr>
      <w:tr w:rsidR="005663F2" w:rsidRPr="004A2770" w:rsidTr="00106556">
        <w:tc>
          <w:tcPr>
            <w:tcW w:w="5841" w:type="dxa"/>
            <w:vAlign w:val="center"/>
          </w:tcPr>
          <w:p w:rsidR="005663F2" w:rsidRPr="00106556" w:rsidRDefault="005663F2" w:rsidP="005663F2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333333"/>
                <w:sz w:val="21"/>
                <w:szCs w:val="21"/>
              </w:rPr>
              <w:t>Adjustment factor</w:t>
            </w:r>
          </w:p>
        </w:tc>
        <w:tc>
          <w:tcPr>
            <w:tcW w:w="1170" w:type="dxa"/>
            <w:vAlign w:val="center"/>
          </w:tcPr>
          <w:p w:rsidR="005663F2" w:rsidRPr="00106556" w:rsidRDefault="005663F2" w:rsidP="005663F2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333333"/>
                <w:sz w:val="21"/>
                <w:szCs w:val="21"/>
              </w:rPr>
              <w:t>AFIDX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eastAsia="MS Mincho" w:hAnsi="Calibri" w:cs="Arial"/>
                <w:sz w:val="21"/>
                <w:szCs w:val="21"/>
                <w:lang w:eastAsia="ja-JP"/>
              </w:rPr>
              <w:t>Level 1 - ICB industry code</w:t>
            </w: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or GICS sector code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>CLS1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eastAsia="MS Mincho" w:hAnsi="Calibri" w:cs="Arial"/>
                <w:sz w:val="21"/>
                <w:szCs w:val="21"/>
                <w:lang w:eastAsia="ja-JP"/>
              </w:rPr>
              <w:t>Level 1 - ICB industry name</w:t>
            </w: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or GICS sector name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>CLS1N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eastAsia="MS Mincho" w:hAnsi="Calibri" w:cs="Arial"/>
                <w:sz w:val="21"/>
                <w:szCs w:val="21"/>
                <w:lang w:eastAsia="ja-JP"/>
              </w:rPr>
              <w:t>Level 2 - ICB super sector code</w:t>
            </w: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or GICS industry group code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>CLS2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eastAsia="MS Mincho" w:hAnsi="Calibri" w:cs="Arial"/>
                <w:sz w:val="21"/>
                <w:szCs w:val="21"/>
                <w:lang w:eastAsia="ja-JP"/>
              </w:rPr>
              <w:t>Level 2 - ICB super sector name</w:t>
            </w: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or GICS industry group name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>CLS2N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eastAsia="MS Mincho" w:hAnsi="Calibri" w:cs="Arial"/>
                <w:sz w:val="21"/>
                <w:szCs w:val="21"/>
                <w:lang w:eastAsia="ja-JP"/>
              </w:rPr>
              <w:t>Level 3 - ICB sector code</w:t>
            </w: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or GICS industry code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>CLS3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eastAsia="MS Mincho" w:hAnsi="Calibri" w:cs="Arial"/>
                <w:sz w:val="21"/>
                <w:szCs w:val="21"/>
                <w:lang w:eastAsia="ja-JP"/>
              </w:rPr>
              <w:t>Level 3 - ICB sector name</w:t>
            </w: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or GICS industry name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>CLS3N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eastAsia="MS Mincho" w:hAnsi="Calibri" w:cs="Arial"/>
                <w:sz w:val="21"/>
                <w:szCs w:val="21"/>
                <w:lang w:eastAsia="ja-JP"/>
              </w:rPr>
              <w:t>Level 4 - ICB sub sector code</w:t>
            </w: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or GICS sub industry code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>CLS4</w:t>
            </w:r>
          </w:p>
        </w:tc>
      </w:tr>
      <w:tr w:rsidR="005663F2" w:rsidRPr="004A2770" w:rsidTr="00106556">
        <w:tc>
          <w:tcPr>
            <w:tcW w:w="5841" w:type="dxa"/>
          </w:tcPr>
          <w:p w:rsidR="005663F2" w:rsidRPr="00106556" w:rsidRDefault="005663F2" w:rsidP="005663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eastAsia="MS Mincho" w:hAnsi="Calibri" w:cs="Arial"/>
                <w:sz w:val="21"/>
                <w:szCs w:val="21"/>
                <w:lang w:eastAsia="ja-JP"/>
              </w:rPr>
              <w:t>Level 4 - ICB sub sector name</w:t>
            </w: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or GICS sub industry name</w:t>
            </w:r>
          </w:p>
        </w:tc>
        <w:tc>
          <w:tcPr>
            <w:tcW w:w="1170" w:type="dxa"/>
          </w:tcPr>
          <w:p w:rsidR="005663F2" w:rsidRPr="00106556" w:rsidRDefault="005663F2" w:rsidP="005663F2">
            <w:pPr>
              <w:pStyle w:val="bodytext0"/>
              <w:ind w:left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106556">
              <w:rPr>
                <w:rFonts w:ascii="Calibri" w:hAnsi="Calibri" w:cs="Arial"/>
                <w:color w:val="000000"/>
                <w:sz w:val="21"/>
                <w:szCs w:val="21"/>
              </w:rPr>
              <w:t>CLS4N</w:t>
            </w:r>
          </w:p>
        </w:tc>
      </w:tr>
    </w:tbl>
    <w:p w:rsidR="005663F2" w:rsidRDefault="005663F2" w:rsidP="005663F2">
      <w:pPr>
        <w:pStyle w:val="bodytext0"/>
        <w:ind w:left="0"/>
        <w:rPr>
          <w:b/>
        </w:rPr>
      </w:pPr>
    </w:p>
    <w:sectPr w:rsidR="005663F2" w:rsidSect="00E856BA">
      <w:headerReference w:type="default" r:id="rId8"/>
      <w:footerReference w:type="default" r:id="rId9"/>
      <w:pgSz w:w="15840" w:h="12240" w:orient="landscape"/>
      <w:pgMar w:top="1680" w:right="2160" w:bottom="1380" w:left="7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75" w:rsidRDefault="00BB5275">
      <w:r>
        <w:separator/>
      </w:r>
    </w:p>
  </w:endnote>
  <w:endnote w:type="continuationSeparator" w:id="0">
    <w:p w:rsidR="00BB5275" w:rsidRDefault="00BB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hel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75" w:rsidRDefault="00BB5275" w:rsidP="00113D8C">
    <w:pPr>
      <w:pStyle w:val="Footer"/>
      <w:jc w:val="center"/>
    </w:pPr>
    <w:r>
      <w:t xml:space="preserve">Page </w:t>
    </w:r>
    <w:fldSimple w:instr=" PAGE ">
      <w:r w:rsidR="006B774F">
        <w:rPr>
          <w:noProof/>
        </w:rPr>
        <w:t>11</w:t>
      </w:r>
    </w:fldSimple>
    <w:r>
      <w:t xml:space="preserve"> of </w:t>
    </w:r>
    <w:fldSimple w:instr=" NUMPAGES ">
      <w:r w:rsidR="006B774F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75" w:rsidRDefault="00BB5275">
      <w:r>
        <w:separator/>
      </w:r>
    </w:p>
  </w:footnote>
  <w:footnote w:type="continuationSeparator" w:id="0">
    <w:p w:rsidR="00BB5275" w:rsidRDefault="00BB5275">
      <w:r>
        <w:continuationSeparator/>
      </w:r>
    </w:p>
  </w:footnote>
  <w:footnote w:id="1">
    <w:p w:rsidR="00BB5275" w:rsidRPr="00AF178C" w:rsidRDefault="00BB5275">
      <w:pPr>
        <w:pStyle w:val="FootnoteText"/>
        <w:rPr>
          <w:rFonts w:ascii="Calibri" w:hAnsi="Calibri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AF178C">
        <w:rPr>
          <w:rFonts w:ascii="Calibri" w:hAnsi="Calibri"/>
          <w:sz w:val="14"/>
          <w:szCs w:val="14"/>
        </w:rPr>
        <w:t xml:space="preserve">FTSE UK Advanced Index module </w:t>
      </w:r>
    </w:p>
    <w:p w:rsidR="00BB5275" w:rsidRPr="00AF178C" w:rsidRDefault="00BB5275" w:rsidP="00AF178C">
      <w:pPr>
        <w:rPr>
          <w:rFonts w:ascii="Calibri" w:hAnsi="Calibri" w:cs="Arial"/>
          <w:color w:val="333333"/>
          <w:sz w:val="14"/>
          <w:szCs w:val="14"/>
        </w:rPr>
      </w:pPr>
      <w:r w:rsidRPr="00AF178C">
        <w:rPr>
          <w:rFonts w:ascii="Calibri" w:hAnsi="Calibri" w:cs="Arial"/>
          <w:color w:val="333333"/>
          <w:sz w:val="14"/>
          <w:szCs w:val="14"/>
        </w:rPr>
        <w:t>The following indices and constituent lists are included in the FTSE UK Advanced index module</w:t>
      </w:r>
    </w:p>
    <w:p w:rsidR="00BB5275" w:rsidRPr="00AF178C" w:rsidRDefault="00BB5275" w:rsidP="00AF178C">
      <w:pPr>
        <w:pStyle w:val="bodytext0"/>
        <w:ind w:left="720"/>
        <w:rPr>
          <w:rFonts w:ascii="Calibri" w:hAnsi="Calibri" w:cs="Arial"/>
          <w:b/>
          <w:color w:val="333333"/>
          <w:sz w:val="14"/>
          <w:szCs w:val="14"/>
        </w:rPr>
      </w:pPr>
    </w:p>
    <w:tbl>
      <w:tblPr>
        <w:tblW w:w="9214" w:type="dxa"/>
        <w:tblInd w:w="-34" w:type="dxa"/>
        <w:tblLook w:val="0000"/>
      </w:tblPr>
      <w:tblGrid>
        <w:gridCol w:w="4678"/>
        <w:gridCol w:w="4536"/>
      </w:tblGrid>
      <w:tr w:rsidR="00BB5275" w:rsidRPr="00AF178C" w:rsidTr="006F6A54">
        <w:trPr>
          <w:trHeight w:val="25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B5275" w:rsidRPr="00AF178C" w:rsidRDefault="00BB5275" w:rsidP="006F6A54">
            <w:pPr>
              <w:rPr>
                <w:rFonts w:ascii="Calibri" w:eastAsia="MS Mincho" w:hAnsi="Calibri" w:cs="Arial"/>
                <w:b/>
                <w:bCs/>
                <w:color w:val="333333"/>
                <w:sz w:val="14"/>
                <w:szCs w:val="14"/>
                <w:lang w:eastAsia="ja-JP"/>
              </w:rPr>
            </w:pPr>
            <w:r w:rsidRPr="00AF178C">
              <w:rPr>
                <w:rFonts w:ascii="Calibri" w:eastAsia="MS Mincho" w:hAnsi="Calibri" w:cs="Arial"/>
                <w:b/>
                <w:bCs/>
                <w:color w:val="333333"/>
                <w:sz w:val="14"/>
                <w:szCs w:val="14"/>
                <w:lang w:eastAsia="ja-JP"/>
              </w:rPr>
              <w:t>Index family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B5275" w:rsidRPr="00AF178C" w:rsidRDefault="00BB5275" w:rsidP="006F6A54">
            <w:pPr>
              <w:rPr>
                <w:rFonts w:ascii="Calibri" w:eastAsia="MS Mincho" w:hAnsi="Calibri" w:cs="Arial"/>
                <w:b/>
                <w:bCs/>
                <w:color w:val="333333"/>
                <w:sz w:val="14"/>
                <w:szCs w:val="14"/>
                <w:lang w:eastAsia="ja-JP"/>
              </w:rPr>
            </w:pPr>
            <w:r w:rsidRPr="00AF178C">
              <w:rPr>
                <w:rFonts w:ascii="Calibri" w:eastAsia="MS Mincho" w:hAnsi="Calibri" w:cs="Arial"/>
                <w:b/>
                <w:bCs/>
                <w:color w:val="333333"/>
                <w:sz w:val="14"/>
                <w:szCs w:val="14"/>
                <w:lang w:eastAsia="ja-JP"/>
              </w:rPr>
              <w:t>ICB Classification</w:t>
            </w:r>
          </w:p>
        </w:tc>
      </w:tr>
      <w:tr w:rsidR="00BB5275" w:rsidRPr="00AF178C" w:rsidTr="006F6A5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75" w:rsidRPr="00AF178C" w:rsidRDefault="00BB5275" w:rsidP="006F6A54">
            <w:pPr>
              <w:pStyle w:val="bodytext0"/>
              <w:ind w:left="0"/>
              <w:rPr>
                <w:rFonts w:ascii="Calibri" w:hAnsi="Calibri" w:cs="Arial"/>
                <w:color w:val="333333"/>
                <w:sz w:val="14"/>
                <w:szCs w:val="14"/>
              </w:rPr>
            </w:pP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FTSE All Share</w:t>
            </w:r>
            <w:r>
              <w:rPr>
                <w:rFonts w:ascii="Calibri" w:hAnsi="Calibri" w:cs="Arial"/>
                <w:color w:val="333333"/>
                <w:sz w:val="14"/>
                <w:szCs w:val="14"/>
              </w:rPr>
              <w:t xml:space="preserve"> and FTSE Small Cap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75" w:rsidRPr="00AF178C" w:rsidRDefault="00BB5275" w:rsidP="006F6A54">
            <w:pPr>
              <w:pStyle w:val="bodytext0"/>
              <w:ind w:left="0"/>
              <w:rPr>
                <w:rFonts w:ascii="Calibri" w:hAnsi="Calibri" w:cs="Arial"/>
                <w:color w:val="333333"/>
                <w:sz w:val="14"/>
                <w:szCs w:val="14"/>
              </w:rPr>
            </w:pP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Sub sector</w:t>
            </w:r>
            <w:r>
              <w:rPr>
                <w:rFonts w:ascii="Calibri" w:hAnsi="Calibri" w:cs="Arial"/>
                <w:color w:val="333333"/>
                <w:sz w:val="14"/>
                <w:szCs w:val="14"/>
              </w:rPr>
              <w:t xml:space="preserve"> indices</w:t>
            </w:r>
          </w:p>
        </w:tc>
      </w:tr>
      <w:tr w:rsidR="00BB5275" w:rsidRPr="00AF178C" w:rsidTr="006F6A5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75" w:rsidRPr="00AF178C" w:rsidRDefault="00BB5275" w:rsidP="00AF178C">
            <w:pPr>
              <w:pStyle w:val="bodytext0"/>
              <w:ind w:left="0"/>
              <w:rPr>
                <w:rFonts w:ascii="Calibri" w:hAnsi="Calibri" w:cs="Arial"/>
                <w:color w:val="333333"/>
                <w:sz w:val="14"/>
                <w:szCs w:val="14"/>
              </w:rPr>
            </w:pP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FTSE 100</w:t>
            </w:r>
            <w:r>
              <w:rPr>
                <w:rFonts w:ascii="Calibri" w:hAnsi="Calibri" w:cs="Arial"/>
                <w:color w:val="333333"/>
                <w:sz w:val="14"/>
                <w:szCs w:val="14"/>
              </w:rPr>
              <w:t xml:space="preserve">,  FTSE 250, </w:t>
            </w: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FTSE 350 high yield</w:t>
            </w:r>
            <w:r>
              <w:rPr>
                <w:rFonts w:ascii="Calibri" w:hAnsi="Calibri" w:cs="Arial"/>
                <w:color w:val="333333"/>
                <w:sz w:val="14"/>
                <w:szCs w:val="14"/>
              </w:rPr>
              <w:t xml:space="preserve"> and FTSE 350 low yield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75" w:rsidRPr="00AF178C" w:rsidRDefault="00BB5275" w:rsidP="006F6A54">
            <w:pPr>
              <w:pStyle w:val="bodytext0"/>
              <w:ind w:left="0"/>
              <w:rPr>
                <w:rFonts w:ascii="Calibri" w:hAnsi="Calibri" w:cs="Arial"/>
                <w:color w:val="333333"/>
                <w:sz w:val="14"/>
                <w:szCs w:val="14"/>
              </w:rPr>
            </w:pP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Industry, sector and sub sector</w:t>
            </w:r>
            <w:r>
              <w:rPr>
                <w:rFonts w:ascii="Calibri" w:hAnsi="Calibri" w:cs="Arial"/>
                <w:color w:val="333333"/>
                <w:sz w:val="14"/>
                <w:szCs w:val="14"/>
              </w:rPr>
              <w:t xml:space="preserve"> indices</w:t>
            </w:r>
          </w:p>
        </w:tc>
      </w:tr>
      <w:tr w:rsidR="00BB5275" w:rsidRPr="00AF178C" w:rsidTr="006F6A5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75" w:rsidRPr="00AF178C" w:rsidRDefault="00BB5275" w:rsidP="006F6A54">
            <w:pPr>
              <w:pStyle w:val="bodytext0"/>
              <w:ind w:left="0"/>
              <w:rPr>
                <w:rFonts w:ascii="Calibri" w:hAnsi="Calibri" w:cs="Arial"/>
                <w:color w:val="333333"/>
                <w:sz w:val="14"/>
                <w:szCs w:val="14"/>
              </w:rPr>
            </w:pP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FTSE 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75" w:rsidRPr="00AF178C" w:rsidRDefault="00BB5275" w:rsidP="006F6A54">
            <w:pPr>
              <w:pStyle w:val="bodytext0"/>
              <w:ind w:left="0"/>
              <w:rPr>
                <w:rFonts w:ascii="Calibri" w:hAnsi="Calibri" w:cs="Arial"/>
                <w:color w:val="333333"/>
                <w:sz w:val="14"/>
                <w:szCs w:val="14"/>
              </w:rPr>
            </w:pP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Industry and sub sector</w:t>
            </w:r>
            <w:r>
              <w:rPr>
                <w:rFonts w:ascii="Calibri" w:hAnsi="Calibri" w:cs="Arial"/>
                <w:color w:val="333333"/>
                <w:sz w:val="14"/>
                <w:szCs w:val="14"/>
              </w:rPr>
              <w:t xml:space="preserve"> indices</w:t>
            </w:r>
          </w:p>
        </w:tc>
      </w:tr>
    </w:tbl>
    <w:p w:rsidR="00BB5275" w:rsidRPr="00AF178C" w:rsidRDefault="00BB5275" w:rsidP="00AF178C">
      <w:pPr>
        <w:rPr>
          <w:rFonts w:ascii="Calibri" w:hAnsi="Calibri" w:cs="Arial"/>
          <w:color w:val="333333"/>
          <w:sz w:val="14"/>
          <w:szCs w:val="14"/>
        </w:rPr>
      </w:pPr>
    </w:p>
    <w:p w:rsidR="00BB5275" w:rsidRDefault="00BB5275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75" w:rsidRDefault="00827B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pt;margin-top:0;width:3in;height:49.05pt;z-index:251657728">
          <v:imagedata r:id="rId1" o:title="LH_logo600r1idx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905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06124"/>
    <w:multiLevelType w:val="hybridMultilevel"/>
    <w:tmpl w:val="448ACDCC"/>
    <w:lvl w:ilvl="0" w:tplc="000C1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C835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</w:rPr>
    </w:lvl>
    <w:lvl w:ilvl="2" w:tplc="37E0F8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674FE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FC6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D74A4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788E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A92F3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E9873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883C9F"/>
    <w:multiLevelType w:val="hybridMultilevel"/>
    <w:tmpl w:val="AA3EA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6639A"/>
    <w:multiLevelType w:val="hybridMultilevel"/>
    <w:tmpl w:val="C6ECC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431C8"/>
    <w:multiLevelType w:val="hybridMultilevel"/>
    <w:tmpl w:val="ED0EC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43A0E"/>
    <w:multiLevelType w:val="hybridMultilevel"/>
    <w:tmpl w:val="A644EE48"/>
    <w:lvl w:ilvl="0" w:tplc="8C5E93D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9936FFF"/>
    <w:multiLevelType w:val="hybridMultilevel"/>
    <w:tmpl w:val="8076B98A"/>
    <w:lvl w:ilvl="0" w:tplc="08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47262"/>
    <w:multiLevelType w:val="hybridMultilevel"/>
    <w:tmpl w:val="F6BE9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777E2"/>
    <w:multiLevelType w:val="hybridMultilevel"/>
    <w:tmpl w:val="7C6812E6"/>
    <w:lvl w:ilvl="0" w:tplc="46767EE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8475D"/>
    <w:multiLevelType w:val="hybridMultilevel"/>
    <w:tmpl w:val="3AFC2C34"/>
    <w:lvl w:ilvl="0" w:tplc="1D92E5C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88701D"/>
    <w:multiLevelType w:val="hybridMultilevel"/>
    <w:tmpl w:val="9A1474F8"/>
    <w:lvl w:ilvl="0" w:tplc="E3A28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3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BF21342"/>
    <w:multiLevelType w:val="hybridMultilevel"/>
    <w:tmpl w:val="58865E86"/>
    <w:lvl w:ilvl="0" w:tplc="2B06E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4F4678"/>
    <w:multiLevelType w:val="hybridMultilevel"/>
    <w:tmpl w:val="492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61749C"/>
    <w:multiLevelType w:val="multilevel"/>
    <w:tmpl w:val="94AA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A018A"/>
    <w:multiLevelType w:val="hybridMultilevel"/>
    <w:tmpl w:val="51361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6251FE"/>
    <w:multiLevelType w:val="hybridMultilevel"/>
    <w:tmpl w:val="7B26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9B0BB2"/>
    <w:multiLevelType w:val="hybridMultilevel"/>
    <w:tmpl w:val="848C85DC"/>
    <w:lvl w:ilvl="0" w:tplc="649C27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16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  <w:num w:numId="14">
    <w:abstractNumId w:val="14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78"/>
    <w:rsid w:val="00000056"/>
    <w:rsid w:val="000003F4"/>
    <w:rsid w:val="00000EA9"/>
    <w:rsid w:val="00001268"/>
    <w:rsid w:val="00002013"/>
    <w:rsid w:val="0000236A"/>
    <w:rsid w:val="000027AB"/>
    <w:rsid w:val="000029BF"/>
    <w:rsid w:val="00002B1B"/>
    <w:rsid w:val="0000444E"/>
    <w:rsid w:val="000051DB"/>
    <w:rsid w:val="00005283"/>
    <w:rsid w:val="00010AA6"/>
    <w:rsid w:val="0001200F"/>
    <w:rsid w:val="000161B0"/>
    <w:rsid w:val="0001705D"/>
    <w:rsid w:val="00021C14"/>
    <w:rsid w:val="0002355D"/>
    <w:rsid w:val="0002642D"/>
    <w:rsid w:val="00027C11"/>
    <w:rsid w:val="000328B8"/>
    <w:rsid w:val="000377FD"/>
    <w:rsid w:val="0004108F"/>
    <w:rsid w:val="00042791"/>
    <w:rsid w:val="00046F89"/>
    <w:rsid w:val="000478D2"/>
    <w:rsid w:val="00054272"/>
    <w:rsid w:val="00054D82"/>
    <w:rsid w:val="00061180"/>
    <w:rsid w:val="00061D3A"/>
    <w:rsid w:val="00062700"/>
    <w:rsid w:val="00063A0A"/>
    <w:rsid w:val="00073A6C"/>
    <w:rsid w:val="000759CC"/>
    <w:rsid w:val="000769FA"/>
    <w:rsid w:val="00083AF4"/>
    <w:rsid w:val="0008444B"/>
    <w:rsid w:val="00084F85"/>
    <w:rsid w:val="00085878"/>
    <w:rsid w:val="00086090"/>
    <w:rsid w:val="00086345"/>
    <w:rsid w:val="00087306"/>
    <w:rsid w:val="000874D4"/>
    <w:rsid w:val="00087BB0"/>
    <w:rsid w:val="00091061"/>
    <w:rsid w:val="000930B5"/>
    <w:rsid w:val="000934C0"/>
    <w:rsid w:val="000936C4"/>
    <w:rsid w:val="00097A87"/>
    <w:rsid w:val="000A26DD"/>
    <w:rsid w:val="000A2929"/>
    <w:rsid w:val="000A2A87"/>
    <w:rsid w:val="000A4266"/>
    <w:rsid w:val="000A6406"/>
    <w:rsid w:val="000A66E9"/>
    <w:rsid w:val="000A6E1C"/>
    <w:rsid w:val="000B1043"/>
    <w:rsid w:val="000B3A05"/>
    <w:rsid w:val="000B50AE"/>
    <w:rsid w:val="000B5281"/>
    <w:rsid w:val="000C12FB"/>
    <w:rsid w:val="000C21D3"/>
    <w:rsid w:val="000C2F0B"/>
    <w:rsid w:val="000C4BCD"/>
    <w:rsid w:val="000C57BF"/>
    <w:rsid w:val="000C6B7C"/>
    <w:rsid w:val="000C7675"/>
    <w:rsid w:val="000C76B8"/>
    <w:rsid w:val="000C78A4"/>
    <w:rsid w:val="000D2267"/>
    <w:rsid w:val="000D38ED"/>
    <w:rsid w:val="000E3125"/>
    <w:rsid w:val="000E6096"/>
    <w:rsid w:val="000F0680"/>
    <w:rsid w:val="000F1216"/>
    <w:rsid w:val="000F17DA"/>
    <w:rsid w:val="000F5C53"/>
    <w:rsid w:val="000F640B"/>
    <w:rsid w:val="000F69E9"/>
    <w:rsid w:val="00100182"/>
    <w:rsid w:val="00101161"/>
    <w:rsid w:val="00102F17"/>
    <w:rsid w:val="00104A58"/>
    <w:rsid w:val="00104CCD"/>
    <w:rsid w:val="00104EB7"/>
    <w:rsid w:val="00106556"/>
    <w:rsid w:val="00110125"/>
    <w:rsid w:val="0011231D"/>
    <w:rsid w:val="00113D8C"/>
    <w:rsid w:val="00117E6A"/>
    <w:rsid w:val="00121586"/>
    <w:rsid w:val="00122C4D"/>
    <w:rsid w:val="00125EDD"/>
    <w:rsid w:val="00130C4A"/>
    <w:rsid w:val="0013293B"/>
    <w:rsid w:val="001416C8"/>
    <w:rsid w:val="00141DD3"/>
    <w:rsid w:val="00143F98"/>
    <w:rsid w:val="00145708"/>
    <w:rsid w:val="00151A2E"/>
    <w:rsid w:val="00152975"/>
    <w:rsid w:val="00153D0C"/>
    <w:rsid w:val="00157CAE"/>
    <w:rsid w:val="00157F9F"/>
    <w:rsid w:val="00160C2E"/>
    <w:rsid w:val="001625AF"/>
    <w:rsid w:val="001667B5"/>
    <w:rsid w:val="00170DDA"/>
    <w:rsid w:val="0017373C"/>
    <w:rsid w:val="00176F39"/>
    <w:rsid w:val="00177465"/>
    <w:rsid w:val="001827BD"/>
    <w:rsid w:val="00184A04"/>
    <w:rsid w:val="0018544C"/>
    <w:rsid w:val="00185AA5"/>
    <w:rsid w:val="00190B1D"/>
    <w:rsid w:val="00191962"/>
    <w:rsid w:val="00191B2B"/>
    <w:rsid w:val="001924D7"/>
    <w:rsid w:val="00192A53"/>
    <w:rsid w:val="001938C0"/>
    <w:rsid w:val="00194C84"/>
    <w:rsid w:val="00195D4D"/>
    <w:rsid w:val="0019615B"/>
    <w:rsid w:val="001A1A09"/>
    <w:rsid w:val="001A20A6"/>
    <w:rsid w:val="001A22D2"/>
    <w:rsid w:val="001A4E96"/>
    <w:rsid w:val="001A513F"/>
    <w:rsid w:val="001B1467"/>
    <w:rsid w:val="001B3121"/>
    <w:rsid w:val="001C0EBB"/>
    <w:rsid w:val="001C13A4"/>
    <w:rsid w:val="001C2DE9"/>
    <w:rsid w:val="001C3098"/>
    <w:rsid w:val="001C46ED"/>
    <w:rsid w:val="001C5FE5"/>
    <w:rsid w:val="001D1719"/>
    <w:rsid w:val="001D1F91"/>
    <w:rsid w:val="001D25A1"/>
    <w:rsid w:val="001D4CC0"/>
    <w:rsid w:val="001D542E"/>
    <w:rsid w:val="001D5862"/>
    <w:rsid w:val="001D73E3"/>
    <w:rsid w:val="001E03D6"/>
    <w:rsid w:val="001E131A"/>
    <w:rsid w:val="001E2715"/>
    <w:rsid w:val="001E7096"/>
    <w:rsid w:val="001F2E12"/>
    <w:rsid w:val="001F3534"/>
    <w:rsid w:val="001F42AA"/>
    <w:rsid w:val="001F42C4"/>
    <w:rsid w:val="001F4F8D"/>
    <w:rsid w:val="002024CF"/>
    <w:rsid w:val="00203CBD"/>
    <w:rsid w:val="00205701"/>
    <w:rsid w:val="00207048"/>
    <w:rsid w:val="00216375"/>
    <w:rsid w:val="002208EC"/>
    <w:rsid w:val="002209C2"/>
    <w:rsid w:val="00220DBD"/>
    <w:rsid w:val="00220EAB"/>
    <w:rsid w:val="00222517"/>
    <w:rsid w:val="00225295"/>
    <w:rsid w:val="002252AD"/>
    <w:rsid w:val="002253F6"/>
    <w:rsid w:val="00230893"/>
    <w:rsid w:val="00230E2E"/>
    <w:rsid w:val="00230E91"/>
    <w:rsid w:val="00235A85"/>
    <w:rsid w:val="00236FA1"/>
    <w:rsid w:val="002375D7"/>
    <w:rsid w:val="00241B31"/>
    <w:rsid w:val="00244D57"/>
    <w:rsid w:val="002467E7"/>
    <w:rsid w:val="00250B2A"/>
    <w:rsid w:val="00250F94"/>
    <w:rsid w:val="00252ECF"/>
    <w:rsid w:val="00253B4F"/>
    <w:rsid w:val="00254BDA"/>
    <w:rsid w:val="00254E2E"/>
    <w:rsid w:val="00255FA8"/>
    <w:rsid w:val="00256427"/>
    <w:rsid w:val="002574BB"/>
    <w:rsid w:val="00257EFD"/>
    <w:rsid w:val="00261A46"/>
    <w:rsid w:val="00263C8B"/>
    <w:rsid w:val="00263D0A"/>
    <w:rsid w:val="00266260"/>
    <w:rsid w:val="00267BD3"/>
    <w:rsid w:val="0027070C"/>
    <w:rsid w:val="002715E3"/>
    <w:rsid w:val="00273CC6"/>
    <w:rsid w:val="00275074"/>
    <w:rsid w:val="002806DD"/>
    <w:rsid w:val="00281AF4"/>
    <w:rsid w:val="00283283"/>
    <w:rsid w:val="00290666"/>
    <w:rsid w:val="00291CE5"/>
    <w:rsid w:val="002933A3"/>
    <w:rsid w:val="002938FD"/>
    <w:rsid w:val="0029731F"/>
    <w:rsid w:val="002A1076"/>
    <w:rsid w:val="002A26F6"/>
    <w:rsid w:val="002A6DB0"/>
    <w:rsid w:val="002B0EC7"/>
    <w:rsid w:val="002B302B"/>
    <w:rsid w:val="002B3665"/>
    <w:rsid w:val="002B5049"/>
    <w:rsid w:val="002C12CA"/>
    <w:rsid w:val="002C1861"/>
    <w:rsid w:val="002C5560"/>
    <w:rsid w:val="002D0B07"/>
    <w:rsid w:val="002D11F8"/>
    <w:rsid w:val="002D20D3"/>
    <w:rsid w:val="002D59BC"/>
    <w:rsid w:val="002D5B98"/>
    <w:rsid w:val="002D64C5"/>
    <w:rsid w:val="002D74C1"/>
    <w:rsid w:val="002E17EA"/>
    <w:rsid w:val="002E1BF1"/>
    <w:rsid w:val="002E2A8A"/>
    <w:rsid w:val="002E34C1"/>
    <w:rsid w:val="002E3FBA"/>
    <w:rsid w:val="002F0583"/>
    <w:rsid w:val="002F0DD1"/>
    <w:rsid w:val="002F1498"/>
    <w:rsid w:val="002F1959"/>
    <w:rsid w:val="002F4309"/>
    <w:rsid w:val="002F4933"/>
    <w:rsid w:val="002F4CA4"/>
    <w:rsid w:val="002F63AA"/>
    <w:rsid w:val="002F6DE0"/>
    <w:rsid w:val="0030019F"/>
    <w:rsid w:val="00300B19"/>
    <w:rsid w:val="00302EEF"/>
    <w:rsid w:val="00303081"/>
    <w:rsid w:val="00304550"/>
    <w:rsid w:val="00305DF7"/>
    <w:rsid w:val="003136BD"/>
    <w:rsid w:val="003143CA"/>
    <w:rsid w:val="003225F8"/>
    <w:rsid w:val="00325991"/>
    <w:rsid w:val="00327F2D"/>
    <w:rsid w:val="003316F5"/>
    <w:rsid w:val="00332A93"/>
    <w:rsid w:val="0033361D"/>
    <w:rsid w:val="00336651"/>
    <w:rsid w:val="00344308"/>
    <w:rsid w:val="00344A1A"/>
    <w:rsid w:val="00345F2F"/>
    <w:rsid w:val="00346C21"/>
    <w:rsid w:val="003474FE"/>
    <w:rsid w:val="0035194D"/>
    <w:rsid w:val="003521A3"/>
    <w:rsid w:val="00355A24"/>
    <w:rsid w:val="00356150"/>
    <w:rsid w:val="003606F7"/>
    <w:rsid w:val="00366E97"/>
    <w:rsid w:val="0037165F"/>
    <w:rsid w:val="00372067"/>
    <w:rsid w:val="00374900"/>
    <w:rsid w:val="0037672D"/>
    <w:rsid w:val="003778B5"/>
    <w:rsid w:val="00383996"/>
    <w:rsid w:val="00385CF8"/>
    <w:rsid w:val="003871B9"/>
    <w:rsid w:val="003876BC"/>
    <w:rsid w:val="00390DDF"/>
    <w:rsid w:val="003911BB"/>
    <w:rsid w:val="003916F7"/>
    <w:rsid w:val="003A307D"/>
    <w:rsid w:val="003A4D4A"/>
    <w:rsid w:val="003B1125"/>
    <w:rsid w:val="003B36D6"/>
    <w:rsid w:val="003B3810"/>
    <w:rsid w:val="003B590A"/>
    <w:rsid w:val="003B667D"/>
    <w:rsid w:val="003B75A4"/>
    <w:rsid w:val="003B78B0"/>
    <w:rsid w:val="003C2C7F"/>
    <w:rsid w:val="003C35BA"/>
    <w:rsid w:val="003C3CA0"/>
    <w:rsid w:val="003C4B35"/>
    <w:rsid w:val="003C68DB"/>
    <w:rsid w:val="003D7607"/>
    <w:rsid w:val="003E0DE9"/>
    <w:rsid w:val="003E1C95"/>
    <w:rsid w:val="003E3D7D"/>
    <w:rsid w:val="003F20C5"/>
    <w:rsid w:val="003F2496"/>
    <w:rsid w:val="003F29DE"/>
    <w:rsid w:val="003F312C"/>
    <w:rsid w:val="003F7892"/>
    <w:rsid w:val="004005B0"/>
    <w:rsid w:val="004009A5"/>
    <w:rsid w:val="00400EBB"/>
    <w:rsid w:val="00400F25"/>
    <w:rsid w:val="004013FA"/>
    <w:rsid w:val="00401590"/>
    <w:rsid w:val="00403A95"/>
    <w:rsid w:val="00405417"/>
    <w:rsid w:val="004060CA"/>
    <w:rsid w:val="00410B69"/>
    <w:rsid w:val="00410DB4"/>
    <w:rsid w:val="00412AD0"/>
    <w:rsid w:val="004139BA"/>
    <w:rsid w:val="00414F84"/>
    <w:rsid w:val="00416C3D"/>
    <w:rsid w:val="00423331"/>
    <w:rsid w:val="0042647D"/>
    <w:rsid w:val="00426E4B"/>
    <w:rsid w:val="0042774E"/>
    <w:rsid w:val="004326B7"/>
    <w:rsid w:val="00433AF1"/>
    <w:rsid w:val="00434598"/>
    <w:rsid w:val="00435AFE"/>
    <w:rsid w:val="00441763"/>
    <w:rsid w:val="00441CCD"/>
    <w:rsid w:val="00446433"/>
    <w:rsid w:val="00447AE2"/>
    <w:rsid w:val="00454394"/>
    <w:rsid w:val="00455EC2"/>
    <w:rsid w:val="0046049D"/>
    <w:rsid w:val="00465179"/>
    <w:rsid w:val="00466855"/>
    <w:rsid w:val="00466AC0"/>
    <w:rsid w:val="0047258A"/>
    <w:rsid w:val="00473D55"/>
    <w:rsid w:val="004746FD"/>
    <w:rsid w:val="0047574F"/>
    <w:rsid w:val="00476A14"/>
    <w:rsid w:val="004772B5"/>
    <w:rsid w:val="004775B0"/>
    <w:rsid w:val="0048035E"/>
    <w:rsid w:val="00480D75"/>
    <w:rsid w:val="0048737C"/>
    <w:rsid w:val="004904E6"/>
    <w:rsid w:val="0049397D"/>
    <w:rsid w:val="00493A14"/>
    <w:rsid w:val="00497FF4"/>
    <w:rsid w:val="004A2770"/>
    <w:rsid w:val="004A7BFD"/>
    <w:rsid w:val="004A7E65"/>
    <w:rsid w:val="004B2BB5"/>
    <w:rsid w:val="004B58F6"/>
    <w:rsid w:val="004B7E54"/>
    <w:rsid w:val="004C029F"/>
    <w:rsid w:val="004C1A3A"/>
    <w:rsid w:val="004C5915"/>
    <w:rsid w:val="004C60EA"/>
    <w:rsid w:val="004D0622"/>
    <w:rsid w:val="004D0E6F"/>
    <w:rsid w:val="004D1093"/>
    <w:rsid w:val="004D1F03"/>
    <w:rsid w:val="004D503F"/>
    <w:rsid w:val="004D598E"/>
    <w:rsid w:val="004D6B54"/>
    <w:rsid w:val="004D7679"/>
    <w:rsid w:val="004E1F8A"/>
    <w:rsid w:val="004E2C5A"/>
    <w:rsid w:val="004E3D2A"/>
    <w:rsid w:val="004F28EF"/>
    <w:rsid w:val="004F367B"/>
    <w:rsid w:val="004F5DDA"/>
    <w:rsid w:val="005106E2"/>
    <w:rsid w:val="0051110E"/>
    <w:rsid w:val="00512311"/>
    <w:rsid w:val="00514000"/>
    <w:rsid w:val="00515A2E"/>
    <w:rsid w:val="00516349"/>
    <w:rsid w:val="00517129"/>
    <w:rsid w:val="0051748B"/>
    <w:rsid w:val="00520717"/>
    <w:rsid w:val="005261DA"/>
    <w:rsid w:val="005268D1"/>
    <w:rsid w:val="0053055E"/>
    <w:rsid w:val="00534661"/>
    <w:rsid w:val="00534F52"/>
    <w:rsid w:val="005378EB"/>
    <w:rsid w:val="0054034F"/>
    <w:rsid w:val="00540BE9"/>
    <w:rsid w:val="00540EB6"/>
    <w:rsid w:val="005410CD"/>
    <w:rsid w:val="005419A9"/>
    <w:rsid w:val="00541A87"/>
    <w:rsid w:val="00541C1A"/>
    <w:rsid w:val="00542CC5"/>
    <w:rsid w:val="00544B56"/>
    <w:rsid w:val="005468D7"/>
    <w:rsid w:val="0055080C"/>
    <w:rsid w:val="0055153D"/>
    <w:rsid w:val="00551595"/>
    <w:rsid w:val="00552616"/>
    <w:rsid w:val="00552AD4"/>
    <w:rsid w:val="00553A16"/>
    <w:rsid w:val="00555720"/>
    <w:rsid w:val="00555A88"/>
    <w:rsid w:val="00555C9F"/>
    <w:rsid w:val="00556902"/>
    <w:rsid w:val="00557FA6"/>
    <w:rsid w:val="00562202"/>
    <w:rsid w:val="00564627"/>
    <w:rsid w:val="005651E3"/>
    <w:rsid w:val="005655B3"/>
    <w:rsid w:val="005663F2"/>
    <w:rsid w:val="005669D7"/>
    <w:rsid w:val="00567E85"/>
    <w:rsid w:val="005700EA"/>
    <w:rsid w:val="00571183"/>
    <w:rsid w:val="005713C1"/>
    <w:rsid w:val="00573A69"/>
    <w:rsid w:val="005774D8"/>
    <w:rsid w:val="005839EE"/>
    <w:rsid w:val="00585606"/>
    <w:rsid w:val="00586E17"/>
    <w:rsid w:val="00590FFF"/>
    <w:rsid w:val="005924A3"/>
    <w:rsid w:val="00592942"/>
    <w:rsid w:val="00592A66"/>
    <w:rsid w:val="00595A59"/>
    <w:rsid w:val="00595FCA"/>
    <w:rsid w:val="00597459"/>
    <w:rsid w:val="005A1DD7"/>
    <w:rsid w:val="005A2583"/>
    <w:rsid w:val="005A6076"/>
    <w:rsid w:val="005A70DB"/>
    <w:rsid w:val="005A71C4"/>
    <w:rsid w:val="005B1C61"/>
    <w:rsid w:val="005B1F0D"/>
    <w:rsid w:val="005B3719"/>
    <w:rsid w:val="005B5638"/>
    <w:rsid w:val="005B63BD"/>
    <w:rsid w:val="005B7AD1"/>
    <w:rsid w:val="005C1559"/>
    <w:rsid w:val="005C6D97"/>
    <w:rsid w:val="005C6E3A"/>
    <w:rsid w:val="005C75AA"/>
    <w:rsid w:val="005C7DF1"/>
    <w:rsid w:val="005D02DE"/>
    <w:rsid w:val="005D0524"/>
    <w:rsid w:val="005D13A6"/>
    <w:rsid w:val="005D207D"/>
    <w:rsid w:val="005D30BD"/>
    <w:rsid w:val="005D66CE"/>
    <w:rsid w:val="005D700D"/>
    <w:rsid w:val="005E1C0C"/>
    <w:rsid w:val="005E224A"/>
    <w:rsid w:val="005E25D5"/>
    <w:rsid w:val="005E2A84"/>
    <w:rsid w:val="005E361B"/>
    <w:rsid w:val="005E4EC4"/>
    <w:rsid w:val="005E6DF4"/>
    <w:rsid w:val="005E7280"/>
    <w:rsid w:val="005E7AEE"/>
    <w:rsid w:val="005F00BE"/>
    <w:rsid w:val="005F0C23"/>
    <w:rsid w:val="005F50AE"/>
    <w:rsid w:val="005F746D"/>
    <w:rsid w:val="00603704"/>
    <w:rsid w:val="006056EB"/>
    <w:rsid w:val="006121E0"/>
    <w:rsid w:val="0061247A"/>
    <w:rsid w:val="0061659B"/>
    <w:rsid w:val="006177E3"/>
    <w:rsid w:val="00621F2B"/>
    <w:rsid w:val="00622A97"/>
    <w:rsid w:val="00625CAA"/>
    <w:rsid w:val="00626EF6"/>
    <w:rsid w:val="00630F82"/>
    <w:rsid w:val="00636864"/>
    <w:rsid w:val="00637894"/>
    <w:rsid w:val="00641B7F"/>
    <w:rsid w:val="006422B6"/>
    <w:rsid w:val="00642933"/>
    <w:rsid w:val="00642ABC"/>
    <w:rsid w:val="00647AC5"/>
    <w:rsid w:val="00653EBE"/>
    <w:rsid w:val="006541D1"/>
    <w:rsid w:val="00656CEC"/>
    <w:rsid w:val="00657C6C"/>
    <w:rsid w:val="006612E2"/>
    <w:rsid w:val="0066290C"/>
    <w:rsid w:val="006638BC"/>
    <w:rsid w:val="00664372"/>
    <w:rsid w:val="00670E5D"/>
    <w:rsid w:val="006716C9"/>
    <w:rsid w:val="00677E6E"/>
    <w:rsid w:val="006817E3"/>
    <w:rsid w:val="0068191C"/>
    <w:rsid w:val="00681AD0"/>
    <w:rsid w:val="00681D70"/>
    <w:rsid w:val="00681F88"/>
    <w:rsid w:val="0068203E"/>
    <w:rsid w:val="00685B5B"/>
    <w:rsid w:val="00686200"/>
    <w:rsid w:val="006873BF"/>
    <w:rsid w:val="00690839"/>
    <w:rsid w:val="00691048"/>
    <w:rsid w:val="0069258E"/>
    <w:rsid w:val="0069470A"/>
    <w:rsid w:val="006A34D9"/>
    <w:rsid w:val="006B612E"/>
    <w:rsid w:val="006B774F"/>
    <w:rsid w:val="006C31FD"/>
    <w:rsid w:val="006C5CA3"/>
    <w:rsid w:val="006D1943"/>
    <w:rsid w:val="006D4151"/>
    <w:rsid w:val="006D45BD"/>
    <w:rsid w:val="006D5772"/>
    <w:rsid w:val="006D70F9"/>
    <w:rsid w:val="006D7770"/>
    <w:rsid w:val="006E024B"/>
    <w:rsid w:val="006E0A81"/>
    <w:rsid w:val="006E1D89"/>
    <w:rsid w:val="006E49DA"/>
    <w:rsid w:val="006E4F93"/>
    <w:rsid w:val="006E61A2"/>
    <w:rsid w:val="006E724B"/>
    <w:rsid w:val="006F1016"/>
    <w:rsid w:val="006F24F5"/>
    <w:rsid w:val="006F29D8"/>
    <w:rsid w:val="006F43AB"/>
    <w:rsid w:val="006F4DEB"/>
    <w:rsid w:val="006F53B9"/>
    <w:rsid w:val="006F6163"/>
    <w:rsid w:val="006F6A54"/>
    <w:rsid w:val="006F7B66"/>
    <w:rsid w:val="007001A3"/>
    <w:rsid w:val="00701D60"/>
    <w:rsid w:val="00704616"/>
    <w:rsid w:val="0070461F"/>
    <w:rsid w:val="00705A6D"/>
    <w:rsid w:val="00705BD1"/>
    <w:rsid w:val="007105CF"/>
    <w:rsid w:val="00712B7F"/>
    <w:rsid w:val="00712BB3"/>
    <w:rsid w:val="00713D9E"/>
    <w:rsid w:val="00714BDC"/>
    <w:rsid w:val="0071574A"/>
    <w:rsid w:val="00720442"/>
    <w:rsid w:val="007206D9"/>
    <w:rsid w:val="0072089F"/>
    <w:rsid w:val="00720AB9"/>
    <w:rsid w:val="00722149"/>
    <w:rsid w:val="0072250D"/>
    <w:rsid w:val="007278CE"/>
    <w:rsid w:val="00734A50"/>
    <w:rsid w:val="00734DC2"/>
    <w:rsid w:val="00735A1D"/>
    <w:rsid w:val="007368BF"/>
    <w:rsid w:val="00736AF2"/>
    <w:rsid w:val="00744969"/>
    <w:rsid w:val="0074641C"/>
    <w:rsid w:val="007543A1"/>
    <w:rsid w:val="007548F6"/>
    <w:rsid w:val="00754ECF"/>
    <w:rsid w:val="007638CD"/>
    <w:rsid w:val="00763A73"/>
    <w:rsid w:val="00763C98"/>
    <w:rsid w:val="007676C5"/>
    <w:rsid w:val="00767A6E"/>
    <w:rsid w:val="00771570"/>
    <w:rsid w:val="007724F7"/>
    <w:rsid w:val="007733E9"/>
    <w:rsid w:val="007738CE"/>
    <w:rsid w:val="00774DC0"/>
    <w:rsid w:val="00776BC7"/>
    <w:rsid w:val="007828BB"/>
    <w:rsid w:val="007873F7"/>
    <w:rsid w:val="007922CA"/>
    <w:rsid w:val="00795FAC"/>
    <w:rsid w:val="00796623"/>
    <w:rsid w:val="00797009"/>
    <w:rsid w:val="007A2239"/>
    <w:rsid w:val="007A31EB"/>
    <w:rsid w:val="007A3628"/>
    <w:rsid w:val="007A4084"/>
    <w:rsid w:val="007B185A"/>
    <w:rsid w:val="007B4859"/>
    <w:rsid w:val="007B5A02"/>
    <w:rsid w:val="007B63D6"/>
    <w:rsid w:val="007B66B1"/>
    <w:rsid w:val="007B6E80"/>
    <w:rsid w:val="007C0946"/>
    <w:rsid w:val="007C0B1A"/>
    <w:rsid w:val="007C289B"/>
    <w:rsid w:val="007C486A"/>
    <w:rsid w:val="007C5BD6"/>
    <w:rsid w:val="007C5CC5"/>
    <w:rsid w:val="007C6660"/>
    <w:rsid w:val="007D2EDF"/>
    <w:rsid w:val="007D3D0F"/>
    <w:rsid w:val="007D5679"/>
    <w:rsid w:val="007D6066"/>
    <w:rsid w:val="007D73B3"/>
    <w:rsid w:val="007E4DDB"/>
    <w:rsid w:val="007E56E2"/>
    <w:rsid w:val="007F0128"/>
    <w:rsid w:val="007F0739"/>
    <w:rsid w:val="007F0BAF"/>
    <w:rsid w:val="007F15A5"/>
    <w:rsid w:val="007F2A4B"/>
    <w:rsid w:val="007F395C"/>
    <w:rsid w:val="007F41B6"/>
    <w:rsid w:val="007F47D1"/>
    <w:rsid w:val="007F4AE2"/>
    <w:rsid w:val="008029A0"/>
    <w:rsid w:val="0080352E"/>
    <w:rsid w:val="00803609"/>
    <w:rsid w:val="0080518E"/>
    <w:rsid w:val="00806C83"/>
    <w:rsid w:val="00807BC8"/>
    <w:rsid w:val="00811B0B"/>
    <w:rsid w:val="00816541"/>
    <w:rsid w:val="00817568"/>
    <w:rsid w:val="00820670"/>
    <w:rsid w:val="00820D32"/>
    <w:rsid w:val="008238EE"/>
    <w:rsid w:val="00823BC5"/>
    <w:rsid w:val="0082493C"/>
    <w:rsid w:val="00825385"/>
    <w:rsid w:val="00825D4F"/>
    <w:rsid w:val="00827681"/>
    <w:rsid w:val="00827BCC"/>
    <w:rsid w:val="00831124"/>
    <w:rsid w:val="00831D27"/>
    <w:rsid w:val="00837232"/>
    <w:rsid w:val="0084003F"/>
    <w:rsid w:val="0084077D"/>
    <w:rsid w:val="00840D96"/>
    <w:rsid w:val="00841349"/>
    <w:rsid w:val="00842707"/>
    <w:rsid w:val="00843C61"/>
    <w:rsid w:val="00844040"/>
    <w:rsid w:val="00844D44"/>
    <w:rsid w:val="0084637F"/>
    <w:rsid w:val="00847BE3"/>
    <w:rsid w:val="008504A1"/>
    <w:rsid w:val="008504E6"/>
    <w:rsid w:val="00855173"/>
    <w:rsid w:val="008563D6"/>
    <w:rsid w:val="00857B59"/>
    <w:rsid w:val="008602FA"/>
    <w:rsid w:val="008625F2"/>
    <w:rsid w:val="00864828"/>
    <w:rsid w:val="00870C46"/>
    <w:rsid w:val="0087765A"/>
    <w:rsid w:val="00877E3F"/>
    <w:rsid w:val="00881714"/>
    <w:rsid w:val="008819AF"/>
    <w:rsid w:val="008835CF"/>
    <w:rsid w:val="00884A0F"/>
    <w:rsid w:val="00884A51"/>
    <w:rsid w:val="00884F7F"/>
    <w:rsid w:val="00885616"/>
    <w:rsid w:val="00886091"/>
    <w:rsid w:val="008868ED"/>
    <w:rsid w:val="00887020"/>
    <w:rsid w:val="00887FB7"/>
    <w:rsid w:val="00890E32"/>
    <w:rsid w:val="00893997"/>
    <w:rsid w:val="00893CEC"/>
    <w:rsid w:val="00896D58"/>
    <w:rsid w:val="00896FD4"/>
    <w:rsid w:val="008979CA"/>
    <w:rsid w:val="008A331B"/>
    <w:rsid w:val="008A4491"/>
    <w:rsid w:val="008A4D35"/>
    <w:rsid w:val="008A59A4"/>
    <w:rsid w:val="008A7AE5"/>
    <w:rsid w:val="008B2B75"/>
    <w:rsid w:val="008B555F"/>
    <w:rsid w:val="008C3E19"/>
    <w:rsid w:val="008C7C0F"/>
    <w:rsid w:val="008D2A82"/>
    <w:rsid w:val="008D2B51"/>
    <w:rsid w:val="008D46E3"/>
    <w:rsid w:val="008D771A"/>
    <w:rsid w:val="008D7BAB"/>
    <w:rsid w:val="008E099C"/>
    <w:rsid w:val="008E2E05"/>
    <w:rsid w:val="008E3A91"/>
    <w:rsid w:val="008E3EFE"/>
    <w:rsid w:val="008E73C3"/>
    <w:rsid w:val="008F02D5"/>
    <w:rsid w:val="008F4694"/>
    <w:rsid w:val="008F5649"/>
    <w:rsid w:val="008F5E79"/>
    <w:rsid w:val="00902F98"/>
    <w:rsid w:val="009063AF"/>
    <w:rsid w:val="00906C8A"/>
    <w:rsid w:val="00910558"/>
    <w:rsid w:val="009116EB"/>
    <w:rsid w:val="009136F8"/>
    <w:rsid w:val="009146F2"/>
    <w:rsid w:val="00917E59"/>
    <w:rsid w:val="00920B66"/>
    <w:rsid w:val="00931112"/>
    <w:rsid w:val="00933614"/>
    <w:rsid w:val="00941A6B"/>
    <w:rsid w:val="00943578"/>
    <w:rsid w:val="00950CA4"/>
    <w:rsid w:val="00952EF4"/>
    <w:rsid w:val="00953298"/>
    <w:rsid w:val="00957A55"/>
    <w:rsid w:val="009618DE"/>
    <w:rsid w:val="00961CBA"/>
    <w:rsid w:val="00962FEA"/>
    <w:rsid w:val="00964805"/>
    <w:rsid w:val="00966C1E"/>
    <w:rsid w:val="00972254"/>
    <w:rsid w:val="00974B85"/>
    <w:rsid w:val="00984D7E"/>
    <w:rsid w:val="0099233D"/>
    <w:rsid w:val="009A5245"/>
    <w:rsid w:val="009A56F8"/>
    <w:rsid w:val="009A6730"/>
    <w:rsid w:val="009A7343"/>
    <w:rsid w:val="009A751F"/>
    <w:rsid w:val="009B199A"/>
    <w:rsid w:val="009B1CA5"/>
    <w:rsid w:val="009B2192"/>
    <w:rsid w:val="009B5E17"/>
    <w:rsid w:val="009B648A"/>
    <w:rsid w:val="009C24F6"/>
    <w:rsid w:val="009C5B23"/>
    <w:rsid w:val="009C5CB2"/>
    <w:rsid w:val="009C5ED8"/>
    <w:rsid w:val="009C68F3"/>
    <w:rsid w:val="009C7BCE"/>
    <w:rsid w:val="009D0BB2"/>
    <w:rsid w:val="009D2123"/>
    <w:rsid w:val="009D48F2"/>
    <w:rsid w:val="009D4923"/>
    <w:rsid w:val="009D7966"/>
    <w:rsid w:val="009D7E28"/>
    <w:rsid w:val="009E0ADB"/>
    <w:rsid w:val="009E18F8"/>
    <w:rsid w:val="009E1F85"/>
    <w:rsid w:val="009E628B"/>
    <w:rsid w:val="009F0C91"/>
    <w:rsid w:val="009F14D6"/>
    <w:rsid w:val="009F1795"/>
    <w:rsid w:val="009F2B99"/>
    <w:rsid w:val="009F40E8"/>
    <w:rsid w:val="009F5606"/>
    <w:rsid w:val="009F606D"/>
    <w:rsid w:val="009F6569"/>
    <w:rsid w:val="009F7214"/>
    <w:rsid w:val="009F739E"/>
    <w:rsid w:val="00A0087F"/>
    <w:rsid w:val="00A01C3B"/>
    <w:rsid w:val="00A07F2A"/>
    <w:rsid w:val="00A121CD"/>
    <w:rsid w:val="00A149D2"/>
    <w:rsid w:val="00A14BA6"/>
    <w:rsid w:val="00A14FCF"/>
    <w:rsid w:val="00A166FB"/>
    <w:rsid w:val="00A17C8A"/>
    <w:rsid w:val="00A2233A"/>
    <w:rsid w:val="00A23F03"/>
    <w:rsid w:val="00A2701E"/>
    <w:rsid w:val="00A277E4"/>
    <w:rsid w:val="00A30506"/>
    <w:rsid w:val="00A3152B"/>
    <w:rsid w:val="00A31681"/>
    <w:rsid w:val="00A317A2"/>
    <w:rsid w:val="00A32428"/>
    <w:rsid w:val="00A37D9B"/>
    <w:rsid w:val="00A40040"/>
    <w:rsid w:val="00A4281B"/>
    <w:rsid w:val="00A445B2"/>
    <w:rsid w:val="00A45882"/>
    <w:rsid w:val="00A463B2"/>
    <w:rsid w:val="00A5125D"/>
    <w:rsid w:val="00A51309"/>
    <w:rsid w:val="00A52D17"/>
    <w:rsid w:val="00A53C56"/>
    <w:rsid w:val="00A56467"/>
    <w:rsid w:val="00A56B6B"/>
    <w:rsid w:val="00A61AA4"/>
    <w:rsid w:val="00A62192"/>
    <w:rsid w:val="00A6535F"/>
    <w:rsid w:val="00A70363"/>
    <w:rsid w:val="00A72F69"/>
    <w:rsid w:val="00A82792"/>
    <w:rsid w:val="00A83291"/>
    <w:rsid w:val="00A85089"/>
    <w:rsid w:val="00A85639"/>
    <w:rsid w:val="00A9140F"/>
    <w:rsid w:val="00A95776"/>
    <w:rsid w:val="00A966CE"/>
    <w:rsid w:val="00AA3F59"/>
    <w:rsid w:val="00AA4527"/>
    <w:rsid w:val="00AB0A38"/>
    <w:rsid w:val="00AB3C53"/>
    <w:rsid w:val="00AB4C0F"/>
    <w:rsid w:val="00AB5FF1"/>
    <w:rsid w:val="00AB62E3"/>
    <w:rsid w:val="00AC0EB1"/>
    <w:rsid w:val="00AC331D"/>
    <w:rsid w:val="00AC462A"/>
    <w:rsid w:val="00AD1746"/>
    <w:rsid w:val="00AD493A"/>
    <w:rsid w:val="00AD7C8A"/>
    <w:rsid w:val="00AE1A57"/>
    <w:rsid w:val="00AE7B7D"/>
    <w:rsid w:val="00AF161B"/>
    <w:rsid w:val="00AF178C"/>
    <w:rsid w:val="00AF1D01"/>
    <w:rsid w:val="00AF75F2"/>
    <w:rsid w:val="00B0060B"/>
    <w:rsid w:val="00B0136C"/>
    <w:rsid w:val="00B020AA"/>
    <w:rsid w:val="00B04391"/>
    <w:rsid w:val="00B048C9"/>
    <w:rsid w:val="00B05CE5"/>
    <w:rsid w:val="00B0740E"/>
    <w:rsid w:val="00B1030E"/>
    <w:rsid w:val="00B112C5"/>
    <w:rsid w:val="00B11FA6"/>
    <w:rsid w:val="00B12893"/>
    <w:rsid w:val="00B14773"/>
    <w:rsid w:val="00B159EA"/>
    <w:rsid w:val="00B15CE0"/>
    <w:rsid w:val="00B1650C"/>
    <w:rsid w:val="00B214E8"/>
    <w:rsid w:val="00B228B1"/>
    <w:rsid w:val="00B23757"/>
    <w:rsid w:val="00B23B3D"/>
    <w:rsid w:val="00B259B7"/>
    <w:rsid w:val="00B265FD"/>
    <w:rsid w:val="00B27DA7"/>
    <w:rsid w:val="00B3039A"/>
    <w:rsid w:val="00B30ABA"/>
    <w:rsid w:val="00B36E26"/>
    <w:rsid w:val="00B37CFB"/>
    <w:rsid w:val="00B4089B"/>
    <w:rsid w:val="00B43C4A"/>
    <w:rsid w:val="00B454D7"/>
    <w:rsid w:val="00B46986"/>
    <w:rsid w:val="00B47E25"/>
    <w:rsid w:val="00B52C85"/>
    <w:rsid w:val="00B52CBE"/>
    <w:rsid w:val="00B56229"/>
    <w:rsid w:val="00B57379"/>
    <w:rsid w:val="00B57E01"/>
    <w:rsid w:val="00B609B4"/>
    <w:rsid w:val="00B66985"/>
    <w:rsid w:val="00B67055"/>
    <w:rsid w:val="00B7295F"/>
    <w:rsid w:val="00B729AC"/>
    <w:rsid w:val="00B757FE"/>
    <w:rsid w:val="00B82804"/>
    <w:rsid w:val="00B86874"/>
    <w:rsid w:val="00B87517"/>
    <w:rsid w:val="00B936F7"/>
    <w:rsid w:val="00B95E6C"/>
    <w:rsid w:val="00B96EDA"/>
    <w:rsid w:val="00B97D24"/>
    <w:rsid w:val="00BA174D"/>
    <w:rsid w:val="00BA1A41"/>
    <w:rsid w:val="00BA3799"/>
    <w:rsid w:val="00BA392E"/>
    <w:rsid w:val="00BA41D0"/>
    <w:rsid w:val="00BA4423"/>
    <w:rsid w:val="00BA4A72"/>
    <w:rsid w:val="00BA54E4"/>
    <w:rsid w:val="00BA68CF"/>
    <w:rsid w:val="00BB333D"/>
    <w:rsid w:val="00BB5275"/>
    <w:rsid w:val="00BB548B"/>
    <w:rsid w:val="00BB56A6"/>
    <w:rsid w:val="00BC26BD"/>
    <w:rsid w:val="00BC3984"/>
    <w:rsid w:val="00BC52A6"/>
    <w:rsid w:val="00BC7731"/>
    <w:rsid w:val="00BD07BE"/>
    <w:rsid w:val="00BD1782"/>
    <w:rsid w:val="00BD1BA9"/>
    <w:rsid w:val="00BD1DED"/>
    <w:rsid w:val="00BD6C49"/>
    <w:rsid w:val="00BD6F46"/>
    <w:rsid w:val="00BE1C77"/>
    <w:rsid w:val="00BE210F"/>
    <w:rsid w:val="00BE2F25"/>
    <w:rsid w:val="00BF685E"/>
    <w:rsid w:val="00BF6C00"/>
    <w:rsid w:val="00BF7DBA"/>
    <w:rsid w:val="00C0174A"/>
    <w:rsid w:val="00C05E68"/>
    <w:rsid w:val="00C125D3"/>
    <w:rsid w:val="00C14A0D"/>
    <w:rsid w:val="00C15EEC"/>
    <w:rsid w:val="00C1760F"/>
    <w:rsid w:val="00C20DE1"/>
    <w:rsid w:val="00C23045"/>
    <w:rsid w:val="00C24FDF"/>
    <w:rsid w:val="00C2580C"/>
    <w:rsid w:val="00C26728"/>
    <w:rsid w:val="00C26F2E"/>
    <w:rsid w:val="00C27619"/>
    <w:rsid w:val="00C30696"/>
    <w:rsid w:val="00C33289"/>
    <w:rsid w:val="00C33F9D"/>
    <w:rsid w:val="00C34807"/>
    <w:rsid w:val="00C355C0"/>
    <w:rsid w:val="00C4067D"/>
    <w:rsid w:val="00C414E8"/>
    <w:rsid w:val="00C477E2"/>
    <w:rsid w:val="00C47A7B"/>
    <w:rsid w:val="00C52FF3"/>
    <w:rsid w:val="00C544A5"/>
    <w:rsid w:val="00C5744E"/>
    <w:rsid w:val="00C6010A"/>
    <w:rsid w:val="00C60737"/>
    <w:rsid w:val="00C6092C"/>
    <w:rsid w:val="00C6499A"/>
    <w:rsid w:val="00C65050"/>
    <w:rsid w:val="00C65968"/>
    <w:rsid w:val="00C65D75"/>
    <w:rsid w:val="00C66275"/>
    <w:rsid w:val="00C66EEC"/>
    <w:rsid w:val="00C7093D"/>
    <w:rsid w:val="00C70C86"/>
    <w:rsid w:val="00C74D04"/>
    <w:rsid w:val="00C76ECA"/>
    <w:rsid w:val="00C8059E"/>
    <w:rsid w:val="00C807C0"/>
    <w:rsid w:val="00C822CA"/>
    <w:rsid w:val="00C83170"/>
    <w:rsid w:val="00C85269"/>
    <w:rsid w:val="00C855F2"/>
    <w:rsid w:val="00C86D41"/>
    <w:rsid w:val="00C873DC"/>
    <w:rsid w:val="00C875FB"/>
    <w:rsid w:val="00C876A4"/>
    <w:rsid w:val="00C945C3"/>
    <w:rsid w:val="00C96948"/>
    <w:rsid w:val="00C97E1F"/>
    <w:rsid w:val="00CA0DE1"/>
    <w:rsid w:val="00CA2BB0"/>
    <w:rsid w:val="00CA3189"/>
    <w:rsid w:val="00CA4311"/>
    <w:rsid w:val="00CA45F2"/>
    <w:rsid w:val="00CA46BC"/>
    <w:rsid w:val="00CA58A8"/>
    <w:rsid w:val="00CB2027"/>
    <w:rsid w:val="00CB3A90"/>
    <w:rsid w:val="00CB662C"/>
    <w:rsid w:val="00CC0802"/>
    <w:rsid w:val="00CC3C8A"/>
    <w:rsid w:val="00CC40AA"/>
    <w:rsid w:val="00CC5F5C"/>
    <w:rsid w:val="00CC6991"/>
    <w:rsid w:val="00CC6F02"/>
    <w:rsid w:val="00CC7074"/>
    <w:rsid w:val="00CC7E3F"/>
    <w:rsid w:val="00CD17B0"/>
    <w:rsid w:val="00CD3DD6"/>
    <w:rsid w:val="00CD509A"/>
    <w:rsid w:val="00CD70ED"/>
    <w:rsid w:val="00CE317A"/>
    <w:rsid w:val="00CE4723"/>
    <w:rsid w:val="00CE4CB0"/>
    <w:rsid w:val="00CE6D0D"/>
    <w:rsid w:val="00CF0402"/>
    <w:rsid w:val="00CF054A"/>
    <w:rsid w:val="00CF2208"/>
    <w:rsid w:val="00CF2914"/>
    <w:rsid w:val="00CF2A55"/>
    <w:rsid w:val="00CF4A77"/>
    <w:rsid w:val="00CF6A50"/>
    <w:rsid w:val="00D01C92"/>
    <w:rsid w:val="00D03C77"/>
    <w:rsid w:val="00D12B17"/>
    <w:rsid w:val="00D149A7"/>
    <w:rsid w:val="00D1661D"/>
    <w:rsid w:val="00D21946"/>
    <w:rsid w:val="00D2311E"/>
    <w:rsid w:val="00D23BF0"/>
    <w:rsid w:val="00D40FCB"/>
    <w:rsid w:val="00D42F42"/>
    <w:rsid w:val="00D43543"/>
    <w:rsid w:val="00D435BD"/>
    <w:rsid w:val="00D43C97"/>
    <w:rsid w:val="00D44FA3"/>
    <w:rsid w:val="00D45E9B"/>
    <w:rsid w:val="00D46F08"/>
    <w:rsid w:val="00D50D14"/>
    <w:rsid w:val="00D510D4"/>
    <w:rsid w:val="00D52C22"/>
    <w:rsid w:val="00D54227"/>
    <w:rsid w:val="00D55897"/>
    <w:rsid w:val="00D647FA"/>
    <w:rsid w:val="00D701B4"/>
    <w:rsid w:val="00D72D9C"/>
    <w:rsid w:val="00D751F4"/>
    <w:rsid w:val="00D774D3"/>
    <w:rsid w:val="00D77B10"/>
    <w:rsid w:val="00D83F31"/>
    <w:rsid w:val="00D85727"/>
    <w:rsid w:val="00D8597C"/>
    <w:rsid w:val="00D91390"/>
    <w:rsid w:val="00D934BE"/>
    <w:rsid w:val="00D939D3"/>
    <w:rsid w:val="00D9716A"/>
    <w:rsid w:val="00D97DED"/>
    <w:rsid w:val="00DA1699"/>
    <w:rsid w:val="00DA422A"/>
    <w:rsid w:val="00DB4F6E"/>
    <w:rsid w:val="00DB7152"/>
    <w:rsid w:val="00DC4E52"/>
    <w:rsid w:val="00DC5307"/>
    <w:rsid w:val="00DC7079"/>
    <w:rsid w:val="00DD01C0"/>
    <w:rsid w:val="00DD0639"/>
    <w:rsid w:val="00DD1BF2"/>
    <w:rsid w:val="00DD1E26"/>
    <w:rsid w:val="00DD3910"/>
    <w:rsid w:val="00DD7F7D"/>
    <w:rsid w:val="00DE024F"/>
    <w:rsid w:val="00DE376A"/>
    <w:rsid w:val="00DE699E"/>
    <w:rsid w:val="00DF1C9D"/>
    <w:rsid w:val="00DF2454"/>
    <w:rsid w:val="00DF306F"/>
    <w:rsid w:val="00DF385E"/>
    <w:rsid w:val="00DF3954"/>
    <w:rsid w:val="00DF7C07"/>
    <w:rsid w:val="00E00D7B"/>
    <w:rsid w:val="00E00F1E"/>
    <w:rsid w:val="00E01766"/>
    <w:rsid w:val="00E05E81"/>
    <w:rsid w:val="00E06570"/>
    <w:rsid w:val="00E07D31"/>
    <w:rsid w:val="00E1248F"/>
    <w:rsid w:val="00E1309B"/>
    <w:rsid w:val="00E1676E"/>
    <w:rsid w:val="00E2029F"/>
    <w:rsid w:val="00E22226"/>
    <w:rsid w:val="00E22D8F"/>
    <w:rsid w:val="00E238A1"/>
    <w:rsid w:val="00E2571A"/>
    <w:rsid w:val="00E31BCF"/>
    <w:rsid w:val="00E32521"/>
    <w:rsid w:val="00E328A7"/>
    <w:rsid w:val="00E342E3"/>
    <w:rsid w:val="00E35448"/>
    <w:rsid w:val="00E35A6E"/>
    <w:rsid w:val="00E36AC4"/>
    <w:rsid w:val="00E36C8C"/>
    <w:rsid w:val="00E37946"/>
    <w:rsid w:val="00E41A7C"/>
    <w:rsid w:val="00E41D78"/>
    <w:rsid w:val="00E42E9C"/>
    <w:rsid w:val="00E43392"/>
    <w:rsid w:val="00E43A73"/>
    <w:rsid w:val="00E43ECC"/>
    <w:rsid w:val="00E524E7"/>
    <w:rsid w:val="00E530CC"/>
    <w:rsid w:val="00E56C33"/>
    <w:rsid w:val="00E6124B"/>
    <w:rsid w:val="00E668A2"/>
    <w:rsid w:val="00E66925"/>
    <w:rsid w:val="00E66A9B"/>
    <w:rsid w:val="00E72646"/>
    <w:rsid w:val="00E755F3"/>
    <w:rsid w:val="00E856BA"/>
    <w:rsid w:val="00E86843"/>
    <w:rsid w:val="00E86F9F"/>
    <w:rsid w:val="00E90FFE"/>
    <w:rsid w:val="00E924FB"/>
    <w:rsid w:val="00E94DB8"/>
    <w:rsid w:val="00E954F8"/>
    <w:rsid w:val="00E9766C"/>
    <w:rsid w:val="00E97AF9"/>
    <w:rsid w:val="00EA54D1"/>
    <w:rsid w:val="00EA56A4"/>
    <w:rsid w:val="00EA5DDD"/>
    <w:rsid w:val="00EA62D0"/>
    <w:rsid w:val="00EB0183"/>
    <w:rsid w:val="00EB0F67"/>
    <w:rsid w:val="00EB1749"/>
    <w:rsid w:val="00EB2667"/>
    <w:rsid w:val="00EC08B0"/>
    <w:rsid w:val="00EC0AC4"/>
    <w:rsid w:val="00EC763E"/>
    <w:rsid w:val="00EC77B5"/>
    <w:rsid w:val="00ED4AC5"/>
    <w:rsid w:val="00ED75E8"/>
    <w:rsid w:val="00ED78EC"/>
    <w:rsid w:val="00EE0B30"/>
    <w:rsid w:val="00EE767F"/>
    <w:rsid w:val="00EE7BFA"/>
    <w:rsid w:val="00EF13EF"/>
    <w:rsid w:val="00EF1E87"/>
    <w:rsid w:val="00EF3620"/>
    <w:rsid w:val="00EF4041"/>
    <w:rsid w:val="00F00C1F"/>
    <w:rsid w:val="00F00F0C"/>
    <w:rsid w:val="00F01322"/>
    <w:rsid w:val="00F0263D"/>
    <w:rsid w:val="00F03D27"/>
    <w:rsid w:val="00F0496F"/>
    <w:rsid w:val="00F05F69"/>
    <w:rsid w:val="00F07DB9"/>
    <w:rsid w:val="00F13594"/>
    <w:rsid w:val="00F13647"/>
    <w:rsid w:val="00F1408E"/>
    <w:rsid w:val="00F17151"/>
    <w:rsid w:val="00F17F04"/>
    <w:rsid w:val="00F25AD1"/>
    <w:rsid w:val="00F26EA3"/>
    <w:rsid w:val="00F27B09"/>
    <w:rsid w:val="00F31884"/>
    <w:rsid w:val="00F324E2"/>
    <w:rsid w:val="00F33707"/>
    <w:rsid w:val="00F34F8A"/>
    <w:rsid w:val="00F35560"/>
    <w:rsid w:val="00F37F86"/>
    <w:rsid w:val="00F41BE1"/>
    <w:rsid w:val="00F44BD1"/>
    <w:rsid w:val="00F46BEF"/>
    <w:rsid w:val="00F515CF"/>
    <w:rsid w:val="00F55CA8"/>
    <w:rsid w:val="00F631E8"/>
    <w:rsid w:val="00F64237"/>
    <w:rsid w:val="00F661CC"/>
    <w:rsid w:val="00F72C44"/>
    <w:rsid w:val="00F73F2D"/>
    <w:rsid w:val="00F75878"/>
    <w:rsid w:val="00F77DA4"/>
    <w:rsid w:val="00F85FE8"/>
    <w:rsid w:val="00F92151"/>
    <w:rsid w:val="00F97756"/>
    <w:rsid w:val="00F97C95"/>
    <w:rsid w:val="00F97E75"/>
    <w:rsid w:val="00FA213A"/>
    <w:rsid w:val="00FA325F"/>
    <w:rsid w:val="00FA32C3"/>
    <w:rsid w:val="00FA35A5"/>
    <w:rsid w:val="00FA4250"/>
    <w:rsid w:val="00FA44A9"/>
    <w:rsid w:val="00FA45B6"/>
    <w:rsid w:val="00FA4D33"/>
    <w:rsid w:val="00FA635D"/>
    <w:rsid w:val="00FA67EE"/>
    <w:rsid w:val="00FA6DA4"/>
    <w:rsid w:val="00FB31B3"/>
    <w:rsid w:val="00FB56AC"/>
    <w:rsid w:val="00FB60F7"/>
    <w:rsid w:val="00FC0293"/>
    <w:rsid w:val="00FD1705"/>
    <w:rsid w:val="00FD388C"/>
    <w:rsid w:val="00FD7B4C"/>
    <w:rsid w:val="00FE0B08"/>
    <w:rsid w:val="00FE4B84"/>
    <w:rsid w:val="00FE59F0"/>
    <w:rsid w:val="00FF2032"/>
    <w:rsid w:val="00FF3D3B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F03"/>
    <w:rPr>
      <w:lang w:eastAsia="en-US"/>
    </w:rPr>
  </w:style>
  <w:style w:type="paragraph" w:styleId="Heading2">
    <w:name w:val="heading 2"/>
    <w:basedOn w:val="Normal"/>
    <w:next w:val="Normal"/>
    <w:qFormat/>
    <w:rsid w:val="005839EE"/>
    <w:pPr>
      <w:keepNext/>
      <w:spacing w:line="360" w:lineRule="auto"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41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839EE"/>
    <w:pPr>
      <w:keepNext/>
      <w:tabs>
        <w:tab w:val="left" w:pos="4170"/>
        <w:tab w:val="left" w:pos="4320"/>
        <w:tab w:val="left" w:pos="5805"/>
      </w:tabs>
      <w:spacing w:line="360" w:lineRule="auto"/>
      <w:outlineLvl w:val="3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4134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4134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t-Arial">
    <w:name w:val="List Bullt - Arial"/>
    <w:basedOn w:val="ListBullet"/>
    <w:rsid w:val="00E72646"/>
    <w:pPr>
      <w:numPr>
        <w:numId w:val="0"/>
      </w:numPr>
    </w:pPr>
    <w:rPr>
      <w:rFonts w:ascii="Arial" w:hAnsi="Arial" w:cs="Arial"/>
    </w:rPr>
  </w:style>
  <w:style w:type="paragraph" w:styleId="ListBullet">
    <w:name w:val="List Bullet"/>
    <w:basedOn w:val="Normal"/>
    <w:rsid w:val="00E72646"/>
    <w:pPr>
      <w:numPr>
        <w:numId w:val="2"/>
      </w:numPr>
    </w:pPr>
  </w:style>
  <w:style w:type="paragraph" w:styleId="BodyText">
    <w:name w:val="Body Text"/>
    <w:basedOn w:val="Normal"/>
    <w:rsid w:val="00864828"/>
    <w:rPr>
      <w:rFonts w:ascii="Arial" w:eastAsia="Times" w:hAnsi="Arial"/>
    </w:rPr>
  </w:style>
  <w:style w:type="paragraph" w:styleId="Header">
    <w:name w:val="header"/>
    <w:basedOn w:val="Normal"/>
    <w:rsid w:val="00864828"/>
    <w:pPr>
      <w:tabs>
        <w:tab w:val="center" w:pos="4320"/>
        <w:tab w:val="right" w:pos="8640"/>
      </w:tabs>
    </w:pPr>
    <w:rPr>
      <w:rFonts w:ascii="Arial" w:eastAsia="Times" w:hAnsi="Arial"/>
    </w:rPr>
  </w:style>
  <w:style w:type="character" w:styleId="Hyperlink">
    <w:name w:val="Hyperlink"/>
    <w:basedOn w:val="DefaultParagraphFont"/>
    <w:rsid w:val="00864828"/>
    <w:rPr>
      <w:color w:val="0000FF"/>
      <w:u w:val="single"/>
    </w:rPr>
  </w:style>
  <w:style w:type="paragraph" w:styleId="BalloonText">
    <w:name w:val="Balloon Text"/>
    <w:basedOn w:val="Normal"/>
    <w:semiHidden/>
    <w:rsid w:val="00864828"/>
    <w:rPr>
      <w:rFonts w:ascii="Tahoma" w:eastAsia="Times" w:hAnsi="Tahoma" w:cs="Tahoma"/>
      <w:sz w:val="16"/>
      <w:szCs w:val="16"/>
    </w:rPr>
  </w:style>
  <w:style w:type="paragraph" w:styleId="Footer">
    <w:name w:val="footer"/>
    <w:basedOn w:val="Normal"/>
    <w:rsid w:val="0086482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F685E"/>
    <w:pPr>
      <w:shd w:val="clear" w:color="auto" w:fill="000080"/>
    </w:pPr>
    <w:rPr>
      <w:rFonts w:ascii="Tahoma" w:hAnsi="Tahoma" w:cs="Tahoma"/>
    </w:rPr>
  </w:style>
  <w:style w:type="character" w:customStyle="1" w:styleId="EmailStyle231">
    <w:name w:val="EmailStyle23"/>
    <w:aliases w:val="EmailStyle23"/>
    <w:basedOn w:val="DefaultParagraphFont"/>
    <w:semiHidden/>
    <w:personal/>
    <w:personalReply/>
    <w:rsid w:val="00222517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0"/>
    <w:rsid w:val="000C57BF"/>
    <w:rPr>
      <w:rFonts w:ascii="Arial" w:hAnsi="Arial"/>
      <w:lang w:val="en-US" w:eastAsia="en-US" w:bidi="ar-SA"/>
    </w:rPr>
  </w:style>
  <w:style w:type="paragraph" w:customStyle="1" w:styleId="bodytext0">
    <w:name w:val="body text"/>
    <w:link w:val="bodytextChar"/>
    <w:rsid w:val="000C57BF"/>
    <w:pPr>
      <w:spacing w:line="264" w:lineRule="auto"/>
      <w:ind w:left="1440"/>
    </w:pPr>
    <w:rPr>
      <w:rFonts w:ascii="Arial" w:hAnsi="Arial"/>
      <w:lang w:val="en-US" w:eastAsia="en-US"/>
    </w:rPr>
  </w:style>
  <w:style w:type="paragraph" w:customStyle="1" w:styleId="Text">
    <w:name w:val="Text"/>
    <w:basedOn w:val="Normal"/>
    <w:rsid w:val="000C57BF"/>
    <w:pPr>
      <w:spacing w:after="160" w:line="260" w:lineRule="exact"/>
    </w:pPr>
    <w:rPr>
      <w:rFonts w:ascii="Arial" w:hAnsi="Arial"/>
    </w:rPr>
  </w:style>
  <w:style w:type="character" w:styleId="FollowedHyperlink">
    <w:name w:val="FollowedHyperlink"/>
    <w:basedOn w:val="DefaultParagraphFont"/>
    <w:rsid w:val="006056EB"/>
    <w:rPr>
      <w:color w:val="800080"/>
      <w:u w:val="single"/>
    </w:rPr>
  </w:style>
  <w:style w:type="paragraph" w:customStyle="1" w:styleId="DocumentName">
    <w:name w:val="Document Name"/>
    <w:basedOn w:val="Normal"/>
    <w:link w:val="DocumentNameChar"/>
    <w:rsid w:val="00953298"/>
    <w:pPr>
      <w:tabs>
        <w:tab w:val="left" w:pos="540"/>
      </w:tabs>
      <w:spacing w:after="80"/>
    </w:pPr>
    <w:rPr>
      <w:rFonts w:ascii="Arial" w:hAnsi="Arial"/>
      <w:b/>
      <w:color w:val="191B7B"/>
      <w:sz w:val="40"/>
    </w:rPr>
  </w:style>
  <w:style w:type="character" w:customStyle="1" w:styleId="DocumentNameChar">
    <w:name w:val="Document Name Char"/>
    <w:basedOn w:val="DefaultParagraphFont"/>
    <w:link w:val="DocumentName"/>
    <w:rsid w:val="00953298"/>
    <w:rPr>
      <w:rFonts w:ascii="Arial" w:hAnsi="Arial"/>
      <w:b/>
      <w:color w:val="191B7B"/>
      <w:sz w:val="40"/>
      <w:lang w:val="en-GB" w:eastAsia="en-US" w:bidi="ar-SA"/>
    </w:rPr>
  </w:style>
  <w:style w:type="paragraph" w:styleId="BodyTextIndent">
    <w:name w:val="Body Text Indent"/>
    <w:basedOn w:val="Normal"/>
    <w:rsid w:val="00253B4F"/>
    <w:pPr>
      <w:spacing w:after="120"/>
      <w:ind w:left="283"/>
    </w:pPr>
  </w:style>
  <w:style w:type="table" w:styleId="TableGrid">
    <w:name w:val="Table Grid"/>
    <w:basedOn w:val="TableNormal"/>
    <w:rsid w:val="0025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F4F8D"/>
    <w:pPr>
      <w:jc w:val="center"/>
    </w:pPr>
    <w:rPr>
      <w:b/>
      <w:bCs/>
    </w:rPr>
  </w:style>
  <w:style w:type="paragraph" w:styleId="PlainText">
    <w:name w:val="Plain Text"/>
    <w:basedOn w:val="Normal"/>
    <w:rsid w:val="004C5915"/>
    <w:rPr>
      <w:rFonts w:ascii="Arial" w:hAnsi="Arial" w:cs="Arial"/>
      <w:lang w:eastAsia="en-GB"/>
    </w:rPr>
  </w:style>
  <w:style w:type="paragraph" w:styleId="NormalWeb">
    <w:name w:val="Normal (Web)"/>
    <w:basedOn w:val="Normal"/>
    <w:rsid w:val="00841349"/>
    <w:pPr>
      <w:spacing w:before="90" w:after="100" w:afterAutospacing="1"/>
    </w:pPr>
    <w:rPr>
      <w:rFonts w:ascii="arial helvetica" w:eastAsia="Arial Unicode MS" w:hAnsi="arial helvetica" w:cs="Arial Unicode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E86F9F"/>
    <w:rPr>
      <w:rFonts w:ascii="Arial" w:hAnsi="Arial" w:cs="Arial"/>
      <w:bCs/>
      <w:color w:val="333333"/>
      <w:lang w:val="en-US"/>
    </w:rPr>
  </w:style>
  <w:style w:type="paragraph" w:styleId="ListParagraph">
    <w:name w:val="List Paragraph"/>
    <w:basedOn w:val="Normal"/>
    <w:uiPriority w:val="34"/>
    <w:qFormat/>
    <w:rsid w:val="00CF0402"/>
    <w:pPr>
      <w:ind w:left="720"/>
    </w:pPr>
  </w:style>
  <w:style w:type="paragraph" w:styleId="FootnoteText">
    <w:name w:val="footnote text"/>
    <w:basedOn w:val="Normal"/>
    <w:link w:val="FootnoteTextChar"/>
    <w:rsid w:val="00AF178C"/>
  </w:style>
  <w:style w:type="character" w:customStyle="1" w:styleId="FootnoteTextChar">
    <w:name w:val="Footnote Text Char"/>
    <w:basedOn w:val="DefaultParagraphFont"/>
    <w:link w:val="FootnoteText"/>
    <w:rsid w:val="00AF178C"/>
    <w:rPr>
      <w:lang w:eastAsia="en-US"/>
    </w:rPr>
  </w:style>
  <w:style w:type="character" w:styleId="FootnoteReference">
    <w:name w:val="footnote reference"/>
    <w:basedOn w:val="DefaultParagraphFont"/>
    <w:rsid w:val="00AF17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500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8955">
                              <w:marLeft w:val="3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9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38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tranet.datastream.com/data/Equity%20indic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3445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Benefits:</vt:lpstr>
    </vt:vector>
  </TitlesOfParts>
  <Company>Thomson Financial</Company>
  <LinksUpToDate>false</LinksUpToDate>
  <CharactersWithSpaces>23627</CharactersWithSpaces>
  <SharedDoc>false</SharedDoc>
  <HLinks>
    <vt:vector size="378" baseType="variant">
      <vt:variant>
        <vt:i4>2031673</vt:i4>
      </vt:variant>
      <vt:variant>
        <vt:i4>186</vt:i4>
      </vt:variant>
      <vt:variant>
        <vt:i4>0</vt:i4>
      </vt:variant>
      <vt:variant>
        <vt:i4>5</vt:i4>
      </vt:variant>
      <vt:variant>
        <vt:lpwstr>http://extranet.datastream.com/data/Equity indices/documents/Stoxxorderform_000.doc</vt:lpwstr>
      </vt:variant>
      <vt:variant>
        <vt:lpwstr/>
      </vt:variant>
      <vt:variant>
        <vt:i4>6815835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1507398</vt:i4>
      </vt:variant>
      <vt:variant>
        <vt:i4>180</vt:i4>
      </vt:variant>
      <vt:variant>
        <vt:i4>0</vt:i4>
      </vt:variant>
      <vt:variant>
        <vt:i4>5</vt:i4>
      </vt:variant>
      <vt:variant>
        <vt:lpwstr>http://extranet.datastream.com/data/Equity indices/documents/SIXConstituentListorderformeffectiveFebruary2010.doc</vt:lpwstr>
      </vt:variant>
      <vt:variant>
        <vt:lpwstr/>
      </vt:variant>
      <vt:variant>
        <vt:i4>6815835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6946883</vt:i4>
      </vt:variant>
      <vt:variant>
        <vt:i4>174</vt:i4>
      </vt:variant>
      <vt:variant>
        <vt:i4>0</vt:i4>
      </vt:variant>
      <vt:variant>
        <vt:i4>5</vt:i4>
      </vt:variant>
      <vt:variant>
        <vt:lpwstr>http://extranet.datastream.com/data/Equity indices/documents/SPOrderFormApril2010_001.doc</vt:lpwstr>
      </vt:variant>
      <vt:variant>
        <vt:lpwstr/>
      </vt:variant>
      <vt:variant>
        <vt:i4>6815835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7536720</vt:i4>
      </vt:variant>
      <vt:variant>
        <vt:i4>168</vt:i4>
      </vt:variant>
      <vt:variant>
        <vt:i4>0</vt:i4>
      </vt:variant>
      <vt:variant>
        <vt:i4>5</vt:i4>
      </vt:variant>
      <vt:variant>
        <vt:lpwstr>http://extranet.datastream.com/data/Equity indices/documents/RussellOrderFormFebruary2010_000.doc</vt:lpwstr>
      </vt:variant>
      <vt:variant>
        <vt:lpwstr/>
      </vt:variant>
      <vt:variant>
        <vt:i4>6815835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196695</vt:i4>
      </vt:variant>
      <vt:variant>
        <vt:i4>162</vt:i4>
      </vt:variant>
      <vt:variant>
        <vt:i4>0</vt:i4>
      </vt:variant>
      <vt:variant>
        <vt:i4>5</vt:i4>
      </vt:variant>
      <vt:variant>
        <vt:lpwstr>http://extranet.datastream.com/data/Equity indices/documents/OMXOrderFormFebruary2010.doc</vt:lpwstr>
      </vt:variant>
      <vt:variant>
        <vt:lpwstr/>
      </vt:variant>
      <vt:variant>
        <vt:i4>6815835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7995471</vt:i4>
      </vt:variant>
      <vt:variant>
        <vt:i4>156</vt:i4>
      </vt:variant>
      <vt:variant>
        <vt:i4>0</vt:i4>
      </vt:variant>
      <vt:variant>
        <vt:i4>5</vt:i4>
      </vt:variant>
      <vt:variant>
        <vt:lpwstr>mailto:Clientservice@mscibarra.com</vt:lpwstr>
      </vt:variant>
      <vt:variant>
        <vt:lpwstr/>
      </vt:variant>
      <vt:variant>
        <vt:i4>2818162</vt:i4>
      </vt:variant>
      <vt:variant>
        <vt:i4>153</vt:i4>
      </vt:variant>
      <vt:variant>
        <vt:i4>0</vt:i4>
      </vt:variant>
      <vt:variant>
        <vt:i4>5</vt:i4>
      </vt:variant>
      <vt:variant>
        <vt:lpwstr>http://extranet.datastream.com/data/Equity indices/documents/MSCIOrderFormFebruary2010.doc</vt:lpwstr>
      </vt:variant>
      <vt:variant>
        <vt:lpwstr/>
      </vt:variant>
      <vt:variant>
        <vt:i4>393260</vt:i4>
      </vt:variant>
      <vt:variant>
        <vt:i4>150</vt:i4>
      </vt:variant>
      <vt:variant>
        <vt:i4>0</vt:i4>
      </vt:variant>
      <vt:variant>
        <vt:i4>5</vt:i4>
      </vt:variant>
      <vt:variant>
        <vt:lpwstr>mailto:msciapprove@mscibarra.com</vt:lpwstr>
      </vt:variant>
      <vt:variant>
        <vt:lpwstr/>
      </vt:variant>
      <vt:variant>
        <vt:i4>4325482</vt:i4>
      </vt:variant>
      <vt:variant>
        <vt:i4>147</vt:i4>
      </vt:variant>
      <vt:variant>
        <vt:i4>0</vt:i4>
      </vt:variant>
      <vt:variant>
        <vt:i4>5</vt:i4>
      </vt:variant>
      <vt:variant>
        <vt:lpwstr>http://extranet.datastream.com/data/Equity indices/documents/LPXandNMXIndexorderformFebruary2010_000.doc</vt:lpwstr>
      </vt:variant>
      <vt:variant>
        <vt:lpwstr/>
      </vt:variant>
      <vt:variant>
        <vt:i4>6815835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3080312</vt:i4>
      </vt:variant>
      <vt:variant>
        <vt:i4>141</vt:i4>
      </vt:variant>
      <vt:variant>
        <vt:i4>0</vt:i4>
      </vt:variant>
      <vt:variant>
        <vt:i4>5</vt:i4>
      </vt:variant>
      <vt:variant>
        <vt:lpwstr>http://extranet.datastream.com/data/Equity indices/documents/HSBCOrderFormFebruary2010.doc</vt:lpwstr>
      </vt:variant>
      <vt:variant>
        <vt:lpwstr/>
      </vt:variant>
      <vt:variant>
        <vt:i4>3014728</vt:i4>
      </vt:variant>
      <vt:variant>
        <vt:i4>138</vt:i4>
      </vt:variant>
      <vt:variant>
        <vt:i4>0</vt:i4>
      </vt:variant>
      <vt:variant>
        <vt:i4>5</vt:i4>
      </vt:variant>
      <vt:variant>
        <vt:lpwstr>mailto:Scott.Thomson@hsbcib.com</vt:lpwstr>
      </vt:variant>
      <vt:variant>
        <vt:lpwstr/>
      </vt:variant>
      <vt:variant>
        <vt:i4>1900671</vt:i4>
      </vt:variant>
      <vt:variant>
        <vt:i4>135</vt:i4>
      </vt:variant>
      <vt:variant>
        <vt:i4>0</vt:i4>
      </vt:variant>
      <vt:variant>
        <vt:i4>5</vt:i4>
      </vt:variant>
      <vt:variant>
        <vt:lpwstr>http://extranet.datastream.com/data/Equity indices/documents/SouthAfricanCustomers-JSEOrderFormFebruary2010_000.doc</vt:lpwstr>
      </vt:variant>
      <vt:variant>
        <vt:lpwstr/>
      </vt:variant>
      <vt:variant>
        <vt:i4>6815835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4653164</vt:i4>
      </vt:variant>
      <vt:variant>
        <vt:i4>129</vt:i4>
      </vt:variant>
      <vt:variant>
        <vt:i4>0</vt:i4>
      </vt:variant>
      <vt:variant>
        <vt:i4>5</vt:i4>
      </vt:variant>
      <vt:variant>
        <vt:lpwstr>mailto:Infous@ftse.com</vt:lpwstr>
      </vt:variant>
      <vt:variant>
        <vt:lpwstr/>
      </vt:variant>
      <vt:variant>
        <vt:i4>3276831</vt:i4>
      </vt:variant>
      <vt:variant>
        <vt:i4>126</vt:i4>
      </vt:variant>
      <vt:variant>
        <vt:i4>0</vt:i4>
      </vt:variant>
      <vt:variant>
        <vt:i4>5</vt:i4>
      </vt:variant>
      <vt:variant>
        <vt:lpwstr>mailto:Info@FTSE.com</vt:lpwstr>
      </vt:variant>
      <vt:variant>
        <vt:lpwstr/>
      </vt:variant>
      <vt:variant>
        <vt:i4>8126464</vt:i4>
      </vt:variant>
      <vt:variant>
        <vt:i4>123</vt:i4>
      </vt:variant>
      <vt:variant>
        <vt:i4>0</vt:i4>
      </vt:variant>
      <vt:variant>
        <vt:i4>5</vt:i4>
      </vt:variant>
      <vt:variant>
        <vt:lpwstr>mailto:Daphne.stead@ftse.com</vt:lpwstr>
      </vt:variant>
      <vt:variant>
        <vt:lpwstr/>
      </vt:variant>
      <vt:variant>
        <vt:i4>3997790</vt:i4>
      </vt:variant>
      <vt:variant>
        <vt:i4>120</vt:i4>
      </vt:variant>
      <vt:variant>
        <vt:i4>0</vt:i4>
      </vt:variant>
      <vt:variant>
        <vt:i4>5</vt:i4>
      </vt:variant>
      <vt:variant>
        <vt:lpwstr>mailto:Kristen.mierzwa@ftse.com</vt:lpwstr>
      </vt:variant>
      <vt:variant>
        <vt:lpwstr/>
      </vt:variant>
      <vt:variant>
        <vt:i4>6553625</vt:i4>
      </vt:variant>
      <vt:variant>
        <vt:i4>117</vt:i4>
      </vt:variant>
      <vt:variant>
        <vt:i4>0</vt:i4>
      </vt:variant>
      <vt:variant>
        <vt:i4>5</vt:i4>
      </vt:variant>
      <vt:variant>
        <vt:lpwstr>mailto:jonathan.cooper@ftse.com</vt:lpwstr>
      </vt:variant>
      <vt:variant>
        <vt:lpwstr/>
      </vt:variant>
      <vt:variant>
        <vt:i4>119</vt:i4>
      </vt:variant>
      <vt:variant>
        <vt:i4>114</vt:i4>
      </vt:variant>
      <vt:variant>
        <vt:i4>0</vt:i4>
      </vt:variant>
      <vt:variant>
        <vt:i4>5</vt:i4>
      </vt:variant>
      <vt:variant>
        <vt:lpwstr>mailto:Sean.wasserman@ftse.com</vt:lpwstr>
      </vt:variant>
      <vt:variant>
        <vt:lpwstr/>
      </vt:variant>
      <vt:variant>
        <vt:i4>8323075</vt:i4>
      </vt:variant>
      <vt:variant>
        <vt:i4>111</vt:i4>
      </vt:variant>
      <vt:variant>
        <vt:i4>0</vt:i4>
      </vt:variant>
      <vt:variant>
        <vt:i4>5</vt:i4>
      </vt:variant>
      <vt:variant>
        <vt:lpwstr>mailto:Joanna.wolff@ftse.com</vt:lpwstr>
      </vt:variant>
      <vt:variant>
        <vt:lpwstr/>
      </vt:variant>
      <vt:variant>
        <vt:i4>4325417</vt:i4>
      </vt:variant>
      <vt:variant>
        <vt:i4>108</vt:i4>
      </vt:variant>
      <vt:variant>
        <vt:i4>0</vt:i4>
      </vt:variant>
      <vt:variant>
        <vt:i4>5</vt:i4>
      </vt:variant>
      <vt:variant>
        <vt:lpwstr>mailto:Bob.ebert@ftse.com</vt:lpwstr>
      </vt:variant>
      <vt:variant>
        <vt:lpwstr/>
      </vt:variant>
      <vt:variant>
        <vt:i4>3473478</vt:i4>
      </vt:variant>
      <vt:variant>
        <vt:i4>105</vt:i4>
      </vt:variant>
      <vt:variant>
        <vt:i4>0</vt:i4>
      </vt:variant>
      <vt:variant>
        <vt:i4>5</vt:i4>
      </vt:variant>
      <vt:variant>
        <vt:lpwstr>mailto:jerry.moskowitz@ftse.com</vt:lpwstr>
      </vt:variant>
      <vt:variant>
        <vt:lpwstr/>
      </vt:variant>
      <vt:variant>
        <vt:i4>6357004</vt:i4>
      </vt:variant>
      <vt:variant>
        <vt:i4>102</vt:i4>
      </vt:variant>
      <vt:variant>
        <vt:i4>0</vt:i4>
      </vt:variant>
      <vt:variant>
        <vt:i4>5</vt:i4>
      </vt:variant>
      <vt:variant>
        <vt:lpwstr>mailto:Jack.glazebrook@ftse.com</vt:lpwstr>
      </vt:variant>
      <vt:variant>
        <vt:lpwstr/>
      </vt:variant>
      <vt:variant>
        <vt:i4>4653116</vt:i4>
      </vt:variant>
      <vt:variant>
        <vt:i4>99</vt:i4>
      </vt:variant>
      <vt:variant>
        <vt:i4>0</vt:i4>
      </vt:variant>
      <vt:variant>
        <vt:i4>5</vt:i4>
      </vt:variant>
      <vt:variant>
        <vt:lpwstr>mailto:Kenneth.sebuganda@ftse.com</vt:lpwstr>
      </vt:variant>
      <vt:variant>
        <vt:lpwstr/>
      </vt:variant>
      <vt:variant>
        <vt:i4>8323083</vt:i4>
      </vt:variant>
      <vt:variant>
        <vt:i4>96</vt:i4>
      </vt:variant>
      <vt:variant>
        <vt:i4>0</vt:i4>
      </vt:variant>
      <vt:variant>
        <vt:i4>5</vt:i4>
      </vt:variant>
      <vt:variant>
        <vt:lpwstr>mailto:Nicole.Serrette@ftse.com</vt:lpwstr>
      </vt:variant>
      <vt:variant>
        <vt:lpwstr/>
      </vt:variant>
      <vt:variant>
        <vt:i4>4325437</vt:i4>
      </vt:variant>
      <vt:variant>
        <vt:i4>93</vt:i4>
      </vt:variant>
      <vt:variant>
        <vt:i4>0</vt:i4>
      </vt:variant>
      <vt:variant>
        <vt:i4>5</vt:i4>
      </vt:variant>
      <vt:variant>
        <vt:lpwstr>mailto:Naoko.shimada@ftse.com</vt:lpwstr>
      </vt:variant>
      <vt:variant>
        <vt:lpwstr/>
      </vt:variant>
      <vt:variant>
        <vt:i4>5505080</vt:i4>
      </vt:variant>
      <vt:variant>
        <vt:i4>90</vt:i4>
      </vt:variant>
      <vt:variant>
        <vt:i4>0</vt:i4>
      </vt:variant>
      <vt:variant>
        <vt:i4>5</vt:i4>
      </vt:variant>
      <vt:variant>
        <vt:lpwstr>mailto:Linda.chim@ftse.com</vt:lpwstr>
      </vt:variant>
      <vt:variant>
        <vt:lpwstr/>
      </vt:variant>
      <vt:variant>
        <vt:i4>4587553</vt:i4>
      </vt:variant>
      <vt:variant>
        <vt:i4>87</vt:i4>
      </vt:variant>
      <vt:variant>
        <vt:i4>0</vt:i4>
      </vt:variant>
      <vt:variant>
        <vt:i4>5</vt:i4>
      </vt:variant>
      <vt:variant>
        <vt:lpwstr>mailto:julie.Andrews@ftse.com</vt:lpwstr>
      </vt:variant>
      <vt:variant>
        <vt:lpwstr/>
      </vt:variant>
      <vt:variant>
        <vt:i4>6946832</vt:i4>
      </vt:variant>
      <vt:variant>
        <vt:i4>84</vt:i4>
      </vt:variant>
      <vt:variant>
        <vt:i4>0</vt:i4>
      </vt:variant>
      <vt:variant>
        <vt:i4>5</vt:i4>
      </vt:variant>
      <vt:variant>
        <vt:lpwstr>mailto:Takuma.karasawa@ftse.com</vt:lpwstr>
      </vt:variant>
      <vt:variant>
        <vt:lpwstr/>
      </vt:variant>
      <vt:variant>
        <vt:i4>8126495</vt:i4>
      </vt:variant>
      <vt:variant>
        <vt:i4>81</vt:i4>
      </vt:variant>
      <vt:variant>
        <vt:i4>0</vt:i4>
      </vt:variant>
      <vt:variant>
        <vt:i4>5</vt:i4>
      </vt:variant>
      <vt:variant>
        <vt:lpwstr>mailto:Charlene.Low@ftse.com</vt:lpwstr>
      </vt:variant>
      <vt:variant>
        <vt:lpwstr/>
      </vt:variant>
      <vt:variant>
        <vt:i4>1310843</vt:i4>
      </vt:variant>
      <vt:variant>
        <vt:i4>78</vt:i4>
      </vt:variant>
      <vt:variant>
        <vt:i4>0</vt:i4>
      </vt:variant>
      <vt:variant>
        <vt:i4>5</vt:i4>
      </vt:variant>
      <vt:variant>
        <vt:lpwstr>mailto:Paul.Hoff@ftse.com</vt:lpwstr>
      </vt:variant>
      <vt:variant>
        <vt:lpwstr/>
      </vt:variant>
      <vt:variant>
        <vt:i4>1507443</vt:i4>
      </vt:variant>
      <vt:variant>
        <vt:i4>75</vt:i4>
      </vt:variant>
      <vt:variant>
        <vt:i4>0</vt:i4>
      </vt:variant>
      <vt:variant>
        <vt:i4>5</vt:i4>
      </vt:variant>
      <vt:variant>
        <vt:lpwstr>mailto:theodore.apostolov@ftse.com</vt:lpwstr>
      </vt:variant>
      <vt:variant>
        <vt:lpwstr/>
      </vt:variant>
      <vt:variant>
        <vt:i4>7208965</vt:i4>
      </vt:variant>
      <vt:variant>
        <vt:i4>72</vt:i4>
      </vt:variant>
      <vt:variant>
        <vt:i4>0</vt:i4>
      </vt:variant>
      <vt:variant>
        <vt:i4>5</vt:i4>
      </vt:variant>
      <vt:variant>
        <vt:lpwstr>mailto:Martin.Kirby@ftse.com</vt:lpwstr>
      </vt:variant>
      <vt:variant>
        <vt:lpwstr/>
      </vt:variant>
      <vt:variant>
        <vt:i4>6684703</vt:i4>
      </vt:variant>
      <vt:variant>
        <vt:i4>69</vt:i4>
      </vt:variant>
      <vt:variant>
        <vt:i4>0</vt:i4>
      </vt:variant>
      <vt:variant>
        <vt:i4>5</vt:i4>
      </vt:variant>
      <vt:variant>
        <vt:lpwstr>mailto:gregor.stolz@ftse.com</vt:lpwstr>
      </vt:variant>
      <vt:variant>
        <vt:lpwstr/>
      </vt:variant>
      <vt:variant>
        <vt:i4>1507454</vt:i4>
      </vt:variant>
      <vt:variant>
        <vt:i4>66</vt:i4>
      </vt:variant>
      <vt:variant>
        <vt:i4>0</vt:i4>
      </vt:variant>
      <vt:variant>
        <vt:i4>5</vt:i4>
      </vt:variant>
      <vt:variant>
        <vt:lpwstr>mailto:Pito.Nadal@ftse.com</vt:lpwstr>
      </vt:variant>
      <vt:variant>
        <vt:lpwstr/>
      </vt:variant>
      <vt:variant>
        <vt:i4>1900661</vt:i4>
      </vt:variant>
      <vt:variant>
        <vt:i4>63</vt:i4>
      </vt:variant>
      <vt:variant>
        <vt:i4>0</vt:i4>
      </vt:variant>
      <vt:variant>
        <vt:i4>5</vt:i4>
      </vt:variant>
      <vt:variant>
        <vt:lpwstr>mailto:anne.veysseyre@ftse.com</vt:lpwstr>
      </vt:variant>
      <vt:variant>
        <vt:lpwstr/>
      </vt:variant>
      <vt:variant>
        <vt:i4>4849709</vt:i4>
      </vt:variant>
      <vt:variant>
        <vt:i4>60</vt:i4>
      </vt:variant>
      <vt:variant>
        <vt:i4>0</vt:i4>
      </vt:variant>
      <vt:variant>
        <vt:i4>5</vt:i4>
      </vt:variant>
      <vt:variant>
        <vt:lpwstr>mailto:anthony.camilotti@ftse.com</vt:lpwstr>
      </vt:variant>
      <vt:variant>
        <vt:lpwstr/>
      </vt:variant>
      <vt:variant>
        <vt:i4>3145849</vt:i4>
      </vt:variant>
      <vt:variant>
        <vt:i4>57</vt:i4>
      </vt:variant>
      <vt:variant>
        <vt:i4>0</vt:i4>
      </vt:variant>
      <vt:variant>
        <vt:i4>5</vt:i4>
      </vt:variant>
      <vt:variant>
        <vt:lpwstr>http://extranet.datastream.com/data/Equity indices/documents/FTSEOrderFormFebruary2010.doc</vt:lpwstr>
      </vt:variant>
      <vt:variant>
        <vt:lpwstr/>
      </vt:variant>
      <vt:variant>
        <vt:i4>131171</vt:i4>
      </vt:variant>
      <vt:variant>
        <vt:i4>54</vt:i4>
      </vt:variant>
      <vt:variant>
        <vt:i4>0</vt:i4>
      </vt:variant>
      <vt:variant>
        <vt:i4>5</vt:i4>
      </vt:variant>
      <vt:variant>
        <vt:lpwstr>mailto:ftse.sales@ftse.com</vt:lpwstr>
      </vt:variant>
      <vt:variant>
        <vt:lpwstr/>
      </vt:variant>
      <vt:variant>
        <vt:i4>6815835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4718701</vt:i4>
      </vt:variant>
      <vt:variant>
        <vt:i4>48</vt:i4>
      </vt:variant>
      <vt:variant>
        <vt:i4>0</vt:i4>
      </vt:variant>
      <vt:variant>
        <vt:i4>5</vt:i4>
      </vt:variant>
      <vt:variant>
        <vt:lpwstr>http://extranet.datastream.com/data/Equity indices/documents/DowJonesSustainabilityConstituentlistsorderformFebruary2010_000.doc</vt:lpwstr>
      </vt:variant>
      <vt:variant>
        <vt:lpwstr/>
      </vt:variant>
      <vt:variant>
        <vt:i4>3211267</vt:i4>
      </vt:variant>
      <vt:variant>
        <vt:i4>45</vt:i4>
      </vt:variant>
      <vt:variant>
        <vt:i4>0</vt:i4>
      </vt:variant>
      <vt:variant>
        <vt:i4>5</vt:i4>
      </vt:variant>
      <vt:variant>
        <vt:lpwstr>mailto:Claudia.wais@sam-group.com</vt:lpwstr>
      </vt:variant>
      <vt:variant>
        <vt:lpwstr/>
      </vt:variant>
      <vt:variant>
        <vt:i4>6815835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6881364</vt:i4>
      </vt:variant>
      <vt:variant>
        <vt:i4>39</vt:i4>
      </vt:variant>
      <vt:variant>
        <vt:i4>0</vt:i4>
      </vt:variant>
      <vt:variant>
        <vt:i4>5</vt:i4>
      </vt:variant>
      <vt:variant>
        <vt:lpwstr>http://extranet.datastream.com/data/Equity indices/documents/DowJonesIslamicorderform_002.doc</vt:lpwstr>
      </vt:variant>
      <vt:variant>
        <vt:lpwstr/>
      </vt:variant>
      <vt:variant>
        <vt:i4>7536684</vt:i4>
      </vt:variant>
      <vt:variant>
        <vt:i4>36</vt:i4>
      </vt:variant>
      <vt:variant>
        <vt:i4>0</vt:i4>
      </vt:variant>
      <vt:variant>
        <vt:i4>5</vt:i4>
      </vt:variant>
      <vt:variant>
        <vt:lpwstr>http://extranet.datastream.com/data/Equity indices/documents/DB.doc</vt:lpwstr>
      </vt:variant>
      <vt:variant>
        <vt:lpwstr/>
      </vt:variant>
      <vt:variant>
        <vt:i4>6094872</vt:i4>
      </vt:variant>
      <vt:variant>
        <vt:i4>33</vt:i4>
      </vt:variant>
      <vt:variant>
        <vt:i4>0</vt:i4>
      </vt:variant>
      <vt:variant>
        <vt:i4>5</vt:i4>
      </vt:variant>
      <vt:variant>
        <vt:lpwstr>http://extranet.datastream.com/data/Equity indices/documents/TSX.doc</vt:lpwstr>
      </vt:variant>
      <vt:variant>
        <vt:lpwstr/>
      </vt:variant>
      <vt:variant>
        <vt:i4>8257548</vt:i4>
      </vt:variant>
      <vt:variant>
        <vt:i4>30</vt:i4>
      </vt:variant>
      <vt:variant>
        <vt:i4>0</vt:i4>
      </vt:variant>
      <vt:variant>
        <vt:i4>5</vt:i4>
      </vt:variant>
      <vt:variant>
        <vt:lpwstr>mailto:andreka.lapchinski@bmo.com</vt:lpwstr>
      </vt:variant>
      <vt:variant>
        <vt:lpwstr/>
      </vt:variant>
      <vt:variant>
        <vt:i4>720950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_SIX</vt:lpwstr>
      </vt:variant>
      <vt:variant>
        <vt:i4>1835126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_S&amp;P_Constituent_Pass</vt:lpwstr>
      </vt:variant>
      <vt:variant>
        <vt:i4>544079925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_Russell_–_US</vt:lpwstr>
      </vt:variant>
      <vt:variant>
        <vt:i4>1777757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_OMX–_Indices_and</vt:lpwstr>
      </vt:variant>
      <vt:variant>
        <vt:i4>917608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_MSCI_-_</vt:lpwstr>
      </vt:variant>
      <vt:variant>
        <vt:i4>543686726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_BMO_Nesbitt_Burns_– Indices and Con</vt:lpwstr>
      </vt:variant>
      <vt:variant>
        <vt:i4>3145807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_HSBC:</vt:lpwstr>
      </vt:variant>
      <vt:variant>
        <vt:i4>3080270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_FTSE:</vt:lpwstr>
      </vt:variant>
      <vt:variant>
        <vt:i4>1048631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_Daily_Dow_Jones</vt:lpwstr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_BMO_Nesbitt_Burns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Benefits:</dc:title>
  <dc:subject/>
  <dc:creator>Tom Brien </dc:creator>
  <cp:keywords/>
  <dc:description/>
  <cp:lastModifiedBy>siebera</cp:lastModifiedBy>
  <cp:revision>2</cp:revision>
  <cp:lastPrinted>2012-09-24T15:09:00Z</cp:lastPrinted>
  <dcterms:created xsi:type="dcterms:W3CDTF">2012-09-27T09:27:00Z</dcterms:created>
  <dcterms:modified xsi:type="dcterms:W3CDTF">2012-09-27T09:27:00Z</dcterms:modified>
</cp:coreProperties>
</file>