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B583A" w14:textId="77777777" w:rsidR="00A75204" w:rsidRPr="00A161CC" w:rsidRDefault="00882291" w:rsidP="00882291">
      <w:pPr>
        <w:jc w:val="center"/>
        <w:rPr>
          <w:rFonts w:ascii="Arial" w:hAnsi="Arial" w:cs="Arial"/>
          <w:b/>
          <w:szCs w:val="22"/>
        </w:rPr>
      </w:pPr>
      <w:bookmarkStart w:id="0" w:name="_GoBack"/>
      <w:bookmarkEnd w:id="0"/>
      <w:r w:rsidRPr="00A161CC">
        <w:rPr>
          <w:rFonts w:ascii="Arial" w:hAnsi="Arial" w:cs="Arial"/>
          <w:b/>
          <w:szCs w:val="22"/>
        </w:rPr>
        <w:t>20</w:t>
      </w:r>
      <w:r w:rsidR="00086357" w:rsidRPr="00A161CC">
        <w:rPr>
          <w:rFonts w:ascii="Arial" w:hAnsi="Arial" w:cs="Arial"/>
          <w:b/>
          <w:szCs w:val="22"/>
        </w:rPr>
        <w:t>1</w:t>
      </w:r>
      <w:r w:rsidR="00F009A3">
        <w:rPr>
          <w:rFonts w:ascii="Arial" w:hAnsi="Arial" w:cs="Arial"/>
          <w:b/>
          <w:szCs w:val="22"/>
        </w:rPr>
        <w:t>1</w:t>
      </w:r>
      <w:r w:rsidRPr="00A161CC">
        <w:rPr>
          <w:rFonts w:ascii="Arial" w:hAnsi="Arial" w:cs="Arial"/>
          <w:b/>
          <w:szCs w:val="22"/>
        </w:rPr>
        <w:t xml:space="preserve"> H</w:t>
      </w:r>
      <w:r w:rsidR="00ED3C2F" w:rsidRPr="00A161CC">
        <w:rPr>
          <w:rFonts w:ascii="Arial" w:hAnsi="Arial" w:cs="Arial"/>
          <w:b/>
          <w:szCs w:val="22"/>
        </w:rPr>
        <w:t>ousehold Incomes Report:</w:t>
      </w:r>
    </w:p>
    <w:p w14:paraId="646497BD" w14:textId="77777777" w:rsidR="00ED3C2F" w:rsidRPr="00A161CC" w:rsidRDefault="0034190F" w:rsidP="00882291">
      <w:pPr>
        <w:jc w:val="center"/>
        <w:rPr>
          <w:b/>
          <w:sz w:val="28"/>
        </w:rPr>
      </w:pPr>
      <w:r>
        <w:rPr>
          <w:rFonts w:ascii="Arial" w:hAnsi="Arial" w:cs="Arial"/>
          <w:b/>
          <w:szCs w:val="22"/>
        </w:rPr>
        <w:t>Background and Summary of</w:t>
      </w:r>
      <w:r w:rsidR="002B3AE3" w:rsidRPr="00A161CC">
        <w:rPr>
          <w:rFonts w:ascii="Arial" w:hAnsi="Arial" w:cs="Arial"/>
          <w:b/>
          <w:szCs w:val="22"/>
        </w:rPr>
        <w:t xml:space="preserve"> </w:t>
      </w:r>
      <w:r w:rsidR="00A9305E">
        <w:rPr>
          <w:rFonts w:ascii="Arial" w:hAnsi="Arial" w:cs="Arial"/>
          <w:b/>
          <w:szCs w:val="22"/>
        </w:rPr>
        <w:t>K</w:t>
      </w:r>
      <w:r w:rsidR="002B3AE3" w:rsidRPr="00A161CC">
        <w:rPr>
          <w:rFonts w:ascii="Arial" w:hAnsi="Arial" w:cs="Arial"/>
          <w:b/>
          <w:szCs w:val="22"/>
        </w:rPr>
        <w:t xml:space="preserve">ey </w:t>
      </w:r>
      <w:r w:rsidR="00A9305E">
        <w:rPr>
          <w:rFonts w:ascii="Arial" w:hAnsi="Arial" w:cs="Arial"/>
          <w:b/>
          <w:szCs w:val="22"/>
        </w:rPr>
        <w:t>F</w:t>
      </w:r>
      <w:r w:rsidR="00C87871" w:rsidRPr="00A161CC">
        <w:rPr>
          <w:rFonts w:ascii="Arial" w:hAnsi="Arial" w:cs="Arial"/>
          <w:b/>
          <w:szCs w:val="22"/>
        </w:rPr>
        <w:t>indings</w:t>
      </w:r>
    </w:p>
    <w:p w14:paraId="021E125E" w14:textId="77777777" w:rsidR="00470B3F" w:rsidRDefault="00F23C07">
      <w:pPr>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p>
    <w:p w14:paraId="56B3586B" w14:textId="77777777" w:rsidR="004F10CE" w:rsidRDefault="004F10CE" w:rsidP="000370BC">
      <w:pPr>
        <w:rPr>
          <w:rFonts w:ascii="Arial" w:hAnsi="Arial" w:cs="Arial"/>
          <w:b/>
          <w:color w:val="000000"/>
        </w:rPr>
      </w:pPr>
    </w:p>
    <w:p w14:paraId="3953EA86" w14:textId="77777777" w:rsidR="003F212A" w:rsidRPr="003F212A" w:rsidRDefault="003F212A" w:rsidP="000370BC">
      <w:pPr>
        <w:rPr>
          <w:rFonts w:ascii="Arial" w:hAnsi="Arial" w:cs="Arial"/>
          <w:b/>
          <w:color w:val="000000"/>
        </w:rPr>
      </w:pPr>
      <w:r w:rsidRPr="003F212A">
        <w:rPr>
          <w:rFonts w:ascii="Arial" w:hAnsi="Arial" w:cs="Arial"/>
          <w:b/>
          <w:color w:val="000000"/>
        </w:rPr>
        <w:t>B</w:t>
      </w:r>
      <w:r w:rsidR="001570DD">
        <w:rPr>
          <w:rFonts w:ascii="Arial" w:hAnsi="Arial" w:cs="Arial"/>
          <w:b/>
          <w:color w:val="000000"/>
        </w:rPr>
        <w:t>ackground</w:t>
      </w:r>
    </w:p>
    <w:p w14:paraId="6358E581" w14:textId="77777777" w:rsidR="003F212A" w:rsidRDefault="003F212A" w:rsidP="000370BC">
      <w:pPr>
        <w:rPr>
          <w:rFonts w:ascii="Arial" w:hAnsi="Arial" w:cs="Arial"/>
          <w:b/>
          <w:color w:val="000000"/>
          <w:sz w:val="20"/>
          <w:szCs w:val="22"/>
        </w:rPr>
      </w:pPr>
    </w:p>
    <w:p w14:paraId="646962FF" w14:textId="77777777" w:rsidR="000370BC" w:rsidRPr="000370BC" w:rsidRDefault="000370BC" w:rsidP="000370BC">
      <w:pPr>
        <w:rPr>
          <w:rFonts w:ascii="Arial" w:hAnsi="Arial" w:cs="Arial"/>
          <w:b/>
          <w:color w:val="000000"/>
          <w:sz w:val="20"/>
          <w:szCs w:val="22"/>
        </w:rPr>
      </w:pPr>
      <w:r w:rsidRPr="000370BC">
        <w:rPr>
          <w:rFonts w:ascii="Arial" w:hAnsi="Arial" w:cs="Arial"/>
          <w:b/>
          <w:color w:val="000000"/>
          <w:sz w:val="20"/>
          <w:szCs w:val="22"/>
        </w:rPr>
        <w:t>What is the Household Incomes Report and what period does it cover?</w:t>
      </w:r>
    </w:p>
    <w:p w14:paraId="3A07C85F" w14:textId="77777777" w:rsidR="000370BC" w:rsidRPr="000370BC" w:rsidRDefault="000370BC" w:rsidP="000370BC">
      <w:pPr>
        <w:rPr>
          <w:rFonts w:ascii="Arial" w:hAnsi="Arial" w:cs="Arial"/>
          <w:b/>
          <w:color w:val="000000"/>
          <w:sz w:val="20"/>
        </w:rPr>
      </w:pPr>
    </w:p>
    <w:p w14:paraId="579EC864" w14:textId="77777777" w:rsidR="006B4E60" w:rsidRPr="006B4E60" w:rsidRDefault="006B4E60" w:rsidP="006B4E60">
      <w:pPr>
        <w:numPr>
          <w:ilvl w:val="0"/>
          <w:numId w:val="15"/>
        </w:numPr>
        <w:spacing w:after="120"/>
        <w:jc w:val="both"/>
        <w:rPr>
          <w:rFonts w:ascii="Arial" w:hAnsi="Arial" w:cs="Arial"/>
          <w:sz w:val="20"/>
          <w:szCs w:val="20"/>
        </w:rPr>
      </w:pPr>
      <w:r w:rsidRPr="006B4E60">
        <w:rPr>
          <w:rFonts w:ascii="Arial" w:hAnsi="Arial" w:cs="Arial"/>
          <w:sz w:val="20"/>
          <w:szCs w:val="20"/>
        </w:rPr>
        <w:t>The Household Incomes Report</w:t>
      </w:r>
      <w:r w:rsidR="00BD173B">
        <w:rPr>
          <w:rFonts w:ascii="Arial" w:hAnsi="Arial" w:cs="Arial"/>
          <w:sz w:val="20"/>
          <w:szCs w:val="20"/>
        </w:rPr>
        <w:t xml:space="preserve"> (the ‘Incomes Report’)</w:t>
      </w:r>
      <w:r w:rsidRPr="006B4E60">
        <w:rPr>
          <w:rFonts w:ascii="Arial" w:hAnsi="Arial" w:cs="Arial"/>
          <w:sz w:val="20"/>
          <w:szCs w:val="20"/>
        </w:rPr>
        <w:t xml:space="preserve"> provides information on trends in the material wellbeing of New Zealanders as indicated by their after-tax household incomes from all sources, 1982 to 2010.  </w:t>
      </w:r>
    </w:p>
    <w:p w14:paraId="017A830B" w14:textId="77777777" w:rsidR="006B4E60" w:rsidRPr="006B4E60" w:rsidRDefault="006B4E60" w:rsidP="006B4E60">
      <w:pPr>
        <w:numPr>
          <w:ilvl w:val="0"/>
          <w:numId w:val="15"/>
        </w:numPr>
        <w:spacing w:after="120"/>
        <w:jc w:val="both"/>
        <w:rPr>
          <w:rFonts w:ascii="Arial" w:hAnsi="Arial" w:cs="Arial"/>
          <w:sz w:val="20"/>
          <w:szCs w:val="20"/>
        </w:rPr>
      </w:pPr>
      <w:r w:rsidRPr="006B4E60">
        <w:rPr>
          <w:rFonts w:ascii="Arial" w:hAnsi="Arial" w:cs="Arial"/>
          <w:color w:val="000000"/>
          <w:sz w:val="20"/>
          <w:szCs w:val="20"/>
        </w:rPr>
        <w:t>The Incomes Report is an annual Ministry publication, prepared as part of its work on monitoring and understanding social and economic wellbeing.</w:t>
      </w:r>
    </w:p>
    <w:p w14:paraId="5401E0E3" w14:textId="77777777" w:rsidR="006B4E60" w:rsidRPr="006B4E60" w:rsidRDefault="006B4E60" w:rsidP="006B4E60">
      <w:pPr>
        <w:numPr>
          <w:ilvl w:val="0"/>
          <w:numId w:val="15"/>
        </w:numPr>
        <w:spacing w:after="120"/>
        <w:jc w:val="both"/>
        <w:rPr>
          <w:rFonts w:ascii="Arial" w:hAnsi="Arial" w:cs="Arial"/>
          <w:sz w:val="20"/>
          <w:szCs w:val="20"/>
        </w:rPr>
      </w:pPr>
      <w:r w:rsidRPr="006B4E60">
        <w:rPr>
          <w:rFonts w:ascii="Arial" w:hAnsi="Arial" w:cs="Arial"/>
          <w:color w:val="000000"/>
          <w:sz w:val="20"/>
          <w:szCs w:val="20"/>
        </w:rPr>
        <w:t>It is based on data from Statistics New Zealand’s Household Economic Survey (HES).</w:t>
      </w:r>
    </w:p>
    <w:p w14:paraId="671D3E87" w14:textId="77777777" w:rsidR="006B4E60" w:rsidRPr="006B4E60" w:rsidRDefault="006B4E60" w:rsidP="006B4E60">
      <w:pPr>
        <w:numPr>
          <w:ilvl w:val="0"/>
          <w:numId w:val="15"/>
        </w:numPr>
        <w:spacing w:after="120"/>
        <w:jc w:val="both"/>
        <w:rPr>
          <w:rFonts w:ascii="Arial" w:hAnsi="Arial" w:cs="Arial"/>
          <w:sz w:val="20"/>
          <w:szCs w:val="20"/>
        </w:rPr>
      </w:pPr>
      <w:r w:rsidRPr="006B4E60">
        <w:rPr>
          <w:rFonts w:ascii="Arial" w:hAnsi="Arial" w:cs="Arial"/>
          <w:color w:val="000000"/>
          <w:sz w:val="20"/>
          <w:szCs w:val="20"/>
        </w:rPr>
        <w:t>The interviews for the latest ‘2010’ figures were carried out by Statistics New Zealand from July 2009 to June 2010 (the ‘2010 HES’).  The income question asked about incomes in the twelve months prior to interview.  This means that the income informa</w:t>
      </w:r>
      <w:r w:rsidR="00C70171">
        <w:rPr>
          <w:rFonts w:ascii="Arial" w:hAnsi="Arial" w:cs="Arial"/>
          <w:color w:val="000000"/>
          <w:sz w:val="20"/>
          <w:szCs w:val="20"/>
        </w:rPr>
        <w:t>tion overall comes from the two-</w:t>
      </w:r>
      <w:r w:rsidRPr="006B4E60">
        <w:rPr>
          <w:rFonts w:ascii="Arial" w:hAnsi="Arial" w:cs="Arial"/>
          <w:color w:val="000000"/>
          <w:sz w:val="20"/>
          <w:szCs w:val="20"/>
        </w:rPr>
        <w:t>year period from July 2008 to June 2010 – on average from mid 2009.</w:t>
      </w:r>
    </w:p>
    <w:p w14:paraId="67F4B315" w14:textId="77777777" w:rsidR="006B4E60" w:rsidRPr="006B4E60" w:rsidRDefault="006B4E60" w:rsidP="006B4E60">
      <w:pPr>
        <w:numPr>
          <w:ilvl w:val="0"/>
          <w:numId w:val="14"/>
        </w:numPr>
        <w:spacing w:after="120"/>
        <w:jc w:val="both"/>
        <w:rPr>
          <w:rFonts w:ascii="Arial" w:hAnsi="Arial" w:cs="Arial"/>
          <w:sz w:val="20"/>
          <w:szCs w:val="20"/>
        </w:rPr>
      </w:pPr>
      <w:r w:rsidRPr="006B4E60">
        <w:rPr>
          <w:rFonts w:ascii="Arial" w:hAnsi="Arial" w:cs="Arial"/>
          <w:color w:val="000000"/>
          <w:sz w:val="20"/>
          <w:szCs w:val="20"/>
        </w:rPr>
        <w:t xml:space="preserve">The findings capture virtually all the impact of the October 2008 income tax changes, some of the impact of the April 2009 tax changes, but none of the impact of the October 2010 tax changes.  </w:t>
      </w:r>
    </w:p>
    <w:p w14:paraId="31871801" w14:textId="77777777" w:rsidR="006B4E60" w:rsidRPr="006B4E60" w:rsidRDefault="006B4E60" w:rsidP="006B4E60">
      <w:pPr>
        <w:numPr>
          <w:ilvl w:val="0"/>
          <w:numId w:val="14"/>
        </w:numPr>
        <w:spacing w:after="120"/>
        <w:jc w:val="both"/>
        <w:rPr>
          <w:rFonts w:ascii="Arial" w:hAnsi="Arial" w:cs="Arial"/>
          <w:sz w:val="20"/>
          <w:szCs w:val="20"/>
        </w:rPr>
      </w:pPr>
      <w:r w:rsidRPr="006B4E60">
        <w:rPr>
          <w:rFonts w:ascii="Arial" w:hAnsi="Arial" w:cs="Arial"/>
          <w:color w:val="000000"/>
          <w:sz w:val="20"/>
          <w:szCs w:val="20"/>
        </w:rPr>
        <w:t>The 2010 survey is the first HES to begin to capture the impact on incomes of the global financial crisis and related economic slowdown in 2008 and 2009.  The delay in registering any impact arises because (a) the incomes of the bulk of New Zealand households were not affected immediately by the recession – there is a lagged impact, and (b) many of those interviewed in the 2009 HES were reporting their incomes mainly for the pre-recession period.</w:t>
      </w:r>
    </w:p>
    <w:p w14:paraId="26B09D01" w14:textId="77777777" w:rsidR="000370BC" w:rsidRPr="000370BC" w:rsidRDefault="000370BC" w:rsidP="000370BC">
      <w:pPr>
        <w:rPr>
          <w:rFonts w:ascii="Arial" w:hAnsi="Arial" w:cs="Arial"/>
          <w:b/>
          <w:color w:val="000000"/>
          <w:sz w:val="20"/>
          <w:szCs w:val="22"/>
        </w:rPr>
      </w:pPr>
    </w:p>
    <w:p w14:paraId="60840382" w14:textId="77777777" w:rsidR="000370BC" w:rsidRPr="000370BC" w:rsidRDefault="000370BC" w:rsidP="000370BC">
      <w:pPr>
        <w:rPr>
          <w:rFonts w:ascii="Arial" w:hAnsi="Arial" w:cs="Arial"/>
          <w:b/>
          <w:color w:val="000000"/>
          <w:sz w:val="20"/>
          <w:szCs w:val="22"/>
        </w:rPr>
      </w:pPr>
      <w:r w:rsidRPr="000370BC">
        <w:rPr>
          <w:rFonts w:ascii="Arial" w:hAnsi="Arial" w:cs="Arial"/>
          <w:b/>
          <w:color w:val="000000"/>
          <w:sz w:val="20"/>
          <w:szCs w:val="22"/>
        </w:rPr>
        <w:t>What types of information does the report provide?</w:t>
      </w:r>
    </w:p>
    <w:p w14:paraId="43876B64" w14:textId="77777777" w:rsidR="000370BC" w:rsidRPr="003F212A" w:rsidRDefault="000370BC" w:rsidP="000370BC">
      <w:pPr>
        <w:rPr>
          <w:rFonts w:ascii="Arial" w:hAnsi="Arial" w:cs="Arial"/>
          <w:b/>
          <w:color w:val="000000"/>
          <w:sz w:val="20"/>
          <w:szCs w:val="20"/>
        </w:rPr>
      </w:pPr>
    </w:p>
    <w:p w14:paraId="3D2FBB03" w14:textId="77777777" w:rsidR="000370BC" w:rsidRPr="000370BC" w:rsidRDefault="000370BC" w:rsidP="000370BC">
      <w:pPr>
        <w:numPr>
          <w:ilvl w:val="0"/>
          <w:numId w:val="5"/>
        </w:numPr>
        <w:jc w:val="both"/>
        <w:rPr>
          <w:rFonts w:ascii="Arial" w:hAnsi="Arial" w:cs="Arial"/>
          <w:sz w:val="20"/>
        </w:rPr>
      </w:pPr>
      <w:r w:rsidRPr="000370BC">
        <w:rPr>
          <w:rFonts w:ascii="Arial" w:hAnsi="Arial" w:cs="Arial"/>
          <w:sz w:val="20"/>
        </w:rPr>
        <w:t>Long-run trends (usually 1982 to 20</w:t>
      </w:r>
      <w:r w:rsidR="006B4E60">
        <w:rPr>
          <w:rFonts w:ascii="Arial" w:hAnsi="Arial" w:cs="Arial"/>
          <w:sz w:val="20"/>
        </w:rPr>
        <w:t>10</w:t>
      </w:r>
      <w:r w:rsidRPr="000370BC">
        <w:rPr>
          <w:rFonts w:ascii="Arial" w:hAnsi="Arial" w:cs="Arial"/>
          <w:sz w:val="20"/>
        </w:rPr>
        <w:t>) for:</w:t>
      </w:r>
    </w:p>
    <w:p w14:paraId="6B263A34"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household incomes</w:t>
      </w:r>
    </w:p>
    <w:p w14:paraId="3493CE1C"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income inequality</w:t>
      </w:r>
    </w:p>
    <w:p w14:paraId="2556CD55"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income poverty rates (proportions below various low-income thresholds)</w:t>
      </w:r>
    </w:p>
    <w:p w14:paraId="0E100276"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children in workless households</w:t>
      </w:r>
    </w:p>
    <w:p w14:paraId="173B0E69"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housing costs relative to incomes</w:t>
      </w:r>
    </w:p>
    <w:p w14:paraId="4FA485B2" w14:textId="77777777" w:rsidR="000370BC" w:rsidRPr="000370BC" w:rsidRDefault="000370BC" w:rsidP="00044F09">
      <w:pPr>
        <w:numPr>
          <w:ilvl w:val="0"/>
          <w:numId w:val="7"/>
        </w:numPr>
        <w:tabs>
          <w:tab w:val="clear" w:pos="720"/>
          <w:tab w:val="num" w:pos="1080"/>
        </w:tabs>
        <w:ind w:left="1080" w:hanging="270"/>
        <w:jc w:val="both"/>
        <w:rPr>
          <w:rFonts w:ascii="Arial" w:hAnsi="Arial" w:cs="Arial"/>
          <w:sz w:val="20"/>
        </w:rPr>
      </w:pPr>
      <w:r w:rsidRPr="000370BC">
        <w:rPr>
          <w:rFonts w:ascii="Arial" w:hAnsi="Arial" w:cs="Arial"/>
          <w:sz w:val="20"/>
        </w:rPr>
        <w:t>sources of income for older New Zealanders</w:t>
      </w:r>
      <w:r w:rsidR="002949AC">
        <w:rPr>
          <w:rFonts w:ascii="Arial" w:hAnsi="Arial" w:cs="Arial"/>
          <w:sz w:val="20"/>
        </w:rPr>
        <w:t>.</w:t>
      </w:r>
    </w:p>
    <w:p w14:paraId="75A9D64D" w14:textId="77777777" w:rsidR="000370BC" w:rsidRPr="000370BC" w:rsidRDefault="000370BC" w:rsidP="000370BC">
      <w:pPr>
        <w:ind w:left="360"/>
        <w:jc w:val="both"/>
        <w:rPr>
          <w:rFonts w:ascii="Arial" w:hAnsi="Arial" w:cs="Arial"/>
          <w:color w:val="000000"/>
          <w:sz w:val="20"/>
        </w:rPr>
      </w:pPr>
    </w:p>
    <w:p w14:paraId="0F8F439C" w14:textId="77777777" w:rsidR="000370BC" w:rsidRPr="000370BC" w:rsidRDefault="000370BC" w:rsidP="000370BC">
      <w:pPr>
        <w:numPr>
          <w:ilvl w:val="0"/>
          <w:numId w:val="9"/>
        </w:numPr>
        <w:jc w:val="both"/>
        <w:rPr>
          <w:rFonts w:ascii="Arial" w:hAnsi="Arial" w:cs="Arial"/>
          <w:color w:val="000000"/>
          <w:sz w:val="20"/>
        </w:rPr>
      </w:pPr>
      <w:r w:rsidRPr="000370BC">
        <w:rPr>
          <w:rFonts w:ascii="Arial" w:hAnsi="Arial" w:cs="Arial"/>
          <w:sz w:val="20"/>
        </w:rPr>
        <w:t>Relativities between various population groups (eg by age, household type, hours worked)</w:t>
      </w:r>
    </w:p>
    <w:p w14:paraId="06216010" w14:textId="77777777" w:rsidR="000370BC" w:rsidRPr="000370BC" w:rsidRDefault="000370BC" w:rsidP="00044F09">
      <w:pPr>
        <w:numPr>
          <w:ilvl w:val="0"/>
          <w:numId w:val="8"/>
        </w:numPr>
        <w:tabs>
          <w:tab w:val="clear" w:pos="720"/>
          <w:tab w:val="num" w:pos="1080"/>
        </w:tabs>
        <w:ind w:left="1080" w:hanging="270"/>
        <w:jc w:val="both"/>
        <w:rPr>
          <w:rFonts w:ascii="Arial" w:hAnsi="Arial" w:cs="Arial"/>
          <w:color w:val="000000"/>
          <w:sz w:val="20"/>
        </w:rPr>
      </w:pPr>
      <w:r w:rsidRPr="000370BC">
        <w:rPr>
          <w:rFonts w:ascii="Arial" w:hAnsi="Arial" w:cs="Arial"/>
          <w:sz w:val="20"/>
        </w:rPr>
        <w:t xml:space="preserve">which groups are most at risk? </w:t>
      </w:r>
    </w:p>
    <w:p w14:paraId="496EF59E" w14:textId="77777777" w:rsidR="000370BC" w:rsidRPr="000370BC" w:rsidRDefault="000370BC" w:rsidP="00044F09">
      <w:pPr>
        <w:numPr>
          <w:ilvl w:val="0"/>
          <w:numId w:val="8"/>
        </w:numPr>
        <w:tabs>
          <w:tab w:val="clear" w:pos="720"/>
          <w:tab w:val="num" w:pos="1080"/>
        </w:tabs>
        <w:ind w:left="1080" w:hanging="270"/>
        <w:jc w:val="both"/>
        <w:rPr>
          <w:rFonts w:ascii="Arial" w:hAnsi="Arial" w:cs="Arial"/>
          <w:color w:val="000000"/>
          <w:sz w:val="20"/>
        </w:rPr>
      </w:pPr>
      <w:r w:rsidRPr="000370BC">
        <w:rPr>
          <w:rFonts w:ascii="Arial" w:hAnsi="Arial" w:cs="Arial"/>
          <w:sz w:val="20"/>
        </w:rPr>
        <w:t>which groups make up the largest proportion</w:t>
      </w:r>
      <w:r w:rsidR="002949AC">
        <w:rPr>
          <w:rFonts w:ascii="Arial" w:hAnsi="Arial" w:cs="Arial"/>
          <w:sz w:val="20"/>
        </w:rPr>
        <w:t>s</w:t>
      </w:r>
      <w:r w:rsidRPr="000370BC">
        <w:rPr>
          <w:rFonts w:ascii="Arial" w:hAnsi="Arial" w:cs="Arial"/>
          <w:sz w:val="20"/>
        </w:rPr>
        <w:t xml:space="preserve"> of those identified as ‘in poverty’?</w:t>
      </w:r>
    </w:p>
    <w:p w14:paraId="40D183E4" w14:textId="77777777" w:rsidR="000370BC" w:rsidRPr="000370BC" w:rsidRDefault="000370BC" w:rsidP="000370BC">
      <w:pPr>
        <w:ind w:left="360"/>
        <w:jc w:val="both"/>
        <w:rPr>
          <w:rFonts w:ascii="Arial" w:hAnsi="Arial" w:cs="Arial"/>
          <w:color w:val="000000"/>
          <w:sz w:val="20"/>
        </w:rPr>
      </w:pPr>
    </w:p>
    <w:p w14:paraId="40BDA555" w14:textId="77777777" w:rsidR="000370BC" w:rsidRPr="000370BC" w:rsidRDefault="000370BC" w:rsidP="000370BC">
      <w:pPr>
        <w:numPr>
          <w:ilvl w:val="0"/>
          <w:numId w:val="5"/>
        </w:numPr>
        <w:jc w:val="both"/>
        <w:rPr>
          <w:rFonts w:ascii="Arial" w:hAnsi="Arial" w:cs="Arial"/>
          <w:color w:val="000000"/>
          <w:sz w:val="20"/>
        </w:rPr>
      </w:pPr>
      <w:r w:rsidRPr="000370BC">
        <w:rPr>
          <w:rFonts w:ascii="Arial" w:hAnsi="Arial" w:cs="Arial"/>
          <w:sz w:val="20"/>
        </w:rPr>
        <w:t>Short-run changes in income poverty and inequality</w:t>
      </w:r>
    </w:p>
    <w:p w14:paraId="467C901C" w14:textId="77777777" w:rsidR="000370BC" w:rsidRPr="000370BC" w:rsidRDefault="000370BC" w:rsidP="00044F09">
      <w:pPr>
        <w:numPr>
          <w:ilvl w:val="0"/>
          <w:numId w:val="10"/>
        </w:numPr>
        <w:tabs>
          <w:tab w:val="clear" w:pos="720"/>
          <w:tab w:val="num" w:pos="1080"/>
        </w:tabs>
        <w:ind w:left="1080" w:hanging="270"/>
        <w:jc w:val="both"/>
        <w:rPr>
          <w:rFonts w:ascii="Arial" w:hAnsi="Arial" w:cs="Arial"/>
          <w:color w:val="000000"/>
          <w:sz w:val="20"/>
        </w:rPr>
      </w:pPr>
      <w:r w:rsidRPr="000370BC">
        <w:rPr>
          <w:rFonts w:ascii="Arial" w:hAnsi="Arial" w:cs="Arial"/>
          <w:sz w:val="20"/>
        </w:rPr>
        <w:t>some care is needed in drawing definitive conclusions from relatively small changes from one survey to the next, especially for smaller subgroups</w:t>
      </w:r>
    </w:p>
    <w:p w14:paraId="33B16108" w14:textId="77777777" w:rsidR="000370BC" w:rsidRPr="000370BC" w:rsidRDefault="000370BC" w:rsidP="00044F09">
      <w:pPr>
        <w:numPr>
          <w:ilvl w:val="0"/>
          <w:numId w:val="10"/>
        </w:numPr>
        <w:tabs>
          <w:tab w:val="clear" w:pos="720"/>
          <w:tab w:val="num" w:pos="1080"/>
        </w:tabs>
        <w:ind w:left="1080" w:hanging="270"/>
        <w:jc w:val="both"/>
        <w:rPr>
          <w:rFonts w:ascii="Arial" w:hAnsi="Arial" w:cs="Arial"/>
          <w:color w:val="000000"/>
          <w:sz w:val="20"/>
        </w:rPr>
      </w:pPr>
      <w:r w:rsidRPr="000370BC">
        <w:rPr>
          <w:rFonts w:ascii="Arial" w:hAnsi="Arial" w:cs="Arial"/>
          <w:sz w:val="20"/>
        </w:rPr>
        <w:t>the findings are more robust for longer-run trends and subgroup relativities</w:t>
      </w:r>
      <w:r w:rsidR="002949AC">
        <w:rPr>
          <w:rFonts w:ascii="Arial" w:hAnsi="Arial" w:cs="Arial"/>
          <w:sz w:val="20"/>
        </w:rPr>
        <w:t>.</w:t>
      </w:r>
    </w:p>
    <w:p w14:paraId="36E44819" w14:textId="77777777" w:rsidR="000370BC" w:rsidRPr="000370BC" w:rsidRDefault="000370BC" w:rsidP="000370BC">
      <w:pPr>
        <w:ind w:left="360"/>
        <w:jc w:val="both"/>
        <w:rPr>
          <w:rFonts w:ascii="Arial" w:hAnsi="Arial" w:cs="Arial"/>
          <w:color w:val="000000"/>
          <w:sz w:val="20"/>
        </w:rPr>
      </w:pPr>
    </w:p>
    <w:p w14:paraId="6EAEB8E7" w14:textId="77777777" w:rsidR="000370BC" w:rsidRPr="000370BC" w:rsidRDefault="000370BC" w:rsidP="000370BC">
      <w:pPr>
        <w:numPr>
          <w:ilvl w:val="0"/>
          <w:numId w:val="5"/>
        </w:numPr>
        <w:jc w:val="both"/>
        <w:rPr>
          <w:rFonts w:ascii="Arial" w:hAnsi="Arial" w:cs="Arial"/>
          <w:color w:val="000000"/>
          <w:sz w:val="20"/>
        </w:rPr>
      </w:pPr>
      <w:r w:rsidRPr="000370BC">
        <w:rPr>
          <w:rFonts w:ascii="Arial" w:hAnsi="Arial" w:cs="Arial"/>
          <w:color w:val="000000"/>
          <w:sz w:val="20"/>
        </w:rPr>
        <w:t>International comparisons which locate New Zealand relative to EU nations and other OECD nations on income-based poverty and inequality measures</w:t>
      </w:r>
      <w:r w:rsidR="00173F05">
        <w:rPr>
          <w:rFonts w:ascii="Arial" w:hAnsi="Arial" w:cs="Arial"/>
          <w:color w:val="000000"/>
          <w:sz w:val="20"/>
        </w:rPr>
        <w:t>.</w:t>
      </w:r>
    </w:p>
    <w:p w14:paraId="3FF85D3F" w14:textId="77777777" w:rsidR="000370BC" w:rsidRPr="000370BC" w:rsidRDefault="000370BC" w:rsidP="000370BC">
      <w:pPr>
        <w:ind w:left="360"/>
        <w:jc w:val="both"/>
        <w:rPr>
          <w:rFonts w:ascii="Arial" w:hAnsi="Arial" w:cs="Arial"/>
          <w:color w:val="000000"/>
        </w:rPr>
      </w:pPr>
    </w:p>
    <w:p w14:paraId="361DFFF2" w14:textId="32D6956B" w:rsidR="000370BC" w:rsidRPr="000370BC" w:rsidRDefault="00832634" w:rsidP="000370BC">
      <w:pPr>
        <w:ind w:left="360"/>
        <w:jc w:val="both"/>
        <w:rPr>
          <w:rFonts w:ascii="Arial" w:hAnsi="Arial" w:cs="Arial"/>
          <w:color w:val="000000"/>
        </w:rPr>
      </w:pPr>
      <w:r w:rsidRPr="000370BC">
        <w:rPr>
          <w:rFonts w:ascii="Arial" w:hAnsi="Arial" w:cs="Arial"/>
          <w:b/>
          <w:noProof/>
          <w:color w:val="000000"/>
          <w:szCs w:val="22"/>
          <w:lang w:val="en-US"/>
        </w:rPr>
        <mc:AlternateContent>
          <mc:Choice Requires="wps">
            <w:drawing>
              <wp:anchor distT="0" distB="0" distL="114300" distR="114300" simplePos="0" relativeHeight="251653120" behindDoc="0" locked="0" layoutInCell="1" allowOverlap="1" wp14:anchorId="75812585" wp14:editId="486A589F">
                <wp:simplePos x="0" y="0"/>
                <wp:positionH relativeFrom="column">
                  <wp:posOffset>322580</wp:posOffset>
                </wp:positionH>
                <wp:positionV relativeFrom="paragraph">
                  <wp:posOffset>143510</wp:posOffset>
                </wp:positionV>
                <wp:extent cx="5266690" cy="876300"/>
                <wp:effectExtent l="5080" t="3810" r="11430" b="889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6690" cy="876300"/>
                        </a:xfrm>
                        <a:prstGeom prst="rect">
                          <a:avLst/>
                        </a:prstGeom>
                        <a:solidFill>
                          <a:srgbClr val="FFFFFF"/>
                        </a:solidFill>
                        <a:ln w="9525">
                          <a:solidFill>
                            <a:srgbClr val="000000"/>
                          </a:solidFill>
                          <a:miter lim="800000"/>
                          <a:headEnd/>
                          <a:tailEnd/>
                        </a:ln>
                      </wps:spPr>
                      <wps:txbx>
                        <w:txbxContent>
                          <w:p w14:paraId="5BFAB2C1" w14:textId="77777777" w:rsidR="004F10CE" w:rsidRPr="00C70171" w:rsidRDefault="004F10CE" w:rsidP="00E91798">
                            <w:pPr>
                              <w:spacing w:after="60" w:line="220" w:lineRule="exact"/>
                              <w:jc w:val="center"/>
                              <w:rPr>
                                <w:rFonts w:ascii="Arial" w:hAnsi="Arial" w:cs="Arial"/>
                                <w:b/>
                                <w:sz w:val="18"/>
                                <w:szCs w:val="18"/>
                              </w:rPr>
                            </w:pPr>
                            <w:r w:rsidRPr="00C70171">
                              <w:rPr>
                                <w:rFonts w:ascii="Arial" w:hAnsi="Arial" w:cs="Arial"/>
                                <w:b/>
                                <w:sz w:val="18"/>
                                <w:szCs w:val="18"/>
                              </w:rPr>
                              <w:t>Poverty and hardship are multi-dimensional</w:t>
                            </w:r>
                            <w:r>
                              <w:rPr>
                                <w:rFonts w:ascii="Arial" w:hAnsi="Arial" w:cs="Arial"/>
                                <w:b/>
                                <w:sz w:val="18"/>
                                <w:szCs w:val="18"/>
                              </w:rPr>
                              <w:t xml:space="preserve">: </w:t>
                            </w:r>
                            <w:r w:rsidRPr="00C70171">
                              <w:rPr>
                                <w:rFonts w:ascii="Arial" w:hAnsi="Arial" w:cs="Arial"/>
                                <w:b/>
                                <w:sz w:val="18"/>
                                <w:szCs w:val="18"/>
                              </w:rPr>
                              <w:t>this report f</w:t>
                            </w:r>
                            <w:r>
                              <w:rPr>
                                <w:rFonts w:ascii="Arial" w:hAnsi="Arial" w:cs="Arial"/>
                                <w:b/>
                                <w:sz w:val="18"/>
                                <w:szCs w:val="18"/>
                              </w:rPr>
                              <w:t>ocuses on the incomes dimension</w:t>
                            </w:r>
                          </w:p>
                          <w:p w14:paraId="3BA88C6D" w14:textId="77777777" w:rsidR="004F10CE" w:rsidRPr="00494184" w:rsidRDefault="004F10CE" w:rsidP="00746CBE">
                            <w:pPr>
                              <w:spacing w:line="220" w:lineRule="exact"/>
                              <w:jc w:val="both"/>
                              <w:rPr>
                                <w:rFonts w:ascii="Arial" w:hAnsi="Arial" w:cs="Arial"/>
                                <w:color w:val="000000"/>
                                <w:sz w:val="18"/>
                                <w:szCs w:val="18"/>
                              </w:rPr>
                            </w:pPr>
                            <w:r w:rsidRPr="00494184">
                              <w:rPr>
                                <w:rFonts w:ascii="Arial" w:hAnsi="Arial" w:cs="Arial"/>
                                <w:sz w:val="18"/>
                                <w:szCs w:val="18"/>
                              </w:rPr>
                              <w:t>Inequality, poverty and hardship are multi-fa</w:t>
                            </w:r>
                            <w:r>
                              <w:rPr>
                                <w:rFonts w:ascii="Arial" w:hAnsi="Arial" w:cs="Arial"/>
                                <w:sz w:val="18"/>
                                <w:szCs w:val="18"/>
                              </w:rPr>
                              <w:t xml:space="preserve">ceted and multi-dimensional. </w:t>
                            </w:r>
                            <w:r w:rsidRPr="00494184">
                              <w:rPr>
                                <w:rFonts w:ascii="Arial" w:hAnsi="Arial" w:cs="Arial"/>
                                <w:sz w:val="18"/>
                                <w:szCs w:val="18"/>
                              </w:rPr>
                              <w:t>The focus for the Household Incomes Report is on the incomes dimension.  Income matters, but it is the cumulative impact of multiple disadvantage across different domains that has the significant negative impact on life chances and outcomes, especially for children.</w:t>
                            </w:r>
                          </w:p>
                          <w:p w14:paraId="4C20042B" w14:textId="77777777" w:rsidR="004F10CE" w:rsidRDefault="004F10CE" w:rsidP="000370B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12585" id="_x0000_t202" coordsize="21600,21600" o:spt="202" path="m0,0l0,21600,21600,21600,21600,0xe">
                <v:stroke joinstyle="miter"/>
                <v:path gradientshapeok="t" o:connecttype="rect"/>
              </v:shapetype>
              <v:shape id="Text Box 23" o:spid="_x0000_s1026" type="#_x0000_t202" style="position:absolute;left:0;text-align:left;margin-left:25.4pt;margin-top:11.3pt;width:414.7pt;height: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">
                <v:textbox>
                  <w:txbxContent>
                    <w:p w14:paraId="5BFAB2C1" w14:textId="77777777" w:rsidR="004F10CE" w:rsidRPr="00C70171" w:rsidRDefault="004F10CE" w:rsidP="00E91798">
                      <w:pPr>
                        <w:spacing w:after="60" w:line="220" w:lineRule="exact"/>
                        <w:jc w:val="center"/>
                        <w:rPr>
                          <w:rFonts w:ascii="Arial" w:hAnsi="Arial" w:cs="Arial"/>
                          <w:b/>
                          <w:sz w:val="18"/>
                          <w:szCs w:val="18"/>
                        </w:rPr>
                      </w:pPr>
                      <w:r w:rsidRPr="00C70171">
                        <w:rPr>
                          <w:rFonts w:ascii="Arial" w:hAnsi="Arial" w:cs="Arial"/>
                          <w:b/>
                          <w:sz w:val="18"/>
                          <w:szCs w:val="18"/>
                        </w:rPr>
                        <w:t>Poverty and hardship are multi-dimensional</w:t>
                      </w:r>
                      <w:r>
                        <w:rPr>
                          <w:rFonts w:ascii="Arial" w:hAnsi="Arial" w:cs="Arial"/>
                          <w:b/>
                          <w:sz w:val="18"/>
                          <w:szCs w:val="18"/>
                        </w:rPr>
                        <w:t xml:space="preserve">: </w:t>
                      </w:r>
                      <w:r w:rsidRPr="00C70171">
                        <w:rPr>
                          <w:rFonts w:ascii="Arial" w:hAnsi="Arial" w:cs="Arial"/>
                          <w:b/>
                          <w:sz w:val="18"/>
                          <w:szCs w:val="18"/>
                        </w:rPr>
                        <w:t>this report f</w:t>
                      </w:r>
                      <w:r>
                        <w:rPr>
                          <w:rFonts w:ascii="Arial" w:hAnsi="Arial" w:cs="Arial"/>
                          <w:b/>
                          <w:sz w:val="18"/>
                          <w:szCs w:val="18"/>
                        </w:rPr>
                        <w:t>ocuses on the incomes dimension</w:t>
                      </w:r>
                    </w:p>
                    <w:p w14:paraId="3BA88C6D" w14:textId="77777777" w:rsidR="004F10CE" w:rsidRPr="00494184" w:rsidRDefault="004F10CE" w:rsidP="00746CBE">
                      <w:pPr>
                        <w:spacing w:line="220" w:lineRule="exact"/>
                        <w:jc w:val="both"/>
                        <w:rPr>
                          <w:rFonts w:ascii="Arial" w:hAnsi="Arial" w:cs="Arial"/>
                          <w:color w:val="000000"/>
                          <w:sz w:val="18"/>
                          <w:szCs w:val="18"/>
                        </w:rPr>
                      </w:pPr>
                      <w:r w:rsidRPr="00494184">
                        <w:rPr>
                          <w:rFonts w:ascii="Arial" w:hAnsi="Arial" w:cs="Arial"/>
                          <w:sz w:val="18"/>
                          <w:szCs w:val="18"/>
                        </w:rPr>
                        <w:t>Inequality, poverty and hardship are multi-fa</w:t>
                      </w:r>
                      <w:r>
                        <w:rPr>
                          <w:rFonts w:ascii="Arial" w:hAnsi="Arial" w:cs="Arial"/>
                          <w:sz w:val="18"/>
                          <w:szCs w:val="18"/>
                        </w:rPr>
                        <w:t xml:space="preserve">ceted and multi-dimensional. </w:t>
                      </w:r>
                      <w:r w:rsidRPr="00494184">
                        <w:rPr>
                          <w:rFonts w:ascii="Arial" w:hAnsi="Arial" w:cs="Arial"/>
                          <w:sz w:val="18"/>
                          <w:szCs w:val="18"/>
                        </w:rPr>
                        <w:t>The focus for the Household Incomes Report is on the incomes dimension.  Income matters, but it is the cumulative impact of multiple disadvantage across different domains that has the significant negative impact on life chances and outcomes, especially for children.</w:t>
                      </w:r>
                    </w:p>
                    <w:p w14:paraId="4C20042B" w14:textId="77777777" w:rsidR="004F10CE" w:rsidRDefault="004F10CE" w:rsidP="000370BC">
                      <w:pPr>
                        <w:jc w:val="both"/>
                      </w:pPr>
                    </w:p>
                  </w:txbxContent>
                </v:textbox>
              </v:shape>
            </w:pict>
          </mc:Fallback>
        </mc:AlternateContent>
      </w:r>
    </w:p>
    <w:p w14:paraId="37F0BA63" w14:textId="77777777" w:rsidR="000370BC" w:rsidRPr="000370BC" w:rsidRDefault="000370BC" w:rsidP="000370BC">
      <w:pPr>
        <w:rPr>
          <w:rFonts w:ascii="Arial" w:hAnsi="Arial" w:cs="Arial"/>
          <w:b/>
          <w:color w:val="000000"/>
          <w:szCs w:val="22"/>
        </w:rPr>
      </w:pPr>
    </w:p>
    <w:p w14:paraId="292B28C8" w14:textId="77777777" w:rsidR="000370BC" w:rsidRPr="000370BC" w:rsidRDefault="000370BC" w:rsidP="000370BC">
      <w:pPr>
        <w:ind w:left="360" w:hanging="360"/>
        <w:jc w:val="both"/>
        <w:rPr>
          <w:rFonts w:ascii="Arial" w:hAnsi="Arial" w:cs="Arial"/>
          <w:b/>
          <w:color w:val="000000"/>
          <w:sz w:val="20"/>
          <w:szCs w:val="22"/>
        </w:rPr>
      </w:pPr>
      <w:r w:rsidRPr="000370BC">
        <w:rPr>
          <w:rFonts w:ascii="Arial" w:hAnsi="Arial" w:cs="Arial"/>
          <w:b/>
          <w:szCs w:val="22"/>
        </w:rPr>
        <w:br w:type="page"/>
      </w:r>
      <w:r w:rsidR="002949AC">
        <w:rPr>
          <w:rFonts w:ascii="Arial" w:hAnsi="Arial" w:cs="Arial"/>
          <w:b/>
          <w:color w:val="000000"/>
          <w:sz w:val="20"/>
          <w:szCs w:val="22"/>
        </w:rPr>
        <w:lastRenderedPageBreak/>
        <w:t>The income measure</w:t>
      </w:r>
      <w:r w:rsidRPr="000370BC">
        <w:rPr>
          <w:rFonts w:ascii="Arial" w:hAnsi="Arial" w:cs="Arial"/>
          <w:b/>
          <w:color w:val="000000"/>
          <w:sz w:val="20"/>
          <w:szCs w:val="22"/>
        </w:rPr>
        <w:t xml:space="preserve"> used in the report</w:t>
      </w:r>
    </w:p>
    <w:p w14:paraId="77C838B3" w14:textId="77777777" w:rsidR="000370BC" w:rsidRPr="000370BC" w:rsidRDefault="000370BC" w:rsidP="000370BC">
      <w:pPr>
        <w:rPr>
          <w:rFonts w:ascii="Arial" w:hAnsi="Arial" w:cs="Arial"/>
          <w:color w:val="000000"/>
          <w:sz w:val="20"/>
          <w:szCs w:val="22"/>
        </w:rPr>
      </w:pPr>
    </w:p>
    <w:p w14:paraId="57342622"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The income measure used is household after-tax cash income </w:t>
      </w:r>
      <w:r w:rsidR="00A6101E">
        <w:rPr>
          <w:rFonts w:ascii="Arial" w:hAnsi="Arial" w:cs="Arial"/>
          <w:color w:val="000000"/>
          <w:sz w:val="20"/>
          <w:szCs w:val="22"/>
        </w:rPr>
        <w:t xml:space="preserve">from all sources </w:t>
      </w:r>
      <w:r w:rsidRPr="000370BC">
        <w:rPr>
          <w:rFonts w:ascii="Arial" w:hAnsi="Arial" w:cs="Arial"/>
          <w:color w:val="000000"/>
          <w:sz w:val="20"/>
          <w:szCs w:val="22"/>
        </w:rPr>
        <w:t>for the previous twelve months, adjusted for household size and composition.  This is referred to as equivalised disposable household income.</w:t>
      </w:r>
    </w:p>
    <w:p w14:paraId="06A7D0FA" w14:textId="77777777" w:rsidR="000370BC" w:rsidRPr="000370BC" w:rsidRDefault="000370BC" w:rsidP="000370BC">
      <w:pPr>
        <w:ind w:left="360"/>
        <w:jc w:val="both"/>
        <w:rPr>
          <w:rFonts w:ascii="Arial" w:hAnsi="Arial" w:cs="Arial"/>
          <w:color w:val="000000"/>
          <w:sz w:val="20"/>
          <w:szCs w:val="22"/>
        </w:rPr>
      </w:pPr>
    </w:p>
    <w:p w14:paraId="6F08CC80"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Household income is used as a measure of a household’s material wellbeing or living </w:t>
      </w:r>
      <w:r w:rsidR="002949AC">
        <w:rPr>
          <w:rFonts w:ascii="Arial" w:hAnsi="Arial" w:cs="Arial"/>
          <w:color w:val="000000"/>
          <w:sz w:val="20"/>
          <w:szCs w:val="22"/>
        </w:rPr>
        <w:t>standards. The approach is well-</w:t>
      </w:r>
      <w:r w:rsidRPr="000370BC">
        <w:rPr>
          <w:rFonts w:ascii="Arial" w:hAnsi="Arial" w:cs="Arial"/>
          <w:color w:val="000000"/>
          <w:sz w:val="20"/>
          <w:szCs w:val="22"/>
        </w:rPr>
        <w:t>established internationally and produces very useful findings on trends in relative material wellbeing over time and between different subgroups.</w:t>
      </w:r>
    </w:p>
    <w:p w14:paraId="3F9A47DB" w14:textId="77777777" w:rsidR="000370BC" w:rsidRPr="000370BC" w:rsidRDefault="000370BC" w:rsidP="000370BC">
      <w:pPr>
        <w:ind w:left="360"/>
        <w:jc w:val="both"/>
        <w:rPr>
          <w:rFonts w:ascii="Arial" w:hAnsi="Arial" w:cs="Arial"/>
          <w:color w:val="000000"/>
          <w:sz w:val="20"/>
          <w:szCs w:val="22"/>
        </w:rPr>
      </w:pPr>
    </w:p>
    <w:p w14:paraId="1CC3720E"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A household’s after-tax income is affected by a range of factors: wage rates, </w:t>
      </w:r>
      <w:r w:rsidR="00A6101E">
        <w:rPr>
          <w:rFonts w:ascii="Arial" w:hAnsi="Arial" w:cs="Arial"/>
          <w:color w:val="000000"/>
          <w:sz w:val="20"/>
          <w:szCs w:val="22"/>
        </w:rPr>
        <w:t xml:space="preserve">total </w:t>
      </w:r>
      <w:r w:rsidRPr="000370BC">
        <w:rPr>
          <w:rFonts w:ascii="Arial" w:hAnsi="Arial" w:cs="Arial"/>
          <w:color w:val="000000"/>
          <w:sz w:val="20"/>
          <w:szCs w:val="22"/>
        </w:rPr>
        <w:t>hours worked by the adults in the household, rates of social assistance, returns on investment, personal income tax rates and tax credits for families with children.</w:t>
      </w:r>
    </w:p>
    <w:p w14:paraId="10FB403B" w14:textId="77777777" w:rsidR="000370BC" w:rsidRPr="000370BC" w:rsidRDefault="000370BC" w:rsidP="000370BC">
      <w:pPr>
        <w:ind w:left="360"/>
        <w:jc w:val="both"/>
        <w:rPr>
          <w:rFonts w:ascii="Arial" w:hAnsi="Arial" w:cs="Arial"/>
          <w:color w:val="000000"/>
          <w:sz w:val="20"/>
          <w:szCs w:val="22"/>
        </w:rPr>
      </w:pPr>
    </w:p>
    <w:p w14:paraId="11DBD34E" w14:textId="77777777" w:rsidR="000370BC" w:rsidRPr="000370BC" w:rsidRDefault="000370BC" w:rsidP="000370BC">
      <w:pPr>
        <w:spacing w:after="240"/>
        <w:ind w:left="360"/>
        <w:jc w:val="both"/>
        <w:rPr>
          <w:rFonts w:ascii="Arial" w:hAnsi="Arial" w:cs="Arial"/>
          <w:color w:val="000000"/>
          <w:sz w:val="20"/>
          <w:szCs w:val="22"/>
          <w:u w:val="single"/>
        </w:rPr>
      </w:pPr>
      <w:r w:rsidRPr="000370BC">
        <w:rPr>
          <w:rFonts w:ascii="Arial" w:hAnsi="Arial" w:cs="Arial"/>
          <w:color w:val="000000"/>
          <w:sz w:val="20"/>
          <w:szCs w:val="22"/>
          <w:u w:val="single"/>
        </w:rPr>
        <w:t>Incomes before and after deducting housing costs (BHC and AHC)</w:t>
      </w:r>
    </w:p>
    <w:p w14:paraId="39460FD5"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The report uses household incomes both before and after deducting housing costs (BHC and AHC respectively), especially for poverty measurement.  </w:t>
      </w:r>
      <w:r w:rsidR="00A6101E">
        <w:rPr>
          <w:rFonts w:ascii="Arial" w:hAnsi="Arial" w:cs="Arial"/>
          <w:color w:val="000000"/>
          <w:sz w:val="20"/>
          <w:szCs w:val="22"/>
        </w:rPr>
        <w:t>All else equal, t</w:t>
      </w:r>
      <w:r w:rsidRPr="000370BC">
        <w:rPr>
          <w:rFonts w:ascii="Arial" w:hAnsi="Arial" w:cs="Arial"/>
          <w:color w:val="000000"/>
          <w:sz w:val="20"/>
          <w:szCs w:val="22"/>
        </w:rPr>
        <w:t>hose with higher housing costs have less ‘residual income’ (AHC) for other necessities (food, clothing, transport, heating and health care)</w:t>
      </w:r>
      <w:r w:rsidR="00A6101E">
        <w:rPr>
          <w:rFonts w:ascii="Arial" w:hAnsi="Arial" w:cs="Arial"/>
          <w:color w:val="000000"/>
          <w:sz w:val="20"/>
          <w:szCs w:val="22"/>
        </w:rPr>
        <w:t>.  For households with</w:t>
      </w:r>
      <w:r w:rsidRPr="000370BC">
        <w:rPr>
          <w:rFonts w:ascii="Arial" w:hAnsi="Arial" w:cs="Arial"/>
          <w:color w:val="000000"/>
          <w:sz w:val="20"/>
          <w:szCs w:val="22"/>
        </w:rPr>
        <w:t xml:space="preserve"> lower incomes</w:t>
      </w:r>
      <w:r w:rsidR="00A6101E">
        <w:rPr>
          <w:rFonts w:ascii="Arial" w:hAnsi="Arial" w:cs="Arial"/>
          <w:color w:val="000000"/>
          <w:sz w:val="20"/>
          <w:szCs w:val="22"/>
        </w:rPr>
        <w:t xml:space="preserve"> to start with</w:t>
      </w:r>
      <w:r w:rsidRPr="000370BC">
        <w:rPr>
          <w:rFonts w:ascii="Arial" w:hAnsi="Arial" w:cs="Arial"/>
          <w:color w:val="000000"/>
          <w:sz w:val="20"/>
          <w:szCs w:val="22"/>
        </w:rPr>
        <w:t xml:space="preserve">, </w:t>
      </w:r>
      <w:r w:rsidR="00A6101E">
        <w:rPr>
          <w:rFonts w:ascii="Arial" w:hAnsi="Arial" w:cs="Arial"/>
          <w:color w:val="000000"/>
          <w:sz w:val="20"/>
          <w:szCs w:val="22"/>
        </w:rPr>
        <w:t>high housing costs place considerable</w:t>
      </w:r>
      <w:r w:rsidRPr="000370BC">
        <w:rPr>
          <w:rFonts w:ascii="Arial" w:hAnsi="Arial" w:cs="Arial"/>
          <w:color w:val="000000"/>
          <w:sz w:val="20"/>
          <w:szCs w:val="22"/>
        </w:rPr>
        <w:t xml:space="preserve"> constraints on their living standards.  </w:t>
      </w:r>
    </w:p>
    <w:p w14:paraId="4FDA3692" w14:textId="77777777" w:rsidR="000370BC" w:rsidRPr="000370BC" w:rsidRDefault="000370BC" w:rsidP="000370BC">
      <w:pPr>
        <w:ind w:left="360"/>
        <w:jc w:val="both"/>
        <w:rPr>
          <w:rFonts w:ascii="Arial" w:hAnsi="Arial" w:cs="Arial"/>
          <w:color w:val="000000"/>
          <w:sz w:val="20"/>
          <w:szCs w:val="22"/>
        </w:rPr>
      </w:pPr>
    </w:p>
    <w:p w14:paraId="016C50DD"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Housing costs are, in the short term at least, a fixed cost that households have to meet.  The AHC income measure is therefore important for a central goal of the report, which is to assess and report on differences in material wellbeing across different groups, using household income as the indicator.  The AHC measures allow more sensible comparisons between groups with quite different housing costs but similar BHC incomes.  </w:t>
      </w:r>
    </w:p>
    <w:p w14:paraId="3366EF40" w14:textId="77777777" w:rsidR="000370BC" w:rsidRPr="000370BC" w:rsidRDefault="000370BC" w:rsidP="000370BC">
      <w:pPr>
        <w:ind w:left="360" w:hanging="360"/>
        <w:jc w:val="both"/>
        <w:rPr>
          <w:rFonts w:ascii="Arial" w:hAnsi="Arial" w:cs="Arial"/>
          <w:b/>
          <w:color w:val="000000"/>
          <w:szCs w:val="22"/>
        </w:rPr>
      </w:pPr>
    </w:p>
    <w:p w14:paraId="0EF5303D" w14:textId="77777777" w:rsidR="000370BC" w:rsidRDefault="000370BC" w:rsidP="000370BC">
      <w:pPr>
        <w:ind w:left="360" w:hanging="360"/>
        <w:jc w:val="both"/>
        <w:rPr>
          <w:rFonts w:ascii="Arial" w:hAnsi="Arial" w:cs="Arial"/>
          <w:sz w:val="20"/>
        </w:rPr>
      </w:pPr>
    </w:p>
    <w:p w14:paraId="6F4845CC" w14:textId="0B8FDEC2" w:rsidR="00A6101E" w:rsidRDefault="00832634" w:rsidP="000370BC">
      <w:pPr>
        <w:ind w:left="360" w:hanging="360"/>
        <w:jc w:val="both"/>
        <w:rPr>
          <w:rFonts w:ascii="Arial" w:hAnsi="Arial" w:cs="Arial"/>
          <w:sz w:val="20"/>
        </w:rPr>
      </w:pPr>
      <w:r>
        <w:rPr>
          <w:rFonts w:ascii="Arial" w:hAnsi="Arial" w:cs="Arial"/>
          <w:noProof/>
          <w:sz w:val="20"/>
          <w:lang w:val="en-US"/>
        </w:rPr>
        <mc:AlternateContent>
          <mc:Choice Requires="wps">
            <w:drawing>
              <wp:anchor distT="0" distB="0" distL="114300" distR="114300" simplePos="0" relativeHeight="251656192" behindDoc="0" locked="0" layoutInCell="1" allowOverlap="1" wp14:anchorId="76896224" wp14:editId="7805A4CA">
                <wp:simplePos x="0" y="0"/>
                <wp:positionH relativeFrom="column">
                  <wp:posOffset>685165</wp:posOffset>
                </wp:positionH>
                <wp:positionV relativeFrom="paragraph">
                  <wp:posOffset>85090</wp:posOffset>
                </wp:positionV>
                <wp:extent cx="4590415" cy="2009775"/>
                <wp:effectExtent l="0" t="0" r="7620" b="13335"/>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0415" cy="2009775"/>
                        </a:xfrm>
                        <a:prstGeom prst="rect">
                          <a:avLst/>
                        </a:prstGeom>
                        <a:solidFill>
                          <a:srgbClr val="FFFFFF"/>
                        </a:solidFill>
                        <a:ln w="9525">
                          <a:solidFill>
                            <a:srgbClr val="000000"/>
                          </a:solidFill>
                          <a:miter lim="800000"/>
                          <a:headEnd/>
                          <a:tailEnd/>
                        </a:ln>
                      </wps:spPr>
                      <wps:txbx>
                        <w:txbxContent>
                          <w:p w14:paraId="3351186B" w14:textId="77777777" w:rsidR="004F10CE" w:rsidRPr="00B74E54" w:rsidRDefault="004F10CE" w:rsidP="00B74E54">
                            <w:pPr>
                              <w:spacing w:after="120" w:line="220" w:lineRule="exact"/>
                              <w:jc w:val="center"/>
                              <w:rPr>
                                <w:rFonts w:ascii="Arial" w:hAnsi="Arial" w:cs="Arial"/>
                                <w:b/>
                                <w:color w:val="000000"/>
                                <w:sz w:val="18"/>
                                <w:szCs w:val="18"/>
                              </w:rPr>
                            </w:pPr>
                            <w:r w:rsidRPr="00B74E54">
                              <w:rPr>
                                <w:rFonts w:ascii="Arial" w:hAnsi="Arial" w:cs="Arial"/>
                                <w:b/>
                                <w:color w:val="000000"/>
                                <w:sz w:val="18"/>
                                <w:szCs w:val="18"/>
                              </w:rPr>
                              <w:t>Using non-monetary indicators to measure hardship</w:t>
                            </w:r>
                          </w:p>
                          <w:p w14:paraId="4922911F" w14:textId="77777777" w:rsidR="004F10CE" w:rsidRPr="00B74E54" w:rsidRDefault="004F10CE" w:rsidP="00B74E54">
                            <w:pPr>
                              <w:spacing w:after="120" w:line="220" w:lineRule="exact"/>
                              <w:jc w:val="both"/>
                              <w:rPr>
                                <w:rFonts w:ascii="Arial" w:hAnsi="Arial" w:cs="Arial"/>
                                <w:color w:val="000000"/>
                                <w:sz w:val="18"/>
                                <w:szCs w:val="18"/>
                              </w:rPr>
                            </w:pPr>
                            <w:r w:rsidRPr="00B74E54">
                              <w:rPr>
                                <w:rFonts w:ascii="Arial" w:hAnsi="Arial" w:cs="Arial"/>
                                <w:color w:val="000000"/>
                                <w:sz w:val="18"/>
                                <w:szCs w:val="18"/>
                              </w:rPr>
                              <w:t xml:space="preserve">Another approach to assessing the relative material wellbeing of households is to use non-monetary indicators (NMIs) – including basic items that households have or don’t have, the degree of restriction or freedom for consumption on a range of items, the ability to pay for housing, heating, food and so on.  NMIs give a more direct indication of material wellbeing, especially for those households with lower living standards, and is an approach that is gaining credibility internationally as a valid complement to the incomes approach. </w:t>
                            </w:r>
                          </w:p>
                          <w:p w14:paraId="4E263158" w14:textId="77777777" w:rsidR="004F10CE" w:rsidRPr="00B74E54" w:rsidRDefault="004F10CE" w:rsidP="00B74E54">
                            <w:pPr>
                              <w:spacing w:after="120" w:line="220" w:lineRule="exact"/>
                              <w:jc w:val="both"/>
                              <w:rPr>
                                <w:rFonts w:cs="Arial"/>
                                <w:color w:val="0000FF"/>
                                <w:sz w:val="18"/>
                                <w:szCs w:val="18"/>
                              </w:rPr>
                            </w:pPr>
                            <w:r w:rsidRPr="00B74E54">
                              <w:rPr>
                                <w:rFonts w:ascii="Arial" w:hAnsi="Arial" w:cs="Arial"/>
                                <w:color w:val="000000"/>
                                <w:sz w:val="18"/>
                                <w:szCs w:val="18"/>
                              </w:rPr>
                              <w:t>The Ministry’s Living Standards Surveys (2000, 2004 and 2008) gather</w:t>
                            </w:r>
                            <w:r>
                              <w:rPr>
                                <w:rFonts w:ascii="Arial" w:hAnsi="Arial" w:cs="Arial"/>
                                <w:color w:val="000000"/>
                                <w:sz w:val="18"/>
                                <w:szCs w:val="18"/>
                              </w:rPr>
                              <w:t>ed</w:t>
                            </w:r>
                            <w:r w:rsidRPr="00B74E54">
                              <w:rPr>
                                <w:rFonts w:ascii="Arial" w:hAnsi="Arial" w:cs="Arial"/>
                                <w:color w:val="000000"/>
                                <w:sz w:val="18"/>
                                <w:szCs w:val="18"/>
                              </w:rPr>
                              <w:t xml:space="preserve"> information on NMIs and a report based on the 2008 survey is available on the Ministry’s website.  The HES has also started to collect information on NMIs and </w:t>
                            </w:r>
                            <w:r w:rsidRPr="009D74FF">
                              <w:rPr>
                                <w:rFonts w:ascii="Arial" w:hAnsi="Arial" w:cs="Arial"/>
                                <w:sz w:val="18"/>
                                <w:szCs w:val="18"/>
                              </w:rPr>
                              <w:t xml:space="preserve">this data is used in the main report in </w:t>
                            </w:r>
                            <w:r w:rsidRPr="007641F5">
                              <w:rPr>
                                <w:rFonts w:ascii="Arial" w:hAnsi="Arial" w:cs="Arial"/>
                                <w:color w:val="000000"/>
                                <w:sz w:val="18"/>
                                <w:szCs w:val="18"/>
                              </w:rPr>
                              <w:t>Appendix 6.</w:t>
                            </w:r>
                            <w:r w:rsidRPr="00B74E54">
                              <w:rPr>
                                <w:rFonts w:ascii="Arial" w:hAnsi="Arial" w:cs="Arial"/>
                                <w:b/>
                                <w:color w:val="0000FF"/>
                                <w:sz w:val="18"/>
                                <w:szCs w:val="18"/>
                              </w:rPr>
                              <w:t xml:space="preserve">  </w:t>
                            </w:r>
                          </w:p>
                          <w:p w14:paraId="2A3FEA11" w14:textId="77777777" w:rsidR="004F10CE" w:rsidRDefault="004F10CE" w:rsidP="00A6101E">
                            <w:pPr>
                              <w:jc w:val="both"/>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96224" id="Text Box 26" o:spid="_x0000_s1027" type="#_x0000_t202" style="position:absolute;left:0;text-align:left;margin-left:53.95pt;margin-top:6.7pt;width:361.45pt;height:15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">
                <v:textbox inset=",7.2pt,,7.2pt">
                  <w:txbxContent>
                    <w:p w14:paraId="3351186B" w14:textId="77777777" w:rsidR="004F10CE" w:rsidRPr="00B74E54" w:rsidRDefault="004F10CE" w:rsidP="00B74E54">
                      <w:pPr>
                        <w:spacing w:after="120" w:line="220" w:lineRule="exact"/>
                        <w:jc w:val="center"/>
                        <w:rPr>
                          <w:rFonts w:ascii="Arial" w:hAnsi="Arial" w:cs="Arial"/>
                          <w:b/>
                          <w:color w:val="000000"/>
                          <w:sz w:val="18"/>
                          <w:szCs w:val="18"/>
                        </w:rPr>
                      </w:pPr>
                      <w:r w:rsidRPr="00B74E54">
                        <w:rPr>
                          <w:rFonts w:ascii="Arial" w:hAnsi="Arial" w:cs="Arial"/>
                          <w:b/>
                          <w:color w:val="000000"/>
                          <w:sz w:val="18"/>
                          <w:szCs w:val="18"/>
                        </w:rPr>
                        <w:t>Using non-monetary indicators to measure hardship</w:t>
                      </w:r>
                    </w:p>
                    <w:p w14:paraId="4922911F" w14:textId="77777777" w:rsidR="004F10CE" w:rsidRPr="00B74E54" w:rsidRDefault="004F10CE" w:rsidP="00B74E54">
                      <w:pPr>
                        <w:spacing w:after="120" w:line="220" w:lineRule="exact"/>
                        <w:jc w:val="both"/>
                        <w:rPr>
                          <w:rFonts w:ascii="Arial" w:hAnsi="Arial" w:cs="Arial"/>
                          <w:color w:val="000000"/>
                          <w:sz w:val="18"/>
                          <w:szCs w:val="18"/>
                        </w:rPr>
                      </w:pPr>
                      <w:r w:rsidRPr="00B74E54">
                        <w:rPr>
                          <w:rFonts w:ascii="Arial" w:hAnsi="Arial" w:cs="Arial"/>
                          <w:color w:val="000000"/>
                          <w:sz w:val="18"/>
                          <w:szCs w:val="18"/>
                        </w:rPr>
                        <w:t xml:space="preserve">Another approach to assessing the relative material wellbeing of households is to use non-monetary indicators (NMIs) – including basic items that households have or don’t have, the degree of restriction or freedom for consumption on a range of items, the ability to pay for housing, heating, food and so on.  NMIs give a more direct indication of material wellbeing, especially for those households with lower living standards, and is an approach that is gaining credibility internationally as a valid complement to the incomes approach. </w:t>
                      </w:r>
                    </w:p>
                    <w:p w14:paraId="4E263158" w14:textId="77777777" w:rsidR="004F10CE" w:rsidRPr="00B74E54" w:rsidRDefault="004F10CE" w:rsidP="00B74E54">
                      <w:pPr>
                        <w:spacing w:after="120" w:line="220" w:lineRule="exact"/>
                        <w:jc w:val="both"/>
                        <w:rPr>
                          <w:rFonts w:cs="Arial"/>
                          <w:color w:val="0000FF"/>
                          <w:sz w:val="18"/>
                          <w:szCs w:val="18"/>
                        </w:rPr>
                      </w:pPr>
                      <w:r w:rsidRPr="00B74E54">
                        <w:rPr>
                          <w:rFonts w:ascii="Arial" w:hAnsi="Arial" w:cs="Arial"/>
                          <w:color w:val="000000"/>
                          <w:sz w:val="18"/>
                          <w:szCs w:val="18"/>
                        </w:rPr>
                        <w:t>The Ministry’s Living Standards Surveys (2000, 2004 and 2008) gather</w:t>
                      </w:r>
                      <w:r>
                        <w:rPr>
                          <w:rFonts w:ascii="Arial" w:hAnsi="Arial" w:cs="Arial"/>
                          <w:color w:val="000000"/>
                          <w:sz w:val="18"/>
                          <w:szCs w:val="18"/>
                        </w:rPr>
                        <w:t>ed</w:t>
                      </w:r>
                      <w:r w:rsidRPr="00B74E54">
                        <w:rPr>
                          <w:rFonts w:ascii="Arial" w:hAnsi="Arial" w:cs="Arial"/>
                          <w:color w:val="000000"/>
                          <w:sz w:val="18"/>
                          <w:szCs w:val="18"/>
                        </w:rPr>
                        <w:t xml:space="preserve"> information on NMIs and a report based on the 2008 survey is available on the Ministry’s website.  The HES has also started to collect information on NMIs and </w:t>
                      </w:r>
                      <w:r w:rsidRPr="009D74FF">
                        <w:rPr>
                          <w:rFonts w:ascii="Arial" w:hAnsi="Arial" w:cs="Arial"/>
                          <w:sz w:val="18"/>
                          <w:szCs w:val="18"/>
                        </w:rPr>
                        <w:t xml:space="preserve">this data is used in the main report in </w:t>
                      </w:r>
                      <w:r w:rsidRPr="007641F5">
                        <w:rPr>
                          <w:rFonts w:ascii="Arial" w:hAnsi="Arial" w:cs="Arial"/>
                          <w:color w:val="000000"/>
                          <w:sz w:val="18"/>
                          <w:szCs w:val="18"/>
                        </w:rPr>
                        <w:t>Appendix 6.</w:t>
                      </w:r>
                      <w:r w:rsidRPr="00B74E54">
                        <w:rPr>
                          <w:rFonts w:ascii="Arial" w:hAnsi="Arial" w:cs="Arial"/>
                          <w:b/>
                          <w:color w:val="0000FF"/>
                          <w:sz w:val="18"/>
                          <w:szCs w:val="18"/>
                        </w:rPr>
                        <w:t xml:space="preserve">  </w:t>
                      </w:r>
                    </w:p>
                    <w:p w14:paraId="2A3FEA11" w14:textId="77777777" w:rsidR="004F10CE" w:rsidRDefault="004F10CE" w:rsidP="00A6101E">
                      <w:pPr>
                        <w:jc w:val="both"/>
                      </w:pPr>
                    </w:p>
                  </w:txbxContent>
                </v:textbox>
              </v:shape>
            </w:pict>
          </mc:Fallback>
        </mc:AlternateContent>
      </w:r>
    </w:p>
    <w:p w14:paraId="42AA9D0E" w14:textId="77777777" w:rsidR="00A6101E" w:rsidRDefault="00A6101E" w:rsidP="000370BC">
      <w:pPr>
        <w:ind w:left="360" w:hanging="360"/>
        <w:jc w:val="both"/>
        <w:rPr>
          <w:rFonts w:ascii="Arial" w:hAnsi="Arial" w:cs="Arial"/>
          <w:sz w:val="20"/>
        </w:rPr>
      </w:pPr>
    </w:p>
    <w:p w14:paraId="26580093" w14:textId="77777777" w:rsidR="00A6101E" w:rsidRDefault="00A6101E" w:rsidP="000370BC">
      <w:pPr>
        <w:ind w:left="360" w:hanging="360"/>
        <w:jc w:val="both"/>
        <w:rPr>
          <w:rFonts w:ascii="Arial" w:hAnsi="Arial" w:cs="Arial"/>
          <w:sz w:val="20"/>
        </w:rPr>
      </w:pPr>
    </w:p>
    <w:p w14:paraId="191ABCC1" w14:textId="77777777" w:rsidR="00A6101E" w:rsidRDefault="00A6101E" w:rsidP="000370BC">
      <w:pPr>
        <w:ind w:left="360" w:hanging="360"/>
        <w:jc w:val="both"/>
        <w:rPr>
          <w:rFonts w:ascii="Arial" w:hAnsi="Arial" w:cs="Arial"/>
          <w:sz w:val="20"/>
        </w:rPr>
      </w:pPr>
    </w:p>
    <w:p w14:paraId="31C7F82E" w14:textId="77777777" w:rsidR="00A6101E" w:rsidRDefault="00A6101E" w:rsidP="000370BC">
      <w:pPr>
        <w:ind w:left="360" w:hanging="360"/>
        <w:jc w:val="both"/>
        <w:rPr>
          <w:rFonts w:ascii="Arial" w:hAnsi="Arial" w:cs="Arial"/>
          <w:sz w:val="20"/>
        </w:rPr>
      </w:pPr>
    </w:p>
    <w:p w14:paraId="5F88BBCD" w14:textId="77777777" w:rsidR="00A6101E" w:rsidRDefault="00A6101E" w:rsidP="000370BC">
      <w:pPr>
        <w:ind w:left="360" w:hanging="360"/>
        <w:jc w:val="both"/>
        <w:rPr>
          <w:rFonts w:ascii="Arial" w:hAnsi="Arial" w:cs="Arial"/>
          <w:sz w:val="20"/>
        </w:rPr>
      </w:pPr>
    </w:p>
    <w:p w14:paraId="1B997F11" w14:textId="77777777" w:rsidR="00A6101E" w:rsidRDefault="00A6101E" w:rsidP="000370BC">
      <w:pPr>
        <w:ind w:left="360" w:hanging="360"/>
        <w:jc w:val="both"/>
        <w:rPr>
          <w:rFonts w:ascii="Arial" w:hAnsi="Arial" w:cs="Arial"/>
          <w:sz w:val="20"/>
        </w:rPr>
      </w:pPr>
    </w:p>
    <w:p w14:paraId="6AAC6F9D" w14:textId="77777777" w:rsidR="00A6101E" w:rsidRPr="000370BC" w:rsidRDefault="00A6101E" w:rsidP="000370BC">
      <w:pPr>
        <w:ind w:left="360" w:hanging="360"/>
        <w:jc w:val="both"/>
        <w:rPr>
          <w:rFonts w:ascii="Arial" w:hAnsi="Arial" w:cs="Arial"/>
          <w:sz w:val="20"/>
        </w:rPr>
      </w:pPr>
    </w:p>
    <w:p w14:paraId="7442BBF7" w14:textId="77777777" w:rsidR="000A2F76" w:rsidRDefault="000A2F76" w:rsidP="000370BC">
      <w:pPr>
        <w:rPr>
          <w:rFonts w:ascii="Arial" w:hAnsi="Arial" w:cs="Arial"/>
          <w:b/>
          <w:color w:val="000000"/>
          <w:sz w:val="20"/>
          <w:szCs w:val="22"/>
        </w:rPr>
      </w:pPr>
    </w:p>
    <w:p w14:paraId="3F31DC14" w14:textId="77777777" w:rsidR="000A2F76" w:rsidRDefault="000A2F76" w:rsidP="000370BC">
      <w:pPr>
        <w:rPr>
          <w:rFonts w:ascii="Arial" w:hAnsi="Arial" w:cs="Arial"/>
          <w:b/>
          <w:color w:val="000000"/>
          <w:sz w:val="20"/>
          <w:szCs w:val="22"/>
        </w:rPr>
      </w:pPr>
    </w:p>
    <w:p w14:paraId="76D4D416" w14:textId="77777777" w:rsidR="000A2F76" w:rsidRDefault="000A2F76" w:rsidP="000370BC">
      <w:pPr>
        <w:rPr>
          <w:rFonts w:ascii="Arial" w:hAnsi="Arial" w:cs="Arial"/>
          <w:b/>
          <w:color w:val="000000"/>
          <w:sz w:val="20"/>
          <w:szCs w:val="22"/>
        </w:rPr>
      </w:pPr>
    </w:p>
    <w:p w14:paraId="5DD9549D" w14:textId="77777777" w:rsidR="000A2F76" w:rsidRDefault="000A2F76" w:rsidP="000370BC">
      <w:pPr>
        <w:rPr>
          <w:rFonts w:ascii="Arial" w:hAnsi="Arial" w:cs="Arial"/>
          <w:b/>
          <w:color w:val="000000"/>
          <w:sz w:val="20"/>
          <w:szCs w:val="22"/>
        </w:rPr>
      </w:pPr>
    </w:p>
    <w:p w14:paraId="758FF85A" w14:textId="77777777" w:rsidR="000A2F76" w:rsidRDefault="000A2F76" w:rsidP="000370BC">
      <w:pPr>
        <w:rPr>
          <w:rFonts w:ascii="Arial" w:hAnsi="Arial" w:cs="Arial"/>
          <w:b/>
          <w:color w:val="000000"/>
          <w:sz w:val="20"/>
          <w:szCs w:val="22"/>
        </w:rPr>
      </w:pPr>
    </w:p>
    <w:p w14:paraId="2F37956C" w14:textId="77777777" w:rsidR="000A2F76" w:rsidRDefault="000A2F76" w:rsidP="000370BC">
      <w:pPr>
        <w:rPr>
          <w:rFonts w:ascii="Arial" w:hAnsi="Arial" w:cs="Arial"/>
          <w:b/>
          <w:color w:val="000000"/>
          <w:sz w:val="20"/>
          <w:szCs w:val="22"/>
        </w:rPr>
      </w:pPr>
    </w:p>
    <w:p w14:paraId="026C2C7A" w14:textId="77777777" w:rsidR="000A2F76" w:rsidRDefault="000A2F76" w:rsidP="000370BC">
      <w:pPr>
        <w:rPr>
          <w:rFonts w:ascii="Arial" w:hAnsi="Arial" w:cs="Arial"/>
          <w:b/>
          <w:color w:val="000000"/>
          <w:sz w:val="20"/>
          <w:szCs w:val="22"/>
        </w:rPr>
      </w:pPr>
    </w:p>
    <w:p w14:paraId="0AF2E870" w14:textId="77777777" w:rsidR="000A2F76" w:rsidRDefault="000A2F76" w:rsidP="000370BC">
      <w:pPr>
        <w:rPr>
          <w:rFonts w:ascii="Arial" w:hAnsi="Arial" w:cs="Arial"/>
          <w:b/>
          <w:color w:val="000000"/>
          <w:sz w:val="20"/>
          <w:szCs w:val="22"/>
        </w:rPr>
      </w:pPr>
    </w:p>
    <w:p w14:paraId="23CBD94C" w14:textId="77777777" w:rsidR="00416A0A" w:rsidRDefault="00416A0A" w:rsidP="000370BC">
      <w:pPr>
        <w:rPr>
          <w:rFonts w:ascii="Arial" w:hAnsi="Arial" w:cs="Arial"/>
          <w:b/>
          <w:color w:val="000000"/>
          <w:sz w:val="20"/>
          <w:szCs w:val="22"/>
        </w:rPr>
      </w:pPr>
    </w:p>
    <w:p w14:paraId="5E5C0374" w14:textId="77777777" w:rsidR="000A2F76" w:rsidRDefault="000A2F76" w:rsidP="000370BC">
      <w:pPr>
        <w:rPr>
          <w:rFonts w:ascii="Arial" w:hAnsi="Arial" w:cs="Arial"/>
          <w:b/>
          <w:color w:val="000000"/>
          <w:sz w:val="20"/>
          <w:szCs w:val="22"/>
        </w:rPr>
      </w:pPr>
    </w:p>
    <w:p w14:paraId="0AFD5558" w14:textId="77777777" w:rsidR="000370BC" w:rsidRPr="000370BC" w:rsidRDefault="000370BC" w:rsidP="000370BC">
      <w:pPr>
        <w:rPr>
          <w:rFonts w:ascii="Arial" w:hAnsi="Arial" w:cs="Arial"/>
          <w:b/>
          <w:color w:val="000000"/>
          <w:sz w:val="20"/>
          <w:szCs w:val="22"/>
        </w:rPr>
      </w:pPr>
      <w:r w:rsidRPr="000370BC">
        <w:rPr>
          <w:rFonts w:ascii="Arial" w:hAnsi="Arial" w:cs="Arial"/>
          <w:b/>
          <w:color w:val="000000"/>
          <w:sz w:val="20"/>
          <w:szCs w:val="22"/>
        </w:rPr>
        <w:t>Poverty measures used in the report</w:t>
      </w:r>
    </w:p>
    <w:p w14:paraId="33BFC4D2" w14:textId="77777777" w:rsidR="000370BC" w:rsidRPr="000370BC" w:rsidRDefault="000370BC" w:rsidP="000370BC">
      <w:pPr>
        <w:ind w:left="360"/>
        <w:rPr>
          <w:rFonts w:ascii="Arial" w:hAnsi="Arial" w:cs="Arial"/>
          <w:color w:val="000000"/>
          <w:sz w:val="20"/>
          <w:szCs w:val="22"/>
        </w:rPr>
      </w:pPr>
    </w:p>
    <w:p w14:paraId="5EEE7A70"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Poverty in </w:t>
      </w:r>
      <w:r w:rsidR="00494184">
        <w:rPr>
          <w:rFonts w:ascii="Arial" w:hAnsi="Arial" w:cs="Arial"/>
          <w:color w:val="000000"/>
          <w:sz w:val="20"/>
          <w:szCs w:val="22"/>
        </w:rPr>
        <w:t>developed</w:t>
      </w:r>
      <w:r w:rsidRPr="000370BC">
        <w:rPr>
          <w:rFonts w:ascii="Arial" w:hAnsi="Arial" w:cs="Arial"/>
          <w:color w:val="000000"/>
          <w:sz w:val="20"/>
          <w:szCs w:val="22"/>
        </w:rPr>
        <w:t xml:space="preserve"> nations is about relative disadvantage – it is about households and individuals who have a day-to-day standard of living or access to resources that fall below a minimum acceptable community standard. </w:t>
      </w:r>
    </w:p>
    <w:p w14:paraId="7DDC05D5" w14:textId="77777777" w:rsidR="000370BC" w:rsidRPr="000370BC" w:rsidRDefault="000370BC" w:rsidP="000370BC">
      <w:pPr>
        <w:ind w:left="360"/>
        <w:jc w:val="both"/>
        <w:rPr>
          <w:rFonts w:ascii="Arial" w:hAnsi="Arial" w:cs="Arial"/>
          <w:color w:val="000000"/>
          <w:sz w:val="20"/>
          <w:szCs w:val="22"/>
        </w:rPr>
      </w:pPr>
    </w:p>
    <w:p w14:paraId="7CD8B2D6" w14:textId="77777777" w:rsidR="009D74FF"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 xml:space="preserve">This report uses household income as an indicator of resources available to households.  </w:t>
      </w:r>
    </w:p>
    <w:p w14:paraId="2051C2B1" w14:textId="77777777" w:rsidR="009D74FF" w:rsidRDefault="009D74FF" w:rsidP="009D74FF">
      <w:pPr>
        <w:ind w:left="360"/>
        <w:jc w:val="both"/>
        <w:rPr>
          <w:rFonts w:ascii="Arial" w:hAnsi="Arial" w:cs="Arial"/>
          <w:color w:val="000000"/>
          <w:sz w:val="20"/>
          <w:szCs w:val="22"/>
        </w:rPr>
      </w:pPr>
    </w:p>
    <w:p w14:paraId="7BA6B905" w14:textId="77777777" w:rsidR="000370BC" w:rsidRDefault="009D74FF" w:rsidP="000370BC">
      <w:pPr>
        <w:numPr>
          <w:ilvl w:val="0"/>
          <w:numId w:val="5"/>
        </w:numPr>
        <w:jc w:val="both"/>
        <w:rPr>
          <w:rFonts w:ascii="Arial" w:hAnsi="Arial" w:cs="Arial"/>
          <w:color w:val="000000"/>
          <w:sz w:val="20"/>
          <w:szCs w:val="22"/>
        </w:rPr>
      </w:pPr>
      <w:r>
        <w:rPr>
          <w:rFonts w:ascii="Arial" w:hAnsi="Arial" w:cs="Arial"/>
          <w:color w:val="000000"/>
          <w:sz w:val="20"/>
          <w:szCs w:val="22"/>
        </w:rPr>
        <w:t xml:space="preserve">New Zealand does not have an official poverty measure.  </w:t>
      </w:r>
      <w:r w:rsidR="000370BC" w:rsidRPr="000370BC">
        <w:rPr>
          <w:rFonts w:ascii="Arial" w:hAnsi="Arial" w:cs="Arial"/>
          <w:color w:val="000000"/>
          <w:sz w:val="20"/>
          <w:szCs w:val="22"/>
        </w:rPr>
        <w:t>The low-income thresholds or poverty lines used</w:t>
      </w:r>
      <w:r>
        <w:rPr>
          <w:rFonts w:ascii="Arial" w:hAnsi="Arial" w:cs="Arial"/>
          <w:color w:val="000000"/>
          <w:sz w:val="20"/>
          <w:szCs w:val="22"/>
        </w:rPr>
        <w:t xml:space="preserve"> in the report</w:t>
      </w:r>
      <w:r w:rsidR="000370BC" w:rsidRPr="000370BC">
        <w:rPr>
          <w:rFonts w:ascii="Arial" w:hAnsi="Arial" w:cs="Arial"/>
          <w:color w:val="000000"/>
          <w:sz w:val="20"/>
          <w:szCs w:val="22"/>
        </w:rPr>
        <w:t xml:space="preserve"> (50% and 60% of median household income) are widely used in the EU and OECD nations.</w:t>
      </w:r>
    </w:p>
    <w:p w14:paraId="4614E1E9" w14:textId="77777777" w:rsidR="009D74FF" w:rsidRDefault="009D74FF" w:rsidP="009D74FF">
      <w:pPr>
        <w:ind w:left="360"/>
        <w:jc w:val="both"/>
        <w:rPr>
          <w:rFonts w:ascii="Arial" w:hAnsi="Arial" w:cs="Arial"/>
          <w:color w:val="000000"/>
          <w:sz w:val="20"/>
          <w:szCs w:val="22"/>
        </w:rPr>
      </w:pPr>
    </w:p>
    <w:p w14:paraId="2A2B9378" w14:textId="77777777" w:rsidR="000370BC" w:rsidRPr="000370BC" w:rsidRDefault="00416A0A" w:rsidP="00897538">
      <w:pPr>
        <w:numPr>
          <w:ilvl w:val="0"/>
          <w:numId w:val="5"/>
        </w:numPr>
        <w:spacing w:after="60"/>
        <w:jc w:val="both"/>
        <w:rPr>
          <w:rFonts w:ascii="Arial" w:hAnsi="Arial" w:cs="Arial"/>
          <w:color w:val="000000"/>
          <w:sz w:val="20"/>
          <w:szCs w:val="22"/>
        </w:rPr>
      </w:pPr>
      <w:r>
        <w:rPr>
          <w:rFonts w:ascii="Arial" w:hAnsi="Arial" w:cs="Arial"/>
          <w:color w:val="000000"/>
          <w:sz w:val="20"/>
          <w:szCs w:val="22"/>
        </w:rPr>
        <w:br w:type="page"/>
      </w:r>
      <w:r w:rsidR="000370BC" w:rsidRPr="000370BC">
        <w:rPr>
          <w:rFonts w:ascii="Arial" w:hAnsi="Arial" w:cs="Arial"/>
          <w:color w:val="000000"/>
          <w:sz w:val="20"/>
          <w:szCs w:val="22"/>
        </w:rPr>
        <w:lastRenderedPageBreak/>
        <w:t xml:space="preserve">The report uses two quite different ways of updating the low-income thresholds or ‘poverty lines’ over time and reports trends using both approaches.  </w:t>
      </w:r>
    </w:p>
    <w:p w14:paraId="64C524AE" w14:textId="77777777" w:rsidR="000370BC" w:rsidRPr="000370BC" w:rsidRDefault="000370BC" w:rsidP="00897538">
      <w:pPr>
        <w:numPr>
          <w:ilvl w:val="0"/>
          <w:numId w:val="6"/>
        </w:numPr>
        <w:tabs>
          <w:tab w:val="clear" w:pos="720"/>
          <w:tab w:val="num" w:pos="1080"/>
        </w:tabs>
        <w:spacing w:after="60"/>
        <w:ind w:left="1080" w:hanging="274"/>
        <w:jc w:val="both"/>
        <w:rPr>
          <w:rFonts w:ascii="Arial" w:hAnsi="Arial" w:cs="Arial"/>
          <w:color w:val="000000"/>
          <w:sz w:val="20"/>
          <w:szCs w:val="22"/>
        </w:rPr>
      </w:pPr>
      <w:r w:rsidRPr="000370BC">
        <w:rPr>
          <w:rFonts w:ascii="Arial" w:hAnsi="Arial" w:cs="Arial"/>
          <w:color w:val="000000"/>
          <w:sz w:val="20"/>
          <w:szCs w:val="22"/>
        </w:rPr>
        <w:t xml:space="preserve">The </w:t>
      </w:r>
      <w:r w:rsidRPr="000370BC">
        <w:rPr>
          <w:rFonts w:ascii="Arial" w:hAnsi="Arial" w:cs="Arial"/>
          <w:color w:val="000000"/>
          <w:sz w:val="20"/>
          <w:szCs w:val="22"/>
          <w:u w:val="single"/>
        </w:rPr>
        <w:t>‘fixed line’ approach</w:t>
      </w:r>
      <w:r w:rsidRPr="000370BC">
        <w:rPr>
          <w:rFonts w:ascii="Arial" w:hAnsi="Arial" w:cs="Arial"/>
          <w:color w:val="000000"/>
          <w:sz w:val="20"/>
          <w:szCs w:val="22"/>
        </w:rPr>
        <w:t xml:space="preserve"> </w:t>
      </w:r>
      <w:r w:rsidR="00416A0A">
        <w:rPr>
          <w:rFonts w:ascii="Arial" w:hAnsi="Arial" w:cs="Arial"/>
          <w:color w:val="000000"/>
          <w:sz w:val="20"/>
          <w:szCs w:val="22"/>
        </w:rPr>
        <w:t xml:space="preserve">anchors the poverty line in a reference year, then adjusts </w:t>
      </w:r>
      <w:r w:rsidRPr="000370BC">
        <w:rPr>
          <w:rFonts w:ascii="Arial" w:hAnsi="Arial" w:cs="Arial"/>
          <w:color w:val="000000"/>
          <w:sz w:val="20"/>
          <w:szCs w:val="22"/>
        </w:rPr>
        <w:t>it each survey with the CPI.  On this approach a household’s situation is considered to have improved if its income rises in real terms, irrespective of whether its rising income makes it any closer or further away from the middle or average househol</w:t>
      </w:r>
      <w:r w:rsidR="004920F5">
        <w:rPr>
          <w:rFonts w:ascii="Arial" w:hAnsi="Arial" w:cs="Arial"/>
          <w:color w:val="000000"/>
          <w:sz w:val="20"/>
          <w:szCs w:val="22"/>
        </w:rPr>
        <w:t>d. The reference year has to be updated from time to time to reflect changing middle incomes and the associated changing notions of a minimum acceptable standard.</w:t>
      </w:r>
    </w:p>
    <w:p w14:paraId="7A1D08FD" w14:textId="77777777" w:rsidR="000370BC" w:rsidRPr="000370BC" w:rsidRDefault="000370BC" w:rsidP="00044F09">
      <w:pPr>
        <w:numPr>
          <w:ilvl w:val="0"/>
          <w:numId w:val="6"/>
        </w:numPr>
        <w:tabs>
          <w:tab w:val="clear" w:pos="720"/>
          <w:tab w:val="num" w:pos="1080"/>
        </w:tabs>
        <w:ind w:left="1080" w:hanging="274"/>
        <w:jc w:val="both"/>
        <w:rPr>
          <w:rFonts w:ascii="Arial" w:hAnsi="Arial" w:cs="Arial"/>
          <w:color w:val="000000"/>
          <w:sz w:val="20"/>
          <w:szCs w:val="22"/>
        </w:rPr>
      </w:pPr>
      <w:r w:rsidRPr="000370BC">
        <w:rPr>
          <w:rFonts w:ascii="Arial" w:hAnsi="Arial" w:cs="Arial"/>
          <w:color w:val="000000"/>
          <w:sz w:val="20"/>
          <w:szCs w:val="22"/>
        </w:rPr>
        <w:t xml:space="preserve">The </w:t>
      </w:r>
      <w:r w:rsidRPr="000370BC">
        <w:rPr>
          <w:rFonts w:ascii="Arial" w:hAnsi="Arial" w:cs="Arial"/>
          <w:color w:val="000000"/>
          <w:sz w:val="20"/>
          <w:szCs w:val="22"/>
          <w:u w:val="single"/>
        </w:rPr>
        <w:t>‘moving line’ or ‘relative’ approach</w:t>
      </w:r>
      <w:r w:rsidRPr="000370BC">
        <w:rPr>
          <w:rFonts w:ascii="Arial" w:hAnsi="Arial" w:cs="Arial"/>
          <w:color w:val="000000"/>
          <w:sz w:val="20"/>
          <w:szCs w:val="22"/>
        </w:rPr>
        <w:t xml:space="preserve"> sets the poverty line as a proportion of the median income from each survey so that the threshold changes in step with the incomes of those in the middle of the income distribution.  On this approach the situation of a low-income household is considered to have improved if its income gets closer to that of the median household, irrespective of whether it is better or worse off in real terms.</w:t>
      </w:r>
    </w:p>
    <w:p w14:paraId="46EED3B0" w14:textId="77777777" w:rsidR="000370BC" w:rsidRPr="000370BC" w:rsidRDefault="000370BC" w:rsidP="000370BC">
      <w:pPr>
        <w:ind w:left="360"/>
        <w:jc w:val="both"/>
        <w:rPr>
          <w:rFonts w:ascii="Arial" w:hAnsi="Arial" w:cs="Arial"/>
          <w:color w:val="000000"/>
          <w:sz w:val="20"/>
          <w:szCs w:val="22"/>
        </w:rPr>
      </w:pPr>
    </w:p>
    <w:p w14:paraId="533BD17E" w14:textId="77777777" w:rsidR="00D61B17" w:rsidRPr="000370BC" w:rsidRDefault="00D61B17" w:rsidP="00D61B17">
      <w:pPr>
        <w:numPr>
          <w:ilvl w:val="0"/>
          <w:numId w:val="13"/>
        </w:numPr>
        <w:jc w:val="both"/>
        <w:rPr>
          <w:rFonts w:ascii="Arial" w:hAnsi="Arial" w:cs="Arial"/>
          <w:color w:val="000000"/>
          <w:sz w:val="20"/>
          <w:szCs w:val="22"/>
        </w:rPr>
      </w:pPr>
      <w:r>
        <w:rPr>
          <w:rFonts w:ascii="Arial" w:hAnsi="Arial" w:cs="Arial"/>
          <w:color w:val="000000"/>
          <w:sz w:val="20"/>
          <w:szCs w:val="22"/>
        </w:rPr>
        <w:t xml:space="preserve">Prior to the </w:t>
      </w:r>
      <w:r w:rsidR="00BD173B">
        <w:rPr>
          <w:rFonts w:ascii="Arial" w:hAnsi="Arial" w:cs="Arial"/>
          <w:color w:val="000000"/>
          <w:sz w:val="20"/>
          <w:szCs w:val="22"/>
        </w:rPr>
        <w:t>last year’s</w:t>
      </w:r>
      <w:r>
        <w:rPr>
          <w:rFonts w:ascii="Arial" w:hAnsi="Arial" w:cs="Arial"/>
          <w:color w:val="000000"/>
          <w:sz w:val="20"/>
          <w:szCs w:val="22"/>
        </w:rPr>
        <w:t xml:space="preserve"> report, 1998 was used as the reference year</w:t>
      </w:r>
      <w:r w:rsidR="000F3C86">
        <w:rPr>
          <w:rFonts w:ascii="Arial" w:hAnsi="Arial" w:cs="Arial"/>
          <w:color w:val="000000"/>
          <w:sz w:val="20"/>
          <w:szCs w:val="22"/>
        </w:rPr>
        <w:t xml:space="preserve"> for the ‘fixed line’ approach</w:t>
      </w:r>
      <w:r>
        <w:rPr>
          <w:rFonts w:ascii="Arial" w:hAnsi="Arial" w:cs="Arial"/>
          <w:color w:val="000000"/>
          <w:sz w:val="20"/>
          <w:szCs w:val="22"/>
        </w:rPr>
        <w:t xml:space="preserve">. </w:t>
      </w:r>
      <w:r w:rsidR="00AB70EB">
        <w:rPr>
          <w:rFonts w:ascii="Arial" w:hAnsi="Arial" w:cs="Arial"/>
          <w:color w:val="000000"/>
          <w:sz w:val="20"/>
          <w:szCs w:val="22"/>
        </w:rPr>
        <w:t>The rapid rise in median income from</w:t>
      </w:r>
      <w:r>
        <w:rPr>
          <w:rFonts w:ascii="Arial" w:hAnsi="Arial" w:cs="Arial"/>
          <w:color w:val="000000"/>
          <w:sz w:val="20"/>
          <w:szCs w:val="22"/>
        </w:rPr>
        <w:t xml:space="preserve"> 1998 to 2009 (27% in real terms) led to a</w:t>
      </w:r>
      <w:r w:rsidRPr="000370BC">
        <w:rPr>
          <w:rFonts w:ascii="Arial" w:hAnsi="Arial" w:cs="Arial"/>
          <w:color w:val="000000"/>
          <w:sz w:val="20"/>
          <w:szCs w:val="22"/>
        </w:rPr>
        <w:t xml:space="preserve"> change of reference year to 2007</w:t>
      </w:r>
      <w:r>
        <w:rPr>
          <w:rFonts w:ascii="Arial" w:hAnsi="Arial" w:cs="Arial"/>
          <w:color w:val="000000"/>
          <w:sz w:val="20"/>
          <w:szCs w:val="22"/>
        </w:rPr>
        <w:t xml:space="preserve"> </w:t>
      </w:r>
      <w:r w:rsidR="00BD173B">
        <w:rPr>
          <w:rFonts w:ascii="Arial" w:hAnsi="Arial" w:cs="Arial"/>
          <w:color w:val="000000"/>
          <w:sz w:val="20"/>
          <w:szCs w:val="22"/>
        </w:rPr>
        <w:t>in last year’s</w:t>
      </w:r>
      <w:r>
        <w:rPr>
          <w:rFonts w:ascii="Arial" w:hAnsi="Arial" w:cs="Arial"/>
          <w:color w:val="000000"/>
          <w:sz w:val="20"/>
          <w:szCs w:val="22"/>
        </w:rPr>
        <w:t xml:space="preserve"> report.</w:t>
      </w:r>
    </w:p>
    <w:p w14:paraId="38E09E59" w14:textId="77777777" w:rsidR="00D61B17" w:rsidRDefault="00D61B17" w:rsidP="00D61B17">
      <w:pPr>
        <w:ind w:left="360"/>
        <w:jc w:val="both"/>
        <w:rPr>
          <w:rFonts w:ascii="Arial" w:hAnsi="Arial" w:cs="Arial"/>
          <w:color w:val="000000"/>
          <w:sz w:val="20"/>
          <w:szCs w:val="22"/>
        </w:rPr>
      </w:pPr>
    </w:p>
    <w:p w14:paraId="1C27926D" w14:textId="77777777" w:rsidR="000F3C86" w:rsidRDefault="000F3C86" w:rsidP="004920F5">
      <w:pPr>
        <w:numPr>
          <w:ilvl w:val="0"/>
          <w:numId w:val="13"/>
        </w:numPr>
        <w:spacing w:after="60"/>
        <w:jc w:val="both"/>
        <w:rPr>
          <w:rFonts w:ascii="Arial" w:hAnsi="Arial" w:cs="Arial"/>
          <w:color w:val="000000"/>
          <w:sz w:val="20"/>
          <w:szCs w:val="22"/>
        </w:rPr>
      </w:pPr>
      <w:r>
        <w:rPr>
          <w:rFonts w:ascii="Arial" w:hAnsi="Arial" w:cs="Arial"/>
          <w:color w:val="000000"/>
          <w:sz w:val="20"/>
          <w:szCs w:val="22"/>
        </w:rPr>
        <w:t xml:space="preserve">The change of reference year from 1998 to 2007 has implications for reporting on trends </w:t>
      </w:r>
      <w:r w:rsidR="008B42AF">
        <w:rPr>
          <w:rFonts w:ascii="Arial" w:hAnsi="Arial" w:cs="Arial"/>
          <w:color w:val="000000"/>
          <w:sz w:val="20"/>
          <w:szCs w:val="22"/>
        </w:rPr>
        <w:t xml:space="preserve">using </w:t>
      </w:r>
      <w:r w:rsidR="00897538">
        <w:rPr>
          <w:rFonts w:ascii="Arial" w:hAnsi="Arial" w:cs="Arial"/>
          <w:color w:val="000000"/>
          <w:sz w:val="20"/>
          <w:szCs w:val="22"/>
        </w:rPr>
        <w:t>the fixed line approach.</w:t>
      </w:r>
      <w:r>
        <w:rPr>
          <w:rFonts w:ascii="Arial" w:hAnsi="Arial" w:cs="Arial"/>
          <w:color w:val="000000"/>
          <w:sz w:val="20"/>
          <w:szCs w:val="22"/>
        </w:rPr>
        <w:t xml:space="preserve">  For example, a 60% of median poverty line </w:t>
      </w:r>
      <w:r w:rsidR="00AB70EB">
        <w:rPr>
          <w:rFonts w:ascii="Arial" w:hAnsi="Arial" w:cs="Arial"/>
          <w:color w:val="000000"/>
          <w:sz w:val="20"/>
          <w:szCs w:val="22"/>
        </w:rPr>
        <w:t>with</w:t>
      </w:r>
      <w:r>
        <w:rPr>
          <w:rFonts w:ascii="Arial" w:hAnsi="Arial" w:cs="Arial"/>
          <w:color w:val="000000"/>
          <w:sz w:val="20"/>
          <w:szCs w:val="22"/>
        </w:rPr>
        <w:t xml:space="preserve"> 2007 as the reference is equivalent to an 80% poverty line in 1994.   The </w:t>
      </w:r>
      <w:r w:rsidR="004920F5">
        <w:rPr>
          <w:rFonts w:ascii="Arial" w:hAnsi="Arial" w:cs="Arial"/>
          <w:color w:val="000000"/>
          <w:sz w:val="20"/>
          <w:szCs w:val="22"/>
        </w:rPr>
        <w:t xml:space="preserve">general </w:t>
      </w:r>
      <w:r>
        <w:rPr>
          <w:rFonts w:ascii="Arial" w:hAnsi="Arial" w:cs="Arial"/>
          <w:color w:val="000000"/>
          <w:sz w:val="20"/>
          <w:szCs w:val="22"/>
        </w:rPr>
        <w:t>trend from 1994 to 201</w:t>
      </w:r>
      <w:r w:rsidR="00897538">
        <w:rPr>
          <w:rFonts w:ascii="Arial" w:hAnsi="Arial" w:cs="Arial"/>
          <w:color w:val="000000"/>
          <w:sz w:val="20"/>
          <w:szCs w:val="22"/>
        </w:rPr>
        <w:t>0 on this measure</w:t>
      </w:r>
      <w:r w:rsidR="00AB70EB">
        <w:rPr>
          <w:rFonts w:ascii="Arial" w:hAnsi="Arial" w:cs="Arial"/>
          <w:color w:val="000000"/>
          <w:sz w:val="20"/>
          <w:szCs w:val="22"/>
        </w:rPr>
        <w:t xml:space="preserve"> is similar to what it is using 1998 as the reference year,</w:t>
      </w:r>
      <w:r w:rsidR="00897538">
        <w:rPr>
          <w:rFonts w:ascii="Arial" w:hAnsi="Arial" w:cs="Arial"/>
          <w:color w:val="000000"/>
          <w:sz w:val="20"/>
          <w:szCs w:val="22"/>
        </w:rPr>
        <w:t xml:space="preserve"> </w:t>
      </w:r>
      <w:r>
        <w:rPr>
          <w:rFonts w:ascii="Arial" w:hAnsi="Arial" w:cs="Arial"/>
          <w:color w:val="000000"/>
          <w:sz w:val="20"/>
          <w:szCs w:val="22"/>
        </w:rPr>
        <w:t xml:space="preserve">but the actual reported poverty rate for 1994 </w:t>
      </w:r>
      <w:r w:rsidR="008B42AF">
        <w:rPr>
          <w:rFonts w:ascii="Arial" w:hAnsi="Arial" w:cs="Arial"/>
          <w:color w:val="000000"/>
          <w:sz w:val="20"/>
          <w:szCs w:val="22"/>
        </w:rPr>
        <w:t>is</w:t>
      </w:r>
      <w:r>
        <w:rPr>
          <w:rFonts w:ascii="Arial" w:hAnsi="Arial" w:cs="Arial"/>
          <w:color w:val="000000"/>
          <w:sz w:val="20"/>
          <w:szCs w:val="22"/>
        </w:rPr>
        <w:t xml:space="preserve"> unrealistically high.  The report addresses these issues by:</w:t>
      </w:r>
    </w:p>
    <w:p w14:paraId="35292E20" w14:textId="77777777" w:rsidR="000F3C86" w:rsidRDefault="00AB70EB" w:rsidP="004920F5">
      <w:pPr>
        <w:numPr>
          <w:ilvl w:val="0"/>
          <w:numId w:val="16"/>
        </w:numPr>
        <w:tabs>
          <w:tab w:val="clear" w:pos="720"/>
          <w:tab w:val="num" w:pos="1080"/>
        </w:tabs>
        <w:spacing w:after="60"/>
        <w:ind w:left="1080" w:hanging="270"/>
        <w:jc w:val="both"/>
        <w:rPr>
          <w:rFonts w:ascii="Arial" w:hAnsi="Arial" w:cs="Arial"/>
          <w:color w:val="000000"/>
          <w:sz w:val="20"/>
          <w:szCs w:val="22"/>
        </w:rPr>
      </w:pPr>
      <w:r>
        <w:rPr>
          <w:rFonts w:ascii="Arial" w:hAnsi="Arial" w:cs="Arial"/>
          <w:color w:val="000000"/>
          <w:sz w:val="20"/>
          <w:szCs w:val="22"/>
        </w:rPr>
        <w:t>reporting</w:t>
      </w:r>
      <w:r w:rsidR="000F3C86">
        <w:rPr>
          <w:rFonts w:ascii="Arial" w:hAnsi="Arial" w:cs="Arial"/>
          <w:color w:val="000000"/>
          <w:sz w:val="20"/>
          <w:szCs w:val="22"/>
        </w:rPr>
        <w:t xml:space="preserve"> p</w:t>
      </w:r>
      <w:r w:rsidR="00E31EA4">
        <w:rPr>
          <w:rFonts w:ascii="Arial" w:hAnsi="Arial" w:cs="Arial"/>
          <w:color w:val="000000"/>
          <w:sz w:val="20"/>
          <w:szCs w:val="22"/>
        </w:rPr>
        <w:t xml:space="preserve">overty figures back to 2001 </w:t>
      </w:r>
      <w:r w:rsidR="000F3C86">
        <w:rPr>
          <w:rFonts w:ascii="Arial" w:hAnsi="Arial" w:cs="Arial"/>
          <w:color w:val="000000"/>
          <w:sz w:val="20"/>
          <w:szCs w:val="22"/>
        </w:rPr>
        <w:t>using the 2007 reference year</w:t>
      </w:r>
      <w:r w:rsidR="00435A38">
        <w:rPr>
          <w:rFonts w:ascii="Arial" w:hAnsi="Arial" w:cs="Arial"/>
          <w:color w:val="000000"/>
          <w:sz w:val="20"/>
          <w:szCs w:val="22"/>
        </w:rPr>
        <w:t>,</w:t>
      </w:r>
      <w:r w:rsidR="000F3C86">
        <w:rPr>
          <w:rFonts w:ascii="Arial" w:hAnsi="Arial" w:cs="Arial"/>
          <w:color w:val="000000"/>
          <w:sz w:val="20"/>
          <w:szCs w:val="22"/>
        </w:rPr>
        <w:t xml:space="preserve"> </w:t>
      </w:r>
      <w:r w:rsidR="00D61B17">
        <w:rPr>
          <w:rFonts w:ascii="Arial" w:hAnsi="Arial" w:cs="Arial"/>
          <w:color w:val="000000"/>
          <w:sz w:val="20"/>
          <w:szCs w:val="22"/>
        </w:rPr>
        <w:t>to give an indication of more recent changes</w:t>
      </w:r>
      <w:r w:rsidR="008B42AF">
        <w:rPr>
          <w:rFonts w:ascii="Arial" w:hAnsi="Arial" w:cs="Arial"/>
          <w:color w:val="000000"/>
          <w:sz w:val="20"/>
          <w:szCs w:val="22"/>
        </w:rPr>
        <w:t xml:space="preserve"> on this measure</w:t>
      </w:r>
      <w:r w:rsidR="000F3C86">
        <w:rPr>
          <w:rFonts w:ascii="Arial" w:hAnsi="Arial" w:cs="Arial"/>
          <w:color w:val="000000"/>
          <w:sz w:val="20"/>
          <w:szCs w:val="22"/>
        </w:rPr>
        <w:t xml:space="preserve"> </w:t>
      </w:r>
    </w:p>
    <w:p w14:paraId="07DB42E4" w14:textId="77777777" w:rsidR="000370BC" w:rsidRPr="000370BC" w:rsidRDefault="00AB70EB" w:rsidP="00044F09">
      <w:pPr>
        <w:numPr>
          <w:ilvl w:val="0"/>
          <w:numId w:val="16"/>
        </w:numPr>
        <w:tabs>
          <w:tab w:val="clear" w:pos="720"/>
          <w:tab w:val="num" w:pos="1080"/>
        </w:tabs>
        <w:ind w:left="1080" w:hanging="270"/>
        <w:jc w:val="both"/>
        <w:rPr>
          <w:rFonts w:ascii="Arial" w:hAnsi="Arial" w:cs="Arial"/>
          <w:color w:val="000000"/>
          <w:sz w:val="20"/>
          <w:szCs w:val="22"/>
        </w:rPr>
      </w:pPr>
      <w:r>
        <w:rPr>
          <w:rFonts w:ascii="Arial" w:hAnsi="Arial" w:cs="Arial"/>
          <w:color w:val="000000"/>
          <w:sz w:val="20"/>
          <w:szCs w:val="22"/>
        </w:rPr>
        <w:t>reporting</w:t>
      </w:r>
      <w:r w:rsidR="000F3C86">
        <w:rPr>
          <w:rFonts w:ascii="Arial" w:hAnsi="Arial" w:cs="Arial"/>
          <w:color w:val="000000"/>
          <w:sz w:val="20"/>
          <w:szCs w:val="22"/>
        </w:rPr>
        <w:t xml:space="preserve"> poverty figures from 1982 to 200</w:t>
      </w:r>
      <w:r w:rsidR="00435A38">
        <w:rPr>
          <w:rFonts w:ascii="Arial" w:hAnsi="Arial" w:cs="Arial"/>
          <w:color w:val="000000"/>
          <w:sz w:val="20"/>
          <w:szCs w:val="22"/>
        </w:rPr>
        <w:t>7</w:t>
      </w:r>
      <w:r w:rsidR="000F3C86">
        <w:rPr>
          <w:rFonts w:ascii="Arial" w:hAnsi="Arial" w:cs="Arial"/>
          <w:color w:val="000000"/>
          <w:sz w:val="20"/>
          <w:szCs w:val="22"/>
        </w:rPr>
        <w:t xml:space="preserve"> using the 1998 reference year, thus giving a </w:t>
      </w:r>
      <w:r w:rsidR="00897538">
        <w:rPr>
          <w:rFonts w:ascii="Arial" w:hAnsi="Arial" w:cs="Arial"/>
          <w:color w:val="000000"/>
          <w:sz w:val="20"/>
          <w:szCs w:val="22"/>
        </w:rPr>
        <w:t>six</w:t>
      </w:r>
      <w:r w:rsidR="000F3C86">
        <w:rPr>
          <w:rFonts w:ascii="Arial" w:hAnsi="Arial" w:cs="Arial"/>
          <w:color w:val="000000"/>
          <w:sz w:val="20"/>
          <w:szCs w:val="22"/>
        </w:rPr>
        <w:t xml:space="preserve"> year overlap</w:t>
      </w:r>
      <w:r w:rsidR="00435A38">
        <w:rPr>
          <w:rFonts w:ascii="Arial" w:hAnsi="Arial" w:cs="Arial"/>
          <w:color w:val="000000"/>
          <w:sz w:val="20"/>
          <w:szCs w:val="22"/>
        </w:rPr>
        <w:t xml:space="preserve"> (2001 to 2007)</w:t>
      </w:r>
      <w:r w:rsidR="000F3C86">
        <w:rPr>
          <w:rFonts w:ascii="Arial" w:hAnsi="Arial" w:cs="Arial"/>
          <w:color w:val="000000"/>
          <w:sz w:val="20"/>
          <w:szCs w:val="22"/>
        </w:rPr>
        <w:t xml:space="preserve"> using both measures</w:t>
      </w:r>
      <w:r w:rsidR="00435A38">
        <w:rPr>
          <w:rFonts w:ascii="Arial" w:hAnsi="Arial" w:cs="Arial"/>
          <w:color w:val="000000"/>
          <w:sz w:val="20"/>
          <w:szCs w:val="22"/>
        </w:rPr>
        <w:t>.</w:t>
      </w:r>
    </w:p>
    <w:p w14:paraId="01A1E053" w14:textId="77777777" w:rsidR="000370BC" w:rsidRPr="000370BC" w:rsidRDefault="000370BC" w:rsidP="000370BC">
      <w:pPr>
        <w:ind w:left="360"/>
        <w:jc w:val="both"/>
        <w:rPr>
          <w:rFonts w:ascii="Arial" w:hAnsi="Arial" w:cs="Arial"/>
          <w:color w:val="000000"/>
          <w:sz w:val="20"/>
          <w:szCs w:val="22"/>
        </w:rPr>
      </w:pPr>
    </w:p>
    <w:p w14:paraId="3A278C2C" w14:textId="77777777" w:rsidR="000370BC" w:rsidRPr="000370BC" w:rsidRDefault="000370BC" w:rsidP="000370BC">
      <w:pPr>
        <w:numPr>
          <w:ilvl w:val="0"/>
          <w:numId w:val="5"/>
        </w:numPr>
        <w:jc w:val="both"/>
        <w:rPr>
          <w:rFonts w:ascii="Arial" w:hAnsi="Arial" w:cs="Arial"/>
          <w:color w:val="000000"/>
          <w:sz w:val="20"/>
          <w:szCs w:val="22"/>
        </w:rPr>
      </w:pPr>
      <w:r w:rsidRPr="000370BC">
        <w:rPr>
          <w:rFonts w:ascii="Arial" w:hAnsi="Arial" w:cs="Arial"/>
          <w:color w:val="000000"/>
          <w:sz w:val="20"/>
          <w:szCs w:val="22"/>
        </w:rPr>
        <w:t>T</w:t>
      </w:r>
      <w:r w:rsidR="008B42AF">
        <w:rPr>
          <w:rFonts w:ascii="Arial" w:hAnsi="Arial" w:cs="Arial"/>
          <w:color w:val="000000"/>
          <w:sz w:val="20"/>
          <w:szCs w:val="22"/>
        </w:rPr>
        <w:t>he report takes fixed line</w:t>
      </w:r>
      <w:r w:rsidRPr="000370BC">
        <w:rPr>
          <w:rFonts w:ascii="Arial" w:hAnsi="Arial" w:cs="Arial"/>
          <w:color w:val="000000"/>
          <w:sz w:val="20"/>
          <w:szCs w:val="22"/>
        </w:rPr>
        <w:t xml:space="preserve"> measures as the more fundamental in the sense that they reveal whether the incomes of low-income households are rising or falling in real terms.  Whatever is happening to the incomes of the ‘non-poor’, if more and more</w:t>
      </w:r>
      <w:r w:rsidR="008B42AF">
        <w:rPr>
          <w:rFonts w:ascii="Arial" w:hAnsi="Arial" w:cs="Arial"/>
          <w:color w:val="000000"/>
          <w:sz w:val="20"/>
          <w:szCs w:val="22"/>
        </w:rPr>
        <w:t xml:space="preserve"> people end up falling below a fixed line</w:t>
      </w:r>
      <w:r w:rsidRPr="000370BC">
        <w:rPr>
          <w:rFonts w:ascii="Arial" w:hAnsi="Arial" w:cs="Arial"/>
          <w:color w:val="000000"/>
          <w:sz w:val="20"/>
          <w:szCs w:val="22"/>
        </w:rPr>
        <w:t xml:space="preserve"> threshold, then in the population at large there is likely to be wide concern about increasing poverty</w:t>
      </w:r>
      <w:r w:rsidR="004920F5">
        <w:rPr>
          <w:rFonts w:ascii="Arial" w:hAnsi="Arial" w:cs="Arial"/>
          <w:color w:val="000000"/>
          <w:sz w:val="20"/>
          <w:szCs w:val="22"/>
        </w:rPr>
        <w:t xml:space="preserve"> and hardship</w:t>
      </w:r>
      <w:r w:rsidRPr="000370BC">
        <w:rPr>
          <w:rFonts w:ascii="Arial" w:hAnsi="Arial" w:cs="Arial"/>
          <w:color w:val="000000"/>
          <w:sz w:val="20"/>
          <w:szCs w:val="22"/>
        </w:rPr>
        <w:t>.</w:t>
      </w:r>
    </w:p>
    <w:p w14:paraId="1A393A6C" w14:textId="77777777" w:rsidR="000370BC" w:rsidRPr="000370BC" w:rsidRDefault="000370BC" w:rsidP="000370BC">
      <w:pPr>
        <w:ind w:left="360"/>
        <w:jc w:val="both"/>
        <w:rPr>
          <w:rFonts w:ascii="Arial" w:hAnsi="Arial" w:cs="Arial"/>
          <w:color w:val="000000"/>
          <w:sz w:val="20"/>
          <w:szCs w:val="22"/>
        </w:rPr>
      </w:pPr>
      <w:r w:rsidRPr="000370BC">
        <w:rPr>
          <w:rFonts w:ascii="Arial" w:hAnsi="Arial" w:cs="Arial"/>
          <w:color w:val="000000"/>
          <w:sz w:val="20"/>
          <w:szCs w:val="22"/>
        </w:rPr>
        <w:t xml:space="preserve">  </w:t>
      </w:r>
    </w:p>
    <w:p w14:paraId="2082F649" w14:textId="77777777" w:rsidR="000370BC" w:rsidRPr="000370BC" w:rsidRDefault="008B42AF" w:rsidP="000370BC">
      <w:pPr>
        <w:numPr>
          <w:ilvl w:val="0"/>
          <w:numId w:val="5"/>
        </w:numPr>
        <w:jc w:val="both"/>
        <w:rPr>
          <w:rFonts w:ascii="Arial" w:hAnsi="Arial" w:cs="Arial"/>
          <w:color w:val="000000"/>
          <w:sz w:val="20"/>
          <w:szCs w:val="22"/>
        </w:rPr>
      </w:pPr>
      <w:r>
        <w:rPr>
          <w:rFonts w:ascii="Arial" w:hAnsi="Arial" w:cs="Arial"/>
          <w:color w:val="000000"/>
          <w:sz w:val="20"/>
          <w:szCs w:val="22"/>
        </w:rPr>
        <w:t>Moving line</w:t>
      </w:r>
      <w:r w:rsidR="000370BC" w:rsidRPr="000370BC">
        <w:rPr>
          <w:rFonts w:ascii="Arial" w:hAnsi="Arial" w:cs="Arial"/>
          <w:color w:val="000000"/>
          <w:sz w:val="20"/>
          <w:szCs w:val="22"/>
        </w:rPr>
        <w:t xml:space="preserve"> measures are also important as they provide an indication of trends showing the distance between low-income and middle-income households.  This focus gives information relevant for better understanding social cohesion and inequality in the lower half of the income distribution.</w:t>
      </w:r>
    </w:p>
    <w:p w14:paraId="5B2F1912" w14:textId="77777777" w:rsidR="000370BC" w:rsidRPr="004920F5" w:rsidRDefault="004920F5" w:rsidP="004920F5">
      <w:pPr>
        <w:ind w:left="360"/>
        <w:jc w:val="both"/>
        <w:rPr>
          <w:rFonts w:ascii="Arial" w:hAnsi="Arial" w:cs="Arial"/>
          <w:color w:val="000000"/>
          <w:sz w:val="20"/>
          <w:szCs w:val="22"/>
        </w:rPr>
      </w:pPr>
      <w:r>
        <w:rPr>
          <w:rFonts w:ascii="Arial" w:hAnsi="Arial" w:cs="Arial"/>
          <w:color w:val="000000"/>
          <w:sz w:val="20"/>
          <w:szCs w:val="22"/>
        </w:rPr>
        <w:t xml:space="preserve">  </w:t>
      </w:r>
    </w:p>
    <w:p w14:paraId="38E1BD7A" w14:textId="77777777" w:rsidR="000370BC" w:rsidRPr="000370BC" w:rsidRDefault="000370BC" w:rsidP="000370BC">
      <w:pPr>
        <w:jc w:val="both"/>
        <w:rPr>
          <w:rFonts w:ascii="Arial" w:hAnsi="Arial" w:cs="Arial"/>
          <w:b/>
          <w:sz w:val="20"/>
        </w:rPr>
      </w:pPr>
      <w:r w:rsidRPr="000370BC">
        <w:rPr>
          <w:rFonts w:ascii="Arial" w:hAnsi="Arial" w:cs="Arial"/>
          <w:b/>
          <w:sz w:val="20"/>
        </w:rPr>
        <w:t>Understanding the impact of changing incomes and changing housing costs on measured poverty rates</w:t>
      </w:r>
    </w:p>
    <w:p w14:paraId="472EC76A" w14:textId="77777777" w:rsidR="000370BC" w:rsidRPr="000370BC" w:rsidRDefault="000370BC" w:rsidP="000370BC">
      <w:pPr>
        <w:jc w:val="both"/>
        <w:rPr>
          <w:rFonts w:ascii="Arial" w:hAnsi="Arial" w:cs="Arial"/>
          <w:b/>
          <w:sz w:val="20"/>
        </w:rPr>
      </w:pPr>
    </w:p>
    <w:p w14:paraId="68A4FC08" w14:textId="77777777" w:rsidR="000370BC" w:rsidRPr="000370BC" w:rsidRDefault="000370BC" w:rsidP="000370BC">
      <w:pPr>
        <w:jc w:val="both"/>
        <w:rPr>
          <w:rFonts w:ascii="Arial" w:hAnsi="Arial" w:cs="Arial"/>
          <w:b/>
          <w:sz w:val="20"/>
        </w:rPr>
      </w:pPr>
      <w:r w:rsidRPr="000370BC">
        <w:rPr>
          <w:rFonts w:ascii="Arial" w:hAnsi="Arial" w:cs="Arial"/>
          <w:b/>
          <w:sz w:val="20"/>
        </w:rPr>
        <w:t xml:space="preserve">Figure S.1 </w:t>
      </w:r>
      <w:r w:rsidRPr="000370BC">
        <w:rPr>
          <w:rFonts w:ascii="Arial" w:hAnsi="Arial" w:cs="Arial"/>
          <w:sz w:val="20"/>
        </w:rPr>
        <w:t>can assist with interpreting changes in poverty rates over time on the different measures.  The left-hand column gives the three main factors that can aff</w:t>
      </w:r>
      <w:r w:rsidR="005627C0">
        <w:rPr>
          <w:rFonts w:ascii="Arial" w:hAnsi="Arial" w:cs="Arial"/>
          <w:sz w:val="20"/>
        </w:rPr>
        <w:t xml:space="preserve">ect poverty rates over </w:t>
      </w:r>
      <w:r w:rsidR="00897538">
        <w:rPr>
          <w:rFonts w:ascii="Arial" w:hAnsi="Arial" w:cs="Arial"/>
          <w:sz w:val="20"/>
        </w:rPr>
        <w:t>time.  It</w:t>
      </w:r>
      <w:r w:rsidR="005627C0" w:rsidRPr="005627C0">
        <w:rPr>
          <w:rFonts w:ascii="Arial" w:hAnsi="Arial" w:cs="Arial"/>
          <w:sz w:val="20"/>
        </w:rPr>
        <w:t xml:space="preserve"> </w:t>
      </w:r>
      <w:r w:rsidRPr="005627C0">
        <w:rPr>
          <w:rFonts w:ascii="Arial" w:hAnsi="Arial" w:cs="Arial"/>
          <w:sz w:val="20"/>
        </w:rPr>
        <w:t>is often</w:t>
      </w:r>
      <w:r w:rsidRPr="000370BC">
        <w:rPr>
          <w:rFonts w:ascii="Arial" w:hAnsi="Arial" w:cs="Arial"/>
          <w:sz w:val="20"/>
        </w:rPr>
        <w:t xml:space="preserve"> the case that from one time period to another more than one of these factors changes.  The other four columns indicate the direction of the resultant impact on poverty rates </w:t>
      </w:r>
      <w:r w:rsidR="005627C0">
        <w:rPr>
          <w:rFonts w:ascii="Arial" w:hAnsi="Arial" w:cs="Arial"/>
          <w:sz w:val="20"/>
        </w:rPr>
        <w:t>for</w:t>
      </w:r>
      <w:r w:rsidRPr="000370BC">
        <w:rPr>
          <w:rFonts w:ascii="Arial" w:hAnsi="Arial" w:cs="Arial"/>
          <w:sz w:val="20"/>
        </w:rPr>
        <w:t xml:space="preserve"> the different measures.</w:t>
      </w:r>
    </w:p>
    <w:p w14:paraId="1C65A689" w14:textId="77777777" w:rsidR="000370BC" w:rsidRPr="000370BC" w:rsidRDefault="000370BC" w:rsidP="000370BC">
      <w:pPr>
        <w:jc w:val="both"/>
        <w:rPr>
          <w:rFonts w:ascii="Arial" w:hAnsi="Arial" w:cs="Arial"/>
          <w:b/>
        </w:rPr>
      </w:pPr>
    </w:p>
    <w:p w14:paraId="02B29144" w14:textId="77777777" w:rsidR="000370BC" w:rsidRPr="000370BC" w:rsidRDefault="000370BC" w:rsidP="000370BC">
      <w:pPr>
        <w:ind w:left="360"/>
        <w:jc w:val="center"/>
        <w:rPr>
          <w:rFonts w:ascii="Arial" w:hAnsi="Arial" w:cs="Arial"/>
          <w:b/>
          <w:color w:val="000000"/>
          <w:sz w:val="18"/>
          <w:szCs w:val="18"/>
        </w:rPr>
      </w:pPr>
      <w:r w:rsidRPr="000370BC">
        <w:rPr>
          <w:rFonts w:ascii="Arial" w:hAnsi="Arial" w:cs="Arial"/>
          <w:b/>
          <w:color w:val="000000"/>
          <w:sz w:val="18"/>
          <w:szCs w:val="18"/>
        </w:rPr>
        <w:t>Figure S.1</w:t>
      </w:r>
    </w:p>
    <w:p w14:paraId="177B99B9" w14:textId="77777777" w:rsidR="000370BC" w:rsidRPr="000370BC" w:rsidRDefault="000370BC" w:rsidP="000370BC">
      <w:pPr>
        <w:spacing w:after="120"/>
        <w:ind w:left="360"/>
        <w:jc w:val="center"/>
        <w:rPr>
          <w:rFonts w:ascii="Arial" w:hAnsi="Arial" w:cs="Arial"/>
          <w:b/>
          <w:color w:val="000000"/>
          <w:sz w:val="18"/>
          <w:szCs w:val="18"/>
        </w:rPr>
      </w:pPr>
      <w:r w:rsidRPr="000370BC">
        <w:rPr>
          <w:rFonts w:ascii="Arial" w:hAnsi="Arial" w:cs="Arial"/>
          <w:b/>
          <w:color w:val="000000"/>
          <w:sz w:val="18"/>
          <w:szCs w:val="18"/>
        </w:rPr>
        <w:t>Impact of changes in the median, low incomes and housing costs on different poverty measures</w:t>
      </w:r>
    </w:p>
    <w:tbl>
      <w:tblPr>
        <w:tblStyle w:val="TableGrid"/>
        <w:tblW w:w="0" w:type="auto"/>
        <w:jc w:val="center"/>
        <w:tblLayout w:type="fixed"/>
        <w:tblLook w:val="01E0" w:firstRow="1" w:lastRow="1" w:firstColumn="1" w:lastColumn="1" w:noHBand="0" w:noVBand="0"/>
      </w:tblPr>
      <w:tblGrid>
        <w:gridCol w:w="4050"/>
        <w:gridCol w:w="1080"/>
        <w:gridCol w:w="1080"/>
        <w:gridCol w:w="1080"/>
        <w:gridCol w:w="1260"/>
      </w:tblGrid>
      <w:tr w:rsidR="000370BC" w:rsidRPr="000370BC" w14:paraId="215B3110" w14:textId="77777777">
        <w:trPr>
          <w:trHeight w:val="305"/>
          <w:jc w:val="center"/>
        </w:trPr>
        <w:tc>
          <w:tcPr>
            <w:tcW w:w="4050" w:type="dxa"/>
            <w:vAlign w:val="center"/>
          </w:tcPr>
          <w:p w14:paraId="7BC514A3" w14:textId="26F7B7E0" w:rsidR="000370BC" w:rsidRPr="000370BC" w:rsidRDefault="00832634" w:rsidP="004920F5">
            <w:pPr>
              <w:spacing w:before="80" w:after="80"/>
              <w:jc w:val="center"/>
              <w:rPr>
                <w:rFonts w:ascii="Arial" w:hAnsi="Arial" w:cs="Arial"/>
                <w:b/>
                <w:sz w:val="16"/>
                <w:szCs w:val="16"/>
              </w:rPr>
            </w:pPr>
            <w:r w:rsidRPr="000370BC">
              <w:rPr>
                <w:rFonts w:ascii="Arial" w:hAnsi="Arial" w:cs="Arial"/>
                <w:b/>
                <w:noProof/>
                <w:sz w:val="16"/>
                <w:szCs w:val="16"/>
                <w:lang w:val="en-US"/>
              </w:rPr>
              <mc:AlternateContent>
                <mc:Choice Requires="wps">
                  <w:drawing>
                    <wp:anchor distT="0" distB="0" distL="114300" distR="114300" simplePos="0" relativeHeight="251654144" behindDoc="0" locked="0" layoutInCell="1" allowOverlap="1" wp14:anchorId="0F86EC40" wp14:editId="1A5E1927">
                      <wp:simplePos x="0" y="0"/>
                      <wp:positionH relativeFrom="column">
                        <wp:posOffset>973455</wp:posOffset>
                      </wp:positionH>
                      <wp:positionV relativeFrom="paragraph">
                        <wp:posOffset>209550</wp:posOffset>
                      </wp:positionV>
                      <wp:extent cx="0" cy="428625"/>
                      <wp:effectExtent l="46355" t="19050" r="80645" b="22225"/>
                      <wp:wrapNone/>
                      <wp:docPr id="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58F99"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16.5pt" to="76.65pt,5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">
                      <v:stroke dashstyle="dash" endarrow="block"/>
                    </v:line>
                  </w:pict>
                </mc:Fallback>
              </mc:AlternateContent>
            </w:r>
            <w:r w:rsidR="000370BC" w:rsidRPr="000370BC">
              <w:rPr>
                <w:rFonts w:ascii="Arial" w:hAnsi="Arial" w:cs="Arial"/>
                <w:b/>
                <w:sz w:val="16"/>
                <w:szCs w:val="16"/>
              </w:rPr>
              <w:t>when these increase ….</w:t>
            </w:r>
          </w:p>
        </w:tc>
        <w:tc>
          <w:tcPr>
            <w:tcW w:w="4500" w:type="dxa"/>
            <w:gridSpan w:val="4"/>
            <w:vAlign w:val="center"/>
          </w:tcPr>
          <w:p w14:paraId="52B5BE87" w14:textId="77777777" w:rsidR="000370BC" w:rsidRPr="000370BC" w:rsidRDefault="000370BC" w:rsidP="000370BC">
            <w:pPr>
              <w:spacing w:before="80" w:after="80"/>
              <w:jc w:val="center"/>
              <w:rPr>
                <w:rFonts w:ascii="Arial" w:hAnsi="Arial" w:cs="Arial"/>
                <w:b/>
                <w:sz w:val="16"/>
                <w:szCs w:val="16"/>
              </w:rPr>
            </w:pPr>
            <w:r w:rsidRPr="000370BC">
              <w:rPr>
                <w:rFonts w:ascii="Arial" w:hAnsi="Arial" w:cs="Arial"/>
                <w:b/>
                <w:sz w:val="16"/>
                <w:szCs w:val="16"/>
              </w:rPr>
              <w:t>… the impact on the measured poverty rate is …</w:t>
            </w:r>
          </w:p>
        </w:tc>
      </w:tr>
      <w:tr w:rsidR="000370BC" w:rsidRPr="000370BC" w14:paraId="2ABF346E" w14:textId="77777777">
        <w:trPr>
          <w:jc w:val="center"/>
        </w:trPr>
        <w:tc>
          <w:tcPr>
            <w:tcW w:w="4050" w:type="dxa"/>
            <w:vAlign w:val="center"/>
          </w:tcPr>
          <w:p w14:paraId="4275FB7E" w14:textId="77777777" w:rsidR="000370BC" w:rsidRPr="000370BC" w:rsidRDefault="000370BC" w:rsidP="000370BC">
            <w:pPr>
              <w:spacing w:before="80" w:after="80"/>
              <w:jc w:val="both"/>
              <w:rPr>
                <w:rFonts w:ascii="Arial" w:hAnsi="Arial" w:cs="Arial"/>
                <w:sz w:val="16"/>
                <w:szCs w:val="16"/>
              </w:rPr>
            </w:pPr>
          </w:p>
        </w:tc>
        <w:tc>
          <w:tcPr>
            <w:tcW w:w="2160" w:type="dxa"/>
            <w:gridSpan w:val="2"/>
            <w:vAlign w:val="center"/>
          </w:tcPr>
          <w:p w14:paraId="433DF1F5"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BHC</w:t>
            </w:r>
          </w:p>
        </w:tc>
        <w:tc>
          <w:tcPr>
            <w:tcW w:w="2340" w:type="dxa"/>
            <w:gridSpan w:val="2"/>
            <w:vAlign w:val="center"/>
          </w:tcPr>
          <w:p w14:paraId="3A780E09"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AHC</w:t>
            </w:r>
          </w:p>
        </w:tc>
      </w:tr>
      <w:tr w:rsidR="000370BC" w:rsidRPr="000370BC" w14:paraId="5D14C159" w14:textId="77777777">
        <w:trPr>
          <w:jc w:val="center"/>
        </w:trPr>
        <w:tc>
          <w:tcPr>
            <w:tcW w:w="4050" w:type="dxa"/>
            <w:vAlign w:val="center"/>
          </w:tcPr>
          <w:p w14:paraId="044B2C8B" w14:textId="77777777" w:rsidR="000370BC" w:rsidRPr="000370BC" w:rsidRDefault="000370BC" w:rsidP="000370BC">
            <w:pPr>
              <w:spacing w:before="80" w:after="80"/>
              <w:jc w:val="both"/>
              <w:rPr>
                <w:rFonts w:ascii="Arial" w:hAnsi="Arial" w:cs="Arial"/>
                <w:sz w:val="16"/>
                <w:szCs w:val="16"/>
              </w:rPr>
            </w:pPr>
          </w:p>
        </w:tc>
        <w:tc>
          <w:tcPr>
            <w:tcW w:w="1080" w:type="dxa"/>
            <w:vAlign w:val="center"/>
          </w:tcPr>
          <w:p w14:paraId="52F87609"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fixed line (</w:t>
            </w:r>
            <w:r w:rsidR="005C66CF">
              <w:rPr>
                <w:rFonts w:ascii="Arial" w:hAnsi="Arial" w:cs="Arial"/>
                <w:sz w:val="16"/>
                <w:szCs w:val="16"/>
              </w:rPr>
              <w:t>ref = 20</w:t>
            </w:r>
            <w:r w:rsidRPr="000370BC">
              <w:rPr>
                <w:rFonts w:ascii="Arial" w:hAnsi="Arial" w:cs="Arial"/>
                <w:sz w:val="16"/>
                <w:szCs w:val="16"/>
              </w:rPr>
              <w:t>07)</w:t>
            </w:r>
          </w:p>
        </w:tc>
        <w:tc>
          <w:tcPr>
            <w:tcW w:w="1080" w:type="dxa"/>
            <w:vAlign w:val="center"/>
          </w:tcPr>
          <w:p w14:paraId="20D51130"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moving line (REL)</w:t>
            </w:r>
          </w:p>
        </w:tc>
        <w:tc>
          <w:tcPr>
            <w:tcW w:w="1080" w:type="dxa"/>
            <w:vAlign w:val="center"/>
          </w:tcPr>
          <w:p w14:paraId="290110B7"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fixed line (</w:t>
            </w:r>
            <w:r w:rsidR="005C66CF">
              <w:rPr>
                <w:rFonts w:ascii="Arial" w:hAnsi="Arial" w:cs="Arial"/>
                <w:sz w:val="16"/>
                <w:szCs w:val="16"/>
              </w:rPr>
              <w:t>ref = 20</w:t>
            </w:r>
            <w:r w:rsidRPr="000370BC">
              <w:rPr>
                <w:rFonts w:ascii="Arial" w:hAnsi="Arial" w:cs="Arial"/>
                <w:sz w:val="16"/>
                <w:szCs w:val="16"/>
              </w:rPr>
              <w:t>07)</w:t>
            </w:r>
          </w:p>
        </w:tc>
        <w:tc>
          <w:tcPr>
            <w:tcW w:w="1260" w:type="dxa"/>
            <w:vAlign w:val="center"/>
          </w:tcPr>
          <w:p w14:paraId="28EB11C0"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moving line (REL)</w:t>
            </w:r>
          </w:p>
        </w:tc>
      </w:tr>
      <w:tr w:rsidR="000370BC" w:rsidRPr="000370BC" w14:paraId="5E2F86D4" w14:textId="77777777">
        <w:trPr>
          <w:jc w:val="center"/>
        </w:trPr>
        <w:tc>
          <w:tcPr>
            <w:tcW w:w="4050" w:type="dxa"/>
            <w:vAlign w:val="center"/>
          </w:tcPr>
          <w:p w14:paraId="004A61EE" w14:textId="77777777" w:rsidR="000370BC" w:rsidRPr="000370BC" w:rsidRDefault="000370BC" w:rsidP="000370BC">
            <w:pPr>
              <w:tabs>
                <w:tab w:val="right" w:pos="3294"/>
              </w:tabs>
              <w:spacing w:before="80" w:after="80"/>
              <w:jc w:val="both"/>
              <w:rPr>
                <w:rFonts w:ascii="Arial" w:hAnsi="Arial" w:cs="Arial"/>
                <w:sz w:val="16"/>
                <w:szCs w:val="16"/>
              </w:rPr>
            </w:pPr>
            <w:r w:rsidRPr="000370BC">
              <w:rPr>
                <w:rFonts w:ascii="Arial" w:hAnsi="Arial" w:cs="Arial"/>
                <w:sz w:val="16"/>
                <w:szCs w:val="16"/>
              </w:rPr>
              <w:t xml:space="preserve">BHC incomes around the median  </w:t>
            </w:r>
            <w:r w:rsidRPr="000370BC">
              <w:rPr>
                <w:rFonts w:ascii="Arial" w:hAnsi="Arial" w:cs="Arial"/>
                <w:sz w:val="16"/>
                <w:szCs w:val="16"/>
              </w:rPr>
              <w:tab/>
            </w:r>
            <w:r w:rsidRPr="000370BC">
              <w:rPr>
                <w:rFonts w:ascii="Arial" w:hAnsi="Arial" w:cs="Arial"/>
                <w:b/>
                <w:sz w:val="16"/>
                <w:szCs w:val="16"/>
              </w:rPr>
              <w:sym w:font="Wingdings" w:char="F0E1"/>
            </w:r>
          </w:p>
        </w:tc>
        <w:tc>
          <w:tcPr>
            <w:tcW w:w="1080" w:type="dxa"/>
            <w:vAlign w:val="center"/>
          </w:tcPr>
          <w:p w14:paraId="409B9ED5"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no impact</w:t>
            </w:r>
          </w:p>
        </w:tc>
        <w:tc>
          <w:tcPr>
            <w:tcW w:w="1080" w:type="dxa"/>
            <w:vAlign w:val="center"/>
          </w:tcPr>
          <w:p w14:paraId="2D293423" w14:textId="77777777" w:rsidR="000370BC" w:rsidRPr="000370BC" w:rsidRDefault="000370BC" w:rsidP="000370BC">
            <w:pPr>
              <w:spacing w:before="80" w:after="80"/>
              <w:jc w:val="center"/>
              <w:rPr>
                <w:rFonts w:ascii="Arial" w:hAnsi="Arial" w:cs="Arial"/>
                <w:b/>
                <w:sz w:val="16"/>
                <w:szCs w:val="16"/>
              </w:rPr>
            </w:pPr>
            <w:r w:rsidRPr="000370BC">
              <w:rPr>
                <w:rFonts w:ascii="Arial" w:hAnsi="Arial" w:cs="Arial"/>
                <w:b/>
                <w:sz w:val="16"/>
                <w:szCs w:val="16"/>
              </w:rPr>
              <w:sym w:font="Wingdings" w:char="F0E1"/>
            </w:r>
          </w:p>
        </w:tc>
        <w:tc>
          <w:tcPr>
            <w:tcW w:w="1080" w:type="dxa"/>
            <w:vAlign w:val="center"/>
          </w:tcPr>
          <w:p w14:paraId="20C1F404"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no impact</w:t>
            </w:r>
          </w:p>
        </w:tc>
        <w:tc>
          <w:tcPr>
            <w:tcW w:w="1260" w:type="dxa"/>
            <w:vAlign w:val="center"/>
          </w:tcPr>
          <w:p w14:paraId="4BBAF400" w14:textId="77777777" w:rsidR="000370BC" w:rsidRPr="000370BC" w:rsidRDefault="000370BC" w:rsidP="000370BC">
            <w:pPr>
              <w:spacing w:before="80" w:after="80"/>
              <w:jc w:val="center"/>
              <w:rPr>
                <w:rFonts w:ascii="Arial" w:hAnsi="Arial" w:cs="Arial"/>
                <w:b/>
                <w:sz w:val="16"/>
                <w:szCs w:val="16"/>
              </w:rPr>
            </w:pPr>
            <w:r w:rsidRPr="000370BC">
              <w:rPr>
                <w:rFonts w:ascii="Arial" w:hAnsi="Arial" w:cs="Arial"/>
                <w:b/>
                <w:sz w:val="16"/>
                <w:szCs w:val="16"/>
              </w:rPr>
              <w:sym w:font="Wingdings" w:char="F0E1"/>
            </w:r>
          </w:p>
        </w:tc>
      </w:tr>
      <w:tr w:rsidR="000370BC" w:rsidRPr="000370BC" w14:paraId="5B2214C6" w14:textId="77777777">
        <w:trPr>
          <w:jc w:val="center"/>
        </w:trPr>
        <w:tc>
          <w:tcPr>
            <w:tcW w:w="4050" w:type="dxa"/>
            <w:vAlign w:val="center"/>
          </w:tcPr>
          <w:p w14:paraId="60546342" w14:textId="77777777" w:rsidR="000370BC" w:rsidRPr="000370BC" w:rsidRDefault="000370BC" w:rsidP="000370BC">
            <w:pPr>
              <w:tabs>
                <w:tab w:val="right" w:pos="3294"/>
              </w:tabs>
              <w:spacing w:before="80" w:after="80"/>
              <w:jc w:val="both"/>
              <w:rPr>
                <w:rFonts w:ascii="Arial" w:hAnsi="Arial" w:cs="Arial"/>
                <w:sz w:val="16"/>
                <w:szCs w:val="16"/>
              </w:rPr>
            </w:pPr>
            <w:r w:rsidRPr="000370BC">
              <w:rPr>
                <w:rFonts w:ascii="Arial" w:hAnsi="Arial" w:cs="Arial"/>
                <w:sz w:val="16"/>
                <w:szCs w:val="16"/>
              </w:rPr>
              <w:t xml:space="preserve">BHC incomes in the bottom quintile (20%)  </w:t>
            </w:r>
            <w:r w:rsidRPr="000370BC">
              <w:rPr>
                <w:rFonts w:ascii="Arial" w:hAnsi="Arial" w:cs="Arial"/>
                <w:sz w:val="16"/>
                <w:szCs w:val="16"/>
              </w:rPr>
              <w:tab/>
            </w:r>
            <w:r w:rsidRPr="000370BC">
              <w:rPr>
                <w:rFonts w:ascii="Arial" w:hAnsi="Arial" w:cs="Arial"/>
                <w:b/>
                <w:sz w:val="16"/>
                <w:szCs w:val="16"/>
              </w:rPr>
              <w:sym w:font="Wingdings" w:char="F0E1"/>
            </w:r>
          </w:p>
        </w:tc>
        <w:tc>
          <w:tcPr>
            <w:tcW w:w="1080" w:type="dxa"/>
            <w:vAlign w:val="center"/>
          </w:tcPr>
          <w:p w14:paraId="2070B890"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sym w:font="Wingdings 3" w:char="F0DC"/>
            </w:r>
          </w:p>
        </w:tc>
        <w:tc>
          <w:tcPr>
            <w:tcW w:w="1080" w:type="dxa"/>
            <w:vAlign w:val="center"/>
          </w:tcPr>
          <w:p w14:paraId="1F654122"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sym w:font="Wingdings 3" w:char="F0DC"/>
            </w:r>
          </w:p>
        </w:tc>
        <w:tc>
          <w:tcPr>
            <w:tcW w:w="1080" w:type="dxa"/>
            <w:vAlign w:val="center"/>
          </w:tcPr>
          <w:p w14:paraId="0A808082"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sym w:font="Wingdings 3" w:char="F0DC"/>
            </w:r>
          </w:p>
        </w:tc>
        <w:tc>
          <w:tcPr>
            <w:tcW w:w="1260" w:type="dxa"/>
            <w:vAlign w:val="center"/>
          </w:tcPr>
          <w:p w14:paraId="7ECEB5D1"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sym w:font="Wingdings 3" w:char="F0DC"/>
            </w:r>
          </w:p>
        </w:tc>
      </w:tr>
      <w:tr w:rsidR="000370BC" w:rsidRPr="000370BC" w14:paraId="484BE6AA" w14:textId="77777777">
        <w:trPr>
          <w:jc w:val="center"/>
        </w:trPr>
        <w:tc>
          <w:tcPr>
            <w:tcW w:w="4050" w:type="dxa"/>
            <w:vAlign w:val="center"/>
          </w:tcPr>
          <w:p w14:paraId="4583E7E4" w14:textId="77777777" w:rsidR="000370BC" w:rsidRPr="000370BC" w:rsidRDefault="000370BC" w:rsidP="000370BC">
            <w:pPr>
              <w:tabs>
                <w:tab w:val="right" w:pos="3294"/>
              </w:tabs>
              <w:spacing w:before="80" w:after="80"/>
              <w:jc w:val="both"/>
              <w:rPr>
                <w:rFonts w:ascii="Arial" w:hAnsi="Arial" w:cs="Arial"/>
                <w:sz w:val="16"/>
                <w:szCs w:val="16"/>
              </w:rPr>
            </w:pPr>
            <w:r w:rsidRPr="000370BC">
              <w:rPr>
                <w:rFonts w:ascii="Arial" w:hAnsi="Arial" w:cs="Arial"/>
                <w:sz w:val="16"/>
                <w:szCs w:val="16"/>
              </w:rPr>
              <w:t xml:space="preserve">Housing costs (for low-income HHs)    </w:t>
            </w:r>
            <w:r w:rsidRPr="000370BC">
              <w:rPr>
                <w:rFonts w:ascii="Arial" w:hAnsi="Arial" w:cs="Arial"/>
                <w:sz w:val="16"/>
                <w:szCs w:val="16"/>
              </w:rPr>
              <w:tab/>
            </w:r>
            <w:r w:rsidRPr="000370BC">
              <w:rPr>
                <w:rFonts w:ascii="Arial" w:hAnsi="Arial" w:cs="Arial"/>
                <w:b/>
                <w:sz w:val="16"/>
                <w:szCs w:val="16"/>
              </w:rPr>
              <w:sym w:font="Wingdings" w:char="F0E1"/>
            </w:r>
          </w:p>
        </w:tc>
        <w:tc>
          <w:tcPr>
            <w:tcW w:w="1080" w:type="dxa"/>
            <w:vAlign w:val="center"/>
          </w:tcPr>
          <w:p w14:paraId="7063E83F"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no impact</w:t>
            </w:r>
          </w:p>
        </w:tc>
        <w:tc>
          <w:tcPr>
            <w:tcW w:w="1080" w:type="dxa"/>
            <w:vAlign w:val="center"/>
          </w:tcPr>
          <w:p w14:paraId="43D1B199" w14:textId="77777777" w:rsidR="000370BC" w:rsidRPr="000370BC" w:rsidRDefault="000370BC" w:rsidP="000370BC">
            <w:pPr>
              <w:spacing w:before="80" w:after="80"/>
              <w:jc w:val="center"/>
              <w:rPr>
                <w:rFonts w:ascii="Arial" w:hAnsi="Arial" w:cs="Arial"/>
                <w:sz w:val="16"/>
                <w:szCs w:val="16"/>
              </w:rPr>
            </w:pPr>
            <w:r w:rsidRPr="000370BC">
              <w:rPr>
                <w:rFonts w:ascii="Arial" w:hAnsi="Arial" w:cs="Arial"/>
                <w:sz w:val="16"/>
                <w:szCs w:val="16"/>
              </w:rPr>
              <w:t>no impact</w:t>
            </w:r>
          </w:p>
        </w:tc>
        <w:tc>
          <w:tcPr>
            <w:tcW w:w="1080" w:type="dxa"/>
            <w:vAlign w:val="center"/>
          </w:tcPr>
          <w:p w14:paraId="5E970609" w14:textId="77777777" w:rsidR="000370BC" w:rsidRPr="000370BC" w:rsidRDefault="000370BC" w:rsidP="000370BC">
            <w:pPr>
              <w:spacing w:before="80" w:after="80"/>
              <w:jc w:val="center"/>
              <w:rPr>
                <w:rFonts w:ascii="Arial" w:hAnsi="Arial" w:cs="Arial"/>
                <w:b/>
                <w:sz w:val="16"/>
                <w:szCs w:val="16"/>
              </w:rPr>
            </w:pPr>
            <w:r w:rsidRPr="000370BC">
              <w:rPr>
                <w:rFonts w:ascii="Arial" w:hAnsi="Arial" w:cs="Arial"/>
                <w:b/>
                <w:sz w:val="16"/>
                <w:szCs w:val="16"/>
              </w:rPr>
              <w:sym w:font="Wingdings" w:char="F0E1"/>
            </w:r>
          </w:p>
        </w:tc>
        <w:tc>
          <w:tcPr>
            <w:tcW w:w="1260" w:type="dxa"/>
            <w:vAlign w:val="center"/>
          </w:tcPr>
          <w:p w14:paraId="62CF5DBC" w14:textId="77777777" w:rsidR="000370BC" w:rsidRPr="000370BC" w:rsidRDefault="000370BC" w:rsidP="000370BC">
            <w:pPr>
              <w:spacing w:before="80" w:after="80"/>
              <w:jc w:val="center"/>
              <w:rPr>
                <w:rFonts w:ascii="Arial" w:hAnsi="Arial" w:cs="Arial"/>
                <w:b/>
                <w:sz w:val="16"/>
                <w:szCs w:val="16"/>
              </w:rPr>
            </w:pPr>
            <w:r w:rsidRPr="000370BC">
              <w:rPr>
                <w:rFonts w:ascii="Arial" w:hAnsi="Arial" w:cs="Arial"/>
                <w:b/>
                <w:sz w:val="16"/>
                <w:szCs w:val="16"/>
              </w:rPr>
              <w:sym w:font="Wingdings" w:char="F0E1"/>
            </w:r>
          </w:p>
        </w:tc>
      </w:tr>
    </w:tbl>
    <w:p w14:paraId="22DCDAC8" w14:textId="77777777" w:rsidR="000370BC" w:rsidRPr="000370BC" w:rsidRDefault="000370BC" w:rsidP="000370BC">
      <w:pPr>
        <w:jc w:val="both"/>
        <w:rPr>
          <w:rFonts w:ascii="Arial" w:hAnsi="Arial" w:cs="Arial"/>
          <w:b/>
        </w:rPr>
      </w:pPr>
      <w:r w:rsidRPr="000370BC">
        <w:rPr>
          <w:rFonts w:ascii="Arial" w:hAnsi="Arial" w:cs="Arial"/>
          <w:b/>
        </w:rPr>
        <w:lastRenderedPageBreak/>
        <w:t xml:space="preserve">Summary of </w:t>
      </w:r>
      <w:r w:rsidRPr="000370BC">
        <w:rPr>
          <w:rFonts w:ascii="Arial" w:hAnsi="Arial" w:cs="Arial"/>
          <w:b/>
          <w:szCs w:val="22"/>
        </w:rPr>
        <w:t>Key Findings</w:t>
      </w:r>
      <w:r w:rsidRPr="000370BC">
        <w:rPr>
          <w:rFonts w:ascii="Arial" w:hAnsi="Arial" w:cs="Arial"/>
          <w:b/>
        </w:rPr>
        <w:t xml:space="preserve"> </w:t>
      </w:r>
    </w:p>
    <w:p w14:paraId="0DC1E807" w14:textId="77777777" w:rsidR="000370BC" w:rsidRPr="000370BC" w:rsidRDefault="000370BC" w:rsidP="000370BC">
      <w:pPr>
        <w:ind w:left="360" w:hanging="360"/>
        <w:jc w:val="both"/>
        <w:rPr>
          <w:rFonts w:ascii="Arial" w:hAnsi="Arial" w:cs="Arial"/>
          <w:b/>
        </w:rPr>
      </w:pPr>
    </w:p>
    <w:p w14:paraId="62EEFEF3" w14:textId="13C1D802" w:rsidR="000370BC" w:rsidRPr="000370BC" w:rsidRDefault="00832634" w:rsidP="000370BC">
      <w:pPr>
        <w:ind w:left="360" w:hanging="360"/>
        <w:jc w:val="both"/>
        <w:rPr>
          <w:rFonts w:ascii="Arial" w:hAnsi="Arial" w:cs="Arial"/>
          <w:b/>
        </w:rPr>
      </w:pPr>
      <w:r w:rsidRPr="000370BC">
        <w:rPr>
          <w:rFonts w:ascii="Arial" w:hAnsi="Arial" w:cs="Arial"/>
          <w:b/>
          <w:noProof/>
          <w:lang w:val="en-US"/>
        </w:rPr>
        <mc:AlternateContent>
          <mc:Choice Requires="wps">
            <w:drawing>
              <wp:anchor distT="0" distB="0" distL="114300" distR="114300" simplePos="0" relativeHeight="251655168" behindDoc="0" locked="0" layoutInCell="1" allowOverlap="1" wp14:anchorId="46221FC0" wp14:editId="2BC7317A">
                <wp:simplePos x="0" y="0"/>
                <wp:positionH relativeFrom="column">
                  <wp:posOffset>458470</wp:posOffset>
                </wp:positionH>
                <wp:positionV relativeFrom="paragraph">
                  <wp:posOffset>6985</wp:posOffset>
                </wp:positionV>
                <wp:extent cx="5074920" cy="2566670"/>
                <wp:effectExtent l="1270" t="0" r="16510" b="1714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2566670"/>
                        </a:xfrm>
                        <a:prstGeom prst="rect">
                          <a:avLst/>
                        </a:prstGeom>
                        <a:solidFill>
                          <a:srgbClr val="FFFFFF"/>
                        </a:solidFill>
                        <a:ln w="9525">
                          <a:solidFill>
                            <a:srgbClr val="000000"/>
                          </a:solidFill>
                          <a:miter lim="800000"/>
                          <a:headEnd/>
                          <a:tailEnd/>
                        </a:ln>
                      </wps:spPr>
                      <wps:txbx>
                        <w:txbxContent>
                          <w:p w14:paraId="2C4A4001" w14:textId="77777777" w:rsidR="004F10CE" w:rsidRPr="000370BC" w:rsidRDefault="004F10CE" w:rsidP="000370BC">
                            <w:pPr>
                              <w:spacing w:after="120"/>
                              <w:ind w:left="274" w:right="216"/>
                              <w:jc w:val="center"/>
                              <w:rPr>
                                <w:rFonts w:ascii="Arial" w:hAnsi="Arial" w:cs="Arial"/>
                                <w:sz w:val="20"/>
                              </w:rPr>
                            </w:pPr>
                            <w:r w:rsidRPr="000370BC">
                              <w:rPr>
                                <w:rFonts w:ascii="Arial" w:hAnsi="Arial" w:cs="Arial"/>
                                <w:b/>
                                <w:sz w:val="20"/>
                              </w:rPr>
                              <w:t>Glossary</w:t>
                            </w:r>
                          </w:p>
                          <w:p w14:paraId="3786375D"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‘income’</w:t>
                            </w:r>
                            <w:r w:rsidRPr="000370BC">
                              <w:rPr>
                                <w:rFonts w:ascii="Arial" w:hAnsi="Arial" w:cs="Arial"/>
                                <w:sz w:val="20"/>
                              </w:rPr>
                              <w:t xml:space="preserve"> in the </w:t>
                            </w:r>
                            <w:r>
                              <w:rPr>
                                <w:rFonts w:ascii="Arial" w:hAnsi="Arial" w:cs="Arial"/>
                                <w:sz w:val="20"/>
                              </w:rPr>
                              <w:t>Incomes Report</w:t>
                            </w:r>
                            <w:r w:rsidRPr="000370BC">
                              <w:rPr>
                                <w:rFonts w:ascii="Arial" w:hAnsi="Arial" w:cs="Arial"/>
                                <w:sz w:val="20"/>
                              </w:rPr>
                              <w:t xml:space="preserve"> refers to household income </w:t>
                            </w:r>
                            <w:r>
                              <w:rPr>
                                <w:rFonts w:ascii="Arial" w:hAnsi="Arial" w:cs="Arial"/>
                                <w:sz w:val="20"/>
                              </w:rPr>
                              <w:t xml:space="preserve">from all sources </w:t>
                            </w:r>
                            <w:r w:rsidRPr="000370BC">
                              <w:rPr>
                                <w:rFonts w:ascii="Arial" w:hAnsi="Arial" w:cs="Arial"/>
                                <w:sz w:val="20"/>
                              </w:rPr>
                              <w:t>after income tax is paid and transfers received, and after adjustment for household size and composition (equivalised disposable household income)</w:t>
                            </w:r>
                          </w:p>
                          <w:p w14:paraId="3306ABD3" w14:textId="77777777" w:rsidR="004F10CE" w:rsidRPr="000370BC" w:rsidRDefault="004F10CE" w:rsidP="000370BC">
                            <w:pPr>
                              <w:tabs>
                                <w:tab w:val="num" w:pos="540"/>
                              </w:tabs>
                              <w:ind w:left="540" w:right="210" w:hanging="270"/>
                              <w:jc w:val="both"/>
                              <w:rPr>
                                <w:rFonts w:ascii="Arial" w:hAnsi="Arial" w:cs="Arial"/>
                                <w:sz w:val="20"/>
                              </w:rPr>
                            </w:pPr>
                          </w:p>
                          <w:p w14:paraId="21FA8A9B"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AHC</w:t>
                            </w:r>
                            <w:r w:rsidRPr="000370BC">
                              <w:rPr>
                                <w:rFonts w:ascii="Arial" w:hAnsi="Arial" w:cs="Arial"/>
                                <w:sz w:val="20"/>
                              </w:rPr>
                              <w:t xml:space="preserve"> income is </w:t>
                            </w:r>
                            <w:r>
                              <w:rPr>
                                <w:rFonts w:ascii="Arial" w:hAnsi="Arial" w:cs="Arial"/>
                                <w:sz w:val="20"/>
                              </w:rPr>
                              <w:t>household</w:t>
                            </w:r>
                            <w:r w:rsidRPr="000370BC">
                              <w:rPr>
                                <w:rFonts w:ascii="Arial" w:hAnsi="Arial" w:cs="Arial"/>
                                <w:sz w:val="20"/>
                              </w:rPr>
                              <w:t xml:space="preserve"> income after deducting housing costs</w:t>
                            </w:r>
                          </w:p>
                          <w:p w14:paraId="23A424B1" w14:textId="77777777" w:rsidR="004F10CE" w:rsidRPr="000370BC" w:rsidRDefault="004F10CE" w:rsidP="000370BC">
                            <w:pPr>
                              <w:tabs>
                                <w:tab w:val="num" w:pos="540"/>
                              </w:tabs>
                              <w:ind w:left="540" w:right="210" w:hanging="270"/>
                              <w:jc w:val="both"/>
                              <w:rPr>
                                <w:rFonts w:ascii="Arial" w:hAnsi="Arial" w:cs="Arial"/>
                                <w:sz w:val="20"/>
                              </w:rPr>
                            </w:pPr>
                            <w:r w:rsidRPr="000370BC">
                              <w:rPr>
                                <w:rFonts w:ascii="Arial" w:hAnsi="Arial" w:cs="Arial"/>
                                <w:b/>
                                <w:sz w:val="20"/>
                              </w:rPr>
                              <w:tab/>
                              <w:t>BHC</w:t>
                            </w:r>
                            <w:r w:rsidRPr="000370BC">
                              <w:rPr>
                                <w:rFonts w:ascii="Arial" w:hAnsi="Arial" w:cs="Arial"/>
                                <w:sz w:val="20"/>
                              </w:rPr>
                              <w:t xml:space="preserve"> income is </w:t>
                            </w:r>
                            <w:r>
                              <w:rPr>
                                <w:rFonts w:ascii="Arial" w:hAnsi="Arial" w:cs="Arial"/>
                                <w:sz w:val="20"/>
                              </w:rPr>
                              <w:t>household</w:t>
                            </w:r>
                            <w:r w:rsidRPr="000370BC">
                              <w:rPr>
                                <w:rFonts w:ascii="Arial" w:hAnsi="Arial" w:cs="Arial"/>
                                <w:sz w:val="20"/>
                              </w:rPr>
                              <w:t xml:space="preserve"> income before deducting housing costs</w:t>
                            </w:r>
                          </w:p>
                          <w:p w14:paraId="6B205F9B" w14:textId="77777777" w:rsidR="004F10CE" w:rsidRPr="000370BC" w:rsidRDefault="004F10CE" w:rsidP="000370BC">
                            <w:pPr>
                              <w:tabs>
                                <w:tab w:val="num" w:pos="540"/>
                              </w:tabs>
                              <w:ind w:left="540" w:right="210" w:hanging="270"/>
                              <w:jc w:val="both"/>
                              <w:rPr>
                                <w:rFonts w:ascii="Arial" w:hAnsi="Arial" w:cs="Arial"/>
                                <w:sz w:val="20"/>
                              </w:rPr>
                            </w:pPr>
                          </w:p>
                          <w:p w14:paraId="5400BE2F"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sz w:val="20"/>
                              </w:rPr>
                              <w:t xml:space="preserve">when a household spends more than 30% of its income on accommodation it is said to have a </w:t>
                            </w:r>
                            <w:r w:rsidRPr="000370BC">
                              <w:rPr>
                                <w:rFonts w:ascii="Arial" w:hAnsi="Arial" w:cs="Arial"/>
                                <w:b/>
                                <w:sz w:val="20"/>
                              </w:rPr>
                              <w:t>high OTI</w:t>
                            </w:r>
                            <w:r w:rsidRPr="000370BC">
                              <w:rPr>
                                <w:rFonts w:ascii="Arial" w:hAnsi="Arial" w:cs="Arial"/>
                                <w:sz w:val="20"/>
                              </w:rPr>
                              <w:t xml:space="preserve"> (‘outgoings-to-income’ ratio) </w:t>
                            </w:r>
                          </w:p>
                          <w:p w14:paraId="3B8CFB19" w14:textId="77777777" w:rsidR="004F10CE" w:rsidRPr="000370BC" w:rsidRDefault="004F10CE" w:rsidP="000370BC">
                            <w:pPr>
                              <w:tabs>
                                <w:tab w:val="num" w:pos="540"/>
                              </w:tabs>
                              <w:ind w:left="540" w:right="210" w:hanging="270"/>
                              <w:jc w:val="both"/>
                              <w:rPr>
                                <w:rFonts w:ascii="Arial" w:hAnsi="Arial" w:cs="Arial"/>
                                <w:sz w:val="20"/>
                              </w:rPr>
                            </w:pPr>
                          </w:p>
                          <w:p w14:paraId="2A89C8BF" w14:textId="77777777" w:rsidR="004F10CE"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poverty rates</w:t>
                            </w:r>
                            <w:r w:rsidRPr="000370BC">
                              <w:rPr>
                                <w:rFonts w:ascii="Arial" w:hAnsi="Arial" w:cs="Arial"/>
                                <w:sz w:val="20"/>
                              </w:rPr>
                              <w:t xml:space="preserve"> are </w:t>
                            </w:r>
                            <w:r>
                              <w:rPr>
                                <w:rFonts w:ascii="Arial" w:hAnsi="Arial" w:cs="Arial"/>
                                <w:sz w:val="20"/>
                              </w:rPr>
                              <w:t xml:space="preserve">usually </w:t>
                            </w:r>
                            <w:r w:rsidRPr="000370BC">
                              <w:rPr>
                                <w:rFonts w:ascii="Arial" w:hAnsi="Arial" w:cs="Arial"/>
                                <w:sz w:val="20"/>
                              </w:rPr>
                              <w:t xml:space="preserve">reported using AHC measures, for both fixed and moving line thresholds (60% of median) – the reference year for fixed line measures </w:t>
                            </w:r>
                            <w:r>
                              <w:rPr>
                                <w:rFonts w:ascii="Arial" w:hAnsi="Arial" w:cs="Arial"/>
                                <w:sz w:val="20"/>
                              </w:rPr>
                              <w:t>is 2007 unless otherwise stated</w:t>
                            </w:r>
                          </w:p>
                          <w:p w14:paraId="02E718FD" w14:textId="77777777" w:rsidR="004F10CE" w:rsidRDefault="004F10CE" w:rsidP="008974BF">
                            <w:pPr>
                              <w:tabs>
                                <w:tab w:val="num" w:pos="540"/>
                              </w:tabs>
                              <w:ind w:right="210"/>
                              <w:jc w:val="both"/>
                              <w:rPr>
                                <w:rFonts w:ascii="Arial" w:hAnsi="Arial" w:cs="Arial"/>
                                <w:sz w:val="20"/>
                              </w:rPr>
                            </w:pPr>
                          </w:p>
                          <w:p w14:paraId="76B64DF7"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8974BF">
                              <w:rPr>
                                <w:rFonts w:ascii="Arial" w:hAnsi="Arial" w:cs="Arial"/>
                                <w:b/>
                                <w:sz w:val="20"/>
                              </w:rPr>
                              <w:t>WFF</w:t>
                            </w:r>
                            <w:r>
                              <w:rPr>
                                <w:rFonts w:ascii="Arial" w:hAnsi="Arial" w:cs="Arial"/>
                                <w:sz w:val="20"/>
                              </w:rPr>
                              <w:t xml:space="preserve"> = Working for Families</w:t>
                            </w:r>
                          </w:p>
                          <w:p w14:paraId="4AD9F571" w14:textId="77777777" w:rsidR="004F10CE" w:rsidRDefault="004F10CE" w:rsidP="000370BC">
                            <w:pPr>
                              <w:ind w:right="2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21FC0" id="Text Box 25" o:spid="_x0000_s1028" type="#_x0000_t202" style="position:absolute;left:0;text-align:left;margin-left:36.1pt;margin-top:.55pt;width:399.6pt;height:20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">
                <v:textbox>
                  <w:txbxContent>
                    <w:p w14:paraId="2C4A4001" w14:textId="77777777" w:rsidR="004F10CE" w:rsidRPr="000370BC" w:rsidRDefault="004F10CE" w:rsidP="000370BC">
                      <w:pPr>
                        <w:spacing w:after="120"/>
                        <w:ind w:left="274" w:right="216"/>
                        <w:jc w:val="center"/>
                        <w:rPr>
                          <w:rFonts w:ascii="Arial" w:hAnsi="Arial" w:cs="Arial"/>
                          <w:sz w:val="20"/>
                        </w:rPr>
                      </w:pPr>
                      <w:r w:rsidRPr="000370BC">
                        <w:rPr>
                          <w:rFonts w:ascii="Arial" w:hAnsi="Arial" w:cs="Arial"/>
                          <w:b/>
                          <w:sz w:val="20"/>
                        </w:rPr>
                        <w:t>Glossary</w:t>
                      </w:r>
                    </w:p>
                    <w:p w14:paraId="3786375D"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‘income’</w:t>
                      </w:r>
                      <w:r w:rsidRPr="000370BC">
                        <w:rPr>
                          <w:rFonts w:ascii="Arial" w:hAnsi="Arial" w:cs="Arial"/>
                          <w:sz w:val="20"/>
                        </w:rPr>
                        <w:t xml:space="preserve"> in the </w:t>
                      </w:r>
                      <w:r>
                        <w:rPr>
                          <w:rFonts w:ascii="Arial" w:hAnsi="Arial" w:cs="Arial"/>
                          <w:sz w:val="20"/>
                        </w:rPr>
                        <w:t>Incomes Report</w:t>
                      </w:r>
                      <w:r w:rsidRPr="000370BC">
                        <w:rPr>
                          <w:rFonts w:ascii="Arial" w:hAnsi="Arial" w:cs="Arial"/>
                          <w:sz w:val="20"/>
                        </w:rPr>
                        <w:t xml:space="preserve"> refers to household income </w:t>
                      </w:r>
                      <w:r>
                        <w:rPr>
                          <w:rFonts w:ascii="Arial" w:hAnsi="Arial" w:cs="Arial"/>
                          <w:sz w:val="20"/>
                        </w:rPr>
                        <w:t xml:space="preserve">from all sources </w:t>
                      </w:r>
                      <w:r w:rsidRPr="000370BC">
                        <w:rPr>
                          <w:rFonts w:ascii="Arial" w:hAnsi="Arial" w:cs="Arial"/>
                          <w:sz w:val="20"/>
                        </w:rPr>
                        <w:t>after income tax is paid and transfers received, and after adjustment for household size and composition (equivalised disposable household income)</w:t>
                      </w:r>
                    </w:p>
                    <w:p w14:paraId="3306ABD3" w14:textId="77777777" w:rsidR="004F10CE" w:rsidRPr="000370BC" w:rsidRDefault="004F10CE" w:rsidP="000370BC">
                      <w:pPr>
                        <w:tabs>
                          <w:tab w:val="num" w:pos="540"/>
                        </w:tabs>
                        <w:ind w:left="540" w:right="210" w:hanging="270"/>
                        <w:jc w:val="both"/>
                        <w:rPr>
                          <w:rFonts w:ascii="Arial" w:hAnsi="Arial" w:cs="Arial"/>
                          <w:sz w:val="20"/>
                        </w:rPr>
                      </w:pPr>
                    </w:p>
                    <w:p w14:paraId="21FA8A9B"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AHC</w:t>
                      </w:r>
                      <w:r w:rsidRPr="000370BC">
                        <w:rPr>
                          <w:rFonts w:ascii="Arial" w:hAnsi="Arial" w:cs="Arial"/>
                          <w:sz w:val="20"/>
                        </w:rPr>
                        <w:t xml:space="preserve"> income is </w:t>
                      </w:r>
                      <w:r>
                        <w:rPr>
                          <w:rFonts w:ascii="Arial" w:hAnsi="Arial" w:cs="Arial"/>
                          <w:sz w:val="20"/>
                        </w:rPr>
                        <w:t>household</w:t>
                      </w:r>
                      <w:r w:rsidRPr="000370BC">
                        <w:rPr>
                          <w:rFonts w:ascii="Arial" w:hAnsi="Arial" w:cs="Arial"/>
                          <w:sz w:val="20"/>
                        </w:rPr>
                        <w:t xml:space="preserve"> income after deducting housing costs</w:t>
                      </w:r>
                    </w:p>
                    <w:p w14:paraId="23A424B1" w14:textId="77777777" w:rsidR="004F10CE" w:rsidRPr="000370BC" w:rsidRDefault="004F10CE" w:rsidP="000370BC">
                      <w:pPr>
                        <w:tabs>
                          <w:tab w:val="num" w:pos="540"/>
                        </w:tabs>
                        <w:ind w:left="540" w:right="210" w:hanging="270"/>
                        <w:jc w:val="both"/>
                        <w:rPr>
                          <w:rFonts w:ascii="Arial" w:hAnsi="Arial" w:cs="Arial"/>
                          <w:sz w:val="20"/>
                        </w:rPr>
                      </w:pPr>
                      <w:r w:rsidRPr="000370BC">
                        <w:rPr>
                          <w:rFonts w:ascii="Arial" w:hAnsi="Arial" w:cs="Arial"/>
                          <w:b/>
                          <w:sz w:val="20"/>
                        </w:rPr>
                        <w:tab/>
                        <w:t>BHC</w:t>
                      </w:r>
                      <w:r w:rsidRPr="000370BC">
                        <w:rPr>
                          <w:rFonts w:ascii="Arial" w:hAnsi="Arial" w:cs="Arial"/>
                          <w:sz w:val="20"/>
                        </w:rPr>
                        <w:t xml:space="preserve"> income is </w:t>
                      </w:r>
                      <w:r>
                        <w:rPr>
                          <w:rFonts w:ascii="Arial" w:hAnsi="Arial" w:cs="Arial"/>
                          <w:sz w:val="20"/>
                        </w:rPr>
                        <w:t>household</w:t>
                      </w:r>
                      <w:r w:rsidRPr="000370BC">
                        <w:rPr>
                          <w:rFonts w:ascii="Arial" w:hAnsi="Arial" w:cs="Arial"/>
                          <w:sz w:val="20"/>
                        </w:rPr>
                        <w:t xml:space="preserve"> income before deducting housing costs</w:t>
                      </w:r>
                    </w:p>
                    <w:p w14:paraId="6B205F9B" w14:textId="77777777" w:rsidR="004F10CE" w:rsidRPr="000370BC" w:rsidRDefault="004F10CE" w:rsidP="000370BC">
                      <w:pPr>
                        <w:tabs>
                          <w:tab w:val="num" w:pos="540"/>
                        </w:tabs>
                        <w:ind w:left="540" w:right="210" w:hanging="270"/>
                        <w:jc w:val="both"/>
                        <w:rPr>
                          <w:rFonts w:ascii="Arial" w:hAnsi="Arial" w:cs="Arial"/>
                          <w:sz w:val="20"/>
                        </w:rPr>
                      </w:pPr>
                    </w:p>
                    <w:p w14:paraId="5400BE2F"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sz w:val="20"/>
                        </w:rPr>
                        <w:t xml:space="preserve">when a household spends more than 30% of its income on accommodation it is said to have a </w:t>
                      </w:r>
                      <w:r w:rsidRPr="000370BC">
                        <w:rPr>
                          <w:rFonts w:ascii="Arial" w:hAnsi="Arial" w:cs="Arial"/>
                          <w:b/>
                          <w:sz w:val="20"/>
                        </w:rPr>
                        <w:t>high OTI</w:t>
                      </w:r>
                      <w:r w:rsidRPr="000370BC">
                        <w:rPr>
                          <w:rFonts w:ascii="Arial" w:hAnsi="Arial" w:cs="Arial"/>
                          <w:sz w:val="20"/>
                        </w:rPr>
                        <w:t xml:space="preserve"> (‘outgoings-to-income’ ratio) </w:t>
                      </w:r>
                    </w:p>
                    <w:p w14:paraId="3B8CFB19" w14:textId="77777777" w:rsidR="004F10CE" w:rsidRPr="000370BC" w:rsidRDefault="004F10CE" w:rsidP="000370BC">
                      <w:pPr>
                        <w:tabs>
                          <w:tab w:val="num" w:pos="540"/>
                        </w:tabs>
                        <w:ind w:left="540" w:right="210" w:hanging="270"/>
                        <w:jc w:val="both"/>
                        <w:rPr>
                          <w:rFonts w:ascii="Arial" w:hAnsi="Arial" w:cs="Arial"/>
                          <w:sz w:val="20"/>
                        </w:rPr>
                      </w:pPr>
                    </w:p>
                    <w:p w14:paraId="2A89C8BF" w14:textId="77777777" w:rsidR="004F10CE" w:rsidRDefault="004F10CE" w:rsidP="00044F09">
                      <w:pPr>
                        <w:numPr>
                          <w:ilvl w:val="0"/>
                          <w:numId w:val="4"/>
                        </w:numPr>
                        <w:tabs>
                          <w:tab w:val="clear" w:pos="720"/>
                          <w:tab w:val="num" w:pos="540"/>
                        </w:tabs>
                        <w:ind w:left="540" w:right="210" w:hanging="270"/>
                        <w:jc w:val="both"/>
                        <w:rPr>
                          <w:rFonts w:ascii="Arial" w:hAnsi="Arial" w:cs="Arial"/>
                          <w:sz w:val="20"/>
                        </w:rPr>
                      </w:pPr>
                      <w:r w:rsidRPr="000370BC">
                        <w:rPr>
                          <w:rFonts w:ascii="Arial" w:hAnsi="Arial" w:cs="Arial"/>
                          <w:b/>
                          <w:sz w:val="20"/>
                        </w:rPr>
                        <w:t>poverty rates</w:t>
                      </w:r>
                      <w:r w:rsidRPr="000370BC">
                        <w:rPr>
                          <w:rFonts w:ascii="Arial" w:hAnsi="Arial" w:cs="Arial"/>
                          <w:sz w:val="20"/>
                        </w:rPr>
                        <w:t xml:space="preserve"> are </w:t>
                      </w:r>
                      <w:r>
                        <w:rPr>
                          <w:rFonts w:ascii="Arial" w:hAnsi="Arial" w:cs="Arial"/>
                          <w:sz w:val="20"/>
                        </w:rPr>
                        <w:t xml:space="preserve">usually </w:t>
                      </w:r>
                      <w:r w:rsidRPr="000370BC">
                        <w:rPr>
                          <w:rFonts w:ascii="Arial" w:hAnsi="Arial" w:cs="Arial"/>
                          <w:sz w:val="20"/>
                        </w:rPr>
                        <w:t xml:space="preserve">reported using AHC measures, for both fixed and moving line thresholds (60% of median) – the reference year for fixed line measures </w:t>
                      </w:r>
                      <w:r>
                        <w:rPr>
                          <w:rFonts w:ascii="Arial" w:hAnsi="Arial" w:cs="Arial"/>
                          <w:sz w:val="20"/>
                        </w:rPr>
                        <w:t>is 2007 unless otherwise stated</w:t>
                      </w:r>
                    </w:p>
                    <w:p w14:paraId="02E718FD" w14:textId="77777777" w:rsidR="004F10CE" w:rsidRDefault="004F10CE" w:rsidP="008974BF">
                      <w:pPr>
                        <w:tabs>
                          <w:tab w:val="num" w:pos="540"/>
                        </w:tabs>
                        <w:ind w:right="210"/>
                        <w:jc w:val="both"/>
                        <w:rPr>
                          <w:rFonts w:ascii="Arial" w:hAnsi="Arial" w:cs="Arial"/>
                          <w:sz w:val="20"/>
                        </w:rPr>
                      </w:pPr>
                    </w:p>
                    <w:p w14:paraId="76B64DF7" w14:textId="77777777" w:rsidR="004F10CE" w:rsidRPr="000370BC" w:rsidRDefault="004F10CE" w:rsidP="00044F09">
                      <w:pPr>
                        <w:numPr>
                          <w:ilvl w:val="0"/>
                          <w:numId w:val="4"/>
                        </w:numPr>
                        <w:tabs>
                          <w:tab w:val="clear" w:pos="720"/>
                          <w:tab w:val="num" w:pos="540"/>
                        </w:tabs>
                        <w:ind w:left="540" w:right="210" w:hanging="270"/>
                        <w:jc w:val="both"/>
                        <w:rPr>
                          <w:rFonts w:ascii="Arial" w:hAnsi="Arial" w:cs="Arial"/>
                          <w:sz w:val="20"/>
                        </w:rPr>
                      </w:pPr>
                      <w:r w:rsidRPr="008974BF">
                        <w:rPr>
                          <w:rFonts w:ascii="Arial" w:hAnsi="Arial" w:cs="Arial"/>
                          <w:b/>
                          <w:sz w:val="20"/>
                        </w:rPr>
                        <w:t>WFF</w:t>
                      </w:r>
                      <w:r>
                        <w:rPr>
                          <w:rFonts w:ascii="Arial" w:hAnsi="Arial" w:cs="Arial"/>
                          <w:sz w:val="20"/>
                        </w:rPr>
                        <w:t xml:space="preserve"> = Working for Families</w:t>
                      </w:r>
                    </w:p>
                    <w:p w14:paraId="4AD9F571" w14:textId="77777777" w:rsidR="004F10CE" w:rsidRDefault="004F10CE" w:rsidP="000370BC">
                      <w:pPr>
                        <w:ind w:right="210"/>
                      </w:pPr>
                    </w:p>
                  </w:txbxContent>
                </v:textbox>
              </v:shape>
            </w:pict>
          </mc:Fallback>
        </mc:AlternateContent>
      </w:r>
    </w:p>
    <w:p w14:paraId="05B7A924" w14:textId="77777777" w:rsidR="000370BC" w:rsidRPr="000370BC" w:rsidRDefault="000370BC" w:rsidP="000370BC">
      <w:pPr>
        <w:ind w:left="360" w:hanging="360"/>
        <w:jc w:val="both"/>
        <w:rPr>
          <w:rFonts w:ascii="Arial" w:hAnsi="Arial" w:cs="Arial"/>
          <w:b/>
        </w:rPr>
      </w:pPr>
    </w:p>
    <w:p w14:paraId="71E07D07" w14:textId="77777777" w:rsidR="000370BC" w:rsidRPr="000370BC" w:rsidRDefault="000370BC" w:rsidP="000370BC">
      <w:pPr>
        <w:ind w:left="360" w:hanging="360"/>
        <w:jc w:val="both"/>
        <w:rPr>
          <w:rFonts w:ascii="Arial" w:hAnsi="Arial" w:cs="Arial"/>
          <w:b/>
        </w:rPr>
      </w:pPr>
    </w:p>
    <w:p w14:paraId="4C29632A" w14:textId="77777777" w:rsidR="000370BC" w:rsidRPr="000370BC" w:rsidRDefault="000370BC" w:rsidP="000370BC">
      <w:pPr>
        <w:ind w:left="360" w:hanging="360"/>
        <w:jc w:val="both"/>
        <w:rPr>
          <w:rFonts w:ascii="Arial" w:hAnsi="Arial" w:cs="Arial"/>
          <w:b/>
        </w:rPr>
      </w:pPr>
    </w:p>
    <w:p w14:paraId="6ACE1234" w14:textId="77777777" w:rsidR="000370BC" w:rsidRPr="000370BC" w:rsidRDefault="000370BC" w:rsidP="000370BC">
      <w:pPr>
        <w:ind w:left="360" w:hanging="360"/>
        <w:jc w:val="both"/>
        <w:rPr>
          <w:rFonts w:ascii="Arial" w:hAnsi="Arial" w:cs="Arial"/>
          <w:b/>
        </w:rPr>
      </w:pPr>
    </w:p>
    <w:p w14:paraId="7E9D4DD2" w14:textId="77777777" w:rsidR="000370BC" w:rsidRPr="000370BC" w:rsidRDefault="000370BC" w:rsidP="000370BC">
      <w:pPr>
        <w:ind w:left="360" w:hanging="360"/>
        <w:jc w:val="both"/>
        <w:rPr>
          <w:rFonts w:ascii="Arial" w:hAnsi="Arial" w:cs="Arial"/>
          <w:b/>
        </w:rPr>
      </w:pPr>
    </w:p>
    <w:p w14:paraId="73BF7815" w14:textId="77777777" w:rsidR="000370BC" w:rsidRPr="000370BC" w:rsidRDefault="000370BC" w:rsidP="000370BC">
      <w:pPr>
        <w:ind w:left="360" w:hanging="360"/>
        <w:jc w:val="both"/>
        <w:rPr>
          <w:rFonts w:ascii="Arial" w:hAnsi="Arial" w:cs="Arial"/>
          <w:b/>
        </w:rPr>
      </w:pPr>
    </w:p>
    <w:p w14:paraId="136EB525" w14:textId="77777777" w:rsidR="000370BC" w:rsidRPr="000370BC" w:rsidRDefault="000370BC" w:rsidP="000370BC">
      <w:pPr>
        <w:ind w:left="360" w:hanging="360"/>
        <w:jc w:val="both"/>
        <w:rPr>
          <w:rFonts w:ascii="Arial" w:hAnsi="Arial" w:cs="Arial"/>
          <w:b/>
        </w:rPr>
      </w:pPr>
    </w:p>
    <w:p w14:paraId="1927F521" w14:textId="77777777" w:rsidR="000370BC" w:rsidRPr="000370BC" w:rsidRDefault="000370BC" w:rsidP="000370BC">
      <w:pPr>
        <w:ind w:left="360" w:hanging="360"/>
        <w:jc w:val="both"/>
        <w:rPr>
          <w:rFonts w:ascii="Arial" w:hAnsi="Arial" w:cs="Arial"/>
          <w:b/>
        </w:rPr>
      </w:pPr>
    </w:p>
    <w:p w14:paraId="2CF3BEAB" w14:textId="77777777" w:rsidR="000370BC" w:rsidRPr="000370BC" w:rsidRDefault="000370BC" w:rsidP="000370BC">
      <w:pPr>
        <w:ind w:left="360" w:hanging="360"/>
        <w:jc w:val="both"/>
        <w:rPr>
          <w:rFonts w:ascii="Arial" w:hAnsi="Arial" w:cs="Arial"/>
          <w:b/>
        </w:rPr>
      </w:pPr>
    </w:p>
    <w:p w14:paraId="1DE66B22" w14:textId="77777777" w:rsidR="000370BC" w:rsidRPr="000370BC" w:rsidRDefault="000370BC" w:rsidP="000370BC">
      <w:pPr>
        <w:ind w:left="360" w:hanging="360"/>
        <w:jc w:val="both"/>
        <w:rPr>
          <w:rFonts w:ascii="Arial" w:hAnsi="Arial" w:cs="Arial"/>
          <w:b/>
        </w:rPr>
      </w:pPr>
    </w:p>
    <w:p w14:paraId="2BA8B5FE" w14:textId="77777777" w:rsidR="000370BC" w:rsidRPr="000370BC" w:rsidRDefault="000370BC" w:rsidP="000370BC">
      <w:pPr>
        <w:ind w:left="360" w:hanging="360"/>
        <w:jc w:val="both"/>
        <w:rPr>
          <w:rFonts w:ascii="Arial" w:hAnsi="Arial" w:cs="Arial"/>
          <w:b/>
        </w:rPr>
      </w:pPr>
    </w:p>
    <w:p w14:paraId="025AA56C" w14:textId="77777777" w:rsidR="000370BC" w:rsidRPr="000370BC" w:rsidRDefault="000370BC" w:rsidP="000370BC">
      <w:pPr>
        <w:ind w:left="360" w:hanging="360"/>
        <w:jc w:val="both"/>
        <w:rPr>
          <w:rFonts w:ascii="Arial" w:hAnsi="Arial" w:cs="Arial"/>
          <w:b/>
        </w:rPr>
      </w:pPr>
    </w:p>
    <w:p w14:paraId="6A88D309" w14:textId="77777777" w:rsidR="000370BC" w:rsidRPr="000370BC" w:rsidRDefault="000370BC" w:rsidP="000370BC">
      <w:pPr>
        <w:ind w:left="360" w:hanging="360"/>
        <w:jc w:val="both"/>
        <w:rPr>
          <w:rFonts w:ascii="Arial" w:hAnsi="Arial" w:cs="Arial"/>
          <w:b/>
        </w:rPr>
      </w:pPr>
    </w:p>
    <w:p w14:paraId="1E14DFF5" w14:textId="77777777" w:rsidR="000370BC" w:rsidRPr="000370BC" w:rsidRDefault="000370BC" w:rsidP="000370BC">
      <w:pPr>
        <w:ind w:left="360" w:hanging="360"/>
        <w:jc w:val="both"/>
        <w:rPr>
          <w:rFonts w:ascii="Arial" w:hAnsi="Arial" w:cs="Arial"/>
          <w:b/>
        </w:rPr>
      </w:pPr>
    </w:p>
    <w:p w14:paraId="21E082C3" w14:textId="77777777" w:rsidR="008974BF" w:rsidRPr="000C5661" w:rsidRDefault="008974BF" w:rsidP="000C5661">
      <w:pPr>
        <w:spacing w:after="120"/>
        <w:ind w:left="360" w:hanging="360"/>
        <w:jc w:val="both"/>
        <w:rPr>
          <w:rFonts w:ascii="Arial" w:hAnsi="Arial" w:cs="Arial"/>
          <w:b/>
          <w:sz w:val="22"/>
          <w:szCs w:val="22"/>
        </w:rPr>
      </w:pPr>
    </w:p>
    <w:p w14:paraId="3D0534A1" w14:textId="77777777" w:rsidR="000370BC" w:rsidRPr="000370BC" w:rsidRDefault="000370BC" w:rsidP="000370BC">
      <w:pPr>
        <w:ind w:left="360" w:hanging="360"/>
        <w:jc w:val="both"/>
        <w:rPr>
          <w:rFonts w:ascii="Arial" w:hAnsi="Arial" w:cs="Arial"/>
          <w:b/>
          <w:sz w:val="20"/>
        </w:rPr>
      </w:pPr>
      <w:r w:rsidRPr="000370BC">
        <w:rPr>
          <w:rFonts w:ascii="Arial" w:hAnsi="Arial" w:cs="Arial"/>
          <w:b/>
          <w:sz w:val="20"/>
        </w:rPr>
        <w:t>1</w:t>
      </w:r>
      <w:r w:rsidRPr="000370BC">
        <w:rPr>
          <w:rFonts w:ascii="Arial" w:hAnsi="Arial" w:cs="Arial"/>
          <w:b/>
          <w:sz w:val="20"/>
        </w:rPr>
        <w:tab/>
      </w:r>
      <w:r w:rsidR="005920B8">
        <w:rPr>
          <w:rFonts w:ascii="Arial" w:hAnsi="Arial" w:cs="Arial"/>
          <w:b/>
          <w:sz w:val="20"/>
        </w:rPr>
        <w:t xml:space="preserve">There was little change </w:t>
      </w:r>
      <w:r w:rsidR="00B07BEE">
        <w:rPr>
          <w:rFonts w:ascii="Arial" w:hAnsi="Arial" w:cs="Arial"/>
          <w:b/>
          <w:sz w:val="20"/>
        </w:rPr>
        <w:t xml:space="preserve">in </w:t>
      </w:r>
      <w:r w:rsidR="00CD603E">
        <w:rPr>
          <w:rFonts w:ascii="Arial" w:hAnsi="Arial" w:cs="Arial"/>
          <w:b/>
          <w:sz w:val="20"/>
        </w:rPr>
        <w:t xml:space="preserve">real terms for </w:t>
      </w:r>
      <w:r w:rsidR="005920B8">
        <w:rPr>
          <w:rFonts w:ascii="Arial" w:hAnsi="Arial" w:cs="Arial"/>
          <w:b/>
          <w:sz w:val="20"/>
        </w:rPr>
        <w:t>h</w:t>
      </w:r>
      <w:r w:rsidRPr="000370BC">
        <w:rPr>
          <w:rFonts w:ascii="Arial" w:hAnsi="Arial" w:cs="Arial"/>
          <w:b/>
          <w:sz w:val="20"/>
        </w:rPr>
        <w:t xml:space="preserve">ousehold incomes (BHC) for </w:t>
      </w:r>
      <w:r w:rsidR="005920B8">
        <w:rPr>
          <w:rFonts w:ascii="Arial" w:hAnsi="Arial" w:cs="Arial"/>
          <w:b/>
          <w:sz w:val="20"/>
        </w:rPr>
        <w:t>most</w:t>
      </w:r>
      <w:r w:rsidRPr="000370BC">
        <w:rPr>
          <w:rFonts w:ascii="Arial" w:hAnsi="Arial" w:cs="Arial"/>
          <w:b/>
          <w:sz w:val="20"/>
        </w:rPr>
        <w:t xml:space="preserve"> income groups from </w:t>
      </w:r>
      <w:r w:rsidR="005920B8">
        <w:rPr>
          <w:rFonts w:ascii="Arial" w:hAnsi="Arial" w:cs="Arial"/>
          <w:b/>
          <w:sz w:val="20"/>
        </w:rPr>
        <w:t>the 2009 HES to the 2010 HES</w:t>
      </w:r>
    </w:p>
    <w:p w14:paraId="0BC0CA66" w14:textId="77777777" w:rsidR="00AA68C3"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AA68C3">
        <w:rPr>
          <w:rFonts w:ascii="Arial" w:hAnsi="Arial" w:cs="Arial"/>
          <w:sz w:val="20"/>
        </w:rPr>
        <w:t xml:space="preserve">he median </w:t>
      </w:r>
      <w:r>
        <w:rPr>
          <w:rFonts w:ascii="Arial" w:hAnsi="Arial" w:cs="Arial"/>
          <w:sz w:val="20"/>
        </w:rPr>
        <w:t>remained virtually unchanged</w:t>
      </w:r>
      <w:r w:rsidR="00542373">
        <w:rPr>
          <w:rFonts w:ascii="Arial" w:hAnsi="Arial" w:cs="Arial"/>
          <w:sz w:val="20"/>
        </w:rPr>
        <w:t xml:space="preserve"> in real terms from </w:t>
      </w:r>
      <w:r w:rsidR="00AA68C3">
        <w:rPr>
          <w:rFonts w:ascii="Arial" w:hAnsi="Arial" w:cs="Arial"/>
          <w:sz w:val="20"/>
        </w:rPr>
        <w:t>the 2009 HES to 2010</w:t>
      </w:r>
      <w:r w:rsidR="009A704B">
        <w:rPr>
          <w:rFonts w:ascii="Arial" w:hAnsi="Arial" w:cs="Arial"/>
          <w:sz w:val="20"/>
        </w:rPr>
        <w:t xml:space="preserve"> (+1%)</w:t>
      </w:r>
      <w:r w:rsidR="00897538">
        <w:rPr>
          <w:rFonts w:ascii="Arial" w:hAnsi="Arial" w:cs="Arial"/>
          <w:sz w:val="20"/>
        </w:rPr>
        <w:t>.</w:t>
      </w:r>
    </w:p>
    <w:p w14:paraId="7E217096" w14:textId="77777777" w:rsidR="00AA68C3" w:rsidRPr="000370BC"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w:t>
      </w:r>
      <w:r w:rsidR="009A704B">
        <w:rPr>
          <w:rFonts w:ascii="Arial" w:hAnsi="Arial" w:cs="Arial"/>
          <w:sz w:val="20"/>
        </w:rPr>
        <w:t xml:space="preserve">ncomes at the top of each of the lower four deciles </w:t>
      </w:r>
      <w:r w:rsidR="00AA68C3">
        <w:rPr>
          <w:rFonts w:ascii="Arial" w:hAnsi="Arial" w:cs="Arial"/>
          <w:sz w:val="20"/>
        </w:rPr>
        <w:t>increased by 2</w:t>
      </w:r>
      <w:r w:rsidR="001E688D" w:rsidRPr="000370BC">
        <w:rPr>
          <w:rFonts w:ascii="Arial" w:hAnsi="Arial" w:cs="Arial"/>
          <w:sz w:val="20"/>
        </w:rPr>
        <w:t>–</w:t>
      </w:r>
      <w:r w:rsidR="00AA68C3">
        <w:rPr>
          <w:rFonts w:ascii="Arial" w:hAnsi="Arial" w:cs="Arial"/>
          <w:sz w:val="20"/>
        </w:rPr>
        <w:t>3% in real terms</w:t>
      </w:r>
      <w:r w:rsidR="00897538">
        <w:rPr>
          <w:rFonts w:ascii="Arial" w:hAnsi="Arial" w:cs="Arial"/>
          <w:sz w:val="20"/>
        </w:rPr>
        <w:t>.</w:t>
      </w:r>
    </w:p>
    <w:p w14:paraId="63E919E9" w14:textId="77777777" w:rsidR="000370BC"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9A704B">
        <w:rPr>
          <w:rFonts w:ascii="Arial" w:hAnsi="Arial" w:cs="Arial"/>
          <w:sz w:val="20"/>
        </w:rPr>
        <w:t xml:space="preserve">or income groups above the median, incomes stayed much the same </w:t>
      </w:r>
      <w:r w:rsidR="00542373">
        <w:rPr>
          <w:rFonts w:ascii="Arial" w:hAnsi="Arial" w:cs="Arial"/>
          <w:sz w:val="20"/>
        </w:rPr>
        <w:t xml:space="preserve">for deciles </w:t>
      </w:r>
      <w:r w:rsidR="00ED6F48">
        <w:rPr>
          <w:rFonts w:ascii="Arial" w:hAnsi="Arial" w:cs="Arial"/>
          <w:sz w:val="20"/>
        </w:rPr>
        <w:t xml:space="preserve">6, </w:t>
      </w:r>
      <w:r w:rsidR="00542373">
        <w:rPr>
          <w:rFonts w:ascii="Arial" w:hAnsi="Arial" w:cs="Arial"/>
          <w:sz w:val="20"/>
        </w:rPr>
        <w:t>7 and 8,</w:t>
      </w:r>
      <w:r w:rsidR="009A704B">
        <w:rPr>
          <w:rFonts w:ascii="Arial" w:hAnsi="Arial" w:cs="Arial"/>
          <w:sz w:val="20"/>
        </w:rPr>
        <w:t xml:space="preserve"> </w:t>
      </w:r>
      <w:r w:rsidR="00542373">
        <w:rPr>
          <w:rFonts w:ascii="Arial" w:hAnsi="Arial" w:cs="Arial"/>
          <w:sz w:val="20"/>
        </w:rPr>
        <w:t>and</w:t>
      </w:r>
      <w:r w:rsidR="009A704B">
        <w:rPr>
          <w:rFonts w:ascii="Arial" w:hAnsi="Arial" w:cs="Arial"/>
          <w:sz w:val="20"/>
        </w:rPr>
        <w:t xml:space="preserve"> fell in real terms</w:t>
      </w:r>
      <w:r w:rsidR="00542373">
        <w:rPr>
          <w:rFonts w:ascii="Arial" w:hAnsi="Arial" w:cs="Arial"/>
          <w:sz w:val="20"/>
        </w:rPr>
        <w:t xml:space="preserve"> for decile 9</w:t>
      </w:r>
      <w:r w:rsidR="00ED6F48">
        <w:rPr>
          <w:rFonts w:ascii="Arial" w:hAnsi="Arial" w:cs="Arial"/>
          <w:sz w:val="20"/>
        </w:rPr>
        <w:t xml:space="preserve">  </w:t>
      </w:r>
      <w:r w:rsidR="00542373">
        <w:rPr>
          <w:rFonts w:ascii="Arial" w:hAnsi="Arial" w:cs="Arial"/>
          <w:sz w:val="20"/>
        </w:rPr>
        <w:t>(</w:t>
      </w:r>
      <w:r>
        <w:rPr>
          <w:rFonts w:ascii="Arial" w:hAnsi="Arial" w:cs="Arial"/>
          <w:sz w:val="20"/>
        </w:rPr>
        <w:t>-</w:t>
      </w:r>
      <w:r w:rsidR="00542373">
        <w:rPr>
          <w:rFonts w:ascii="Arial" w:hAnsi="Arial" w:cs="Arial"/>
          <w:sz w:val="20"/>
        </w:rPr>
        <w:t>3%) and decile 10 (</w:t>
      </w:r>
      <w:r>
        <w:rPr>
          <w:rFonts w:ascii="Arial" w:hAnsi="Arial" w:cs="Arial"/>
          <w:sz w:val="20"/>
        </w:rPr>
        <w:t>-</w:t>
      </w:r>
      <w:r w:rsidR="00542373">
        <w:rPr>
          <w:rFonts w:ascii="Arial" w:hAnsi="Arial" w:cs="Arial"/>
          <w:sz w:val="20"/>
        </w:rPr>
        <w:t>6%)</w:t>
      </w:r>
      <w:r w:rsidR="00897538">
        <w:rPr>
          <w:rFonts w:ascii="Arial" w:hAnsi="Arial" w:cs="Arial"/>
          <w:sz w:val="20"/>
        </w:rPr>
        <w:t>.</w:t>
      </w:r>
    </w:p>
    <w:p w14:paraId="0093DD62" w14:textId="77777777" w:rsidR="00CD603E"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CD603E">
        <w:rPr>
          <w:rFonts w:ascii="Arial" w:hAnsi="Arial" w:cs="Arial"/>
          <w:sz w:val="20"/>
        </w:rPr>
        <w:t>he fall for higher</w:t>
      </w:r>
      <w:r w:rsidR="00EA684F">
        <w:rPr>
          <w:rFonts w:ascii="Arial" w:hAnsi="Arial" w:cs="Arial"/>
          <w:sz w:val="20"/>
        </w:rPr>
        <w:t>-</w:t>
      </w:r>
      <w:r w:rsidR="00CD603E">
        <w:rPr>
          <w:rFonts w:ascii="Arial" w:hAnsi="Arial" w:cs="Arial"/>
          <w:sz w:val="20"/>
        </w:rPr>
        <w:t xml:space="preserve">income households is likely to reflect a decline in </w:t>
      </w:r>
      <w:r w:rsidR="00D05095">
        <w:rPr>
          <w:rFonts w:ascii="Arial" w:hAnsi="Arial" w:cs="Arial"/>
          <w:sz w:val="20"/>
        </w:rPr>
        <w:t xml:space="preserve">investment income following the Global Financial Crisis and the stagnation of </w:t>
      </w:r>
      <w:r w:rsidR="00B12BCD">
        <w:rPr>
          <w:rFonts w:ascii="Arial" w:hAnsi="Arial" w:cs="Arial"/>
          <w:sz w:val="20"/>
        </w:rPr>
        <w:t xml:space="preserve">some </w:t>
      </w:r>
      <w:r w:rsidR="00D05095">
        <w:rPr>
          <w:rFonts w:ascii="Arial" w:hAnsi="Arial" w:cs="Arial"/>
          <w:sz w:val="20"/>
        </w:rPr>
        <w:t>higher salaries</w:t>
      </w:r>
      <w:r w:rsidR="00897538">
        <w:rPr>
          <w:rFonts w:ascii="Arial" w:hAnsi="Arial" w:cs="Arial"/>
          <w:sz w:val="20"/>
        </w:rPr>
        <w:t>.</w:t>
      </w:r>
    </w:p>
    <w:p w14:paraId="43A0B4FE" w14:textId="77777777" w:rsidR="00B04867" w:rsidRDefault="00B04867" w:rsidP="008974BF">
      <w:pPr>
        <w:spacing w:before="120"/>
        <w:jc w:val="both"/>
        <w:rPr>
          <w:rFonts w:ascii="Arial" w:hAnsi="Arial" w:cs="Arial"/>
          <w:sz w:val="20"/>
        </w:rPr>
      </w:pPr>
    </w:p>
    <w:p w14:paraId="074C5D8D" w14:textId="77777777" w:rsidR="005920B8" w:rsidRPr="000370BC" w:rsidRDefault="005920B8" w:rsidP="005920B8">
      <w:pPr>
        <w:ind w:left="360" w:hanging="360"/>
        <w:jc w:val="both"/>
        <w:rPr>
          <w:rFonts w:ascii="Arial" w:hAnsi="Arial" w:cs="Arial"/>
          <w:b/>
          <w:sz w:val="20"/>
        </w:rPr>
      </w:pPr>
      <w:r>
        <w:rPr>
          <w:rFonts w:ascii="Arial" w:hAnsi="Arial" w:cs="Arial"/>
          <w:b/>
          <w:sz w:val="20"/>
        </w:rPr>
        <w:t>2</w:t>
      </w:r>
      <w:r w:rsidRPr="000370BC">
        <w:rPr>
          <w:rFonts w:ascii="Arial" w:hAnsi="Arial" w:cs="Arial"/>
          <w:b/>
          <w:sz w:val="20"/>
        </w:rPr>
        <w:tab/>
      </w:r>
      <w:r w:rsidR="00B07BEE">
        <w:rPr>
          <w:rFonts w:ascii="Arial" w:hAnsi="Arial" w:cs="Arial"/>
          <w:b/>
          <w:sz w:val="20"/>
        </w:rPr>
        <w:t xml:space="preserve">For the </w:t>
      </w:r>
      <w:r>
        <w:rPr>
          <w:rFonts w:ascii="Arial" w:hAnsi="Arial" w:cs="Arial"/>
          <w:b/>
          <w:sz w:val="20"/>
        </w:rPr>
        <w:t>25 years</w:t>
      </w:r>
      <w:r w:rsidR="00B07BEE">
        <w:rPr>
          <w:rFonts w:ascii="Arial" w:hAnsi="Arial" w:cs="Arial"/>
          <w:b/>
          <w:sz w:val="20"/>
        </w:rPr>
        <w:t xml:space="preserve"> from </w:t>
      </w:r>
      <w:r w:rsidR="00B87AE0">
        <w:rPr>
          <w:rFonts w:ascii="Arial" w:hAnsi="Arial" w:cs="Arial"/>
          <w:b/>
          <w:sz w:val="20"/>
        </w:rPr>
        <w:t xml:space="preserve">the low point in </w:t>
      </w:r>
      <w:r w:rsidR="00B07BEE">
        <w:rPr>
          <w:rFonts w:ascii="Arial" w:hAnsi="Arial" w:cs="Arial"/>
          <w:b/>
          <w:sz w:val="20"/>
        </w:rPr>
        <w:t xml:space="preserve">1994 </w:t>
      </w:r>
      <w:r w:rsidR="000C5661">
        <w:rPr>
          <w:rFonts w:ascii="Arial" w:hAnsi="Arial" w:cs="Arial"/>
          <w:b/>
          <w:sz w:val="20"/>
        </w:rPr>
        <w:t xml:space="preserve">through </w:t>
      </w:r>
      <w:r w:rsidR="00B07BEE">
        <w:rPr>
          <w:rFonts w:ascii="Arial" w:hAnsi="Arial" w:cs="Arial"/>
          <w:b/>
          <w:sz w:val="20"/>
        </w:rPr>
        <w:t>to 2009</w:t>
      </w:r>
      <w:r>
        <w:rPr>
          <w:rFonts w:ascii="Arial" w:hAnsi="Arial" w:cs="Arial"/>
          <w:b/>
          <w:sz w:val="20"/>
        </w:rPr>
        <w:t xml:space="preserve"> </w:t>
      </w:r>
      <w:r w:rsidR="00B07BEE">
        <w:rPr>
          <w:rFonts w:ascii="Arial" w:hAnsi="Arial" w:cs="Arial"/>
          <w:b/>
          <w:sz w:val="20"/>
        </w:rPr>
        <w:t xml:space="preserve">there was </w:t>
      </w:r>
      <w:r w:rsidR="00BD173B">
        <w:rPr>
          <w:rFonts w:ascii="Arial" w:hAnsi="Arial" w:cs="Arial"/>
          <w:b/>
          <w:sz w:val="20"/>
        </w:rPr>
        <w:t xml:space="preserve">a </w:t>
      </w:r>
      <w:r w:rsidR="00AC0105">
        <w:rPr>
          <w:rFonts w:ascii="Arial" w:hAnsi="Arial" w:cs="Arial"/>
          <w:b/>
          <w:sz w:val="20"/>
        </w:rPr>
        <w:t>steady rise in the median</w:t>
      </w:r>
      <w:r w:rsidR="00B07BEE">
        <w:rPr>
          <w:rFonts w:ascii="Arial" w:hAnsi="Arial" w:cs="Arial"/>
          <w:b/>
          <w:sz w:val="20"/>
        </w:rPr>
        <w:t xml:space="preserve"> income in real terms</w:t>
      </w:r>
      <w:r w:rsidR="00AC0105">
        <w:rPr>
          <w:rFonts w:ascii="Arial" w:hAnsi="Arial" w:cs="Arial"/>
          <w:b/>
          <w:sz w:val="20"/>
        </w:rPr>
        <w:t>, with different income groups faring differently at different time</w:t>
      </w:r>
      <w:r w:rsidR="0094791F">
        <w:rPr>
          <w:rFonts w:ascii="Arial" w:hAnsi="Arial" w:cs="Arial"/>
          <w:b/>
          <w:sz w:val="20"/>
        </w:rPr>
        <w:t>s</w:t>
      </w:r>
    </w:p>
    <w:p w14:paraId="17ADB108" w14:textId="3D1F559E" w:rsidR="00EA684F" w:rsidRPr="000370BC" w:rsidRDefault="00832634" w:rsidP="00044F09">
      <w:pPr>
        <w:numPr>
          <w:ilvl w:val="0"/>
          <w:numId w:val="1"/>
        </w:numPr>
        <w:tabs>
          <w:tab w:val="clear" w:pos="720"/>
          <w:tab w:val="num" w:pos="900"/>
        </w:tabs>
        <w:spacing w:before="120"/>
        <w:ind w:left="900"/>
        <w:jc w:val="both"/>
        <w:rPr>
          <w:rFonts w:ascii="Arial" w:hAnsi="Arial" w:cs="Arial"/>
          <w:sz w:val="20"/>
        </w:rPr>
      </w:pPr>
      <w:r>
        <w:rPr>
          <w:noProof/>
          <w:lang w:val="en-US"/>
        </w:rPr>
        <w:drawing>
          <wp:anchor distT="0" distB="0" distL="182880" distR="0" simplePos="0" relativeHeight="251662336" behindDoc="0" locked="0" layoutInCell="1" allowOverlap="1" wp14:anchorId="2628F40D" wp14:editId="243C6C9C">
            <wp:simplePos x="0" y="0"/>
            <wp:positionH relativeFrom="column">
              <wp:posOffset>3247390</wp:posOffset>
            </wp:positionH>
            <wp:positionV relativeFrom="paragraph">
              <wp:posOffset>387350</wp:posOffset>
            </wp:positionV>
            <wp:extent cx="2505075" cy="1552575"/>
            <wp:effectExtent l="0" t="0" r="0" b="0"/>
            <wp:wrapSquare wrapText="lef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0F97">
        <w:rPr>
          <w:rFonts w:ascii="Arial" w:hAnsi="Arial" w:cs="Arial"/>
          <w:sz w:val="20"/>
        </w:rPr>
        <w:t>M</w:t>
      </w:r>
      <w:r w:rsidR="00EA684F" w:rsidRPr="000370BC">
        <w:rPr>
          <w:rFonts w:ascii="Arial" w:hAnsi="Arial" w:cs="Arial"/>
          <w:sz w:val="20"/>
        </w:rPr>
        <w:t>edian household income grew 46% in real terms from the low point in 1994 to 2009</w:t>
      </w:r>
      <w:r w:rsidR="00EA684F">
        <w:rPr>
          <w:rFonts w:ascii="Arial" w:hAnsi="Arial" w:cs="Arial"/>
          <w:sz w:val="20"/>
        </w:rPr>
        <w:t xml:space="preserve"> (47% to 2010)</w:t>
      </w:r>
      <w:r w:rsidR="000C5661">
        <w:rPr>
          <w:rFonts w:ascii="Arial" w:hAnsi="Arial" w:cs="Arial"/>
          <w:sz w:val="20"/>
        </w:rPr>
        <w:t>.</w:t>
      </w:r>
    </w:p>
    <w:p w14:paraId="7D6D4C54" w14:textId="77777777" w:rsidR="00EA684F"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EA684F">
        <w:rPr>
          <w:rFonts w:ascii="Arial" w:hAnsi="Arial" w:cs="Arial"/>
          <w:sz w:val="20"/>
        </w:rPr>
        <w:t>rom 1994 to 2004, incomes for middle</w:t>
      </w:r>
      <w:r w:rsidR="00897538">
        <w:rPr>
          <w:rFonts w:ascii="Arial" w:hAnsi="Arial" w:cs="Arial"/>
          <w:sz w:val="20"/>
        </w:rPr>
        <w:t>- to higher-</w:t>
      </w:r>
      <w:r w:rsidR="00EA684F">
        <w:rPr>
          <w:rFonts w:ascii="Arial" w:hAnsi="Arial" w:cs="Arial"/>
          <w:sz w:val="20"/>
        </w:rPr>
        <w:t>income households grew more quickly than the incomes of the bottom third (around 28% and 15% respectively, in real terms)</w:t>
      </w:r>
      <w:r w:rsidR="000C5661">
        <w:rPr>
          <w:rFonts w:ascii="Arial" w:hAnsi="Arial" w:cs="Arial"/>
          <w:sz w:val="20"/>
        </w:rPr>
        <w:t>.</w:t>
      </w:r>
    </w:p>
    <w:p w14:paraId="65163D35" w14:textId="77777777" w:rsidR="00EA684F" w:rsidRPr="000370BC"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1E688D">
        <w:rPr>
          <w:rFonts w:ascii="Arial" w:hAnsi="Arial" w:cs="Arial"/>
          <w:sz w:val="20"/>
        </w:rPr>
        <w:t xml:space="preserve">rom </w:t>
      </w:r>
      <w:r w:rsidR="00EA684F" w:rsidRPr="000370BC">
        <w:rPr>
          <w:rFonts w:ascii="Arial" w:hAnsi="Arial" w:cs="Arial"/>
          <w:sz w:val="20"/>
        </w:rPr>
        <w:t xml:space="preserve">2004 to 2007 </w:t>
      </w:r>
      <w:r w:rsidR="001E688D">
        <w:rPr>
          <w:rFonts w:ascii="Arial" w:hAnsi="Arial" w:cs="Arial"/>
          <w:sz w:val="20"/>
        </w:rPr>
        <w:t xml:space="preserve">the WFF package led to </w:t>
      </w:r>
      <w:r w:rsidR="00EA684F" w:rsidRPr="000370BC">
        <w:rPr>
          <w:rFonts w:ascii="Arial" w:hAnsi="Arial" w:cs="Arial"/>
          <w:sz w:val="20"/>
        </w:rPr>
        <w:t>incomes below the median gr</w:t>
      </w:r>
      <w:r w:rsidR="001E688D">
        <w:rPr>
          <w:rFonts w:ascii="Arial" w:hAnsi="Arial" w:cs="Arial"/>
          <w:sz w:val="20"/>
        </w:rPr>
        <w:t>owing</w:t>
      </w:r>
      <w:r w:rsidR="00EA684F" w:rsidRPr="000370BC">
        <w:rPr>
          <w:rFonts w:ascii="Arial" w:hAnsi="Arial" w:cs="Arial"/>
          <w:sz w:val="20"/>
        </w:rPr>
        <w:t xml:space="preserve"> more quickly than incomes above the median – the only period in the last </w:t>
      </w:r>
      <w:r w:rsidR="001E688D">
        <w:rPr>
          <w:rFonts w:ascii="Arial" w:hAnsi="Arial" w:cs="Arial"/>
          <w:sz w:val="20"/>
        </w:rPr>
        <w:t>30</w:t>
      </w:r>
      <w:r w:rsidR="00EA684F" w:rsidRPr="000370BC">
        <w:rPr>
          <w:rFonts w:ascii="Arial" w:hAnsi="Arial" w:cs="Arial"/>
          <w:sz w:val="20"/>
        </w:rPr>
        <w:t xml:space="preserve"> years in wh</w:t>
      </w:r>
      <w:r w:rsidR="001E688D">
        <w:rPr>
          <w:rFonts w:ascii="Arial" w:hAnsi="Arial" w:cs="Arial"/>
          <w:sz w:val="20"/>
        </w:rPr>
        <w:t>ich this has happened</w:t>
      </w:r>
      <w:r w:rsidR="000C5661">
        <w:rPr>
          <w:rFonts w:ascii="Arial" w:hAnsi="Arial" w:cs="Arial"/>
          <w:sz w:val="20"/>
        </w:rPr>
        <w:t>.</w:t>
      </w:r>
    </w:p>
    <w:p w14:paraId="2136FC7D" w14:textId="77777777" w:rsidR="001E688D"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1E688D">
        <w:rPr>
          <w:rFonts w:ascii="Arial" w:hAnsi="Arial" w:cs="Arial"/>
          <w:sz w:val="20"/>
        </w:rPr>
        <w:t>rom 2007 to 2009 the growth was relatively even across all income groups (7</w:t>
      </w:r>
      <w:r w:rsidR="001E688D" w:rsidRPr="000370BC">
        <w:rPr>
          <w:rFonts w:ascii="Arial" w:hAnsi="Arial" w:cs="Arial"/>
          <w:sz w:val="20"/>
        </w:rPr>
        <w:t>–</w:t>
      </w:r>
      <w:r w:rsidR="001E688D">
        <w:rPr>
          <w:rFonts w:ascii="Arial" w:hAnsi="Arial" w:cs="Arial"/>
          <w:sz w:val="20"/>
        </w:rPr>
        <w:t>9%)</w:t>
      </w:r>
      <w:r w:rsidR="000C5661">
        <w:rPr>
          <w:rFonts w:ascii="Arial" w:hAnsi="Arial" w:cs="Arial"/>
          <w:sz w:val="20"/>
        </w:rPr>
        <w:t>.</w:t>
      </w:r>
    </w:p>
    <w:p w14:paraId="5580FFE8" w14:textId="77777777" w:rsidR="00EA684F" w:rsidRPr="00B87AE0" w:rsidRDefault="006A0F97"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EA684F" w:rsidRPr="000370BC">
        <w:rPr>
          <w:rFonts w:ascii="Arial" w:hAnsi="Arial" w:cs="Arial"/>
          <w:sz w:val="20"/>
        </w:rPr>
        <w:t>he growth in median income from 1994 to 20</w:t>
      </w:r>
      <w:r w:rsidR="001E688D">
        <w:rPr>
          <w:rFonts w:ascii="Arial" w:hAnsi="Arial" w:cs="Arial"/>
          <w:sz w:val="20"/>
        </w:rPr>
        <w:t>10</w:t>
      </w:r>
      <w:r w:rsidR="00EA684F" w:rsidRPr="000370BC">
        <w:rPr>
          <w:rFonts w:ascii="Arial" w:hAnsi="Arial" w:cs="Arial"/>
          <w:sz w:val="20"/>
        </w:rPr>
        <w:t xml:space="preserve"> was stronger for Maori (</w:t>
      </w:r>
      <w:r w:rsidR="001E688D">
        <w:rPr>
          <w:rFonts w:ascii="Arial" w:hAnsi="Arial" w:cs="Arial"/>
          <w:sz w:val="20"/>
        </w:rPr>
        <w:t>68</w:t>
      </w:r>
      <w:r w:rsidR="00EA684F" w:rsidRPr="000370BC">
        <w:rPr>
          <w:rFonts w:ascii="Arial" w:hAnsi="Arial" w:cs="Arial"/>
          <w:sz w:val="20"/>
        </w:rPr>
        <w:t>%) and for Pacific (7</w:t>
      </w:r>
      <w:r w:rsidR="001E688D">
        <w:rPr>
          <w:rFonts w:ascii="Arial" w:hAnsi="Arial" w:cs="Arial"/>
          <w:sz w:val="20"/>
        </w:rPr>
        <w:t>7</w:t>
      </w:r>
      <w:r w:rsidR="00EA684F" w:rsidRPr="000370BC">
        <w:rPr>
          <w:rFonts w:ascii="Arial" w:hAnsi="Arial" w:cs="Arial"/>
          <w:sz w:val="20"/>
        </w:rPr>
        <w:t xml:space="preserve">%) than for </w:t>
      </w:r>
      <w:r w:rsidR="001E688D">
        <w:rPr>
          <w:rFonts w:ascii="Arial" w:hAnsi="Arial" w:cs="Arial"/>
          <w:sz w:val="20"/>
        </w:rPr>
        <w:t>European</w:t>
      </w:r>
      <w:r w:rsidR="00EA684F" w:rsidRPr="000370BC">
        <w:rPr>
          <w:rFonts w:ascii="Arial" w:hAnsi="Arial" w:cs="Arial"/>
          <w:sz w:val="20"/>
        </w:rPr>
        <w:t xml:space="preserve"> (4</w:t>
      </w:r>
      <w:r w:rsidR="00255F47">
        <w:rPr>
          <w:rFonts w:ascii="Arial" w:hAnsi="Arial" w:cs="Arial"/>
          <w:sz w:val="20"/>
        </w:rPr>
        <w:t>8%) – from 2004 to 2010, the respective growth</w:t>
      </w:r>
      <w:r>
        <w:rPr>
          <w:rFonts w:ascii="Arial" w:hAnsi="Arial" w:cs="Arial"/>
          <w:sz w:val="20"/>
        </w:rPr>
        <w:t xml:space="preserve"> </w:t>
      </w:r>
      <w:r w:rsidR="000C5661">
        <w:rPr>
          <w:rFonts w:ascii="Arial" w:hAnsi="Arial" w:cs="Arial"/>
          <w:sz w:val="20"/>
        </w:rPr>
        <w:t>figures were 21%, 31%, 14%.</w:t>
      </w:r>
    </w:p>
    <w:p w14:paraId="50E63F79" w14:textId="77777777" w:rsidR="005920B8" w:rsidRPr="000370BC" w:rsidRDefault="008B422D"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color w:val="000000"/>
          <w:sz w:val="20"/>
        </w:rPr>
        <w:t xml:space="preserve">When </w:t>
      </w:r>
      <w:r w:rsidR="00B87AE0">
        <w:rPr>
          <w:rFonts w:ascii="Arial" w:hAnsi="Arial" w:cs="Arial"/>
          <w:color w:val="000000"/>
          <w:sz w:val="20"/>
        </w:rPr>
        <w:t xml:space="preserve">the mid </w:t>
      </w:r>
      <w:r w:rsidR="008974BF">
        <w:rPr>
          <w:rFonts w:ascii="Arial" w:hAnsi="Arial" w:cs="Arial"/>
          <w:color w:val="000000"/>
          <w:sz w:val="20"/>
        </w:rPr>
        <w:t xml:space="preserve">to late </w:t>
      </w:r>
      <w:r w:rsidR="00B87AE0">
        <w:rPr>
          <w:rFonts w:ascii="Arial" w:hAnsi="Arial" w:cs="Arial"/>
          <w:color w:val="000000"/>
          <w:sz w:val="20"/>
        </w:rPr>
        <w:t>1980s</w:t>
      </w:r>
      <w:r>
        <w:rPr>
          <w:rFonts w:ascii="Arial" w:hAnsi="Arial" w:cs="Arial"/>
          <w:color w:val="000000"/>
          <w:sz w:val="20"/>
        </w:rPr>
        <w:t xml:space="preserve"> are used as the starting point, a quite different perspective emerges: </w:t>
      </w:r>
      <w:r w:rsidR="00B87AE0">
        <w:rPr>
          <w:rFonts w:ascii="Arial" w:hAnsi="Arial" w:cs="Arial"/>
          <w:color w:val="000000"/>
          <w:sz w:val="20"/>
        </w:rPr>
        <w:t xml:space="preserve"> it took until</w:t>
      </w:r>
      <w:r>
        <w:rPr>
          <w:rFonts w:ascii="Arial" w:hAnsi="Arial" w:cs="Arial"/>
          <w:color w:val="000000"/>
          <w:sz w:val="20"/>
        </w:rPr>
        <w:t xml:space="preserve"> around 2000 for the median to return to what it was in 1988, and </w:t>
      </w:r>
      <w:r w:rsidR="008974BF">
        <w:rPr>
          <w:rFonts w:ascii="Arial" w:hAnsi="Arial" w:cs="Arial"/>
          <w:color w:val="000000"/>
          <w:sz w:val="20"/>
        </w:rPr>
        <w:t xml:space="preserve">it was only in 2007 (after WFF) that low incomes </w:t>
      </w:r>
      <w:r>
        <w:rPr>
          <w:rFonts w:ascii="Arial" w:hAnsi="Arial" w:cs="Arial"/>
          <w:color w:val="000000"/>
          <w:sz w:val="20"/>
        </w:rPr>
        <w:t>return</w:t>
      </w:r>
      <w:r w:rsidR="008974BF">
        <w:rPr>
          <w:rFonts w:ascii="Arial" w:hAnsi="Arial" w:cs="Arial"/>
          <w:color w:val="000000"/>
          <w:sz w:val="20"/>
        </w:rPr>
        <w:t>ed</w:t>
      </w:r>
      <w:r>
        <w:rPr>
          <w:rFonts w:ascii="Arial" w:hAnsi="Arial" w:cs="Arial"/>
          <w:color w:val="000000"/>
          <w:sz w:val="20"/>
        </w:rPr>
        <w:t xml:space="preserve"> to </w:t>
      </w:r>
      <w:r w:rsidR="008974BF">
        <w:rPr>
          <w:rFonts w:ascii="Arial" w:hAnsi="Arial" w:cs="Arial"/>
          <w:color w:val="000000"/>
          <w:sz w:val="20"/>
        </w:rPr>
        <w:t>what they were 20 years before.</w:t>
      </w:r>
    </w:p>
    <w:p w14:paraId="2C1DD6C8" w14:textId="77777777" w:rsidR="000370BC" w:rsidRPr="000370BC" w:rsidRDefault="005920B8" w:rsidP="000370BC">
      <w:pPr>
        <w:ind w:left="360" w:hanging="360"/>
        <w:jc w:val="both"/>
        <w:rPr>
          <w:rFonts w:ascii="Arial" w:hAnsi="Arial" w:cs="Arial"/>
          <w:b/>
          <w:sz w:val="20"/>
        </w:rPr>
      </w:pPr>
      <w:r>
        <w:rPr>
          <w:rFonts w:ascii="Arial" w:hAnsi="Arial" w:cs="Arial"/>
          <w:b/>
          <w:sz w:val="20"/>
        </w:rPr>
        <w:br w:type="page"/>
      </w:r>
      <w:r>
        <w:rPr>
          <w:rFonts w:ascii="Arial" w:hAnsi="Arial" w:cs="Arial"/>
          <w:b/>
          <w:sz w:val="20"/>
        </w:rPr>
        <w:lastRenderedPageBreak/>
        <w:t>3</w:t>
      </w:r>
      <w:r w:rsidR="000370BC" w:rsidRPr="000370BC">
        <w:rPr>
          <w:rFonts w:ascii="Arial" w:hAnsi="Arial" w:cs="Arial"/>
          <w:b/>
          <w:sz w:val="20"/>
        </w:rPr>
        <w:tab/>
        <w:t>Income inequality</w:t>
      </w:r>
      <w:r w:rsidR="006A0F97">
        <w:rPr>
          <w:rFonts w:ascii="Arial" w:hAnsi="Arial" w:cs="Arial"/>
          <w:b/>
          <w:sz w:val="20"/>
        </w:rPr>
        <w:t xml:space="preserve"> peaked in the early 2000s, </w:t>
      </w:r>
      <w:r w:rsidR="000370BC" w:rsidRPr="000370BC">
        <w:rPr>
          <w:rFonts w:ascii="Arial" w:hAnsi="Arial" w:cs="Arial"/>
          <w:b/>
          <w:sz w:val="20"/>
        </w:rPr>
        <w:t xml:space="preserve">then fell from 2004 to 2007 as a result of the </w:t>
      </w:r>
      <w:r w:rsidR="008974BF">
        <w:rPr>
          <w:rFonts w:ascii="Arial" w:hAnsi="Arial" w:cs="Arial"/>
          <w:b/>
          <w:sz w:val="20"/>
        </w:rPr>
        <w:t>WFF</w:t>
      </w:r>
      <w:r w:rsidR="000370BC" w:rsidRPr="000370BC">
        <w:rPr>
          <w:rFonts w:ascii="Arial" w:hAnsi="Arial" w:cs="Arial"/>
          <w:b/>
          <w:sz w:val="20"/>
        </w:rPr>
        <w:t xml:space="preserve"> package, and </w:t>
      </w:r>
      <w:r w:rsidR="006A0F97">
        <w:rPr>
          <w:rFonts w:ascii="Arial" w:hAnsi="Arial" w:cs="Arial"/>
          <w:b/>
          <w:sz w:val="20"/>
        </w:rPr>
        <w:t>in 2010 was lower</w:t>
      </w:r>
      <w:r w:rsidR="00B87AE0">
        <w:rPr>
          <w:rFonts w:ascii="Arial" w:hAnsi="Arial" w:cs="Arial"/>
          <w:b/>
          <w:sz w:val="20"/>
        </w:rPr>
        <w:t xml:space="preserve"> again</w:t>
      </w:r>
      <w:r w:rsidR="006A0F97">
        <w:rPr>
          <w:rFonts w:ascii="Arial" w:hAnsi="Arial" w:cs="Arial"/>
          <w:b/>
          <w:sz w:val="20"/>
        </w:rPr>
        <w:t xml:space="preserve"> than in 2007</w:t>
      </w:r>
    </w:p>
    <w:p w14:paraId="0FC5779F" w14:textId="77777777" w:rsidR="001B4C44" w:rsidRDefault="001B4C44"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Two common measures of income inequality are the 80:20 (or 90:10) percentile ratio and the Gini coefficient.  For both measures, the higher the score the higher is inequality.</w:t>
      </w:r>
      <w:r w:rsidR="006F10FB">
        <w:rPr>
          <w:rFonts w:ascii="Arial" w:hAnsi="Arial" w:cs="Arial"/>
          <w:sz w:val="20"/>
        </w:rPr>
        <w:t xml:space="preserve"> </w:t>
      </w:r>
      <w:r w:rsidR="006F10FB" w:rsidRPr="006F10FB">
        <w:rPr>
          <w:rFonts w:ascii="Arial" w:hAnsi="Arial" w:cs="Arial"/>
          <w:sz w:val="20"/>
          <w:szCs w:val="20"/>
        </w:rPr>
        <w:t xml:space="preserve">While there is sometimes a difference in year-on-year detail, both measures </w:t>
      </w:r>
      <w:r w:rsidR="006F10FB">
        <w:rPr>
          <w:rFonts w:ascii="Arial" w:hAnsi="Arial" w:cs="Arial"/>
          <w:sz w:val="20"/>
          <w:szCs w:val="20"/>
        </w:rPr>
        <w:t>show</w:t>
      </w:r>
      <w:r w:rsidR="006F10FB" w:rsidRPr="006F10FB">
        <w:rPr>
          <w:rFonts w:ascii="Arial" w:hAnsi="Arial" w:cs="Arial"/>
          <w:sz w:val="20"/>
          <w:szCs w:val="20"/>
        </w:rPr>
        <w:t xml:space="preserve"> the same </w:t>
      </w:r>
      <w:r w:rsidR="006F10FB">
        <w:rPr>
          <w:rFonts w:ascii="Arial" w:hAnsi="Arial" w:cs="Arial"/>
          <w:sz w:val="20"/>
          <w:szCs w:val="20"/>
        </w:rPr>
        <w:t>longer-run pattern</w:t>
      </w:r>
      <w:r w:rsidR="00B87AE0">
        <w:rPr>
          <w:rFonts w:ascii="Arial" w:hAnsi="Arial" w:cs="Arial"/>
          <w:sz w:val="20"/>
          <w:szCs w:val="20"/>
        </w:rPr>
        <w:t xml:space="preserve"> for New Zealand</w:t>
      </w:r>
      <w:r w:rsidR="006F10FB">
        <w:rPr>
          <w:rFonts w:ascii="Arial" w:hAnsi="Arial" w:cs="Arial"/>
          <w:sz w:val="20"/>
          <w:szCs w:val="20"/>
        </w:rPr>
        <w:t>.</w:t>
      </w:r>
      <w:r w:rsidR="00AE0FFF" w:rsidRPr="00AE0FFF">
        <w:rPr>
          <w:rFonts w:ascii="Arial" w:hAnsi="Arial" w:cs="Arial"/>
          <w:sz w:val="20"/>
          <w:szCs w:val="20"/>
        </w:rPr>
        <w:t xml:space="preserve"> </w:t>
      </w:r>
    </w:p>
    <w:p w14:paraId="258AD4BF" w14:textId="4E30AC6F" w:rsidR="00C15712" w:rsidRDefault="00832634" w:rsidP="00044F09">
      <w:pPr>
        <w:numPr>
          <w:ilvl w:val="0"/>
          <w:numId w:val="1"/>
        </w:numPr>
        <w:tabs>
          <w:tab w:val="clear" w:pos="720"/>
          <w:tab w:val="num" w:pos="900"/>
        </w:tabs>
        <w:spacing w:before="120"/>
        <w:ind w:left="900"/>
        <w:jc w:val="both"/>
        <w:rPr>
          <w:rFonts w:ascii="Arial" w:hAnsi="Arial" w:cs="Arial"/>
          <w:sz w:val="20"/>
        </w:rPr>
      </w:pPr>
      <w:r>
        <w:rPr>
          <w:noProof/>
          <w:lang w:val="en-US"/>
        </w:rPr>
        <w:drawing>
          <wp:anchor distT="0" distB="0" distL="182880" distR="0" simplePos="0" relativeHeight="251658240" behindDoc="0" locked="0" layoutInCell="1" allowOverlap="1" wp14:anchorId="0C274E66" wp14:editId="6EC31CB1">
            <wp:simplePos x="0" y="0"/>
            <wp:positionH relativeFrom="column">
              <wp:posOffset>2758440</wp:posOffset>
            </wp:positionH>
            <wp:positionV relativeFrom="paragraph">
              <wp:posOffset>8255</wp:posOffset>
            </wp:positionV>
            <wp:extent cx="3051175" cy="1828800"/>
            <wp:effectExtent l="0" t="0" r="0" b="0"/>
            <wp:wrapSquare wrapText="lef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368B">
        <w:rPr>
          <w:rFonts w:ascii="Arial" w:hAnsi="Arial" w:cs="Arial"/>
          <w:sz w:val="20"/>
        </w:rPr>
        <w:t>In the mid 1980s i</w:t>
      </w:r>
      <w:r w:rsidR="000370BC" w:rsidRPr="000370BC">
        <w:rPr>
          <w:rFonts w:ascii="Arial" w:hAnsi="Arial" w:cs="Arial"/>
          <w:sz w:val="20"/>
        </w:rPr>
        <w:t>ncome inequality</w:t>
      </w:r>
      <w:r w:rsidR="00FB368B">
        <w:rPr>
          <w:rFonts w:ascii="Arial" w:hAnsi="Arial" w:cs="Arial"/>
          <w:sz w:val="20"/>
        </w:rPr>
        <w:t xml:space="preserve"> in New Zealand was low by OECD standards.  It</w:t>
      </w:r>
      <w:r w:rsidR="000370BC" w:rsidRPr="000370BC">
        <w:rPr>
          <w:rFonts w:ascii="Arial" w:hAnsi="Arial" w:cs="Arial"/>
          <w:sz w:val="20"/>
        </w:rPr>
        <w:t xml:space="preserve"> grew very rapidly from 1988 to 1992,</w:t>
      </w:r>
      <w:r w:rsidR="00C15712">
        <w:rPr>
          <w:rFonts w:ascii="Arial" w:hAnsi="Arial" w:cs="Arial"/>
          <w:sz w:val="20"/>
        </w:rPr>
        <w:t xml:space="preserve"> with higher incomes increasing and lower incomes decreasing in real terms.</w:t>
      </w:r>
    </w:p>
    <w:p w14:paraId="5A106FE3" w14:textId="77777777" w:rsidR="000370BC" w:rsidRPr="000370BC" w:rsidRDefault="00C15712"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This rapid change was </w:t>
      </w:r>
      <w:r w:rsidR="000370BC" w:rsidRPr="000370BC">
        <w:rPr>
          <w:rFonts w:ascii="Arial" w:hAnsi="Arial" w:cs="Arial"/>
          <w:sz w:val="20"/>
        </w:rPr>
        <w:t xml:space="preserve">followed by a slower but steady rise through to </w:t>
      </w:r>
      <w:r w:rsidR="00576779">
        <w:rPr>
          <w:rFonts w:ascii="Arial" w:hAnsi="Arial" w:cs="Arial"/>
          <w:sz w:val="20"/>
        </w:rPr>
        <w:t>the early 2000s</w:t>
      </w:r>
      <w:r>
        <w:rPr>
          <w:rFonts w:ascii="Arial" w:hAnsi="Arial" w:cs="Arial"/>
          <w:sz w:val="20"/>
        </w:rPr>
        <w:t>, with rises for all income groups, but greater</w:t>
      </w:r>
      <w:r w:rsidR="00897538">
        <w:rPr>
          <w:rFonts w:ascii="Arial" w:hAnsi="Arial" w:cs="Arial"/>
          <w:sz w:val="20"/>
        </w:rPr>
        <w:t xml:space="preserve"> proportionate rises for higher-</w:t>
      </w:r>
      <w:r>
        <w:rPr>
          <w:rFonts w:ascii="Arial" w:hAnsi="Arial" w:cs="Arial"/>
          <w:sz w:val="20"/>
        </w:rPr>
        <w:t>income groups.</w:t>
      </w:r>
    </w:p>
    <w:p w14:paraId="43A142C3" w14:textId="77777777" w:rsidR="006F10FB" w:rsidRPr="000370BC" w:rsidRDefault="001B4C44"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0370BC" w:rsidRPr="000370BC">
        <w:rPr>
          <w:rFonts w:ascii="Arial" w:hAnsi="Arial" w:cs="Arial"/>
          <w:sz w:val="20"/>
        </w:rPr>
        <w:t>rom 2004 to 2007 inequality fell mainly as a result of the WFF package</w:t>
      </w:r>
      <w:r w:rsidR="006F10FB">
        <w:rPr>
          <w:rFonts w:ascii="Arial" w:hAnsi="Arial" w:cs="Arial"/>
          <w:sz w:val="20"/>
        </w:rPr>
        <w:t xml:space="preserve"> which boosted incomes </w:t>
      </w:r>
      <w:r w:rsidR="006F10FB" w:rsidRPr="001B4C44">
        <w:rPr>
          <w:rFonts w:ascii="Arial" w:hAnsi="Arial" w:cs="Arial"/>
          <w:sz w:val="20"/>
        </w:rPr>
        <w:t xml:space="preserve">for low to middle income households with children.  </w:t>
      </w:r>
    </w:p>
    <w:p w14:paraId="1C8B10E1" w14:textId="77777777" w:rsidR="000370BC" w:rsidRPr="000370BC" w:rsidRDefault="006F10FB" w:rsidP="00044F09">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w:t>
      </w:r>
      <w:r w:rsidR="000370BC" w:rsidRPr="000370BC">
        <w:rPr>
          <w:rFonts w:ascii="Arial" w:hAnsi="Arial" w:cs="Arial"/>
          <w:sz w:val="20"/>
        </w:rPr>
        <w:t xml:space="preserve">nequality remained much the same from 2007 to 2009 – the 80:20 ratio declined </w:t>
      </w:r>
      <w:r w:rsidR="00F801FD">
        <w:rPr>
          <w:rFonts w:ascii="Arial" w:hAnsi="Arial" w:cs="Arial"/>
          <w:sz w:val="20"/>
        </w:rPr>
        <w:t>a little</w:t>
      </w:r>
      <w:r w:rsidR="000370BC" w:rsidRPr="000370BC">
        <w:rPr>
          <w:rFonts w:ascii="Arial" w:hAnsi="Arial" w:cs="Arial"/>
          <w:sz w:val="20"/>
        </w:rPr>
        <w:t xml:space="preserve"> and the Gini rose</w:t>
      </w:r>
      <w:r>
        <w:rPr>
          <w:rFonts w:ascii="Arial" w:hAnsi="Arial" w:cs="Arial"/>
          <w:sz w:val="20"/>
        </w:rPr>
        <w:t>.</w:t>
      </w:r>
      <w:r w:rsidR="00BD173B">
        <w:rPr>
          <w:rFonts w:ascii="Arial" w:hAnsi="Arial" w:cs="Arial"/>
          <w:sz w:val="20"/>
        </w:rPr>
        <w:t xml:space="preserve">  From 2009 to 2010, inequality declined on both measures.</w:t>
      </w:r>
    </w:p>
    <w:p w14:paraId="1E1339A5" w14:textId="77777777" w:rsidR="00FB368B" w:rsidRDefault="006F10FB" w:rsidP="00044F09">
      <w:pPr>
        <w:numPr>
          <w:ilvl w:val="0"/>
          <w:numId w:val="1"/>
        </w:numPr>
        <w:tabs>
          <w:tab w:val="clear" w:pos="720"/>
          <w:tab w:val="num" w:pos="900"/>
        </w:tabs>
        <w:spacing w:before="120"/>
        <w:ind w:left="900"/>
        <w:jc w:val="both"/>
        <w:rPr>
          <w:rFonts w:ascii="Arial" w:hAnsi="Arial" w:cs="Arial"/>
          <w:sz w:val="20"/>
        </w:rPr>
      </w:pPr>
      <w:r w:rsidRPr="001B4C44">
        <w:rPr>
          <w:rFonts w:ascii="Arial" w:hAnsi="Arial" w:cs="Arial"/>
          <w:sz w:val="20"/>
        </w:rPr>
        <w:t>The lower figures in 2010 compared with 2007 reflect</w:t>
      </w:r>
      <w:r>
        <w:rPr>
          <w:rFonts w:ascii="Arial" w:hAnsi="Arial" w:cs="Arial"/>
          <w:sz w:val="20"/>
        </w:rPr>
        <w:t xml:space="preserve"> </w:t>
      </w:r>
      <w:r w:rsidR="007352F9">
        <w:rPr>
          <w:rFonts w:ascii="Arial" w:hAnsi="Arial" w:cs="Arial"/>
          <w:sz w:val="20"/>
        </w:rPr>
        <w:t>two changes: (a)</w:t>
      </w:r>
      <w:r w:rsidRPr="001B4C44">
        <w:rPr>
          <w:rFonts w:ascii="Arial" w:hAnsi="Arial" w:cs="Arial"/>
          <w:sz w:val="20"/>
        </w:rPr>
        <w:t xml:space="preserve"> the recent (2009 to 2010) decline in real incomes for the top two deciles (lower investment returns especially)</w:t>
      </w:r>
      <w:r w:rsidR="007352F9">
        <w:rPr>
          <w:rFonts w:ascii="Arial" w:hAnsi="Arial" w:cs="Arial"/>
          <w:sz w:val="20"/>
        </w:rPr>
        <w:t>,</w:t>
      </w:r>
      <w:r w:rsidRPr="001B4C44">
        <w:rPr>
          <w:rFonts w:ascii="Arial" w:hAnsi="Arial" w:cs="Arial"/>
          <w:sz w:val="20"/>
        </w:rPr>
        <w:t xml:space="preserve"> and</w:t>
      </w:r>
      <w:r w:rsidR="007352F9">
        <w:rPr>
          <w:rFonts w:ascii="Arial" w:hAnsi="Arial" w:cs="Arial"/>
          <w:sz w:val="20"/>
        </w:rPr>
        <w:t xml:space="preserve"> (b)</w:t>
      </w:r>
      <w:r w:rsidRPr="001B4C44">
        <w:rPr>
          <w:rFonts w:ascii="Arial" w:hAnsi="Arial" w:cs="Arial"/>
          <w:sz w:val="20"/>
        </w:rPr>
        <w:t xml:space="preserve"> a small real gain for lower deciles.</w:t>
      </w:r>
    </w:p>
    <w:p w14:paraId="6297215E" w14:textId="77777777" w:rsidR="00FB368B" w:rsidRDefault="001B4C44" w:rsidP="00044F09">
      <w:pPr>
        <w:numPr>
          <w:ilvl w:val="0"/>
          <w:numId w:val="1"/>
        </w:numPr>
        <w:tabs>
          <w:tab w:val="clear" w:pos="720"/>
          <w:tab w:val="num" w:pos="900"/>
        </w:tabs>
        <w:spacing w:before="120"/>
        <w:ind w:left="900"/>
        <w:jc w:val="both"/>
        <w:rPr>
          <w:rFonts w:ascii="Arial" w:hAnsi="Arial" w:cs="Arial"/>
          <w:sz w:val="20"/>
        </w:rPr>
      </w:pPr>
      <w:r w:rsidRPr="001B4C44">
        <w:rPr>
          <w:rFonts w:ascii="Arial" w:hAnsi="Arial" w:cs="Arial"/>
          <w:sz w:val="20"/>
        </w:rPr>
        <w:t>On the latest OECD figures (</w:t>
      </w:r>
      <w:r w:rsidR="007C3D8E">
        <w:rPr>
          <w:rFonts w:ascii="Arial" w:hAnsi="Arial" w:cs="Arial"/>
          <w:sz w:val="20"/>
        </w:rPr>
        <w:t>c2008</w:t>
      </w:r>
      <w:r w:rsidRPr="001B4C44">
        <w:rPr>
          <w:rFonts w:ascii="Arial" w:hAnsi="Arial" w:cs="Arial"/>
          <w:sz w:val="20"/>
        </w:rPr>
        <w:t xml:space="preserve">), New Zealand’s </w:t>
      </w:r>
      <w:r w:rsidR="00FB368B">
        <w:rPr>
          <w:rFonts w:ascii="Arial" w:hAnsi="Arial" w:cs="Arial"/>
          <w:sz w:val="20"/>
        </w:rPr>
        <w:t xml:space="preserve">Gini </w:t>
      </w:r>
      <w:r w:rsidRPr="001B4C44">
        <w:rPr>
          <w:rFonts w:ascii="Arial" w:hAnsi="Arial" w:cs="Arial"/>
          <w:sz w:val="20"/>
        </w:rPr>
        <w:t xml:space="preserve">score of 33 was </w:t>
      </w:r>
      <w:r w:rsidR="007C3D8E">
        <w:rPr>
          <w:rFonts w:ascii="Arial" w:hAnsi="Arial" w:cs="Arial"/>
          <w:sz w:val="20"/>
        </w:rPr>
        <w:t>close to those of</w:t>
      </w:r>
      <w:r w:rsidRPr="001B4C44">
        <w:rPr>
          <w:rFonts w:ascii="Arial" w:hAnsi="Arial" w:cs="Arial"/>
          <w:sz w:val="20"/>
        </w:rPr>
        <w:t xml:space="preserve"> Australia and the UK (34), Japan</w:t>
      </w:r>
      <w:r w:rsidR="007C3D8E">
        <w:rPr>
          <w:rFonts w:ascii="Arial" w:hAnsi="Arial" w:cs="Arial"/>
          <w:sz w:val="20"/>
        </w:rPr>
        <w:t xml:space="preserve"> (33)</w:t>
      </w:r>
      <w:r w:rsidRPr="001B4C44">
        <w:rPr>
          <w:rFonts w:ascii="Arial" w:hAnsi="Arial" w:cs="Arial"/>
          <w:sz w:val="20"/>
        </w:rPr>
        <w:t xml:space="preserve"> and Canada</w:t>
      </w:r>
      <w:r w:rsidR="007C3D8E">
        <w:rPr>
          <w:rFonts w:ascii="Arial" w:hAnsi="Arial" w:cs="Arial"/>
          <w:sz w:val="20"/>
        </w:rPr>
        <w:t xml:space="preserve"> (32)</w:t>
      </w:r>
      <w:r w:rsidRPr="001B4C44">
        <w:rPr>
          <w:rFonts w:ascii="Arial" w:hAnsi="Arial" w:cs="Arial"/>
          <w:sz w:val="20"/>
        </w:rPr>
        <w:t xml:space="preserve">, and a little above the OECD-34 median (31). </w:t>
      </w:r>
      <w:r w:rsidR="00FB368B">
        <w:rPr>
          <w:rFonts w:ascii="Arial" w:hAnsi="Arial" w:cs="Arial"/>
          <w:sz w:val="20"/>
        </w:rPr>
        <w:t xml:space="preserve"> Countries </w:t>
      </w:r>
      <w:r w:rsidR="00F801FD">
        <w:rPr>
          <w:rFonts w:ascii="Arial" w:hAnsi="Arial" w:cs="Arial"/>
          <w:sz w:val="20"/>
        </w:rPr>
        <w:t>such as Denmark, Norway and Sweden</w:t>
      </w:r>
      <w:r w:rsidR="00FB368B">
        <w:rPr>
          <w:rFonts w:ascii="Arial" w:hAnsi="Arial" w:cs="Arial"/>
          <w:sz w:val="20"/>
        </w:rPr>
        <w:t xml:space="preserve"> </w:t>
      </w:r>
      <w:r w:rsidR="00C379BC">
        <w:rPr>
          <w:rFonts w:ascii="Arial" w:hAnsi="Arial" w:cs="Arial"/>
          <w:sz w:val="20"/>
        </w:rPr>
        <w:t>have lower</w:t>
      </w:r>
      <w:r w:rsidR="00FB368B">
        <w:rPr>
          <w:rFonts w:ascii="Arial" w:hAnsi="Arial" w:cs="Arial"/>
          <w:sz w:val="20"/>
        </w:rPr>
        <w:t xml:space="preserve"> than average inequality (Ginis of </w:t>
      </w:r>
      <w:r w:rsidR="00F801FD">
        <w:rPr>
          <w:rFonts w:ascii="Arial" w:hAnsi="Arial" w:cs="Arial"/>
          <w:sz w:val="20"/>
        </w:rPr>
        <w:t>25-26</w:t>
      </w:r>
      <w:r w:rsidR="00FB368B">
        <w:rPr>
          <w:rFonts w:ascii="Arial" w:hAnsi="Arial" w:cs="Arial"/>
          <w:sz w:val="20"/>
        </w:rPr>
        <w:t xml:space="preserve">).  The US </w:t>
      </w:r>
      <w:r w:rsidR="00F801FD">
        <w:rPr>
          <w:rFonts w:ascii="Arial" w:hAnsi="Arial" w:cs="Arial"/>
          <w:sz w:val="20"/>
        </w:rPr>
        <w:t>score is</w:t>
      </w:r>
      <w:r w:rsidR="00FB368B">
        <w:rPr>
          <w:rFonts w:ascii="Arial" w:hAnsi="Arial" w:cs="Arial"/>
          <w:sz w:val="20"/>
        </w:rPr>
        <w:t xml:space="preserve"> 3</w:t>
      </w:r>
      <w:r w:rsidR="00F801FD">
        <w:rPr>
          <w:rFonts w:ascii="Arial" w:hAnsi="Arial" w:cs="Arial"/>
          <w:sz w:val="20"/>
        </w:rPr>
        <w:t>8</w:t>
      </w:r>
      <w:r w:rsidR="00FB368B">
        <w:rPr>
          <w:rFonts w:ascii="Arial" w:hAnsi="Arial" w:cs="Arial"/>
          <w:sz w:val="20"/>
        </w:rPr>
        <w:t xml:space="preserve">.  New Zealand’s Gini score in 2010 </w:t>
      </w:r>
      <w:r w:rsidRPr="001B4C44">
        <w:rPr>
          <w:rFonts w:ascii="Arial" w:hAnsi="Arial" w:cs="Arial"/>
          <w:sz w:val="20"/>
        </w:rPr>
        <w:t xml:space="preserve">was 32.  </w:t>
      </w:r>
    </w:p>
    <w:p w14:paraId="5AE7F65A" w14:textId="77777777" w:rsidR="001B4C44" w:rsidRPr="00FB368B" w:rsidRDefault="001B4C44" w:rsidP="00044F09">
      <w:pPr>
        <w:numPr>
          <w:ilvl w:val="0"/>
          <w:numId w:val="1"/>
        </w:numPr>
        <w:tabs>
          <w:tab w:val="clear" w:pos="720"/>
          <w:tab w:val="num" w:pos="900"/>
        </w:tabs>
        <w:spacing w:before="120" w:after="60"/>
        <w:ind w:left="907"/>
        <w:jc w:val="both"/>
        <w:rPr>
          <w:rFonts w:ascii="Arial" w:hAnsi="Arial" w:cs="Arial"/>
          <w:sz w:val="20"/>
        </w:rPr>
      </w:pPr>
      <w:r w:rsidRPr="001B4C44">
        <w:rPr>
          <w:rFonts w:ascii="Arial" w:hAnsi="Arial" w:cs="Arial"/>
          <w:sz w:val="20"/>
        </w:rPr>
        <w:t>The tax and transfer system significantly reduces the inequality that would otherwise exist</w:t>
      </w:r>
      <w:r w:rsidR="0041709D">
        <w:rPr>
          <w:rFonts w:ascii="Arial" w:hAnsi="Arial" w:cs="Arial"/>
          <w:sz w:val="20"/>
        </w:rPr>
        <w:t>.  For example</w:t>
      </w:r>
      <w:r w:rsidR="003E57A4">
        <w:rPr>
          <w:rFonts w:ascii="Arial" w:hAnsi="Arial" w:cs="Arial"/>
          <w:sz w:val="20"/>
        </w:rPr>
        <w:t>:</w:t>
      </w:r>
    </w:p>
    <w:p w14:paraId="0FE2C76B" w14:textId="77777777" w:rsidR="001B4C44" w:rsidRPr="001B4C44" w:rsidRDefault="001B4C44" w:rsidP="00044F09">
      <w:pPr>
        <w:numPr>
          <w:ilvl w:val="0"/>
          <w:numId w:val="17"/>
        </w:numPr>
        <w:tabs>
          <w:tab w:val="num" w:pos="1080"/>
        </w:tabs>
        <w:spacing w:after="60"/>
        <w:ind w:left="1094" w:hanging="187"/>
        <w:jc w:val="both"/>
        <w:rPr>
          <w:rFonts w:ascii="Arial" w:hAnsi="Arial" w:cs="Arial"/>
        </w:rPr>
      </w:pPr>
      <w:r w:rsidRPr="001B4C44">
        <w:rPr>
          <w:rFonts w:ascii="Arial" w:hAnsi="Arial" w:cs="Arial"/>
          <w:sz w:val="20"/>
        </w:rPr>
        <w:t>For half of households with dependent children the amount received through welfare benefits and tax credits is greater than</w:t>
      </w:r>
      <w:r w:rsidR="00897538">
        <w:rPr>
          <w:rFonts w:ascii="Arial" w:hAnsi="Arial" w:cs="Arial"/>
          <w:sz w:val="20"/>
        </w:rPr>
        <w:t xml:space="preserve"> or </w:t>
      </w:r>
      <w:r w:rsidR="00534F51">
        <w:rPr>
          <w:rFonts w:ascii="Arial" w:hAnsi="Arial" w:cs="Arial"/>
          <w:sz w:val="20"/>
        </w:rPr>
        <w:t>equal</w:t>
      </w:r>
      <w:r w:rsidR="00897538">
        <w:rPr>
          <w:rFonts w:ascii="Arial" w:hAnsi="Arial" w:cs="Arial"/>
          <w:sz w:val="20"/>
        </w:rPr>
        <w:t xml:space="preserve"> to</w:t>
      </w:r>
      <w:r w:rsidRPr="001B4C44">
        <w:rPr>
          <w:rFonts w:ascii="Arial" w:hAnsi="Arial" w:cs="Arial"/>
          <w:sz w:val="20"/>
        </w:rPr>
        <w:t xml:space="preserve"> the amount they pay in income tax.</w:t>
      </w:r>
    </w:p>
    <w:p w14:paraId="0A091CDB" w14:textId="11A6A86B" w:rsidR="004F6389" w:rsidRPr="004F6389" w:rsidRDefault="00832634" w:rsidP="004F6389">
      <w:pPr>
        <w:numPr>
          <w:ilvl w:val="0"/>
          <w:numId w:val="17"/>
        </w:numPr>
        <w:tabs>
          <w:tab w:val="num" w:pos="1080"/>
        </w:tabs>
        <w:spacing w:after="60"/>
        <w:ind w:left="1094" w:hanging="187"/>
        <w:jc w:val="both"/>
        <w:rPr>
          <w:rFonts w:ascii="Arial" w:hAnsi="Arial" w:cs="Arial"/>
          <w:b/>
          <w:sz w:val="20"/>
        </w:rPr>
      </w:pPr>
      <w:r w:rsidRPr="004E34D2">
        <w:rPr>
          <w:rFonts w:ascii="Arial" w:hAnsi="Arial" w:cs="Arial"/>
          <w:noProof/>
          <w:sz w:val="20"/>
          <w:szCs w:val="20"/>
          <w:lang w:val="en-US"/>
        </w:rPr>
        <w:drawing>
          <wp:anchor distT="0" distB="0" distL="182880" distR="0" simplePos="0" relativeHeight="251657216" behindDoc="0" locked="0" layoutInCell="1" allowOverlap="1" wp14:anchorId="5AF750F5" wp14:editId="6017F1DE">
            <wp:simplePos x="0" y="0"/>
            <wp:positionH relativeFrom="column">
              <wp:posOffset>2913380</wp:posOffset>
            </wp:positionH>
            <wp:positionV relativeFrom="paragraph">
              <wp:posOffset>47625</wp:posOffset>
            </wp:positionV>
            <wp:extent cx="2828925" cy="1752600"/>
            <wp:effectExtent l="0" t="0" r="0" b="0"/>
            <wp:wrapSquare wrapText="lef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032F">
        <w:rPr>
          <w:rFonts w:ascii="Arial" w:hAnsi="Arial" w:cs="Arial"/>
          <w:noProof/>
          <w:sz w:val="20"/>
          <w:szCs w:val="20"/>
        </w:rPr>
        <w:t>S</w:t>
      </w:r>
      <w:r w:rsidR="004E34D2" w:rsidRPr="004E34D2">
        <w:rPr>
          <w:rFonts w:ascii="Arial" w:hAnsi="Arial" w:cs="Arial"/>
          <w:sz w:val="20"/>
          <w:szCs w:val="20"/>
        </w:rPr>
        <w:t>ingle-earner</w:t>
      </w:r>
      <w:r w:rsidR="004E34D2">
        <w:rPr>
          <w:rFonts w:ascii="Arial" w:hAnsi="Arial" w:cs="Arial"/>
          <w:sz w:val="20"/>
        </w:rPr>
        <w:t xml:space="preserve"> two-child famil</w:t>
      </w:r>
      <w:r w:rsidR="00E5032F">
        <w:rPr>
          <w:rFonts w:ascii="Arial" w:hAnsi="Arial" w:cs="Arial"/>
          <w:sz w:val="20"/>
        </w:rPr>
        <w:t>ies</w:t>
      </w:r>
      <w:r w:rsidR="004E34D2">
        <w:rPr>
          <w:rFonts w:ascii="Arial" w:hAnsi="Arial" w:cs="Arial"/>
          <w:sz w:val="20"/>
        </w:rPr>
        <w:t xml:space="preserve"> with</w:t>
      </w:r>
      <w:r w:rsidR="00E5032F">
        <w:rPr>
          <w:rFonts w:ascii="Arial" w:hAnsi="Arial" w:cs="Arial"/>
          <w:sz w:val="20"/>
        </w:rPr>
        <w:t xml:space="preserve"> less than</w:t>
      </w:r>
      <w:r w:rsidR="004E34D2">
        <w:rPr>
          <w:rFonts w:ascii="Arial" w:hAnsi="Arial" w:cs="Arial"/>
          <w:sz w:val="20"/>
        </w:rPr>
        <w:t xml:space="preserve"> $</w:t>
      </w:r>
      <w:r w:rsidR="00485BEE">
        <w:rPr>
          <w:rFonts w:ascii="Arial" w:hAnsi="Arial" w:cs="Arial"/>
          <w:sz w:val="20"/>
        </w:rPr>
        <w:t>55</w:t>
      </w:r>
      <w:r w:rsidR="004E34D2">
        <w:rPr>
          <w:rFonts w:ascii="Arial" w:hAnsi="Arial" w:cs="Arial"/>
          <w:sz w:val="20"/>
        </w:rPr>
        <w:t xml:space="preserve">,000 from wages pay no net income tax.  </w:t>
      </w:r>
      <w:r w:rsidR="00E5032F">
        <w:rPr>
          <w:rFonts w:ascii="Arial" w:hAnsi="Arial" w:cs="Arial"/>
          <w:sz w:val="20"/>
        </w:rPr>
        <w:t>They receive</w:t>
      </w:r>
      <w:r w:rsidR="004E34D2">
        <w:rPr>
          <w:rFonts w:ascii="Arial" w:hAnsi="Arial" w:cs="Arial"/>
          <w:sz w:val="20"/>
        </w:rPr>
        <w:t xml:space="preserve"> more from WFF tax credits than they pay in income tax</w:t>
      </w:r>
      <w:r w:rsidR="00485BEE">
        <w:rPr>
          <w:rFonts w:ascii="Arial" w:hAnsi="Arial" w:cs="Arial"/>
          <w:sz w:val="20"/>
        </w:rPr>
        <w:t xml:space="preserve"> and ACC</w:t>
      </w:r>
      <w:r w:rsidR="004E34D2">
        <w:rPr>
          <w:rFonts w:ascii="Arial" w:hAnsi="Arial" w:cs="Arial"/>
          <w:sz w:val="20"/>
        </w:rPr>
        <w:t>.</w:t>
      </w:r>
    </w:p>
    <w:p w14:paraId="1AA4ADE4" w14:textId="77777777" w:rsidR="00897538" w:rsidRPr="00897538" w:rsidRDefault="003E57A4" w:rsidP="00897538">
      <w:pPr>
        <w:numPr>
          <w:ilvl w:val="0"/>
          <w:numId w:val="17"/>
        </w:numPr>
        <w:tabs>
          <w:tab w:val="num" w:pos="1080"/>
        </w:tabs>
        <w:ind w:left="1094" w:hanging="187"/>
        <w:jc w:val="both"/>
        <w:rPr>
          <w:rFonts w:ascii="Arial" w:hAnsi="Arial" w:cs="Arial"/>
          <w:b/>
          <w:sz w:val="20"/>
        </w:rPr>
      </w:pPr>
      <w:r>
        <w:rPr>
          <w:rFonts w:ascii="Arial" w:hAnsi="Arial" w:cs="Arial"/>
          <w:sz w:val="20"/>
        </w:rPr>
        <w:t>When all</w:t>
      </w:r>
      <w:r w:rsidR="001B4C44" w:rsidRPr="001B4C44">
        <w:rPr>
          <w:rFonts w:ascii="Arial" w:hAnsi="Arial" w:cs="Arial"/>
          <w:sz w:val="20"/>
        </w:rPr>
        <w:t xml:space="preserve"> households </w:t>
      </w:r>
      <w:r>
        <w:rPr>
          <w:rFonts w:ascii="Arial" w:hAnsi="Arial" w:cs="Arial"/>
          <w:sz w:val="20"/>
        </w:rPr>
        <w:t xml:space="preserve">are </w:t>
      </w:r>
      <w:r w:rsidR="001B4C44" w:rsidRPr="001B4C44">
        <w:rPr>
          <w:rFonts w:ascii="Arial" w:hAnsi="Arial" w:cs="Arial"/>
          <w:sz w:val="20"/>
        </w:rPr>
        <w:t>counted</w:t>
      </w:r>
      <w:r>
        <w:rPr>
          <w:rFonts w:ascii="Arial" w:hAnsi="Arial" w:cs="Arial"/>
          <w:sz w:val="20"/>
        </w:rPr>
        <w:t xml:space="preserve"> (working age with children, working age without children, and 65+ households)</w:t>
      </w:r>
      <w:r w:rsidR="001B4C44" w:rsidRPr="001B4C44">
        <w:rPr>
          <w:rFonts w:ascii="Arial" w:hAnsi="Arial" w:cs="Arial"/>
          <w:sz w:val="20"/>
        </w:rPr>
        <w:t>, and looking at households grouped in deciles rather than</w:t>
      </w:r>
      <w:r>
        <w:rPr>
          <w:rFonts w:ascii="Arial" w:hAnsi="Arial" w:cs="Arial"/>
          <w:sz w:val="20"/>
        </w:rPr>
        <w:t xml:space="preserve"> looking</w:t>
      </w:r>
      <w:r w:rsidR="001B4C44" w:rsidRPr="001B4C44">
        <w:rPr>
          <w:rFonts w:ascii="Arial" w:hAnsi="Arial" w:cs="Arial"/>
          <w:sz w:val="20"/>
        </w:rPr>
        <w:t xml:space="preserve"> at individual households, the total income tax paid by each of the bottom f</w:t>
      </w:r>
      <w:r w:rsidR="00007851">
        <w:rPr>
          <w:rFonts w:ascii="Arial" w:hAnsi="Arial" w:cs="Arial"/>
          <w:sz w:val="20"/>
        </w:rPr>
        <w:t xml:space="preserve">ive </w:t>
      </w:r>
      <w:r w:rsidR="001B4C44" w:rsidRPr="001B4C44">
        <w:rPr>
          <w:rFonts w:ascii="Arial" w:hAnsi="Arial" w:cs="Arial"/>
          <w:sz w:val="20"/>
        </w:rPr>
        <w:t xml:space="preserve">deciles is less than the total transfers </w:t>
      </w:r>
      <w:r w:rsidR="00485BEE">
        <w:rPr>
          <w:rFonts w:ascii="Arial" w:hAnsi="Arial" w:cs="Arial"/>
          <w:sz w:val="20"/>
        </w:rPr>
        <w:t>received</w:t>
      </w:r>
      <w:r w:rsidR="001B4C44" w:rsidRPr="001B4C44">
        <w:rPr>
          <w:rFonts w:ascii="Arial" w:hAnsi="Arial" w:cs="Arial"/>
          <w:sz w:val="20"/>
        </w:rPr>
        <w:t xml:space="preserve"> (tax credits, welfare benefits, NZS and so on).  It is only for each of the top f</w:t>
      </w:r>
      <w:r w:rsidR="00485BEE">
        <w:rPr>
          <w:rFonts w:ascii="Arial" w:hAnsi="Arial" w:cs="Arial"/>
          <w:sz w:val="20"/>
        </w:rPr>
        <w:t>ive</w:t>
      </w:r>
      <w:r w:rsidR="001B4C44" w:rsidRPr="001B4C44">
        <w:rPr>
          <w:rFonts w:ascii="Arial" w:hAnsi="Arial" w:cs="Arial"/>
          <w:sz w:val="20"/>
        </w:rPr>
        <w:t xml:space="preserve"> deciles that total income tax paid is greater than transfers received.</w:t>
      </w:r>
    </w:p>
    <w:p w14:paraId="3AAFBD60" w14:textId="77777777" w:rsidR="00CD5B50" w:rsidRDefault="00CD5B50" w:rsidP="000C101F">
      <w:pPr>
        <w:numPr>
          <w:ilvl w:val="0"/>
          <w:numId w:val="18"/>
        </w:numPr>
        <w:tabs>
          <w:tab w:val="clear" w:pos="720"/>
          <w:tab w:val="num" w:pos="900"/>
        </w:tabs>
        <w:spacing w:before="120"/>
        <w:ind w:left="907"/>
        <w:jc w:val="both"/>
        <w:rPr>
          <w:rFonts w:ascii="Arial" w:hAnsi="Arial" w:cs="Arial"/>
          <w:sz w:val="20"/>
        </w:rPr>
      </w:pPr>
      <w:r>
        <w:rPr>
          <w:rFonts w:ascii="Arial" w:hAnsi="Arial" w:cs="Arial"/>
          <w:sz w:val="20"/>
        </w:rPr>
        <w:t>Wealth is distributed much more une</w:t>
      </w:r>
      <w:r w:rsidR="000C101F">
        <w:rPr>
          <w:rFonts w:ascii="Arial" w:hAnsi="Arial" w:cs="Arial"/>
          <w:sz w:val="20"/>
        </w:rPr>
        <w:t>qually</w:t>
      </w:r>
      <w:r>
        <w:rPr>
          <w:rFonts w:ascii="Arial" w:hAnsi="Arial" w:cs="Arial"/>
          <w:sz w:val="20"/>
        </w:rPr>
        <w:t xml:space="preserve"> than income.  </w:t>
      </w:r>
      <w:r w:rsidR="003D166F">
        <w:rPr>
          <w:rFonts w:ascii="Arial" w:hAnsi="Arial" w:cs="Arial"/>
          <w:sz w:val="20"/>
        </w:rPr>
        <w:t xml:space="preserve">Wealth Gini scores are typically </w:t>
      </w:r>
      <w:r w:rsidR="00C92071">
        <w:rPr>
          <w:rFonts w:ascii="Arial" w:hAnsi="Arial" w:cs="Arial"/>
          <w:sz w:val="20"/>
        </w:rPr>
        <w:t>two to three times</w:t>
      </w:r>
      <w:r w:rsidR="00485BEE">
        <w:rPr>
          <w:rFonts w:ascii="Arial" w:hAnsi="Arial" w:cs="Arial"/>
          <w:sz w:val="20"/>
        </w:rPr>
        <w:t xml:space="preserve"> those for income. </w:t>
      </w:r>
      <w:r w:rsidR="003D166F">
        <w:rPr>
          <w:rFonts w:ascii="Arial" w:hAnsi="Arial" w:cs="Arial"/>
          <w:sz w:val="20"/>
        </w:rPr>
        <w:t>In N</w:t>
      </w:r>
      <w:r w:rsidR="00E5032F">
        <w:rPr>
          <w:rFonts w:ascii="Arial" w:hAnsi="Arial" w:cs="Arial"/>
          <w:sz w:val="20"/>
        </w:rPr>
        <w:t>ew Zealand</w:t>
      </w:r>
      <w:r w:rsidR="003D166F">
        <w:rPr>
          <w:rFonts w:ascii="Arial" w:hAnsi="Arial" w:cs="Arial"/>
          <w:sz w:val="20"/>
        </w:rPr>
        <w:t>, those in the top income decile receive 25% of gross income</w:t>
      </w:r>
      <w:r w:rsidR="00D76854">
        <w:rPr>
          <w:rFonts w:ascii="Arial" w:hAnsi="Arial" w:cs="Arial"/>
          <w:sz w:val="20"/>
        </w:rPr>
        <w:t xml:space="preserve">; </w:t>
      </w:r>
      <w:r w:rsidR="003D166F">
        <w:rPr>
          <w:rFonts w:ascii="Arial" w:hAnsi="Arial" w:cs="Arial"/>
          <w:sz w:val="20"/>
        </w:rPr>
        <w:t>those in the top wealth decile hold 50% of the total wealth.</w:t>
      </w:r>
      <w:r>
        <w:rPr>
          <w:rFonts w:ascii="Arial" w:hAnsi="Arial" w:cs="Arial"/>
          <w:sz w:val="20"/>
        </w:rPr>
        <w:t xml:space="preserve">  </w:t>
      </w:r>
      <w:r w:rsidR="00D76854">
        <w:rPr>
          <w:rFonts w:ascii="Arial" w:hAnsi="Arial" w:cs="Arial"/>
          <w:sz w:val="20"/>
        </w:rPr>
        <w:t>New Zealand</w:t>
      </w:r>
      <w:r w:rsidR="00C92071">
        <w:rPr>
          <w:rFonts w:ascii="Arial" w:hAnsi="Arial" w:cs="Arial"/>
          <w:sz w:val="20"/>
        </w:rPr>
        <w:t>’s</w:t>
      </w:r>
      <w:r w:rsidR="003D166F">
        <w:rPr>
          <w:rFonts w:ascii="Arial" w:hAnsi="Arial" w:cs="Arial"/>
          <w:sz w:val="20"/>
        </w:rPr>
        <w:t xml:space="preserve"> top decile wealth share</w:t>
      </w:r>
      <w:r>
        <w:rPr>
          <w:rFonts w:ascii="Arial" w:hAnsi="Arial" w:cs="Arial"/>
          <w:sz w:val="20"/>
        </w:rPr>
        <w:t xml:space="preserve"> is</w:t>
      </w:r>
      <w:r w:rsidR="000C101F">
        <w:rPr>
          <w:rFonts w:ascii="Arial" w:hAnsi="Arial" w:cs="Arial"/>
          <w:sz w:val="20"/>
        </w:rPr>
        <w:t xml:space="preserve"> </w:t>
      </w:r>
      <w:r>
        <w:rPr>
          <w:rFonts w:ascii="Arial" w:hAnsi="Arial" w:cs="Arial"/>
          <w:sz w:val="20"/>
        </w:rPr>
        <w:t>similar</w:t>
      </w:r>
      <w:r w:rsidR="000C101F">
        <w:rPr>
          <w:rFonts w:ascii="Arial" w:hAnsi="Arial" w:cs="Arial"/>
          <w:sz w:val="20"/>
        </w:rPr>
        <w:t xml:space="preserve"> </w:t>
      </w:r>
      <w:r w:rsidR="003D166F">
        <w:rPr>
          <w:rFonts w:ascii="Arial" w:hAnsi="Arial" w:cs="Arial"/>
          <w:sz w:val="20"/>
        </w:rPr>
        <w:t>to those found</w:t>
      </w:r>
      <w:r w:rsidR="000C101F">
        <w:rPr>
          <w:rFonts w:ascii="Arial" w:hAnsi="Arial" w:cs="Arial"/>
          <w:sz w:val="20"/>
        </w:rPr>
        <w:t xml:space="preserve"> in</w:t>
      </w:r>
      <w:r>
        <w:rPr>
          <w:rFonts w:ascii="Arial" w:hAnsi="Arial" w:cs="Arial"/>
          <w:sz w:val="20"/>
        </w:rPr>
        <w:t xml:space="preserve"> many other OECD countries</w:t>
      </w:r>
      <w:r w:rsidR="000C101F">
        <w:rPr>
          <w:rFonts w:ascii="Arial" w:hAnsi="Arial" w:cs="Arial"/>
          <w:sz w:val="20"/>
        </w:rPr>
        <w:t xml:space="preserve">: </w:t>
      </w:r>
      <w:r w:rsidR="00485BEE">
        <w:rPr>
          <w:rFonts w:ascii="Arial" w:hAnsi="Arial" w:cs="Arial"/>
          <w:sz w:val="20"/>
        </w:rPr>
        <w:t xml:space="preserve">Australia and the UK (45%), </w:t>
      </w:r>
      <w:r>
        <w:rPr>
          <w:rFonts w:ascii="Arial" w:hAnsi="Arial" w:cs="Arial"/>
          <w:sz w:val="20"/>
        </w:rPr>
        <w:t>Germany (52%)</w:t>
      </w:r>
      <w:r w:rsidR="000C101F">
        <w:rPr>
          <w:rFonts w:ascii="Arial" w:hAnsi="Arial" w:cs="Arial"/>
          <w:sz w:val="20"/>
        </w:rPr>
        <w:t xml:space="preserve">, Canada (53%) and </w:t>
      </w:r>
      <w:r>
        <w:rPr>
          <w:rFonts w:ascii="Arial" w:hAnsi="Arial" w:cs="Arial"/>
          <w:sz w:val="20"/>
        </w:rPr>
        <w:t>Sweden (58%)</w:t>
      </w:r>
      <w:r w:rsidR="000C101F">
        <w:rPr>
          <w:rFonts w:ascii="Arial" w:hAnsi="Arial" w:cs="Arial"/>
          <w:sz w:val="20"/>
        </w:rPr>
        <w:t>. For the US it is</w:t>
      </w:r>
      <w:r w:rsidR="003D166F">
        <w:rPr>
          <w:rFonts w:ascii="Arial" w:hAnsi="Arial" w:cs="Arial"/>
          <w:sz w:val="20"/>
        </w:rPr>
        <w:t xml:space="preserve"> around</w:t>
      </w:r>
      <w:r w:rsidR="000C101F">
        <w:rPr>
          <w:rFonts w:ascii="Arial" w:hAnsi="Arial" w:cs="Arial"/>
          <w:sz w:val="20"/>
        </w:rPr>
        <w:t xml:space="preserve"> </w:t>
      </w:r>
      <w:r w:rsidR="00BD173B">
        <w:rPr>
          <w:rFonts w:ascii="Arial" w:hAnsi="Arial" w:cs="Arial"/>
          <w:sz w:val="20"/>
        </w:rPr>
        <w:t>70</w:t>
      </w:r>
      <w:r w:rsidR="000C101F">
        <w:rPr>
          <w:rFonts w:ascii="Arial" w:hAnsi="Arial" w:cs="Arial"/>
          <w:sz w:val="20"/>
        </w:rPr>
        <w:t xml:space="preserve">%. </w:t>
      </w:r>
      <w:r w:rsidR="00D243CB">
        <w:rPr>
          <w:rFonts w:ascii="Arial" w:hAnsi="Arial" w:cs="Arial"/>
          <w:sz w:val="20"/>
        </w:rPr>
        <w:t xml:space="preserve"> </w:t>
      </w:r>
      <w:r w:rsidR="00F339F5">
        <w:rPr>
          <w:rFonts w:ascii="Arial" w:hAnsi="Arial" w:cs="Arial"/>
          <w:sz w:val="20"/>
        </w:rPr>
        <w:t>New Zealand’s</w:t>
      </w:r>
      <w:r w:rsidR="00BD173B">
        <w:rPr>
          <w:rFonts w:ascii="Arial" w:hAnsi="Arial" w:cs="Arial"/>
          <w:sz w:val="20"/>
        </w:rPr>
        <w:t xml:space="preserve"> w</w:t>
      </w:r>
      <w:r w:rsidR="00D243CB">
        <w:rPr>
          <w:rFonts w:ascii="Arial" w:hAnsi="Arial" w:cs="Arial"/>
          <w:sz w:val="20"/>
        </w:rPr>
        <w:t xml:space="preserve">ealth inequality is </w:t>
      </w:r>
      <w:r w:rsidR="00BD173B">
        <w:rPr>
          <w:rFonts w:ascii="Arial" w:hAnsi="Arial" w:cs="Arial"/>
          <w:sz w:val="20"/>
        </w:rPr>
        <w:t>not unusual</w:t>
      </w:r>
      <w:r w:rsidR="00D243CB">
        <w:rPr>
          <w:rFonts w:ascii="Arial" w:hAnsi="Arial" w:cs="Arial"/>
          <w:sz w:val="20"/>
        </w:rPr>
        <w:t xml:space="preserve"> for OECD countries.</w:t>
      </w:r>
      <w:r w:rsidR="000C101F">
        <w:rPr>
          <w:rFonts w:ascii="Arial" w:hAnsi="Arial" w:cs="Arial"/>
          <w:sz w:val="20"/>
        </w:rPr>
        <w:t xml:space="preserve"> </w:t>
      </w:r>
    </w:p>
    <w:p w14:paraId="0300D289" w14:textId="77777777" w:rsidR="000370BC" w:rsidRPr="000370BC" w:rsidRDefault="000370BC" w:rsidP="000370BC">
      <w:pPr>
        <w:ind w:left="360" w:hanging="360"/>
        <w:jc w:val="both"/>
        <w:rPr>
          <w:rFonts w:ascii="Arial" w:hAnsi="Arial" w:cs="Arial"/>
          <w:b/>
          <w:sz w:val="20"/>
        </w:rPr>
      </w:pPr>
      <w:r w:rsidRPr="000370BC">
        <w:rPr>
          <w:rFonts w:ascii="Arial" w:hAnsi="Arial" w:cs="Arial"/>
          <w:b/>
        </w:rPr>
        <w:br w:type="page"/>
      </w:r>
      <w:r w:rsidR="008257C0">
        <w:rPr>
          <w:rFonts w:ascii="Arial" w:hAnsi="Arial" w:cs="Arial"/>
          <w:b/>
          <w:sz w:val="20"/>
        </w:rPr>
        <w:lastRenderedPageBreak/>
        <w:t>4</w:t>
      </w:r>
      <w:r w:rsidRPr="000370BC">
        <w:rPr>
          <w:rFonts w:ascii="Arial" w:hAnsi="Arial" w:cs="Arial"/>
          <w:b/>
          <w:sz w:val="20"/>
        </w:rPr>
        <w:tab/>
        <w:t xml:space="preserve">The proportion of households with high OTIs </w:t>
      </w:r>
      <w:r w:rsidR="001B15FF">
        <w:rPr>
          <w:rFonts w:ascii="Arial" w:hAnsi="Arial" w:cs="Arial"/>
          <w:b/>
          <w:sz w:val="20"/>
        </w:rPr>
        <w:t>was</w:t>
      </w:r>
      <w:r w:rsidRPr="000370BC">
        <w:rPr>
          <w:rFonts w:ascii="Arial" w:hAnsi="Arial" w:cs="Arial"/>
          <w:b/>
          <w:sz w:val="20"/>
        </w:rPr>
        <w:t xml:space="preserve"> </w:t>
      </w:r>
      <w:r w:rsidR="00223007">
        <w:rPr>
          <w:rFonts w:ascii="Arial" w:hAnsi="Arial" w:cs="Arial"/>
          <w:b/>
          <w:sz w:val="20"/>
        </w:rPr>
        <w:t>a little lower in 2010</w:t>
      </w:r>
      <w:r w:rsidRPr="000370BC">
        <w:rPr>
          <w:rFonts w:ascii="Arial" w:hAnsi="Arial" w:cs="Arial"/>
          <w:b/>
          <w:sz w:val="20"/>
        </w:rPr>
        <w:t xml:space="preserve"> (2</w:t>
      </w:r>
      <w:r w:rsidR="00223007">
        <w:rPr>
          <w:rFonts w:ascii="Arial" w:hAnsi="Arial" w:cs="Arial"/>
          <w:b/>
          <w:sz w:val="20"/>
        </w:rPr>
        <w:t>5</w:t>
      </w:r>
      <w:r w:rsidRPr="000370BC">
        <w:rPr>
          <w:rFonts w:ascii="Arial" w:hAnsi="Arial" w:cs="Arial"/>
          <w:b/>
          <w:sz w:val="20"/>
        </w:rPr>
        <w:t xml:space="preserve">%) </w:t>
      </w:r>
      <w:r w:rsidR="00223007">
        <w:rPr>
          <w:rFonts w:ascii="Arial" w:hAnsi="Arial" w:cs="Arial"/>
          <w:b/>
          <w:sz w:val="20"/>
        </w:rPr>
        <w:t xml:space="preserve">than in </w:t>
      </w:r>
      <w:r w:rsidRPr="000370BC">
        <w:rPr>
          <w:rFonts w:ascii="Arial" w:hAnsi="Arial" w:cs="Arial"/>
          <w:b/>
          <w:sz w:val="20"/>
        </w:rPr>
        <w:t>2007 (2</w:t>
      </w:r>
      <w:r w:rsidR="00223007">
        <w:rPr>
          <w:rFonts w:ascii="Arial" w:hAnsi="Arial" w:cs="Arial"/>
          <w:b/>
          <w:sz w:val="20"/>
        </w:rPr>
        <w:t>7</w:t>
      </w:r>
      <w:r w:rsidRPr="000370BC">
        <w:rPr>
          <w:rFonts w:ascii="Arial" w:hAnsi="Arial" w:cs="Arial"/>
          <w:b/>
          <w:sz w:val="20"/>
        </w:rPr>
        <w:t>%)</w:t>
      </w:r>
      <w:r w:rsidR="00223007">
        <w:rPr>
          <w:rFonts w:ascii="Arial" w:hAnsi="Arial" w:cs="Arial"/>
          <w:b/>
          <w:sz w:val="20"/>
        </w:rPr>
        <w:t xml:space="preserve"> and 2009 (28%)</w:t>
      </w:r>
    </w:p>
    <w:p w14:paraId="51999042" w14:textId="77777777" w:rsidR="000370BC" w:rsidRPr="000370BC" w:rsidRDefault="000370BC" w:rsidP="00000D7C">
      <w:pPr>
        <w:numPr>
          <w:ilvl w:val="0"/>
          <w:numId w:val="3"/>
        </w:numPr>
        <w:tabs>
          <w:tab w:val="clear" w:pos="720"/>
          <w:tab w:val="num" w:pos="900"/>
        </w:tabs>
        <w:spacing w:before="120"/>
        <w:ind w:left="900"/>
        <w:jc w:val="both"/>
        <w:rPr>
          <w:rFonts w:ascii="Arial" w:hAnsi="Arial" w:cs="Arial"/>
          <w:sz w:val="20"/>
        </w:rPr>
      </w:pPr>
      <w:r w:rsidRPr="000370BC">
        <w:rPr>
          <w:rFonts w:ascii="Arial" w:hAnsi="Arial" w:cs="Arial"/>
          <w:sz w:val="20"/>
        </w:rPr>
        <w:t>2</w:t>
      </w:r>
      <w:r w:rsidR="00223007">
        <w:rPr>
          <w:rFonts w:ascii="Arial" w:hAnsi="Arial" w:cs="Arial"/>
          <w:sz w:val="20"/>
        </w:rPr>
        <w:t>5</w:t>
      </w:r>
      <w:r w:rsidRPr="000370BC">
        <w:rPr>
          <w:rFonts w:ascii="Arial" w:hAnsi="Arial" w:cs="Arial"/>
          <w:sz w:val="20"/>
        </w:rPr>
        <w:t xml:space="preserve">% of households had high OTIs in 2009, </w:t>
      </w:r>
      <w:r w:rsidR="00223007">
        <w:rPr>
          <w:rFonts w:ascii="Arial" w:hAnsi="Arial" w:cs="Arial"/>
          <w:sz w:val="20"/>
        </w:rPr>
        <w:t>close to the same as</w:t>
      </w:r>
      <w:r w:rsidRPr="000370BC">
        <w:rPr>
          <w:rFonts w:ascii="Arial" w:hAnsi="Arial" w:cs="Arial"/>
          <w:sz w:val="20"/>
        </w:rPr>
        <w:t xml:space="preserve"> in 1998 </w:t>
      </w:r>
      <w:r w:rsidR="00223007">
        <w:rPr>
          <w:rFonts w:ascii="Arial" w:hAnsi="Arial" w:cs="Arial"/>
          <w:sz w:val="20"/>
        </w:rPr>
        <w:t xml:space="preserve">(24%) </w:t>
      </w:r>
      <w:r w:rsidRPr="000370BC">
        <w:rPr>
          <w:rFonts w:ascii="Arial" w:hAnsi="Arial" w:cs="Arial"/>
          <w:sz w:val="20"/>
        </w:rPr>
        <w:t xml:space="preserve">and </w:t>
      </w:r>
      <w:r w:rsidR="00223007">
        <w:rPr>
          <w:rFonts w:ascii="Arial" w:hAnsi="Arial" w:cs="Arial"/>
          <w:sz w:val="20"/>
        </w:rPr>
        <w:t xml:space="preserve">much higher than in </w:t>
      </w:r>
      <w:r w:rsidRPr="000370BC">
        <w:rPr>
          <w:rFonts w:ascii="Arial" w:hAnsi="Arial" w:cs="Arial"/>
          <w:sz w:val="20"/>
        </w:rPr>
        <w:t>1988</w:t>
      </w:r>
      <w:r w:rsidR="00223007">
        <w:rPr>
          <w:rFonts w:ascii="Arial" w:hAnsi="Arial" w:cs="Arial"/>
          <w:sz w:val="20"/>
        </w:rPr>
        <w:t xml:space="preserve"> (11%)</w:t>
      </w:r>
      <w:r w:rsidRPr="000370BC">
        <w:rPr>
          <w:rFonts w:ascii="Arial" w:hAnsi="Arial" w:cs="Arial"/>
          <w:sz w:val="20"/>
        </w:rPr>
        <w:t xml:space="preserve"> (</w:t>
      </w:r>
      <w:r w:rsidRPr="000370BC">
        <w:rPr>
          <w:rFonts w:ascii="Arial" w:hAnsi="Arial" w:cs="Arial"/>
          <w:b/>
          <w:sz w:val="20"/>
        </w:rPr>
        <w:t>Figure S.2</w:t>
      </w:r>
      <w:r w:rsidRPr="000370BC">
        <w:rPr>
          <w:rFonts w:ascii="Arial" w:hAnsi="Arial" w:cs="Arial"/>
          <w:sz w:val="20"/>
        </w:rPr>
        <w:t>)</w:t>
      </w:r>
      <w:r w:rsidR="001B15FF">
        <w:rPr>
          <w:rFonts w:ascii="Arial" w:hAnsi="Arial" w:cs="Arial"/>
          <w:sz w:val="20"/>
        </w:rPr>
        <w:t>.</w:t>
      </w:r>
    </w:p>
    <w:p w14:paraId="0B40208E" w14:textId="77777777" w:rsidR="000370BC" w:rsidRPr="000370BC" w:rsidRDefault="001B15FF" w:rsidP="00000D7C">
      <w:pPr>
        <w:numPr>
          <w:ilvl w:val="0"/>
          <w:numId w:val="3"/>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his rising long-run trend applies to all income groups, but high OTIs are of particular concern for low-income households as this can mean there is insufficient income left to properly meet other basic needs such as food, clothing, transport, medical care and education</w:t>
      </w:r>
    </w:p>
    <w:p w14:paraId="362D9345" w14:textId="77777777" w:rsidR="000370BC" w:rsidRPr="000370BC" w:rsidRDefault="001B15FF" w:rsidP="00000D7C">
      <w:pPr>
        <w:numPr>
          <w:ilvl w:val="0"/>
          <w:numId w:val="3"/>
        </w:numPr>
        <w:tabs>
          <w:tab w:val="clear" w:pos="720"/>
          <w:tab w:val="num" w:pos="900"/>
        </w:tabs>
        <w:spacing w:before="120"/>
        <w:ind w:left="900"/>
        <w:jc w:val="both"/>
        <w:rPr>
          <w:rFonts w:ascii="Arial" w:hAnsi="Arial" w:cs="Arial"/>
          <w:sz w:val="20"/>
        </w:rPr>
      </w:pPr>
      <w:r>
        <w:rPr>
          <w:rFonts w:ascii="Arial" w:hAnsi="Arial" w:cs="Arial"/>
          <w:sz w:val="20"/>
        </w:rPr>
        <w:t>I</w:t>
      </w:r>
      <w:r w:rsidR="000370BC" w:rsidRPr="000370BC">
        <w:rPr>
          <w:rFonts w:ascii="Arial" w:hAnsi="Arial" w:cs="Arial"/>
          <w:sz w:val="20"/>
        </w:rPr>
        <w:t>n 2001, 42% of households in the lowest income quintile had high OTIs, but this fell to 34% by 2004 reflecting the introduction of income-related rents</w:t>
      </w:r>
      <w:r w:rsidR="00563B24">
        <w:rPr>
          <w:rFonts w:ascii="Arial" w:hAnsi="Arial" w:cs="Arial"/>
          <w:sz w:val="20"/>
        </w:rPr>
        <w:t xml:space="preserve"> for state house tenants</w:t>
      </w:r>
      <w:r w:rsidR="000370BC" w:rsidRPr="000370BC">
        <w:rPr>
          <w:rFonts w:ascii="Arial" w:hAnsi="Arial" w:cs="Arial"/>
          <w:sz w:val="20"/>
        </w:rPr>
        <w:t xml:space="preserve">, and remained steady </w:t>
      </w:r>
      <w:r>
        <w:rPr>
          <w:rFonts w:ascii="Arial" w:hAnsi="Arial" w:cs="Arial"/>
          <w:sz w:val="20"/>
        </w:rPr>
        <w:t>through to</w:t>
      </w:r>
      <w:r w:rsidR="000370BC" w:rsidRPr="000370BC">
        <w:rPr>
          <w:rFonts w:ascii="Arial" w:hAnsi="Arial" w:cs="Arial"/>
          <w:sz w:val="20"/>
        </w:rPr>
        <w:t xml:space="preserve"> </w:t>
      </w:r>
      <w:r>
        <w:rPr>
          <w:rFonts w:ascii="Arial" w:hAnsi="Arial" w:cs="Arial"/>
          <w:sz w:val="20"/>
        </w:rPr>
        <w:t>2009 (33%).</w:t>
      </w:r>
    </w:p>
    <w:p w14:paraId="0D7793F0" w14:textId="77777777" w:rsidR="000370BC" w:rsidRPr="000370BC" w:rsidRDefault="00501C93" w:rsidP="00000D7C">
      <w:pPr>
        <w:numPr>
          <w:ilvl w:val="0"/>
          <w:numId w:val="3"/>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he proportion of househol</w:t>
      </w:r>
      <w:r>
        <w:rPr>
          <w:rFonts w:ascii="Arial" w:hAnsi="Arial" w:cs="Arial"/>
          <w:sz w:val="20"/>
        </w:rPr>
        <w:t>ds with high OTIs in the second-</w:t>
      </w:r>
      <w:r w:rsidR="000370BC" w:rsidRPr="000370BC">
        <w:rPr>
          <w:rFonts w:ascii="Arial" w:hAnsi="Arial" w:cs="Arial"/>
          <w:sz w:val="20"/>
        </w:rPr>
        <w:t>lowest income quintile rose from 27% in 2001 to 34% in 2009, very close to the 2009 figure for the lowest quintile</w:t>
      </w:r>
      <w:r>
        <w:rPr>
          <w:rFonts w:ascii="Arial" w:hAnsi="Arial" w:cs="Arial"/>
          <w:sz w:val="20"/>
        </w:rPr>
        <w:t xml:space="preserve"> (33%).</w:t>
      </w:r>
    </w:p>
    <w:p w14:paraId="3F7317CF" w14:textId="77777777" w:rsidR="000370BC" w:rsidRPr="000370BC" w:rsidRDefault="00501C93" w:rsidP="00563B24">
      <w:pPr>
        <w:numPr>
          <w:ilvl w:val="0"/>
          <w:numId w:val="3"/>
        </w:numPr>
        <w:tabs>
          <w:tab w:val="clear" w:pos="720"/>
          <w:tab w:val="num" w:pos="900"/>
        </w:tabs>
        <w:spacing w:before="120"/>
        <w:ind w:left="900"/>
        <w:jc w:val="both"/>
        <w:rPr>
          <w:rFonts w:ascii="Arial" w:hAnsi="Arial" w:cs="Arial"/>
          <w:sz w:val="20"/>
        </w:rPr>
      </w:pPr>
      <w:r>
        <w:rPr>
          <w:rFonts w:ascii="Arial" w:hAnsi="Arial" w:cs="Arial"/>
          <w:sz w:val="20"/>
        </w:rPr>
        <w:t>In</w:t>
      </w:r>
      <w:r w:rsidR="000370BC" w:rsidRPr="000370BC">
        <w:rPr>
          <w:rFonts w:ascii="Arial" w:hAnsi="Arial" w:cs="Arial"/>
          <w:sz w:val="20"/>
        </w:rPr>
        <w:t xml:space="preserve"> 2009, 37% of children lived in households with high OTIs, a rise from 32% in 2007, and 26% in 2004</w:t>
      </w:r>
      <w:r w:rsidR="00563B24">
        <w:rPr>
          <w:rFonts w:ascii="Arial" w:hAnsi="Arial" w:cs="Arial"/>
          <w:sz w:val="20"/>
        </w:rPr>
        <w:t xml:space="preserve">. The </w:t>
      </w:r>
      <w:r w:rsidR="000370BC" w:rsidRPr="000370BC">
        <w:rPr>
          <w:rFonts w:ascii="Arial" w:hAnsi="Arial" w:cs="Arial"/>
          <w:sz w:val="20"/>
        </w:rPr>
        <w:t>2004 figure was the lowest proportion for some time, following the introduction of income-related rents in 2001 (when the proportion with high OTIs was 32%)</w:t>
      </w:r>
      <w:r>
        <w:rPr>
          <w:rFonts w:ascii="Arial" w:hAnsi="Arial" w:cs="Arial"/>
          <w:sz w:val="20"/>
        </w:rPr>
        <w:t>.</w:t>
      </w:r>
      <w:r w:rsidR="00563B24">
        <w:rPr>
          <w:rFonts w:ascii="Arial" w:hAnsi="Arial" w:cs="Arial"/>
          <w:sz w:val="20"/>
        </w:rPr>
        <w:t xml:space="preserve">  </w:t>
      </w:r>
      <w:r w:rsidR="00223007">
        <w:rPr>
          <w:rFonts w:ascii="Arial" w:hAnsi="Arial" w:cs="Arial"/>
          <w:sz w:val="20"/>
        </w:rPr>
        <w:t>In</w:t>
      </w:r>
      <w:r w:rsidR="000370BC" w:rsidRPr="000370BC">
        <w:rPr>
          <w:rFonts w:ascii="Arial" w:hAnsi="Arial" w:cs="Arial"/>
          <w:sz w:val="20"/>
        </w:rPr>
        <w:t xml:space="preserve"> 1988, the rate for children was 12%</w:t>
      </w:r>
      <w:r>
        <w:rPr>
          <w:rFonts w:ascii="Arial" w:hAnsi="Arial" w:cs="Arial"/>
          <w:sz w:val="20"/>
        </w:rPr>
        <w:t>.</w:t>
      </w:r>
      <w:r w:rsidR="000370BC" w:rsidRPr="000370BC">
        <w:rPr>
          <w:rFonts w:ascii="Arial" w:hAnsi="Arial" w:cs="Arial"/>
          <w:sz w:val="20"/>
        </w:rPr>
        <w:t xml:space="preserve"> </w:t>
      </w:r>
    </w:p>
    <w:p w14:paraId="3D652DD3" w14:textId="77777777" w:rsidR="000370BC" w:rsidRPr="000370BC" w:rsidRDefault="000370BC" w:rsidP="000370BC">
      <w:pPr>
        <w:ind w:left="360" w:hanging="360"/>
        <w:jc w:val="both"/>
        <w:rPr>
          <w:rFonts w:ascii="Arial" w:hAnsi="Arial" w:cs="Arial"/>
          <w:b/>
        </w:rPr>
      </w:pPr>
    </w:p>
    <w:p w14:paraId="6D9BD862" w14:textId="77777777" w:rsidR="000370BC" w:rsidRPr="000370BC" w:rsidRDefault="000370BC" w:rsidP="000370BC">
      <w:pPr>
        <w:ind w:left="360" w:hanging="360"/>
        <w:jc w:val="both"/>
        <w:rPr>
          <w:rFonts w:ascii="Arial" w:hAnsi="Arial" w:cs="Arial"/>
          <w:b/>
        </w:rPr>
      </w:pPr>
    </w:p>
    <w:p w14:paraId="0EC9148D" w14:textId="77777777" w:rsidR="000370BC" w:rsidRPr="000370BC" w:rsidRDefault="000370BC" w:rsidP="000370BC">
      <w:pPr>
        <w:jc w:val="center"/>
        <w:rPr>
          <w:rFonts w:ascii="Arial" w:hAnsi="Arial" w:cs="Arial"/>
          <w:b/>
          <w:sz w:val="18"/>
          <w:szCs w:val="18"/>
        </w:rPr>
      </w:pPr>
      <w:r w:rsidRPr="000370BC">
        <w:rPr>
          <w:rFonts w:ascii="Arial" w:hAnsi="Arial" w:cs="Arial"/>
          <w:b/>
          <w:sz w:val="18"/>
          <w:szCs w:val="18"/>
        </w:rPr>
        <w:t>Figure S.2</w:t>
      </w:r>
    </w:p>
    <w:p w14:paraId="53261CE5" w14:textId="77777777" w:rsidR="000370BC" w:rsidRPr="000370BC" w:rsidRDefault="000370BC" w:rsidP="000370BC">
      <w:pPr>
        <w:jc w:val="center"/>
        <w:rPr>
          <w:rFonts w:ascii="Arial" w:hAnsi="Arial" w:cs="Arial"/>
          <w:b/>
          <w:sz w:val="18"/>
          <w:szCs w:val="18"/>
        </w:rPr>
      </w:pPr>
      <w:r w:rsidRPr="000370BC">
        <w:rPr>
          <w:rFonts w:ascii="Arial" w:hAnsi="Arial" w:cs="Arial"/>
          <w:b/>
          <w:sz w:val="18"/>
          <w:szCs w:val="18"/>
        </w:rPr>
        <w:t>Proportion of HHs with housing cost OTIs greater than 30%, by income quintile</w:t>
      </w:r>
    </w:p>
    <w:p w14:paraId="782F5574" w14:textId="5AB9179F" w:rsidR="000370BC" w:rsidRPr="000370BC" w:rsidRDefault="00832634" w:rsidP="000370BC">
      <w:pPr>
        <w:ind w:left="360" w:hanging="360"/>
        <w:jc w:val="center"/>
        <w:rPr>
          <w:rFonts w:ascii="Arial" w:hAnsi="Arial" w:cs="Arial"/>
          <w:b/>
        </w:rPr>
      </w:pPr>
      <w:r w:rsidRPr="000370BC">
        <w:rPr>
          <w:rFonts w:ascii="Arial" w:hAnsi="Arial" w:cs="Arial"/>
          <w:noProof/>
          <w:lang w:val="en-US"/>
        </w:rPr>
        <w:drawing>
          <wp:inline distT="0" distB="0" distL="0" distR="0" wp14:anchorId="771DD560" wp14:editId="79916ABF">
            <wp:extent cx="3479800" cy="2222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9800" cy="2222500"/>
                    </a:xfrm>
                    <a:prstGeom prst="rect">
                      <a:avLst/>
                    </a:prstGeom>
                    <a:noFill/>
                    <a:ln>
                      <a:noFill/>
                    </a:ln>
                  </pic:spPr>
                </pic:pic>
              </a:graphicData>
            </a:graphic>
          </wp:inline>
        </w:drawing>
      </w:r>
    </w:p>
    <w:p w14:paraId="4AEE424B" w14:textId="77777777" w:rsidR="000370BC" w:rsidRPr="000370BC" w:rsidRDefault="000370BC" w:rsidP="000370BC">
      <w:pPr>
        <w:ind w:left="360" w:hanging="360"/>
        <w:jc w:val="both"/>
        <w:rPr>
          <w:rFonts w:ascii="Arial" w:hAnsi="Arial" w:cs="Arial"/>
          <w:b/>
        </w:rPr>
      </w:pPr>
    </w:p>
    <w:p w14:paraId="31721A87" w14:textId="77777777" w:rsidR="000370BC" w:rsidRPr="00223007" w:rsidRDefault="00223007" w:rsidP="00223007">
      <w:pPr>
        <w:ind w:left="2430" w:right="1289" w:hanging="630"/>
        <w:jc w:val="both"/>
        <w:rPr>
          <w:rFonts w:ascii="Arial" w:hAnsi="Arial" w:cs="Arial"/>
          <w:sz w:val="18"/>
          <w:szCs w:val="18"/>
        </w:rPr>
      </w:pPr>
      <w:r w:rsidRPr="00223007">
        <w:rPr>
          <w:rFonts w:ascii="Arial" w:hAnsi="Arial" w:cs="Arial"/>
          <w:sz w:val="18"/>
          <w:szCs w:val="18"/>
        </w:rPr>
        <w:t xml:space="preserve">Note: </w:t>
      </w:r>
      <w:r>
        <w:rPr>
          <w:rFonts w:ascii="Arial" w:hAnsi="Arial" w:cs="Arial"/>
          <w:sz w:val="18"/>
          <w:szCs w:val="18"/>
        </w:rPr>
        <w:tab/>
        <w:t>T</w:t>
      </w:r>
      <w:r w:rsidRPr="00223007">
        <w:rPr>
          <w:rFonts w:ascii="Arial" w:hAnsi="Arial" w:cs="Arial"/>
          <w:sz w:val="18"/>
          <w:szCs w:val="18"/>
        </w:rPr>
        <w:t>here is some uncertainty about the reliability of the figures for the lower quint</w:t>
      </w:r>
      <w:r>
        <w:rPr>
          <w:rFonts w:ascii="Arial" w:hAnsi="Arial" w:cs="Arial"/>
          <w:sz w:val="18"/>
          <w:szCs w:val="18"/>
        </w:rPr>
        <w:t>iles for 2010, so the report is holding off making comment on these trends until the 2011 data is available.</w:t>
      </w:r>
    </w:p>
    <w:p w14:paraId="01707A60" w14:textId="77777777" w:rsidR="000370BC" w:rsidRPr="000370BC" w:rsidRDefault="000370BC" w:rsidP="000370BC">
      <w:pPr>
        <w:ind w:left="360" w:hanging="360"/>
        <w:jc w:val="both"/>
        <w:rPr>
          <w:rFonts w:ascii="Arial" w:hAnsi="Arial" w:cs="Arial"/>
          <w:b/>
        </w:rPr>
      </w:pPr>
    </w:p>
    <w:p w14:paraId="5313535F" w14:textId="77777777" w:rsidR="000370BC" w:rsidRPr="000370BC" w:rsidRDefault="000370BC" w:rsidP="000370BC">
      <w:pPr>
        <w:ind w:left="360" w:hanging="360"/>
        <w:jc w:val="both"/>
        <w:rPr>
          <w:rFonts w:ascii="Arial" w:hAnsi="Arial" w:cs="Arial"/>
          <w:b/>
        </w:rPr>
      </w:pPr>
    </w:p>
    <w:p w14:paraId="27723A95" w14:textId="77777777" w:rsidR="000370BC" w:rsidRPr="000370BC" w:rsidRDefault="000370BC" w:rsidP="000370BC">
      <w:pPr>
        <w:ind w:left="360" w:hanging="360"/>
        <w:jc w:val="both"/>
        <w:rPr>
          <w:rFonts w:ascii="Arial" w:hAnsi="Arial" w:cs="Arial"/>
          <w:b/>
        </w:rPr>
      </w:pPr>
    </w:p>
    <w:p w14:paraId="643E279D" w14:textId="77777777" w:rsidR="000370BC" w:rsidRPr="000370BC" w:rsidRDefault="000370BC" w:rsidP="000370BC">
      <w:pPr>
        <w:ind w:left="360" w:hanging="360"/>
        <w:jc w:val="both"/>
        <w:rPr>
          <w:rFonts w:ascii="Arial" w:hAnsi="Arial" w:cs="Arial"/>
          <w:b/>
        </w:rPr>
      </w:pPr>
    </w:p>
    <w:p w14:paraId="3F82A8CC" w14:textId="77777777" w:rsidR="000370BC" w:rsidRPr="000370BC" w:rsidRDefault="000370BC" w:rsidP="000370BC">
      <w:pPr>
        <w:ind w:left="360" w:hanging="360"/>
        <w:jc w:val="both"/>
        <w:rPr>
          <w:rFonts w:ascii="Arial" w:hAnsi="Arial" w:cs="Arial"/>
          <w:b/>
        </w:rPr>
      </w:pPr>
    </w:p>
    <w:p w14:paraId="12927021" w14:textId="77777777" w:rsidR="000370BC" w:rsidRPr="000370BC" w:rsidRDefault="000370BC" w:rsidP="000370BC">
      <w:pPr>
        <w:ind w:left="360" w:hanging="360"/>
        <w:jc w:val="both"/>
        <w:rPr>
          <w:rFonts w:ascii="Arial" w:hAnsi="Arial" w:cs="Arial"/>
          <w:b/>
          <w:sz w:val="20"/>
        </w:rPr>
      </w:pPr>
      <w:r w:rsidRPr="000370BC">
        <w:rPr>
          <w:rFonts w:ascii="Arial" w:hAnsi="Arial" w:cs="Arial"/>
          <w:b/>
        </w:rPr>
        <w:br w:type="page"/>
      </w:r>
      <w:r w:rsidR="008257C0">
        <w:rPr>
          <w:rFonts w:ascii="Arial" w:hAnsi="Arial" w:cs="Arial"/>
          <w:b/>
          <w:sz w:val="20"/>
        </w:rPr>
        <w:lastRenderedPageBreak/>
        <w:t>5</w:t>
      </w:r>
      <w:r w:rsidRPr="000370BC">
        <w:rPr>
          <w:rFonts w:ascii="Arial" w:hAnsi="Arial" w:cs="Arial"/>
          <w:b/>
          <w:sz w:val="20"/>
        </w:rPr>
        <w:tab/>
      </w:r>
      <w:r w:rsidR="00DE5CC5">
        <w:rPr>
          <w:rFonts w:ascii="Arial" w:hAnsi="Arial" w:cs="Arial"/>
          <w:b/>
          <w:sz w:val="20"/>
        </w:rPr>
        <w:t>The p</w:t>
      </w:r>
      <w:r w:rsidRPr="000370BC">
        <w:rPr>
          <w:rFonts w:ascii="Arial" w:hAnsi="Arial" w:cs="Arial"/>
          <w:b/>
          <w:sz w:val="20"/>
        </w:rPr>
        <w:t xml:space="preserve">opulation poverty rate </w:t>
      </w:r>
      <w:r w:rsidR="00E262D5">
        <w:rPr>
          <w:rFonts w:ascii="Arial" w:hAnsi="Arial" w:cs="Arial"/>
          <w:b/>
          <w:sz w:val="20"/>
        </w:rPr>
        <w:t>was unchanged</w:t>
      </w:r>
      <w:r w:rsidR="00DE5CC5">
        <w:rPr>
          <w:rFonts w:ascii="Arial" w:hAnsi="Arial" w:cs="Arial"/>
          <w:b/>
          <w:sz w:val="20"/>
        </w:rPr>
        <w:t xml:space="preserve"> fr</w:t>
      </w:r>
      <w:r w:rsidR="00A84315">
        <w:rPr>
          <w:rFonts w:ascii="Arial" w:hAnsi="Arial" w:cs="Arial"/>
          <w:b/>
          <w:sz w:val="20"/>
        </w:rPr>
        <w:t xml:space="preserve">om 2009 to 2010 on </w:t>
      </w:r>
      <w:r w:rsidR="00DE5CC5">
        <w:rPr>
          <w:rFonts w:ascii="Arial" w:hAnsi="Arial" w:cs="Arial"/>
          <w:b/>
          <w:sz w:val="20"/>
        </w:rPr>
        <w:t>the AHC fixed line measure</w:t>
      </w:r>
      <w:r w:rsidR="00E262D5">
        <w:rPr>
          <w:rFonts w:ascii="Arial" w:hAnsi="Arial" w:cs="Arial"/>
          <w:b/>
          <w:sz w:val="20"/>
        </w:rPr>
        <w:t xml:space="preserve"> (15%)</w:t>
      </w:r>
      <w:r w:rsidR="00DE5CC5">
        <w:rPr>
          <w:rFonts w:ascii="Arial" w:hAnsi="Arial" w:cs="Arial"/>
          <w:b/>
          <w:sz w:val="20"/>
        </w:rPr>
        <w:t xml:space="preserve">, bringing to an end the steady </w:t>
      </w:r>
      <w:r w:rsidR="00903F44">
        <w:rPr>
          <w:rFonts w:ascii="Arial" w:hAnsi="Arial" w:cs="Arial"/>
          <w:b/>
          <w:sz w:val="20"/>
        </w:rPr>
        <w:t>decline (ie improvement)</w:t>
      </w:r>
      <w:r w:rsidR="00DE5CC5">
        <w:rPr>
          <w:rFonts w:ascii="Arial" w:hAnsi="Arial" w:cs="Arial"/>
          <w:b/>
          <w:sz w:val="20"/>
        </w:rPr>
        <w:t xml:space="preserve"> </w:t>
      </w:r>
      <w:r w:rsidR="002237D0">
        <w:rPr>
          <w:rFonts w:ascii="Arial" w:hAnsi="Arial" w:cs="Arial"/>
          <w:b/>
          <w:sz w:val="20"/>
        </w:rPr>
        <w:t xml:space="preserve">on that measure </w:t>
      </w:r>
      <w:r w:rsidR="00DE5CC5">
        <w:rPr>
          <w:rFonts w:ascii="Arial" w:hAnsi="Arial" w:cs="Arial"/>
          <w:b/>
          <w:sz w:val="20"/>
        </w:rPr>
        <w:t xml:space="preserve">that began in 1994. </w:t>
      </w:r>
      <w:r w:rsidRPr="000370BC">
        <w:rPr>
          <w:rFonts w:ascii="Arial" w:hAnsi="Arial" w:cs="Arial"/>
          <w:b/>
          <w:sz w:val="20"/>
        </w:rPr>
        <w:t xml:space="preserve"> </w:t>
      </w:r>
      <w:r w:rsidR="00DE5CC5">
        <w:rPr>
          <w:rFonts w:ascii="Arial" w:hAnsi="Arial" w:cs="Arial"/>
          <w:b/>
          <w:sz w:val="20"/>
        </w:rPr>
        <w:t xml:space="preserve">The rate </w:t>
      </w:r>
      <w:r w:rsidR="00A84315">
        <w:rPr>
          <w:rFonts w:ascii="Arial" w:hAnsi="Arial" w:cs="Arial"/>
          <w:b/>
          <w:sz w:val="20"/>
        </w:rPr>
        <w:t xml:space="preserve">also remained </w:t>
      </w:r>
      <w:r w:rsidR="00E262D5">
        <w:rPr>
          <w:rFonts w:ascii="Arial" w:hAnsi="Arial" w:cs="Arial"/>
          <w:b/>
          <w:sz w:val="20"/>
        </w:rPr>
        <w:t>unchanged</w:t>
      </w:r>
      <w:r w:rsidR="00A84315">
        <w:rPr>
          <w:rFonts w:ascii="Arial" w:hAnsi="Arial" w:cs="Arial"/>
          <w:b/>
          <w:sz w:val="20"/>
        </w:rPr>
        <w:t xml:space="preserve"> on the</w:t>
      </w:r>
      <w:r w:rsidR="00DE5CC5">
        <w:rPr>
          <w:rFonts w:ascii="Arial" w:hAnsi="Arial" w:cs="Arial"/>
          <w:b/>
          <w:sz w:val="20"/>
        </w:rPr>
        <w:t xml:space="preserve"> AHC</w:t>
      </w:r>
      <w:r w:rsidRPr="000370BC">
        <w:rPr>
          <w:rFonts w:ascii="Arial" w:hAnsi="Arial" w:cs="Arial"/>
          <w:b/>
          <w:sz w:val="20"/>
        </w:rPr>
        <w:t xml:space="preserve"> moving line </w:t>
      </w:r>
      <w:r w:rsidR="00A84315">
        <w:rPr>
          <w:rFonts w:ascii="Arial" w:hAnsi="Arial" w:cs="Arial"/>
          <w:b/>
          <w:sz w:val="20"/>
        </w:rPr>
        <w:t>measure</w:t>
      </w:r>
      <w:r w:rsidR="00903F44">
        <w:rPr>
          <w:rFonts w:ascii="Arial" w:hAnsi="Arial" w:cs="Arial"/>
          <w:b/>
          <w:sz w:val="20"/>
        </w:rPr>
        <w:t xml:space="preserve"> </w:t>
      </w:r>
      <w:r w:rsidR="00E262D5">
        <w:rPr>
          <w:rFonts w:ascii="Arial" w:hAnsi="Arial" w:cs="Arial"/>
          <w:b/>
          <w:sz w:val="20"/>
        </w:rPr>
        <w:t>(18%)</w:t>
      </w:r>
    </w:p>
    <w:p w14:paraId="16E4698C" w14:textId="77777777" w:rsidR="000370BC" w:rsidRPr="000370BC" w:rsidRDefault="00DE5CC5"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U</w:t>
      </w:r>
      <w:r w:rsidR="000370BC" w:rsidRPr="000370BC">
        <w:rPr>
          <w:rFonts w:ascii="Arial" w:hAnsi="Arial" w:cs="Arial"/>
          <w:sz w:val="20"/>
        </w:rPr>
        <w:t xml:space="preserve">sing the AHC fixed line measure (60% of median), the poverty rate for the population as a whole fell from 2007 (18%) to 2009 (15%), continuing the downward trend that began </w:t>
      </w:r>
      <w:r w:rsidR="00903F44">
        <w:rPr>
          <w:rFonts w:ascii="Arial" w:hAnsi="Arial" w:cs="Arial"/>
          <w:sz w:val="20"/>
        </w:rPr>
        <w:t>from 1994.</w:t>
      </w:r>
      <w:r w:rsidR="00D74C08">
        <w:rPr>
          <w:rFonts w:ascii="Arial" w:hAnsi="Arial" w:cs="Arial"/>
          <w:sz w:val="20"/>
        </w:rPr>
        <w:t xml:space="preserve">  There was no change from 2009 to 2010.</w:t>
      </w:r>
    </w:p>
    <w:p w14:paraId="53B1E53E" w14:textId="77777777" w:rsidR="000370BC" w:rsidRPr="000370BC" w:rsidRDefault="00033C0D"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w:t>
      </w:r>
      <w:r>
        <w:rPr>
          <w:rFonts w:ascii="Arial" w:hAnsi="Arial" w:cs="Arial"/>
          <w:sz w:val="20"/>
        </w:rPr>
        <w:t>fall from 2007 to 2010</w:t>
      </w:r>
      <w:r w:rsidR="000370BC" w:rsidRPr="000370BC">
        <w:rPr>
          <w:rFonts w:ascii="Arial" w:hAnsi="Arial" w:cs="Arial"/>
          <w:sz w:val="20"/>
        </w:rPr>
        <w:t xml:space="preserve"> using the fixed line measure indicates that the average AHC income for low-income households is higher in real terms in 20</w:t>
      </w:r>
      <w:r>
        <w:rPr>
          <w:rFonts w:ascii="Arial" w:hAnsi="Arial" w:cs="Arial"/>
          <w:sz w:val="20"/>
        </w:rPr>
        <w:t>10</w:t>
      </w:r>
      <w:r w:rsidR="000370BC" w:rsidRPr="000370BC">
        <w:rPr>
          <w:rFonts w:ascii="Arial" w:hAnsi="Arial" w:cs="Arial"/>
          <w:sz w:val="20"/>
        </w:rPr>
        <w:t xml:space="preserve"> than in 2007</w:t>
      </w:r>
      <w:r>
        <w:rPr>
          <w:rFonts w:ascii="Arial" w:hAnsi="Arial" w:cs="Arial"/>
          <w:sz w:val="20"/>
        </w:rPr>
        <w:t>.</w:t>
      </w:r>
    </w:p>
    <w:p w14:paraId="6AB45D01" w14:textId="77777777" w:rsidR="000370BC" w:rsidRPr="000370BC" w:rsidRDefault="00033C0D"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H</w:t>
      </w:r>
      <w:r w:rsidR="000370BC" w:rsidRPr="000370BC">
        <w:rPr>
          <w:rFonts w:ascii="Arial" w:hAnsi="Arial" w:cs="Arial"/>
          <w:sz w:val="20"/>
        </w:rPr>
        <w:t xml:space="preserve">ousing costs were a much greater proportion of </w:t>
      </w:r>
      <w:r w:rsidR="00611E27">
        <w:rPr>
          <w:rFonts w:ascii="Arial" w:hAnsi="Arial" w:cs="Arial"/>
          <w:sz w:val="20"/>
        </w:rPr>
        <w:t>household</w:t>
      </w:r>
      <w:r w:rsidR="000370BC" w:rsidRPr="000370BC">
        <w:rPr>
          <w:rFonts w:ascii="Arial" w:hAnsi="Arial" w:cs="Arial"/>
          <w:sz w:val="20"/>
        </w:rPr>
        <w:t xml:space="preserve"> income for low</w:t>
      </w:r>
      <w:r>
        <w:rPr>
          <w:rFonts w:ascii="Arial" w:hAnsi="Arial" w:cs="Arial"/>
          <w:sz w:val="20"/>
        </w:rPr>
        <w:t>-</w:t>
      </w:r>
      <w:r w:rsidR="000370BC" w:rsidRPr="000370BC">
        <w:rPr>
          <w:rFonts w:ascii="Arial" w:hAnsi="Arial" w:cs="Arial"/>
          <w:sz w:val="20"/>
        </w:rPr>
        <w:t>income HHs in 20</w:t>
      </w:r>
      <w:r>
        <w:rPr>
          <w:rFonts w:ascii="Arial" w:hAnsi="Arial" w:cs="Arial"/>
          <w:sz w:val="20"/>
        </w:rPr>
        <w:t>10</w:t>
      </w:r>
      <w:r w:rsidR="000370BC" w:rsidRPr="000370BC">
        <w:rPr>
          <w:rFonts w:ascii="Arial" w:hAnsi="Arial" w:cs="Arial"/>
          <w:sz w:val="20"/>
        </w:rPr>
        <w:t xml:space="preserve"> than in 198</w:t>
      </w:r>
      <w:r w:rsidR="00611E27">
        <w:rPr>
          <w:rFonts w:ascii="Arial" w:hAnsi="Arial" w:cs="Arial"/>
          <w:sz w:val="20"/>
        </w:rPr>
        <w:t>0s</w:t>
      </w:r>
      <w:r w:rsidR="00D74C08">
        <w:rPr>
          <w:rFonts w:ascii="Arial" w:hAnsi="Arial" w:cs="Arial"/>
          <w:sz w:val="20"/>
        </w:rPr>
        <w:t xml:space="preserve">.  This </w:t>
      </w:r>
      <w:r w:rsidR="000370BC" w:rsidRPr="000370BC">
        <w:rPr>
          <w:rFonts w:ascii="Arial" w:hAnsi="Arial" w:cs="Arial"/>
          <w:sz w:val="20"/>
        </w:rPr>
        <w:t xml:space="preserve">increase cancelled out the gains in BHC incomes for low-income </w:t>
      </w:r>
      <w:r w:rsidR="00611E27">
        <w:rPr>
          <w:rFonts w:ascii="Arial" w:hAnsi="Arial" w:cs="Arial"/>
          <w:sz w:val="20"/>
        </w:rPr>
        <w:t>households</w:t>
      </w:r>
      <w:r w:rsidR="000370BC" w:rsidRPr="000370BC">
        <w:rPr>
          <w:rFonts w:ascii="Arial" w:hAnsi="Arial" w:cs="Arial"/>
          <w:sz w:val="20"/>
        </w:rPr>
        <w:t>, leaving fixed line poverty rates much the same in 20</w:t>
      </w:r>
      <w:r w:rsidR="00611E27">
        <w:rPr>
          <w:rFonts w:ascii="Arial" w:hAnsi="Arial" w:cs="Arial"/>
          <w:sz w:val="20"/>
        </w:rPr>
        <w:t>10</w:t>
      </w:r>
      <w:r w:rsidR="000370BC" w:rsidRPr="000370BC">
        <w:rPr>
          <w:rFonts w:ascii="Arial" w:hAnsi="Arial" w:cs="Arial"/>
          <w:sz w:val="20"/>
        </w:rPr>
        <w:t xml:space="preserve"> as in </w:t>
      </w:r>
      <w:r w:rsidR="00611E27">
        <w:rPr>
          <w:rFonts w:ascii="Arial" w:hAnsi="Arial" w:cs="Arial"/>
          <w:sz w:val="20"/>
        </w:rPr>
        <w:t>the 1980s.</w:t>
      </w:r>
    </w:p>
    <w:p w14:paraId="2460D545" w14:textId="77777777" w:rsidR="000370BC" w:rsidRPr="000370BC" w:rsidRDefault="00611E27"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U</w:t>
      </w:r>
      <w:r w:rsidR="000370BC" w:rsidRPr="000370BC">
        <w:rPr>
          <w:rFonts w:ascii="Arial" w:hAnsi="Arial" w:cs="Arial"/>
          <w:sz w:val="20"/>
        </w:rPr>
        <w:t>sing the AHC moving line measure, the population poverty rate remained steady at 18% from 2007 to 20</w:t>
      </w:r>
      <w:r>
        <w:rPr>
          <w:rFonts w:ascii="Arial" w:hAnsi="Arial" w:cs="Arial"/>
          <w:sz w:val="20"/>
        </w:rPr>
        <w:t>10</w:t>
      </w:r>
      <w:r w:rsidR="000370BC" w:rsidRPr="000370BC">
        <w:rPr>
          <w:rFonts w:ascii="Arial" w:hAnsi="Arial" w:cs="Arial"/>
          <w:sz w:val="20"/>
        </w:rPr>
        <w:t>, much the same as it was through the mid 1990s, but double what it was in 1984 (9%)</w:t>
      </w:r>
      <w:r w:rsidR="00000D7C">
        <w:rPr>
          <w:rFonts w:ascii="Arial" w:hAnsi="Arial" w:cs="Arial"/>
          <w:sz w:val="20"/>
        </w:rPr>
        <w:t>.</w:t>
      </w:r>
    </w:p>
    <w:p w14:paraId="31E26CBE" w14:textId="77777777" w:rsidR="00611E27" w:rsidRDefault="00D74C08"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From 1994 to 2010</w:t>
      </w:r>
      <w:r w:rsidR="00611E27" w:rsidRPr="000370BC">
        <w:rPr>
          <w:rFonts w:ascii="Arial" w:hAnsi="Arial" w:cs="Arial"/>
          <w:sz w:val="20"/>
        </w:rPr>
        <w:t xml:space="preserve">, AHC incomes for low-income </w:t>
      </w:r>
      <w:r>
        <w:rPr>
          <w:rFonts w:ascii="Arial" w:hAnsi="Arial" w:cs="Arial"/>
          <w:sz w:val="20"/>
        </w:rPr>
        <w:t>households</w:t>
      </w:r>
      <w:r w:rsidR="00611E27" w:rsidRPr="000370BC">
        <w:rPr>
          <w:rFonts w:ascii="Arial" w:hAnsi="Arial" w:cs="Arial"/>
          <w:sz w:val="20"/>
        </w:rPr>
        <w:t xml:space="preserve"> </w:t>
      </w:r>
      <w:r>
        <w:rPr>
          <w:rFonts w:ascii="Arial" w:hAnsi="Arial" w:cs="Arial"/>
          <w:sz w:val="20"/>
        </w:rPr>
        <w:t>rose</w:t>
      </w:r>
      <w:r w:rsidR="00611E27" w:rsidRPr="000370BC">
        <w:rPr>
          <w:rFonts w:ascii="Arial" w:hAnsi="Arial" w:cs="Arial"/>
          <w:sz w:val="20"/>
        </w:rPr>
        <w:t xml:space="preserve"> at about the same rate as the rise in the median, thus producing </w:t>
      </w:r>
      <w:r>
        <w:rPr>
          <w:rFonts w:ascii="Arial" w:hAnsi="Arial" w:cs="Arial"/>
          <w:sz w:val="20"/>
        </w:rPr>
        <w:t>little</w:t>
      </w:r>
      <w:r w:rsidR="00611E27" w:rsidRPr="000370BC">
        <w:rPr>
          <w:rFonts w:ascii="Arial" w:hAnsi="Arial" w:cs="Arial"/>
          <w:sz w:val="20"/>
        </w:rPr>
        <w:t xml:space="preserve"> change to the moving line poverty rate from 1994 to 20</w:t>
      </w:r>
      <w:r w:rsidR="00611E27">
        <w:rPr>
          <w:rFonts w:ascii="Arial" w:hAnsi="Arial" w:cs="Arial"/>
          <w:sz w:val="20"/>
        </w:rPr>
        <w:t>10</w:t>
      </w:r>
      <w:r w:rsidR="00611E27" w:rsidRPr="000370BC">
        <w:rPr>
          <w:rFonts w:ascii="Arial" w:hAnsi="Arial" w:cs="Arial"/>
          <w:sz w:val="20"/>
        </w:rPr>
        <w:t xml:space="preserve"> (</w:t>
      </w:r>
      <w:r>
        <w:rPr>
          <w:rFonts w:ascii="Arial" w:hAnsi="Arial" w:cs="Arial"/>
          <w:sz w:val="20"/>
        </w:rPr>
        <w:t xml:space="preserve">reasonably </w:t>
      </w:r>
      <w:r w:rsidR="00611E27" w:rsidRPr="000370BC">
        <w:rPr>
          <w:rFonts w:ascii="Arial" w:hAnsi="Arial" w:cs="Arial"/>
          <w:sz w:val="20"/>
        </w:rPr>
        <w:t>steady in the 18% to 20% range).</w:t>
      </w:r>
    </w:p>
    <w:p w14:paraId="56728319" w14:textId="77777777" w:rsidR="000370BC" w:rsidRDefault="00611E27"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 xml:space="preserve">he trend using the moving line measure reflects a different notion of poverty – for the moving line measure the focus is on how well low-income </w:t>
      </w:r>
      <w:r w:rsidR="002237D0">
        <w:rPr>
          <w:rFonts w:ascii="Arial" w:hAnsi="Arial" w:cs="Arial"/>
          <w:sz w:val="20"/>
        </w:rPr>
        <w:t>households</w:t>
      </w:r>
      <w:r w:rsidR="000370BC" w:rsidRPr="000370BC">
        <w:rPr>
          <w:rFonts w:ascii="Arial" w:hAnsi="Arial" w:cs="Arial"/>
          <w:sz w:val="20"/>
        </w:rPr>
        <w:t xml:space="preserve"> are faring relative to the median rather than relative to a fixed benchmark</w:t>
      </w:r>
      <w:r w:rsidR="00000D7C">
        <w:rPr>
          <w:rFonts w:ascii="Arial" w:hAnsi="Arial" w:cs="Arial"/>
          <w:sz w:val="20"/>
        </w:rPr>
        <w:t>.</w:t>
      </w:r>
    </w:p>
    <w:p w14:paraId="021C3A44" w14:textId="77777777" w:rsidR="00E82900" w:rsidRPr="000370BC" w:rsidRDefault="00E82900" w:rsidP="00E82900">
      <w:pPr>
        <w:spacing w:before="120"/>
        <w:ind w:left="540"/>
        <w:jc w:val="both"/>
        <w:rPr>
          <w:rFonts w:ascii="Arial" w:hAnsi="Arial" w:cs="Arial"/>
          <w:sz w:val="20"/>
        </w:rPr>
      </w:pPr>
    </w:p>
    <w:p w14:paraId="0FF3F090" w14:textId="77777777" w:rsidR="000370BC" w:rsidRPr="00AB5AA5" w:rsidRDefault="000370BC" w:rsidP="00E82900">
      <w:pPr>
        <w:ind w:left="360"/>
        <w:jc w:val="center"/>
        <w:rPr>
          <w:rFonts w:ascii="Arial" w:hAnsi="Arial" w:cs="Arial"/>
          <w:sz w:val="20"/>
        </w:rPr>
      </w:pPr>
      <w:r w:rsidRPr="000370BC">
        <w:rPr>
          <w:rFonts w:ascii="Arial" w:hAnsi="Arial" w:cs="Arial"/>
          <w:b/>
          <w:sz w:val="18"/>
          <w:szCs w:val="18"/>
        </w:rPr>
        <w:t>Table S.1:</w:t>
      </w:r>
    </w:p>
    <w:p w14:paraId="1C607E16" w14:textId="77777777" w:rsidR="00AB5AA5" w:rsidRPr="00901CD3" w:rsidRDefault="000370BC" w:rsidP="00AB5AA5">
      <w:pPr>
        <w:spacing w:after="120"/>
        <w:ind w:left="360"/>
        <w:jc w:val="center"/>
        <w:rPr>
          <w:rFonts w:ascii="Arial" w:hAnsi="Arial" w:cs="Arial"/>
          <w:b/>
          <w:sz w:val="18"/>
          <w:szCs w:val="18"/>
        </w:rPr>
      </w:pPr>
      <w:r w:rsidRPr="000370BC">
        <w:rPr>
          <w:rFonts w:ascii="Arial" w:hAnsi="Arial" w:cs="Arial"/>
          <w:b/>
          <w:sz w:val="18"/>
          <w:szCs w:val="18"/>
        </w:rPr>
        <w:t>Population poverty rates (%) on four measures</w:t>
      </w:r>
    </w:p>
    <w:tbl>
      <w:tblPr>
        <w:tblStyle w:val="TableGrid"/>
        <w:tblW w:w="0" w:type="auto"/>
        <w:jc w:val="center"/>
        <w:tblLook w:val="01E0" w:firstRow="1" w:lastRow="1" w:firstColumn="1" w:lastColumn="1" w:noHBand="0" w:noVBand="0"/>
      </w:tblPr>
      <w:tblGrid>
        <w:gridCol w:w="706"/>
        <w:gridCol w:w="1326"/>
        <w:gridCol w:w="1440"/>
        <w:gridCol w:w="1350"/>
        <w:gridCol w:w="1614"/>
      </w:tblGrid>
      <w:tr w:rsidR="000370BC" w:rsidRPr="000370BC" w14:paraId="0AD339DC" w14:textId="77777777">
        <w:trPr>
          <w:jc w:val="center"/>
        </w:trPr>
        <w:tc>
          <w:tcPr>
            <w:tcW w:w="706" w:type="dxa"/>
            <w:vAlign w:val="center"/>
          </w:tcPr>
          <w:p w14:paraId="3CD1DE32" w14:textId="77777777" w:rsidR="000370BC" w:rsidRPr="000370BC" w:rsidRDefault="000370BC" w:rsidP="00AB5AA5">
            <w:pPr>
              <w:spacing w:before="60" w:after="60"/>
              <w:jc w:val="center"/>
              <w:rPr>
                <w:rFonts w:ascii="Arial" w:hAnsi="Arial" w:cs="Arial"/>
                <w:sz w:val="16"/>
                <w:szCs w:val="16"/>
              </w:rPr>
            </w:pPr>
          </w:p>
        </w:tc>
        <w:tc>
          <w:tcPr>
            <w:tcW w:w="4116" w:type="dxa"/>
            <w:gridSpan w:val="3"/>
            <w:vAlign w:val="center"/>
          </w:tcPr>
          <w:p w14:paraId="5A45F396" w14:textId="77777777" w:rsidR="000370BC" w:rsidRPr="000370BC" w:rsidRDefault="000370BC" w:rsidP="00AB5AA5">
            <w:pPr>
              <w:spacing w:before="60" w:after="60"/>
              <w:jc w:val="center"/>
              <w:rPr>
                <w:rFonts w:ascii="Arial" w:hAnsi="Arial" w:cs="Arial"/>
                <w:b/>
                <w:sz w:val="16"/>
                <w:szCs w:val="16"/>
              </w:rPr>
            </w:pPr>
            <w:r w:rsidRPr="000370BC">
              <w:rPr>
                <w:rFonts w:ascii="Arial" w:hAnsi="Arial" w:cs="Arial"/>
                <w:b/>
                <w:sz w:val="16"/>
                <w:szCs w:val="16"/>
              </w:rPr>
              <w:t>AHC</w:t>
            </w:r>
          </w:p>
        </w:tc>
        <w:tc>
          <w:tcPr>
            <w:tcW w:w="1614" w:type="dxa"/>
            <w:vAlign w:val="center"/>
          </w:tcPr>
          <w:p w14:paraId="489EB003" w14:textId="77777777" w:rsidR="000370BC" w:rsidRPr="000370BC" w:rsidRDefault="000370BC" w:rsidP="00AB5AA5">
            <w:pPr>
              <w:spacing w:before="60" w:after="60"/>
              <w:jc w:val="center"/>
              <w:rPr>
                <w:rFonts w:ascii="Arial" w:hAnsi="Arial" w:cs="Arial"/>
                <w:b/>
                <w:sz w:val="16"/>
                <w:szCs w:val="16"/>
              </w:rPr>
            </w:pPr>
            <w:r w:rsidRPr="000370BC">
              <w:rPr>
                <w:rFonts w:ascii="Arial" w:hAnsi="Arial" w:cs="Arial"/>
                <w:b/>
                <w:sz w:val="16"/>
                <w:szCs w:val="16"/>
              </w:rPr>
              <w:t>BHC</w:t>
            </w:r>
          </w:p>
        </w:tc>
      </w:tr>
      <w:tr w:rsidR="00DE5CC5" w:rsidRPr="000370BC" w14:paraId="754E54E5" w14:textId="77777777">
        <w:trPr>
          <w:jc w:val="center"/>
        </w:trPr>
        <w:tc>
          <w:tcPr>
            <w:tcW w:w="706" w:type="dxa"/>
            <w:tcMar>
              <w:left w:w="29" w:type="dxa"/>
              <w:right w:w="29" w:type="dxa"/>
            </w:tcMar>
            <w:vAlign w:val="center"/>
          </w:tcPr>
          <w:p w14:paraId="645F6D6F" w14:textId="77777777" w:rsidR="00DE5CC5" w:rsidRPr="000370BC" w:rsidRDefault="00DE5CC5" w:rsidP="00AB5AA5">
            <w:pPr>
              <w:spacing w:before="60" w:after="60"/>
              <w:jc w:val="center"/>
              <w:rPr>
                <w:rFonts w:ascii="Arial" w:hAnsi="Arial" w:cs="Arial"/>
                <w:sz w:val="16"/>
                <w:szCs w:val="16"/>
              </w:rPr>
            </w:pPr>
          </w:p>
        </w:tc>
        <w:tc>
          <w:tcPr>
            <w:tcW w:w="1326" w:type="dxa"/>
            <w:shd w:val="clear" w:color="auto" w:fill="E0E0E0"/>
            <w:tcMar>
              <w:left w:w="29" w:type="dxa"/>
              <w:right w:w="29" w:type="dxa"/>
            </w:tcMar>
            <w:vAlign w:val="center"/>
          </w:tcPr>
          <w:p w14:paraId="3BF62439"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AHC ‘fixed line’ 60%</w:t>
            </w:r>
          </w:p>
        </w:tc>
        <w:tc>
          <w:tcPr>
            <w:tcW w:w="1440" w:type="dxa"/>
            <w:tcMar>
              <w:left w:w="29" w:type="dxa"/>
              <w:right w:w="29" w:type="dxa"/>
            </w:tcMar>
            <w:vAlign w:val="center"/>
          </w:tcPr>
          <w:p w14:paraId="6CD883EF"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AHC ‘moving line’ 60%</w:t>
            </w:r>
          </w:p>
        </w:tc>
        <w:tc>
          <w:tcPr>
            <w:tcW w:w="1350" w:type="dxa"/>
            <w:tcMar>
              <w:left w:w="29" w:type="dxa"/>
              <w:right w:w="29" w:type="dxa"/>
            </w:tcMar>
            <w:vAlign w:val="center"/>
          </w:tcPr>
          <w:p w14:paraId="494A50E0"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 xml:space="preserve">AHC ‘moving line’ </w:t>
            </w:r>
            <w:r>
              <w:rPr>
                <w:rFonts w:ascii="Arial" w:hAnsi="Arial" w:cs="Arial"/>
                <w:sz w:val="16"/>
                <w:szCs w:val="16"/>
              </w:rPr>
              <w:t>50</w:t>
            </w:r>
            <w:r w:rsidRPr="000370BC">
              <w:rPr>
                <w:rFonts w:ascii="Arial" w:hAnsi="Arial" w:cs="Arial"/>
                <w:sz w:val="16"/>
                <w:szCs w:val="16"/>
              </w:rPr>
              <w:t>%</w:t>
            </w:r>
          </w:p>
        </w:tc>
        <w:tc>
          <w:tcPr>
            <w:tcW w:w="1614" w:type="dxa"/>
            <w:tcMar>
              <w:left w:w="29" w:type="dxa"/>
              <w:right w:w="29" w:type="dxa"/>
            </w:tcMar>
            <w:vAlign w:val="center"/>
          </w:tcPr>
          <w:p w14:paraId="430D6E54"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BHC ‘moving line’ 60%</w:t>
            </w:r>
          </w:p>
        </w:tc>
      </w:tr>
      <w:tr w:rsidR="00901CD3" w:rsidRPr="000370BC" w14:paraId="05A9F5FB" w14:textId="77777777">
        <w:trPr>
          <w:jc w:val="center"/>
        </w:trPr>
        <w:tc>
          <w:tcPr>
            <w:tcW w:w="706" w:type="dxa"/>
            <w:vAlign w:val="center"/>
          </w:tcPr>
          <w:p w14:paraId="591BC0DD" w14:textId="77777777" w:rsidR="00901CD3" w:rsidRPr="000370BC" w:rsidRDefault="00901CD3" w:rsidP="00AB5AA5">
            <w:pPr>
              <w:spacing w:before="60" w:after="60"/>
              <w:jc w:val="center"/>
              <w:rPr>
                <w:rFonts w:ascii="Arial" w:hAnsi="Arial" w:cs="Arial"/>
                <w:sz w:val="16"/>
                <w:szCs w:val="16"/>
              </w:rPr>
            </w:pPr>
            <w:r>
              <w:rPr>
                <w:rFonts w:ascii="Arial" w:hAnsi="Arial" w:cs="Arial"/>
                <w:sz w:val="16"/>
                <w:szCs w:val="16"/>
              </w:rPr>
              <w:t>1998</w:t>
            </w:r>
          </w:p>
        </w:tc>
        <w:tc>
          <w:tcPr>
            <w:tcW w:w="1326" w:type="dxa"/>
            <w:shd w:val="clear" w:color="auto" w:fill="E0E0E0"/>
            <w:vAlign w:val="center"/>
          </w:tcPr>
          <w:p w14:paraId="18C2B8E0" w14:textId="77777777" w:rsidR="00901CD3" w:rsidRPr="000370BC" w:rsidRDefault="00901CD3" w:rsidP="00AB5AA5">
            <w:pPr>
              <w:spacing w:before="60" w:after="60"/>
              <w:jc w:val="center"/>
              <w:rPr>
                <w:rFonts w:ascii="Arial" w:hAnsi="Arial" w:cs="Arial"/>
                <w:sz w:val="16"/>
                <w:szCs w:val="16"/>
              </w:rPr>
            </w:pPr>
            <w:r>
              <w:rPr>
                <w:rFonts w:ascii="Arial" w:hAnsi="Arial" w:cs="Arial"/>
                <w:sz w:val="16"/>
                <w:szCs w:val="16"/>
              </w:rPr>
              <w:t>-</w:t>
            </w:r>
          </w:p>
        </w:tc>
        <w:tc>
          <w:tcPr>
            <w:tcW w:w="1440" w:type="dxa"/>
            <w:vAlign w:val="center"/>
          </w:tcPr>
          <w:p w14:paraId="013B3402" w14:textId="77777777" w:rsidR="00901CD3" w:rsidRPr="000370BC" w:rsidRDefault="003C3CF6" w:rsidP="00AB5AA5">
            <w:pPr>
              <w:spacing w:before="60" w:after="60"/>
              <w:jc w:val="center"/>
              <w:rPr>
                <w:rFonts w:ascii="Arial" w:hAnsi="Arial" w:cs="Arial"/>
                <w:sz w:val="16"/>
                <w:szCs w:val="16"/>
              </w:rPr>
            </w:pPr>
            <w:r>
              <w:rPr>
                <w:rFonts w:ascii="Arial" w:hAnsi="Arial" w:cs="Arial"/>
                <w:sz w:val="16"/>
                <w:szCs w:val="16"/>
              </w:rPr>
              <w:t>18</w:t>
            </w:r>
          </w:p>
        </w:tc>
        <w:tc>
          <w:tcPr>
            <w:tcW w:w="1350" w:type="dxa"/>
            <w:vAlign w:val="center"/>
          </w:tcPr>
          <w:p w14:paraId="5746E0E8" w14:textId="77777777" w:rsidR="00901CD3" w:rsidRDefault="003C3CF6" w:rsidP="00AB5AA5">
            <w:pPr>
              <w:spacing w:before="60" w:after="60"/>
              <w:jc w:val="center"/>
              <w:rPr>
                <w:rFonts w:ascii="Arial" w:hAnsi="Arial" w:cs="Arial"/>
                <w:sz w:val="16"/>
                <w:szCs w:val="16"/>
              </w:rPr>
            </w:pPr>
            <w:r>
              <w:rPr>
                <w:rFonts w:ascii="Arial" w:hAnsi="Arial" w:cs="Arial"/>
                <w:sz w:val="16"/>
                <w:szCs w:val="16"/>
              </w:rPr>
              <w:t>13</w:t>
            </w:r>
          </w:p>
        </w:tc>
        <w:tc>
          <w:tcPr>
            <w:tcW w:w="1614" w:type="dxa"/>
            <w:vAlign w:val="center"/>
          </w:tcPr>
          <w:p w14:paraId="552EF641" w14:textId="77777777" w:rsidR="00901CD3" w:rsidRPr="000370BC" w:rsidRDefault="003C3CF6" w:rsidP="00AB5AA5">
            <w:pPr>
              <w:spacing w:before="60" w:after="60"/>
              <w:jc w:val="center"/>
              <w:rPr>
                <w:rFonts w:ascii="Arial" w:hAnsi="Arial" w:cs="Arial"/>
                <w:sz w:val="16"/>
                <w:szCs w:val="16"/>
              </w:rPr>
            </w:pPr>
            <w:r>
              <w:rPr>
                <w:rFonts w:ascii="Arial" w:hAnsi="Arial" w:cs="Arial"/>
                <w:sz w:val="16"/>
                <w:szCs w:val="16"/>
              </w:rPr>
              <w:t>16</w:t>
            </w:r>
          </w:p>
        </w:tc>
      </w:tr>
      <w:tr w:rsidR="00DE5CC5" w:rsidRPr="000370BC" w14:paraId="23AF81A8" w14:textId="77777777">
        <w:trPr>
          <w:jc w:val="center"/>
        </w:trPr>
        <w:tc>
          <w:tcPr>
            <w:tcW w:w="706" w:type="dxa"/>
            <w:vAlign w:val="center"/>
          </w:tcPr>
          <w:p w14:paraId="644E53E8"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2001</w:t>
            </w:r>
          </w:p>
        </w:tc>
        <w:tc>
          <w:tcPr>
            <w:tcW w:w="1326" w:type="dxa"/>
            <w:shd w:val="clear" w:color="auto" w:fill="E0E0E0"/>
            <w:vAlign w:val="center"/>
          </w:tcPr>
          <w:p w14:paraId="2BF5CE30"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25</w:t>
            </w:r>
          </w:p>
        </w:tc>
        <w:tc>
          <w:tcPr>
            <w:tcW w:w="1440" w:type="dxa"/>
            <w:vAlign w:val="center"/>
          </w:tcPr>
          <w:p w14:paraId="0FF3D84A"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w:t>
            </w:r>
          </w:p>
        </w:tc>
        <w:tc>
          <w:tcPr>
            <w:tcW w:w="1350" w:type="dxa"/>
            <w:vAlign w:val="center"/>
          </w:tcPr>
          <w:p w14:paraId="18BD41FD"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13</w:t>
            </w:r>
          </w:p>
        </w:tc>
        <w:tc>
          <w:tcPr>
            <w:tcW w:w="1614" w:type="dxa"/>
            <w:vAlign w:val="center"/>
          </w:tcPr>
          <w:p w14:paraId="2F9935BE"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r>
      <w:tr w:rsidR="00DE5CC5" w:rsidRPr="000370BC" w14:paraId="57810D2F" w14:textId="77777777">
        <w:trPr>
          <w:jc w:val="center"/>
        </w:trPr>
        <w:tc>
          <w:tcPr>
            <w:tcW w:w="706" w:type="dxa"/>
            <w:vAlign w:val="center"/>
          </w:tcPr>
          <w:p w14:paraId="1F0DD663"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2004</w:t>
            </w:r>
          </w:p>
        </w:tc>
        <w:tc>
          <w:tcPr>
            <w:tcW w:w="1326" w:type="dxa"/>
            <w:shd w:val="clear" w:color="auto" w:fill="E0E0E0"/>
            <w:vAlign w:val="center"/>
          </w:tcPr>
          <w:p w14:paraId="70E64AF6"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22</w:t>
            </w:r>
          </w:p>
        </w:tc>
        <w:tc>
          <w:tcPr>
            <w:tcW w:w="1440" w:type="dxa"/>
            <w:vAlign w:val="center"/>
          </w:tcPr>
          <w:p w14:paraId="4DD6A5A5"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w:t>
            </w:r>
          </w:p>
        </w:tc>
        <w:tc>
          <w:tcPr>
            <w:tcW w:w="1350" w:type="dxa"/>
            <w:vAlign w:val="center"/>
          </w:tcPr>
          <w:p w14:paraId="3E9D8288"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14</w:t>
            </w:r>
          </w:p>
        </w:tc>
        <w:tc>
          <w:tcPr>
            <w:tcW w:w="1614" w:type="dxa"/>
            <w:vAlign w:val="center"/>
          </w:tcPr>
          <w:p w14:paraId="3BA58235"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21</w:t>
            </w:r>
          </w:p>
        </w:tc>
      </w:tr>
      <w:tr w:rsidR="00DE5CC5" w:rsidRPr="000370BC" w14:paraId="3DC91845" w14:textId="77777777">
        <w:trPr>
          <w:jc w:val="center"/>
        </w:trPr>
        <w:tc>
          <w:tcPr>
            <w:tcW w:w="706" w:type="dxa"/>
            <w:vAlign w:val="center"/>
          </w:tcPr>
          <w:p w14:paraId="0CE3AD6D"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2007</w:t>
            </w:r>
          </w:p>
        </w:tc>
        <w:tc>
          <w:tcPr>
            <w:tcW w:w="1326" w:type="dxa"/>
            <w:shd w:val="clear" w:color="auto" w:fill="E0E0E0"/>
            <w:vAlign w:val="center"/>
          </w:tcPr>
          <w:p w14:paraId="1580F0EA"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c>
          <w:tcPr>
            <w:tcW w:w="1440" w:type="dxa"/>
            <w:vAlign w:val="center"/>
          </w:tcPr>
          <w:p w14:paraId="0EA6EAF9"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c>
          <w:tcPr>
            <w:tcW w:w="1350" w:type="dxa"/>
            <w:vAlign w:val="center"/>
          </w:tcPr>
          <w:p w14:paraId="3490FB25"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13</w:t>
            </w:r>
          </w:p>
        </w:tc>
        <w:tc>
          <w:tcPr>
            <w:tcW w:w="1614" w:type="dxa"/>
            <w:vAlign w:val="center"/>
          </w:tcPr>
          <w:p w14:paraId="38FF861F"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r>
      <w:tr w:rsidR="00DE5CC5" w:rsidRPr="000370BC" w14:paraId="2716E4D9" w14:textId="77777777">
        <w:trPr>
          <w:jc w:val="center"/>
        </w:trPr>
        <w:tc>
          <w:tcPr>
            <w:tcW w:w="706" w:type="dxa"/>
            <w:vAlign w:val="center"/>
          </w:tcPr>
          <w:p w14:paraId="66B4F411"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2009</w:t>
            </w:r>
          </w:p>
        </w:tc>
        <w:tc>
          <w:tcPr>
            <w:tcW w:w="1326" w:type="dxa"/>
            <w:shd w:val="clear" w:color="auto" w:fill="E0E0E0"/>
            <w:vAlign w:val="center"/>
          </w:tcPr>
          <w:p w14:paraId="47042AAF"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15</w:t>
            </w:r>
          </w:p>
        </w:tc>
        <w:tc>
          <w:tcPr>
            <w:tcW w:w="1440" w:type="dxa"/>
            <w:vAlign w:val="center"/>
          </w:tcPr>
          <w:p w14:paraId="05E654BE"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c>
          <w:tcPr>
            <w:tcW w:w="1350" w:type="dxa"/>
            <w:vAlign w:val="center"/>
          </w:tcPr>
          <w:p w14:paraId="704DB657"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13</w:t>
            </w:r>
          </w:p>
        </w:tc>
        <w:tc>
          <w:tcPr>
            <w:tcW w:w="1614" w:type="dxa"/>
            <w:vAlign w:val="center"/>
          </w:tcPr>
          <w:p w14:paraId="70592615" w14:textId="77777777" w:rsidR="00DE5CC5" w:rsidRPr="000370BC" w:rsidRDefault="00DE5CC5" w:rsidP="00AB5AA5">
            <w:pPr>
              <w:spacing w:before="60" w:after="60"/>
              <w:jc w:val="center"/>
              <w:rPr>
                <w:rFonts w:ascii="Arial" w:hAnsi="Arial" w:cs="Arial"/>
                <w:sz w:val="16"/>
                <w:szCs w:val="16"/>
              </w:rPr>
            </w:pPr>
            <w:r w:rsidRPr="000370BC">
              <w:rPr>
                <w:rFonts w:ascii="Arial" w:hAnsi="Arial" w:cs="Arial"/>
                <w:sz w:val="16"/>
                <w:szCs w:val="16"/>
              </w:rPr>
              <w:t>18</w:t>
            </w:r>
          </w:p>
        </w:tc>
      </w:tr>
      <w:tr w:rsidR="00DE5CC5" w:rsidRPr="000370BC" w14:paraId="2D070C23" w14:textId="77777777">
        <w:trPr>
          <w:jc w:val="center"/>
        </w:trPr>
        <w:tc>
          <w:tcPr>
            <w:tcW w:w="706" w:type="dxa"/>
            <w:vAlign w:val="center"/>
          </w:tcPr>
          <w:p w14:paraId="34561DFE" w14:textId="77777777" w:rsidR="00DE5CC5" w:rsidRPr="000370BC" w:rsidRDefault="00DE5CC5" w:rsidP="00AB5AA5">
            <w:pPr>
              <w:spacing w:before="60" w:after="60"/>
              <w:jc w:val="center"/>
              <w:rPr>
                <w:rFonts w:ascii="Arial" w:hAnsi="Arial" w:cs="Arial"/>
                <w:sz w:val="16"/>
                <w:szCs w:val="16"/>
              </w:rPr>
            </w:pPr>
            <w:r>
              <w:rPr>
                <w:rFonts w:ascii="Arial" w:hAnsi="Arial" w:cs="Arial"/>
                <w:sz w:val="16"/>
                <w:szCs w:val="16"/>
              </w:rPr>
              <w:t>2010</w:t>
            </w:r>
          </w:p>
        </w:tc>
        <w:tc>
          <w:tcPr>
            <w:tcW w:w="1326" w:type="dxa"/>
            <w:shd w:val="clear" w:color="auto" w:fill="E0E0E0"/>
            <w:vAlign w:val="center"/>
          </w:tcPr>
          <w:p w14:paraId="66C965D9" w14:textId="77777777" w:rsidR="00DE5CC5" w:rsidRPr="000370BC" w:rsidRDefault="00DE5CC5" w:rsidP="00AB5AA5">
            <w:pPr>
              <w:spacing w:before="60" w:after="60"/>
              <w:jc w:val="center"/>
              <w:rPr>
                <w:rFonts w:ascii="Arial" w:hAnsi="Arial" w:cs="Arial"/>
                <w:sz w:val="16"/>
                <w:szCs w:val="16"/>
              </w:rPr>
            </w:pPr>
            <w:r>
              <w:rPr>
                <w:rFonts w:ascii="Arial" w:hAnsi="Arial" w:cs="Arial"/>
                <w:sz w:val="16"/>
                <w:szCs w:val="16"/>
              </w:rPr>
              <w:t>15</w:t>
            </w:r>
          </w:p>
        </w:tc>
        <w:tc>
          <w:tcPr>
            <w:tcW w:w="1440" w:type="dxa"/>
            <w:vAlign w:val="center"/>
          </w:tcPr>
          <w:p w14:paraId="57552819"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18</w:t>
            </w:r>
          </w:p>
        </w:tc>
        <w:tc>
          <w:tcPr>
            <w:tcW w:w="1350" w:type="dxa"/>
            <w:vAlign w:val="center"/>
          </w:tcPr>
          <w:p w14:paraId="78F020FE" w14:textId="77777777" w:rsidR="00DE5CC5" w:rsidRPr="000370BC" w:rsidRDefault="00A84315" w:rsidP="00AB5AA5">
            <w:pPr>
              <w:spacing w:before="60" w:after="60"/>
              <w:jc w:val="center"/>
              <w:rPr>
                <w:rFonts w:ascii="Arial" w:hAnsi="Arial" w:cs="Arial"/>
                <w:sz w:val="16"/>
                <w:szCs w:val="16"/>
              </w:rPr>
            </w:pPr>
            <w:r>
              <w:rPr>
                <w:rFonts w:ascii="Arial" w:hAnsi="Arial" w:cs="Arial"/>
                <w:sz w:val="16"/>
                <w:szCs w:val="16"/>
              </w:rPr>
              <w:t>11</w:t>
            </w:r>
          </w:p>
        </w:tc>
        <w:tc>
          <w:tcPr>
            <w:tcW w:w="1614" w:type="dxa"/>
            <w:vAlign w:val="center"/>
          </w:tcPr>
          <w:p w14:paraId="2F2EAF47" w14:textId="77777777" w:rsidR="00DE5CC5" w:rsidRPr="000370BC" w:rsidRDefault="00DE5CC5" w:rsidP="00AB5AA5">
            <w:pPr>
              <w:spacing w:before="60" w:after="60"/>
              <w:jc w:val="center"/>
              <w:rPr>
                <w:rFonts w:ascii="Arial" w:hAnsi="Arial" w:cs="Arial"/>
                <w:sz w:val="16"/>
                <w:szCs w:val="16"/>
              </w:rPr>
            </w:pPr>
            <w:r>
              <w:rPr>
                <w:rFonts w:ascii="Arial" w:hAnsi="Arial" w:cs="Arial"/>
                <w:sz w:val="16"/>
                <w:szCs w:val="16"/>
              </w:rPr>
              <w:t>18</w:t>
            </w:r>
          </w:p>
        </w:tc>
      </w:tr>
    </w:tbl>
    <w:p w14:paraId="02697049" w14:textId="77777777" w:rsidR="0032221A" w:rsidRDefault="000370BC" w:rsidP="00903F44">
      <w:pPr>
        <w:tabs>
          <w:tab w:val="left" w:pos="1980"/>
        </w:tabs>
        <w:spacing w:before="120"/>
        <w:ind w:left="2340" w:right="1019" w:hanging="990"/>
        <w:jc w:val="both"/>
        <w:rPr>
          <w:rFonts w:ascii="Arial" w:hAnsi="Arial" w:cs="Arial"/>
          <w:sz w:val="18"/>
          <w:szCs w:val="18"/>
        </w:rPr>
      </w:pPr>
      <w:r w:rsidRPr="000370BC">
        <w:rPr>
          <w:rFonts w:ascii="Arial" w:hAnsi="Arial" w:cs="Arial"/>
          <w:sz w:val="18"/>
          <w:szCs w:val="18"/>
        </w:rPr>
        <w:t xml:space="preserve">Notes: </w:t>
      </w:r>
      <w:r w:rsidRPr="000370BC">
        <w:rPr>
          <w:rFonts w:ascii="Arial" w:hAnsi="Arial" w:cs="Arial"/>
          <w:sz w:val="18"/>
          <w:szCs w:val="18"/>
        </w:rPr>
        <w:tab/>
        <w:t xml:space="preserve">(1) </w:t>
      </w:r>
      <w:r w:rsidRPr="000370BC">
        <w:rPr>
          <w:rFonts w:ascii="Arial" w:hAnsi="Arial" w:cs="Arial"/>
          <w:sz w:val="18"/>
          <w:szCs w:val="18"/>
        </w:rPr>
        <w:tab/>
      </w:r>
      <w:r w:rsidR="0032221A">
        <w:rPr>
          <w:rFonts w:ascii="Arial" w:hAnsi="Arial" w:cs="Arial"/>
          <w:sz w:val="18"/>
          <w:szCs w:val="18"/>
        </w:rPr>
        <w:t>The reference year for the fixed line figures is 2007</w:t>
      </w:r>
      <w:r w:rsidR="003512EB">
        <w:rPr>
          <w:rFonts w:ascii="Arial" w:hAnsi="Arial" w:cs="Arial"/>
          <w:sz w:val="18"/>
          <w:szCs w:val="18"/>
        </w:rPr>
        <w:t>.</w:t>
      </w:r>
    </w:p>
    <w:p w14:paraId="220564A2" w14:textId="77777777" w:rsidR="000370BC" w:rsidRPr="000370BC" w:rsidRDefault="0032221A" w:rsidP="0032221A">
      <w:pPr>
        <w:tabs>
          <w:tab w:val="left" w:pos="1980"/>
        </w:tabs>
        <w:spacing w:before="60"/>
        <w:ind w:left="2348" w:right="1022" w:hanging="994"/>
        <w:jc w:val="both"/>
        <w:rPr>
          <w:rFonts w:ascii="Arial" w:hAnsi="Arial" w:cs="Arial"/>
          <w:sz w:val="18"/>
          <w:szCs w:val="18"/>
        </w:rPr>
      </w:pPr>
      <w:r>
        <w:rPr>
          <w:rFonts w:ascii="Arial" w:hAnsi="Arial" w:cs="Arial"/>
          <w:sz w:val="18"/>
          <w:szCs w:val="18"/>
        </w:rPr>
        <w:tab/>
        <w:t>(2)</w:t>
      </w:r>
      <w:r>
        <w:rPr>
          <w:rFonts w:ascii="Arial" w:hAnsi="Arial" w:cs="Arial"/>
          <w:sz w:val="18"/>
          <w:szCs w:val="18"/>
        </w:rPr>
        <w:tab/>
      </w:r>
      <w:r w:rsidR="000370BC" w:rsidRPr="000370BC">
        <w:rPr>
          <w:rFonts w:ascii="Arial" w:hAnsi="Arial" w:cs="Arial"/>
          <w:sz w:val="18"/>
          <w:szCs w:val="18"/>
        </w:rPr>
        <w:t>The BHC 60% moving line measure is the one used by the EU – the median EU population poverty rate in 2008 was 16% on this measure</w:t>
      </w:r>
      <w:r w:rsidR="003512EB">
        <w:rPr>
          <w:rFonts w:ascii="Arial" w:hAnsi="Arial" w:cs="Arial"/>
          <w:sz w:val="18"/>
          <w:szCs w:val="18"/>
        </w:rPr>
        <w:t>.</w:t>
      </w:r>
    </w:p>
    <w:p w14:paraId="43F2529A" w14:textId="77777777" w:rsidR="000370BC" w:rsidRPr="000370BC" w:rsidRDefault="000370BC" w:rsidP="0032221A">
      <w:pPr>
        <w:tabs>
          <w:tab w:val="left" w:pos="1980"/>
        </w:tabs>
        <w:spacing w:before="60"/>
        <w:ind w:left="2348" w:right="1022" w:hanging="994"/>
        <w:jc w:val="both"/>
        <w:rPr>
          <w:rFonts w:ascii="Arial" w:hAnsi="Arial" w:cs="Arial"/>
          <w:sz w:val="18"/>
          <w:szCs w:val="18"/>
        </w:rPr>
      </w:pPr>
      <w:r w:rsidRPr="000370BC">
        <w:rPr>
          <w:rFonts w:ascii="Arial" w:hAnsi="Arial" w:cs="Arial"/>
          <w:sz w:val="18"/>
          <w:szCs w:val="18"/>
        </w:rPr>
        <w:tab/>
        <w:t>(</w:t>
      </w:r>
      <w:r w:rsidR="0032221A">
        <w:rPr>
          <w:rFonts w:ascii="Arial" w:hAnsi="Arial" w:cs="Arial"/>
          <w:sz w:val="18"/>
          <w:szCs w:val="18"/>
        </w:rPr>
        <w:t>3</w:t>
      </w:r>
      <w:r w:rsidRPr="000370BC">
        <w:rPr>
          <w:rFonts w:ascii="Arial" w:hAnsi="Arial" w:cs="Arial"/>
          <w:sz w:val="18"/>
          <w:szCs w:val="18"/>
        </w:rPr>
        <w:t>)</w:t>
      </w:r>
      <w:r w:rsidRPr="000370BC">
        <w:rPr>
          <w:rFonts w:ascii="Arial" w:hAnsi="Arial" w:cs="Arial"/>
          <w:sz w:val="18"/>
          <w:szCs w:val="18"/>
        </w:rPr>
        <w:tab/>
        <w:t>The rising rate from 1998 to 2004 on the BHC measure reflects the fact that median household income increased much more rapidly than</w:t>
      </w:r>
      <w:r w:rsidR="003512EB">
        <w:rPr>
          <w:rFonts w:ascii="Arial" w:hAnsi="Arial" w:cs="Arial"/>
          <w:sz w:val="18"/>
          <w:szCs w:val="18"/>
        </w:rPr>
        <w:t xml:space="preserve"> low incomes did in the period.  Without</w:t>
      </w:r>
      <w:r w:rsidRPr="000370BC">
        <w:rPr>
          <w:rFonts w:ascii="Arial" w:hAnsi="Arial" w:cs="Arial"/>
          <w:sz w:val="18"/>
          <w:szCs w:val="18"/>
        </w:rPr>
        <w:t xml:space="preserve"> WFF the population poverty rate on this measure would have continued to rise from 2004 to 2009</w:t>
      </w:r>
      <w:r w:rsidR="003512EB">
        <w:rPr>
          <w:rFonts w:ascii="Arial" w:hAnsi="Arial" w:cs="Arial"/>
          <w:sz w:val="18"/>
          <w:szCs w:val="18"/>
        </w:rPr>
        <w:t>.</w:t>
      </w:r>
    </w:p>
    <w:p w14:paraId="4257ADD2" w14:textId="77777777" w:rsidR="000370BC" w:rsidRPr="000370BC" w:rsidRDefault="000370BC" w:rsidP="000370BC">
      <w:pPr>
        <w:ind w:left="360" w:hanging="360"/>
        <w:jc w:val="both"/>
        <w:rPr>
          <w:rFonts w:ascii="Arial" w:hAnsi="Arial" w:cs="Arial"/>
          <w:b/>
        </w:rPr>
      </w:pPr>
    </w:p>
    <w:p w14:paraId="38B41CE4" w14:textId="77777777" w:rsidR="000370BC" w:rsidRPr="000370BC" w:rsidRDefault="00611E27"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In</w:t>
      </w:r>
      <w:r w:rsidR="000370BC" w:rsidRPr="000370BC">
        <w:rPr>
          <w:rFonts w:ascii="Arial" w:hAnsi="Arial" w:cs="Arial"/>
          <w:sz w:val="20"/>
        </w:rPr>
        <w:t xml:space="preserve"> 20</w:t>
      </w:r>
      <w:r>
        <w:rPr>
          <w:rFonts w:ascii="Arial" w:hAnsi="Arial" w:cs="Arial"/>
          <w:sz w:val="20"/>
        </w:rPr>
        <w:t>10</w:t>
      </w:r>
      <w:r w:rsidR="000370BC" w:rsidRPr="000370BC">
        <w:rPr>
          <w:rFonts w:ascii="Arial" w:hAnsi="Arial" w:cs="Arial"/>
          <w:sz w:val="20"/>
        </w:rPr>
        <w:t>, the total population figure was 4.2</w:t>
      </w:r>
      <w:r w:rsidR="00587E00">
        <w:rPr>
          <w:rFonts w:ascii="Arial" w:hAnsi="Arial" w:cs="Arial"/>
          <w:sz w:val="20"/>
        </w:rPr>
        <w:t>6</w:t>
      </w:r>
      <w:r w:rsidR="000370BC" w:rsidRPr="000370BC">
        <w:rPr>
          <w:rFonts w:ascii="Arial" w:hAnsi="Arial" w:cs="Arial"/>
          <w:sz w:val="20"/>
        </w:rPr>
        <w:t xml:space="preserve">m </w:t>
      </w:r>
      <w:r w:rsidRPr="000370BC">
        <w:rPr>
          <w:rFonts w:ascii="Arial" w:hAnsi="Arial" w:cs="Arial"/>
          <w:sz w:val="20"/>
        </w:rPr>
        <w:t>–</w:t>
      </w:r>
      <w:r w:rsidR="000370BC" w:rsidRPr="000370BC">
        <w:rPr>
          <w:rFonts w:ascii="Arial" w:hAnsi="Arial" w:cs="Arial"/>
          <w:sz w:val="20"/>
        </w:rPr>
        <w:t xml:space="preserve"> on the measures in Table S.1, between </w:t>
      </w:r>
      <w:r w:rsidR="00AF2331">
        <w:rPr>
          <w:rFonts w:ascii="Arial" w:hAnsi="Arial" w:cs="Arial"/>
          <w:sz w:val="20"/>
        </w:rPr>
        <w:t>500</w:t>
      </w:r>
      <w:r w:rsidR="000370BC" w:rsidRPr="000370BC">
        <w:rPr>
          <w:rFonts w:ascii="Arial" w:hAnsi="Arial" w:cs="Arial"/>
          <w:sz w:val="20"/>
        </w:rPr>
        <w:t>,000 and 7</w:t>
      </w:r>
      <w:r w:rsidR="00AF2331">
        <w:rPr>
          <w:rFonts w:ascii="Arial" w:hAnsi="Arial" w:cs="Arial"/>
          <w:sz w:val="20"/>
        </w:rPr>
        <w:t>50</w:t>
      </w:r>
      <w:r w:rsidR="000370BC" w:rsidRPr="000370BC">
        <w:rPr>
          <w:rFonts w:ascii="Arial" w:hAnsi="Arial" w:cs="Arial"/>
          <w:sz w:val="20"/>
        </w:rPr>
        <w:t>,000 people were in households with incomes below the low-income thresholds (ie ‘in poverty’)</w:t>
      </w:r>
      <w:r w:rsidR="0067116B">
        <w:rPr>
          <w:rFonts w:ascii="Arial" w:hAnsi="Arial" w:cs="Arial"/>
          <w:sz w:val="20"/>
        </w:rPr>
        <w:t>.</w:t>
      </w:r>
    </w:p>
    <w:p w14:paraId="70C53B3B" w14:textId="77777777" w:rsidR="000370BC" w:rsidRPr="000370BC" w:rsidRDefault="00611E27" w:rsidP="00000D7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w:t>
      </w:r>
      <w:r w:rsidR="000370BC" w:rsidRPr="000370BC">
        <w:rPr>
          <w:rFonts w:ascii="Arial" w:hAnsi="Arial" w:cs="Arial"/>
          <w:sz w:val="20"/>
        </w:rPr>
        <w:t>n 20</w:t>
      </w:r>
      <w:r>
        <w:rPr>
          <w:rFonts w:ascii="Arial" w:hAnsi="Arial" w:cs="Arial"/>
          <w:sz w:val="20"/>
        </w:rPr>
        <w:t>10</w:t>
      </w:r>
      <w:r w:rsidR="000370BC" w:rsidRPr="000370BC">
        <w:rPr>
          <w:rFonts w:ascii="Arial" w:hAnsi="Arial" w:cs="Arial"/>
          <w:sz w:val="20"/>
        </w:rPr>
        <w:t>, on the Social Report measure (AHC ‘fixed line’ 60%), there were 6</w:t>
      </w:r>
      <w:r w:rsidR="00AF2331">
        <w:rPr>
          <w:rFonts w:ascii="Arial" w:hAnsi="Arial" w:cs="Arial"/>
          <w:sz w:val="20"/>
        </w:rPr>
        <w:t>3</w:t>
      </w:r>
      <w:r w:rsidR="000370BC" w:rsidRPr="000370BC">
        <w:rPr>
          <w:rFonts w:ascii="Arial" w:hAnsi="Arial" w:cs="Arial"/>
          <w:sz w:val="20"/>
        </w:rPr>
        <w:t>0,000 (15%) below the low-income threshold (ie ‘in poverty’</w:t>
      </w:r>
      <w:r>
        <w:rPr>
          <w:rFonts w:ascii="Arial" w:hAnsi="Arial" w:cs="Arial"/>
          <w:sz w:val="20"/>
        </w:rPr>
        <w:t>)</w:t>
      </w:r>
      <w:r w:rsidR="000370BC" w:rsidRPr="000370BC">
        <w:rPr>
          <w:rFonts w:ascii="Arial" w:hAnsi="Arial" w:cs="Arial"/>
          <w:sz w:val="20"/>
        </w:rPr>
        <w:t xml:space="preserve">, down from 930,000 (25%) in 2001. </w:t>
      </w:r>
    </w:p>
    <w:p w14:paraId="597E2F8F" w14:textId="77777777" w:rsidR="000370BC" w:rsidRPr="000370BC" w:rsidRDefault="000370BC" w:rsidP="000370BC">
      <w:pPr>
        <w:ind w:left="360" w:hanging="360"/>
        <w:jc w:val="both"/>
        <w:rPr>
          <w:rFonts w:ascii="Arial" w:hAnsi="Arial" w:cs="Arial"/>
          <w:b/>
          <w:sz w:val="20"/>
        </w:rPr>
      </w:pPr>
      <w:r w:rsidRPr="000370BC">
        <w:rPr>
          <w:rFonts w:ascii="Arial" w:hAnsi="Arial" w:cs="Arial"/>
          <w:b/>
        </w:rPr>
        <w:br w:type="page"/>
      </w:r>
      <w:r w:rsidR="00E519B1">
        <w:rPr>
          <w:rFonts w:ascii="Arial" w:hAnsi="Arial" w:cs="Arial"/>
          <w:b/>
          <w:sz w:val="20"/>
        </w:rPr>
        <w:lastRenderedPageBreak/>
        <w:t>6</w:t>
      </w:r>
      <w:r w:rsidRPr="000370BC">
        <w:rPr>
          <w:rFonts w:ascii="Arial" w:hAnsi="Arial" w:cs="Arial"/>
          <w:b/>
          <w:sz w:val="20"/>
        </w:rPr>
        <w:tab/>
        <w:t>Child poverty rates were the same in 20</w:t>
      </w:r>
      <w:r w:rsidR="00646508">
        <w:rPr>
          <w:rFonts w:ascii="Arial" w:hAnsi="Arial" w:cs="Arial"/>
          <w:b/>
          <w:sz w:val="20"/>
        </w:rPr>
        <w:t>10</w:t>
      </w:r>
      <w:r w:rsidRPr="000370BC">
        <w:rPr>
          <w:rFonts w:ascii="Arial" w:hAnsi="Arial" w:cs="Arial"/>
          <w:b/>
          <w:sz w:val="20"/>
        </w:rPr>
        <w:t xml:space="preserve"> as in 200</w:t>
      </w:r>
      <w:r w:rsidR="00646508">
        <w:rPr>
          <w:rFonts w:ascii="Arial" w:hAnsi="Arial" w:cs="Arial"/>
          <w:b/>
          <w:sz w:val="20"/>
        </w:rPr>
        <w:t>9</w:t>
      </w:r>
      <w:r w:rsidRPr="000370BC">
        <w:rPr>
          <w:rFonts w:ascii="Arial" w:hAnsi="Arial" w:cs="Arial"/>
          <w:b/>
          <w:sz w:val="20"/>
        </w:rPr>
        <w:t xml:space="preserve"> using </w:t>
      </w:r>
      <w:r w:rsidR="00646508">
        <w:rPr>
          <w:rFonts w:ascii="Arial" w:hAnsi="Arial" w:cs="Arial"/>
          <w:b/>
          <w:sz w:val="20"/>
        </w:rPr>
        <w:t xml:space="preserve">both </w:t>
      </w:r>
      <w:r w:rsidRPr="000370BC">
        <w:rPr>
          <w:rFonts w:ascii="Arial" w:hAnsi="Arial" w:cs="Arial"/>
          <w:b/>
          <w:sz w:val="20"/>
        </w:rPr>
        <w:t xml:space="preserve">the fixed line </w:t>
      </w:r>
      <w:r w:rsidR="00646508">
        <w:rPr>
          <w:rFonts w:ascii="Arial" w:hAnsi="Arial" w:cs="Arial"/>
          <w:b/>
          <w:sz w:val="20"/>
        </w:rPr>
        <w:t xml:space="preserve">AHC </w:t>
      </w:r>
      <w:r w:rsidRPr="000370BC">
        <w:rPr>
          <w:rFonts w:ascii="Arial" w:hAnsi="Arial" w:cs="Arial"/>
          <w:b/>
          <w:sz w:val="20"/>
        </w:rPr>
        <w:t>measure</w:t>
      </w:r>
      <w:r w:rsidR="00646508">
        <w:rPr>
          <w:rFonts w:ascii="Arial" w:hAnsi="Arial" w:cs="Arial"/>
          <w:b/>
          <w:sz w:val="20"/>
        </w:rPr>
        <w:t xml:space="preserve"> (22%)</w:t>
      </w:r>
      <w:r w:rsidRPr="000370BC">
        <w:rPr>
          <w:rFonts w:ascii="Arial" w:hAnsi="Arial" w:cs="Arial"/>
          <w:b/>
          <w:sz w:val="20"/>
        </w:rPr>
        <w:t xml:space="preserve">, </w:t>
      </w:r>
      <w:r w:rsidR="00646508">
        <w:rPr>
          <w:rFonts w:ascii="Arial" w:hAnsi="Arial" w:cs="Arial"/>
          <w:b/>
          <w:sz w:val="20"/>
        </w:rPr>
        <w:t xml:space="preserve">and the 60% </w:t>
      </w:r>
      <w:r w:rsidR="00E519B1">
        <w:rPr>
          <w:rFonts w:ascii="Arial" w:hAnsi="Arial" w:cs="Arial"/>
          <w:b/>
          <w:sz w:val="20"/>
        </w:rPr>
        <w:t>AHC</w:t>
      </w:r>
      <w:r w:rsidRPr="000370BC">
        <w:rPr>
          <w:rFonts w:ascii="Arial" w:hAnsi="Arial" w:cs="Arial"/>
          <w:b/>
          <w:sz w:val="20"/>
        </w:rPr>
        <w:t xml:space="preserve"> moving line measure</w:t>
      </w:r>
      <w:r w:rsidR="00E519B1">
        <w:rPr>
          <w:rFonts w:ascii="Arial" w:hAnsi="Arial" w:cs="Arial"/>
          <w:b/>
          <w:sz w:val="20"/>
        </w:rPr>
        <w:t xml:space="preserve"> (25%)</w:t>
      </w:r>
      <w:r w:rsidRPr="000370BC">
        <w:rPr>
          <w:rFonts w:ascii="Arial" w:hAnsi="Arial" w:cs="Arial"/>
          <w:b/>
          <w:sz w:val="20"/>
        </w:rPr>
        <w:t xml:space="preserve"> </w:t>
      </w:r>
    </w:p>
    <w:p w14:paraId="58F354CB" w14:textId="77777777" w:rsidR="000370BC" w:rsidRPr="000370BC" w:rsidRDefault="00646508"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U</w:t>
      </w:r>
      <w:r w:rsidR="000370BC" w:rsidRPr="000370BC">
        <w:rPr>
          <w:rFonts w:ascii="Arial" w:hAnsi="Arial" w:cs="Arial"/>
          <w:sz w:val="20"/>
        </w:rPr>
        <w:t xml:space="preserve">sing the AHC fixed line measure, the child poverty rate fell strongly from 1994 to 2007, but plateaued from 2007 to 2009, settling at </w:t>
      </w:r>
      <w:r>
        <w:rPr>
          <w:rFonts w:ascii="Arial" w:hAnsi="Arial" w:cs="Arial"/>
          <w:sz w:val="20"/>
        </w:rPr>
        <w:t>22%.</w:t>
      </w:r>
      <w:r w:rsidR="001D5F91">
        <w:rPr>
          <w:rFonts w:ascii="Arial" w:hAnsi="Arial" w:cs="Arial"/>
          <w:sz w:val="20"/>
        </w:rPr>
        <w:t xml:space="preserve">  This is around the rate that prevailed in the 1980s if the same 2007 reference year standard is used.</w:t>
      </w:r>
    </w:p>
    <w:p w14:paraId="0A08D368" w14:textId="77777777" w:rsidR="000370BC" w:rsidRPr="000370BC" w:rsidRDefault="00646508"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w:t>
      </w:r>
      <w:r w:rsidR="000370BC" w:rsidRPr="000370BC">
        <w:rPr>
          <w:rFonts w:ascii="Arial" w:hAnsi="Arial" w:cs="Arial"/>
          <w:sz w:val="20"/>
        </w:rPr>
        <w:t>rom 2007 to 20</w:t>
      </w:r>
      <w:r>
        <w:rPr>
          <w:rFonts w:ascii="Arial" w:hAnsi="Arial" w:cs="Arial"/>
          <w:sz w:val="20"/>
        </w:rPr>
        <w:t>10</w:t>
      </w:r>
      <w:r w:rsidR="000370BC" w:rsidRPr="000370BC">
        <w:rPr>
          <w:rFonts w:ascii="Arial" w:hAnsi="Arial" w:cs="Arial"/>
          <w:sz w:val="20"/>
        </w:rPr>
        <w:t xml:space="preserve">, BHC incomes increased for low-income households with children, and housing costs rose – these two factors cancelled each other out to give the ‘no change’ finding on the fixed line </w:t>
      </w:r>
      <w:r w:rsidR="002237D0">
        <w:rPr>
          <w:rFonts w:ascii="Arial" w:hAnsi="Arial" w:cs="Arial"/>
          <w:sz w:val="20"/>
        </w:rPr>
        <w:t xml:space="preserve">AHC </w:t>
      </w:r>
      <w:r w:rsidR="000370BC" w:rsidRPr="000370BC">
        <w:rPr>
          <w:rFonts w:ascii="Arial" w:hAnsi="Arial" w:cs="Arial"/>
          <w:sz w:val="20"/>
        </w:rPr>
        <w:t>measure</w:t>
      </w:r>
      <w:r>
        <w:rPr>
          <w:rFonts w:ascii="Arial" w:hAnsi="Arial" w:cs="Arial"/>
          <w:sz w:val="20"/>
        </w:rPr>
        <w:t>.</w:t>
      </w:r>
    </w:p>
    <w:p w14:paraId="0FA2E03A" w14:textId="77777777" w:rsidR="000370BC" w:rsidRPr="000370BC" w:rsidRDefault="00646508"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O</w:t>
      </w:r>
      <w:r w:rsidR="000370BC" w:rsidRPr="000370BC">
        <w:rPr>
          <w:rFonts w:ascii="Arial" w:hAnsi="Arial" w:cs="Arial"/>
          <w:sz w:val="20"/>
        </w:rPr>
        <w:t>n the AHC moving line measure, the child poverty rate increased from 2007 (22%) to 20</w:t>
      </w:r>
      <w:r>
        <w:rPr>
          <w:rFonts w:ascii="Arial" w:hAnsi="Arial" w:cs="Arial"/>
          <w:sz w:val="20"/>
        </w:rPr>
        <w:t>10</w:t>
      </w:r>
      <w:r w:rsidR="000370BC" w:rsidRPr="000370BC">
        <w:rPr>
          <w:rFonts w:ascii="Arial" w:hAnsi="Arial" w:cs="Arial"/>
          <w:sz w:val="20"/>
        </w:rPr>
        <w:t xml:space="preserve"> (25%), reflecting the rise in the proportion of households with children </w:t>
      </w:r>
      <w:r>
        <w:rPr>
          <w:rFonts w:ascii="Arial" w:hAnsi="Arial" w:cs="Arial"/>
          <w:sz w:val="20"/>
        </w:rPr>
        <w:t>which had</w:t>
      </w:r>
      <w:r w:rsidR="000370BC" w:rsidRPr="000370BC">
        <w:rPr>
          <w:rFonts w:ascii="Arial" w:hAnsi="Arial" w:cs="Arial"/>
          <w:sz w:val="20"/>
        </w:rPr>
        <w:t xml:space="preserve"> high OTIs</w:t>
      </w:r>
      <w:r>
        <w:rPr>
          <w:rFonts w:ascii="Arial" w:hAnsi="Arial" w:cs="Arial"/>
          <w:sz w:val="20"/>
        </w:rPr>
        <w:t>.</w:t>
      </w:r>
      <w:r w:rsidR="000370BC" w:rsidRPr="000370BC">
        <w:rPr>
          <w:rFonts w:ascii="Arial" w:hAnsi="Arial" w:cs="Arial"/>
          <w:sz w:val="20"/>
        </w:rPr>
        <w:t xml:space="preserve"> </w:t>
      </w:r>
    </w:p>
    <w:p w14:paraId="7680C152" w14:textId="77777777" w:rsidR="000370BC" w:rsidRPr="000370BC" w:rsidRDefault="00646508"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On this moving line measure, the 2010</w:t>
      </w:r>
      <w:r w:rsidR="000370BC" w:rsidRPr="000370BC">
        <w:rPr>
          <w:rFonts w:ascii="Arial" w:hAnsi="Arial" w:cs="Arial"/>
          <w:sz w:val="20"/>
        </w:rPr>
        <w:t xml:space="preserve"> child poverty rate is </w:t>
      </w:r>
      <w:r>
        <w:rPr>
          <w:rFonts w:ascii="Arial" w:hAnsi="Arial" w:cs="Arial"/>
          <w:sz w:val="20"/>
        </w:rPr>
        <w:t>around</w:t>
      </w:r>
      <w:r w:rsidR="000370BC" w:rsidRPr="000370BC">
        <w:rPr>
          <w:rFonts w:ascii="Arial" w:hAnsi="Arial" w:cs="Arial"/>
          <w:sz w:val="20"/>
        </w:rPr>
        <w:t xml:space="preserve"> double the rate that prevailed in the early 1980s on this moving line measure</w:t>
      </w:r>
      <w:r w:rsidR="00173F05">
        <w:rPr>
          <w:rFonts w:ascii="Arial" w:hAnsi="Arial" w:cs="Arial"/>
          <w:sz w:val="20"/>
        </w:rPr>
        <w:t>.</w:t>
      </w:r>
    </w:p>
    <w:p w14:paraId="44856618" w14:textId="77777777" w:rsidR="000370BC" w:rsidRPr="000370BC" w:rsidRDefault="001D5F91"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longer-run findings on child poverty reflect the fact that AHC incomes in 20</w:t>
      </w:r>
      <w:r>
        <w:rPr>
          <w:rFonts w:ascii="Arial" w:hAnsi="Arial" w:cs="Arial"/>
          <w:sz w:val="20"/>
        </w:rPr>
        <w:t>10</w:t>
      </w:r>
      <w:r w:rsidR="000370BC" w:rsidRPr="000370BC">
        <w:rPr>
          <w:rFonts w:ascii="Arial" w:hAnsi="Arial" w:cs="Arial"/>
          <w:sz w:val="20"/>
        </w:rPr>
        <w:t xml:space="preserve"> for low-income households were around the same as they were in the early 1980s in real terms</w:t>
      </w:r>
      <w:r w:rsidR="002237D0">
        <w:rPr>
          <w:rFonts w:ascii="Arial" w:hAnsi="Arial" w:cs="Arial"/>
          <w:sz w:val="20"/>
        </w:rPr>
        <w:t>,</w:t>
      </w:r>
      <w:r w:rsidR="000370BC" w:rsidRPr="000370BC">
        <w:rPr>
          <w:rFonts w:ascii="Arial" w:hAnsi="Arial" w:cs="Arial"/>
          <w:sz w:val="20"/>
        </w:rPr>
        <w:t xml:space="preserve"> but that relative to the median the incomes of lower</w:t>
      </w:r>
      <w:r w:rsidR="002237D0">
        <w:rPr>
          <w:rFonts w:ascii="Arial" w:hAnsi="Arial" w:cs="Arial"/>
          <w:sz w:val="20"/>
        </w:rPr>
        <w:t>-</w:t>
      </w:r>
      <w:r w:rsidR="000370BC" w:rsidRPr="000370BC">
        <w:rPr>
          <w:rFonts w:ascii="Arial" w:hAnsi="Arial" w:cs="Arial"/>
          <w:sz w:val="20"/>
        </w:rPr>
        <w:t>income households with children had fallen away (ie higher inequality in 20</w:t>
      </w:r>
      <w:r>
        <w:rPr>
          <w:rFonts w:ascii="Arial" w:hAnsi="Arial" w:cs="Arial"/>
          <w:sz w:val="20"/>
        </w:rPr>
        <w:t>10</w:t>
      </w:r>
      <w:r w:rsidR="000370BC" w:rsidRPr="000370BC">
        <w:rPr>
          <w:rFonts w:ascii="Arial" w:hAnsi="Arial" w:cs="Arial"/>
          <w:sz w:val="20"/>
        </w:rPr>
        <w:t xml:space="preserve"> than in the early 1980s)</w:t>
      </w:r>
      <w:r>
        <w:rPr>
          <w:rFonts w:ascii="Arial" w:hAnsi="Arial" w:cs="Arial"/>
          <w:sz w:val="20"/>
        </w:rPr>
        <w:t>.</w:t>
      </w:r>
    </w:p>
    <w:p w14:paraId="4CAA7192" w14:textId="77777777" w:rsidR="000370BC" w:rsidRPr="000370BC" w:rsidRDefault="000370BC" w:rsidP="000370BC">
      <w:pPr>
        <w:spacing w:before="120"/>
        <w:ind w:left="720"/>
        <w:jc w:val="both"/>
        <w:rPr>
          <w:rFonts w:ascii="Arial" w:hAnsi="Arial" w:cs="Arial"/>
        </w:rPr>
      </w:pPr>
    </w:p>
    <w:p w14:paraId="41D3D97D" w14:textId="77777777" w:rsidR="000370BC" w:rsidRPr="000370BC" w:rsidRDefault="000370BC" w:rsidP="000370BC">
      <w:pPr>
        <w:jc w:val="center"/>
        <w:rPr>
          <w:rFonts w:ascii="Arial" w:hAnsi="Arial" w:cs="Arial"/>
          <w:b/>
          <w:sz w:val="18"/>
          <w:szCs w:val="18"/>
        </w:rPr>
      </w:pPr>
      <w:r w:rsidRPr="000370BC">
        <w:rPr>
          <w:rFonts w:ascii="Arial" w:hAnsi="Arial" w:cs="Arial"/>
          <w:b/>
          <w:sz w:val="18"/>
          <w:szCs w:val="18"/>
        </w:rPr>
        <w:t xml:space="preserve">Table S.2: </w:t>
      </w:r>
    </w:p>
    <w:p w14:paraId="774B5604" w14:textId="77777777" w:rsidR="000370BC" w:rsidRPr="000370BC" w:rsidRDefault="000370BC" w:rsidP="000370BC">
      <w:pPr>
        <w:spacing w:after="120"/>
        <w:jc w:val="center"/>
        <w:rPr>
          <w:rFonts w:ascii="Arial" w:hAnsi="Arial" w:cs="Arial"/>
          <w:sz w:val="18"/>
          <w:szCs w:val="18"/>
        </w:rPr>
      </w:pPr>
      <w:r w:rsidRPr="000370BC">
        <w:rPr>
          <w:rFonts w:ascii="Arial" w:hAnsi="Arial" w:cs="Arial"/>
          <w:b/>
          <w:sz w:val="18"/>
          <w:szCs w:val="18"/>
        </w:rPr>
        <w:t>Child poverty rates (%) on four measures</w:t>
      </w:r>
    </w:p>
    <w:tbl>
      <w:tblPr>
        <w:tblStyle w:val="TableGrid"/>
        <w:tblW w:w="0" w:type="auto"/>
        <w:jc w:val="center"/>
        <w:tblLook w:val="01E0" w:firstRow="1" w:lastRow="1" w:firstColumn="1" w:lastColumn="1" w:noHBand="0" w:noVBand="0"/>
      </w:tblPr>
      <w:tblGrid>
        <w:gridCol w:w="724"/>
        <w:gridCol w:w="1289"/>
        <w:gridCol w:w="1440"/>
        <w:gridCol w:w="1440"/>
        <w:gridCol w:w="1364"/>
      </w:tblGrid>
      <w:tr w:rsidR="000370BC" w:rsidRPr="000370BC" w14:paraId="4702A752" w14:textId="77777777">
        <w:trPr>
          <w:jc w:val="center"/>
        </w:trPr>
        <w:tc>
          <w:tcPr>
            <w:tcW w:w="724" w:type="dxa"/>
            <w:vAlign w:val="center"/>
          </w:tcPr>
          <w:p w14:paraId="202FCDD8" w14:textId="77777777" w:rsidR="000370BC" w:rsidRPr="000370BC" w:rsidRDefault="000370BC" w:rsidP="000370BC">
            <w:pPr>
              <w:spacing w:before="60" w:after="60"/>
              <w:jc w:val="center"/>
              <w:rPr>
                <w:rFonts w:ascii="Arial" w:hAnsi="Arial" w:cs="Arial"/>
                <w:sz w:val="16"/>
                <w:szCs w:val="18"/>
              </w:rPr>
            </w:pPr>
          </w:p>
        </w:tc>
        <w:tc>
          <w:tcPr>
            <w:tcW w:w="4169" w:type="dxa"/>
            <w:gridSpan w:val="3"/>
            <w:vAlign w:val="center"/>
          </w:tcPr>
          <w:p w14:paraId="64F88AA5" w14:textId="77777777" w:rsidR="000370BC" w:rsidRPr="000370BC" w:rsidRDefault="000370BC" w:rsidP="000370BC">
            <w:pPr>
              <w:spacing w:before="60" w:after="60"/>
              <w:jc w:val="center"/>
              <w:rPr>
                <w:rFonts w:ascii="Arial" w:hAnsi="Arial" w:cs="Arial"/>
                <w:b/>
                <w:sz w:val="16"/>
                <w:szCs w:val="18"/>
              </w:rPr>
            </w:pPr>
            <w:r w:rsidRPr="000370BC">
              <w:rPr>
                <w:rFonts w:ascii="Arial" w:hAnsi="Arial" w:cs="Arial"/>
                <w:b/>
                <w:sz w:val="16"/>
                <w:szCs w:val="18"/>
              </w:rPr>
              <w:t>AHC</w:t>
            </w:r>
          </w:p>
        </w:tc>
        <w:tc>
          <w:tcPr>
            <w:tcW w:w="1364" w:type="dxa"/>
            <w:vAlign w:val="center"/>
          </w:tcPr>
          <w:p w14:paraId="2DEBB81B" w14:textId="77777777" w:rsidR="000370BC" w:rsidRPr="000370BC" w:rsidRDefault="000370BC" w:rsidP="000370BC">
            <w:pPr>
              <w:spacing w:before="60" w:after="60"/>
              <w:jc w:val="center"/>
              <w:rPr>
                <w:rFonts w:ascii="Arial" w:hAnsi="Arial" w:cs="Arial"/>
                <w:b/>
                <w:sz w:val="16"/>
                <w:szCs w:val="18"/>
              </w:rPr>
            </w:pPr>
            <w:r w:rsidRPr="000370BC">
              <w:rPr>
                <w:rFonts w:ascii="Arial" w:hAnsi="Arial" w:cs="Arial"/>
                <w:b/>
                <w:sz w:val="16"/>
                <w:szCs w:val="18"/>
              </w:rPr>
              <w:t>BHC</w:t>
            </w:r>
          </w:p>
        </w:tc>
      </w:tr>
      <w:tr w:rsidR="000370BC" w:rsidRPr="000370BC" w14:paraId="3AD19336" w14:textId="77777777">
        <w:trPr>
          <w:jc w:val="center"/>
        </w:trPr>
        <w:tc>
          <w:tcPr>
            <w:tcW w:w="724" w:type="dxa"/>
            <w:tcMar>
              <w:left w:w="29" w:type="dxa"/>
              <w:right w:w="29" w:type="dxa"/>
            </w:tcMar>
            <w:vAlign w:val="center"/>
          </w:tcPr>
          <w:p w14:paraId="4BD9C184" w14:textId="77777777" w:rsidR="000370BC" w:rsidRPr="000370BC" w:rsidRDefault="000370BC" w:rsidP="000370BC">
            <w:pPr>
              <w:spacing w:before="60" w:after="60"/>
              <w:jc w:val="center"/>
              <w:rPr>
                <w:rFonts w:ascii="Arial" w:hAnsi="Arial" w:cs="Arial"/>
                <w:sz w:val="16"/>
                <w:szCs w:val="18"/>
              </w:rPr>
            </w:pPr>
          </w:p>
        </w:tc>
        <w:tc>
          <w:tcPr>
            <w:tcW w:w="1289" w:type="dxa"/>
            <w:shd w:val="clear" w:color="auto" w:fill="E0E0E0"/>
            <w:tcMar>
              <w:left w:w="29" w:type="dxa"/>
              <w:right w:w="29" w:type="dxa"/>
            </w:tcMar>
            <w:vAlign w:val="center"/>
          </w:tcPr>
          <w:p w14:paraId="7BE1BECA" w14:textId="77777777" w:rsidR="000370BC" w:rsidRPr="000370BC" w:rsidRDefault="000370BC" w:rsidP="000370BC">
            <w:pPr>
              <w:spacing w:before="60" w:after="60"/>
              <w:jc w:val="center"/>
              <w:rPr>
                <w:rFonts w:ascii="Arial" w:hAnsi="Arial" w:cs="Arial"/>
                <w:sz w:val="16"/>
                <w:szCs w:val="18"/>
              </w:rPr>
            </w:pPr>
            <w:r w:rsidRPr="000370BC">
              <w:rPr>
                <w:rFonts w:ascii="Arial" w:hAnsi="Arial" w:cs="Arial"/>
                <w:sz w:val="16"/>
                <w:szCs w:val="18"/>
              </w:rPr>
              <w:t xml:space="preserve">AHC ‘fixed line’ </w:t>
            </w:r>
            <w:r w:rsidR="00A84315">
              <w:rPr>
                <w:rFonts w:ascii="Arial" w:hAnsi="Arial" w:cs="Arial"/>
                <w:sz w:val="16"/>
                <w:szCs w:val="18"/>
              </w:rPr>
              <w:t>6</w:t>
            </w:r>
            <w:r w:rsidRPr="000370BC">
              <w:rPr>
                <w:rFonts w:ascii="Arial" w:hAnsi="Arial" w:cs="Arial"/>
                <w:sz w:val="16"/>
                <w:szCs w:val="18"/>
              </w:rPr>
              <w:t>0%</w:t>
            </w:r>
          </w:p>
        </w:tc>
        <w:tc>
          <w:tcPr>
            <w:tcW w:w="1440" w:type="dxa"/>
            <w:tcMar>
              <w:left w:w="29" w:type="dxa"/>
              <w:right w:w="29" w:type="dxa"/>
            </w:tcMar>
            <w:vAlign w:val="center"/>
          </w:tcPr>
          <w:p w14:paraId="1E61436C" w14:textId="77777777" w:rsidR="000370BC" w:rsidRPr="000370BC" w:rsidRDefault="000370BC" w:rsidP="000370BC">
            <w:pPr>
              <w:spacing w:before="60" w:after="60"/>
              <w:jc w:val="center"/>
              <w:rPr>
                <w:rFonts w:ascii="Arial" w:hAnsi="Arial" w:cs="Arial"/>
                <w:sz w:val="16"/>
                <w:szCs w:val="18"/>
              </w:rPr>
            </w:pPr>
            <w:r w:rsidRPr="000370BC">
              <w:rPr>
                <w:rFonts w:ascii="Arial" w:hAnsi="Arial" w:cs="Arial"/>
                <w:sz w:val="16"/>
                <w:szCs w:val="18"/>
              </w:rPr>
              <w:t>AHC ‘</w:t>
            </w:r>
            <w:r w:rsidR="00A84315">
              <w:rPr>
                <w:rFonts w:ascii="Arial" w:hAnsi="Arial" w:cs="Arial"/>
                <w:sz w:val="16"/>
                <w:szCs w:val="18"/>
              </w:rPr>
              <w:t xml:space="preserve">moving </w:t>
            </w:r>
            <w:r w:rsidRPr="000370BC">
              <w:rPr>
                <w:rFonts w:ascii="Arial" w:hAnsi="Arial" w:cs="Arial"/>
                <w:sz w:val="16"/>
                <w:szCs w:val="18"/>
              </w:rPr>
              <w:t>line’ 60%</w:t>
            </w:r>
          </w:p>
        </w:tc>
        <w:tc>
          <w:tcPr>
            <w:tcW w:w="1440" w:type="dxa"/>
            <w:tcMar>
              <w:left w:w="29" w:type="dxa"/>
              <w:right w:w="29" w:type="dxa"/>
            </w:tcMar>
            <w:vAlign w:val="center"/>
          </w:tcPr>
          <w:p w14:paraId="1464396A" w14:textId="77777777" w:rsidR="000370BC" w:rsidRPr="000370BC" w:rsidRDefault="000370BC" w:rsidP="000370BC">
            <w:pPr>
              <w:spacing w:before="60" w:after="60"/>
              <w:jc w:val="center"/>
              <w:rPr>
                <w:rFonts w:ascii="Arial" w:hAnsi="Arial" w:cs="Arial"/>
                <w:sz w:val="16"/>
                <w:szCs w:val="18"/>
              </w:rPr>
            </w:pPr>
            <w:r w:rsidRPr="000370BC">
              <w:rPr>
                <w:rFonts w:ascii="Arial" w:hAnsi="Arial" w:cs="Arial"/>
                <w:sz w:val="16"/>
                <w:szCs w:val="18"/>
              </w:rPr>
              <w:t xml:space="preserve">AHC ‘moving line’ </w:t>
            </w:r>
            <w:r w:rsidR="00A84315">
              <w:rPr>
                <w:rFonts w:ascii="Arial" w:hAnsi="Arial" w:cs="Arial"/>
                <w:sz w:val="16"/>
                <w:szCs w:val="18"/>
              </w:rPr>
              <w:t>5</w:t>
            </w:r>
            <w:r w:rsidRPr="000370BC">
              <w:rPr>
                <w:rFonts w:ascii="Arial" w:hAnsi="Arial" w:cs="Arial"/>
                <w:sz w:val="16"/>
                <w:szCs w:val="18"/>
              </w:rPr>
              <w:t>0%</w:t>
            </w:r>
          </w:p>
        </w:tc>
        <w:tc>
          <w:tcPr>
            <w:tcW w:w="1364" w:type="dxa"/>
            <w:tcMar>
              <w:left w:w="29" w:type="dxa"/>
              <w:right w:w="29" w:type="dxa"/>
            </w:tcMar>
            <w:vAlign w:val="center"/>
          </w:tcPr>
          <w:p w14:paraId="63FB4D4E" w14:textId="77777777" w:rsidR="000370BC" w:rsidRPr="000370BC" w:rsidRDefault="000370BC" w:rsidP="000370BC">
            <w:pPr>
              <w:spacing w:before="60" w:after="60"/>
              <w:jc w:val="center"/>
              <w:rPr>
                <w:rFonts w:ascii="Arial" w:hAnsi="Arial" w:cs="Arial"/>
                <w:sz w:val="16"/>
                <w:szCs w:val="18"/>
              </w:rPr>
            </w:pPr>
            <w:r w:rsidRPr="000370BC">
              <w:rPr>
                <w:rFonts w:ascii="Arial" w:hAnsi="Arial" w:cs="Arial"/>
                <w:sz w:val="16"/>
                <w:szCs w:val="18"/>
              </w:rPr>
              <w:t>BHC ‘moving line’ 60%</w:t>
            </w:r>
          </w:p>
        </w:tc>
      </w:tr>
      <w:tr w:rsidR="00901CD3" w:rsidRPr="000370BC" w14:paraId="0A9708B3" w14:textId="77777777">
        <w:trPr>
          <w:jc w:val="center"/>
        </w:trPr>
        <w:tc>
          <w:tcPr>
            <w:tcW w:w="724" w:type="dxa"/>
            <w:vAlign w:val="center"/>
          </w:tcPr>
          <w:p w14:paraId="15094B59" w14:textId="77777777" w:rsidR="00901CD3" w:rsidRPr="000370BC" w:rsidRDefault="00901CD3" w:rsidP="000370BC">
            <w:pPr>
              <w:spacing w:before="60" w:after="60"/>
              <w:jc w:val="center"/>
              <w:rPr>
                <w:rFonts w:ascii="Arial" w:hAnsi="Arial" w:cs="Arial"/>
                <w:sz w:val="16"/>
                <w:szCs w:val="18"/>
              </w:rPr>
            </w:pPr>
            <w:r>
              <w:rPr>
                <w:rFonts w:ascii="Arial" w:hAnsi="Arial" w:cs="Arial"/>
                <w:sz w:val="16"/>
                <w:szCs w:val="18"/>
              </w:rPr>
              <w:t>1998</w:t>
            </w:r>
          </w:p>
        </w:tc>
        <w:tc>
          <w:tcPr>
            <w:tcW w:w="1289" w:type="dxa"/>
            <w:shd w:val="clear" w:color="auto" w:fill="E0E0E0"/>
            <w:vAlign w:val="center"/>
          </w:tcPr>
          <w:p w14:paraId="209C48CF" w14:textId="77777777" w:rsidR="00901CD3" w:rsidRPr="000370BC" w:rsidRDefault="00901CD3" w:rsidP="009040EC">
            <w:pPr>
              <w:spacing w:before="60" w:after="60"/>
              <w:jc w:val="center"/>
              <w:rPr>
                <w:rFonts w:ascii="Arial" w:hAnsi="Arial" w:cs="Arial"/>
                <w:sz w:val="16"/>
                <w:szCs w:val="18"/>
              </w:rPr>
            </w:pPr>
            <w:r>
              <w:rPr>
                <w:rFonts w:ascii="Arial" w:hAnsi="Arial" w:cs="Arial"/>
                <w:sz w:val="16"/>
                <w:szCs w:val="18"/>
              </w:rPr>
              <w:t>-</w:t>
            </w:r>
          </w:p>
        </w:tc>
        <w:tc>
          <w:tcPr>
            <w:tcW w:w="1440" w:type="dxa"/>
            <w:vAlign w:val="center"/>
          </w:tcPr>
          <w:p w14:paraId="26A1FEDF" w14:textId="77777777" w:rsidR="00901CD3" w:rsidRDefault="007671EA" w:rsidP="000370BC">
            <w:pPr>
              <w:spacing w:before="60" w:after="60"/>
              <w:jc w:val="center"/>
              <w:rPr>
                <w:rFonts w:ascii="Arial" w:hAnsi="Arial" w:cs="Arial"/>
                <w:sz w:val="16"/>
                <w:szCs w:val="18"/>
              </w:rPr>
            </w:pPr>
            <w:r>
              <w:rPr>
                <w:rFonts w:ascii="Arial" w:hAnsi="Arial" w:cs="Arial"/>
                <w:sz w:val="16"/>
                <w:szCs w:val="18"/>
              </w:rPr>
              <w:t>28</w:t>
            </w:r>
          </w:p>
        </w:tc>
        <w:tc>
          <w:tcPr>
            <w:tcW w:w="1440" w:type="dxa"/>
            <w:vAlign w:val="center"/>
          </w:tcPr>
          <w:p w14:paraId="2FBB8A67" w14:textId="77777777" w:rsidR="00901CD3" w:rsidRDefault="007671EA" w:rsidP="000370BC">
            <w:pPr>
              <w:spacing w:before="60" w:after="60"/>
              <w:jc w:val="center"/>
              <w:rPr>
                <w:rFonts w:ascii="Arial" w:hAnsi="Arial" w:cs="Arial"/>
                <w:sz w:val="16"/>
                <w:szCs w:val="18"/>
              </w:rPr>
            </w:pPr>
            <w:r>
              <w:rPr>
                <w:rFonts w:ascii="Arial" w:hAnsi="Arial" w:cs="Arial"/>
                <w:sz w:val="16"/>
                <w:szCs w:val="18"/>
              </w:rPr>
              <w:t>20</w:t>
            </w:r>
          </w:p>
        </w:tc>
        <w:tc>
          <w:tcPr>
            <w:tcW w:w="1364" w:type="dxa"/>
            <w:vAlign w:val="center"/>
          </w:tcPr>
          <w:p w14:paraId="48B95FA5" w14:textId="77777777" w:rsidR="00901CD3" w:rsidRPr="000370BC" w:rsidRDefault="007671EA" w:rsidP="000370BC">
            <w:pPr>
              <w:spacing w:before="60" w:after="60"/>
              <w:jc w:val="center"/>
              <w:rPr>
                <w:rFonts w:ascii="Arial" w:hAnsi="Arial" w:cs="Arial"/>
                <w:sz w:val="16"/>
                <w:szCs w:val="18"/>
              </w:rPr>
            </w:pPr>
            <w:r>
              <w:rPr>
                <w:rFonts w:ascii="Arial" w:hAnsi="Arial" w:cs="Arial"/>
                <w:sz w:val="16"/>
                <w:szCs w:val="18"/>
              </w:rPr>
              <w:t>20</w:t>
            </w:r>
          </w:p>
        </w:tc>
      </w:tr>
      <w:tr w:rsidR="00A84315" w:rsidRPr="000370BC" w14:paraId="49C1A4BD" w14:textId="77777777">
        <w:trPr>
          <w:jc w:val="center"/>
        </w:trPr>
        <w:tc>
          <w:tcPr>
            <w:tcW w:w="724" w:type="dxa"/>
            <w:vAlign w:val="center"/>
          </w:tcPr>
          <w:p w14:paraId="5F3560A4"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2001</w:t>
            </w:r>
          </w:p>
        </w:tc>
        <w:tc>
          <w:tcPr>
            <w:tcW w:w="1289" w:type="dxa"/>
            <w:shd w:val="clear" w:color="auto" w:fill="E0E0E0"/>
            <w:vAlign w:val="center"/>
          </w:tcPr>
          <w:p w14:paraId="1DC95476" w14:textId="77777777" w:rsidR="00A84315" w:rsidRPr="000370BC" w:rsidRDefault="00A84315" w:rsidP="009040EC">
            <w:pPr>
              <w:spacing w:before="60" w:after="60"/>
              <w:jc w:val="center"/>
              <w:rPr>
                <w:rFonts w:ascii="Arial" w:hAnsi="Arial" w:cs="Arial"/>
                <w:sz w:val="16"/>
                <w:szCs w:val="18"/>
              </w:rPr>
            </w:pPr>
            <w:r w:rsidRPr="000370BC">
              <w:rPr>
                <w:rFonts w:ascii="Arial" w:hAnsi="Arial" w:cs="Arial"/>
                <w:sz w:val="16"/>
                <w:szCs w:val="18"/>
              </w:rPr>
              <w:t>37</w:t>
            </w:r>
          </w:p>
        </w:tc>
        <w:tc>
          <w:tcPr>
            <w:tcW w:w="1440" w:type="dxa"/>
            <w:vAlign w:val="center"/>
          </w:tcPr>
          <w:p w14:paraId="4FBA0763"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30</w:t>
            </w:r>
          </w:p>
        </w:tc>
        <w:tc>
          <w:tcPr>
            <w:tcW w:w="1440" w:type="dxa"/>
            <w:vAlign w:val="center"/>
          </w:tcPr>
          <w:p w14:paraId="2EBA369C"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21</w:t>
            </w:r>
          </w:p>
        </w:tc>
        <w:tc>
          <w:tcPr>
            <w:tcW w:w="1364" w:type="dxa"/>
            <w:vAlign w:val="center"/>
          </w:tcPr>
          <w:p w14:paraId="38CDC9C0"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24</w:t>
            </w:r>
          </w:p>
        </w:tc>
      </w:tr>
      <w:tr w:rsidR="00A84315" w:rsidRPr="000370BC" w14:paraId="02134B4E" w14:textId="77777777">
        <w:trPr>
          <w:jc w:val="center"/>
        </w:trPr>
        <w:tc>
          <w:tcPr>
            <w:tcW w:w="724" w:type="dxa"/>
            <w:vAlign w:val="center"/>
          </w:tcPr>
          <w:p w14:paraId="24D9C645"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2004</w:t>
            </w:r>
          </w:p>
        </w:tc>
        <w:tc>
          <w:tcPr>
            <w:tcW w:w="1289" w:type="dxa"/>
            <w:shd w:val="clear" w:color="auto" w:fill="E0E0E0"/>
            <w:vAlign w:val="center"/>
          </w:tcPr>
          <w:p w14:paraId="51981637" w14:textId="77777777" w:rsidR="00A84315" w:rsidRPr="000370BC" w:rsidRDefault="00A84315" w:rsidP="009040EC">
            <w:pPr>
              <w:spacing w:before="60" w:after="60"/>
              <w:jc w:val="center"/>
              <w:rPr>
                <w:rFonts w:ascii="Arial" w:hAnsi="Arial" w:cs="Arial"/>
                <w:sz w:val="16"/>
                <w:szCs w:val="18"/>
              </w:rPr>
            </w:pPr>
            <w:r w:rsidRPr="000370BC">
              <w:rPr>
                <w:rFonts w:ascii="Arial" w:hAnsi="Arial" w:cs="Arial"/>
                <w:sz w:val="16"/>
                <w:szCs w:val="18"/>
              </w:rPr>
              <w:t>31</w:t>
            </w:r>
          </w:p>
        </w:tc>
        <w:tc>
          <w:tcPr>
            <w:tcW w:w="1440" w:type="dxa"/>
            <w:vAlign w:val="center"/>
          </w:tcPr>
          <w:p w14:paraId="52990AF4"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28</w:t>
            </w:r>
          </w:p>
        </w:tc>
        <w:tc>
          <w:tcPr>
            <w:tcW w:w="1440" w:type="dxa"/>
            <w:vAlign w:val="center"/>
          </w:tcPr>
          <w:p w14:paraId="54461DB6"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19</w:t>
            </w:r>
          </w:p>
        </w:tc>
        <w:tc>
          <w:tcPr>
            <w:tcW w:w="1364" w:type="dxa"/>
            <w:vAlign w:val="center"/>
          </w:tcPr>
          <w:p w14:paraId="20EEBE9D"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26</w:t>
            </w:r>
          </w:p>
        </w:tc>
      </w:tr>
      <w:tr w:rsidR="00A84315" w:rsidRPr="000370BC" w14:paraId="1C5E0988" w14:textId="77777777">
        <w:trPr>
          <w:jc w:val="center"/>
        </w:trPr>
        <w:tc>
          <w:tcPr>
            <w:tcW w:w="724" w:type="dxa"/>
            <w:vAlign w:val="center"/>
          </w:tcPr>
          <w:p w14:paraId="393CA0A4"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2007</w:t>
            </w:r>
          </w:p>
        </w:tc>
        <w:tc>
          <w:tcPr>
            <w:tcW w:w="1289" w:type="dxa"/>
            <w:shd w:val="clear" w:color="auto" w:fill="E0E0E0"/>
            <w:vAlign w:val="center"/>
          </w:tcPr>
          <w:p w14:paraId="65EB7AFC" w14:textId="77777777" w:rsidR="00A84315" w:rsidRPr="000370BC" w:rsidRDefault="00A84315" w:rsidP="009040EC">
            <w:pPr>
              <w:spacing w:before="60" w:after="60"/>
              <w:jc w:val="center"/>
              <w:rPr>
                <w:rFonts w:ascii="Arial" w:hAnsi="Arial" w:cs="Arial"/>
                <w:sz w:val="16"/>
                <w:szCs w:val="18"/>
              </w:rPr>
            </w:pPr>
            <w:r w:rsidRPr="000370BC">
              <w:rPr>
                <w:rFonts w:ascii="Arial" w:hAnsi="Arial" w:cs="Arial"/>
                <w:sz w:val="16"/>
                <w:szCs w:val="18"/>
              </w:rPr>
              <w:t>22</w:t>
            </w:r>
          </w:p>
        </w:tc>
        <w:tc>
          <w:tcPr>
            <w:tcW w:w="1440" w:type="dxa"/>
            <w:vAlign w:val="center"/>
          </w:tcPr>
          <w:p w14:paraId="15DA0A5D"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22</w:t>
            </w:r>
          </w:p>
        </w:tc>
        <w:tc>
          <w:tcPr>
            <w:tcW w:w="1440" w:type="dxa"/>
            <w:vAlign w:val="center"/>
          </w:tcPr>
          <w:p w14:paraId="68CC4C14"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16</w:t>
            </w:r>
          </w:p>
        </w:tc>
        <w:tc>
          <w:tcPr>
            <w:tcW w:w="1364" w:type="dxa"/>
            <w:vAlign w:val="center"/>
          </w:tcPr>
          <w:p w14:paraId="008F813F"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20</w:t>
            </w:r>
          </w:p>
        </w:tc>
      </w:tr>
      <w:tr w:rsidR="00A84315" w:rsidRPr="000370BC" w14:paraId="430E8634" w14:textId="77777777">
        <w:trPr>
          <w:jc w:val="center"/>
        </w:trPr>
        <w:tc>
          <w:tcPr>
            <w:tcW w:w="724" w:type="dxa"/>
            <w:vAlign w:val="center"/>
          </w:tcPr>
          <w:p w14:paraId="5EA0705C"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2009</w:t>
            </w:r>
          </w:p>
        </w:tc>
        <w:tc>
          <w:tcPr>
            <w:tcW w:w="1289" w:type="dxa"/>
            <w:shd w:val="clear" w:color="auto" w:fill="E0E0E0"/>
            <w:vAlign w:val="center"/>
          </w:tcPr>
          <w:p w14:paraId="4C03697A" w14:textId="77777777" w:rsidR="00A84315" w:rsidRPr="000370BC" w:rsidRDefault="00A84315" w:rsidP="009040EC">
            <w:pPr>
              <w:spacing w:before="60" w:after="60"/>
              <w:jc w:val="center"/>
              <w:rPr>
                <w:rFonts w:ascii="Arial" w:hAnsi="Arial" w:cs="Arial"/>
                <w:sz w:val="16"/>
                <w:szCs w:val="18"/>
              </w:rPr>
            </w:pPr>
            <w:r w:rsidRPr="000370BC">
              <w:rPr>
                <w:rFonts w:ascii="Arial" w:hAnsi="Arial" w:cs="Arial"/>
                <w:sz w:val="16"/>
                <w:szCs w:val="18"/>
              </w:rPr>
              <w:t>22</w:t>
            </w:r>
          </w:p>
        </w:tc>
        <w:tc>
          <w:tcPr>
            <w:tcW w:w="1440" w:type="dxa"/>
            <w:vAlign w:val="center"/>
          </w:tcPr>
          <w:p w14:paraId="39F24CA1"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25</w:t>
            </w:r>
          </w:p>
        </w:tc>
        <w:tc>
          <w:tcPr>
            <w:tcW w:w="1440" w:type="dxa"/>
            <w:vAlign w:val="center"/>
          </w:tcPr>
          <w:p w14:paraId="1F729821"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18</w:t>
            </w:r>
          </w:p>
        </w:tc>
        <w:tc>
          <w:tcPr>
            <w:tcW w:w="1364" w:type="dxa"/>
            <w:vAlign w:val="center"/>
          </w:tcPr>
          <w:p w14:paraId="0A42E316" w14:textId="77777777" w:rsidR="00A84315" w:rsidRPr="000370BC" w:rsidRDefault="00A84315" w:rsidP="000370BC">
            <w:pPr>
              <w:spacing w:before="60" w:after="60"/>
              <w:jc w:val="center"/>
              <w:rPr>
                <w:rFonts w:ascii="Arial" w:hAnsi="Arial" w:cs="Arial"/>
                <w:sz w:val="16"/>
                <w:szCs w:val="18"/>
              </w:rPr>
            </w:pPr>
            <w:r w:rsidRPr="000370BC">
              <w:rPr>
                <w:rFonts w:ascii="Arial" w:hAnsi="Arial" w:cs="Arial"/>
                <w:sz w:val="16"/>
                <w:szCs w:val="18"/>
              </w:rPr>
              <w:t>19</w:t>
            </w:r>
          </w:p>
        </w:tc>
      </w:tr>
      <w:tr w:rsidR="00A84315" w:rsidRPr="000370BC" w14:paraId="1BDE9A59" w14:textId="77777777">
        <w:trPr>
          <w:jc w:val="center"/>
        </w:trPr>
        <w:tc>
          <w:tcPr>
            <w:tcW w:w="724" w:type="dxa"/>
            <w:vAlign w:val="center"/>
          </w:tcPr>
          <w:p w14:paraId="1F3F501C"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2010</w:t>
            </w:r>
          </w:p>
        </w:tc>
        <w:tc>
          <w:tcPr>
            <w:tcW w:w="1289" w:type="dxa"/>
            <w:shd w:val="clear" w:color="auto" w:fill="E0E0E0"/>
            <w:vAlign w:val="center"/>
          </w:tcPr>
          <w:p w14:paraId="5AF10621" w14:textId="77777777" w:rsidR="00A84315" w:rsidRPr="000370BC" w:rsidRDefault="00A84315" w:rsidP="009040EC">
            <w:pPr>
              <w:spacing w:before="60" w:after="60"/>
              <w:jc w:val="center"/>
              <w:rPr>
                <w:rFonts w:ascii="Arial" w:hAnsi="Arial" w:cs="Arial"/>
                <w:sz w:val="16"/>
                <w:szCs w:val="18"/>
              </w:rPr>
            </w:pPr>
            <w:r>
              <w:rPr>
                <w:rFonts w:ascii="Arial" w:hAnsi="Arial" w:cs="Arial"/>
                <w:sz w:val="16"/>
                <w:szCs w:val="18"/>
              </w:rPr>
              <w:t>22</w:t>
            </w:r>
          </w:p>
        </w:tc>
        <w:tc>
          <w:tcPr>
            <w:tcW w:w="1440" w:type="dxa"/>
            <w:vAlign w:val="center"/>
          </w:tcPr>
          <w:p w14:paraId="6B851686"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25</w:t>
            </w:r>
          </w:p>
        </w:tc>
        <w:tc>
          <w:tcPr>
            <w:tcW w:w="1440" w:type="dxa"/>
            <w:vAlign w:val="center"/>
          </w:tcPr>
          <w:p w14:paraId="6BBDFA27"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16</w:t>
            </w:r>
          </w:p>
        </w:tc>
        <w:tc>
          <w:tcPr>
            <w:tcW w:w="1364" w:type="dxa"/>
            <w:vAlign w:val="center"/>
          </w:tcPr>
          <w:p w14:paraId="7232A486" w14:textId="77777777" w:rsidR="00A84315" w:rsidRPr="000370BC" w:rsidRDefault="00A84315" w:rsidP="000370BC">
            <w:pPr>
              <w:spacing w:before="60" w:after="60"/>
              <w:jc w:val="center"/>
              <w:rPr>
                <w:rFonts w:ascii="Arial" w:hAnsi="Arial" w:cs="Arial"/>
                <w:sz w:val="16"/>
                <w:szCs w:val="18"/>
              </w:rPr>
            </w:pPr>
            <w:r>
              <w:rPr>
                <w:rFonts w:ascii="Arial" w:hAnsi="Arial" w:cs="Arial"/>
                <w:sz w:val="16"/>
                <w:szCs w:val="18"/>
              </w:rPr>
              <w:t>20</w:t>
            </w:r>
          </w:p>
        </w:tc>
      </w:tr>
    </w:tbl>
    <w:p w14:paraId="45D410F0" w14:textId="77777777" w:rsidR="002F2E8B" w:rsidRDefault="000370BC" w:rsidP="00903F44">
      <w:pPr>
        <w:tabs>
          <w:tab w:val="left" w:pos="1980"/>
        </w:tabs>
        <w:spacing w:before="120"/>
        <w:ind w:left="2340" w:right="1109" w:hanging="990"/>
        <w:jc w:val="both"/>
        <w:rPr>
          <w:rFonts w:ascii="Arial" w:hAnsi="Arial" w:cs="Arial"/>
          <w:sz w:val="18"/>
          <w:szCs w:val="18"/>
        </w:rPr>
      </w:pPr>
      <w:r w:rsidRPr="000370BC">
        <w:rPr>
          <w:rFonts w:ascii="Arial" w:hAnsi="Arial" w:cs="Arial"/>
          <w:sz w:val="18"/>
          <w:szCs w:val="18"/>
        </w:rPr>
        <w:t xml:space="preserve">Notes: </w:t>
      </w:r>
      <w:r w:rsidRPr="000370BC">
        <w:rPr>
          <w:rFonts w:ascii="Arial" w:hAnsi="Arial" w:cs="Arial"/>
          <w:sz w:val="18"/>
          <w:szCs w:val="18"/>
        </w:rPr>
        <w:tab/>
      </w:r>
      <w:r w:rsidR="002F2E8B" w:rsidRPr="000370BC">
        <w:rPr>
          <w:rFonts w:ascii="Arial" w:hAnsi="Arial" w:cs="Arial"/>
          <w:sz w:val="18"/>
          <w:szCs w:val="18"/>
        </w:rPr>
        <w:t xml:space="preserve">(1) </w:t>
      </w:r>
      <w:r w:rsidR="002F2E8B" w:rsidRPr="000370BC">
        <w:rPr>
          <w:rFonts w:ascii="Arial" w:hAnsi="Arial" w:cs="Arial"/>
          <w:sz w:val="18"/>
          <w:szCs w:val="18"/>
        </w:rPr>
        <w:tab/>
      </w:r>
      <w:r w:rsidR="002F2E8B">
        <w:rPr>
          <w:rFonts w:ascii="Arial" w:hAnsi="Arial" w:cs="Arial"/>
          <w:sz w:val="18"/>
          <w:szCs w:val="18"/>
        </w:rPr>
        <w:t>The reference year for the fixed line figures is 2007.</w:t>
      </w:r>
      <w:r w:rsidR="002F2E8B" w:rsidRPr="000370BC">
        <w:rPr>
          <w:rFonts w:ascii="Arial" w:hAnsi="Arial" w:cs="Arial"/>
          <w:sz w:val="18"/>
          <w:szCs w:val="18"/>
        </w:rPr>
        <w:t xml:space="preserve"> </w:t>
      </w:r>
    </w:p>
    <w:p w14:paraId="739AA166" w14:textId="77777777" w:rsidR="000370BC" w:rsidRPr="000370BC" w:rsidRDefault="002F2E8B" w:rsidP="002F2E8B">
      <w:pPr>
        <w:tabs>
          <w:tab w:val="left" w:pos="1980"/>
        </w:tabs>
        <w:spacing w:before="60"/>
        <w:ind w:left="2348" w:right="1109" w:hanging="994"/>
        <w:jc w:val="both"/>
        <w:rPr>
          <w:rFonts w:ascii="Arial" w:hAnsi="Arial" w:cs="Arial"/>
          <w:sz w:val="18"/>
          <w:szCs w:val="18"/>
        </w:rPr>
      </w:pPr>
      <w:r>
        <w:rPr>
          <w:rFonts w:ascii="Arial" w:hAnsi="Arial" w:cs="Arial"/>
          <w:sz w:val="18"/>
          <w:szCs w:val="18"/>
        </w:rPr>
        <w:tab/>
      </w:r>
      <w:r w:rsidR="000370BC" w:rsidRPr="000370BC">
        <w:rPr>
          <w:rFonts w:ascii="Arial" w:hAnsi="Arial" w:cs="Arial"/>
          <w:sz w:val="18"/>
          <w:szCs w:val="18"/>
        </w:rPr>
        <w:t>(</w:t>
      </w:r>
      <w:r>
        <w:rPr>
          <w:rFonts w:ascii="Arial" w:hAnsi="Arial" w:cs="Arial"/>
          <w:sz w:val="18"/>
          <w:szCs w:val="18"/>
        </w:rPr>
        <w:t>2</w:t>
      </w:r>
      <w:r w:rsidR="000370BC" w:rsidRPr="000370BC">
        <w:rPr>
          <w:rFonts w:ascii="Arial" w:hAnsi="Arial" w:cs="Arial"/>
          <w:sz w:val="18"/>
          <w:szCs w:val="18"/>
        </w:rPr>
        <w:t xml:space="preserve">) </w:t>
      </w:r>
      <w:r w:rsidR="000370BC" w:rsidRPr="000370BC">
        <w:rPr>
          <w:rFonts w:ascii="Arial" w:hAnsi="Arial" w:cs="Arial"/>
          <w:sz w:val="18"/>
          <w:szCs w:val="18"/>
        </w:rPr>
        <w:tab/>
        <w:t>The BHC 60% moving line measure is the one used by the EU – the median EU child poverty rate in 2008 was 20% on this measure</w:t>
      </w:r>
      <w:r w:rsidR="00903F44">
        <w:rPr>
          <w:rFonts w:ascii="Arial" w:hAnsi="Arial" w:cs="Arial"/>
          <w:sz w:val="18"/>
          <w:szCs w:val="18"/>
        </w:rPr>
        <w:t>.</w:t>
      </w:r>
    </w:p>
    <w:p w14:paraId="0E2EBA92" w14:textId="77777777" w:rsidR="000370BC" w:rsidRPr="000370BC" w:rsidRDefault="000370BC" w:rsidP="002F2E8B">
      <w:pPr>
        <w:tabs>
          <w:tab w:val="left" w:pos="1980"/>
        </w:tabs>
        <w:spacing w:before="60"/>
        <w:ind w:left="2348" w:right="1109" w:hanging="994"/>
        <w:jc w:val="both"/>
        <w:rPr>
          <w:rFonts w:ascii="Arial" w:hAnsi="Arial" w:cs="Arial"/>
          <w:sz w:val="18"/>
          <w:szCs w:val="18"/>
        </w:rPr>
      </w:pPr>
      <w:r w:rsidRPr="000370BC">
        <w:rPr>
          <w:rFonts w:ascii="Arial" w:hAnsi="Arial" w:cs="Arial"/>
          <w:sz w:val="18"/>
          <w:szCs w:val="18"/>
        </w:rPr>
        <w:tab/>
        <w:t>(2)</w:t>
      </w:r>
      <w:r w:rsidRPr="000370BC">
        <w:rPr>
          <w:rFonts w:ascii="Arial" w:hAnsi="Arial" w:cs="Arial"/>
          <w:sz w:val="18"/>
          <w:szCs w:val="18"/>
        </w:rPr>
        <w:tab/>
        <w:t>The rising rate from 1998 to 2004 on the BHC measure reflects the fact that median household income increased much more rapidly than low incomes did in the period – without WFF the child poverty rate on this measure would have continued to climb to around 30% by 2009</w:t>
      </w:r>
      <w:r w:rsidR="00903F44">
        <w:rPr>
          <w:rFonts w:ascii="Arial" w:hAnsi="Arial" w:cs="Arial"/>
          <w:sz w:val="18"/>
          <w:szCs w:val="18"/>
        </w:rPr>
        <w:t>.</w:t>
      </w:r>
    </w:p>
    <w:p w14:paraId="31B837E6" w14:textId="77777777" w:rsidR="000370BC" w:rsidRPr="000370BC" w:rsidRDefault="000370BC" w:rsidP="000370BC">
      <w:pPr>
        <w:spacing w:before="120"/>
        <w:ind w:left="720"/>
        <w:jc w:val="both"/>
        <w:rPr>
          <w:rFonts w:ascii="Arial" w:hAnsi="Arial" w:cs="Arial"/>
        </w:rPr>
      </w:pPr>
    </w:p>
    <w:p w14:paraId="034549A0" w14:textId="77777777" w:rsidR="000370BC" w:rsidRPr="000370BC" w:rsidRDefault="001D5F91"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In</w:t>
      </w:r>
      <w:r w:rsidR="000370BC" w:rsidRPr="000370BC">
        <w:rPr>
          <w:rFonts w:ascii="Arial" w:hAnsi="Arial" w:cs="Arial"/>
          <w:sz w:val="20"/>
        </w:rPr>
        <w:t xml:space="preserve"> 20</w:t>
      </w:r>
      <w:r>
        <w:rPr>
          <w:rFonts w:ascii="Arial" w:hAnsi="Arial" w:cs="Arial"/>
          <w:sz w:val="20"/>
        </w:rPr>
        <w:t>10</w:t>
      </w:r>
      <w:r w:rsidR="000370BC" w:rsidRPr="000370BC">
        <w:rPr>
          <w:rFonts w:ascii="Arial" w:hAnsi="Arial" w:cs="Arial"/>
          <w:sz w:val="20"/>
        </w:rPr>
        <w:t xml:space="preserve">, there were 1.07m dependent children (under 18) </w:t>
      </w:r>
      <w:r w:rsidRPr="000370BC">
        <w:rPr>
          <w:rFonts w:ascii="Arial" w:hAnsi="Arial" w:cs="Arial"/>
          <w:sz w:val="20"/>
        </w:rPr>
        <w:t>–</w:t>
      </w:r>
      <w:r w:rsidR="000370BC" w:rsidRPr="000370BC">
        <w:rPr>
          <w:rFonts w:ascii="Arial" w:hAnsi="Arial" w:cs="Arial"/>
          <w:sz w:val="20"/>
        </w:rPr>
        <w:t xml:space="preserve"> on the measures in Table S.2, between 170,000 and 270,000 children were in households with incomes below the low-income thresholds (ie ‘in poverty’)</w:t>
      </w:r>
      <w:r>
        <w:rPr>
          <w:rFonts w:ascii="Arial" w:hAnsi="Arial" w:cs="Arial"/>
          <w:sz w:val="20"/>
        </w:rPr>
        <w:t>.</w:t>
      </w:r>
    </w:p>
    <w:p w14:paraId="14263527" w14:textId="77777777" w:rsidR="000370BC" w:rsidRPr="000370BC" w:rsidRDefault="001D5F91" w:rsidP="00E82900">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In</w:t>
      </w:r>
      <w:r w:rsidR="000370BC" w:rsidRPr="000370BC">
        <w:rPr>
          <w:rFonts w:ascii="Arial" w:hAnsi="Arial" w:cs="Arial"/>
          <w:sz w:val="20"/>
        </w:rPr>
        <w:t xml:space="preserve"> 20</w:t>
      </w:r>
      <w:r>
        <w:rPr>
          <w:rFonts w:ascii="Arial" w:hAnsi="Arial" w:cs="Arial"/>
          <w:sz w:val="20"/>
        </w:rPr>
        <w:t>10</w:t>
      </w:r>
      <w:r w:rsidR="000370BC" w:rsidRPr="000370BC">
        <w:rPr>
          <w:rFonts w:ascii="Arial" w:hAnsi="Arial" w:cs="Arial"/>
          <w:sz w:val="20"/>
        </w:rPr>
        <w:t>, on the Social Report measure (AHC ‘fixed line’ 60%), there were 230,000 (22%)</w:t>
      </w:r>
      <w:r w:rsidR="008930EE">
        <w:rPr>
          <w:rFonts w:ascii="Arial" w:hAnsi="Arial" w:cs="Arial"/>
          <w:sz w:val="20"/>
        </w:rPr>
        <w:t xml:space="preserve"> children in households</w:t>
      </w:r>
      <w:r w:rsidR="000370BC" w:rsidRPr="000370BC">
        <w:rPr>
          <w:rFonts w:ascii="Arial" w:hAnsi="Arial" w:cs="Arial"/>
          <w:sz w:val="20"/>
        </w:rPr>
        <w:t xml:space="preserve"> below the low-income threshold (ie ‘in poverty’), down from 380,000 (37%) in 2001. </w:t>
      </w:r>
    </w:p>
    <w:p w14:paraId="18D1CB3A" w14:textId="77777777" w:rsidR="000370BC" w:rsidRPr="000370BC" w:rsidRDefault="000370BC" w:rsidP="000370BC">
      <w:pPr>
        <w:spacing w:before="120"/>
        <w:ind w:left="720"/>
        <w:jc w:val="both"/>
        <w:rPr>
          <w:rFonts w:ascii="Arial" w:hAnsi="Arial" w:cs="Arial"/>
        </w:rPr>
      </w:pPr>
    </w:p>
    <w:p w14:paraId="436E2113" w14:textId="77777777" w:rsidR="000370BC" w:rsidRPr="000370BC" w:rsidRDefault="000370BC" w:rsidP="000370BC">
      <w:pPr>
        <w:spacing w:before="120"/>
        <w:ind w:left="720"/>
        <w:jc w:val="both"/>
        <w:rPr>
          <w:rFonts w:ascii="Arial" w:hAnsi="Arial" w:cs="Arial"/>
        </w:rPr>
      </w:pPr>
    </w:p>
    <w:p w14:paraId="72F7A7CC" w14:textId="77777777" w:rsidR="000370BC" w:rsidRPr="000370BC" w:rsidRDefault="000370BC" w:rsidP="000370BC">
      <w:pPr>
        <w:spacing w:before="120"/>
        <w:ind w:left="720"/>
        <w:jc w:val="both"/>
        <w:rPr>
          <w:rFonts w:ascii="Arial" w:hAnsi="Arial" w:cs="Arial"/>
        </w:rPr>
      </w:pPr>
    </w:p>
    <w:p w14:paraId="21ED2B68" w14:textId="77777777" w:rsidR="00585611" w:rsidRDefault="000370BC" w:rsidP="000370BC">
      <w:pPr>
        <w:spacing w:before="120"/>
        <w:ind w:left="360" w:hanging="360"/>
        <w:jc w:val="both"/>
        <w:rPr>
          <w:rFonts w:ascii="Arial" w:hAnsi="Arial" w:cs="Arial"/>
          <w:b/>
          <w:sz w:val="20"/>
        </w:rPr>
      </w:pPr>
      <w:r w:rsidRPr="000370BC">
        <w:rPr>
          <w:rFonts w:ascii="Arial" w:hAnsi="Arial" w:cs="Arial"/>
        </w:rPr>
        <w:br w:type="page"/>
      </w:r>
      <w:r w:rsidR="006D3CFC">
        <w:rPr>
          <w:rFonts w:ascii="Arial" w:hAnsi="Arial" w:cs="Arial"/>
          <w:b/>
          <w:sz w:val="20"/>
        </w:rPr>
        <w:lastRenderedPageBreak/>
        <w:t>7</w:t>
      </w:r>
      <w:r w:rsidRPr="000370BC">
        <w:rPr>
          <w:rFonts w:ascii="Arial" w:hAnsi="Arial" w:cs="Arial"/>
          <w:b/>
          <w:sz w:val="20"/>
        </w:rPr>
        <w:tab/>
      </w:r>
      <w:r w:rsidR="00585611">
        <w:rPr>
          <w:rFonts w:ascii="Arial" w:hAnsi="Arial" w:cs="Arial"/>
          <w:b/>
          <w:sz w:val="20"/>
        </w:rPr>
        <w:t xml:space="preserve">Poverty rates for children in </w:t>
      </w:r>
      <w:r w:rsidR="008C70C9">
        <w:rPr>
          <w:rFonts w:ascii="Arial" w:hAnsi="Arial" w:cs="Arial"/>
          <w:b/>
          <w:sz w:val="20"/>
        </w:rPr>
        <w:t>beneficiary</w:t>
      </w:r>
      <w:r w:rsidR="002A4493">
        <w:rPr>
          <w:rFonts w:ascii="Arial" w:hAnsi="Arial" w:cs="Arial"/>
          <w:b/>
          <w:sz w:val="20"/>
        </w:rPr>
        <w:t xml:space="preserve"> families</w:t>
      </w:r>
      <w:r w:rsidR="00585611">
        <w:rPr>
          <w:rFonts w:ascii="Arial" w:hAnsi="Arial" w:cs="Arial"/>
          <w:b/>
          <w:sz w:val="20"/>
        </w:rPr>
        <w:t xml:space="preserve"> are </w:t>
      </w:r>
      <w:r w:rsidR="002A4493">
        <w:rPr>
          <w:rFonts w:ascii="Arial" w:hAnsi="Arial" w:cs="Arial"/>
          <w:b/>
          <w:sz w:val="20"/>
        </w:rPr>
        <w:t>consistently around 70%, much higher than for children in families with at least one adult in full-time employment (11% in 2010)</w:t>
      </w:r>
    </w:p>
    <w:p w14:paraId="22A6F6A5" w14:textId="77777777" w:rsidR="002A4493" w:rsidRDefault="00585611" w:rsidP="00585611">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Since the benefit cuts in 1991, aroun</w:t>
      </w:r>
      <w:r w:rsidR="008C70C9">
        <w:rPr>
          <w:rFonts w:ascii="Arial" w:hAnsi="Arial" w:cs="Arial"/>
          <w:sz w:val="20"/>
        </w:rPr>
        <w:t xml:space="preserve">d 70 to </w:t>
      </w:r>
      <w:r>
        <w:rPr>
          <w:rFonts w:ascii="Arial" w:hAnsi="Arial" w:cs="Arial"/>
          <w:sz w:val="20"/>
        </w:rPr>
        <w:t xml:space="preserve">80% of children </w:t>
      </w:r>
      <w:r w:rsidR="002A4493">
        <w:rPr>
          <w:rFonts w:ascii="Arial" w:hAnsi="Arial" w:cs="Arial"/>
          <w:sz w:val="20"/>
        </w:rPr>
        <w:t xml:space="preserve">in </w:t>
      </w:r>
      <w:r w:rsidR="008C70C9">
        <w:rPr>
          <w:rFonts w:ascii="Arial" w:hAnsi="Arial" w:cs="Arial"/>
          <w:sz w:val="20"/>
        </w:rPr>
        <w:t>beneficiary families</w:t>
      </w:r>
      <w:r w:rsidR="002A4493">
        <w:rPr>
          <w:rFonts w:ascii="Arial" w:hAnsi="Arial" w:cs="Arial"/>
          <w:sz w:val="20"/>
        </w:rPr>
        <w:t xml:space="preserve"> </w:t>
      </w:r>
      <w:r>
        <w:rPr>
          <w:rFonts w:ascii="Arial" w:hAnsi="Arial" w:cs="Arial"/>
          <w:sz w:val="20"/>
        </w:rPr>
        <w:t>have been identified as ‘poor’ in each HES.</w:t>
      </w:r>
      <w:r w:rsidR="002A4493">
        <w:rPr>
          <w:rFonts w:ascii="Arial" w:hAnsi="Arial" w:cs="Arial"/>
          <w:sz w:val="20"/>
        </w:rPr>
        <w:t xml:space="preserve">   The figure was close to 70% for 2004 to 2009.</w:t>
      </w:r>
    </w:p>
    <w:p w14:paraId="7A50E4D1" w14:textId="77777777" w:rsidR="00F32B9D" w:rsidRDefault="00F32B9D" w:rsidP="00F32B9D">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For beneficiary families with children, AHC incomes from main benefits, the Family Tax Credit and the Accommodation Supplement are almost always below the AHC 60% fixed line threshold.   </w:t>
      </w:r>
    </w:p>
    <w:p w14:paraId="0C670DB4" w14:textId="77777777" w:rsidR="00F32B9D" w:rsidRPr="00F32B9D" w:rsidRDefault="00F32B9D" w:rsidP="00F32B9D">
      <w:pPr>
        <w:numPr>
          <w:ilvl w:val="0"/>
          <w:numId w:val="1"/>
        </w:numPr>
        <w:tabs>
          <w:tab w:val="clear" w:pos="720"/>
          <w:tab w:val="num" w:pos="900"/>
        </w:tabs>
        <w:spacing w:before="120"/>
        <w:ind w:left="900"/>
        <w:jc w:val="both"/>
        <w:rPr>
          <w:rFonts w:ascii="Arial" w:hAnsi="Arial" w:cs="Arial"/>
          <w:b/>
          <w:sz w:val="20"/>
        </w:rPr>
      </w:pPr>
      <w:r>
        <w:rPr>
          <w:rFonts w:ascii="Arial" w:hAnsi="Arial" w:cs="Arial"/>
          <w:sz w:val="20"/>
        </w:rPr>
        <w:t xml:space="preserve">Why is the reported poverty rate for beneficiary children not therefore 100%?  There are typically 20 to 30% of beneficiary children living in households in which over the 12 months before the HES interview there is market income as well, either from their parent(s) or from other employed adults. </w:t>
      </w:r>
    </w:p>
    <w:p w14:paraId="68857BE5" w14:textId="77777777" w:rsidR="002A4493" w:rsidRDefault="002A4493" w:rsidP="00585611">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In 2010, the poverty rate for children in workless families fell to 58%.  This is </w:t>
      </w:r>
      <w:r w:rsidRPr="00BE1358">
        <w:rPr>
          <w:rFonts w:ascii="Arial" w:hAnsi="Arial" w:cs="Arial"/>
          <w:sz w:val="20"/>
        </w:rPr>
        <w:t>likely to reflect the fact that many of the ‘new’ beneficiaries</w:t>
      </w:r>
      <w:r>
        <w:rPr>
          <w:rFonts w:ascii="Arial" w:hAnsi="Arial" w:cs="Arial"/>
          <w:sz w:val="20"/>
        </w:rPr>
        <w:t xml:space="preserve"> in HES 2010</w:t>
      </w:r>
      <w:r w:rsidRPr="00BE1358">
        <w:rPr>
          <w:rFonts w:ascii="Arial" w:hAnsi="Arial" w:cs="Arial"/>
          <w:sz w:val="20"/>
        </w:rPr>
        <w:t xml:space="preserve"> came from employment</w:t>
      </w:r>
      <w:r>
        <w:rPr>
          <w:rFonts w:ascii="Arial" w:hAnsi="Arial" w:cs="Arial"/>
          <w:sz w:val="20"/>
        </w:rPr>
        <w:t>.</w:t>
      </w:r>
      <w:r w:rsidRPr="00BE1358">
        <w:rPr>
          <w:rFonts w:ascii="Arial" w:hAnsi="Arial" w:cs="Arial"/>
          <w:sz w:val="20"/>
        </w:rPr>
        <w:t xml:space="preserve"> </w:t>
      </w:r>
      <w:r>
        <w:rPr>
          <w:rFonts w:ascii="Arial" w:hAnsi="Arial" w:cs="Arial"/>
          <w:sz w:val="20"/>
        </w:rPr>
        <w:t>Although</w:t>
      </w:r>
      <w:r w:rsidRPr="00BE1358">
        <w:rPr>
          <w:rFonts w:ascii="Arial" w:hAnsi="Arial" w:cs="Arial"/>
          <w:sz w:val="20"/>
        </w:rPr>
        <w:t xml:space="preserve"> identified as ‘workless’ </w:t>
      </w:r>
      <w:r>
        <w:rPr>
          <w:rFonts w:ascii="Arial" w:hAnsi="Arial" w:cs="Arial"/>
          <w:sz w:val="20"/>
        </w:rPr>
        <w:t xml:space="preserve">or ‘on benefit’ </w:t>
      </w:r>
      <w:r w:rsidRPr="00BE1358">
        <w:rPr>
          <w:rFonts w:ascii="Arial" w:hAnsi="Arial" w:cs="Arial"/>
          <w:sz w:val="20"/>
        </w:rPr>
        <w:t>at the time of interview</w:t>
      </w:r>
      <w:r>
        <w:rPr>
          <w:rFonts w:ascii="Arial" w:hAnsi="Arial" w:cs="Arial"/>
          <w:sz w:val="20"/>
        </w:rPr>
        <w:t>, they</w:t>
      </w:r>
      <w:r w:rsidRPr="00BE1358">
        <w:rPr>
          <w:rFonts w:ascii="Arial" w:hAnsi="Arial" w:cs="Arial"/>
          <w:sz w:val="20"/>
        </w:rPr>
        <w:t xml:space="preserve"> still had sufficient income in the 12 months prior to interview to keep the household above the poverty line</w:t>
      </w:r>
      <w:r w:rsidR="008C70C9">
        <w:rPr>
          <w:rFonts w:ascii="Arial" w:hAnsi="Arial" w:cs="Arial"/>
          <w:sz w:val="20"/>
        </w:rPr>
        <w:t xml:space="preserve"> as measured on the annual income</w:t>
      </w:r>
      <w:r>
        <w:rPr>
          <w:rFonts w:ascii="Arial" w:hAnsi="Arial" w:cs="Arial"/>
          <w:sz w:val="20"/>
        </w:rPr>
        <w:t xml:space="preserve">.  The rate is expected to </w:t>
      </w:r>
      <w:r w:rsidR="00EC5DA7">
        <w:rPr>
          <w:rFonts w:ascii="Arial" w:hAnsi="Arial" w:cs="Arial"/>
          <w:sz w:val="20"/>
        </w:rPr>
        <w:t>rise again towards 70% in the next HES.</w:t>
      </w:r>
    </w:p>
    <w:p w14:paraId="63EEE14C" w14:textId="77777777" w:rsidR="00585611" w:rsidRPr="005B4070" w:rsidRDefault="00F32B9D" w:rsidP="005B4070">
      <w:pPr>
        <w:numPr>
          <w:ilvl w:val="0"/>
          <w:numId w:val="1"/>
        </w:numPr>
        <w:tabs>
          <w:tab w:val="clear" w:pos="720"/>
          <w:tab w:val="num" w:pos="900"/>
        </w:tabs>
        <w:spacing w:before="120"/>
        <w:ind w:left="900"/>
        <w:jc w:val="both"/>
        <w:rPr>
          <w:rFonts w:ascii="Arial" w:hAnsi="Arial" w:cs="Arial"/>
          <w:b/>
          <w:sz w:val="20"/>
        </w:rPr>
      </w:pPr>
      <w:r>
        <w:rPr>
          <w:rFonts w:ascii="Arial" w:hAnsi="Arial" w:cs="Arial"/>
          <w:sz w:val="20"/>
        </w:rPr>
        <w:t xml:space="preserve">In June 2010 there were 230,000 children in beneficiary </w:t>
      </w:r>
      <w:r w:rsidR="00534F51">
        <w:rPr>
          <w:rFonts w:ascii="Arial" w:hAnsi="Arial" w:cs="Arial"/>
          <w:sz w:val="20"/>
        </w:rPr>
        <w:t>families</w:t>
      </w:r>
      <w:r>
        <w:rPr>
          <w:rFonts w:ascii="Arial" w:hAnsi="Arial" w:cs="Arial"/>
          <w:sz w:val="20"/>
        </w:rPr>
        <w:t xml:space="preserve"> (22% of all dependent children).</w:t>
      </w:r>
      <w:r w:rsidR="008C70C9">
        <w:rPr>
          <w:rFonts w:ascii="Arial" w:hAnsi="Arial" w:cs="Arial"/>
          <w:sz w:val="20"/>
        </w:rPr>
        <w:t xml:space="preserve"> </w:t>
      </w:r>
      <w:r>
        <w:rPr>
          <w:rFonts w:ascii="Arial" w:hAnsi="Arial" w:cs="Arial"/>
          <w:sz w:val="20"/>
        </w:rPr>
        <w:t xml:space="preserve"> The figures were around the same in March 2011.</w:t>
      </w:r>
    </w:p>
    <w:p w14:paraId="5E460A08" w14:textId="77777777" w:rsidR="005B4070" w:rsidRDefault="005B4070" w:rsidP="00923582">
      <w:pPr>
        <w:ind w:left="540"/>
        <w:jc w:val="both"/>
        <w:rPr>
          <w:rFonts w:ascii="Arial" w:hAnsi="Arial" w:cs="Arial"/>
          <w:b/>
          <w:sz w:val="20"/>
        </w:rPr>
      </w:pPr>
    </w:p>
    <w:p w14:paraId="3FFBC48D" w14:textId="77777777" w:rsidR="00923582" w:rsidRDefault="00923582" w:rsidP="00923582">
      <w:pPr>
        <w:ind w:left="540"/>
        <w:jc w:val="both"/>
        <w:rPr>
          <w:rFonts w:ascii="Arial" w:hAnsi="Arial" w:cs="Arial"/>
          <w:b/>
          <w:sz w:val="20"/>
        </w:rPr>
      </w:pPr>
    </w:p>
    <w:p w14:paraId="38B0216D" w14:textId="77777777" w:rsidR="000370BC" w:rsidRPr="000370BC" w:rsidRDefault="008C70C9" w:rsidP="00923582">
      <w:pPr>
        <w:ind w:left="360" w:hanging="360"/>
        <w:jc w:val="both"/>
        <w:rPr>
          <w:rFonts w:ascii="Arial" w:hAnsi="Arial" w:cs="Arial"/>
          <w:b/>
          <w:sz w:val="20"/>
        </w:rPr>
      </w:pPr>
      <w:r>
        <w:rPr>
          <w:rFonts w:ascii="Arial" w:hAnsi="Arial" w:cs="Arial"/>
          <w:b/>
          <w:sz w:val="20"/>
        </w:rPr>
        <w:t>8</w:t>
      </w:r>
      <w:r>
        <w:rPr>
          <w:rFonts w:ascii="Arial" w:hAnsi="Arial" w:cs="Arial"/>
          <w:b/>
          <w:sz w:val="20"/>
        </w:rPr>
        <w:tab/>
      </w:r>
      <w:r w:rsidR="00F32B9D">
        <w:rPr>
          <w:rFonts w:ascii="Arial" w:hAnsi="Arial" w:cs="Arial"/>
          <w:b/>
          <w:sz w:val="20"/>
        </w:rPr>
        <w:t>Nevertheless, i</w:t>
      </w:r>
      <w:r w:rsidR="000370BC" w:rsidRPr="000370BC">
        <w:rPr>
          <w:rFonts w:ascii="Arial" w:hAnsi="Arial" w:cs="Arial"/>
          <w:b/>
          <w:sz w:val="20"/>
        </w:rPr>
        <w:t>n 20</w:t>
      </w:r>
      <w:r w:rsidR="006D3CFC">
        <w:rPr>
          <w:rFonts w:ascii="Arial" w:hAnsi="Arial" w:cs="Arial"/>
          <w:b/>
          <w:sz w:val="20"/>
        </w:rPr>
        <w:t>10</w:t>
      </w:r>
      <w:r w:rsidR="00DC666A">
        <w:rPr>
          <w:rFonts w:ascii="Arial" w:hAnsi="Arial" w:cs="Arial"/>
          <w:b/>
          <w:sz w:val="20"/>
        </w:rPr>
        <w:t>, around two in five</w:t>
      </w:r>
      <w:r w:rsidR="000370BC" w:rsidRPr="000370BC">
        <w:rPr>
          <w:rFonts w:ascii="Arial" w:hAnsi="Arial" w:cs="Arial"/>
          <w:b/>
          <w:sz w:val="20"/>
        </w:rPr>
        <w:t xml:space="preserve"> poor children were from households where at least one adult was in full-time employment</w:t>
      </w:r>
      <w:r w:rsidR="00585611">
        <w:rPr>
          <w:rFonts w:ascii="Arial" w:hAnsi="Arial" w:cs="Arial"/>
          <w:b/>
          <w:sz w:val="20"/>
        </w:rPr>
        <w:t xml:space="preserve"> or was self-employed</w:t>
      </w:r>
      <w:r w:rsidR="000370BC" w:rsidRPr="000370BC">
        <w:rPr>
          <w:rFonts w:ascii="Arial" w:hAnsi="Arial" w:cs="Arial"/>
          <w:b/>
          <w:sz w:val="20"/>
        </w:rPr>
        <w:t>, down from around one in two before WFF (2004)</w:t>
      </w:r>
    </w:p>
    <w:p w14:paraId="57FF2205" w14:textId="77777777" w:rsidR="008C70C9" w:rsidRDefault="008C70C9" w:rsidP="008C70C9">
      <w:pPr>
        <w:numPr>
          <w:ilvl w:val="0"/>
          <w:numId w:val="1"/>
        </w:numPr>
        <w:tabs>
          <w:tab w:val="clear" w:pos="720"/>
          <w:tab w:val="num" w:pos="900"/>
        </w:tabs>
        <w:spacing w:before="120"/>
        <w:ind w:left="900"/>
        <w:jc w:val="both"/>
        <w:rPr>
          <w:rFonts w:ascii="Arial" w:hAnsi="Arial" w:cs="Arial"/>
          <w:sz w:val="20"/>
        </w:rPr>
      </w:pPr>
      <w:r w:rsidRPr="00DC666A">
        <w:rPr>
          <w:rFonts w:ascii="Arial" w:hAnsi="Arial" w:cs="Arial"/>
          <w:sz w:val="20"/>
        </w:rPr>
        <w:t xml:space="preserve">The WFF package had little impact on poverty rates for children in beneficiary families (around 70% </w:t>
      </w:r>
      <w:r>
        <w:rPr>
          <w:rFonts w:ascii="Arial" w:hAnsi="Arial" w:cs="Arial"/>
          <w:sz w:val="20"/>
        </w:rPr>
        <w:t>from 2004 to 2009</w:t>
      </w:r>
      <w:r w:rsidRPr="00DC666A">
        <w:rPr>
          <w:rFonts w:ascii="Arial" w:hAnsi="Arial" w:cs="Arial"/>
          <w:sz w:val="20"/>
        </w:rPr>
        <w:t>), but halved child poverty rates for those in working families (</w:t>
      </w:r>
      <w:r>
        <w:rPr>
          <w:rFonts w:ascii="Arial" w:hAnsi="Arial" w:cs="Arial"/>
          <w:sz w:val="20"/>
        </w:rPr>
        <w:t>21</w:t>
      </w:r>
      <w:r w:rsidRPr="00DC666A">
        <w:rPr>
          <w:rFonts w:ascii="Arial" w:hAnsi="Arial" w:cs="Arial"/>
          <w:sz w:val="20"/>
        </w:rPr>
        <w:t xml:space="preserve">% in 2004 to </w:t>
      </w:r>
      <w:r>
        <w:rPr>
          <w:rFonts w:ascii="Arial" w:hAnsi="Arial" w:cs="Arial"/>
          <w:sz w:val="20"/>
        </w:rPr>
        <w:t>11</w:t>
      </w:r>
      <w:r w:rsidRPr="00DC666A">
        <w:rPr>
          <w:rFonts w:ascii="Arial" w:hAnsi="Arial" w:cs="Arial"/>
          <w:sz w:val="20"/>
        </w:rPr>
        <w:t>% in 2007 and close to the same since then).</w:t>
      </w:r>
      <w:r>
        <w:rPr>
          <w:rFonts w:ascii="Arial" w:hAnsi="Arial" w:cs="Arial"/>
          <w:sz w:val="20"/>
        </w:rPr>
        <w:t xml:space="preserve">  </w:t>
      </w:r>
    </w:p>
    <w:p w14:paraId="71C90855" w14:textId="77777777" w:rsidR="00F32B9D" w:rsidRDefault="00F32B9D" w:rsidP="00DC666A">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Because there are many more children in working families than in workless or beneficiary families, the proportion of poor children who come from working families is much higher than the poverty rates </w:t>
      </w:r>
      <w:r w:rsidR="00534F51">
        <w:rPr>
          <w:rFonts w:ascii="Arial" w:hAnsi="Arial" w:cs="Arial"/>
          <w:sz w:val="20"/>
        </w:rPr>
        <w:t>themselves</w:t>
      </w:r>
      <w:r>
        <w:rPr>
          <w:rFonts w:ascii="Arial" w:hAnsi="Arial" w:cs="Arial"/>
          <w:sz w:val="20"/>
        </w:rPr>
        <w:t xml:space="preserve"> at first sight suggest.</w:t>
      </w:r>
    </w:p>
    <w:p w14:paraId="4851A202" w14:textId="77777777" w:rsidR="00DC666A" w:rsidRDefault="005B4070" w:rsidP="00DC666A">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w:t>
      </w:r>
      <w:r w:rsidR="00DC666A" w:rsidRPr="00DC666A">
        <w:rPr>
          <w:rFonts w:ascii="Arial" w:hAnsi="Arial" w:cs="Arial"/>
          <w:sz w:val="20"/>
        </w:rPr>
        <w:t>n 2010 aro</w:t>
      </w:r>
      <w:r w:rsidR="004D64EB">
        <w:rPr>
          <w:rFonts w:ascii="Arial" w:hAnsi="Arial" w:cs="Arial"/>
          <w:sz w:val="20"/>
        </w:rPr>
        <w:t>und two in five poor children ca</w:t>
      </w:r>
      <w:r w:rsidR="00DC666A" w:rsidRPr="00DC666A">
        <w:rPr>
          <w:rFonts w:ascii="Arial" w:hAnsi="Arial" w:cs="Arial"/>
          <w:sz w:val="20"/>
        </w:rPr>
        <w:t xml:space="preserve">me from working families, down from just over one </w:t>
      </w:r>
      <w:r>
        <w:rPr>
          <w:rFonts w:ascii="Arial" w:hAnsi="Arial" w:cs="Arial"/>
          <w:sz w:val="20"/>
        </w:rPr>
        <w:t>in two before WFF.</w:t>
      </w:r>
    </w:p>
    <w:p w14:paraId="7EC10DC0" w14:textId="77777777" w:rsidR="00923582" w:rsidRPr="00DC666A" w:rsidRDefault="00F32B9D" w:rsidP="00923582">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 New Zealand proportion is not unusual.  In OECD countries</w:t>
      </w:r>
      <w:r w:rsidR="00923582">
        <w:rPr>
          <w:rFonts w:ascii="Arial" w:hAnsi="Arial" w:cs="Arial"/>
          <w:sz w:val="20"/>
        </w:rPr>
        <w:t xml:space="preserve"> (on average), </w:t>
      </w:r>
      <w:r>
        <w:rPr>
          <w:rFonts w:ascii="Arial" w:hAnsi="Arial" w:cs="Arial"/>
          <w:sz w:val="20"/>
        </w:rPr>
        <w:t>around half of poor children come from working families</w:t>
      </w:r>
      <w:r w:rsidR="00923582">
        <w:rPr>
          <w:rFonts w:ascii="Arial" w:hAnsi="Arial" w:cs="Arial"/>
          <w:sz w:val="20"/>
        </w:rPr>
        <w:t>.</w:t>
      </w:r>
    </w:p>
    <w:p w14:paraId="4F397596" w14:textId="77777777" w:rsidR="000370BC" w:rsidRPr="00CF5A6F" w:rsidRDefault="000370BC" w:rsidP="00923582">
      <w:pPr>
        <w:ind w:left="540"/>
        <w:jc w:val="both"/>
        <w:rPr>
          <w:rFonts w:ascii="Arial" w:hAnsi="Arial" w:cs="Arial"/>
          <w:sz w:val="20"/>
        </w:rPr>
      </w:pPr>
    </w:p>
    <w:p w14:paraId="6A60D8A0" w14:textId="77777777" w:rsidR="000370BC" w:rsidRPr="000370BC" w:rsidRDefault="000370BC" w:rsidP="00923582">
      <w:pPr>
        <w:ind w:left="360" w:hanging="360"/>
        <w:jc w:val="both"/>
        <w:rPr>
          <w:rFonts w:ascii="Arial" w:hAnsi="Arial" w:cs="Arial"/>
          <w:b/>
          <w:sz w:val="20"/>
        </w:rPr>
      </w:pPr>
    </w:p>
    <w:p w14:paraId="206369DD" w14:textId="77777777" w:rsidR="000370BC" w:rsidRPr="000370BC" w:rsidRDefault="00923582" w:rsidP="000370BC">
      <w:pPr>
        <w:ind w:left="360" w:hanging="360"/>
        <w:jc w:val="both"/>
        <w:rPr>
          <w:rFonts w:ascii="Arial" w:hAnsi="Arial" w:cs="Arial"/>
          <w:b/>
          <w:sz w:val="20"/>
        </w:rPr>
      </w:pPr>
      <w:r>
        <w:rPr>
          <w:rFonts w:ascii="Arial" w:hAnsi="Arial" w:cs="Arial"/>
          <w:b/>
          <w:sz w:val="20"/>
        </w:rPr>
        <w:t>9</w:t>
      </w:r>
      <w:r w:rsidR="000370BC" w:rsidRPr="000370BC">
        <w:rPr>
          <w:rFonts w:ascii="Arial" w:hAnsi="Arial" w:cs="Arial"/>
          <w:b/>
          <w:sz w:val="20"/>
        </w:rPr>
        <w:tab/>
        <w:t>Just over two of every three two</w:t>
      </w:r>
      <w:r w:rsidR="0014670F">
        <w:rPr>
          <w:rFonts w:ascii="Arial" w:hAnsi="Arial" w:cs="Arial"/>
          <w:b/>
          <w:sz w:val="20"/>
        </w:rPr>
        <w:t>-</w:t>
      </w:r>
      <w:r w:rsidR="00CF5A6F">
        <w:rPr>
          <w:rFonts w:ascii="Arial" w:hAnsi="Arial" w:cs="Arial"/>
          <w:b/>
          <w:sz w:val="20"/>
        </w:rPr>
        <w:t>parent families were dual-</w:t>
      </w:r>
      <w:r w:rsidR="000370BC" w:rsidRPr="000370BC">
        <w:rPr>
          <w:rFonts w:ascii="Arial" w:hAnsi="Arial" w:cs="Arial"/>
          <w:b/>
          <w:sz w:val="20"/>
        </w:rPr>
        <w:t>earner families in 20</w:t>
      </w:r>
      <w:r w:rsidR="0014670F">
        <w:rPr>
          <w:rFonts w:ascii="Arial" w:hAnsi="Arial" w:cs="Arial"/>
          <w:b/>
          <w:sz w:val="20"/>
        </w:rPr>
        <w:t>10</w:t>
      </w:r>
      <w:r w:rsidR="000370BC" w:rsidRPr="000370BC">
        <w:rPr>
          <w:rFonts w:ascii="Arial" w:hAnsi="Arial" w:cs="Arial"/>
          <w:b/>
          <w:sz w:val="20"/>
        </w:rPr>
        <w:t xml:space="preserve">, up from one in two in the early 1980s, but down from nearly three in four in 2004 </w:t>
      </w:r>
    </w:p>
    <w:p w14:paraId="20E100CE" w14:textId="77777777" w:rsidR="000370BC" w:rsidRPr="000370BC" w:rsidRDefault="000370BC" w:rsidP="000370BC">
      <w:pPr>
        <w:ind w:left="720"/>
        <w:jc w:val="both"/>
        <w:rPr>
          <w:rFonts w:ascii="Arial" w:hAnsi="Arial" w:cs="Arial"/>
          <w:sz w:val="20"/>
        </w:rPr>
      </w:pPr>
    </w:p>
    <w:p w14:paraId="72E8972E" w14:textId="77777777" w:rsidR="000370BC" w:rsidRPr="000370BC" w:rsidRDefault="00CF5A6F" w:rsidP="008D6AB3">
      <w:pPr>
        <w:numPr>
          <w:ilvl w:val="0"/>
          <w:numId w:val="1"/>
        </w:numPr>
        <w:tabs>
          <w:tab w:val="clear" w:pos="720"/>
          <w:tab w:val="num" w:pos="900"/>
        </w:tabs>
        <w:ind w:left="900"/>
        <w:jc w:val="both"/>
        <w:rPr>
          <w:rFonts w:ascii="Arial" w:hAnsi="Arial" w:cs="Arial"/>
          <w:sz w:val="20"/>
        </w:rPr>
      </w:pPr>
      <w:r>
        <w:rPr>
          <w:rFonts w:ascii="Arial" w:hAnsi="Arial" w:cs="Arial"/>
          <w:sz w:val="20"/>
        </w:rPr>
        <w:t>F</w:t>
      </w:r>
      <w:r w:rsidR="000370BC" w:rsidRPr="000370BC">
        <w:rPr>
          <w:rFonts w:ascii="Arial" w:hAnsi="Arial" w:cs="Arial"/>
          <w:sz w:val="20"/>
        </w:rPr>
        <w:t>rom 1982 to 2004, there was a stead</w:t>
      </w:r>
      <w:r w:rsidR="008930EE">
        <w:rPr>
          <w:rFonts w:ascii="Arial" w:hAnsi="Arial" w:cs="Arial"/>
          <w:sz w:val="20"/>
        </w:rPr>
        <w:t>y rise in the proportion of two-</w:t>
      </w:r>
      <w:r w:rsidR="000370BC" w:rsidRPr="000370BC">
        <w:rPr>
          <w:rFonts w:ascii="Arial" w:hAnsi="Arial" w:cs="Arial"/>
          <w:sz w:val="20"/>
        </w:rPr>
        <w:t>parent families with both parents in paid employment, from 50% to 73%</w:t>
      </w:r>
      <w:r w:rsidR="00923582">
        <w:rPr>
          <w:rFonts w:ascii="Arial" w:hAnsi="Arial" w:cs="Arial"/>
          <w:sz w:val="20"/>
        </w:rPr>
        <w:t>.</w:t>
      </w:r>
    </w:p>
    <w:p w14:paraId="5FFCB054" w14:textId="37DCC511" w:rsidR="000370BC" w:rsidRPr="000370BC" w:rsidRDefault="00832634" w:rsidP="008D6AB3">
      <w:pPr>
        <w:numPr>
          <w:ilvl w:val="0"/>
          <w:numId w:val="1"/>
        </w:numPr>
        <w:tabs>
          <w:tab w:val="clear" w:pos="720"/>
          <w:tab w:val="num" w:pos="900"/>
        </w:tabs>
        <w:spacing w:before="120"/>
        <w:ind w:left="900"/>
        <w:jc w:val="both"/>
        <w:rPr>
          <w:rFonts w:ascii="Arial" w:hAnsi="Arial" w:cs="Arial"/>
          <w:sz w:val="20"/>
        </w:rPr>
      </w:pPr>
      <w:r>
        <w:rPr>
          <w:noProof/>
          <w:lang w:val="en-US"/>
        </w:rPr>
        <w:drawing>
          <wp:anchor distT="0" distB="0" distL="182880" distR="0" simplePos="0" relativeHeight="251659264" behindDoc="0" locked="0" layoutInCell="1" allowOverlap="1" wp14:anchorId="5CE99FCB" wp14:editId="3AADC7F5">
            <wp:simplePos x="0" y="0"/>
            <wp:positionH relativeFrom="column">
              <wp:posOffset>3145155</wp:posOffset>
            </wp:positionH>
            <wp:positionV relativeFrom="paragraph">
              <wp:posOffset>67945</wp:posOffset>
            </wp:positionV>
            <wp:extent cx="2673350" cy="1823720"/>
            <wp:effectExtent l="0" t="0" r="0" b="5080"/>
            <wp:wrapSquare wrapText="lef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3350" cy="182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CF5A6F">
        <w:rPr>
          <w:rFonts w:ascii="Arial" w:hAnsi="Arial" w:cs="Arial"/>
          <w:sz w:val="20"/>
        </w:rPr>
        <w:t>F</w:t>
      </w:r>
      <w:r w:rsidR="000370BC" w:rsidRPr="000370BC">
        <w:rPr>
          <w:rFonts w:ascii="Arial" w:hAnsi="Arial" w:cs="Arial"/>
          <w:sz w:val="20"/>
        </w:rPr>
        <w:t>rom 2004 to 2007, the long-ru</w:t>
      </w:r>
      <w:r w:rsidR="00CF5A6F">
        <w:rPr>
          <w:rFonts w:ascii="Arial" w:hAnsi="Arial" w:cs="Arial"/>
          <w:sz w:val="20"/>
        </w:rPr>
        <w:t>n trend reversed, with the dual-</w:t>
      </w:r>
      <w:r w:rsidR="000370BC" w:rsidRPr="000370BC">
        <w:rPr>
          <w:rFonts w:ascii="Arial" w:hAnsi="Arial" w:cs="Arial"/>
          <w:sz w:val="20"/>
        </w:rPr>
        <w:t>earner proportion dropping from 73% to 68%, and remaining steady at 67</w:t>
      </w:r>
      <w:r w:rsidR="00CF5A6F">
        <w:rPr>
          <w:rFonts w:ascii="Arial" w:hAnsi="Arial" w:cs="Arial"/>
          <w:sz w:val="20"/>
        </w:rPr>
        <w:t>% to 68</w:t>
      </w:r>
      <w:r w:rsidR="000370BC" w:rsidRPr="000370BC">
        <w:rPr>
          <w:rFonts w:ascii="Arial" w:hAnsi="Arial" w:cs="Arial"/>
          <w:sz w:val="20"/>
        </w:rPr>
        <w:t xml:space="preserve">% </w:t>
      </w:r>
      <w:r w:rsidR="00CF5A6F">
        <w:rPr>
          <w:rFonts w:ascii="Arial" w:hAnsi="Arial" w:cs="Arial"/>
          <w:sz w:val="20"/>
        </w:rPr>
        <w:t>from 2008 to 2010.</w:t>
      </w:r>
    </w:p>
    <w:p w14:paraId="7C0560A7" w14:textId="77777777" w:rsidR="000370BC" w:rsidRPr="000370BC" w:rsidRDefault="00CF5A6F" w:rsidP="008D6AB3">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he most common arrangement in 20</w:t>
      </w:r>
      <w:r>
        <w:rPr>
          <w:rFonts w:ascii="Arial" w:hAnsi="Arial" w:cs="Arial"/>
          <w:sz w:val="20"/>
        </w:rPr>
        <w:t>10</w:t>
      </w:r>
      <w:r w:rsidR="000370BC" w:rsidRPr="000370BC">
        <w:rPr>
          <w:rFonts w:ascii="Arial" w:hAnsi="Arial" w:cs="Arial"/>
          <w:sz w:val="20"/>
        </w:rPr>
        <w:t xml:space="preserve"> was for both parents to be working full-time  (43%, the same as </w:t>
      </w:r>
      <w:r w:rsidR="00923582">
        <w:rPr>
          <w:rFonts w:ascii="Arial" w:hAnsi="Arial" w:cs="Arial"/>
          <w:sz w:val="20"/>
        </w:rPr>
        <w:t>in</w:t>
      </w:r>
      <w:r w:rsidR="000370BC" w:rsidRPr="000370BC">
        <w:rPr>
          <w:rFonts w:ascii="Arial" w:hAnsi="Arial" w:cs="Arial"/>
          <w:sz w:val="20"/>
        </w:rPr>
        <w:t xml:space="preserve"> 2004), whereas in 1982, the dominant pattern (52%) was one in full-time work and the other ‘workless’</w:t>
      </w:r>
      <w:r w:rsidR="008930EE">
        <w:rPr>
          <w:rFonts w:ascii="Arial" w:hAnsi="Arial" w:cs="Arial"/>
          <w:sz w:val="20"/>
        </w:rPr>
        <w:t xml:space="preserve"> (WL)</w:t>
      </w:r>
      <w:r w:rsidR="000370BC" w:rsidRPr="000370BC">
        <w:rPr>
          <w:rFonts w:ascii="Arial" w:hAnsi="Arial" w:cs="Arial"/>
          <w:sz w:val="20"/>
        </w:rPr>
        <w:t>, with only 20% having both in full-time work</w:t>
      </w:r>
      <w:r w:rsidR="00923582">
        <w:rPr>
          <w:rFonts w:ascii="Arial" w:hAnsi="Arial" w:cs="Arial"/>
          <w:sz w:val="20"/>
        </w:rPr>
        <w:t>.</w:t>
      </w:r>
    </w:p>
    <w:p w14:paraId="7559D436" w14:textId="77777777" w:rsidR="000370BC" w:rsidRPr="000370BC" w:rsidRDefault="00427C58" w:rsidP="008D6AB3">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From</w:t>
      </w:r>
      <w:r w:rsidR="000370BC" w:rsidRPr="000370BC">
        <w:rPr>
          <w:rFonts w:ascii="Arial" w:hAnsi="Arial" w:cs="Arial"/>
          <w:sz w:val="20"/>
        </w:rPr>
        <w:t xml:space="preserve"> 2004 to 20</w:t>
      </w:r>
      <w:r>
        <w:rPr>
          <w:rFonts w:ascii="Arial" w:hAnsi="Arial" w:cs="Arial"/>
          <w:sz w:val="20"/>
        </w:rPr>
        <w:t>10</w:t>
      </w:r>
      <w:r w:rsidR="000370BC" w:rsidRPr="000370BC">
        <w:rPr>
          <w:rFonts w:ascii="Arial" w:hAnsi="Arial" w:cs="Arial"/>
          <w:sz w:val="20"/>
        </w:rPr>
        <w:t xml:space="preserve"> the proportion with </w:t>
      </w:r>
      <w:r w:rsidR="000370BC" w:rsidRPr="000370BC">
        <w:rPr>
          <w:rFonts w:ascii="Arial" w:hAnsi="Arial" w:cs="Arial"/>
          <w:sz w:val="20"/>
        </w:rPr>
        <w:lastRenderedPageBreak/>
        <w:t>one in full-time work and the other workless rose from 27% to 3</w:t>
      </w:r>
      <w:r>
        <w:rPr>
          <w:rFonts w:ascii="Arial" w:hAnsi="Arial" w:cs="Arial"/>
          <w:sz w:val="20"/>
        </w:rPr>
        <w:t>1</w:t>
      </w:r>
      <w:r w:rsidR="000370BC" w:rsidRPr="000370BC">
        <w:rPr>
          <w:rFonts w:ascii="Arial" w:hAnsi="Arial" w:cs="Arial"/>
          <w:sz w:val="20"/>
        </w:rPr>
        <w:t>%, and the one full-time one part-time proportion fell from 31% to 2</w:t>
      </w:r>
      <w:r>
        <w:rPr>
          <w:rFonts w:ascii="Arial" w:hAnsi="Arial" w:cs="Arial"/>
          <w:sz w:val="20"/>
        </w:rPr>
        <w:t>6</w:t>
      </w:r>
      <w:r w:rsidR="000370BC" w:rsidRPr="000370BC">
        <w:rPr>
          <w:rFonts w:ascii="Arial" w:hAnsi="Arial" w:cs="Arial"/>
          <w:sz w:val="20"/>
        </w:rPr>
        <w:t>%</w:t>
      </w:r>
      <w:r w:rsidR="00173F05">
        <w:rPr>
          <w:rFonts w:ascii="Arial" w:hAnsi="Arial" w:cs="Arial"/>
          <w:sz w:val="20"/>
        </w:rPr>
        <w:t>.</w:t>
      </w:r>
    </w:p>
    <w:p w14:paraId="122F0B0A" w14:textId="77777777" w:rsidR="000370BC" w:rsidRPr="000370BC" w:rsidRDefault="00427C58" w:rsidP="008D6AB3">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two most likely factors behind the recent reversal of the increasing trend for the dual-earner proportion are: (a) the </w:t>
      </w:r>
      <w:r>
        <w:rPr>
          <w:rFonts w:ascii="Arial" w:hAnsi="Arial" w:cs="Arial"/>
          <w:sz w:val="20"/>
        </w:rPr>
        <w:t>WFF</w:t>
      </w:r>
      <w:r w:rsidR="000370BC" w:rsidRPr="000370BC">
        <w:rPr>
          <w:rFonts w:ascii="Arial" w:hAnsi="Arial" w:cs="Arial"/>
          <w:sz w:val="20"/>
        </w:rPr>
        <w:t xml:space="preserve"> package which </w:t>
      </w:r>
      <w:r w:rsidR="000370BC" w:rsidRPr="000370BC">
        <w:rPr>
          <w:rFonts w:ascii="Arial" w:hAnsi="Arial" w:cs="Arial"/>
          <w:sz w:val="20"/>
          <w:szCs w:val="22"/>
        </w:rPr>
        <w:t>gave couple parents greater choice about working and caring for their children by making it easier to manage on less income from the labour market</w:t>
      </w:r>
      <w:r w:rsidR="000370BC" w:rsidRPr="000370BC">
        <w:rPr>
          <w:rFonts w:ascii="Arial" w:hAnsi="Arial" w:cs="Arial"/>
          <w:sz w:val="20"/>
        </w:rPr>
        <w:t>, and (b) the rapid and historically large rise in the number of births from 2003 to 2007.</w:t>
      </w:r>
    </w:p>
    <w:p w14:paraId="31C73602" w14:textId="77777777" w:rsidR="000370BC" w:rsidRPr="000370BC" w:rsidRDefault="000370BC" w:rsidP="000370BC">
      <w:pPr>
        <w:ind w:left="360" w:hanging="360"/>
        <w:jc w:val="both"/>
        <w:rPr>
          <w:rFonts w:ascii="Arial" w:hAnsi="Arial" w:cs="Arial"/>
          <w:b/>
          <w:sz w:val="20"/>
        </w:rPr>
      </w:pPr>
    </w:p>
    <w:p w14:paraId="426FA71E" w14:textId="77777777" w:rsidR="000370BC" w:rsidRPr="000370BC" w:rsidRDefault="000370BC" w:rsidP="000370BC">
      <w:pPr>
        <w:ind w:left="360" w:hanging="360"/>
        <w:jc w:val="both"/>
        <w:rPr>
          <w:rFonts w:ascii="Arial" w:hAnsi="Arial" w:cs="Arial"/>
          <w:b/>
          <w:sz w:val="20"/>
        </w:rPr>
      </w:pPr>
    </w:p>
    <w:p w14:paraId="506B132C" w14:textId="77777777" w:rsidR="005D6B85" w:rsidRPr="005D6B85" w:rsidRDefault="00923582" w:rsidP="005D6B85">
      <w:pPr>
        <w:ind w:left="360" w:hanging="360"/>
        <w:jc w:val="both"/>
        <w:rPr>
          <w:rFonts w:ascii="Arial" w:hAnsi="Arial" w:cs="Arial"/>
          <w:b/>
          <w:sz w:val="20"/>
        </w:rPr>
      </w:pPr>
      <w:r>
        <w:rPr>
          <w:rFonts w:ascii="Arial" w:hAnsi="Arial" w:cs="Arial"/>
          <w:b/>
          <w:sz w:val="20"/>
        </w:rPr>
        <w:t>10</w:t>
      </w:r>
      <w:r w:rsidR="000370BC" w:rsidRPr="000370BC">
        <w:rPr>
          <w:rFonts w:ascii="Arial" w:hAnsi="Arial" w:cs="Arial"/>
          <w:b/>
          <w:sz w:val="20"/>
        </w:rPr>
        <w:tab/>
        <w:t>Children in sole</w:t>
      </w:r>
      <w:r w:rsidR="005D6B85">
        <w:rPr>
          <w:rFonts w:ascii="Arial" w:hAnsi="Arial" w:cs="Arial"/>
          <w:b/>
          <w:sz w:val="20"/>
        </w:rPr>
        <w:t>-</w:t>
      </w:r>
      <w:r w:rsidR="000370BC" w:rsidRPr="000370BC">
        <w:rPr>
          <w:rFonts w:ascii="Arial" w:hAnsi="Arial" w:cs="Arial"/>
          <w:b/>
          <w:sz w:val="20"/>
        </w:rPr>
        <w:t>parent families have a higher risk of hardship (4</w:t>
      </w:r>
      <w:r w:rsidR="005D6B85">
        <w:rPr>
          <w:rFonts w:ascii="Arial" w:hAnsi="Arial" w:cs="Arial"/>
          <w:b/>
          <w:sz w:val="20"/>
        </w:rPr>
        <w:t>2</w:t>
      </w:r>
      <w:r w:rsidR="000370BC" w:rsidRPr="000370BC">
        <w:rPr>
          <w:rFonts w:ascii="Arial" w:hAnsi="Arial" w:cs="Arial"/>
          <w:b/>
          <w:sz w:val="20"/>
        </w:rPr>
        <w:t>%) than those in two</w:t>
      </w:r>
      <w:r w:rsidR="005D6B85">
        <w:rPr>
          <w:rFonts w:ascii="Arial" w:hAnsi="Arial" w:cs="Arial"/>
          <w:b/>
          <w:sz w:val="20"/>
        </w:rPr>
        <w:t>-</w:t>
      </w:r>
      <w:r w:rsidR="000370BC" w:rsidRPr="000370BC">
        <w:rPr>
          <w:rFonts w:ascii="Arial" w:hAnsi="Arial" w:cs="Arial"/>
          <w:b/>
          <w:sz w:val="20"/>
        </w:rPr>
        <w:t xml:space="preserve"> parent families (1</w:t>
      </w:r>
      <w:r w:rsidR="005D6B85">
        <w:rPr>
          <w:rFonts w:ascii="Arial" w:hAnsi="Arial" w:cs="Arial"/>
          <w:b/>
          <w:sz w:val="20"/>
        </w:rPr>
        <w:t>6</w:t>
      </w:r>
      <w:r w:rsidR="000370BC" w:rsidRPr="000370BC">
        <w:rPr>
          <w:rFonts w:ascii="Arial" w:hAnsi="Arial" w:cs="Arial"/>
          <w:b/>
          <w:sz w:val="20"/>
        </w:rPr>
        <w:t>%)</w:t>
      </w:r>
    </w:p>
    <w:p w14:paraId="36CB60B1" w14:textId="77777777" w:rsidR="00116515" w:rsidRPr="000370BC" w:rsidRDefault="00116515" w:rsidP="0011651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Around 90% of sole-</w:t>
      </w:r>
      <w:r w:rsidRPr="000370BC">
        <w:rPr>
          <w:rFonts w:ascii="Arial" w:hAnsi="Arial" w:cs="Arial"/>
          <w:sz w:val="20"/>
        </w:rPr>
        <w:t xml:space="preserve">parent families had incomes below the overall median in </w:t>
      </w:r>
      <w:r>
        <w:rPr>
          <w:rFonts w:ascii="Arial" w:hAnsi="Arial" w:cs="Arial"/>
          <w:sz w:val="20"/>
        </w:rPr>
        <w:t xml:space="preserve">2009 and </w:t>
      </w:r>
      <w:r w:rsidRPr="000370BC">
        <w:rPr>
          <w:rFonts w:ascii="Arial" w:hAnsi="Arial" w:cs="Arial"/>
          <w:sz w:val="20"/>
        </w:rPr>
        <w:t>20</w:t>
      </w:r>
      <w:r>
        <w:rPr>
          <w:rFonts w:ascii="Arial" w:hAnsi="Arial" w:cs="Arial"/>
          <w:sz w:val="20"/>
        </w:rPr>
        <w:t>10, compared with 55% for two-</w:t>
      </w:r>
      <w:r w:rsidRPr="000370BC">
        <w:rPr>
          <w:rFonts w:ascii="Arial" w:hAnsi="Arial" w:cs="Arial"/>
          <w:sz w:val="20"/>
        </w:rPr>
        <w:t>parent families</w:t>
      </w:r>
      <w:r>
        <w:rPr>
          <w:rFonts w:ascii="Arial" w:hAnsi="Arial" w:cs="Arial"/>
          <w:sz w:val="20"/>
        </w:rPr>
        <w:t>.</w:t>
      </w:r>
    </w:p>
    <w:p w14:paraId="33493ABF" w14:textId="77777777" w:rsidR="000370BC" w:rsidRPr="000370BC" w:rsidRDefault="005D6B85"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h</w:t>
      </w:r>
      <w:r>
        <w:rPr>
          <w:rFonts w:ascii="Arial" w:hAnsi="Arial" w:cs="Arial"/>
          <w:sz w:val="20"/>
        </w:rPr>
        <w:t xml:space="preserve">e higher poverty rate </w:t>
      </w:r>
      <w:r w:rsidR="00116515">
        <w:rPr>
          <w:rFonts w:ascii="Arial" w:hAnsi="Arial" w:cs="Arial"/>
          <w:sz w:val="20"/>
        </w:rPr>
        <w:t xml:space="preserve">and low family incomes </w:t>
      </w:r>
      <w:r>
        <w:rPr>
          <w:rFonts w:ascii="Arial" w:hAnsi="Arial" w:cs="Arial"/>
          <w:sz w:val="20"/>
        </w:rPr>
        <w:t>for sole-parent families</w:t>
      </w:r>
      <w:r w:rsidR="000370BC" w:rsidRPr="000370BC">
        <w:rPr>
          <w:rFonts w:ascii="Arial" w:hAnsi="Arial" w:cs="Arial"/>
          <w:sz w:val="20"/>
        </w:rPr>
        <w:t xml:space="preserve"> reflects the relatively low full-time employment rate fo</w:t>
      </w:r>
      <w:r>
        <w:rPr>
          <w:rFonts w:ascii="Arial" w:hAnsi="Arial" w:cs="Arial"/>
          <w:sz w:val="20"/>
        </w:rPr>
        <w:t xml:space="preserve">r sole parents (35% in 2009).  </w:t>
      </w:r>
      <w:r w:rsidR="000370BC" w:rsidRPr="000370BC">
        <w:rPr>
          <w:rFonts w:ascii="Arial" w:hAnsi="Arial" w:cs="Arial"/>
          <w:sz w:val="20"/>
        </w:rPr>
        <w:t xml:space="preserve">73% of sole parents were in receipt of a main benefit in </w:t>
      </w:r>
      <w:r w:rsidR="006E0C98">
        <w:rPr>
          <w:rFonts w:ascii="Arial" w:hAnsi="Arial" w:cs="Arial"/>
          <w:sz w:val="20"/>
        </w:rPr>
        <w:t xml:space="preserve">June </w:t>
      </w:r>
      <w:r w:rsidR="000370BC" w:rsidRPr="000370BC">
        <w:rPr>
          <w:rFonts w:ascii="Arial" w:hAnsi="Arial" w:cs="Arial"/>
          <w:sz w:val="20"/>
        </w:rPr>
        <w:t>2009</w:t>
      </w:r>
      <w:r w:rsidR="006C3B83">
        <w:rPr>
          <w:rFonts w:ascii="Arial" w:hAnsi="Arial" w:cs="Arial"/>
          <w:sz w:val="20"/>
        </w:rPr>
        <w:t>.</w:t>
      </w:r>
    </w:p>
    <w:p w14:paraId="1B5F8010" w14:textId="77777777" w:rsidR="000370BC" w:rsidRDefault="00116515"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From 2007 to 2009 </w:t>
      </w:r>
      <w:r w:rsidR="000370BC" w:rsidRPr="000370BC">
        <w:rPr>
          <w:rFonts w:ascii="Arial" w:hAnsi="Arial" w:cs="Arial"/>
          <w:sz w:val="20"/>
        </w:rPr>
        <w:t xml:space="preserve">half of poor children </w:t>
      </w:r>
      <w:r>
        <w:rPr>
          <w:rFonts w:ascii="Arial" w:hAnsi="Arial" w:cs="Arial"/>
          <w:sz w:val="20"/>
        </w:rPr>
        <w:t>were from sole-</w:t>
      </w:r>
      <w:r w:rsidR="000370BC" w:rsidRPr="000370BC">
        <w:rPr>
          <w:rFonts w:ascii="Arial" w:hAnsi="Arial" w:cs="Arial"/>
          <w:sz w:val="20"/>
        </w:rPr>
        <w:t>parent families, the highest proportion since the time series began in 1988.</w:t>
      </w:r>
      <w:r>
        <w:rPr>
          <w:rFonts w:ascii="Arial" w:hAnsi="Arial" w:cs="Arial"/>
          <w:sz w:val="20"/>
        </w:rPr>
        <w:t xml:space="preserve">  In 2010 the proportion had dropped to 44% as more two-parent families found their incomes falling below the poverty threshold in the economic downturn in 2008-09.</w:t>
      </w:r>
    </w:p>
    <w:p w14:paraId="39C0B503" w14:textId="77777777" w:rsidR="00116515" w:rsidRPr="00116515" w:rsidRDefault="005D6B85" w:rsidP="0011651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Around one in three sole-parent families live in wider households with other adults.</w:t>
      </w:r>
      <w:r w:rsidR="00116515">
        <w:rPr>
          <w:rFonts w:ascii="Arial" w:hAnsi="Arial" w:cs="Arial"/>
          <w:sz w:val="20"/>
        </w:rPr>
        <w:t xml:space="preserve">  </w:t>
      </w:r>
      <w:r w:rsidR="00116515" w:rsidRPr="00116515">
        <w:rPr>
          <w:rFonts w:ascii="Arial" w:hAnsi="Arial" w:cs="Arial"/>
          <w:sz w:val="20"/>
          <w:szCs w:val="20"/>
        </w:rPr>
        <w:t xml:space="preserve">Children living in these </w:t>
      </w:r>
      <w:r w:rsidR="00116515">
        <w:rPr>
          <w:rFonts w:ascii="Arial" w:hAnsi="Arial" w:cs="Arial"/>
          <w:sz w:val="20"/>
          <w:szCs w:val="20"/>
        </w:rPr>
        <w:t>sole-parent families</w:t>
      </w:r>
      <w:r w:rsidR="00116515" w:rsidRPr="00116515">
        <w:rPr>
          <w:rFonts w:ascii="Arial" w:hAnsi="Arial" w:cs="Arial"/>
          <w:sz w:val="20"/>
          <w:szCs w:val="20"/>
        </w:rPr>
        <w:t xml:space="preserve"> </w:t>
      </w:r>
      <w:r w:rsidR="006C5FA0">
        <w:rPr>
          <w:rFonts w:ascii="Arial" w:hAnsi="Arial" w:cs="Arial"/>
          <w:sz w:val="20"/>
          <w:szCs w:val="20"/>
        </w:rPr>
        <w:t xml:space="preserve">generally </w:t>
      </w:r>
      <w:r w:rsidR="00116515" w:rsidRPr="00116515">
        <w:rPr>
          <w:rFonts w:ascii="Arial" w:hAnsi="Arial" w:cs="Arial"/>
          <w:sz w:val="20"/>
          <w:szCs w:val="20"/>
        </w:rPr>
        <w:t xml:space="preserve">have lower poverty rates than those in </w:t>
      </w:r>
      <w:r w:rsidR="00116515">
        <w:rPr>
          <w:rFonts w:ascii="Arial" w:hAnsi="Arial" w:cs="Arial"/>
          <w:sz w:val="20"/>
          <w:szCs w:val="20"/>
        </w:rPr>
        <w:t>sole-parent families</w:t>
      </w:r>
      <w:r w:rsidR="00116515" w:rsidRPr="00116515">
        <w:rPr>
          <w:rFonts w:ascii="Arial" w:hAnsi="Arial" w:cs="Arial"/>
          <w:sz w:val="20"/>
          <w:szCs w:val="20"/>
        </w:rPr>
        <w:t xml:space="preserve"> living on their own because of the wider household financial resources available to them, both directly and indirectly.</w:t>
      </w:r>
    </w:p>
    <w:p w14:paraId="30ED0DB5" w14:textId="77777777" w:rsidR="001426F6" w:rsidRDefault="001426F6" w:rsidP="000370BC">
      <w:pPr>
        <w:ind w:left="360" w:hanging="360"/>
        <w:jc w:val="both"/>
        <w:rPr>
          <w:rFonts w:ascii="Arial" w:hAnsi="Arial" w:cs="Arial"/>
          <w:b/>
          <w:sz w:val="20"/>
        </w:rPr>
      </w:pPr>
    </w:p>
    <w:p w14:paraId="11339586" w14:textId="77777777" w:rsidR="006E0C98" w:rsidRPr="000370BC" w:rsidRDefault="006E0C98" w:rsidP="000370BC">
      <w:pPr>
        <w:ind w:left="360" w:hanging="360"/>
        <w:jc w:val="both"/>
        <w:rPr>
          <w:rFonts w:ascii="Arial" w:hAnsi="Arial" w:cs="Arial"/>
          <w:b/>
          <w:sz w:val="20"/>
        </w:rPr>
      </w:pPr>
    </w:p>
    <w:p w14:paraId="02FBF513" w14:textId="77777777" w:rsidR="000370BC" w:rsidRPr="000370BC" w:rsidRDefault="006C5FA0" w:rsidP="000370BC">
      <w:pPr>
        <w:ind w:left="360" w:hanging="360"/>
        <w:jc w:val="both"/>
        <w:rPr>
          <w:rFonts w:ascii="Arial" w:hAnsi="Arial" w:cs="Arial"/>
          <w:b/>
          <w:sz w:val="20"/>
        </w:rPr>
      </w:pPr>
      <w:r>
        <w:rPr>
          <w:rFonts w:ascii="Arial" w:hAnsi="Arial" w:cs="Arial"/>
          <w:b/>
          <w:sz w:val="20"/>
        </w:rPr>
        <w:t>1</w:t>
      </w:r>
      <w:r w:rsidR="006E0C98">
        <w:rPr>
          <w:rFonts w:ascii="Arial" w:hAnsi="Arial" w:cs="Arial"/>
          <w:b/>
          <w:sz w:val="20"/>
        </w:rPr>
        <w:t>1</w:t>
      </w:r>
      <w:r w:rsidR="000370BC" w:rsidRPr="000370BC">
        <w:rPr>
          <w:rFonts w:ascii="Arial" w:hAnsi="Arial" w:cs="Arial"/>
          <w:b/>
          <w:sz w:val="20"/>
        </w:rPr>
        <w:tab/>
        <w:t>Poverty rates for children in the Maori and Pacific ethnic groups are consistently higher than for those in the European/Pakeha ethnic group</w:t>
      </w:r>
    </w:p>
    <w:p w14:paraId="16F580A5" w14:textId="77777777" w:rsidR="000370BC" w:rsidRPr="000370BC" w:rsidRDefault="008C43B7" w:rsidP="00930085">
      <w:pPr>
        <w:numPr>
          <w:ilvl w:val="0"/>
          <w:numId w:val="1"/>
        </w:numPr>
        <w:tabs>
          <w:tab w:val="clear" w:pos="720"/>
          <w:tab w:val="num" w:pos="900"/>
        </w:tabs>
        <w:spacing w:before="120"/>
        <w:ind w:left="900"/>
        <w:jc w:val="both"/>
        <w:rPr>
          <w:rFonts w:ascii="Arial" w:hAnsi="Arial" w:cs="Arial"/>
          <w:b/>
          <w:sz w:val="20"/>
        </w:rPr>
      </w:pPr>
      <w:r>
        <w:rPr>
          <w:rFonts w:ascii="Arial" w:hAnsi="Arial" w:cs="Arial"/>
          <w:sz w:val="20"/>
        </w:rPr>
        <w:t>On average over 2007 to 2010</w:t>
      </w:r>
      <w:r w:rsidR="000370BC" w:rsidRPr="000370BC">
        <w:rPr>
          <w:rFonts w:ascii="Arial" w:hAnsi="Arial" w:cs="Arial"/>
          <w:sz w:val="20"/>
        </w:rPr>
        <w:t xml:space="preserve">, </w:t>
      </w:r>
      <w:r>
        <w:rPr>
          <w:rFonts w:ascii="Arial" w:hAnsi="Arial" w:cs="Arial"/>
          <w:sz w:val="20"/>
        </w:rPr>
        <w:t xml:space="preserve">around </w:t>
      </w:r>
      <w:r w:rsidR="000370BC" w:rsidRPr="000370BC">
        <w:rPr>
          <w:rFonts w:ascii="Arial" w:hAnsi="Arial" w:cs="Arial"/>
          <w:sz w:val="20"/>
        </w:rPr>
        <w:t>one in six European/Pakeha children lived in poor households</w:t>
      </w:r>
      <w:r w:rsidR="000370BC" w:rsidRPr="000370BC">
        <w:rPr>
          <w:rFonts w:ascii="Arial" w:hAnsi="Arial" w:cs="Arial"/>
          <w:b/>
          <w:sz w:val="20"/>
        </w:rPr>
        <w:t xml:space="preserve">, </w:t>
      </w:r>
      <w:r w:rsidR="000370BC" w:rsidRPr="000370BC">
        <w:rPr>
          <w:rFonts w:ascii="Arial" w:hAnsi="Arial" w:cs="Arial"/>
          <w:sz w:val="20"/>
        </w:rPr>
        <w:t>one in four Pacific children</w:t>
      </w:r>
      <w:r w:rsidR="000370BC" w:rsidRPr="000370BC">
        <w:rPr>
          <w:rFonts w:ascii="Arial" w:hAnsi="Arial" w:cs="Arial"/>
          <w:b/>
          <w:sz w:val="20"/>
        </w:rPr>
        <w:t xml:space="preserve">, </w:t>
      </w:r>
      <w:r w:rsidR="000370BC" w:rsidRPr="000370BC">
        <w:rPr>
          <w:rFonts w:ascii="Arial" w:hAnsi="Arial" w:cs="Arial"/>
          <w:sz w:val="20"/>
        </w:rPr>
        <w:t>and one in three Maori children (double the rate for European/Pakeha children)</w:t>
      </w:r>
      <w:r>
        <w:rPr>
          <w:rFonts w:ascii="Arial" w:hAnsi="Arial" w:cs="Arial"/>
          <w:sz w:val="20"/>
        </w:rPr>
        <w:t>.</w:t>
      </w:r>
    </w:p>
    <w:p w14:paraId="6354E9E5" w14:textId="77777777" w:rsidR="000370BC" w:rsidRPr="000370BC" w:rsidRDefault="006C5FA0"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higher poverty rate for Maori children reflects the relatively high proportion of Maori children living in sole</w:t>
      </w:r>
      <w:r>
        <w:rPr>
          <w:rFonts w:ascii="Arial" w:hAnsi="Arial" w:cs="Arial"/>
          <w:sz w:val="20"/>
        </w:rPr>
        <w:t>-</w:t>
      </w:r>
      <w:r w:rsidR="000370BC" w:rsidRPr="000370BC">
        <w:rPr>
          <w:rFonts w:ascii="Arial" w:hAnsi="Arial" w:cs="Arial"/>
          <w:sz w:val="20"/>
        </w:rPr>
        <w:t xml:space="preserve">parent beneficiary families and households (eg </w:t>
      </w:r>
      <w:r w:rsidR="008C43B7">
        <w:rPr>
          <w:rFonts w:ascii="Arial" w:hAnsi="Arial" w:cs="Arial"/>
          <w:sz w:val="20"/>
        </w:rPr>
        <w:t>around</w:t>
      </w:r>
      <w:r w:rsidR="000370BC" w:rsidRPr="000370BC">
        <w:rPr>
          <w:rFonts w:ascii="Arial" w:hAnsi="Arial" w:cs="Arial"/>
          <w:sz w:val="20"/>
        </w:rPr>
        <w:t xml:space="preserve"> 43% of DPB recipients were Maori</w:t>
      </w:r>
      <w:r w:rsidR="008C43B7">
        <w:rPr>
          <w:rFonts w:ascii="Arial" w:hAnsi="Arial" w:cs="Arial"/>
          <w:sz w:val="20"/>
        </w:rPr>
        <w:t xml:space="preserve"> in the 2007 to 2010 period</w:t>
      </w:r>
      <w:r w:rsidR="000370BC" w:rsidRPr="000370BC">
        <w:rPr>
          <w:rFonts w:ascii="Arial" w:hAnsi="Arial" w:cs="Arial"/>
          <w:sz w:val="20"/>
        </w:rPr>
        <w:t>)</w:t>
      </w:r>
      <w:r w:rsidR="008C43B7">
        <w:rPr>
          <w:rFonts w:ascii="Arial" w:hAnsi="Arial" w:cs="Arial"/>
          <w:sz w:val="20"/>
        </w:rPr>
        <w:t>.</w:t>
      </w:r>
    </w:p>
    <w:p w14:paraId="4B9DF0A0" w14:textId="77777777" w:rsidR="000370BC" w:rsidRPr="000370BC" w:rsidRDefault="006C5FA0"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sample size is too small to allow more precise poverty rates to be given for the smaller ethnic groupings.</w:t>
      </w:r>
    </w:p>
    <w:p w14:paraId="0524FC53" w14:textId="77777777" w:rsidR="000370BC" w:rsidRDefault="000370BC" w:rsidP="000370BC">
      <w:pPr>
        <w:ind w:left="360" w:hanging="360"/>
        <w:jc w:val="both"/>
        <w:rPr>
          <w:rFonts w:ascii="Arial" w:hAnsi="Arial" w:cs="Arial"/>
          <w:b/>
          <w:sz w:val="22"/>
          <w:szCs w:val="22"/>
        </w:rPr>
      </w:pPr>
    </w:p>
    <w:p w14:paraId="76F0B997" w14:textId="77777777" w:rsidR="002154AD" w:rsidRPr="007D77FE" w:rsidRDefault="002154AD" w:rsidP="000370BC">
      <w:pPr>
        <w:ind w:left="360" w:hanging="360"/>
        <w:jc w:val="both"/>
        <w:rPr>
          <w:rFonts w:ascii="Arial" w:hAnsi="Arial" w:cs="Arial"/>
          <w:b/>
          <w:sz w:val="22"/>
          <w:szCs w:val="22"/>
        </w:rPr>
      </w:pPr>
    </w:p>
    <w:p w14:paraId="0C0CD3F7" w14:textId="77777777" w:rsidR="00F80E63" w:rsidRPr="000370BC" w:rsidRDefault="00F80E63" w:rsidP="00F80E63">
      <w:pPr>
        <w:ind w:left="360" w:hanging="360"/>
        <w:jc w:val="both"/>
        <w:rPr>
          <w:rFonts w:ascii="Arial" w:hAnsi="Arial" w:cs="Arial"/>
          <w:b/>
          <w:sz w:val="20"/>
        </w:rPr>
      </w:pPr>
      <w:r>
        <w:rPr>
          <w:rFonts w:ascii="Arial" w:hAnsi="Arial" w:cs="Arial"/>
          <w:b/>
          <w:sz w:val="20"/>
        </w:rPr>
        <w:t>12</w:t>
      </w:r>
      <w:r w:rsidRPr="000370BC">
        <w:rPr>
          <w:rFonts w:ascii="Arial" w:hAnsi="Arial" w:cs="Arial"/>
          <w:b/>
          <w:sz w:val="20"/>
        </w:rPr>
        <w:tab/>
      </w:r>
      <w:r w:rsidR="00155EB0">
        <w:rPr>
          <w:rFonts w:ascii="Arial" w:hAnsi="Arial" w:cs="Arial"/>
          <w:b/>
          <w:sz w:val="20"/>
        </w:rPr>
        <w:t>Poverty rates for working-age adults living on their own trebled from 1984 to 2007 on the AHC fixed line measure, and remained high in 2010 (28%)</w:t>
      </w:r>
    </w:p>
    <w:p w14:paraId="632C52D1" w14:textId="77777777" w:rsidR="00155EB0" w:rsidRPr="00155EB0" w:rsidRDefault="00155EB0" w:rsidP="00F80E63">
      <w:pPr>
        <w:numPr>
          <w:ilvl w:val="0"/>
          <w:numId w:val="1"/>
        </w:numPr>
        <w:tabs>
          <w:tab w:val="clear" w:pos="720"/>
          <w:tab w:val="num" w:pos="900"/>
        </w:tabs>
        <w:spacing w:before="120"/>
        <w:ind w:left="900"/>
        <w:jc w:val="both"/>
        <w:rPr>
          <w:rFonts w:ascii="Arial" w:hAnsi="Arial" w:cs="Arial"/>
          <w:b/>
          <w:sz w:val="20"/>
        </w:rPr>
      </w:pPr>
      <w:r>
        <w:rPr>
          <w:rFonts w:ascii="Arial" w:hAnsi="Arial" w:cs="Arial"/>
          <w:sz w:val="20"/>
        </w:rPr>
        <w:t>In 2010, one person working-age households had the second highest poverty rate by household type (after sole-parent households) – the rate was high in itself (28%) and high relative to the rest of the population (15%)</w:t>
      </w:r>
      <w:r w:rsidR="00922172">
        <w:rPr>
          <w:rFonts w:ascii="Arial" w:hAnsi="Arial" w:cs="Arial"/>
          <w:sz w:val="20"/>
        </w:rPr>
        <w:t>, using the AHC fixed line measure.</w:t>
      </w:r>
    </w:p>
    <w:p w14:paraId="3671FC96" w14:textId="77777777" w:rsidR="00F80E63" w:rsidRPr="00922172" w:rsidRDefault="00922172" w:rsidP="00F80E63">
      <w:pPr>
        <w:numPr>
          <w:ilvl w:val="0"/>
          <w:numId w:val="1"/>
        </w:numPr>
        <w:tabs>
          <w:tab w:val="clear" w:pos="720"/>
          <w:tab w:val="num" w:pos="900"/>
        </w:tabs>
        <w:spacing w:before="120"/>
        <w:ind w:left="900"/>
        <w:jc w:val="both"/>
        <w:rPr>
          <w:rFonts w:ascii="Arial" w:hAnsi="Arial" w:cs="Arial"/>
          <w:b/>
          <w:sz w:val="20"/>
        </w:rPr>
      </w:pPr>
      <w:r>
        <w:rPr>
          <w:rFonts w:ascii="Arial" w:hAnsi="Arial" w:cs="Arial"/>
          <w:sz w:val="20"/>
        </w:rPr>
        <w:t xml:space="preserve">From 1984 (10%) to 2007 (30%), the poverty rate for this group trebled, using the AHC 1998 </w:t>
      </w:r>
      <w:r w:rsidR="00942AD9">
        <w:rPr>
          <w:rFonts w:ascii="Arial" w:hAnsi="Arial" w:cs="Arial"/>
          <w:sz w:val="20"/>
        </w:rPr>
        <w:t>reference</w:t>
      </w:r>
      <w:r>
        <w:rPr>
          <w:rFonts w:ascii="Arial" w:hAnsi="Arial" w:cs="Arial"/>
          <w:sz w:val="20"/>
        </w:rPr>
        <w:t xml:space="preserve"> year measure.</w:t>
      </w:r>
    </w:p>
    <w:p w14:paraId="4DF3C61B" w14:textId="77777777" w:rsidR="002154AD" w:rsidRPr="002154AD" w:rsidRDefault="002154AD" w:rsidP="002154AD">
      <w:pPr>
        <w:numPr>
          <w:ilvl w:val="0"/>
          <w:numId w:val="1"/>
        </w:numPr>
        <w:tabs>
          <w:tab w:val="clear" w:pos="720"/>
          <w:tab w:val="num" w:pos="900"/>
        </w:tabs>
        <w:spacing w:before="120"/>
        <w:ind w:left="900"/>
        <w:jc w:val="both"/>
        <w:rPr>
          <w:rFonts w:ascii="Arial" w:hAnsi="Arial" w:cs="Arial"/>
          <w:b/>
          <w:sz w:val="20"/>
        </w:rPr>
      </w:pPr>
      <w:r w:rsidRPr="002154AD">
        <w:rPr>
          <w:rFonts w:ascii="Arial" w:hAnsi="Arial" w:cs="Arial"/>
          <w:sz w:val="20"/>
        </w:rPr>
        <w:t>Within this group, those aged 45 to 64 years have a higher income poverty rate than the younger group (aged 18 to 44 years).</w:t>
      </w:r>
    </w:p>
    <w:p w14:paraId="1C03DBD1" w14:textId="77777777" w:rsidR="001426F6" w:rsidRDefault="00923582" w:rsidP="000370BC">
      <w:pPr>
        <w:ind w:left="450" w:hanging="450"/>
        <w:jc w:val="both"/>
        <w:rPr>
          <w:rFonts w:ascii="Arial" w:hAnsi="Arial" w:cs="Arial"/>
          <w:b/>
          <w:sz w:val="20"/>
        </w:rPr>
      </w:pPr>
      <w:r>
        <w:rPr>
          <w:rFonts w:ascii="Arial" w:hAnsi="Arial" w:cs="Arial"/>
          <w:b/>
          <w:sz w:val="20"/>
        </w:rPr>
        <w:br w:type="page"/>
      </w:r>
      <w:r w:rsidR="000370BC" w:rsidRPr="000370BC">
        <w:rPr>
          <w:rFonts w:ascii="Arial" w:hAnsi="Arial" w:cs="Arial"/>
          <w:b/>
          <w:sz w:val="20"/>
        </w:rPr>
        <w:lastRenderedPageBreak/>
        <w:t>1</w:t>
      </w:r>
      <w:r w:rsidR="00155EB0">
        <w:rPr>
          <w:rFonts w:ascii="Arial" w:hAnsi="Arial" w:cs="Arial"/>
          <w:b/>
          <w:sz w:val="20"/>
        </w:rPr>
        <w:t>3</w:t>
      </w:r>
      <w:r w:rsidR="000370BC" w:rsidRPr="000370BC">
        <w:rPr>
          <w:rFonts w:ascii="Arial" w:hAnsi="Arial" w:cs="Arial"/>
          <w:sz w:val="20"/>
        </w:rPr>
        <w:tab/>
      </w:r>
      <w:r w:rsidR="000370BC" w:rsidRPr="000370BC">
        <w:rPr>
          <w:rFonts w:ascii="Arial" w:hAnsi="Arial" w:cs="Arial"/>
          <w:b/>
          <w:sz w:val="20"/>
        </w:rPr>
        <w:t>The value of New Zealand Superannuation (NZS)</w:t>
      </w:r>
      <w:r w:rsidR="001426F6">
        <w:rPr>
          <w:rFonts w:ascii="Arial" w:hAnsi="Arial" w:cs="Arial"/>
          <w:b/>
          <w:sz w:val="20"/>
        </w:rPr>
        <w:t xml:space="preserve"> rose from just below to just above 50% of the median from HES 2009 to HES 2010, reflecting the </w:t>
      </w:r>
      <w:r w:rsidR="007D77FE">
        <w:rPr>
          <w:rFonts w:ascii="Arial" w:hAnsi="Arial" w:cs="Arial"/>
          <w:b/>
          <w:sz w:val="20"/>
        </w:rPr>
        <w:t>very small</w:t>
      </w:r>
      <w:r w:rsidR="001426F6">
        <w:rPr>
          <w:rFonts w:ascii="Arial" w:hAnsi="Arial" w:cs="Arial"/>
          <w:b/>
          <w:sz w:val="20"/>
        </w:rPr>
        <w:t xml:space="preserve"> rise in the median and the </w:t>
      </w:r>
      <w:r w:rsidR="007D77FE">
        <w:rPr>
          <w:rFonts w:ascii="Arial" w:hAnsi="Arial" w:cs="Arial"/>
          <w:b/>
          <w:sz w:val="20"/>
        </w:rPr>
        <w:t>larger</w:t>
      </w:r>
      <w:r w:rsidR="001426F6">
        <w:rPr>
          <w:rFonts w:ascii="Arial" w:hAnsi="Arial" w:cs="Arial"/>
          <w:b/>
          <w:sz w:val="20"/>
        </w:rPr>
        <w:t xml:space="preserve"> rise in NZS in real terms</w:t>
      </w:r>
      <w:r w:rsidR="007D77FE">
        <w:rPr>
          <w:rFonts w:ascii="Arial" w:hAnsi="Arial" w:cs="Arial"/>
          <w:b/>
          <w:sz w:val="20"/>
        </w:rPr>
        <w:t xml:space="preserve"> </w:t>
      </w:r>
      <w:r w:rsidR="001426F6">
        <w:rPr>
          <w:rFonts w:ascii="Arial" w:hAnsi="Arial" w:cs="Arial"/>
          <w:b/>
          <w:sz w:val="20"/>
        </w:rPr>
        <w:t>mainly as a result of the 2</w:t>
      </w:r>
      <w:r w:rsidR="00E06E11">
        <w:rPr>
          <w:rFonts w:ascii="Arial" w:hAnsi="Arial" w:cs="Arial"/>
          <w:b/>
          <w:sz w:val="20"/>
        </w:rPr>
        <w:t>008 and 2009 income tax changes</w:t>
      </w:r>
    </w:p>
    <w:p w14:paraId="5B14AAE1" w14:textId="77777777" w:rsidR="000370BC" w:rsidRPr="000370BC" w:rsidRDefault="001426F6" w:rsidP="00930085">
      <w:pPr>
        <w:numPr>
          <w:ilvl w:val="0"/>
          <w:numId w:val="2"/>
        </w:numPr>
        <w:tabs>
          <w:tab w:val="clear" w:pos="720"/>
          <w:tab w:val="num" w:pos="900"/>
        </w:tabs>
        <w:spacing w:before="120"/>
        <w:ind w:left="900"/>
        <w:jc w:val="both"/>
        <w:rPr>
          <w:rFonts w:ascii="Arial" w:hAnsi="Arial" w:cs="Arial"/>
          <w:sz w:val="20"/>
        </w:rPr>
      </w:pPr>
      <w:r>
        <w:rPr>
          <w:rFonts w:ascii="Arial" w:hAnsi="Arial" w:cs="Arial"/>
          <w:sz w:val="20"/>
        </w:rPr>
        <w:t>While NZS for a couple</w:t>
      </w:r>
      <w:r w:rsidR="000370BC" w:rsidRPr="000370BC">
        <w:rPr>
          <w:rFonts w:ascii="Arial" w:hAnsi="Arial" w:cs="Arial"/>
          <w:sz w:val="20"/>
        </w:rPr>
        <w:t xml:space="preserve"> remained steady at 66%</w:t>
      </w:r>
      <w:r w:rsidR="00367ED0">
        <w:rPr>
          <w:rFonts w:ascii="Arial" w:hAnsi="Arial" w:cs="Arial"/>
          <w:sz w:val="20"/>
        </w:rPr>
        <w:t xml:space="preserve"> to 68%</w:t>
      </w:r>
      <w:r w:rsidR="000370BC" w:rsidRPr="000370BC">
        <w:rPr>
          <w:rFonts w:ascii="Arial" w:hAnsi="Arial" w:cs="Arial"/>
          <w:sz w:val="20"/>
        </w:rPr>
        <w:t xml:space="preserve"> of net average ordinary time earnings</w:t>
      </w:r>
      <w:r>
        <w:rPr>
          <w:rFonts w:ascii="Arial" w:hAnsi="Arial" w:cs="Arial"/>
          <w:sz w:val="20"/>
        </w:rPr>
        <w:t xml:space="preserve"> from 200</w:t>
      </w:r>
      <w:r w:rsidR="00367ED0">
        <w:rPr>
          <w:rFonts w:ascii="Arial" w:hAnsi="Arial" w:cs="Arial"/>
          <w:sz w:val="20"/>
        </w:rPr>
        <w:t>1</w:t>
      </w:r>
      <w:r>
        <w:rPr>
          <w:rFonts w:ascii="Arial" w:hAnsi="Arial" w:cs="Arial"/>
          <w:sz w:val="20"/>
        </w:rPr>
        <w:t xml:space="preserve"> to 2010</w:t>
      </w:r>
      <w:r w:rsidR="000370BC" w:rsidRPr="000370BC">
        <w:rPr>
          <w:rFonts w:ascii="Arial" w:hAnsi="Arial" w:cs="Arial"/>
          <w:sz w:val="20"/>
        </w:rPr>
        <w:t xml:space="preserve">, </w:t>
      </w:r>
      <w:r>
        <w:rPr>
          <w:rFonts w:ascii="Arial" w:hAnsi="Arial" w:cs="Arial"/>
          <w:sz w:val="20"/>
        </w:rPr>
        <w:t>its value relative to median household income declined from 58% in 2001 to 48% in 2009.</w:t>
      </w:r>
      <w:r w:rsidR="00367ED0" w:rsidRPr="00367ED0">
        <w:rPr>
          <w:rFonts w:ascii="Arial" w:hAnsi="Arial" w:cs="Arial"/>
          <w:sz w:val="20"/>
        </w:rPr>
        <w:t xml:space="preserve"> </w:t>
      </w:r>
    </w:p>
    <w:p w14:paraId="42EC5E4B" w14:textId="1887D244" w:rsidR="004C128F" w:rsidRDefault="00832634" w:rsidP="00930085">
      <w:pPr>
        <w:numPr>
          <w:ilvl w:val="0"/>
          <w:numId w:val="2"/>
        </w:numPr>
        <w:tabs>
          <w:tab w:val="clear" w:pos="720"/>
          <w:tab w:val="num" w:pos="900"/>
        </w:tabs>
        <w:spacing w:before="120"/>
        <w:ind w:left="900"/>
        <w:jc w:val="both"/>
        <w:rPr>
          <w:rFonts w:ascii="Arial" w:hAnsi="Arial" w:cs="Arial"/>
          <w:sz w:val="20"/>
        </w:rPr>
      </w:pPr>
      <w:r>
        <w:rPr>
          <w:noProof/>
          <w:lang w:val="en-US"/>
        </w:rPr>
        <w:drawing>
          <wp:anchor distT="0" distB="0" distL="182880" distR="0" simplePos="0" relativeHeight="251660288" behindDoc="0" locked="0" layoutInCell="1" allowOverlap="1" wp14:anchorId="09A411F4" wp14:editId="6E67A091">
            <wp:simplePos x="0" y="0"/>
            <wp:positionH relativeFrom="column">
              <wp:posOffset>2799715</wp:posOffset>
            </wp:positionH>
            <wp:positionV relativeFrom="paragraph">
              <wp:posOffset>61595</wp:posOffset>
            </wp:positionV>
            <wp:extent cx="3009900" cy="1866900"/>
            <wp:effectExtent l="0" t="0" r="12700" b="12700"/>
            <wp:wrapSquare wrapText="lef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0990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C128F" w:rsidRPr="004C128F">
        <w:rPr>
          <w:rFonts w:ascii="Arial" w:hAnsi="Arial" w:cs="Arial"/>
          <w:sz w:val="20"/>
        </w:rPr>
        <w:t>This relative decline reflects the fact that median household income rose quite strongly in real terms from 2001 to 2009</w:t>
      </w:r>
      <w:r w:rsidR="00367ED0">
        <w:rPr>
          <w:rFonts w:ascii="Arial" w:hAnsi="Arial" w:cs="Arial"/>
          <w:sz w:val="20"/>
        </w:rPr>
        <w:t xml:space="preserve"> (+23%)</w:t>
      </w:r>
      <w:r w:rsidR="004C128F" w:rsidRPr="004C128F">
        <w:rPr>
          <w:rFonts w:ascii="Arial" w:hAnsi="Arial" w:cs="Arial"/>
          <w:sz w:val="20"/>
        </w:rPr>
        <w:t xml:space="preserve">, while NZS increased only a little in real terms.  </w:t>
      </w:r>
    </w:p>
    <w:p w14:paraId="00EA33F3" w14:textId="77777777" w:rsidR="000C1991" w:rsidRDefault="007D77FE" w:rsidP="000C1991">
      <w:pPr>
        <w:numPr>
          <w:ilvl w:val="0"/>
          <w:numId w:val="2"/>
        </w:numPr>
        <w:tabs>
          <w:tab w:val="clear" w:pos="720"/>
          <w:tab w:val="num" w:pos="900"/>
        </w:tabs>
        <w:spacing w:before="120"/>
        <w:ind w:left="900"/>
        <w:jc w:val="both"/>
        <w:rPr>
          <w:rFonts w:ascii="Arial" w:hAnsi="Arial" w:cs="Arial"/>
          <w:sz w:val="20"/>
        </w:rPr>
      </w:pPr>
      <w:r>
        <w:rPr>
          <w:rFonts w:ascii="Arial" w:hAnsi="Arial" w:cs="Arial"/>
          <w:sz w:val="20"/>
        </w:rPr>
        <w:t>From HES 2009 to HES 2010 the value of NZS recovered to around 51% of the median.  The turnaround reflects (a) the small (</w:t>
      </w:r>
      <w:r w:rsidR="004C128F">
        <w:rPr>
          <w:rFonts w:ascii="Arial" w:hAnsi="Arial" w:cs="Arial"/>
          <w:sz w:val="20"/>
        </w:rPr>
        <w:t>+</w:t>
      </w:r>
      <w:r>
        <w:rPr>
          <w:rFonts w:ascii="Arial" w:hAnsi="Arial" w:cs="Arial"/>
          <w:sz w:val="20"/>
        </w:rPr>
        <w:t>1%) real increase in median household income</w:t>
      </w:r>
      <w:r w:rsidR="004C128F">
        <w:rPr>
          <w:rFonts w:ascii="Arial" w:hAnsi="Arial" w:cs="Arial"/>
          <w:sz w:val="20"/>
        </w:rPr>
        <w:t xml:space="preserve">, and (b) </w:t>
      </w:r>
      <w:r w:rsidR="004C128F" w:rsidRPr="004C128F">
        <w:rPr>
          <w:rFonts w:ascii="Arial" w:hAnsi="Arial" w:cs="Arial"/>
          <w:sz w:val="20"/>
        </w:rPr>
        <w:t xml:space="preserve">the </w:t>
      </w:r>
      <w:r w:rsidR="004C128F">
        <w:rPr>
          <w:rFonts w:ascii="Arial" w:hAnsi="Arial" w:cs="Arial"/>
          <w:sz w:val="20"/>
        </w:rPr>
        <w:t xml:space="preserve">greater </w:t>
      </w:r>
      <w:r w:rsidR="004C128F" w:rsidRPr="004C128F">
        <w:rPr>
          <w:rFonts w:ascii="Arial" w:hAnsi="Arial" w:cs="Arial"/>
          <w:sz w:val="20"/>
        </w:rPr>
        <w:t>increase in NZS from the tax cuts of October 2008 and April</w:t>
      </w:r>
      <w:r w:rsidR="004C128F">
        <w:rPr>
          <w:rFonts w:ascii="Arial" w:hAnsi="Arial" w:cs="Arial"/>
          <w:sz w:val="20"/>
        </w:rPr>
        <w:t xml:space="preserve"> 2009</w:t>
      </w:r>
      <w:r w:rsidR="00173F05">
        <w:rPr>
          <w:rFonts w:ascii="Arial" w:hAnsi="Arial" w:cs="Arial"/>
          <w:sz w:val="20"/>
        </w:rPr>
        <w:t>.</w:t>
      </w:r>
    </w:p>
    <w:p w14:paraId="33D79671" w14:textId="77777777" w:rsidR="000370BC" w:rsidRPr="000370BC" w:rsidRDefault="00367ED0" w:rsidP="00930085">
      <w:pPr>
        <w:numPr>
          <w:ilvl w:val="0"/>
          <w:numId w:val="2"/>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vast majority of older New Zealanders remain heavily dependent on NZS for their income</w:t>
      </w:r>
      <w:r w:rsidR="00543C71">
        <w:rPr>
          <w:rFonts w:ascii="Arial" w:hAnsi="Arial" w:cs="Arial"/>
          <w:sz w:val="20"/>
        </w:rPr>
        <w:t>:</w:t>
      </w:r>
    </w:p>
    <w:p w14:paraId="70B34A7C" w14:textId="77777777" w:rsidR="000370BC" w:rsidRPr="000370BC" w:rsidRDefault="000370BC" w:rsidP="00543C71">
      <w:pPr>
        <w:numPr>
          <w:ilvl w:val="0"/>
          <w:numId w:val="25"/>
        </w:numPr>
        <w:tabs>
          <w:tab w:val="clear" w:pos="720"/>
          <w:tab w:val="num" w:pos="1260"/>
        </w:tabs>
        <w:spacing w:before="60"/>
        <w:ind w:left="1267" w:hanging="187"/>
        <w:jc w:val="both"/>
        <w:rPr>
          <w:rFonts w:ascii="Arial" w:hAnsi="Arial" w:cs="Arial"/>
          <w:sz w:val="20"/>
        </w:rPr>
      </w:pPr>
      <w:r w:rsidRPr="000370BC">
        <w:rPr>
          <w:rFonts w:ascii="Arial" w:hAnsi="Arial" w:cs="Arial"/>
          <w:sz w:val="20"/>
        </w:rPr>
        <w:t>40% have next to no other income, and the next 20%, those in the middle quintile, receive 85% of their income from NZS</w:t>
      </w:r>
    </w:p>
    <w:p w14:paraId="293D6FCC" w14:textId="77777777" w:rsidR="004C128F" w:rsidRDefault="000370BC" w:rsidP="00543C71">
      <w:pPr>
        <w:numPr>
          <w:ilvl w:val="0"/>
          <w:numId w:val="25"/>
        </w:numPr>
        <w:tabs>
          <w:tab w:val="clear" w:pos="720"/>
          <w:tab w:val="num" w:pos="1260"/>
        </w:tabs>
        <w:spacing w:before="60"/>
        <w:ind w:left="1267" w:hanging="187"/>
        <w:jc w:val="both"/>
        <w:rPr>
          <w:rFonts w:ascii="Arial" w:hAnsi="Arial" w:cs="Arial"/>
          <w:sz w:val="20"/>
        </w:rPr>
      </w:pPr>
      <w:r w:rsidRPr="000370BC">
        <w:rPr>
          <w:rFonts w:ascii="Arial" w:hAnsi="Arial" w:cs="Arial"/>
          <w:sz w:val="20"/>
        </w:rPr>
        <w:t>around half of older New Zealanders receive less than $100 pw from non-government sources (</w:t>
      </w:r>
      <w:r w:rsidR="00F80E63">
        <w:rPr>
          <w:rFonts w:ascii="Arial" w:hAnsi="Arial" w:cs="Arial"/>
          <w:sz w:val="20"/>
        </w:rPr>
        <w:t xml:space="preserve">eg  </w:t>
      </w:r>
      <w:r w:rsidRPr="000370BC">
        <w:rPr>
          <w:rFonts w:ascii="Arial" w:hAnsi="Arial" w:cs="Arial"/>
          <w:sz w:val="20"/>
        </w:rPr>
        <w:t>employment, private superannuation, other investment returns).</w:t>
      </w:r>
    </w:p>
    <w:p w14:paraId="34F6A0D4" w14:textId="77777777" w:rsidR="0015708D" w:rsidRDefault="000C1991" w:rsidP="0015708D">
      <w:pPr>
        <w:numPr>
          <w:ilvl w:val="0"/>
          <w:numId w:val="2"/>
        </w:numPr>
        <w:tabs>
          <w:tab w:val="clear" w:pos="720"/>
          <w:tab w:val="num" w:pos="900"/>
        </w:tabs>
        <w:spacing w:before="120"/>
        <w:ind w:left="900"/>
        <w:jc w:val="both"/>
        <w:rPr>
          <w:rFonts w:ascii="Arial" w:hAnsi="Arial" w:cs="Arial"/>
          <w:sz w:val="20"/>
        </w:rPr>
      </w:pPr>
      <w:r>
        <w:rPr>
          <w:rFonts w:ascii="Arial" w:hAnsi="Arial" w:cs="Arial"/>
          <w:sz w:val="20"/>
        </w:rPr>
        <w:t xml:space="preserve">If a 50% of median BHC poverty measure is used (as the OECD does), then the reported poverty rate for older New Zealanders shows a sudden and large increase </w:t>
      </w:r>
      <w:r w:rsidR="0015708D">
        <w:rPr>
          <w:rFonts w:ascii="Arial" w:hAnsi="Arial" w:cs="Arial"/>
          <w:sz w:val="20"/>
        </w:rPr>
        <w:t>from close to zero in 2001 to 2</w:t>
      </w:r>
      <w:r w:rsidR="00431E94">
        <w:rPr>
          <w:rFonts w:ascii="Arial" w:hAnsi="Arial" w:cs="Arial"/>
          <w:sz w:val="20"/>
        </w:rPr>
        <w:t>2</w:t>
      </w:r>
      <w:r w:rsidR="0015708D">
        <w:rPr>
          <w:rFonts w:ascii="Arial" w:hAnsi="Arial" w:cs="Arial"/>
          <w:sz w:val="20"/>
        </w:rPr>
        <w:t xml:space="preserve">% </w:t>
      </w:r>
      <w:r>
        <w:rPr>
          <w:rFonts w:ascii="Arial" w:hAnsi="Arial" w:cs="Arial"/>
          <w:sz w:val="20"/>
        </w:rPr>
        <w:t xml:space="preserve">in HES 2009, followed by a similarly large decrease </w:t>
      </w:r>
      <w:r w:rsidR="0015708D">
        <w:rPr>
          <w:rFonts w:ascii="Arial" w:hAnsi="Arial" w:cs="Arial"/>
          <w:sz w:val="20"/>
        </w:rPr>
        <w:t xml:space="preserve">to 13% </w:t>
      </w:r>
      <w:r>
        <w:rPr>
          <w:rFonts w:ascii="Arial" w:hAnsi="Arial" w:cs="Arial"/>
          <w:sz w:val="20"/>
        </w:rPr>
        <w:t xml:space="preserve">for 2010 </w:t>
      </w:r>
      <w:r w:rsidR="0015708D">
        <w:rPr>
          <w:rFonts w:ascii="Arial" w:hAnsi="Arial" w:cs="Arial"/>
          <w:sz w:val="20"/>
        </w:rPr>
        <w:t xml:space="preserve"> and probably back to close to zero for the 2011 HES after the impact of the October 2010 tax changes are captured.  </w:t>
      </w:r>
    </w:p>
    <w:p w14:paraId="7484B5EF" w14:textId="77777777" w:rsidR="000C1991" w:rsidRPr="00245F8A" w:rsidRDefault="000C1991" w:rsidP="0015708D">
      <w:pPr>
        <w:numPr>
          <w:ilvl w:val="0"/>
          <w:numId w:val="2"/>
        </w:numPr>
        <w:tabs>
          <w:tab w:val="clear" w:pos="720"/>
          <w:tab w:val="num" w:pos="900"/>
        </w:tabs>
        <w:spacing w:before="120"/>
        <w:ind w:left="900"/>
        <w:jc w:val="both"/>
        <w:rPr>
          <w:rFonts w:ascii="Arial" w:hAnsi="Arial" w:cs="Arial"/>
          <w:sz w:val="20"/>
        </w:rPr>
      </w:pPr>
      <w:r w:rsidRPr="0015708D">
        <w:rPr>
          <w:rFonts w:ascii="Arial" w:hAnsi="Arial" w:cs="Arial"/>
          <w:sz w:val="20"/>
          <w:szCs w:val="22"/>
        </w:rPr>
        <w:t>This sudden rise and fall of the income poverty rate for older New Zealanders can easily leave the misleading impression that there has been a very large and sudden change for the worse in the actual living conditions of many older New Zealanders, followed by an equally sudden improvement.  Neither conclusion is warranted.  The rapid changes simply reflect the existence of the</w:t>
      </w:r>
      <w:r w:rsidR="00766624">
        <w:rPr>
          <w:rFonts w:ascii="Arial" w:hAnsi="Arial" w:cs="Arial"/>
          <w:sz w:val="20"/>
          <w:szCs w:val="22"/>
        </w:rPr>
        <w:t xml:space="preserve"> strong clustering of household incomes for older New Zealanders at and just above the level of NZS (the ‘pensioner spike’) </w:t>
      </w:r>
      <w:r w:rsidRPr="0015708D">
        <w:rPr>
          <w:rFonts w:ascii="Arial" w:hAnsi="Arial" w:cs="Arial"/>
          <w:sz w:val="20"/>
          <w:szCs w:val="22"/>
        </w:rPr>
        <w:t>in the New Zealand income distribution.</w:t>
      </w:r>
    </w:p>
    <w:p w14:paraId="2244989F" w14:textId="77777777" w:rsidR="00245F8A" w:rsidRPr="0015708D" w:rsidRDefault="00245F8A" w:rsidP="0015708D">
      <w:pPr>
        <w:numPr>
          <w:ilvl w:val="0"/>
          <w:numId w:val="2"/>
        </w:numPr>
        <w:tabs>
          <w:tab w:val="clear" w:pos="720"/>
          <w:tab w:val="num" w:pos="900"/>
        </w:tabs>
        <w:spacing w:before="120"/>
        <w:ind w:left="900"/>
        <w:jc w:val="both"/>
        <w:rPr>
          <w:rFonts w:ascii="Arial" w:hAnsi="Arial" w:cs="Arial"/>
          <w:sz w:val="20"/>
        </w:rPr>
      </w:pPr>
      <w:r>
        <w:rPr>
          <w:rFonts w:ascii="Arial" w:hAnsi="Arial" w:cs="Arial"/>
          <w:sz w:val="20"/>
          <w:szCs w:val="22"/>
        </w:rPr>
        <w:t>This sort of anomaly is one of the reasons that the Incomes Report advocates the use of AHC incomes and non-monetary indicators for assessing the material wellbeing of households.</w:t>
      </w:r>
    </w:p>
    <w:p w14:paraId="3C9FDCE9" w14:textId="77777777" w:rsidR="0015708D" w:rsidRPr="007D77FE" w:rsidRDefault="0015708D" w:rsidP="000370BC">
      <w:pPr>
        <w:ind w:left="360" w:hanging="360"/>
        <w:jc w:val="both"/>
        <w:rPr>
          <w:rFonts w:ascii="Arial" w:hAnsi="Arial" w:cs="Arial"/>
          <w:b/>
          <w:sz w:val="22"/>
          <w:szCs w:val="22"/>
        </w:rPr>
      </w:pPr>
    </w:p>
    <w:p w14:paraId="5BEAA59E" w14:textId="77777777" w:rsidR="000370BC" w:rsidRPr="000370BC" w:rsidRDefault="000370BC" w:rsidP="000370BC">
      <w:pPr>
        <w:ind w:left="450" w:hanging="450"/>
        <w:jc w:val="both"/>
        <w:rPr>
          <w:rFonts w:ascii="Arial" w:hAnsi="Arial" w:cs="Arial"/>
          <w:b/>
          <w:sz w:val="20"/>
        </w:rPr>
      </w:pPr>
      <w:r w:rsidRPr="000370BC">
        <w:rPr>
          <w:rFonts w:ascii="Arial" w:hAnsi="Arial" w:cs="Arial"/>
          <w:b/>
          <w:sz w:val="20"/>
        </w:rPr>
        <w:t>1</w:t>
      </w:r>
      <w:r w:rsidR="00F80E63">
        <w:rPr>
          <w:rFonts w:ascii="Arial" w:hAnsi="Arial" w:cs="Arial"/>
          <w:b/>
          <w:sz w:val="20"/>
        </w:rPr>
        <w:t>4</w:t>
      </w:r>
      <w:r w:rsidRPr="000370BC">
        <w:rPr>
          <w:rFonts w:ascii="Arial" w:hAnsi="Arial" w:cs="Arial"/>
          <w:b/>
          <w:sz w:val="20"/>
        </w:rPr>
        <w:tab/>
      </w:r>
      <w:r w:rsidR="00993CBD">
        <w:rPr>
          <w:rFonts w:ascii="Arial" w:hAnsi="Arial" w:cs="Arial"/>
          <w:b/>
          <w:sz w:val="20"/>
        </w:rPr>
        <w:t>Hardship</w:t>
      </w:r>
      <w:r w:rsidRPr="000370BC">
        <w:rPr>
          <w:rFonts w:ascii="Arial" w:hAnsi="Arial" w:cs="Arial"/>
          <w:b/>
          <w:sz w:val="20"/>
        </w:rPr>
        <w:t xml:space="preserve"> rates for older New Zealanders still remain lower than those for other age groups</w:t>
      </w:r>
    </w:p>
    <w:p w14:paraId="53E08978" w14:textId="77777777" w:rsidR="002F4A1C" w:rsidRPr="000370BC" w:rsidRDefault="00993CBD" w:rsidP="002F4A1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In 2010</w:t>
      </w:r>
      <w:r w:rsidR="000370BC" w:rsidRPr="000370BC">
        <w:rPr>
          <w:rFonts w:ascii="Arial" w:hAnsi="Arial" w:cs="Arial"/>
          <w:sz w:val="20"/>
        </w:rPr>
        <w:t xml:space="preserve">, the 60% AHC </w:t>
      </w:r>
      <w:r>
        <w:rPr>
          <w:rFonts w:ascii="Arial" w:hAnsi="Arial" w:cs="Arial"/>
          <w:sz w:val="20"/>
        </w:rPr>
        <w:t xml:space="preserve">fixed line </w:t>
      </w:r>
      <w:r w:rsidR="000370BC" w:rsidRPr="000370BC">
        <w:rPr>
          <w:rFonts w:ascii="Arial" w:hAnsi="Arial" w:cs="Arial"/>
          <w:sz w:val="20"/>
        </w:rPr>
        <w:t xml:space="preserve">poverty rate for the 65+ age group was </w:t>
      </w:r>
      <w:r w:rsidR="002F4A1C">
        <w:rPr>
          <w:rFonts w:ascii="Arial" w:hAnsi="Arial" w:cs="Arial"/>
          <w:sz w:val="20"/>
        </w:rPr>
        <w:t>7</w:t>
      </w:r>
      <w:r w:rsidR="000370BC" w:rsidRPr="000370BC">
        <w:rPr>
          <w:rFonts w:ascii="Arial" w:hAnsi="Arial" w:cs="Arial"/>
          <w:sz w:val="20"/>
        </w:rPr>
        <w:t>%, compared with 1</w:t>
      </w:r>
      <w:r w:rsidR="002F4A1C">
        <w:rPr>
          <w:rFonts w:ascii="Arial" w:hAnsi="Arial" w:cs="Arial"/>
          <w:sz w:val="20"/>
        </w:rPr>
        <w:t>2</w:t>
      </w:r>
      <w:r w:rsidR="000370BC" w:rsidRPr="000370BC">
        <w:rPr>
          <w:rFonts w:ascii="Arial" w:hAnsi="Arial" w:cs="Arial"/>
          <w:sz w:val="20"/>
        </w:rPr>
        <w:t xml:space="preserve">% for 45-64 year olds, 15% for </w:t>
      </w:r>
      <w:r w:rsidR="002F4A1C">
        <w:rPr>
          <w:rFonts w:ascii="Arial" w:hAnsi="Arial" w:cs="Arial"/>
          <w:sz w:val="20"/>
        </w:rPr>
        <w:t>18</w:t>
      </w:r>
      <w:r w:rsidR="000370BC" w:rsidRPr="000370BC">
        <w:rPr>
          <w:rFonts w:ascii="Arial" w:hAnsi="Arial" w:cs="Arial"/>
          <w:sz w:val="20"/>
        </w:rPr>
        <w:t xml:space="preserve">-44 year olds, and 22% for </w:t>
      </w:r>
      <w:r w:rsidR="002F4A1C">
        <w:rPr>
          <w:rFonts w:ascii="Arial" w:hAnsi="Arial" w:cs="Arial"/>
          <w:sz w:val="20"/>
        </w:rPr>
        <w:t>children (aged 0-17 years).</w:t>
      </w:r>
    </w:p>
    <w:p w14:paraId="6806B016" w14:textId="77777777" w:rsidR="000370BC" w:rsidRPr="000370BC" w:rsidRDefault="002F4A1C"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S</w:t>
      </w:r>
      <w:r w:rsidR="000370BC" w:rsidRPr="000370BC">
        <w:rPr>
          <w:rFonts w:ascii="Arial" w:hAnsi="Arial" w:cs="Arial"/>
          <w:sz w:val="20"/>
        </w:rPr>
        <w:t xml:space="preserve">imilar relativities are shown using the more stringent 50% of median </w:t>
      </w:r>
      <w:r>
        <w:rPr>
          <w:rFonts w:ascii="Arial" w:hAnsi="Arial" w:cs="Arial"/>
          <w:sz w:val="20"/>
        </w:rPr>
        <w:t>moving</w:t>
      </w:r>
      <w:r w:rsidR="000370BC" w:rsidRPr="000370BC">
        <w:rPr>
          <w:rFonts w:ascii="Arial" w:hAnsi="Arial" w:cs="Arial"/>
          <w:sz w:val="20"/>
        </w:rPr>
        <w:t xml:space="preserve"> line AHC measure: 5%, 10%, 11% and 16% respectively</w:t>
      </w:r>
      <w:r>
        <w:rPr>
          <w:rFonts w:ascii="Arial" w:hAnsi="Arial" w:cs="Arial"/>
          <w:sz w:val="20"/>
        </w:rPr>
        <w:t>.</w:t>
      </w:r>
    </w:p>
    <w:p w14:paraId="639E209E" w14:textId="77777777" w:rsidR="00B220AF" w:rsidRPr="000370BC" w:rsidRDefault="00B220AF" w:rsidP="00B220AF">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 xml:space="preserve">Hardship rates in 2010 were higher </w:t>
      </w:r>
      <w:r w:rsidR="004A1149">
        <w:rPr>
          <w:rFonts w:ascii="Arial" w:hAnsi="Arial" w:cs="Arial"/>
          <w:sz w:val="20"/>
        </w:rPr>
        <w:t xml:space="preserve">for </w:t>
      </w:r>
      <w:r>
        <w:rPr>
          <w:rFonts w:ascii="Arial" w:hAnsi="Arial" w:cs="Arial"/>
          <w:sz w:val="20"/>
        </w:rPr>
        <w:t>those on their own (11%) than for couples (5%).</w:t>
      </w:r>
      <w:r w:rsidRPr="000370BC">
        <w:rPr>
          <w:rFonts w:ascii="Arial" w:hAnsi="Arial" w:cs="Arial"/>
          <w:sz w:val="20"/>
        </w:rPr>
        <w:t xml:space="preserve"> </w:t>
      </w:r>
    </w:p>
    <w:p w14:paraId="44564B6E" w14:textId="77777777" w:rsidR="00C575F7" w:rsidRDefault="001E6167" w:rsidP="00930085">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The</w:t>
      </w:r>
      <w:r w:rsidR="000370BC" w:rsidRPr="000370BC">
        <w:rPr>
          <w:rFonts w:ascii="Arial" w:hAnsi="Arial" w:cs="Arial"/>
          <w:sz w:val="20"/>
        </w:rPr>
        <w:t xml:space="preserve"> lower hardship rate for older New Zealanders reflects the mix of universal public provision (mainly NZS) and the private provision built up by most of the cur</w:t>
      </w:r>
      <w:r w:rsidR="00E06E11">
        <w:rPr>
          <w:rFonts w:ascii="Arial" w:hAnsi="Arial" w:cs="Arial"/>
          <w:sz w:val="20"/>
        </w:rPr>
        <w:t xml:space="preserve">rent cohort over their lifetime.  A </w:t>
      </w:r>
      <w:r w:rsidR="000370BC" w:rsidRPr="000370BC">
        <w:rPr>
          <w:rFonts w:ascii="Arial" w:hAnsi="Arial" w:cs="Arial"/>
          <w:sz w:val="20"/>
        </w:rPr>
        <w:t>key component of th</w:t>
      </w:r>
      <w:r w:rsidR="00F80E63">
        <w:rPr>
          <w:rFonts w:ascii="Arial" w:hAnsi="Arial" w:cs="Arial"/>
          <w:sz w:val="20"/>
        </w:rPr>
        <w:t>is</w:t>
      </w:r>
      <w:r w:rsidR="000370BC" w:rsidRPr="000370BC">
        <w:rPr>
          <w:rFonts w:ascii="Arial" w:hAnsi="Arial" w:cs="Arial"/>
          <w:sz w:val="20"/>
        </w:rPr>
        <w:t xml:space="preserve"> private provision is mortgage-free home ownership which is relatively high among the current cohort</w:t>
      </w:r>
      <w:r w:rsidR="00E06E11">
        <w:rPr>
          <w:rFonts w:ascii="Arial" w:hAnsi="Arial" w:cs="Arial"/>
          <w:sz w:val="20"/>
        </w:rPr>
        <w:t xml:space="preserve">. </w:t>
      </w:r>
    </w:p>
    <w:p w14:paraId="3D98825E" w14:textId="77777777" w:rsidR="0031312B" w:rsidRPr="000370BC" w:rsidRDefault="003B5448" w:rsidP="0031312B">
      <w:pPr>
        <w:ind w:left="450" w:hanging="450"/>
        <w:jc w:val="both"/>
        <w:rPr>
          <w:rFonts w:ascii="Arial" w:hAnsi="Arial" w:cs="Arial"/>
          <w:b/>
          <w:sz w:val="20"/>
        </w:rPr>
      </w:pPr>
      <w:r>
        <w:rPr>
          <w:rFonts w:ascii="Arial" w:hAnsi="Arial" w:cs="Arial"/>
          <w:b/>
          <w:sz w:val="20"/>
        </w:rPr>
        <w:br w:type="page"/>
      </w:r>
      <w:r w:rsidR="0031312B" w:rsidRPr="000370BC">
        <w:rPr>
          <w:rFonts w:ascii="Arial" w:hAnsi="Arial" w:cs="Arial"/>
          <w:b/>
          <w:sz w:val="20"/>
        </w:rPr>
        <w:lastRenderedPageBreak/>
        <w:t>1</w:t>
      </w:r>
      <w:r w:rsidR="000F441B">
        <w:rPr>
          <w:rFonts w:ascii="Arial" w:hAnsi="Arial" w:cs="Arial"/>
          <w:b/>
          <w:sz w:val="20"/>
        </w:rPr>
        <w:t>5</w:t>
      </w:r>
      <w:r w:rsidR="0031312B" w:rsidRPr="000370BC">
        <w:rPr>
          <w:rFonts w:ascii="Arial" w:hAnsi="Arial" w:cs="Arial"/>
          <w:b/>
          <w:sz w:val="20"/>
        </w:rPr>
        <w:tab/>
      </w:r>
      <w:r w:rsidR="0031312B">
        <w:rPr>
          <w:rFonts w:ascii="Arial" w:hAnsi="Arial" w:cs="Arial"/>
          <w:b/>
          <w:sz w:val="20"/>
        </w:rPr>
        <w:t>International comparisons</w:t>
      </w:r>
    </w:p>
    <w:p w14:paraId="1ECE2DF6" w14:textId="77777777" w:rsidR="0031312B" w:rsidRDefault="0031312B" w:rsidP="0031312B">
      <w:pPr>
        <w:numPr>
          <w:ilvl w:val="0"/>
          <w:numId w:val="1"/>
        </w:numPr>
        <w:tabs>
          <w:tab w:val="clear" w:pos="720"/>
          <w:tab w:val="num" w:pos="900"/>
        </w:tabs>
        <w:spacing w:before="120"/>
        <w:ind w:left="900"/>
        <w:jc w:val="both"/>
        <w:rPr>
          <w:rFonts w:ascii="Arial" w:hAnsi="Arial" w:cs="Arial"/>
          <w:sz w:val="20"/>
        </w:rPr>
      </w:pPr>
      <w:r w:rsidRPr="0031312B">
        <w:rPr>
          <w:rFonts w:ascii="Arial" w:hAnsi="Arial" w:cs="Arial"/>
          <w:sz w:val="20"/>
        </w:rPr>
        <w:t xml:space="preserve">The OECD and EU publish international league tables that rank countries on their income poverty rates using 50% and 60% of median poverty lines respectively. </w:t>
      </w:r>
    </w:p>
    <w:p w14:paraId="66C5F9BA" w14:textId="6B30BDD9" w:rsidR="0031312B" w:rsidRPr="0031312B" w:rsidRDefault="00832634" w:rsidP="0031312B">
      <w:pPr>
        <w:numPr>
          <w:ilvl w:val="0"/>
          <w:numId w:val="1"/>
        </w:numPr>
        <w:spacing w:before="120"/>
        <w:ind w:left="907"/>
        <w:jc w:val="both"/>
        <w:rPr>
          <w:rFonts w:ascii="Arial" w:hAnsi="Arial" w:cs="Arial"/>
          <w:sz w:val="20"/>
          <w:szCs w:val="20"/>
        </w:rPr>
      </w:pPr>
      <w:r w:rsidRPr="0031312B">
        <w:rPr>
          <w:rFonts w:ascii="Arial" w:hAnsi="Arial" w:cs="Arial"/>
          <w:noProof/>
          <w:lang w:val="en-US"/>
        </w:rPr>
        <w:drawing>
          <wp:anchor distT="0" distB="0" distL="274320" distR="0" simplePos="0" relativeHeight="251661312" behindDoc="0" locked="0" layoutInCell="1" allowOverlap="1" wp14:anchorId="765183FF" wp14:editId="69653861">
            <wp:simplePos x="0" y="0"/>
            <wp:positionH relativeFrom="column">
              <wp:posOffset>3450590</wp:posOffset>
            </wp:positionH>
            <wp:positionV relativeFrom="paragraph">
              <wp:posOffset>370205</wp:posOffset>
            </wp:positionV>
            <wp:extent cx="2299970" cy="930275"/>
            <wp:effectExtent l="0" t="0" r="11430" b="9525"/>
            <wp:wrapSquare wrapText="lef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997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12B" w:rsidRPr="0031312B">
        <w:rPr>
          <w:rFonts w:ascii="Arial" w:hAnsi="Arial" w:cs="Arial"/>
          <w:noProof/>
          <w:sz w:val="20"/>
          <w:szCs w:val="20"/>
        </w:rPr>
        <w:tab/>
        <w:t xml:space="preserve">On the latest available figures (2008-09) New Zealand’s population and child poverty rates are close to the overall medians for both measures. </w:t>
      </w:r>
    </w:p>
    <w:p w14:paraId="540A39B9" w14:textId="77777777" w:rsidR="0031312B" w:rsidRPr="0031312B" w:rsidRDefault="0031312B" w:rsidP="0031312B">
      <w:pPr>
        <w:numPr>
          <w:ilvl w:val="0"/>
          <w:numId w:val="1"/>
        </w:numPr>
        <w:spacing w:before="120"/>
        <w:ind w:left="907"/>
        <w:jc w:val="both"/>
        <w:rPr>
          <w:rFonts w:ascii="Arial" w:hAnsi="Arial" w:cs="Arial"/>
          <w:sz w:val="20"/>
          <w:szCs w:val="20"/>
        </w:rPr>
      </w:pPr>
      <w:r w:rsidRPr="0031312B">
        <w:rPr>
          <w:rFonts w:ascii="Arial" w:hAnsi="Arial" w:cs="Arial"/>
          <w:noProof/>
          <w:sz w:val="20"/>
          <w:szCs w:val="20"/>
        </w:rPr>
        <w:tab/>
        <w:t>These</w:t>
      </w:r>
      <w:r w:rsidRPr="0031312B">
        <w:rPr>
          <w:rFonts w:ascii="Arial" w:hAnsi="Arial" w:cs="Arial"/>
          <w:sz w:val="20"/>
        </w:rPr>
        <w:t xml:space="preserve"> league tables in effect compare how far </w:t>
      </w:r>
      <w:r w:rsidRPr="0031312B">
        <w:rPr>
          <w:rFonts w:ascii="Arial" w:hAnsi="Arial" w:cs="Arial"/>
          <w:noProof/>
          <w:sz w:val="20"/>
          <w:szCs w:val="20"/>
        </w:rPr>
        <w:t>low-income households are from the median for each country.  They can be seen as comparing inequality levels in the lower half of the income distribution.</w:t>
      </w:r>
    </w:p>
    <w:p w14:paraId="2755504A" w14:textId="77777777" w:rsidR="0031312B" w:rsidRPr="0031312B" w:rsidRDefault="0031312B" w:rsidP="0031312B">
      <w:pPr>
        <w:numPr>
          <w:ilvl w:val="0"/>
          <w:numId w:val="1"/>
        </w:numPr>
        <w:spacing w:before="120"/>
        <w:ind w:left="907"/>
        <w:jc w:val="both"/>
        <w:rPr>
          <w:rFonts w:ascii="Arial" w:hAnsi="Arial" w:cs="Arial"/>
          <w:sz w:val="20"/>
          <w:szCs w:val="20"/>
        </w:rPr>
      </w:pPr>
      <w:r w:rsidRPr="0031312B">
        <w:rPr>
          <w:rFonts w:ascii="Arial" w:hAnsi="Arial" w:cs="Arial"/>
          <w:sz w:val="20"/>
        </w:rPr>
        <w:tab/>
        <w:t>The information is however often used as if the rankings indicate the extent of material hardship assessed against a common absolute international standard. Thus a country like the Czech Republic with a child poverty rate of 10% is considered to be ‘doing better for it’s children’ than, say, Ireland (16%), whereas in daily living the ‘poor’ in Ireland are much better off than many ‘non-poor’ in the Czech Republic.</w:t>
      </w:r>
    </w:p>
    <w:p w14:paraId="0EF5F7CF" w14:textId="77777777" w:rsidR="0031312B" w:rsidRPr="0031312B" w:rsidRDefault="0031312B" w:rsidP="0031312B">
      <w:pPr>
        <w:numPr>
          <w:ilvl w:val="0"/>
          <w:numId w:val="1"/>
        </w:numPr>
        <w:spacing w:before="120"/>
        <w:ind w:left="907"/>
        <w:jc w:val="both"/>
        <w:rPr>
          <w:rFonts w:ascii="Arial" w:hAnsi="Arial" w:cs="Arial"/>
          <w:sz w:val="20"/>
          <w:szCs w:val="20"/>
        </w:rPr>
      </w:pPr>
      <w:r w:rsidRPr="0031312B">
        <w:rPr>
          <w:rFonts w:ascii="Arial" w:hAnsi="Arial" w:cs="Arial"/>
          <w:sz w:val="20"/>
        </w:rPr>
        <w:tab/>
        <w:t xml:space="preserve">For meaningful international comparisons of material hardship it is better to use non-monetary indicators (NMIs).  Using the official </w:t>
      </w:r>
      <w:r w:rsidR="000731B0">
        <w:rPr>
          <w:rFonts w:ascii="Arial" w:hAnsi="Arial" w:cs="Arial"/>
          <w:sz w:val="20"/>
        </w:rPr>
        <w:t xml:space="preserve">2008 </w:t>
      </w:r>
      <w:r w:rsidRPr="0031312B">
        <w:rPr>
          <w:rFonts w:ascii="Arial" w:hAnsi="Arial" w:cs="Arial"/>
          <w:sz w:val="20"/>
        </w:rPr>
        <w:t>NMI-based EU deprivation index, New Zealand rank</w:t>
      </w:r>
      <w:r w:rsidR="000731B0">
        <w:rPr>
          <w:rFonts w:ascii="Arial" w:hAnsi="Arial" w:cs="Arial"/>
          <w:sz w:val="20"/>
        </w:rPr>
        <w:t>ed</w:t>
      </w:r>
      <w:r w:rsidRPr="0031312B">
        <w:rPr>
          <w:rFonts w:ascii="Arial" w:hAnsi="Arial" w:cs="Arial"/>
          <w:sz w:val="20"/>
        </w:rPr>
        <w:t xml:space="preserve"> well for older people (65+) and not so well for children – a finding consistent with that produced using the Social Report</w:t>
      </w:r>
      <w:r w:rsidR="000731B0">
        <w:rPr>
          <w:rFonts w:ascii="Arial" w:hAnsi="Arial" w:cs="Arial"/>
          <w:sz w:val="20"/>
        </w:rPr>
        <w:t>’s</w:t>
      </w:r>
      <w:r w:rsidRPr="0031312B">
        <w:rPr>
          <w:rFonts w:ascii="Arial" w:hAnsi="Arial" w:cs="Arial"/>
          <w:sz w:val="20"/>
        </w:rPr>
        <w:t xml:space="preserve"> </w:t>
      </w:r>
      <w:r w:rsidR="001A36CF">
        <w:rPr>
          <w:rFonts w:ascii="Arial" w:hAnsi="Arial" w:cs="Arial"/>
          <w:sz w:val="20"/>
        </w:rPr>
        <w:t xml:space="preserve">AHC </w:t>
      </w:r>
      <w:r w:rsidRPr="0031312B">
        <w:rPr>
          <w:rFonts w:ascii="Arial" w:hAnsi="Arial" w:cs="Arial"/>
          <w:sz w:val="20"/>
        </w:rPr>
        <w:t>income measure.</w:t>
      </w:r>
    </w:p>
    <w:p w14:paraId="0D307A46" w14:textId="77777777" w:rsidR="0031312B" w:rsidRPr="000370BC" w:rsidRDefault="0031312B" w:rsidP="000370BC">
      <w:pPr>
        <w:ind w:left="360" w:hanging="360"/>
        <w:jc w:val="both"/>
        <w:rPr>
          <w:rFonts w:ascii="Arial" w:hAnsi="Arial" w:cs="Arial"/>
          <w:b/>
          <w:szCs w:val="22"/>
        </w:rPr>
      </w:pPr>
    </w:p>
    <w:p w14:paraId="17CF7A24" w14:textId="77777777" w:rsidR="000370BC" w:rsidRPr="000370BC" w:rsidRDefault="000370BC" w:rsidP="000370BC">
      <w:pPr>
        <w:ind w:left="360" w:hanging="360"/>
        <w:jc w:val="both"/>
        <w:rPr>
          <w:rFonts w:ascii="Arial" w:hAnsi="Arial" w:cs="Arial"/>
          <w:b/>
        </w:rPr>
      </w:pPr>
    </w:p>
    <w:p w14:paraId="0D8D7F16" w14:textId="77777777" w:rsidR="000370BC" w:rsidRPr="000370BC" w:rsidRDefault="000370BC" w:rsidP="000370BC">
      <w:pPr>
        <w:ind w:left="450" w:hanging="450"/>
        <w:jc w:val="both"/>
        <w:rPr>
          <w:rFonts w:ascii="Arial" w:hAnsi="Arial" w:cs="Arial"/>
          <w:b/>
          <w:sz w:val="20"/>
        </w:rPr>
      </w:pPr>
      <w:r w:rsidRPr="000370BC">
        <w:rPr>
          <w:rFonts w:ascii="Arial" w:hAnsi="Arial" w:cs="Arial"/>
          <w:b/>
          <w:sz w:val="20"/>
        </w:rPr>
        <w:t>1</w:t>
      </w:r>
      <w:r w:rsidR="000F441B">
        <w:rPr>
          <w:rFonts w:ascii="Arial" w:hAnsi="Arial" w:cs="Arial"/>
          <w:b/>
          <w:sz w:val="20"/>
        </w:rPr>
        <w:t>6</w:t>
      </w:r>
      <w:r w:rsidRPr="000370BC">
        <w:rPr>
          <w:rFonts w:ascii="Arial" w:hAnsi="Arial" w:cs="Arial"/>
          <w:b/>
          <w:sz w:val="20"/>
        </w:rPr>
        <w:tab/>
        <w:t xml:space="preserve">The incomes approach for assessing relative material wellbeing has much to offer, but cannot on its own give a full picture – it needs to be supplemented with information using </w:t>
      </w:r>
      <w:r w:rsidR="000F5BB4">
        <w:rPr>
          <w:rFonts w:ascii="Arial" w:hAnsi="Arial" w:cs="Arial"/>
          <w:b/>
          <w:sz w:val="20"/>
        </w:rPr>
        <w:t>non-monetary indicators (NMIs)</w:t>
      </w:r>
    </w:p>
    <w:p w14:paraId="085137D4" w14:textId="77777777" w:rsidR="000370BC" w:rsidRPr="000370BC" w:rsidRDefault="00EB52DF" w:rsidP="001B15AC">
      <w:pPr>
        <w:numPr>
          <w:ilvl w:val="0"/>
          <w:numId w:val="1"/>
        </w:numPr>
        <w:tabs>
          <w:tab w:val="clear" w:pos="720"/>
          <w:tab w:val="num" w:pos="900"/>
        </w:tabs>
        <w:spacing w:before="120"/>
        <w:ind w:left="900"/>
        <w:jc w:val="both"/>
        <w:rPr>
          <w:rFonts w:ascii="Arial" w:hAnsi="Arial" w:cs="Arial"/>
          <w:sz w:val="20"/>
        </w:rPr>
      </w:pPr>
      <w:r>
        <w:rPr>
          <w:rFonts w:ascii="Arial" w:hAnsi="Arial" w:cs="Arial"/>
          <w:sz w:val="20"/>
        </w:rPr>
        <w:t>T</w:t>
      </w:r>
      <w:r w:rsidR="000370BC" w:rsidRPr="000370BC">
        <w:rPr>
          <w:rFonts w:ascii="Arial" w:hAnsi="Arial" w:cs="Arial"/>
          <w:sz w:val="20"/>
        </w:rPr>
        <w:t>he incomes approach has some well-known limitations for assessing material wellbeing of households</w:t>
      </w:r>
      <w:r w:rsidR="001B15AC">
        <w:rPr>
          <w:rFonts w:ascii="Arial" w:hAnsi="Arial" w:cs="Arial"/>
          <w:sz w:val="20"/>
        </w:rPr>
        <w:t>:</w:t>
      </w:r>
    </w:p>
    <w:p w14:paraId="2ED76269" w14:textId="77777777" w:rsidR="000370BC" w:rsidRPr="000370BC" w:rsidRDefault="001B15AC" w:rsidP="001B15AC">
      <w:pPr>
        <w:numPr>
          <w:ilvl w:val="0"/>
          <w:numId w:val="12"/>
        </w:numPr>
        <w:tabs>
          <w:tab w:val="clear" w:pos="720"/>
          <w:tab w:val="num" w:pos="1260"/>
        </w:tabs>
        <w:spacing w:before="60"/>
        <w:ind w:left="1260" w:hanging="180"/>
        <w:jc w:val="both"/>
        <w:rPr>
          <w:rFonts w:ascii="Arial" w:hAnsi="Arial" w:cs="Arial"/>
          <w:sz w:val="20"/>
        </w:rPr>
      </w:pPr>
      <w:r>
        <w:rPr>
          <w:rFonts w:ascii="Arial" w:hAnsi="Arial" w:cs="Arial"/>
          <w:sz w:val="20"/>
        </w:rPr>
        <w:t>I</w:t>
      </w:r>
      <w:r w:rsidR="000370BC" w:rsidRPr="000370BC">
        <w:rPr>
          <w:rFonts w:ascii="Arial" w:hAnsi="Arial" w:cs="Arial"/>
          <w:sz w:val="20"/>
        </w:rPr>
        <w:t>t does not take into account household assets and financial savings which can buffer against fluctuations in household income</w:t>
      </w:r>
      <w:r>
        <w:rPr>
          <w:rFonts w:ascii="Arial" w:hAnsi="Arial" w:cs="Arial"/>
          <w:sz w:val="20"/>
        </w:rPr>
        <w:t>.</w:t>
      </w:r>
    </w:p>
    <w:p w14:paraId="17E717EF" w14:textId="77777777" w:rsidR="000370BC" w:rsidRPr="000370BC" w:rsidRDefault="001B15AC" w:rsidP="001B15AC">
      <w:pPr>
        <w:numPr>
          <w:ilvl w:val="0"/>
          <w:numId w:val="12"/>
        </w:numPr>
        <w:tabs>
          <w:tab w:val="clear" w:pos="720"/>
          <w:tab w:val="num" w:pos="1260"/>
        </w:tabs>
        <w:spacing w:before="60"/>
        <w:ind w:left="1260" w:hanging="180"/>
        <w:jc w:val="both"/>
        <w:rPr>
          <w:rFonts w:ascii="Arial" w:hAnsi="Arial" w:cs="Arial"/>
          <w:sz w:val="20"/>
        </w:rPr>
      </w:pPr>
      <w:r>
        <w:rPr>
          <w:rFonts w:ascii="Arial" w:hAnsi="Arial" w:cs="Arial"/>
          <w:sz w:val="20"/>
        </w:rPr>
        <w:t>It</w:t>
      </w:r>
      <w:r w:rsidR="000370BC" w:rsidRPr="000370BC">
        <w:rPr>
          <w:rFonts w:ascii="Arial" w:hAnsi="Arial" w:cs="Arial"/>
          <w:sz w:val="20"/>
        </w:rPr>
        <w:t xml:space="preserve"> does not capture the impact of unusual costs (such as high health costs or high debt servicing costs), nor of assistance in </w:t>
      </w:r>
      <w:r>
        <w:rPr>
          <w:rFonts w:ascii="Arial" w:hAnsi="Arial" w:cs="Arial"/>
          <w:sz w:val="20"/>
        </w:rPr>
        <w:t xml:space="preserve">cash or </w:t>
      </w:r>
      <w:r w:rsidR="000370BC" w:rsidRPr="000370BC">
        <w:rPr>
          <w:rFonts w:ascii="Arial" w:hAnsi="Arial" w:cs="Arial"/>
          <w:sz w:val="20"/>
        </w:rPr>
        <w:t>kind</w:t>
      </w:r>
      <w:r>
        <w:rPr>
          <w:rFonts w:ascii="Arial" w:hAnsi="Arial" w:cs="Arial"/>
          <w:sz w:val="20"/>
        </w:rPr>
        <w:t xml:space="preserve"> from outside the household.</w:t>
      </w:r>
    </w:p>
    <w:p w14:paraId="178DF1BC" w14:textId="77777777" w:rsidR="000370BC" w:rsidRPr="000370BC" w:rsidRDefault="001B15AC" w:rsidP="001B15AC">
      <w:pPr>
        <w:numPr>
          <w:ilvl w:val="0"/>
          <w:numId w:val="12"/>
        </w:numPr>
        <w:tabs>
          <w:tab w:val="clear" w:pos="720"/>
          <w:tab w:val="num" w:pos="1260"/>
        </w:tabs>
        <w:spacing w:before="60"/>
        <w:ind w:left="1260" w:hanging="180"/>
        <w:jc w:val="both"/>
        <w:rPr>
          <w:rFonts w:ascii="Arial" w:hAnsi="Arial" w:cs="Arial"/>
          <w:sz w:val="20"/>
        </w:rPr>
      </w:pPr>
      <w:r>
        <w:rPr>
          <w:rFonts w:ascii="Arial" w:hAnsi="Arial" w:cs="Arial"/>
          <w:sz w:val="20"/>
        </w:rPr>
        <w:t>I</w:t>
      </w:r>
      <w:r w:rsidR="000370BC" w:rsidRPr="000370BC">
        <w:rPr>
          <w:rFonts w:ascii="Arial" w:hAnsi="Arial" w:cs="Arial"/>
          <w:sz w:val="20"/>
        </w:rPr>
        <w:t xml:space="preserve">nternational poverty comparisons are especially limited because of differing average incomes across </w:t>
      </w:r>
      <w:r>
        <w:rPr>
          <w:rFonts w:ascii="Arial" w:hAnsi="Arial" w:cs="Arial"/>
          <w:sz w:val="20"/>
        </w:rPr>
        <w:t xml:space="preserve">the </w:t>
      </w:r>
      <w:r w:rsidR="000370BC" w:rsidRPr="000370BC">
        <w:rPr>
          <w:rFonts w:ascii="Arial" w:hAnsi="Arial" w:cs="Arial"/>
          <w:sz w:val="20"/>
        </w:rPr>
        <w:t>countries being compared</w:t>
      </w:r>
      <w:r w:rsidR="00EB52DF">
        <w:rPr>
          <w:rFonts w:ascii="Arial" w:hAnsi="Arial" w:cs="Arial"/>
          <w:sz w:val="20"/>
        </w:rPr>
        <w:t xml:space="preserve"> – see #1</w:t>
      </w:r>
      <w:r w:rsidR="00437DB9">
        <w:rPr>
          <w:rFonts w:ascii="Arial" w:hAnsi="Arial" w:cs="Arial"/>
          <w:sz w:val="20"/>
        </w:rPr>
        <w:t>4</w:t>
      </w:r>
      <w:r w:rsidR="00EB52DF">
        <w:rPr>
          <w:rFonts w:ascii="Arial" w:hAnsi="Arial" w:cs="Arial"/>
          <w:sz w:val="20"/>
        </w:rPr>
        <w:t xml:space="preserve"> above.</w:t>
      </w:r>
    </w:p>
    <w:p w14:paraId="3B7F7ED5" w14:textId="77777777" w:rsidR="000370BC" w:rsidRPr="000370BC" w:rsidRDefault="00EB52DF" w:rsidP="00044F09">
      <w:pPr>
        <w:numPr>
          <w:ilvl w:val="0"/>
          <w:numId w:val="1"/>
        </w:numPr>
        <w:tabs>
          <w:tab w:val="clear" w:pos="720"/>
          <w:tab w:val="num" w:pos="1080"/>
        </w:tabs>
        <w:spacing w:before="120"/>
        <w:ind w:left="1080"/>
        <w:jc w:val="both"/>
        <w:rPr>
          <w:rFonts w:ascii="Arial" w:hAnsi="Arial" w:cs="Arial"/>
          <w:sz w:val="20"/>
        </w:rPr>
      </w:pPr>
      <w:r>
        <w:rPr>
          <w:rFonts w:ascii="Arial" w:hAnsi="Arial" w:cs="Arial"/>
          <w:sz w:val="20"/>
        </w:rPr>
        <w:t xml:space="preserve">A </w:t>
      </w:r>
      <w:r w:rsidR="000370BC" w:rsidRPr="000370BC">
        <w:rPr>
          <w:rFonts w:ascii="Arial" w:hAnsi="Arial" w:cs="Arial"/>
          <w:sz w:val="20"/>
        </w:rPr>
        <w:t>non-incomes approach can provide supplementary information to give a more complete picture as well as providing more robust findings where the incomes approach is especially limited (eg for comparing older New Zealanders with other age groups, and for international comparisons)</w:t>
      </w:r>
      <w:r w:rsidR="001B15AC">
        <w:rPr>
          <w:rFonts w:ascii="Arial" w:hAnsi="Arial" w:cs="Arial"/>
          <w:sz w:val="20"/>
        </w:rPr>
        <w:t>.</w:t>
      </w:r>
      <w:r w:rsidR="000370BC" w:rsidRPr="000370BC">
        <w:rPr>
          <w:rFonts w:ascii="Arial" w:hAnsi="Arial" w:cs="Arial"/>
          <w:sz w:val="20"/>
        </w:rPr>
        <w:t xml:space="preserve"> </w:t>
      </w:r>
    </w:p>
    <w:p w14:paraId="25317A70" w14:textId="77777777" w:rsidR="009C6814" w:rsidRDefault="001B15AC" w:rsidP="00044F09">
      <w:pPr>
        <w:numPr>
          <w:ilvl w:val="0"/>
          <w:numId w:val="1"/>
        </w:numPr>
        <w:tabs>
          <w:tab w:val="clear" w:pos="720"/>
          <w:tab w:val="num" w:pos="1080"/>
        </w:tabs>
        <w:spacing w:before="120"/>
        <w:ind w:left="1080"/>
        <w:jc w:val="both"/>
        <w:rPr>
          <w:rFonts w:ascii="Arial" w:hAnsi="Arial" w:cs="Arial"/>
          <w:sz w:val="20"/>
        </w:rPr>
      </w:pPr>
      <w:r>
        <w:rPr>
          <w:rFonts w:ascii="Arial" w:hAnsi="Arial" w:cs="Arial"/>
          <w:sz w:val="20"/>
        </w:rPr>
        <w:t>For more information</w:t>
      </w:r>
      <w:r w:rsidR="00624F0B">
        <w:rPr>
          <w:rFonts w:ascii="Arial" w:hAnsi="Arial" w:cs="Arial"/>
          <w:sz w:val="20"/>
        </w:rPr>
        <w:t xml:space="preserve"> on </w:t>
      </w:r>
      <w:r w:rsidR="00D562E1">
        <w:rPr>
          <w:rFonts w:ascii="Arial" w:hAnsi="Arial" w:cs="Arial"/>
          <w:sz w:val="20"/>
        </w:rPr>
        <w:t>n</w:t>
      </w:r>
      <w:r w:rsidR="00624F0B">
        <w:rPr>
          <w:rFonts w:ascii="Arial" w:hAnsi="Arial" w:cs="Arial"/>
          <w:sz w:val="20"/>
        </w:rPr>
        <w:t>on-income measures</w:t>
      </w:r>
      <w:r>
        <w:rPr>
          <w:rFonts w:ascii="Arial" w:hAnsi="Arial" w:cs="Arial"/>
          <w:sz w:val="20"/>
        </w:rPr>
        <w:t>, s</w:t>
      </w:r>
      <w:r w:rsidR="000370BC" w:rsidRPr="000370BC">
        <w:rPr>
          <w:rFonts w:ascii="Arial" w:hAnsi="Arial" w:cs="Arial"/>
          <w:sz w:val="20"/>
        </w:rPr>
        <w:t>ee the Ministry’s website for its</w:t>
      </w:r>
      <w:r w:rsidR="00624F0B">
        <w:rPr>
          <w:rFonts w:ascii="Arial" w:hAnsi="Arial" w:cs="Arial"/>
          <w:sz w:val="20"/>
        </w:rPr>
        <w:t xml:space="preserve"> ‘Living Standards’</w:t>
      </w:r>
      <w:r w:rsidR="000370BC" w:rsidRPr="000370BC">
        <w:rPr>
          <w:rFonts w:ascii="Arial" w:hAnsi="Arial" w:cs="Arial"/>
          <w:sz w:val="20"/>
        </w:rPr>
        <w:t xml:space="preserve"> publications</w:t>
      </w:r>
      <w:r w:rsidR="00EA7804">
        <w:rPr>
          <w:rFonts w:ascii="Arial" w:hAnsi="Arial" w:cs="Arial"/>
          <w:sz w:val="20"/>
        </w:rPr>
        <w:t>.</w:t>
      </w:r>
      <w:r w:rsidR="009C6814">
        <w:rPr>
          <w:rStyle w:val="FootnoteReference"/>
          <w:rFonts w:ascii="Arial" w:hAnsi="Arial" w:cs="Arial"/>
          <w:sz w:val="20"/>
        </w:rPr>
        <w:footnoteReference w:id="1"/>
      </w:r>
      <w:r w:rsidR="009C6814">
        <w:rPr>
          <w:rFonts w:ascii="Arial" w:hAnsi="Arial" w:cs="Arial"/>
          <w:sz w:val="20"/>
        </w:rPr>
        <w:t xml:space="preserve">  </w:t>
      </w:r>
    </w:p>
    <w:p w14:paraId="7632D1FB" w14:textId="77777777" w:rsidR="000370BC" w:rsidRPr="000370BC" w:rsidRDefault="000370BC" w:rsidP="000370BC">
      <w:pPr>
        <w:spacing w:after="40"/>
        <w:ind w:left="360"/>
        <w:rPr>
          <w:rFonts w:ascii="Arial" w:hAnsi="Arial" w:cs="Arial"/>
          <w:color w:val="000000"/>
          <w:sz w:val="20"/>
        </w:rPr>
      </w:pPr>
    </w:p>
    <w:p w14:paraId="16AE8C56" w14:textId="77777777" w:rsidR="009436C5" w:rsidRDefault="009436C5" w:rsidP="000F5BB4">
      <w:pPr>
        <w:ind w:left="450" w:hanging="450"/>
        <w:jc w:val="both"/>
        <w:rPr>
          <w:rFonts w:ascii="Arial" w:hAnsi="Arial" w:cs="Arial"/>
          <w:b/>
          <w:color w:val="000000"/>
          <w:sz w:val="20"/>
        </w:rPr>
      </w:pPr>
    </w:p>
    <w:p w14:paraId="414A8659" w14:textId="77777777" w:rsidR="000F5BB4" w:rsidRPr="00D562E1" w:rsidRDefault="000F5BB4" w:rsidP="000F5BB4">
      <w:pPr>
        <w:ind w:left="450" w:hanging="450"/>
        <w:jc w:val="both"/>
        <w:rPr>
          <w:rFonts w:ascii="Arial" w:hAnsi="Arial" w:cs="Arial"/>
          <w:b/>
          <w:color w:val="000000"/>
          <w:sz w:val="20"/>
        </w:rPr>
      </w:pPr>
      <w:r w:rsidRPr="00D562E1">
        <w:rPr>
          <w:rFonts w:ascii="Arial" w:hAnsi="Arial" w:cs="Arial"/>
          <w:b/>
          <w:color w:val="000000"/>
          <w:sz w:val="20"/>
        </w:rPr>
        <w:t>1</w:t>
      </w:r>
      <w:r w:rsidR="000F441B">
        <w:rPr>
          <w:rFonts w:ascii="Arial" w:hAnsi="Arial" w:cs="Arial"/>
          <w:b/>
          <w:color w:val="000000"/>
          <w:sz w:val="20"/>
        </w:rPr>
        <w:t>7</w:t>
      </w:r>
      <w:r w:rsidRPr="00D562E1">
        <w:rPr>
          <w:rFonts w:ascii="Arial" w:hAnsi="Arial" w:cs="Arial"/>
          <w:b/>
          <w:color w:val="000000"/>
          <w:sz w:val="20"/>
        </w:rPr>
        <w:tab/>
        <w:t>Statistics New Zealand has collected NMI information since 2007 in the HES.</w:t>
      </w:r>
      <w:r w:rsidR="00D562E1">
        <w:rPr>
          <w:rFonts w:ascii="Arial" w:hAnsi="Arial" w:cs="Arial"/>
          <w:b/>
          <w:color w:val="000000"/>
          <w:sz w:val="20"/>
        </w:rPr>
        <w:t xml:space="preserve"> The information from these questions is useful for supplementing and confirming findings using the incomes approach, and for giving a real-life description for some of the day-to-day restrictions faced by low-income households.</w:t>
      </w:r>
    </w:p>
    <w:p w14:paraId="6310ECA1" w14:textId="77777777" w:rsidR="00D562E1" w:rsidRDefault="00D562E1" w:rsidP="000F5BB4">
      <w:pPr>
        <w:numPr>
          <w:ilvl w:val="0"/>
          <w:numId w:val="1"/>
        </w:numPr>
        <w:tabs>
          <w:tab w:val="clear" w:pos="720"/>
          <w:tab w:val="num" w:pos="1080"/>
        </w:tabs>
        <w:spacing w:before="120"/>
        <w:ind w:left="1080"/>
        <w:jc w:val="both"/>
        <w:rPr>
          <w:rFonts w:ascii="Arial" w:hAnsi="Arial" w:cs="Arial"/>
          <w:color w:val="000000"/>
          <w:sz w:val="20"/>
        </w:rPr>
      </w:pPr>
      <w:r>
        <w:rPr>
          <w:rFonts w:ascii="Arial" w:hAnsi="Arial" w:cs="Arial"/>
          <w:color w:val="000000"/>
          <w:sz w:val="20"/>
        </w:rPr>
        <w:t xml:space="preserve">The </w:t>
      </w:r>
      <w:r w:rsidR="009B3C36">
        <w:rPr>
          <w:rFonts w:ascii="Arial" w:hAnsi="Arial" w:cs="Arial"/>
          <w:color w:val="000000"/>
          <w:sz w:val="20"/>
        </w:rPr>
        <w:t xml:space="preserve">table and </w:t>
      </w:r>
      <w:r>
        <w:rPr>
          <w:rFonts w:ascii="Arial" w:hAnsi="Arial" w:cs="Arial"/>
          <w:color w:val="000000"/>
          <w:sz w:val="20"/>
        </w:rPr>
        <w:t>graph below show:</w:t>
      </w:r>
    </w:p>
    <w:p w14:paraId="1B52D6B3" w14:textId="77777777" w:rsidR="009F3EE2" w:rsidRDefault="009F3EE2" w:rsidP="009F3EE2">
      <w:pPr>
        <w:numPr>
          <w:ilvl w:val="0"/>
          <w:numId w:val="30"/>
        </w:numPr>
        <w:tabs>
          <w:tab w:val="clear" w:pos="720"/>
          <w:tab w:val="num" w:pos="1620"/>
        </w:tabs>
        <w:spacing w:before="60"/>
        <w:ind w:left="1628" w:hanging="274"/>
        <w:jc w:val="both"/>
        <w:rPr>
          <w:rFonts w:ascii="Arial" w:hAnsi="Arial" w:cs="Arial"/>
          <w:color w:val="000000"/>
          <w:sz w:val="20"/>
        </w:rPr>
      </w:pPr>
      <w:r>
        <w:rPr>
          <w:rFonts w:ascii="Arial" w:hAnsi="Arial" w:cs="Arial"/>
          <w:color w:val="000000"/>
          <w:sz w:val="20"/>
        </w:rPr>
        <w:t>the different living conditions for those in the lowest income quintile compared with the majority of households</w:t>
      </w:r>
    </w:p>
    <w:p w14:paraId="54034E51" w14:textId="77777777" w:rsidR="000F5BB4" w:rsidRPr="00D562E1" w:rsidRDefault="00D562E1" w:rsidP="00D562E1">
      <w:pPr>
        <w:numPr>
          <w:ilvl w:val="0"/>
          <w:numId w:val="30"/>
        </w:numPr>
        <w:tabs>
          <w:tab w:val="clear" w:pos="720"/>
          <w:tab w:val="num" w:pos="1620"/>
        </w:tabs>
        <w:spacing w:before="60"/>
        <w:ind w:left="1628" w:hanging="274"/>
        <w:jc w:val="both"/>
        <w:rPr>
          <w:rFonts w:ascii="Arial" w:hAnsi="Arial" w:cs="Arial"/>
          <w:color w:val="000000"/>
          <w:sz w:val="20"/>
        </w:rPr>
      </w:pPr>
      <w:r>
        <w:rPr>
          <w:rFonts w:ascii="Arial" w:hAnsi="Arial" w:cs="Arial"/>
          <w:color w:val="000000"/>
          <w:sz w:val="20"/>
        </w:rPr>
        <w:t xml:space="preserve">the </w:t>
      </w:r>
      <w:r w:rsidR="00725981" w:rsidRPr="00D562E1">
        <w:rPr>
          <w:rFonts w:ascii="Arial" w:hAnsi="Arial" w:cs="Arial"/>
          <w:color w:val="000000"/>
          <w:sz w:val="20"/>
        </w:rPr>
        <w:t xml:space="preserve">age gradient </w:t>
      </w:r>
      <w:r>
        <w:rPr>
          <w:rFonts w:ascii="Arial" w:hAnsi="Arial" w:cs="Arial"/>
          <w:color w:val="000000"/>
          <w:sz w:val="20"/>
        </w:rPr>
        <w:t>for hardship (</w:t>
      </w:r>
      <w:r w:rsidR="00725981" w:rsidRPr="00D562E1">
        <w:rPr>
          <w:rFonts w:ascii="Arial" w:hAnsi="Arial" w:cs="Arial"/>
          <w:color w:val="000000"/>
          <w:sz w:val="20"/>
        </w:rPr>
        <w:t xml:space="preserve">in line with AHC </w:t>
      </w:r>
      <w:r>
        <w:rPr>
          <w:rFonts w:ascii="Arial" w:hAnsi="Arial" w:cs="Arial"/>
          <w:color w:val="000000"/>
          <w:sz w:val="20"/>
        </w:rPr>
        <w:t>findings using incomes)</w:t>
      </w:r>
    </w:p>
    <w:p w14:paraId="1DE06999" w14:textId="77777777" w:rsidR="00337169" w:rsidRDefault="00337169" w:rsidP="00B31CC1">
      <w:pPr>
        <w:jc w:val="center"/>
        <w:rPr>
          <w:rFonts w:ascii="Arial" w:hAnsi="Arial" w:cs="Arial"/>
          <w:b/>
          <w:sz w:val="18"/>
        </w:rPr>
      </w:pPr>
    </w:p>
    <w:p w14:paraId="453FC2D6" w14:textId="77777777" w:rsidR="00E368F4" w:rsidRDefault="009436C5" w:rsidP="009F3EE2">
      <w:pPr>
        <w:ind w:right="29"/>
        <w:jc w:val="both"/>
        <w:rPr>
          <w:rFonts w:ascii="Arial" w:hAnsi="Arial" w:cs="Arial"/>
          <w:sz w:val="20"/>
          <w:szCs w:val="20"/>
        </w:rPr>
      </w:pPr>
      <w:r>
        <w:rPr>
          <w:rFonts w:ascii="Arial" w:hAnsi="Arial" w:cs="Arial"/>
          <w:b/>
          <w:sz w:val="18"/>
        </w:rPr>
        <w:br w:type="page"/>
      </w:r>
      <w:r w:rsidR="00E368F4" w:rsidRPr="009F3EE2">
        <w:rPr>
          <w:rFonts w:ascii="Arial" w:hAnsi="Arial" w:cs="Arial"/>
          <w:b/>
          <w:sz w:val="20"/>
          <w:szCs w:val="20"/>
        </w:rPr>
        <w:lastRenderedPageBreak/>
        <w:t>Figure 6.3</w:t>
      </w:r>
      <w:r w:rsidR="00E368F4" w:rsidRPr="009F3EE2">
        <w:rPr>
          <w:rFonts w:ascii="Arial" w:hAnsi="Arial" w:cs="Arial"/>
          <w:sz w:val="20"/>
          <w:szCs w:val="20"/>
        </w:rPr>
        <w:t xml:space="preserve"> shows the much greater risk of hardship for the bottom two deciles, using items that are either considered necessities or which reflect the customary experience of the bulk of the population.   </w:t>
      </w:r>
    </w:p>
    <w:p w14:paraId="3A2264AF" w14:textId="77777777" w:rsidR="009436C5" w:rsidRPr="009436C5" w:rsidRDefault="009436C5" w:rsidP="007E3F9E">
      <w:pPr>
        <w:ind w:left="2160" w:right="1296" w:hanging="634"/>
        <w:rPr>
          <w:rFonts w:ascii="Arial" w:hAnsi="Arial" w:cs="Arial"/>
          <w:sz w:val="18"/>
          <w:szCs w:val="18"/>
        </w:rPr>
      </w:pPr>
    </w:p>
    <w:p w14:paraId="547D585A" w14:textId="77777777" w:rsidR="009436C5" w:rsidRPr="009436C5" w:rsidRDefault="009436C5" w:rsidP="009436C5">
      <w:pPr>
        <w:ind w:right="-25"/>
        <w:jc w:val="center"/>
        <w:rPr>
          <w:rFonts w:ascii="Arial" w:hAnsi="Arial" w:cs="Arial"/>
          <w:b/>
          <w:sz w:val="18"/>
        </w:rPr>
      </w:pPr>
      <w:r w:rsidRPr="009436C5">
        <w:rPr>
          <w:rFonts w:ascii="Arial" w:hAnsi="Arial" w:cs="Arial"/>
          <w:b/>
          <w:sz w:val="18"/>
        </w:rPr>
        <w:t>Figure 6.3</w:t>
      </w:r>
    </w:p>
    <w:p w14:paraId="67B3592C" w14:textId="77777777" w:rsidR="009436C5" w:rsidRPr="009436C5" w:rsidRDefault="009436C5" w:rsidP="009436C5">
      <w:pPr>
        <w:ind w:right="-25"/>
        <w:jc w:val="center"/>
        <w:rPr>
          <w:rFonts w:ascii="Arial" w:hAnsi="Arial" w:cs="Arial"/>
          <w:b/>
          <w:sz w:val="18"/>
        </w:rPr>
      </w:pPr>
      <w:r w:rsidRPr="009436C5">
        <w:rPr>
          <w:rFonts w:ascii="Arial" w:hAnsi="Arial" w:cs="Arial"/>
          <w:b/>
          <w:sz w:val="18"/>
        </w:rPr>
        <w:t xml:space="preserve">Proportion </w:t>
      </w:r>
      <w:r w:rsidR="00E368F4">
        <w:rPr>
          <w:rFonts w:ascii="Arial" w:hAnsi="Arial" w:cs="Arial"/>
          <w:b/>
          <w:sz w:val="18"/>
        </w:rPr>
        <w:t>who report</w:t>
      </w:r>
      <w:r w:rsidRPr="009436C5">
        <w:rPr>
          <w:rFonts w:ascii="Arial" w:hAnsi="Arial" w:cs="Arial"/>
          <w:b/>
          <w:sz w:val="18"/>
        </w:rPr>
        <w:t xml:space="preserve"> not having </w:t>
      </w:r>
      <w:r w:rsidR="00E368F4">
        <w:rPr>
          <w:rFonts w:ascii="Arial" w:hAnsi="Arial" w:cs="Arial"/>
          <w:b/>
          <w:sz w:val="18"/>
        </w:rPr>
        <w:t>or</w:t>
      </w:r>
      <w:r w:rsidRPr="009436C5">
        <w:rPr>
          <w:rFonts w:ascii="Arial" w:hAnsi="Arial" w:cs="Arial"/>
          <w:b/>
          <w:sz w:val="18"/>
        </w:rPr>
        <w:t xml:space="preserve"> economising a lot on 4 or more of 11 basic items, because of cost:</w:t>
      </w:r>
    </w:p>
    <w:p w14:paraId="6670DD13" w14:textId="77777777" w:rsidR="009436C5" w:rsidRPr="009436C5" w:rsidRDefault="009436C5" w:rsidP="009436C5">
      <w:pPr>
        <w:ind w:right="-25"/>
        <w:jc w:val="center"/>
        <w:rPr>
          <w:rFonts w:ascii="Arial" w:hAnsi="Arial" w:cs="Arial"/>
          <w:b/>
          <w:sz w:val="18"/>
        </w:rPr>
      </w:pPr>
      <w:r w:rsidRPr="009436C5">
        <w:rPr>
          <w:rFonts w:ascii="Arial" w:hAnsi="Arial" w:cs="Arial"/>
          <w:b/>
          <w:sz w:val="18"/>
        </w:rPr>
        <w:t xml:space="preserve"> all households, HES 2010</w:t>
      </w:r>
    </w:p>
    <w:p w14:paraId="12DE17EB" w14:textId="77DCCE2E" w:rsidR="009436C5" w:rsidRPr="009436C5" w:rsidRDefault="00832634" w:rsidP="009436C5">
      <w:pPr>
        <w:ind w:right="-25"/>
        <w:jc w:val="center"/>
        <w:rPr>
          <w:rFonts w:ascii="Arial" w:hAnsi="Arial" w:cs="Arial"/>
          <w:sz w:val="16"/>
          <w:szCs w:val="18"/>
        </w:rPr>
      </w:pPr>
      <w:r w:rsidRPr="009436C5">
        <w:rPr>
          <w:rFonts w:ascii="Arial" w:hAnsi="Arial" w:cs="Arial"/>
          <w:noProof/>
          <w:lang w:val="en-US"/>
        </w:rPr>
        <w:drawing>
          <wp:inline distT="0" distB="0" distL="0" distR="0" wp14:anchorId="4E8FBA90" wp14:editId="3E5256E8">
            <wp:extent cx="3060700" cy="19304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0700" cy="1930400"/>
                    </a:xfrm>
                    <a:prstGeom prst="rect">
                      <a:avLst/>
                    </a:prstGeom>
                    <a:noFill/>
                    <a:ln>
                      <a:noFill/>
                    </a:ln>
                  </pic:spPr>
                </pic:pic>
              </a:graphicData>
            </a:graphic>
          </wp:inline>
        </w:drawing>
      </w:r>
    </w:p>
    <w:p w14:paraId="6D484911" w14:textId="77777777" w:rsidR="009436C5" w:rsidRPr="009436C5" w:rsidRDefault="009436C5" w:rsidP="009436C5">
      <w:pPr>
        <w:jc w:val="both"/>
        <w:rPr>
          <w:rFonts w:ascii="Arial" w:hAnsi="Arial" w:cs="Arial"/>
          <w:sz w:val="20"/>
        </w:rPr>
      </w:pPr>
    </w:p>
    <w:p w14:paraId="092801F2" w14:textId="77777777" w:rsidR="009436C5" w:rsidRPr="009436C5" w:rsidRDefault="009436C5" w:rsidP="009436C5">
      <w:pPr>
        <w:jc w:val="both"/>
        <w:rPr>
          <w:rFonts w:ascii="Arial" w:hAnsi="Arial" w:cs="Arial"/>
          <w:sz w:val="18"/>
        </w:rPr>
      </w:pPr>
      <w:r w:rsidRPr="009436C5">
        <w:rPr>
          <w:rFonts w:ascii="Arial" w:hAnsi="Arial" w:cs="Arial"/>
          <w:sz w:val="18"/>
        </w:rPr>
        <w:t>The 11 items used in Figure 6.3 are of two types:</w:t>
      </w:r>
    </w:p>
    <w:p w14:paraId="5EDF62A0" w14:textId="77777777" w:rsidR="009436C5" w:rsidRPr="009436C5" w:rsidRDefault="009436C5" w:rsidP="009436C5">
      <w:pPr>
        <w:numPr>
          <w:ilvl w:val="0"/>
          <w:numId w:val="34"/>
        </w:numPr>
        <w:spacing w:before="120"/>
        <w:ind w:left="634" w:hanging="274"/>
        <w:jc w:val="both"/>
        <w:rPr>
          <w:rFonts w:ascii="Arial" w:hAnsi="Arial" w:cs="Arial"/>
          <w:sz w:val="18"/>
        </w:rPr>
      </w:pPr>
      <w:r w:rsidRPr="009436C5">
        <w:rPr>
          <w:rFonts w:ascii="Arial" w:hAnsi="Arial" w:cs="Arial"/>
          <w:sz w:val="18"/>
        </w:rPr>
        <w:t>7 ‘enforced lacks’ of basics that the respondent ‘wants’ but cannot have or do because of the cost:</w:t>
      </w:r>
    </w:p>
    <w:p w14:paraId="3AD7796E"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telephone</w:t>
      </w:r>
    </w:p>
    <w:p w14:paraId="775A3A9D"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good pair of shoes</w:t>
      </w:r>
    </w:p>
    <w:p w14:paraId="5B878814"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heating available in all main rooms</w:t>
      </w:r>
    </w:p>
    <w:p w14:paraId="797C4898"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contents insurance</w:t>
      </w:r>
    </w:p>
    <w:p w14:paraId="2FF9ED8D"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give presents to family or friends on special occasions</w:t>
      </w:r>
    </w:p>
    <w:p w14:paraId="221AF74B"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have family or friends over for a meal at least once a month</w:t>
      </w:r>
    </w:p>
    <w:p w14:paraId="7F8DAD24" w14:textId="77777777" w:rsidR="009436C5" w:rsidRPr="009436C5" w:rsidRDefault="009436C5" w:rsidP="002560DD">
      <w:pPr>
        <w:numPr>
          <w:ilvl w:val="0"/>
          <w:numId w:val="35"/>
        </w:numPr>
        <w:tabs>
          <w:tab w:val="clear" w:pos="720"/>
          <w:tab w:val="num" w:pos="1260"/>
        </w:tabs>
        <w:spacing w:before="20"/>
        <w:ind w:left="1268" w:hanging="274"/>
        <w:jc w:val="both"/>
        <w:rPr>
          <w:rFonts w:ascii="Arial" w:hAnsi="Arial" w:cs="Arial"/>
          <w:sz w:val="18"/>
        </w:rPr>
      </w:pPr>
      <w:r w:rsidRPr="009436C5">
        <w:rPr>
          <w:rFonts w:ascii="Arial" w:hAnsi="Arial" w:cs="Arial"/>
          <w:sz w:val="18"/>
        </w:rPr>
        <w:t>have a week’s holiday away from home each year</w:t>
      </w:r>
    </w:p>
    <w:p w14:paraId="7938476B" w14:textId="77777777" w:rsidR="009436C5" w:rsidRPr="009436C5" w:rsidRDefault="009436C5" w:rsidP="009436C5">
      <w:pPr>
        <w:numPr>
          <w:ilvl w:val="0"/>
          <w:numId w:val="32"/>
        </w:numPr>
        <w:tabs>
          <w:tab w:val="clear" w:pos="720"/>
          <w:tab w:val="num" w:pos="630"/>
        </w:tabs>
        <w:spacing w:before="120"/>
        <w:ind w:left="634" w:hanging="274"/>
        <w:jc w:val="both"/>
        <w:rPr>
          <w:rFonts w:ascii="Arial" w:hAnsi="Arial" w:cs="Arial"/>
          <w:sz w:val="18"/>
        </w:rPr>
      </w:pPr>
      <w:r w:rsidRPr="009436C5">
        <w:rPr>
          <w:rFonts w:ascii="Arial" w:hAnsi="Arial" w:cs="Arial"/>
          <w:sz w:val="18"/>
        </w:rPr>
        <w:t>4 ‘economising’ items.  The survey gives the option of ‘not at all’, ‘a little’ and ‘a lot’ as a response.  The graph uses only the more stringent ‘</w:t>
      </w:r>
      <w:r w:rsidR="006A2D0F">
        <w:rPr>
          <w:rFonts w:ascii="Arial" w:hAnsi="Arial" w:cs="Arial"/>
          <w:sz w:val="18"/>
        </w:rPr>
        <w:t>a</w:t>
      </w:r>
      <w:r w:rsidRPr="009436C5">
        <w:rPr>
          <w:rFonts w:ascii="Arial" w:hAnsi="Arial" w:cs="Arial"/>
          <w:sz w:val="18"/>
        </w:rPr>
        <w:t xml:space="preserve"> lot’ response:</w:t>
      </w:r>
    </w:p>
    <w:p w14:paraId="7F18D21F" w14:textId="77777777" w:rsidR="009436C5" w:rsidRPr="009436C5" w:rsidRDefault="009436C5" w:rsidP="002560DD">
      <w:pPr>
        <w:numPr>
          <w:ilvl w:val="0"/>
          <w:numId w:val="36"/>
        </w:numPr>
        <w:tabs>
          <w:tab w:val="clear" w:pos="720"/>
          <w:tab w:val="num" w:pos="1260"/>
        </w:tabs>
        <w:spacing w:before="20"/>
        <w:ind w:left="1268" w:hanging="274"/>
        <w:jc w:val="both"/>
        <w:rPr>
          <w:rFonts w:ascii="Arial" w:hAnsi="Arial" w:cs="Arial"/>
          <w:sz w:val="18"/>
        </w:rPr>
      </w:pPr>
      <w:r w:rsidRPr="009436C5">
        <w:rPr>
          <w:rFonts w:ascii="Arial" w:hAnsi="Arial" w:cs="Arial"/>
          <w:sz w:val="18"/>
        </w:rPr>
        <w:t>gone without fresh fruit and vegetables to help keep costs down (‘a lot’)</w:t>
      </w:r>
    </w:p>
    <w:p w14:paraId="7641F202" w14:textId="77777777" w:rsidR="009436C5" w:rsidRPr="009436C5" w:rsidRDefault="009436C5" w:rsidP="002560DD">
      <w:pPr>
        <w:numPr>
          <w:ilvl w:val="0"/>
          <w:numId w:val="36"/>
        </w:numPr>
        <w:tabs>
          <w:tab w:val="clear" w:pos="720"/>
          <w:tab w:val="num" w:pos="1260"/>
        </w:tabs>
        <w:spacing w:before="20"/>
        <w:ind w:left="1268" w:hanging="274"/>
        <w:jc w:val="both"/>
        <w:rPr>
          <w:rFonts w:ascii="Arial" w:hAnsi="Arial" w:cs="Arial"/>
          <w:sz w:val="18"/>
        </w:rPr>
      </w:pPr>
      <w:r w:rsidRPr="009436C5">
        <w:rPr>
          <w:rFonts w:ascii="Arial" w:hAnsi="Arial" w:cs="Arial"/>
          <w:sz w:val="18"/>
        </w:rPr>
        <w:t>put off buying new clothes for as long as possible to help keep costs down (‘a lot’)</w:t>
      </w:r>
    </w:p>
    <w:p w14:paraId="5AEE3594" w14:textId="77777777" w:rsidR="009436C5" w:rsidRPr="009436C5" w:rsidRDefault="009436C5" w:rsidP="002560DD">
      <w:pPr>
        <w:numPr>
          <w:ilvl w:val="0"/>
          <w:numId w:val="36"/>
        </w:numPr>
        <w:tabs>
          <w:tab w:val="clear" w:pos="720"/>
          <w:tab w:val="num" w:pos="1260"/>
        </w:tabs>
        <w:spacing w:before="20"/>
        <w:ind w:left="1268" w:hanging="274"/>
        <w:jc w:val="both"/>
        <w:rPr>
          <w:rFonts w:ascii="Arial" w:hAnsi="Arial" w:cs="Arial"/>
          <w:sz w:val="18"/>
        </w:rPr>
      </w:pPr>
      <w:r w:rsidRPr="009436C5">
        <w:rPr>
          <w:rFonts w:ascii="Arial" w:hAnsi="Arial" w:cs="Arial"/>
          <w:sz w:val="18"/>
        </w:rPr>
        <w:t>postponed or put off visits to the doctor to help keep down costs (‘a lot’)</w:t>
      </w:r>
    </w:p>
    <w:p w14:paraId="7F8A5C88" w14:textId="77777777" w:rsidR="009436C5" w:rsidRPr="009436C5" w:rsidRDefault="009436C5" w:rsidP="002560DD">
      <w:pPr>
        <w:numPr>
          <w:ilvl w:val="0"/>
          <w:numId w:val="36"/>
        </w:numPr>
        <w:tabs>
          <w:tab w:val="clear" w:pos="720"/>
          <w:tab w:val="num" w:pos="1260"/>
        </w:tabs>
        <w:spacing w:before="20"/>
        <w:ind w:left="1268" w:hanging="274"/>
        <w:jc w:val="both"/>
        <w:rPr>
          <w:rFonts w:ascii="Arial" w:hAnsi="Arial" w:cs="Arial"/>
          <w:sz w:val="18"/>
        </w:rPr>
      </w:pPr>
      <w:r w:rsidRPr="009436C5">
        <w:rPr>
          <w:rFonts w:ascii="Arial" w:hAnsi="Arial" w:cs="Arial"/>
          <w:sz w:val="18"/>
        </w:rPr>
        <w:t>did not pick up a prescription to help keep down costs (‘a lot’)</w:t>
      </w:r>
    </w:p>
    <w:p w14:paraId="7A0CD194" w14:textId="77777777" w:rsidR="00CF32ED" w:rsidRDefault="00CF32ED" w:rsidP="00CF32ED">
      <w:pPr>
        <w:rPr>
          <w:rFonts w:ascii="Arial" w:hAnsi="Arial" w:cs="Arial"/>
          <w:b/>
          <w:color w:val="000000"/>
          <w:sz w:val="20"/>
          <w:szCs w:val="20"/>
        </w:rPr>
      </w:pPr>
    </w:p>
    <w:p w14:paraId="58D1047D" w14:textId="77777777" w:rsidR="002560DD" w:rsidRDefault="002560DD" w:rsidP="00CF32ED">
      <w:pPr>
        <w:rPr>
          <w:rFonts w:ascii="Arial" w:hAnsi="Arial" w:cs="Arial"/>
          <w:b/>
          <w:sz w:val="20"/>
          <w:szCs w:val="20"/>
        </w:rPr>
      </w:pPr>
    </w:p>
    <w:p w14:paraId="65A614A3" w14:textId="77777777" w:rsidR="009F3EE2" w:rsidRPr="00E368F4" w:rsidRDefault="009F3EE2" w:rsidP="00CF32ED">
      <w:pPr>
        <w:rPr>
          <w:rFonts w:ascii="Arial" w:hAnsi="Arial" w:cs="Arial"/>
          <w:b/>
          <w:color w:val="000000"/>
          <w:sz w:val="20"/>
          <w:szCs w:val="20"/>
        </w:rPr>
      </w:pPr>
      <w:r>
        <w:rPr>
          <w:rFonts w:ascii="Arial" w:hAnsi="Arial" w:cs="Arial"/>
          <w:b/>
          <w:sz w:val="20"/>
          <w:szCs w:val="20"/>
        </w:rPr>
        <w:t>Table S.2</w:t>
      </w:r>
      <w:r w:rsidRPr="009F3EE2">
        <w:rPr>
          <w:rFonts w:ascii="Arial" w:hAnsi="Arial" w:cs="Arial"/>
          <w:sz w:val="20"/>
          <w:szCs w:val="20"/>
        </w:rPr>
        <w:t xml:space="preserve"> shows </w:t>
      </w:r>
      <w:r w:rsidR="006A2D0F">
        <w:rPr>
          <w:rFonts w:ascii="Arial" w:hAnsi="Arial" w:cs="Arial"/>
          <w:sz w:val="20"/>
          <w:szCs w:val="20"/>
        </w:rPr>
        <w:t>the similarity of findings for age-groups and age-group relativities using an AHC incomes</w:t>
      </w:r>
      <w:r w:rsidRPr="009F3EE2">
        <w:rPr>
          <w:rFonts w:ascii="Arial" w:hAnsi="Arial" w:cs="Arial"/>
          <w:sz w:val="20"/>
          <w:szCs w:val="20"/>
        </w:rPr>
        <w:t xml:space="preserve"> </w:t>
      </w:r>
      <w:r w:rsidR="006A2D0F">
        <w:rPr>
          <w:rFonts w:ascii="Arial" w:hAnsi="Arial" w:cs="Arial"/>
          <w:sz w:val="20"/>
          <w:szCs w:val="20"/>
        </w:rPr>
        <w:t>measure and the ELSI non-incomes measure.</w:t>
      </w:r>
      <w:r w:rsidRPr="009F3EE2">
        <w:rPr>
          <w:rFonts w:ascii="Arial" w:hAnsi="Arial" w:cs="Arial"/>
          <w:sz w:val="20"/>
          <w:szCs w:val="20"/>
        </w:rPr>
        <w:t xml:space="preserve">  </w:t>
      </w:r>
    </w:p>
    <w:p w14:paraId="2F729A44" w14:textId="77777777" w:rsidR="00AE45BD" w:rsidRDefault="00AE45BD" w:rsidP="009F3EE2">
      <w:pPr>
        <w:jc w:val="center"/>
        <w:rPr>
          <w:rFonts w:ascii="Arial" w:hAnsi="Arial" w:cs="Arial"/>
          <w:b/>
          <w:sz w:val="18"/>
        </w:rPr>
      </w:pPr>
    </w:p>
    <w:p w14:paraId="5A94EF81" w14:textId="77777777" w:rsidR="009F3EE2" w:rsidRPr="00B31CC1" w:rsidRDefault="009F3EE2" w:rsidP="009F3EE2">
      <w:pPr>
        <w:jc w:val="center"/>
        <w:rPr>
          <w:rFonts w:ascii="Arial" w:hAnsi="Arial" w:cs="Arial"/>
          <w:b/>
          <w:sz w:val="18"/>
        </w:rPr>
      </w:pPr>
      <w:r w:rsidRPr="00B31CC1">
        <w:rPr>
          <w:rFonts w:ascii="Arial" w:hAnsi="Arial" w:cs="Arial"/>
          <w:b/>
          <w:sz w:val="18"/>
        </w:rPr>
        <w:t xml:space="preserve">Table </w:t>
      </w:r>
      <w:r>
        <w:rPr>
          <w:rFonts w:ascii="Arial" w:hAnsi="Arial" w:cs="Arial"/>
          <w:b/>
          <w:sz w:val="18"/>
        </w:rPr>
        <w:t>S</w:t>
      </w:r>
      <w:r w:rsidRPr="00B31CC1">
        <w:rPr>
          <w:rFonts w:ascii="Arial" w:hAnsi="Arial" w:cs="Arial"/>
          <w:b/>
          <w:sz w:val="18"/>
        </w:rPr>
        <w:t>.</w:t>
      </w:r>
      <w:r>
        <w:rPr>
          <w:rFonts w:ascii="Arial" w:hAnsi="Arial" w:cs="Arial"/>
          <w:b/>
          <w:sz w:val="18"/>
        </w:rPr>
        <w:t>2</w:t>
      </w:r>
    </w:p>
    <w:p w14:paraId="1EB508AC" w14:textId="77777777" w:rsidR="009F3EE2" w:rsidRPr="00B31CC1" w:rsidRDefault="009F3EE2" w:rsidP="009F3EE2">
      <w:pPr>
        <w:jc w:val="center"/>
        <w:rPr>
          <w:rFonts w:ascii="Arial" w:hAnsi="Arial" w:cs="Arial"/>
          <w:b/>
          <w:sz w:val="18"/>
        </w:rPr>
      </w:pPr>
      <w:r w:rsidRPr="00B31CC1">
        <w:rPr>
          <w:rFonts w:ascii="Arial" w:hAnsi="Arial" w:cs="Arial"/>
          <w:b/>
          <w:sz w:val="18"/>
        </w:rPr>
        <w:t xml:space="preserve">Comparison of </w:t>
      </w:r>
      <w:r>
        <w:rPr>
          <w:rFonts w:ascii="Arial" w:hAnsi="Arial" w:cs="Arial"/>
          <w:b/>
          <w:sz w:val="18"/>
        </w:rPr>
        <w:t xml:space="preserve">age-group </w:t>
      </w:r>
      <w:r w:rsidRPr="00B31CC1">
        <w:rPr>
          <w:rFonts w:ascii="Arial" w:hAnsi="Arial" w:cs="Arial"/>
          <w:b/>
          <w:sz w:val="18"/>
        </w:rPr>
        <w:t xml:space="preserve">hardship rates based on income and </w:t>
      </w:r>
      <w:r>
        <w:rPr>
          <w:rFonts w:ascii="Arial" w:hAnsi="Arial" w:cs="Arial"/>
          <w:b/>
          <w:sz w:val="18"/>
        </w:rPr>
        <w:t>non-income</w:t>
      </w:r>
      <w:r w:rsidRPr="00B31CC1">
        <w:rPr>
          <w:rFonts w:ascii="Arial" w:hAnsi="Arial" w:cs="Arial"/>
          <w:b/>
          <w:sz w:val="18"/>
        </w:rPr>
        <w:t xml:space="preserve"> measures,</w:t>
      </w:r>
    </w:p>
    <w:p w14:paraId="221A7C0A" w14:textId="77777777" w:rsidR="009F3EE2" w:rsidRPr="00B31CC1" w:rsidRDefault="009F3EE2" w:rsidP="009F3EE2">
      <w:pPr>
        <w:spacing w:after="120"/>
        <w:jc w:val="center"/>
        <w:rPr>
          <w:rFonts w:ascii="Arial" w:hAnsi="Arial" w:cs="Arial"/>
          <w:b/>
          <w:sz w:val="18"/>
        </w:rPr>
      </w:pPr>
      <w:r>
        <w:rPr>
          <w:rFonts w:ascii="Arial" w:hAnsi="Arial" w:cs="Arial"/>
          <w:b/>
          <w:sz w:val="18"/>
        </w:rPr>
        <w:t>HES 2010</w:t>
      </w:r>
    </w:p>
    <w:tbl>
      <w:tblPr>
        <w:tblStyle w:val="TableGrid"/>
        <w:tblW w:w="0" w:type="auto"/>
        <w:jc w:val="center"/>
        <w:tblLook w:val="01E0" w:firstRow="1" w:lastRow="1" w:firstColumn="1" w:lastColumn="1" w:noHBand="0" w:noVBand="0"/>
      </w:tblPr>
      <w:tblGrid>
        <w:gridCol w:w="1901"/>
        <w:gridCol w:w="1800"/>
        <w:gridCol w:w="1815"/>
      </w:tblGrid>
      <w:tr w:rsidR="009F3EE2" w:rsidRPr="00B31CC1" w14:paraId="61AFE6D0" w14:textId="77777777">
        <w:trPr>
          <w:jc w:val="center"/>
        </w:trPr>
        <w:tc>
          <w:tcPr>
            <w:tcW w:w="1901" w:type="dxa"/>
          </w:tcPr>
          <w:p w14:paraId="6D153F08" w14:textId="77777777" w:rsidR="009F3EE2" w:rsidRPr="006A2D0F" w:rsidRDefault="009F3EE2" w:rsidP="006A2D0F">
            <w:pPr>
              <w:spacing w:before="40" w:after="40"/>
              <w:rPr>
                <w:rFonts w:ascii="Arial" w:hAnsi="Arial" w:cs="Arial"/>
                <w:sz w:val="14"/>
                <w:szCs w:val="16"/>
              </w:rPr>
            </w:pPr>
          </w:p>
        </w:tc>
        <w:tc>
          <w:tcPr>
            <w:tcW w:w="1800" w:type="dxa"/>
          </w:tcPr>
          <w:p w14:paraId="632006F9" w14:textId="77777777" w:rsidR="009F3EE2" w:rsidRPr="006A2D0F" w:rsidRDefault="009F3EE2" w:rsidP="006A2D0F">
            <w:pPr>
              <w:spacing w:before="40" w:after="40"/>
              <w:rPr>
                <w:rFonts w:ascii="Arial" w:hAnsi="Arial" w:cs="Arial"/>
                <w:b/>
                <w:sz w:val="14"/>
                <w:szCs w:val="16"/>
              </w:rPr>
            </w:pPr>
            <w:r w:rsidRPr="006A2D0F">
              <w:rPr>
                <w:rFonts w:ascii="Arial" w:hAnsi="Arial" w:cs="Arial"/>
                <w:b/>
                <w:sz w:val="14"/>
                <w:szCs w:val="16"/>
              </w:rPr>
              <w:t>Income AHC CV 60%</w:t>
            </w:r>
          </w:p>
        </w:tc>
        <w:tc>
          <w:tcPr>
            <w:tcW w:w="1815" w:type="dxa"/>
          </w:tcPr>
          <w:p w14:paraId="5EB85C0A" w14:textId="77777777" w:rsidR="009F3EE2" w:rsidRPr="006A2D0F" w:rsidRDefault="009F3EE2" w:rsidP="006A2D0F">
            <w:pPr>
              <w:spacing w:before="40" w:after="40"/>
              <w:jc w:val="center"/>
              <w:rPr>
                <w:rFonts w:ascii="Arial" w:hAnsi="Arial" w:cs="Arial"/>
                <w:b/>
                <w:sz w:val="14"/>
                <w:szCs w:val="16"/>
              </w:rPr>
            </w:pPr>
            <w:r w:rsidRPr="006A2D0F">
              <w:rPr>
                <w:rFonts w:ascii="Arial" w:hAnsi="Arial" w:cs="Arial"/>
                <w:b/>
                <w:sz w:val="14"/>
                <w:szCs w:val="16"/>
              </w:rPr>
              <w:t>ELSI levels 1-2</w:t>
            </w:r>
          </w:p>
        </w:tc>
      </w:tr>
      <w:tr w:rsidR="009F3EE2" w:rsidRPr="00B31CC1" w14:paraId="627E94AF" w14:textId="77777777">
        <w:trPr>
          <w:trHeight w:val="215"/>
          <w:jc w:val="center"/>
        </w:trPr>
        <w:tc>
          <w:tcPr>
            <w:tcW w:w="1901" w:type="dxa"/>
          </w:tcPr>
          <w:p w14:paraId="3436AB14" w14:textId="77777777" w:rsidR="009F3EE2" w:rsidRPr="006A2D0F" w:rsidRDefault="009F3EE2" w:rsidP="006A2D0F">
            <w:pPr>
              <w:spacing w:before="40" w:after="40"/>
              <w:rPr>
                <w:rFonts w:ascii="Arial" w:hAnsi="Arial" w:cs="Arial"/>
                <w:b/>
                <w:i/>
                <w:sz w:val="14"/>
                <w:szCs w:val="16"/>
              </w:rPr>
            </w:pPr>
            <w:r w:rsidRPr="006A2D0F">
              <w:rPr>
                <w:rFonts w:ascii="Arial" w:hAnsi="Arial" w:cs="Arial"/>
                <w:b/>
                <w:i/>
                <w:sz w:val="14"/>
                <w:szCs w:val="16"/>
              </w:rPr>
              <w:t>Age group</w:t>
            </w:r>
          </w:p>
        </w:tc>
        <w:tc>
          <w:tcPr>
            <w:tcW w:w="1800" w:type="dxa"/>
          </w:tcPr>
          <w:p w14:paraId="304DFF39" w14:textId="77777777" w:rsidR="009F3EE2" w:rsidRPr="006A2D0F" w:rsidRDefault="009F3EE2" w:rsidP="006A2D0F">
            <w:pPr>
              <w:spacing w:before="40" w:after="40"/>
              <w:rPr>
                <w:rFonts w:ascii="Arial" w:hAnsi="Arial" w:cs="Arial"/>
                <w:b/>
                <w:i/>
                <w:sz w:val="14"/>
                <w:szCs w:val="16"/>
              </w:rPr>
            </w:pPr>
          </w:p>
        </w:tc>
        <w:tc>
          <w:tcPr>
            <w:tcW w:w="1815" w:type="dxa"/>
          </w:tcPr>
          <w:p w14:paraId="3B450932" w14:textId="77777777" w:rsidR="009F3EE2" w:rsidRPr="006A2D0F" w:rsidRDefault="009F3EE2" w:rsidP="006A2D0F">
            <w:pPr>
              <w:spacing w:before="40" w:after="40"/>
              <w:rPr>
                <w:rFonts w:ascii="Arial" w:hAnsi="Arial" w:cs="Arial"/>
                <w:b/>
                <w:i/>
                <w:sz w:val="14"/>
                <w:szCs w:val="16"/>
              </w:rPr>
            </w:pPr>
          </w:p>
        </w:tc>
      </w:tr>
      <w:tr w:rsidR="009F3EE2" w:rsidRPr="00B31CC1" w14:paraId="53C081A1" w14:textId="77777777">
        <w:trPr>
          <w:jc w:val="center"/>
        </w:trPr>
        <w:tc>
          <w:tcPr>
            <w:tcW w:w="1901" w:type="dxa"/>
          </w:tcPr>
          <w:p w14:paraId="2D1AEF64" w14:textId="77777777" w:rsidR="009F3EE2" w:rsidRPr="006A2D0F" w:rsidRDefault="009F3EE2" w:rsidP="006A2D0F">
            <w:pPr>
              <w:spacing w:before="40" w:after="40"/>
              <w:rPr>
                <w:rFonts w:ascii="Arial" w:hAnsi="Arial" w:cs="Arial"/>
                <w:sz w:val="14"/>
                <w:szCs w:val="16"/>
              </w:rPr>
            </w:pPr>
            <w:r w:rsidRPr="006A2D0F">
              <w:rPr>
                <w:rFonts w:ascii="Arial" w:hAnsi="Arial" w:cs="Arial"/>
                <w:sz w:val="14"/>
                <w:szCs w:val="16"/>
              </w:rPr>
              <w:t>0-17</w:t>
            </w:r>
          </w:p>
        </w:tc>
        <w:tc>
          <w:tcPr>
            <w:tcW w:w="1800" w:type="dxa"/>
          </w:tcPr>
          <w:p w14:paraId="7D5EA5CB"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21</w:t>
            </w:r>
          </w:p>
        </w:tc>
        <w:tc>
          <w:tcPr>
            <w:tcW w:w="1815" w:type="dxa"/>
          </w:tcPr>
          <w:p w14:paraId="330B4E1D"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21</w:t>
            </w:r>
          </w:p>
        </w:tc>
      </w:tr>
      <w:tr w:rsidR="009F3EE2" w:rsidRPr="00B31CC1" w14:paraId="5ED68DDD" w14:textId="77777777">
        <w:trPr>
          <w:jc w:val="center"/>
        </w:trPr>
        <w:tc>
          <w:tcPr>
            <w:tcW w:w="1901" w:type="dxa"/>
          </w:tcPr>
          <w:p w14:paraId="1B39E830" w14:textId="77777777" w:rsidR="009F3EE2" w:rsidRPr="006A2D0F" w:rsidRDefault="009F3EE2" w:rsidP="006A2D0F">
            <w:pPr>
              <w:spacing w:before="40" w:after="40"/>
              <w:rPr>
                <w:rFonts w:ascii="Arial" w:hAnsi="Arial" w:cs="Arial"/>
                <w:sz w:val="14"/>
                <w:szCs w:val="16"/>
              </w:rPr>
            </w:pPr>
            <w:r w:rsidRPr="006A2D0F">
              <w:rPr>
                <w:rFonts w:ascii="Arial" w:hAnsi="Arial" w:cs="Arial"/>
                <w:sz w:val="14"/>
                <w:szCs w:val="16"/>
              </w:rPr>
              <w:t>18-24</w:t>
            </w:r>
          </w:p>
        </w:tc>
        <w:tc>
          <w:tcPr>
            <w:tcW w:w="1800" w:type="dxa"/>
          </w:tcPr>
          <w:p w14:paraId="178D4618"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15</w:t>
            </w:r>
          </w:p>
        </w:tc>
        <w:tc>
          <w:tcPr>
            <w:tcW w:w="1815" w:type="dxa"/>
          </w:tcPr>
          <w:p w14:paraId="21C6B33A"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13</w:t>
            </w:r>
          </w:p>
        </w:tc>
      </w:tr>
      <w:tr w:rsidR="009F3EE2" w:rsidRPr="00B31CC1" w14:paraId="05E8BF00" w14:textId="77777777">
        <w:trPr>
          <w:jc w:val="center"/>
        </w:trPr>
        <w:tc>
          <w:tcPr>
            <w:tcW w:w="1901" w:type="dxa"/>
          </w:tcPr>
          <w:p w14:paraId="680D304C" w14:textId="77777777" w:rsidR="009F3EE2" w:rsidRPr="006A2D0F" w:rsidRDefault="009F3EE2" w:rsidP="006A2D0F">
            <w:pPr>
              <w:spacing w:before="40" w:after="40"/>
              <w:rPr>
                <w:rFonts w:ascii="Arial" w:hAnsi="Arial" w:cs="Arial"/>
                <w:sz w:val="14"/>
                <w:szCs w:val="16"/>
              </w:rPr>
            </w:pPr>
            <w:r w:rsidRPr="006A2D0F">
              <w:rPr>
                <w:rFonts w:ascii="Arial" w:hAnsi="Arial" w:cs="Arial"/>
                <w:sz w:val="14"/>
                <w:szCs w:val="16"/>
              </w:rPr>
              <w:t>25-44</w:t>
            </w:r>
          </w:p>
        </w:tc>
        <w:tc>
          <w:tcPr>
            <w:tcW w:w="1800" w:type="dxa"/>
          </w:tcPr>
          <w:p w14:paraId="5D02CBB8"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15</w:t>
            </w:r>
          </w:p>
        </w:tc>
        <w:tc>
          <w:tcPr>
            <w:tcW w:w="1815" w:type="dxa"/>
          </w:tcPr>
          <w:p w14:paraId="4F4E3233"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14</w:t>
            </w:r>
          </w:p>
        </w:tc>
      </w:tr>
      <w:tr w:rsidR="009F3EE2" w:rsidRPr="00B31CC1" w14:paraId="6B81A6E0" w14:textId="77777777">
        <w:trPr>
          <w:jc w:val="center"/>
        </w:trPr>
        <w:tc>
          <w:tcPr>
            <w:tcW w:w="1901" w:type="dxa"/>
          </w:tcPr>
          <w:p w14:paraId="4CF408C3" w14:textId="77777777" w:rsidR="009F3EE2" w:rsidRPr="006A2D0F" w:rsidRDefault="009F3EE2" w:rsidP="006A2D0F">
            <w:pPr>
              <w:spacing w:before="40" w:after="40"/>
              <w:rPr>
                <w:rFonts w:ascii="Arial" w:hAnsi="Arial" w:cs="Arial"/>
                <w:sz w:val="14"/>
                <w:szCs w:val="16"/>
              </w:rPr>
            </w:pPr>
            <w:r w:rsidRPr="006A2D0F">
              <w:rPr>
                <w:rFonts w:ascii="Arial" w:hAnsi="Arial" w:cs="Arial"/>
                <w:sz w:val="14"/>
                <w:szCs w:val="16"/>
              </w:rPr>
              <w:t>45-64</w:t>
            </w:r>
          </w:p>
        </w:tc>
        <w:tc>
          <w:tcPr>
            <w:tcW w:w="1800" w:type="dxa"/>
          </w:tcPr>
          <w:p w14:paraId="49010FA9"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12</w:t>
            </w:r>
          </w:p>
        </w:tc>
        <w:tc>
          <w:tcPr>
            <w:tcW w:w="1815" w:type="dxa"/>
          </w:tcPr>
          <w:p w14:paraId="48C292AC"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9</w:t>
            </w:r>
          </w:p>
        </w:tc>
      </w:tr>
      <w:tr w:rsidR="009F3EE2" w:rsidRPr="00B31CC1" w14:paraId="1BB10E7D" w14:textId="77777777">
        <w:trPr>
          <w:jc w:val="center"/>
        </w:trPr>
        <w:tc>
          <w:tcPr>
            <w:tcW w:w="1901" w:type="dxa"/>
          </w:tcPr>
          <w:p w14:paraId="67EBC9C5" w14:textId="77777777" w:rsidR="009F3EE2" w:rsidRPr="006A2D0F" w:rsidRDefault="009F3EE2" w:rsidP="006A2D0F">
            <w:pPr>
              <w:spacing w:before="40" w:after="40"/>
              <w:rPr>
                <w:rFonts w:ascii="Arial" w:hAnsi="Arial" w:cs="Arial"/>
                <w:sz w:val="14"/>
                <w:szCs w:val="16"/>
              </w:rPr>
            </w:pPr>
            <w:r w:rsidRPr="006A2D0F">
              <w:rPr>
                <w:rFonts w:ascii="Arial" w:hAnsi="Arial" w:cs="Arial"/>
                <w:sz w:val="14"/>
                <w:szCs w:val="16"/>
              </w:rPr>
              <w:t>65+</w:t>
            </w:r>
          </w:p>
        </w:tc>
        <w:tc>
          <w:tcPr>
            <w:tcW w:w="1800" w:type="dxa"/>
          </w:tcPr>
          <w:p w14:paraId="5BA88812"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7</w:t>
            </w:r>
          </w:p>
        </w:tc>
        <w:tc>
          <w:tcPr>
            <w:tcW w:w="1815" w:type="dxa"/>
          </w:tcPr>
          <w:p w14:paraId="6B78FDE4" w14:textId="77777777" w:rsidR="009F3EE2" w:rsidRPr="006A2D0F" w:rsidRDefault="009F3EE2" w:rsidP="006A2D0F">
            <w:pPr>
              <w:spacing w:before="40" w:after="40"/>
              <w:jc w:val="center"/>
              <w:rPr>
                <w:rFonts w:ascii="Arial" w:hAnsi="Arial" w:cs="Arial"/>
                <w:sz w:val="14"/>
                <w:szCs w:val="16"/>
              </w:rPr>
            </w:pPr>
            <w:r w:rsidRPr="006A2D0F">
              <w:rPr>
                <w:rFonts w:ascii="Arial" w:hAnsi="Arial" w:cs="Arial"/>
                <w:sz w:val="14"/>
                <w:szCs w:val="16"/>
              </w:rPr>
              <w:t>4</w:t>
            </w:r>
          </w:p>
        </w:tc>
      </w:tr>
      <w:tr w:rsidR="009F3EE2" w:rsidRPr="00B31CC1" w14:paraId="58C2F020" w14:textId="77777777">
        <w:trPr>
          <w:jc w:val="center"/>
        </w:trPr>
        <w:tc>
          <w:tcPr>
            <w:tcW w:w="1901" w:type="dxa"/>
          </w:tcPr>
          <w:p w14:paraId="72859238" w14:textId="77777777" w:rsidR="009F3EE2" w:rsidRPr="006A2D0F" w:rsidRDefault="009F3EE2" w:rsidP="006A2D0F">
            <w:pPr>
              <w:spacing w:before="40" w:after="40"/>
              <w:rPr>
                <w:rFonts w:ascii="Arial" w:hAnsi="Arial" w:cs="Arial"/>
                <w:b/>
                <w:sz w:val="14"/>
                <w:szCs w:val="16"/>
              </w:rPr>
            </w:pPr>
            <w:r w:rsidRPr="006A2D0F">
              <w:rPr>
                <w:rFonts w:ascii="Arial" w:hAnsi="Arial" w:cs="Arial"/>
                <w:b/>
                <w:sz w:val="14"/>
                <w:szCs w:val="16"/>
              </w:rPr>
              <w:t>Total population</w:t>
            </w:r>
          </w:p>
        </w:tc>
        <w:tc>
          <w:tcPr>
            <w:tcW w:w="1800" w:type="dxa"/>
          </w:tcPr>
          <w:p w14:paraId="0947731F" w14:textId="77777777" w:rsidR="009F3EE2" w:rsidRPr="006A2D0F" w:rsidRDefault="009F3EE2" w:rsidP="006A2D0F">
            <w:pPr>
              <w:spacing w:before="40" w:after="40"/>
              <w:jc w:val="center"/>
              <w:rPr>
                <w:rFonts w:ascii="Arial" w:hAnsi="Arial" w:cs="Arial"/>
                <w:b/>
                <w:sz w:val="14"/>
                <w:szCs w:val="16"/>
              </w:rPr>
            </w:pPr>
            <w:r w:rsidRPr="006A2D0F">
              <w:rPr>
                <w:rFonts w:ascii="Arial" w:hAnsi="Arial" w:cs="Arial"/>
                <w:b/>
                <w:sz w:val="14"/>
                <w:szCs w:val="16"/>
              </w:rPr>
              <w:t>15</w:t>
            </w:r>
          </w:p>
        </w:tc>
        <w:tc>
          <w:tcPr>
            <w:tcW w:w="1815" w:type="dxa"/>
          </w:tcPr>
          <w:p w14:paraId="15181AA5" w14:textId="77777777" w:rsidR="009F3EE2" w:rsidRPr="006A2D0F" w:rsidRDefault="009F3EE2" w:rsidP="006A2D0F">
            <w:pPr>
              <w:spacing w:before="40" w:after="40"/>
              <w:jc w:val="center"/>
              <w:rPr>
                <w:rFonts w:ascii="Arial" w:hAnsi="Arial" w:cs="Arial"/>
                <w:b/>
                <w:sz w:val="14"/>
                <w:szCs w:val="16"/>
              </w:rPr>
            </w:pPr>
            <w:r w:rsidRPr="006A2D0F">
              <w:rPr>
                <w:rFonts w:ascii="Arial" w:hAnsi="Arial" w:cs="Arial"/>
                <w:b/>
                <w:sz w:val="14"/>
                <w:szCs w:val="16"/>
              </w:rPr>
              <w:t>13</w:t>
            </w:r>
          </w:p>
        </w:tc>
      </w:tr>
    </w:tbl>
    <w:p w14:paraId="4982E0B4" w14:textId="77777777" w:rsidR="00CF32ED" w:rsidRPr="00E368F4" w:rsidRDefault="009F3EE2" w:rsidP="009F3EE2">
      <w:pPr>
        <w:spacing w:before="120"/>
        <w:ind w:left="2261" w:right="1915" w:hanging="547"/>
        <w:rPr>
          <w:rFonts w:ascii="Arial" w:hAnsi="Arial" w:cs="Arial"/>
          <w:b/>
          <w:color w:val="000000"/>
          <w:sz w:val="20"/>
          <w:szCs w:val="20"/>
        </w:rPr>
      </w:pPr>
      <w:r w:rsidRPr="009A2C5A">
        <w:rPr>
          <w:rFonts w:ascii="Arial" w:hAnsi="Arial" w:cs="Arial"/>
          <w:sz w:val="16"/>
          <w:szCs w:val="16"/>
        </w:rPr>
        <w:t xml:space="preserve">Note: </w:t>
      </w:r>
      <w:r w:rsidRPr="009A2C5A">
        <w:rPr>
          <w:rFonts w:ascii="Arial" w:hAnsi="Arial" w:cs="Arial"/>
          <w:sz w:val="16"/>
          <w:szCs w:val="16"/>
        </w:rPr>
        <w:tab/>
        <w:t>Levels 1 and 2 in the Economic Living Standards Index (ELSI) are the hardship levels for this index – see Perry (2009) for details.</w:t>
      </w:r>
    </w:p>
    <w:p w14:paraId="3CF33481" w14:textId="77777777" w:rsidR="00E20747" w:rsidRPr="00E368F4" w:rsidRDefault="00E20747" w:rsidP="00CF32ED">
      <w:pPr>
        <w:rPr>
          <w:rFonts w:ascii="Arial" w:hAnsi="Arial" w:cs="Arial"/>
          <w:b/>
          <w:color w:val="000000"/>
          <w:sz w:val="20"/>
          <w:szCs w:val="20"/>
        </w:rPr>
      </w:pPr>
    </w:p>
    <w:p w14:paraId="59320DE8" w14:textId="77777777" w:rsidR="006A2D0F" w:rsidRDefault="006A2D0F" w:rsidP="00CF32ED">
      <w:pPr>
        <w:rPr>
          <w:rFonts w:ascii="Arial" w:hAnsi="Arial" w:cs="Arial"/>
          <w:b/>
          <w:color w:val="000000"/>
        </w:rPr>
      </w:pPr>
    </w:p>
    <w:p w14:paraId="704C5D56" w14:textId="77777777" w:rsidR="00916463" w:rsidRDefault="00916463" w:rsidP="00CF32ED">
      <w:pPr>
        <w:rPr>
          <w:rFonts w:ascii="Arial" w:hAnsi="Arial" w:cs="Arial"/>
          <w:b/>
          <w:color w:val="000000"/>
        </w:rPr>
      </w:pPr>
    </w:p>
    <w:p w14:paraId="3CA5A733" w14:textId="77777777" w:rsidR="000370BC" w:rsidRPr="000370BC" w:rsidRDefault="00173F05" w:rsidP="00CF32ED">
      <w:pPr>
        <w:rPr>
          <w:rFonts w:ascii="Arial" w:hAnsi="Arial" w:cs="Arial"/>
          <w:b/>
          <w:color w:val="000000"/>
        </w:rPr>
      </w:pPr>
      <w:r>
        <w:rPr>
          <w:rFonts w:ascii="Arial" w:hAnsi="Arial" w:cs="Arial"/>
          <w:b/>
          <w:color w:val="000000"/>
        </w:rPr>
        <w:t>Next update</w:t>
      </w:r>
    </w:p>
    <w:p w14:paraId="3A0C2C37" w14:textId="77777777" w:rsidR="000370BC" w:rsidRPr="00CF32ED" w:rsidRDefault="000370BC" w:rsidP="00CF32ED">
      <w:pPr>
        <w:rPr>
          <w:rFonts w:ascii="Arial" w:hAnsi="Arial" w:cs="Arial"/>
          <w:b/>
          <w:color w:val="000000"/>
          <w:sz w:val="20"/>
          <w:szCs w:val="20"/>
        </w:rPr>
      </w:pPr>
    </w:p>
    <w:p w14:paraId="000907E9" w14:textId="77777777" w:rsidR="000370BC" w:rsidRPr="000370BC" w:rsidRDefault="00A22C26" w:rsidP="00CF32ED">
      <w:pPr>
        <w:numPr>
          <w:ilvl w:val="0"/>
          <w:numId w:val="5"/>
        </w:numPr>
        <w:rPr>
          <w:rFonts w:ascii="Arial" w:hAnsi="Arial" w:cs="Arial"/>
          <w:color w:val="000000"/>
          <w:sz w:val="20"/>
        </w:rPr>
      </w:pPr>
      <w:r>
        <w:rPr>
          <w:rFonts w:ascii="Arial" w:hAnsi="Arial" w:cs="Arial"/>
          <w:color w:val="000000"/>
          <w:sz w:val="20"/>
          <w:szCs w:val="22"/>
        </w:rPr>
        <w:t>Mid</w:t>
      </w:r>
      <w:r w:rsidR="000370BC" w:rsidRPr="000370BC">
        <w:rPr>
          <w:rFonts w:ascii="Arial" w:hAnsi="Arial" w:cs="Arial"/>
          <w:color w:val="000000"/>
          <w:sz w:val="20"/>
          <w:szCs w:val="22"/>
        </w:rPr>
        <w:t xml:space="preserve"> 201</w:t>
      </w:r>
      <w:r w:rsidR="004C698C">
        <w:rPr>
          <w:rFonts w:ascii="Arial" w:hAnsi="Arial" w:cs="Arial"/>
          <w:color w:val="000000"/>
          <w:sz w:val="20"/>
          <w:szCs w:val="22"/>
        </w:rPr>
        <w:t>2</w:t>
      </w:r>
      <w:r w:rsidR="000370BC" w:rsidRPr="000370BC">
        <w:rPr>
          <w:rFonts w:ascii="Arial" w:hAnsi="Arial" w:cs="Arial"/>
          <w:color w:val="000000"/>
          <w:sz w:val="20"/>
          <w:szCs w:val="22"/>
        </w:rPr>
        <w:t>, using the 20</w:t>
      </w:r>
      <w:r w:rsidR="004C698C">
        <w:rPr>
          <w:rFonts w:ascii="Arial" w:hAnsi="Arial" w:cs="Arial"/>
          <w:color w:val="000000"/>
          <w:sz w:val="20"/>
          <w:szCs w:val="22"/>
        </w:rPr>
        <w:t>10</w:t>
      </w:r>
      <w:r w:rsidR="000370BC" w:rsidRPr="000370BC">
        <w:rPr>
          <w:rFonts w:ascii="Arial" w:hAnsi="Arial" w:cs="Arial"/>
          <w:color w:val="000000"/>
          <w:sz w:val="20"/>
          <w:szCs w:val="22"/>
        </w:rPr>
        <w:t>-201</w:t>
      </w:r>
      <w:r w:rsidR="004C698C">
        <w:rPr>
          <w:rFonts w:ascii="Arial" w:hAnsi="Arial" w:cs="Arial"/>
          <w:color w:val="000000"/>
          <w:sz w:val="20"/>
          <w:szCs w:val="22"/>
        </w:rPr>
        <w:t>1</w:t>
      </w:r>
      <w:r w:rsidR="000370BC" w:rsidRPr="000370BC">
        <w:rPr>
          <w:rFonts w:ascii="Arial" w:hAnsi="Arial" w:cs="Arial"/>
          <w:color w:val="000000"/>
          <w:sz w:val="20"/>
          <w:szCs w:val="22"/>
        </w:rPr>
        <w:t xml:space="preserve"> HES</w:t>
      </w:r>
      <w:r w:rsidR="00E368F4">
        <w:rPr>
          <w:rFonts w:ascii="Arial" w:hAnsi="Arial" w:cs="Arial"/>
          <w:color w:val="000000"/>
          <w:sz w:val="20"/>
          <w:szCs w:val="22"/>
        </w:rPr>
        <w:t>.</w:t>
      </w:r>
    </w:p>
    <w:sectPr w:rsidR="000370BC" w:rsidRPr="000370BC" w:rsidSect="004920F5">
      <w:headerReference w:type="even" r:id="rId15"/>
      <w:headerReference w:type="default" r:id="rId16"/>
      <w:pgSz w:w="11909" w:h="16834" w:code="9"/>
      <w:pgMar w:top="1296" w:right="1440" w:bottom="1296"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573D8" w14:textId="77777777" w:rsidR="005A7421" w:rsidRDefault="005A7421">
      <w:r>
        <w:separator/>
      </w:r>
    </w:p>
  </w:endnote>
  <w:endnote w:type="continuationSeparator" w:id="0">
    <w:p w14:paraId="53AA833D" w14:textId="77777777" w:rsidR="005A7421" w:rsidRDefault="005A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Wingdings 3">
    <w:panose1 w:val="050401020108070707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D3904" w14:textId="77777777" w:rsidR="005A7421" w:rsidRDefault="005A7421">
      <w:r>
        <w:separator/>
      </w:r>
    </w:p>
  </w:footnote>
  <w:footnote w:type="continuationSeparator" w:id="0">
    <w:p w14:paraId="4801BA48" w14:textId="77777777" w:rsidR="005A7421" w:rsidRDefault="005A7421">
      <w:r>
        <w:continuationSeparator/>
      </w:r>
    </w:p>
  </w:footnote>
  <w:footnote w:id="1">
    <w:p w14:paraId="3DDF6063" w14:textId="77777777" w:rsidR="004F10CE" w:rsidRPr="009C6814" w:rsidRDefault="004F10CE" w:rsidP="009C6814">
      <w:pPr>
        <w:spacing w:before="120"/>
        <w:ind w:left="270" w:hanging="270"/>
        <w:jc w:val="both"/>
        <w:rPr>
          <w:rFonts w:ascii="Arial" w:hAnsi="Arial" w:cs="Arial"/>
          <w:sz w:val="18"/>
          <w:szCs w:val="18"/>
        </w:rPr>
      </w:pPr>
      <w:r w:rsidRPr="009C6814">
        <w:rPr>
          <w:rStyle w:val="FootnoteReference"/>
          <w:rFonts w:ascii="Arial" w:hAnsi="Arial" w:cs="Arial"/>
          <w:sz w:val="18"/>
          <w:szCs w:val="18"/>
        </w:rPr>
        <w:footnoteRef/>
      </w:r>
      <w:r>
        <w:rPr>
          <w:rFonts w:ascii="Arial" w:hAnsi="Arial" w:cs="Arial"/>
          <w:sz w:val="18"/>
          <w:szCs w:val="18"/>
        </w:rPr>
        <w:tab/>
      </w:r>
      <w:hyperlink r:id="rId1" w:history="1">
        <w:r w:rsidRPr="009C6814">
          <w:rPr>
            <w:rStyle w:val="Hyperlink"/>
            <w:rFonts w:ascii="Arial" w:hAnsi="Arial" w:cs="Arial"/>
            <w:sz w:val="18"/>
            <w:szCs w:val="18"/>
          </w:rPr>
          <w:t>www.msd.govt.nz/about-msd-and-our-work/publications-resources/monitoring/living-standards/index.html</w:t>
        </w:r>
      </w:hyperlink>
    </w:p>
    <w:p w14:paraId="3D8188B0" w14:textId="77777777" w:rsidR="004F10CE" w:rsidRPr="009C6814" w:rsidRDefault="004F10CE">
      <w:pPr>
        <w:pStyle w:val="FootnoteText"/>
        <w:rPr>
          <w:lang w:val="en-NZ"/>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ACE31" w14:textId="77777777" w:rsidR="004F10CE" w:rsidRDefault="004F10CE" w:rsidP="005563A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4F38E" w14:textId="77777777" w:rsidR="004F10CE" w:rsidRDefault="004F10CE" w:rsidP="005563A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0C617" w14:textId="77777777" w:rsidR="004F10CE" w:rsidRPr="006A2D0F" w:rsidRDefault="004F10CE" w:rsidP="005563AB">
    <w:pPr>
      <w:pStyle w:val="Header"/>
      <w:framePr w:wrap="around" w:vAnchor="text" w:hAnchor="margin" w:xAlign="right" w:y="1"/>
      <w:rPr>
        <w:rStyle w:val="PageNumber"/>
        <w:rFonts w:ascii="Arial" w:hAnsi="Arial" w:cs="Arial"/>
        <w:sz w:val="18"/>
        <w:szCs w:val="18"/>
      </w:rPr>
    </w:pPr>
    <w:r w:rsidRPr="006A2D0F">
      <w:rPr>
        <w:rStyle w:val="PageNumber"/>
        <w:rFonts w:ascii="Arial" w:hAnsi="Arial" w:cs="Arial"/>
        <w:sz w:val="18"/>
        <w:szCs w:val="18"/>
      </w:rPr>
      <w:fldChar w:fldCharType="begin"/>
    </w:r>
    <w:r w:rsidRPr="006A2D0F">
      <w:rPr>
        <w:rStyle w:val="PageNumber"/>
        <w:rFonts w:ascii="Arial" w:hAnsi="Arial" w:cs="Arial"/>
        <w:sz w:val="18"/>
        <w:szCs w:val="18"/>
      </w:rPr>
      <w:instrText xml:space="preserve">PAGE  </w:instrText>
    </w:r>
    <w:r w:rsidRPr="006A2D0F">
      <w:rPr>
        <w:rStyle w:val="PageNumber"/>
        <w:rFonts w:ascii="Arial" w:hAnsi="Arial" w:cs="Arial"/>
        <w:sz w:val="18"/>
        <w:szCs w:val="18"/>
      </w:rPr>
      <w:fldChar w:fldCharType="separate"/>
    </w:r>
    <w:r w:rsidR="00832634">
      <w:rPr>
        <w:rStyle w:val="PageNumber"/>
        <w:rFonts w:ascii="Arial" w:hAnsi="Arial" w:cs="Arial"/>
        <w:noProof/>
        <w:sz w:val="18"/>
        <w:szCs w:val="18"/>
      </w:rPr>
      <w:t>13</w:t>
    </w:r>
    <w:r w:rsidRPr="006A2D0F">
      <w:rPr>
        <w:rStyle w:val="PageNumber"/>
        <w:rFonts w:ascii="Arial" w:hAnsi="Arial" w:cs="Arial"/>
        <w:sz w:val="18"/>
        <w:szCs w:val="18"/>
      </w:rPr>
      <w:fldChar w:fldCharType="end"/>
    </w:r>
  </w:p>
  <w:p w14:paraId="405C4B34" w14:textId="77777777" w:rsidR="004F10CE" w:rsidRPr="006B4E60" w:rsidRDefault="004F10CE" w:rsidP="007641F5">
    <w:pPr>
      <w:pStyle w:val="Header"/>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573B3"/>
    <w:multiLevelType w:val="hybridMultilevel"/>
    <w:tmpl w:val="D90079F6"/>
    <w:lvl w:ilvl="0" w:tplc="2DC2D9E8">
      <w:start w:val="1"/>
      <w:numFmt w:val="bullet"/>
      <w:lvlText w:val="-"/>
      <w:lvlJc w:val="left"/>
      <w:pPr>
        <w:tabs>
          <w:tab w:val="num" w:pos="720"/>
        </w:tabs>
        <w:ind w:left="720" w:hanging="360"/>
      </w:pPr>
      <w:rPr>
        <w:rFonts w:ascii="Arial" w:hAnsi="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7729E"/>
    <w:multiLevelType w:val="hybridMultilevel"/>
    <w:tmpl w:val="E9085804"/>
    <w:lvl w:ilvl="0" w:tplc="2DC2D9E8">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20BB5"/>
    <w:multiLevelType w:val="multilevel"/>
    <w:tmpl w:val="E8E6638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A514BB4"/>
    <w:multiLevelType w:val="hybridMultilevel"/>
    <w:tmpl w:val="E4D0AB36"/>
    <w:lvl w:ilvl="0" w:tplc="2DC2D9E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1EF780F"/>
    <w:multiLevelType w:val="hybridMultilevel"/>
    <w:tmpl w:val="56BE1BF2"/>
    <w:lvl w:ilvl="0" w:tplc="14090001">
      <w:start w:val="1"/>
      <w:numFmt w:val="bullet"/>
      <w:lvlText w:val=""/>
      <w:lvlJc w:val="left"/>
      <w:pPr>
        <w:ind w:left="360" w:hanging="360"/>
      </w:pPr>
      <w:rPr>
        <w:rFonts w:ascii="Symbol" w:hAnsi="Symbol" w:hint="default"/>
      </w:rPr>
    </w:lvl>
    <w:lvl w:ilvl="1" w:tplc="A8F66F4A">
      <w:start w:val="212"/>
      <w:numFmt w:val="decimal"/>
      <w:lvlText w:val="%2."/>
      <w:lvlJc w:val="left"/>
      <w:pPr>
        <w:tabs>
          <w:tab w:val="num" w:pos="780"/>
        </w:tabs>
        <w:ind w:left="780" w:hanging="420"/>
      </w:pPr>
      <w:rPr>
        <w:rFonts w:hint="default"/>
      </w:rPr>
    </w:lvl>
    <w:lvl w:ilvl="2" w:tplc="BEC89864">
      <w:start w:val="13"/>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38F5350"/>
    <w:multiLevelType w:val="hybridMultilevel"/>
    <w:tmpl w:val="B71E958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451E87"/>
    <w:multiLevelType w:val="hybridMultilevel"/>
    <w:tmpl w:val="D6ACFF46"/>
    <w:lvl w:ilvl="0" w:tplc="2DC2D9E8">
      <w:start w:val="1"/>
      <w:numFmt w:val="bullet"/>
      <w:lvlText w:val="-"/>
      <w:lvlJc w:val="left"/>
      <w:pPr>
        <w:tabs>
          <w:tab w:val="num" w:pos="720"/>
        </w:tabs>
        <w:ind w:left="720" w:hanging="360"/>
      </w:pPr>
      <w:rPr>
        <w:rFonts w:ascii="Arial" w:hAnsi="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B031F5"/>
    <w:multiLevelType w:val="hybridMultilevel"/>
    <w:tmpl w:val="70DAE8AC"/>
    <w:lvl w:ilvl="0" w:tplc="14090001">
      <w:start w:val="1"/>
      <w:numFmt w:val="bullet"/>
      <w:lvlText w:val=""/>
      <w:lvlJc w:val="left"/>
      <w:pPr>
        <w:ind w:left="720" w:hanging="360"/>
      </w:pPr>
      <w:rPr>
        <w:rFonts w:ascii="Symbol" w:hAnsi="Symbo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6C5556"/>
    <w:multiLevelType w:val="hybridMultilevel"/>
    <w:tmpl w:val="FE1E51BC"/>
    <w:lvl w:ilvl="0" w:tplc="2DC2D9E8">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760645"/>
    <w:multiLevelType w:val="hybridMultilevel"/>
    <w:tmpl w:val="5E764132"/>
    <w:lvl w:ilvl="0" w:tplc="2DC2D9E8">
      <w:start w:val="1"/>
      <w:numFmt w:val="bullet"/>
      <w:lvlText w:val="-"/>
      <w:lvlJc w:val="left"/>
      <w:pPr>
        <w:tabs>
          <w:tab w:val="num" w:pos="720"/>
        </w:tabs>
        <w:ind w:left="720" w:hanging="360"/>
      </w:pPr>
      <w:rPr>
        <w:rFonts w:ascii="Arial" w:hAnsi="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DB0A67"/>
    <w:multiLevelType w:val="multilevel"/>
    <w:tmpl w:val="E9085804"/>
    <w:lvl w:ilvl="0">
      <w:start w:val="1"/>
      <w:numFmt w:val="bullet"/>
      <w:lvlText w:val="-"/>
      <w:lvlJc w:val="left"/>
      <w:pPr>
        <w:tabs>
          <w:tab w:val="num" w:pos="720"/>
        </w:tabs>
        <w:ind w:left="720" w:hanging="360"/>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5BD611A"/>
    <w:multiLevelType w:val="hybridMultilevel"/>
    <w:tmpl w:val="E398BAE8"/>
    <w:lvl w:ilvl="0" w:tplc="2DC2D9E8">
      <w:start w:val="1"/>
      <w:numFmt w:val="bullet"/>
      <w:lvlText w:val="-"/>
      <w:lvlJc w:val="left"/>
      <w:pPr>
        <w:tabs>
          <w:tab w:val="num" w:pos="1260"/>
        </w:tabs>
        <w:ind w:left="1260" w:hanging="360"/>
      </w:pPr>
      <w:rPr>
        <w:rFonts w:ascii="Arial" w:hAnsi="Arial" w:hint="default"/>
      </w:rPr>
    </w:lvl>
    <w:lvl w:ilvl="1" w:tplc="A8F66F4A">
      <w:start w:val="212"/>
      <w:numFmt w:val="decimal"/>
      <w:lvlText w:val="%2."/>
      <w:lvlJc w:val="left"/>
      <w:pPr>
        <w:tabs>
          <w:tab w:val="num" w:pos="1680"/>
        </w:tabs>
        <w:ind w:left="1680" w:hanging="420"/>
      </w:pPr>
      <w:rPr>
        <w:rFonts w:hint="default"/>
      </w:rPr>
    </w:lvl>
    <w:lvl w:ilvl="2" w:tplc="BEC89864">
      <w:start w:val="13"/>
      <w:numFmt w:val="decimal"/>
      <w:lvlText w:val="%3"/>
      <w:lvlJc w:val="left"/>
      <w:pPr>
        <w:tabs>
          <w:tab w:val="num" w:pos="2520"/>
        </w:tabs>
        <w:ind w:left="2520" w:hanging="36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8D4493D"/>
    <w:multiLevelType w:val="hybridMultilevel"/>
    <w:tmpl w:val="E8E6638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791FD5"/>
    <w:multiLevelType w:val="hybridMultilevel"/>
    <w:tmpl w:val="E99EF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4D5581"/>
    <w:multiLevelType w:val="hybridMultilevel"/>
    <w:tmpl w:val="D6587906"/>
    <w:lvl w:ilvl="0" w:tplc="2DC2D9E8">
      <w:start w:val="1"/>
      <w:numFmt w:val="bullet"/>
      <w:lvlText w:val="-"/>
      <w:lvlJc w:val="left"/>
      <w:pPr>
        <w:tabs>
          <w:tab w:val="num" w:pos="720"/>
        </w:tabs>
        <w:ind w:left="720" w:hanging="360"/>
      </w:pPr>
      <w:rPr>
        <w:rFonts w:ascii="Arial" w:hAnsi="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A4060E"/>
    <w:multiLevelType w:val="hybridMultilevel"/>
    <w:tmpl w:val="027CA552"/>
    <w:lvl w:ilvl="0" w:tplc="14090001">
      <w:start w:val="1"/>
      <w:numFmt w:val="bullet"/>
      <w:lvlText w:val=""/>
      <w:lvlJc w:val="left"/>
      <w:pPr>
        <w:ind w:left="720" w:hanging="360"/>
      </w:pPr>
      <w:rPr>
        <w:rFonts w:ascii="Symbol" w:hAnsi="Symbo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D307EF"/>
    <w:multiLevelType w:val="hybridMultilevel"/>
    <w:tmpl w:val="F826627A"/>
    <w:lvl w:ilvl="0" w:tplc="14090001">
      <w:start w:val="1"/>
      <w:numFmt w:val="bullet"/>
      <w:lvlText w:val=""/>
      <w:lvlJc w:val="left"/>
      <w:pPr>
        <w:ind w:left="720" w:hanging="360"/>
      </w:pPr>
      <w:rPr>
        <w:rFonts w:ascii="Symbol" w:hAnsi="Symbo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EC3F96"/>
    <w:multiLevelType w:val="multilevel"/>
    <w:tmpl w:val="02C0EE3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AFC6B74"/>
    <w:multiLevelType w:val="multilevel"/>
    <w:tmpl w:val="B71E958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EDF0A3D"/>
    <w:multiLevelType w:val="hybridMultilevel"/>
    <w:tmpl w:val="D85A8AFC"/>
    <w:lvl w:ilvl="0" w:tplc="01A46DF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AA23AB"/>
    <w:multiLevelType w:val="hybridMultilevel"/>
    <w:tmpl w:val="28EAF6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E0492C"/>
    <w:multiLevelType w:val="hybridMultilevel"/>
    <w:tmpl w:val="AA8095D6"/>
    <w:lvl w:ilvl="0" w:tplc="69625220">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C51CAC"/>
    <w:multiLevelType w:val="hybridMultilevel"/>
    <w:tmpl w:val="75886862"/>
    <w:lvl w:ilvl="0" w:tplc="14090001">
      <w:start w:val="1"/>
      <w:numFmt w:val="bullet"/>
      <w:lvlText w:val=""/>
      <w:lvlJc w:val="left"/>
      <w:pPr>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F54BCE"/>
    <w:multiLevelType w:val="multilevel"/>
    <w:tmpl w:val="0582B460"/>
    <w:styleLink w:val="BodyList"/>
    <w:lvl w:ilvl="0">
      <w:start w:val="1"/>
      <w:numFmt w:val="decimal"/>
      <w:pStyle w:val="BodyText"/>
      <w:lvlText w:val="%1"/>
      <w:lvlJc w:val="left"/>
      <w:pPr>
        <w:tabs>
          <w:tab w:val="num" w:pos="494"/>
        </w:tabs>
        <w:ind w:left="494" w:hanging="494"/>
      </w:pPr>
      <w:rPr>
        <w:rFonts w:hint="default"/>
      </w:rPr>
    </w:lvl>
    <w:lvl w:ilvl="1">
      <w:start w:val="1"/>
      <w:numFmt w:val="decimal"/>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24">
    <w:nsid w:val="5F8C4C3F"/>
    <w:multiLevelType w:val="hybridMultilevel"/>
    <w:tmpl w:val="8C52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25655CE"/>
    <w:multiLevelType w:val="hybridMultilevel"/>
    <w:tmpl w:val="F29A8078"/>
    <w:lvl w:ilvl="0" w:tplc="2DC2D9E8">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2CA19C1"/>
    <w:multiLevelType w:val="hybridMultilevel"/>
    <w:tmpl w:val="E91A2F82"/>
    <w:lvl w:ilvl="0" w:tplc="D592B840">
      <w:start w:val="3"/>
      <w:numFmt w:val="bullet"/>
      <w:lvlText w:val=""/>
      <w:lvlJc w:val="left"/>
      <w:pPr>
        <w:tabs>
          <w:tab w:val="num" w:pos="720"/>
        </w:tabs>
        <w:ind w:left="720" w:hanging="360"/>
      </w:pPr>
      <w:rPr>
        <w:rFonts w:ascii="Symbol" w:eastAsia="Times New Roman" w:hAnsi="Symbol" w:cs="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5251B64"/>
    <w:multiLevelType w:val="hybridMultilevel"/>
    <w:tmpl w:val="229E5E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831211"/>
    <w:multiLevelType w:val="multilevel"/>
    <w:tmpl w:val="1894240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A716A9"/>
    <w:multiLevelType w:val="hybridMultilevel"/>
    <w:tmpl w:val="132E36C0"/>
    <w:lvl w:ilvl="0" w:tplc="6962522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B420B0"/>
    <w:multiLevelType w:val="hybridMultilevel"/>
    <w:tmpl w:val="556449E6"/>
    <w:lvl w:ilvl="0" w:tplc="2DC2D9E8">
      <w:start w:val="1"/>
      <w:numFmt w:val="bullet"/>
      <w:lvlText w:val="-"/>
      <w:lvlJc w:val="left"/>
      <w:pPr>
        <w:tabs>
          <w:tab w:val="num" w:pos="720"/>
        </w:tabs>
        <w:ind w:left="720" w:hanging="360"/>
      </w:pPr>
      <w:rPr>
        <w:rFonts w:ascii="Arial" w:hAnsi="Aria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1E11F8D"/>
    <w:multiLevelType w:val="hybridMultilevel"/>
    <w:tmpl w:val="02C0EE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40A7537"/>
    <w:multiLevelType w:val="hybridMultilevel"/>
    <w:tmpl w:val="38766292"/>
    <w:lvl w:ilvl="0" w:tplc="04090001">
      <w:start w:val="1"/>
      <w:numFmt w:val="bullet"/>
      <w:lvlText w:val=""/>
      <w:lvlJc w:val="left"/>
      <w:pPr>
        <w:tabs>
          <w:tab w:val="num" w:pos="720"/>
        </w:tabs>
        <w:ind w:left="720" w:hanging="360"/>
      </w:pPr>
      <w:rPr>
        <w:rFonts w:ascii="Symbol" w:hAnsi="Symbol" w:hint="default"/>
      </w:rPr>
    </w:lvl>
    <w:lvl w:ilvl="1" w:tplc="2DC2D9E8">
      <w:start w:val="1"/>
      <w:numFmt w:val="bullet"/>
      <w:lvlText w:val="-"/>
      <w:lvlJc w:val="left"/>
      <w:pPr>
        <w:tabs>
          <w:tab w:val="num" w:pos="1440"/>
        </w:tabs>
        <w:ind w:left="1440" w:hanging="360"/>
      </w:pPr>
      <w:rPr>
        <w:rFonts w:ascii="Arial"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BA5868"/>
    <w:multiLevelType w:val="hybridMultilevel"/>
    <w:tmpl w:val="A88EF980"/>
    <w:lvl w:ilvl="0" w:tplc="04090001">
      <w:start w:val="1"/>
      <w:numFmt w:val="bullet"/>
      <w:lvlText w:val=""/>
      <w:lvlJc w:val="left"/>
      <w:pPr>
        <w:tabs>
          <w:tab w:val="num" w:pos="360"/>
        </w:tabs>
        <w:ind w:left="360" w:hanging="360"/>
      </w:pPr>
      <w:rPr>
        <w:rFonts w:ascii="Symbol" w:hAnsi="Symbol" w:hint="default"/>
      </w:rPr>
    </w:lvl>
    <w:lvl w:ilvl="1" w:tplc="A8F66F4A">
      <w:start w:val="212"/>
      <w:numFmt w:val="decimal"/>
      <w:lvlText w:val="%2."/>
      <w:lvlJc w:val="left"/>
      <w:pPr>
        <w:tabs>
          <w:tab w:val="num" w:pos="780"/>
        </w:tabs>
        <w:ind w:left="780" w:hanging="420"/>
      </w:pPr>
      <w:rPr>
        <w:rFonts w:hint="default"/>
      </w:rPr>
    </w:lvl>
    <w:lvl w:ilvl="2" w:tplc="BEC89864">
      <w:start w:val="13"/>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nsid w:val="7B832E15"/>
    <w:multiLevelType w:val="hybridMultilevel"/>
    <w:tmpl w:val="2398FC54"/>
    <w:lvl w:ilvl="0" w:tplc="2DC2D9E8">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9E3380"/>
    <w:multiLevelType w:val="hybridMultilevel"/>
    <w:tmpl w:val="CED0B426"/>
    <w:lvl w:ilvl="0" w:tplc="04090001">
      <w:start w:val="1"/>
      <w:numFmt w:val="bullet"/>
      <w:lvlText w:val=""/>
      <w:lvlJc w:val="left"/>
      <w:pPr>
        <w:tabs>
          <w:tab w:val="num" w:pos="720"/>
        </w:tabs>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20"/>
  </w:num>
  <w:num w:numId="4">
    <w:abstractNumId w:val="27"/>
  </w:num>
  <w:num w:numId="5">
    <w:abstractNumId w:val="26"/>
  </w:num>
  <w:num w:numId="6">
    <w:abstractNumId w:val="0"/>
  </w:num>
  <w:num w:numId="7">
    <w:abstractNumId w:val="14"/>
  </w:num>
  <w:num w:numId="8">
    <w:abstractNumId w:val="6"/>
  </w:num>
  <w:num w:numId="9">
    <w:abstractNumId w:val="15"/>
  </w:num>
  <w:num w:numId="10">
    <w:abstractNumId w:val="30"/>
  </w:num>
  <w:num w:numId="11">
    <w:abstractNumId w:val="23"/>
    <w:lvlOverride w:ilvl="0">
      <w:lvl w:ilvl="0">
        <w:start w:val="1"/>
        <w:numFmt w:val="decimal"/>
        <w:pStyle w:val="BodyText"/>
        <w:lvlText w:val="%1"/>
        <w:lvlJc w:val="left"/>
        <w:pPr>
          <w:tabs>
            <w:tab w:val="num" w:pos="494"/>
          </w:tabs>
          <w:ind w:left="494" w:hanging="494"/>
        </w:pPr>
        <w:rPr>
          <w:rFonts w:hint="default"/>
        </w:rPr>
      </w:lvl>
    </w:lvlOverride>
    <w:lvlOverride w:ilvl="1">
      <w:lvl w:ilvl="1">
        <w:start w:val="1"/>
        <w:numFmt w:val="decimal"/>
        <w:lvlText w:val="%1.%2"/>
        <w:lvlJc w:val="left"/>
        <w:pPr>
          <w:tabs>
            <w:tab w:val="num" w:pos="493"/>
          </w:tabs>
          <w:ind w:left="987" w:hanging="493"/>
        </w:pPr>
        <w:rPr>
          <w:rFonts w:hint="default"/>
        </w:rPr>
      </w:lvl>
    </w:lvlOverride>
    <w:lvlOverride w:ilvl="2">
      <w:lvl w:ilvl="2">
        <w:start w:val="1"/>
        <w:numFmt w:val="decimal"/>
        <w:lvlText w:val="%1.%2.%3"/>
        <w:lvlJc w:val="left"/>
        <w:pPr>
          <w:tabs>
            <w:tab w:val="num" w:pos="680"/>
          </w:tabs>
          <w:ind w:left="1667" w:hanging="680"/>
        </w:pPr>
        <w:rPr>
          <w:rFonts w:hint="default"/>
        </w:rPr>
      </w:lvl>
    </w:lvlOverride>
    <w:lvlOverride w:ilvl="3">
      <w:lvl w:ilvl="3">
        <w:start w:val="1"/>
        <w:numFmt w:val="decimal"/>
        <w:lvlText w:val="%1.%2.%3.%4."/>
        <w:lvlJc w:val="left"/>
        <w:pPr>
          <w:tabs>
            <w:tab w:val="num" w:pos="1640"/>
          </w:tabs>
          <w:ind w:left="1208" w:hanging="648"/>
        </w:pPr>
        <w:rPr>
          <w:rFonts w:hint="default"/>
        </w:rPr>
      </w:lvl>
    </w:lvlOverride>
    <w:lvlOverride w:ilvl="4">
      <w:lvl w:ilvl="4">
        <w:start w:val="1"/>
        <w:numFmt w:val="decimal"/>
        <w:lvlText w:val="%1.%2.%3.%4.%5."/>
        <w:lvlJc w:val="left"/>
        <w:pPr>
          <w:tabs>
            <w:tab w:val="num" w:pos="2000"/>
          </w:tabs>
          <w:ind w:left="1712" w:hanging="792"/>
        </w:pPr>
        <w:rPr>
          <w:rFonts w:hint="default"/>
        </w:rPr>
      </w:lvl>
    </w:lvlOverride>
    <w:lvlOverride w:ilvl="5">
      <w:lvl w:ilvl="5">
        <w:start w:val="1"/>
        <w:numFmt w:val="decimal"/>
        <w:lvlText w:val="%1.%2.%3.%4.%5.%6."/>
        <w:lvlJc w:val="left"/>
        <w:pPr>
          <w:tabs>
            <w:tab w:val="num" w:pos="2720"/>
          </w:tabs>
          <w:ind w:left="2216" w:hanging="936"/>
        </w:pPr>
        <w:rPr>
          <w:rFonts w:hint="default"/>
        </w:rPr>
      </w:lvl>
    </w:lvlOverride>
    <w:lvlOverride w:ilvl="6">
      <w:lvl w:ilvl="6">
        <w:start w:val="1"/>
        <w:numFmt w:val="decimal"/>
        <w:lvlText w:val="%1.%2.%3.%4.%5.%6.%7."/>
        <w:lvlJc w:val="left"/>
        <w:pPr>
          <w:tabs>
            <w:tab w:val="num" w:pos="3080"/>
          </w:tabs>
          <w:ind w:left="2720" w:hanging="1080"/>
        </w:pPr>
        <w:rPr>
          <w:rFonts w:hint="default"/>
        </w:rPr>
      </w:lvl>
    </w:lvlOverride>
    <w:lvlOverride w:ilvl="7">
      <w:lvl w:ilvl="7">
        <w:start w:val="1"/>
        <w:numFmt w:val="decimal"/>
        <w:lvlText w:val="%1.%2.%3.%4.%5.%6.%7.%8."/>
        <w:lvlJc w:val="left"/>
        <w:pPr>
          <w:tabs>
            <w:tab w:val="num" w:pos="3800"/>
          </w:tabs>
          <w:ind w:left="3224" w:hanging="1224"/>
        </w:pPr>
        <w:rPr>
          <w:rFonts w:hint="default"/>
        </w:rPr>
      </w:lvl>
    </w:lvlOverride>
    <w:lvlOverride w:ilvl="8">
      <w:lvl w:ilvl="8">
        <w:start w:val="1"/>
        <w:numFmt w:val="decimal"/>
        <w:lvlText w:val="%1.%2.%3.%4.%5.%6.%7.%8.%9."/>
        <w:lvlJc w:val="left"/>
        <w:pPr>
          <w:tabs>
            <w:tab w:val="num" w:pos="4160"/>
          </w:tabs>
          <w:ind w:left="3800" w:hanging="1440"/>
        </w:pPr>
        <w:rPr>
          <w:rFonts w:hint="default"/>
        </w:rPr>
      </w:lvl>
    </w:lvlOverride>
  </w:num>
  <w:num w:numId="12">
    <w:abstractNumId w:val="8"/>
  </w:num>
  <w:num w:numId="13">
    <w:abstractNumId w:val="32"/>
  </w:num>
  <w:num w:numId="14">
    <w:abstractNumId w:val="7"/>
  </w:num>
  <w:num w:numId="15">
    <w:abstractNumId w:val="16"/>
  </w:num>
  <w:num w:numId="16">
    <w:abstractNumId w:val="9"/>
  </w:num>
  <w:num w:numId="17">
    <w:abstractNumId w:val="11"/>
  </w:num>
  <w:num w:numId="18">
    <w:abstractNumId w:val="31"/>
  </w:num>
  <w:num w:numId="19">
    <w:abstractNumId w:val="4"/>
  </w:num>
  <w:num w:numId="20">
    <w:abstractNumId w:val="24"/>
  </w:num>
  <w:num w:numId="21">
    <w:abstractNumId w:val="28"/>
  </w:num>
  <w:num w:numId="22">
    <w:abstractNumId w:val="21"/>
  </w:num>
  <w:num w:numId="23">
    <w:abstractNumId w:val="33"/>
  </w:num>
  <w:num w:numId="24">
    <w:abstractNumId w:val="2"/>
  </w:num>
  <w:num w:numId="25">
    <w:abstractNumId w:val="25"/>
  </w:num>
  <w:num w:numId="26">
    <w:abstractNumId w:val="35"/>
  </w:num>
  <w:num w:numId="27">
    <w:abstractNumId w:val="17"/>
  </w:num>
  <w:num w:numId="28">
    <w:abstractNumId w:val="3"/>
  </w:num>
  <w:num w:numId="29">
    <w:abstractNumId w:val="18"/>
  </w:num>
  <w:num w:numId="30">
    <w:abstractNumId w:val="1"/>
  </w:num>
  <w:num w:numId="31">
    <w:abstractNumId w:val="10"/>
  </w:num>
  <w:num w:numId="32">
    <w:abstractNumId w:val="13"/>
  </w:num>
  <w:num w:numId="33">
    <w:abstractNumId w:val="29"/>
  </w:num>
  <w:num w:numId="34">
    <w:abstractNumId w:val="22"/>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04"/>
    <w:rsid w:val="00000D7C"/>
    <w:rsid w:val="00002B1B"/>
    <w:rsid w:val="00006A81"/>
    <w:rsid w:val="00007851"/>
    <w:rsid w:val="00023354"/>
    <w:rsid w:val="000235CC"/>
    <w:rsid w:val="00033C0D"/>
    <w:rsid w:val="000370BC"/>
    <w:rsid w:val="000401B0"/>
    <w:rsid w:val="00044F09"/>
    <w:rsid w:val="000461FE"/>
    <w:rsid w:val="00060F83"/>
    <w:rsid w:val="000731B0"/>
    <w:rsid w:val="0007536B"/>
    <w:rsid w:val="00084A76"/>
    <w:rsid w:val="00085668"/>
    <w:rsid w:val="000856E8"/>
    <w:rsid w:val="00086357"/>
    <w:rsid w:val="00092A3A"/>
    <w:rsid w:val="00094F4B"/>
    <w:rsid w:val="000A2F76"/>
    <w:rsid w:val="000B3EFB"/>
    <w:rsid w:val="000B4A09"/>
    <w:rsid w:val="000C101F"/>
    <w:rsid w:val="000C1991"/>
    <w:rsid w:val="000C1F2D"/>
    <w:rsid w:val="000C47B3"/>
    <w:rsid w:val="000C5661"/>
    <w:rsid w:val="000C7222"/>
    <w:rsid w:val="000E0BC0"/>
    <w:rsid w:val="000F3C86"/>
    <w:rsid w:val="000F441B"/>
    <w:rsid w:val="000F5BB4"/>
    <w:rsid w:val="00107790"/>
    <w:rsid w:val="00116515"/>
    <w:rsid w:val="001243DD"/>
    <w:rsid w:val="00135E72"/>
    <w:rsid w:val="00136ED7"/>
    <w:rsid w:val="001426F6"/>
    <w:rsid w:val="0014670F"/>
    <w:rsid w:val="00153C5D"/>
    <w:rsid w:val="00155EB0"/>
    <w:rsid w:val="00156EA3"/>
    <w:rsid w:val="0015708D"/>
    <w:rsid w:val="001570DD"/>
    <w:rsid w:val="00170D79"/>
    <w:rsid w:val="00173F05"/>
    <w:rsid w:val="00175A06"/>
    <w:rsid w:val="001765EB"/>
    <w:rsid w:val="00180587"/>
    <w:rsid w:val="00190AF2"/>
    <w:rsid w:val="001917C4"/>
    <w:rsid w:val="001A01DC"/>
    <w:rsid w:val="001A36CF"/>
    <w:rsid w:val="001B15AC"/>
    <w:rsid w:val="001B15FF"/>
    <w:rsid w:val="001B4C44"/>
    <w:rsid w:val="001C07E2"/>
    <w:rsid w:val="001C5AD8"/>
    <w:rsid w:val="001D09BE"/>
    <w:rsid w:val="001D5C48"/>
    <w:rsid w:val="001D5F91"/>
    <w:rsid w:val="001E6167"/>
    <w:rsid w:val="001E688D"/>
    <w:rsid w:val="001E7756"/>
    <w:rsid w:val="001F0594"/>
    <w:rsid w:val="001F67EA"/>
    <w:rsid w:val="00202777"/>
    <w:rsid w:val="0020290F"/>
    <w:rsid w:val="00203153"/>
    <w:rsid w:val="0020428D"/>
    <w:rsid w:val="002154AD"/>
    <w:rsid w:val="00223007"/>
    <w:rsid w:val="002236A1"/>
    <w:rsid w:val="002237D0"/>
    <w:rsid w:val="00232113"/>
    <w:rsid w:val="00233321"/>
    <w:rsid w:val="00235CB4"/>
    <w:rsid w:val="00245F8A"/>
    <w:rsid w:val="00255F47"/>
    <w:rsid w:val="002560DD"/>
    <w:rsid w:val="00256266"/>
    <w:rsid w:val="00271402"/>
    <w:rsid w:val="002725C3"/>
    <w:rsid w:val="00276958"/>
    <w:rsid w:val="00276E91"/>
    <w:rsid w:val="00290883"/>
    <w:rsid w:val="00292487"/>
    <w:rsid w:val="002949AC"/>
    <w:rsid w:val="002A4493"/>
    <w:rsid w:val="002B1FB3"/>
    <w:rsid w:val="002B3AE3"/>
    <w:rsid w:val="002C43F7"/>
    <w:rsid w:val="002D1D6F"/>
    <w:rsid w:val="002D1F8F"/>
    <w:rsid w:val="002E1222"/>
    <w:rsid w:val="002E1435"/>
    <w:rsid w:val="002E1A1C"/>
    <w:rsid w:val="002F1C03"/>
    <w:rsid w:val="002F2E8B"/>
    <w:rsid w:val="002F4A1C"/>
    <w:rsid w:val="00300349"/>
    <w:rsid w:val="00302EE4"/>
    <w:rsid w:val="00306498"/>
    <w:rsid w:val="0031312B"/>
    <w:rsid w:val="00314EA9"/>
    <w:rsid w:val="0032221A"/>
    <w:rsid w:val="00326704"/>
    <w:rsid w:val="00331479"/>
    <w:rsid w:val="003363AC"/>
    <w:rsid w:val="00337169"/>
    <w:rsid w:val="0034190F"/>
    <w:rsid w:val="003422E8"/>
    <w:rsid w:val="003512EB"/>
    <w:rsid w:val="00367ED0"/>
    <w:rsid w:val="00370995"/>
    <w:rsid w:val="003711C0"/>
    <w:rsid w:val="00380530"/>
    <w:rsid w:val="00384E2D"/>
    <w:rsid w:val="003923DA"/>
    <w:rsid w:val="003A1C02"/>
    <w:rsid w:val="003A4C2D"/>
    <w:rsid w:val="003A5DA6"/>
    <w:rsid w:val="003A6577"/>
    <w:rsid w:val="003B2533"/>
    <w:rsid w:val="003B5174"/>
    <w:rsid w:val="003B5448"/>
    <w:rsid w:val="003C3CF6"/>
    <w:rsid w:val="003D166F"/>
    <w:rsid w:val="003D230B"/>
    <w:rsid w:val="003D29DA"/>
    <w:rsid w:val="003D4124"/>
    <w:rsid w:val="003D5676"/>
    <w:rsid w:val="003D583C"/>
    <w:rsid w:val="003E3305"/>
    <w:rsid w:val="003E38B6"/>
    <w:rsid w:val="003E57A4"/>
    <w:rsid w:val="003F212A"/>
    <w:rsid w:val="003F6102"/>
    <w:rsid w:val="003F7FF0"/>
    <w:rsid w:val="0040436A"/>
    <w:rsid w:val="00406496"/>
    <w:rsid w:val="00416A0A"/>
    <w:rsid w:val="0041709D"/>
    <w:rsid w:val="004211FA"/>
    <w:rsid w:val="00422D20"/>
    <w:rsid w:val="00424584"/>
    <w:rsid w:val="00424D52"/>
    <w:rsid w:val="004257D9"/>
    <w:rsid w:val="00427C58"/>
    <w:rsid w:val="00431E94"/>
    <w:rsid w:val="00432F5A"/>
    <w:rsid w:val="00435A38"/>
    <w:rsid w:val="00437AFA"/>
    <w:rsid w:val="00437DB9"/>
    <w:rsid w:val="0045460D"/>
    <w:rsid w:val="00460A9D"/>
    <w:rsid w:val="00470B3F"/>
    <w:rsid w:val="004716E5"/>
    <w:rsid w:val="0048441B"/>
    <w:rsid w:val="00484B66"/>
    <w:rsid w:val="00485BEE"/>
    <w:rsid w:val="004863F5"/>
    <w:rsid w:val="00487B72"/>
    <w:rsid w:val="004920F5"/>
    <w:rsid w:val="00494184"/>
    <w:rsid w:val="004A0AC5"/>
    <w:rsid w:val="004A1149"/>
    <w:rsid w:val="004A215A"/>
    <w:rsid w:val="004B0DFC"/>
    <w:rsid w:val="004C128F"/>
    <w:rsid w:val="004C36F1"/>
    <w:rsid w:val="004C698C"/>
    <w:rsid w:val="004C7B31"/>
    <w:rsid w:val="004D64EB"/>
    <w:rsid w:val="004D7F44"/>
    <w:rsid w:val="004E1B0E"/>
    <w:rsid w:val="004E34D2"/>
    <w:rsid w:val="004F10CE"/>
    <w:rsid w:val="004F3D91"/>
    <w:rsid w:val="004F6389"/>
    <w:rsid w:val="00501C93"/>
    <w:rsid w:val="0050231F"/>
    <w:rsid w:val="00510207"/>
    <w:rsid w:val="00516B7C"/>
    <w:rsid w:val="00527489"/>
    <w:rsid w:val="00527566"/>
    <w:rsid w:val="00534F51"/>
    <w:rsid w:val="00537F07"/>
    <w:rsid w:val="00542373"/>
    <w:rsid w:val="00543C71"/>
    <w:rsid w:val="00546416"/>
    <w:rsid w:val="005505D4"/>
    <w:rsid w:val="005554ED"/>
    <w:rsid w:val="005563AB"/>
    <w:rsid w:val="00561C61"/>
    <w:rsid w:val="005627C0"/>
    <w:rsid w:val="00563B24"/>
    <w:rsid w:val="0056594F"/>
    <w:rsid w:val="00576779"/>
    <w:rsid w:val="005802BF"/>
    <w:rsid w:val="00585611"/>
    <w:rsid w:val="00585795"/>
    <w:rsid w:val="00587E00"/>
    <w:rsid w:val="005920B8"/>
    <w:rsid w:val="005A7421"/>
    <w:rsid w:val="005B0D7C"/>
    <w:rsid w:val="005B0D95"/>
    <w:rsid w:val="005B3FFB"/>
    <w:rsid w:val="005B4070"/>
    <w:rsid w:val="005B4960"/>
    <w:rsid w:val="005C4B60"/>
    <w:rsid w:val="005C5CBC"/>
    <w:rsid w:val="005C66CF"/>
    <w:rsid w:val="005D6B85"/>
    <w:rsid w:val="005E3288"/>
    <w:rsid w:val="005F1335"/>
    <w:rsid w:val="006116F8"/>
    <w:rsid w:val="00611E27"/>
    <w:rsid w:val="00617AB6"/>
    <w:rsid w:val="00624F0B"/>
    <w:rsid w:val="00624F45"/>
    <w:rsid w:val="00626CF0"/>
    <w:rsid w:val="00627D92"/>
    <w:rsid w:val="00635E0D"/>
    <w:rsid w:val="00646508"/>
    <w:rsid w:val="00654215"/>
    <w:rsid w:val="00655EBD"/>
    <w:rsid w:val="006621BE"/>
    <w:rsid w:val="0067116B"/>
    <w:rsid w:val="0067143D"/>
    <w:rsid w:val="00674BA4"/>
    <w:rsid w:val="00676F76"/>
    <w:rsid w:val="00684240"/>
    <w:rsid w:val="006A0F97"/>
    <w:rsid w:val="006A2D0F"/>
    <w:rsid w:val="006B1D0D"/>
    <w:rsid w:val="006B47E9"/>
    <w:rsid w:val="006B4E60"/>
    <w:rsid w:val="006C3B83"/>
    <w:rsid w:val="006C5FA0"/>
    <w:rsid w:val="006D39EF"/>
    <w:rsid w:val="006D3CFC"/>
    <w:rsid w:val="006E0C98"/>
    <w:rsid w:val="006E0DE4"/>
    <w:rsid w:val="006E3ACA"/>
    <w:rsid w:val="006E5FB1"/>
    <w:rsid w:val="006E6009"/>
    <w:rsid w:val="006F10FB"/>
    <w:rsid w:val="006F5680"/>
    <w:rsid w:val="006F5F40"/>
    <w:rsid w:val="00705EF0"/>
    <w:rsid w:val="00717672"/>
    <w:rsid w:val="007204E3"/>
    <w:rsid w:val="00722E7B"/>
    <w:rsid w:val="00725981"/>
    <w:rsid w:val="00732A6A"/>
    <w:rsid w:val="007352F9"/>
    <w:rsid w:val="00743FC5"/>
    <w:rsid w:val="00746CBE"/>
    <w:rsid w:val="00750AD3"/>
    <w:rsid w:val="00761306"/>
    <w:rsid w:val="007641F5"/>
    <w:rsid w:val="00766624"/>
    <w:rsid w:val="00766F3D"/>
    <w:rsid w:val="007671EA"/>
    <w:rsid w:val="00773884"/>
    <w:rsid w:val="00773F52"/>
    <w:rsid w:val="00776E4A"/>
    <w:rsid w:val="007821E2"/>
    <w:rsid w:val="00787745"/>
    <w:rsid w:val="00790EEF"/>
    <w:rsid w:val="007A10F5"/>
    <w:rsid w:val="007B335F"/>
    <w:rsid w:val="007C3D8E"/>
    <w:rsid w:val="007C4709"/>
    <w:rsid w:val="007C6A55"/>
    <w:rsid w:val="007D77FE"/>
    <w:rsid w:val="007E110D"/>
    <w:rsid w:val="007E1CE9"/>
    <w:rsid w:val="007E3F9E"/>
    <w:rsid w:val="007E52BE"/>
    <w:rsid w:val="007F3E63"/>
    <w:rsid w:val="007F45BD"/>
    <w:rsid w:val="007F5EDC"/>
    <w:rsid w:val="00803E06"/>
    <w:rsid w:val="0081199A"/>
    <w:rsid w:val="00811D17"/>
    <w:rsid w:val="008127F1"/>
    <w:rsid w:val="00820BEC"/>
    <w:rsid w:val="00823584"/>
    <w:rsid w:val="008257C0"/>
    <w:rsid w:val="00827703"/>
    <w:rsid w:val="00832634"/>
    <w:rsid w:val="00835944"/>
    <w:rsid w:val="00852708"/>
    <w:rsid w:val="008614CA"/>
    <w:rsid w:val="00865E5C"/>
    <w:rsid w:val="008752AA"/>
    <w:rsid w:val="0088003E"/>
    <w:rsid w:val="00882291"/>
    <w:rsid w:val="008930EE"/>
    <w:rsid w:val="00896AA0"/>
    <w:rsid w:val="008974BF"/>
    <w:rsid w:val="00897538"/>
    <w:rsid w:val="008A5B5A"/>
    <w:rsid w:val="008B08A8"/>
    <w:rsid w:val="008B2448"/>
    <w:rsid w:val="008B422D"/>
    <w:rsid w:val="008B42AF"/>
    <w:rsid w:val="008C3BBA"/>
    <w:rsid w:val="008C43B7"/>
    <w:rsid w:val="008C70C9"/>
    <w:rsid w:val="008D6AB3"/>
    <w:rsid w:val="008F7CD2"/>
    <w:rsid w:val="00901CD3"/>
    <w:rsid w:val="00903DD1"/>
    <w:rsid w:val="00903F44"/>
    <w:rsid w:val="009040EC"/>
    <w:rsid w:val="00905D82"/>
    <w:rsid w:val="009105D5"/>
    <w:rsid w:val="00916463"/>
    <w:rsid w:val="00922172"/>
    <w:rsid w:val="00923582"/>
    <w:rsid w:val="00927CA7"/>
    <w:rsid w:val="00930085"/>
    <w:rsid w:val="009341E3"/>
    <w:rsid w:val="00935A76"/>
    <w:rsid w:val="00942AD9"/>
    <w:rsid w:val="009436C5"/>
    <w:rsid w:val="00946979"/>
    <w:rsid w:val="0094758A"/>
    <w:rsid w:val="0094791F"/>
    <w:rsid w:val="00970608"/>
    <w:rsid w:val="00973716"/>
    <w:rsid w:val="0097548E"/>
    <w:rsid w:val="00977862"/>
    <w:rsid w:val="0098266C"/>
    <w:rsid w:val="00985336"/>
    <w:rsid w:val="009858CA"/>
    <w:rsid w:val="00986231"/>
    <w:rsid w:val="00993CBD"/>
    <w:rsid w:val="009A1D58"/>
    <w:rsid w:val="009A2C5A"/>
    <w:rsid w:val="009A704B"/>
    <w:rsid w:val="009B0A22"/>
    <w:rsid w:val="009B3C36"/>
    <w:rsid w:val="009B6B55"/>
    <w:rsid w:val="009B76A1"/>
    <w:rsid w:val="009C6814"/>
    <w:rsid w:val="009D74FF"/>
    <w:rsid w:val="009F2A0B"/>
    <w:rsid w:val="009F2D46"/>
    <w:rsid w:val="009F3EE2"/>
    <w:rsid w:val="00A0140D"/>
    <w:rsid w:val="00A13E4E"/>
    <w:rsid w:val="00A13FB5"/>
    <w:rsid w:val="00A161CC"/>
    <w:rsid w:val="00A2070A"/>
    <w:rsid w:val="00A22C26"/>
    <w:rsid w:val="00A23414"/>
    <w:rsid w:val="00A23AB0"/>
    <w:rsid w:val="00A2541E"/>
    <w:rsid w:val="00A26C25"/>
    <w:rsid w:val="00A33791"/>
    <w:rsid w:val="00A3431C"/>
    <w:rsid w:val="00A376A1"/>
    <w:rsid w:val="00A5248B"/>
    <w:rsid w:val="00A5302F"/>
    <w:rsid w:val="00A6101E"/>
    <w:rsid w:val="00A63F10"/>
    <w:rsid w:val="00A67557"/>
    <w:rsid w:val="00A75204"/>
    <w:rsid w:val="00A76F1A"/>
    <w:rsid w:val="00A84315"/>
    <w:rsid w:val="00A84AF1"/>
    <w:rsid w:val="00A86EFD"/>
    <w:rsid w:val="00A916BD"/>
    <w:rsid w:val="00A92DF5"/>
    <w:rsid w:val="00A9305E"/>
    <w:rsid w:val="00A97B74"/>
    <w:rsid w:val="00AA245E"/>
    <w:rsid w:val="00AA6065"/>
    <w:rsid w:val="00AA68C3"/>
    <w:rsid w:val="00AB38B6"/>
    <w:rsid w:val="00AB5AA5"/>
    <w:rsid w:val="00AB70EB"/>
    <w:rsid w:val="00AB75F1"/>
    <w:rsid w:val="00AB7951"/>
    <w:rsid w:val="00AC0105"/>
    <w:rsid w:val="00AC5664"/>
    <w:rsid w:val="00AE0FFF"/>
    <w:rsid w:val="00AE45BD"/>
    <w:rsid w:val="00AE46BE"/>
    <w:rsid w:val="00AE4C7C"/>
    <w:rsid w:val="00AE4FC4"/>
    <w:rsid w:val="00AF2331"/>
    <w:rsid w:val="00B00A7B"/>
    <w:rsid w:val="00B04867"/>
    <w:rsid w:val="00B04DC3"/>
    <w:rsid w:val="00B057EC"/>
    <w:rsid w:val="00B07BEE"/>
    <w:rsid w:val="00B07FB1"/>
    <w:rsid w:val="00B10D43"/>
    <w:rsid w:val="00B12BCD"/>
    <w:rsid w:val="00B21322"/>
    <w:rsid w:val="00B220AF"/>
    <w:rsid w:val="00B2397C"/>
    <w:rsid w:val="00B31CC1"/>
    <w:rsid w:val="00B33BCC"/>
    <w:rsid w:val="00B33D2B"/>
    <w:rsid w:val="00B44263"/>
    <w:rsid w:val="00B4636E"/>
    <w:rsid w:val="00B74E54"/>
    <w:rsid w:val="00B82AF2"/>
    <w:rsid w:val="00B833AD"/>
    <w:rsid w:val="00B87AE0"/>
    <w:rsid w:val="00B90F2B"/>
    <w:rsid w:val="00B92855"/>
    <w:rsid w:val="00B97EB1"/>
    <w:rsid w:val="00BA010D"/>
    <w:rsid w:val="00BB026C"/>
    <w:rsid w:val="00BC3D48"/>
    <w:rsid w:val="00BD173B"/>
    <w:rsid w:val="00BD5455"/>
    <w:rsid w:val="00BD6A2E"/>
    <w:rsid w:val="00BE1358"/>
    <w:rsid w:val="00BE2215"/>
    <w:rsid w:val="00BE3A08"/>
    <w:rsid w:val="00BF2F8F"/>
    <w:rsid w:val="00C108E0"/>
    <w:rsid w:val="00C15712"/>
    <w:rsid w:val="00C20556"/>
    <w:rsid w:val="00C379BC"/>
    <w:rsid w:val="00C40807"/>
    <w:rsid w:val="00C575F7"/>
    <w:rsid w:val="00C60606"/>
    <w:rsid w:val="00C62A12"/>
    <w:rsid w:val="00C654F4"/>
    <w:rsid w:val="00C70171"/>
    <w:rsid w:val="00C87871"/>
    <w:rsid w:val="00C92071"/>
    <w:rsid w:val="00CA132D"/>
    <w:rsid w:val="00CA39E5"/>
    <w:rsid w:val="00CC1C8F"/>
    <w:rsid w:val="00CC292D"/>
    <w:rsid w:val="00CC57BC"/>
    <w:rsid w:val="00CC7715"/>
    <w:rsid w:val="00CD5B50"/>
    <w:rsid w:val="00CD603E"/>
    <w:rsid w:val="00CD675C"/>
    <w:rsid w:val="00CE37B6"/>
    <w:rsid w:val="00CE3CE8"/>
    <w:rsid w:val="00CF32ED"/>
    <w:rsid w:val="00CF59BD"/>
    <w:rsid w:val="00CF5A6F"/>
    <w:rsid w:val="00CF7C96"/>
    <w:rsid w:val="00D05095"/>
    <w:rsid w:val="00D12186"/>
    <w:rsid w:val="00D13727"/>
    <w:rsid w:val="00D13888"/>
    <w:rsid w:val="00D17A46"/>
    <w:rsid w:val="00D205A5"/>
    <w:rsid w:val="00D23205"/>
    <w:rsid w:val="00D243CB"/>
    <w:rsid w:val="00D2562D"/>
    <w:rsid w:val="00D25999"/>
    <w:rsid w:val="00D27ABA"/>
    <w:rsid w:val="00D436C7"/>
    <w:rsid w:val="00D439BE"/>
    <w:rsid w:val="00D504F5"/>
    <w:rsid w:val="00D53994"/>
    <w:rsid w:val="00D562E1"/>
    <w:rsid w:val="00D5743C"/>
    <w:rsid w:val="00D60669"/>
    <w:rsid w:val="00D60CB3"/>
    <w:rsid w:val="00D61B17"/>
    <w:rsid w:val="00D62EBB"/>
    <w:rsid w:val="00D74C08"/>
    <w:rsid w:val="00D76854"/>
    <w:rsid w:val="00D80207"/>
    <w:rsid w:val="00D83C64"/>
    <w:rsid w:val="00DA15DF"/>
    <w:rsid w:val="00DA28BE"/>
    <w:rsid w:val="00DB471E"/>
    <w:rsid w:val="00DC666A"/>
    <w:rsid w:val="00DD03F5"/>
    <w:rsid w:val="00DD276A"/>
    <w:rsid w:val="00DE5CC5"/>
    <w:rsid w:val="00DF0D34"/>
    <w:rsid w:val="00DF4A42"/>
    <w:rsid w:val="00DF550E"/>
    <w:rsid w:val="00DF552B"/>
    <w:rsid w:val="00E06E11"/>
    <w:rsid w:val="00E10044"/>
    <w:rsid w:val="00E20747"/>
    <w:rsid w:val="00E2223C"/>
    <w:rsid w:val="00E262D5"/>
    <w:rsid w:val="00E31EA4"/>
    <w:rsid w:val="00E33E8B"/>
    <w:rsid w:val="00E3636D"/>
    <w:rsid w:val="00E368F4"/>
    <w:rsid w:val="00E5032F"/>
    <w:rsid w:val="00E519B1"/>
    <w:rsid w:val="00E60030"/>
    <w:rsid w:val="00E6525F"/>
    <w:rsid w:val="00E66ACE"/>
    <w:rsid w:val="00E701A1"/>
    <w:rsid w:val="00E75BA0"/>
    <w:rsid w:val="00E774A8"/>
    <w:rsid w:val="00E818DA"/>
    <w:rsid w:val="00E82900"/>
    <w:rsid w:val="00E90317"/>
    <w:rsid w:val="00E91798"/>
    <w:rsid w:val="00EA26EA"/>
    <w:rsid w:val="00EA684F"/>
    <w:rsid w:val="00EA7804"/>
    <w:rsid w:val="00EB52DF"/>
    <w:rsid w:val="00EC5DA7"/>
    <w:rsid w:val="00ED2C68"/>
    <w:rsid w:val="00ED3C2F"/>
    <w:rsid w:val="00ED6F48"/>
    <w:rsid w:val="00EE2996"/>
    <w:rsid w:val="00EE5384"/>
    <w:rsid w:val="00EE687A"/>
    <w:rsid w:val="00EF1E78"/>
    <w:rsid w:val="00F009A3"/>
    <w:rsid w:val="00F104BB"/>
    <w:rsid w:val="00F10915"/>
    <w:rsid w:val="00F2284A"/>
    <w:rsid w:val="00F23C07"/>
    <w:rsid w:val="00F306FA"/>
    <w:rsid w:val="00F31573"/>
    <w:rsid w:val="00F32B9D"/>
    <w:rsid w:val="00F339F5"/>
    <w:rsid w:val="00F435C6"/>
    <w:rsid w:val="00F66A00"/>
    <w:rsid w:val="00F74DCD"/>
    <w:rsid w:val="00F801FD"/>
    <w:rsid w:val="00F8022F"/>
    <w:rsid w:val="00F80E63"/>
    <w:rsid w:val="00F83D0E"/>
    <w:rsid w:val="00FA2050"/>
    <w:rsid w:val="00FA359A"/>
    <w:rsid w:val="00FA5D96"/>
    <w:rsid w:val="00FB2491"/>
    <w:rsid w:val="00FB368B"/>
    <w:rsid w:val="00FB3FCE"/>
    <w:rsid w:val="00FC24FE"/>
    <w:rsid w:val="00FC357C"/>
    <w:rsid w:val="00FC3DF0"/>
    <w:rsid w:val="00FC5E61"/>
    <w:rsid w:val="00FC7195"/>
    <w:rsid w:val="00FF358F"/>
    <w:rsid w:val="00FF36DE"/>
    <w:rsid w:val="00FF53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DEC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6ACE"/>
    <w:rPr>
      <w:sz w:val="24"/>
      <w:szCs w:val="24"/>
      <w:lang w:val="en-NZ"/>
    </w:rPr>
  </w:style>
  <w:style w:type="paragraph" w:styleId="Heading1">
    <w:name w:val="heading 1"/>
    <w:basedOn w:val="Normal"/>
    <w:next w:val="Normal"/>
    <w:qFormat/>
    <w:rsid w:val="00A5302F"/>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A5302F"/>
    <w:pPr>
      <w:spacing w:before="0" w:after="0"/>
      <w:outlineLvl w:val="1"/>
    </w:pPr>
    <w:rPr>
      <w:bCs w:val="0"/>
      <w:iCs/>
      <w:sz w:val="28"/>
      <w:szCs w:val="28"/>
    </w:rPr>
  </w:style>
  <w:style w:type="paragraph" w:styleId="Heading3">
    <w:name w:val="heading 3"/>
    <w:basedOn w:val="Normal"/>
    <w:next w:val="Normal"/>
    <w:qFormat/>
    <w:rsid w:val="00A5302F"/>
    <w:pPr>
      <w:keepNext/>
      <w:outlineLvl w:val="2"/>
    </w:pPr>
    <w:rPr>
      <w:rFonts w:ascii="Arial" w:hAnsi="Arial" w:cs="Arial"/>
      <w:b/>
      <w:bCs/>
      <w:sz w:val="22"/>
      <w:szCs w:val="26"/>
      <w:lang w:val="en-GB"/>
    </w:rPr>
  </w:style>
  <w:style w:type="character" w:default="1" w:styleId="DefaultParagraphFont">
    <w:name w:val="Default Paragraph Font"/>
    <w:aliases w:val=" Char Char2 Char"/>
    <w:link w:val="CharChar2"/>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121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B3AE3"/>
    <w:rPr>
      <w:rFonts w:ascii="Arial" w:hAnsi="Arial"/>
      <w:sz w:val="22"/>
      <w:szCs w:val="20"/>
      <w:lang w:val="en-GB"/>
    </w:rPr>
  </w:style>
  <w:style w:type="character" w:styleId="FootnoteReference">
    <w:name w:val="footnote reference"/>
    <w:basedOn w:val="DefaultParagraphFont"/>
    <w:semiHidden/>
    <w:rsid w:val="002B3AE3"/>
    <w:rPr>
      <w:vertAlign w:val="superscript"/>
    </w:rPr>
  </w:style>
  <w:style w:type="paragraph" w:customStyle="1" w:styleId="CharChar2">
    <w:name w:val=" Char Char2"/>
    <w:basedOn w:val="Normal"/>
    <w:link w:val="DefaultParagraphFont"/>
    <w:rsid w:val="002B3AE3"/>
    <w:pPr>
      <w:spacing w:before="360" w:after="240" w:line="280" w:lineRule="atLeast"/>
      <w:jc w:val="both"/>
    </w:pPr>
    <w:rPr>
      <w:rFonts w:ascii="Verdana" w:hAnsi="Verdana"/>
      <w:b/>
      <w:caps/>
      <w:sz w:val="28"/>
      <w:szCs w:val="28"/>
      <w:lang w:val="en-US"/>
    </w:rPr>
  </w:style>
  <w:style w:type="paragraph" w:styleId="Header">
    <w:name w:val="header"/>
    <w:basedOn w:val="Normal"/>
    <w:rsid w:val="00B33D2B"/>
    <w:pPr>
      <w:tabs>
        <w:tab w:val="center" w:pos="4320"/>
        <w:tab w:val="right" w:pos="8640"/>
      </w:tabs>
    </w:pPr>
  </w:style>
  <w:style w:type="paragraph" w:styleId="Footer">
    <w:name w:val="footer"/>
    <w:basedOn w:val="Normal"/>
    <w:rsid w:val="00B33D2B"/>
    <w:pPr>
      <w:tabs>
        <w:tab w:val="center" w:pos="4320"/>
        <w:tab w:val="right" w:pos="8640"/>
      </w:tabs>
    </w:pPr>
  </w:style>
  <w:style w:type="paragraph" w:customStyle="1" w:styleId="CharChar">
    <w:name w:val=" Char Char"/>
    <w:basedOn w:val="Normal"/>
    <w:rsid w:val="005554ED"/>
    <w:pPr>
      <w:spacing w:after="160" w:line="240" w:lineRule="exact"/>
    </w:pPr>
    <w:rPr>
      <w:rFonts w:ascii="Tahoma" w:hAnsi="Tahoma"/>
      <w:sz w:val="20"/>
      <w:szCs w:val="20"/>
      <w:lang w:val="en-US"/>
    </w:rPr>
  </w:style>
  <w:style w:type="numbering" w:customStyle="1" w:styleId="BodyList">
    <w:name w:val="Body List"/>
    <w:basedOn w:val="NoList"/>
    <w:rsid w:val="00510207"/>
    <w:pPr>
      <w:numPr>
        <w:numId w:val="11"/>
      </w:numPr>
    </w:pPr>
  </w:style>
  <w:style w:type="paragraph" w:styleId="BodyText">
    <w:name w:val="Body Text"/>
    <w:aliases w:val="Body Text Char Char Char Char Char,Body Text Char Char Char1 Char,Body Text Char1,Body Text Char Char,Body Text Char Char Char1,Body Text Char Char Char Char"/>
    <w:basedOn w:val="Normal"/>
    <w:link w:val="BodyTextChar"/>
    <w:rsid w:val="00510207"/>
    <w:pPr>
      <w:numPr>
        <w:numId w:val="11"/>
      </w:numPr>
      <w:spacing w:after="240"/>
      <w:jc w:val="both"/>
    </w:pPr>
    <w:rPr>
      <w:rFonts w:ascii="Arial" w:hAnsi="Arial"/>
      <w:sz w:val="22"/>
      <w:szCs w:val="22"/>
    </w:rPr>
  </w:style>
  <w:style w:type="character" w:customStyle="1" w:styleId="BodyTextChar">
    <w:name w:val="Body Text Char"/>
    <w:aliases w:val="Body Text Char Char Char Char Char Char,Body Text Char Char Char1 Char Char,Body Text Char1 Char,Body Text Char Char Char,Body Text Char Char Char1 Char1,Body Text Char Char Char Char Char1"/>
    <w:basedOn w:val="DefaultParagraphFont"/>
    <w:link w:val="BodyText"/>
    <w:rsid w:val="00510207"/>
    <w:rPr>
      <w:rFonts w:ascii="Arial" w:hAnsi="Arial"/>
      <w:sz w:val="22"/>
      <w:szCs w:val="22"/>
      <w:lang w:val="en-NZ" w:eastAsia="en-US" w:bidi="ar-SA"/>
    </w:rPr>
  </w:style>
  <w:style w:type="paragraph" w:customStyle="1" w:styleId="CharChar3CharCharCharCharCharChar">
    <w:name w:val=" Char Char3 Char Char Char Char Char Char"/>
    <w:basedOn w:val="Normal"/>
    <w:rsid w:val="00510207"/>
    <w:pPr>
      <w:spacing w:after="160" w:line="240" w:lineRule="exact"/>
    </w:pPr>
    <w:rPr>
      <w:rFonts w:ascii="Tahoma" w:hAnsi="Tahoma"/>
      <w:sz w:val="20"/>
      <w:szCs w:val="20"/>
      <w:lang w:val="en-US"/>
    </w:rPr>
  </w:style>
  <w:style w:type="character" w:styleId="Hyperlink">
    <w:name w:val="Hyperlink"/>
    <w:basedOn w:val="DefaultParagraphFont"/>
    <w:rsid w:val="009341E3"/>
    <w:rPr>
      <w:color w:val="0000FF"/>
      <w:u w:val="single"/>
    </w:rPr>
  </w:style>
  <w:style w:type="character" w:styleId="PageNumber">
    <w:name w:val="page number"/>
    <w:basedOn w:val="DefaultParagraphFont"/>
    <w:rsid w:val="005563AB"/>
  </w:style>
  <w:style w:type="paragraph" w:customStyle="1" w:styleId="CharChar1">
    <w:name w:val=" Char Char1"/>
    <w:basedOn w:val="Normal"/>
    <w:rsid w:val="006B4E60"/>
    <w:pPr>
      <w:spacing w:after="160" w:line="240" w:lineRule="exact"/>
    </w:pPr>
    <w:rPr>
      <w:rFonts w:ascii="Tahoma" w:hAnsi="Tahoma"/>
      <w:sz w:val="20"/>
      <w:szCs w:val="20"/>
      <w:lang w:val="en-US"/>
    </w:rPr>
  </w:style>
  <w:style w:type="paragraph" w:customStyle="1" w:styleId="CharChar1Char">
    <w:name w:val=" Char Char1 Char"/>
    <w:basedOn w:val="Normal"/>
    <w:rsid w:val="001B4C44"/>
    <w:pPr>
      <w:spacing w:after="160" w:line="240" w:lineRule="exact"/>
    </w:pPr>
    <w:rPr>
      <w:rFonts w:ascii="Tahoma" w:hAnsi="Tahoma"/>
      <w:sz w:val="20"/>
      <w:szCs w:val="20"/>
      <w:lang w:val="en-US"/>
    </w:rPr>
  </w:style>
  <w:style w:type="paragraph" w:customStyle="1" w:styleId="CharCharCharCharCharChar1CharChar">
    <w:name w:val="Char Char Char Char Char Char1 Char Char"/>
    <w:basedOn w:val="Normal"/>
    <w:rsid w:val="00BE1358"/>
    <w:pPr>
      <w:spacing w:before="360" w:after="240" w:line="280" w:lineRule="atLeast"/>
      <w:jc w:val="both"/>
    </w:pPr>
    <w:rPr>
      <w:rFonts w:ascii="Verdana" w:hAnsi="Verdana"/>
      <w:b/>
      <w:caps/>
      <w:sz w:val="28"/>
      <w:szCs w:val="28"/>
      <w:lang w:val="en-US"/>
    </w:rPr>
  </w:style>
  <w:style w:type="paragraph" w:customStyle="1" w:styleId="CharChar1CharCharChar">
    <w:name w:val=" Char Char1 Char Char Char"/>
    <w:basedOn w:val="Normal"/>
    <w:rsid w:val="009436C5"/>
    <w:pPr>
      <w:spacing w:before="360" w:after="240" w:line="280" w:lineRule="atLeast"/>
      <w:jc w:val="both"/>
    </w:pPr>
    <w:rPr>
      <w:rFonts w:ascii="Verdana" w:hAnsi="Verdana"/>
      <w:b/>
      <w:cap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172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wmf"/><Relationship Id="rId14" Type="http://schemas.openxmlformats.org/officeDocument/2006/relationships/image" Target="media/image8.emf"/><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www.msd.govt.nz/about-msd-and-our-work/publications-resources/monitoring/living-standard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5106</Words>
  <Characters>29105</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2009 Household Incomes Report:</vt:lpstr>
    </vt:vector>
  </TitlesOfParts>
  <Company>Social Service Infrastructure</Company>
  <LinksUpToDate>false</LinksUpToDate>
  <CharactersWithSpaces>34143</CharactersWithSpaces>
  <SharedDoc>false</SharedDoc>
  <HLinks>
    <vt:vector size="6" baseType="variant">
      <vt:variant>
        <vt:i4>7602289</vt:i4>
      </vt:variant>
      <vt:variant>
        <vt:i4>0</vt:i4>
      </vt:variant>
      <vt:variant>
        <vt:i4>0</vt:i4>
      </vt:variant>
      <vt:variant>
        <vt:i4>5</vt:i4>
      </vt:variant>
      <vt:variant>
        <vt:lpwstr>http://www.msd.govt.nz/about-msd-and-our-work/publications-resources/monitoring/living-standards/index.html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Household Incomes Report:</dc:title>
  <dc:subject/>
  <dc:creator>bperr001</dc:creator>
  <cp:keywords/>
  <dc:description/>
  <cp:lastModifiedBy>Bartosz Kosiorek</cp:lastModifiedBy>
  <cp:revision>2</cp:revision>
  <cp:lastPrinted>2011-07-27T09:15:00Z</cp:lastPrinted>
  <dcterms:created xsi:type="dcterms:W3CDTF">2017-04-25T07:45:00Z</dcterms:created>
  <dcterms:modified xsi:type="dcterms:W3CDTF">2017-04-25T07:45:00Z</dcterms:modified>
</cp:coreProperties>
</file>